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43" w:rsidRDefault="005A2B73" w:rsidP="0055116E">
      <w:pPr>
        <w:jc w:val="center"/>
      </w:pPr>
      <w:r>
        <w:t>“</w:t>
      </w:r>
      <w:r w:rsidR="00D22FEA">
        <w:t>Projection and Denial in the Interpretation of Foreign Affairs:</w:t>
      </w:r>
      <w:r w:rsidR="0055116E">
        <w:t xml:space="preserve"> </w:t>
      </w:r>
      <w:r w:rsidR="00597343">
        <w:rPr>
          <w:u w:val="single"/>
        </w:rPr>
        <w:t>New York Times</w:t>
      </w:r>
      <w:r w:rsidR="00597343">
        <w:t xml:space="preserve"> Coverage of Post-Election Protests in Iran”</w:t>
      </w:r>
    </w:p>
    <w:p w:rsidR="00597343" w:rsidRDefault="00597343">
      <w:pPr>
        <w:jc w:val="center"/>
      </w:pPr>
    </w:p>
    <w:p w:rsidR="00597343" w:rsidRDefault="00597343">
      <w:pPr>
        <w:jc w:val="center"/>
      </w:pPr>
      <w:r>
        <w:t xml:space="preserve">By Cyrus Ernesto </w:t>
      </w:r>
      <w:smartTag w:uri="urn:schemas-microsoft-com:office:smarttags" w:element="PersonName">
        <w:r>
          <w:t>Zirakzadeh</w:t>
        </w:r>
      </w:smartTag>
    </w:p>
    <w:p w:rsidR="00597343" w:rsidRDefault="00597343">
      <w:pPr>
        <w:jc w:val="center"/>
      </w:pPr>
      <w:r>
        <w:t xml:space="preserve">Professor of Political Science,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p>
    <w:p w:rsidR="00597343" w:rsidRDefault="00597343">
      <w:pPr>
        <w:jc w:val="center"/>
      </w:pPr>
    </w:p>
    <w:p w:rsidR="00597343" w:rsidRDefault="00597343">
      <w:pPr>
        <w:jc w:val="center"/>
      </w:pPr>
      <w:r>
        <w:t>Prepared for p</w:t>
      </w:r>
      <w:r w:rsidR="0085213B">
        <w:t>resentation at the 201</w:t>
      </w:r>
      <w:r w:rsidR="00405A6D">
        <w:t>4</w:t>
      </w:r>
      <w:r w:rsidR="0085213B">
        <w:t xml:space="preserve"> Western</w:t>
      </w:r>
      <w:r>
        <w:t xml:space="preserve"> Political Science Association </w:t>
      </w:r>
    </w:p>
    <w:p w:rsidR="00597343" w:rsidRDefault="0085213B">
      <w:pPr>
        <w:jc w:val="center"/>
      </w:pPr>
      <w:r>
        <w:t>Annual Meeting in Seattle, Washington</w:t>
      </w:r>
    </w:p>
    <w:p w:rsidR="00597343" w:rsidRDefault="00597343">
      <w:pPr>
        <w:jc w:val="center"/>
      </w:pPr>
      <w:r>
        <w:t>(</w:t>
      </w:r>
      <w:r w:rsidR="0055116E">
        <w:t>First Draft: Not for Quotation without Permission of the Author</w:t>
      </w:r>
      <w:r>
        <w:t>)</w:t>
      </w:r>
    </w:p>
    <w:p w:rsidR="00597343" w:rsidRDefault="00597343">
      <w:pPr>
        <w:jc w:val="center"/>
      </w:pPr>
    </w:p>
    <w:p w:rsidR="00597343" w:rsidRDefault="00597343">
      <w:pPr>
        <w:jc w:val="center"/>
      </w:pPr>
    </w:p>
    <w:p w:rsidR="00486F8A" w:rsidRDefault="00597343">
      <w:pPr>
        <w:spacing w:line="480" w:lineRule="auto"/>
      </w:pPr>
      <w:r>
        <w:t>Citizens in technologically</w:t>
      </w:r>
      <w:r w:rsidR="004344C4">
        <w:t xml:space="preserve"> advanced societies, with printing presses, telephone lines, radio signals, and computer screens, </w:t>
      </w:r>
      <w:r>
        <w:t xml:space="preserve">understand events in faraway places partly by reflecting on messages sent by the </w:t>
      </w:r>
      <w:r w:rsidR="00486F8A">
        <w:t>news media.</w:t>
      </w:r>
      <w:r>
        <w:t xml:space="preserve"> Citizens differ in how they rece</w:t>
      </w:r>
      <w:r w:rsidR="00F114CC">
        <w:t>ive intellectual food from mass-</w:t>
      </w:r>
      <w:r>
        <w:t>circulation</w:t>
      </w:r>
      <w:r w:rsidR="0055116E">
        <w:t xml:space="preserve"> newspapers, popular television-</w:t>
      </w:r>
      <w:r>
        <w:t>news programs, and announcement</w:t>
      </w:r>
      <w:r w:rsidR="004344C4">
        <w:t>s</w:t>
      </w:r>
      <w:r>
        <w:t xml:space="preserve"> about “breaki</w:t>
      </w:r>
      <w:r w:rsidR="00E61B37">
        <w:t>ng news” on internet</w:t>
      </w:r>
      <w:r w:rsidR="00486F8A">
        <w:t xml:space="preserve"> search engines.</w:t>
      </w:r>
      <w:r w:rsidR="00E61B37">
        <w:t xml:space="preserve"> </w:t>
      </w:r>
      <w:r w:rsidR="006E0F21">
        <w:t>C</w:t>
      </w:r>
      <w:r w:rsidR="00D22FEA">
        <w:t>ultural habits inform</w:t>
      </w:r>
      <w:r w:rsidR="006E0F21">
        <w:t xml:space="preserve"> each citizen’s handling of what she or he hears and reads. </w:t>
      </w:r>
      <w:r w:rsidR="00E61B37">
        <w:t>Some recipients choose to</w:t>
      </w:r>
      <w:r>
        <w:t xml:space="preserve"> ignore or reject the repor</w:t>
      </w:r>
      <w:r w:rsidR="00E61B37">
        <w:t>ts</w:t>
      </w:r>
      <w:r w:rsidR="00D22FEA">
        <w:t xml:space="preserve"> completely; a few</w:t>
      </w:r>
      <w:r w:rsidR="00E61B37">
        <w:t xml:space="preserve"> swallow them whole;</w:t>
      </w:r>
      <w:r>
        <w:t xml:space="preserve"> some masticate them, mixing the reports</w:t>
      </w:r>
      <w:r w:rsidR="00E61B37">
        <w:t xml:space="preserve"> with the recipient</w:t>
      </w:r>
      <w:r w:rsidR="00486F8A">
        <w:t>’</w:t>
      </w:r>
      <w:r w:rsidR="00E61B37">
        <w:t>s</w:t>
      </w:r>
      <w:r w:rsidR="00486F8A">
        <w:t xml:space="preserve"> own ideas.</w:t>
      </w:r>
      <w:r w:rsidR="00D22FEA">
        <w:rPr>
          <w:rStyle w:val="FootnoteReference"/>
        </w:rPr>
        <w:footnoteReference w:id="1"/>
      </w:r>
      <w:r w:rsidR="00486F8A">
        <w:t xml:space="preserve"> </w:t>
      </w:r>
      <w:r w:rsidR="00D22FEA">
        <w:t xml:space="preserve">Regardless of how they are received, the reports provide </w:t>
      </w:r>
      <w:r w:rsidR="00486F8A">
        <w:t>material for citizens</w:t>
      </w:r>
      <w:r w:rsidR="00D22FEA">
        <w:t>’ reflection and thereby play a role in their thinking</w:t>
      </w:r>
      <w:r w:rsidR="00486F8A">
        <w:t>.</w:t>
      </w:r>
      <w:r w:rsidR="00550872">
        <w:t xml:space="preserve"> News stories provide </w:t>
      </w:r>
      <w:r w:rsidR="00D22FEA">
        <w:t xml:space="preserve">important </w:t>
      </w:r>
      <w:r w:rsidR="00550872">
        <w:t>food for everyday political thought.</w:t>
      </w:r>
    </w:p>
    <w:p w:rsidR="003B3D8E" w:rsidRDefault="00D22FEA" w:rsidP="00861451">
      <w:pPr>
        <w:spacing w:line="480" w:lineRule="auto"/>
        <w:ind w:firstLine="720"/>
      </w:pPr>
      <w:r>
        <w:lastRenderedPageBreak/>
        <w:t xml:space="preserve">Although citizens use the news stories to help make sense of the </w:t>
      </w:r>
      <w:r w:rsidR="00861451">
        <w:t xml:space="preserve">world, the stories are not direct, unmediated reflections of reality. Rather, they are </w:t>
      </w:r>
      <w:r w:rsidR="00550872">
        <w:t>tales about the world constructed by imaginative minds</w:t>
      </w:r>
      <w:r w:rsidR="00861451">
        <w:t>. As</w:t>
      </w:r>
      <w:r w:rsidR="00B42EA6">
        <w:t xml:space="preserve"> Todd Gitlin </w:t>
      </w:r>
      <w:r w:rsidR="00861451">
        <w:t>and Lance Bennett</w:t>
      </w:r>
      <w:r w:rsidR="00550872">
        <w:t xml:space="preserve"> </w:t>
      </w:r>
      <w:r w:rsidR="00861451">
        <w:t xml:space="preserve">have noted for many decades, </w:t>
      </w:r>
      <w:r w:rsidR="00B42EA6">
        <w:t>re</w:t>
      </w:r>
      <w:r w:rsidR="00023882">
        <w:t>portage</w:t>
      </w:r>
      <w:r w:rsidR="00861451">
        <w:t xml:space="preserve"> is partly an artistic endeavor.</w:t>
      </w:r>
      <w:r w:rsidR="00861451">
        <w:rPr>
          <w:rStyle w:val="FootnoteReference"/>
        </w:rPr>
        <w:footnoteReference w:id="2"/>
      </w:r>
      <w:r w:rsidR="00861451">
        <w:t xml:space="preserve"> J</w:t>
      </w:r>
      <w:r w:rsidR="00760B41">
        <w:t>ournalist</w:t>
      </w:r>
      <w:r w:rsidR="00023882">
        <w:t>s</w:t>
      </w:r>
      <w:r w:rsidR="00760B41">
        <w:t xml:space="preserve"> contrive </w:t>
      </w:r>
      <w:r w:rsidR="00B42EA6">
        <w:t>coherent pictures about pol</w:t>
      </w:r>
      <w:r w:rsidR="00760B41">
        <w:t>itical situations and then communicate the images</w:t>
      </w:r>
      <w:r w:rsidR="00B42EA6">
        <w:t xml:space="preserve"> to readers, listeners, and viewers. </w:t>
      </w:r>
      <w:r w:rsidR="00861451">
        <w:t xml:space="preserve">Journalists describe physical events in the world, but they also </w:t>
      </w:r>
      <w:r w:rsidR="00023882">
        <w:t xml:space="preserve">attempt </w:t>
      </w:r>
      <w:r w:rsidR="00276D8B">
        <w:t xml:space="preserve">to </w:t>
      </w:r>
      <w:r w:rsidR="003803B9">
        <w:t xml:space="preserve">make </w:t>
      </w:r>
      <w:r w:rsidR="00A00879">
        <w:t xml:space="preserve">the </w:t>
      </w:r>
      <w:r w:rsidR="00861451">
        <w:t>corporeal</w:t>
      </w:r>
      <w:r w:rsidR="00276D8B">
        <w:t xml:space="preserve"> </w:t>
      </w:r>
      <w:r w:rsidR="00A00879">
        <w:t>motion sensible by</w:t>
      </w:r>
      <w:r w:rsidR="00023882">
        <w:t xml:space="preserve"> assigning motives to</w:t>
      </w:r>
      <w:r w:rsidR="00A00879">
        <w:t xml:space="preserve"> human actors</w:t>
      </w:r>
      <w:r w:rsidR="003B3D8E">
        <w:t xml:space="preserve">. Reporters also </w:t>
      </w:r>
      <w:r w:rsidR="003803B9">
        <w:t>a</w:t>
      </w:r>
      <w:r w:rsidR="003B3D8E">
        <w:t>scribe</w:t>
      </w:r>
      <w:r w:rsidR="00023882">
        <w:t xml:space="preserve"> to the actors perceptions of situations that readers and listeners find familiar and comprehensible</w:t>
      </w:r>
      <w:r w:rsidR="00A00879">
        <w:t>. These additional</w:t>
      </w:r>
      <w:r w:rsidR="003B3D8E">
        <w:t xml:space="preserve"> literary elements</w:t>
      </w:r>
      <w:r w:rsidR="00A00879">
        <w:t xml:space="preserve"> seldom can </w:t>
      </w:r>
      <w:r w:rsidR="005A2B73">
        <w:t xml:space="preserve">be </w:t>
      </w:r>
      <w:r w:rsidR="00A00879">
        <w:t>verified (e</w:t>
      </w:r>
      <w:r w:rsidR="005A2B73">
        <w:t>spec</w:t>
      </w:r>
      <w:r w:rsidR="00023882">
        <w:t>ially if the story covers happenings</w:t>
      </w:r>
      <w:r w:rsidR="00A00879">
        <w:t xml:space="preserve"> in a location faraway</w:t>
      </w:r>
      <w:r w:rsidR="003B3D8E">
        <w:t xml:space="preserve">). This does not mean that they are mere ornaments. The claims about situations, perceptions, and motives provide the physical movements </w:t>
      </w:r>
      <w:r w:rsidR="00A00879">
        <w:t>with</w:t>
      </w:r>
      <w:r w:rsidR="00486F8A">
        <w:t xml:space="preserve"> </w:t>
      </w:r>
      <w:r w:rsidR="00A00879">
        <w:t>a logic</w:t>
      </w:r>
      <w:r w:rsidR="00023882">
        <w:t>al</w:t>
      </w:r>
      <w:r w:rsidR="00A00879">
        <w:t xml:space="preserve"> </w:t>
      </w:r>
      <w:r w:rsidR="00486F8A">
        <w:t xml:space="preserve">sequence and </w:t>
      </w:r>
      <w:r w:rsidR="00A00879">
        <w:t xml:space="preserve">generate </w:t>
      </w:r>
      <w:r w:rsidR="00486F8A">
        <w:t>drama</w:t>
      </w:r>
      <w:r w:rsidR="00A00879">
        <w:t xml:space="preserve"> for the reader</w:t>
      </w:r>
      <w:r w:rsidR="00486F8A">
        <w:t xml:space="preserve">. </w:t>
      </w:r>
    </w:p>
    <w:p w:rsidR="003B3D8E" w:rsidRDefault="003B3D8E" w:rsidP="00861451">
      <w:pPr>
        <w:spacing w:line="480" w:lineRule="auto"/>
        <w:ind w:firstLine="720"/>
      </w:pPr>
      <w:r>
        <w:t xml:space="preserve">But if the meaning of the physical events come not from events themselves, from where do the ideas about motives, perceptions, and situations come from?  </w:t>
      </w:r>
      <w:r w:rsidR="008638C5">
        <w:t>T</w:t>
      </w:r>
      <w:r>
        <w:t xml:space="preserve">o propose some tentative answers to this question, this paper considers how journalists in the United States described the 2009 elections in Iran and their bloody aftermath. To some extent, the journalists merely described physical events.  The amassing of hundreds of thousands of human bodies in the streets of the major cities of Iran immediately after the announcement of the election results; the public killings, beatings, and arrests of Iranian citizens; and the stern warnings issued by the Supreme Leader following the tumult. But </w:t>
      </w:r>
      <w:r>
        <w:lastRenderedPageBreak/>
        <w:t>the journalists also attributed an overarching logic and a</w:t>
      </w:r>
      <w:r w:rsidR="00FC66BC">
        <w:t xml:space="preserve">scribed </w:t>
      </w:r>
      <w:r>
        <w:t>motivatio</w:t>
      </w:r>
      <w:r w:rsidR="00FC66BC">
        <w:t>ns to the happenings that they covered.</w:t>
      </w:r>
      <w:r>
        <w:t xml:space="preserve"> This paper speculates about the origins of these imputed features that gave the n</w:t>
      </w:r>
      <w:r w:rsidR="00903909">
        <w:t xml:space="preserve">ews reports their artistic </w:t>
      </w:r>
      <w:r>
        <w:t>shape.</w:t>
      </w:r>
    </w:p>
    <w:p w:rsidR="003B3D8E" w:rsidRDefault="003B3D8E" w:rsidP="003B3D8E">
      <w:pPr>
        <w:spacing w:line="480" w:lineRule="auto"/>
      </w:pPr>
    </w:p>
    <w:p w:rsidR="00903909" w:rsidRDefault="003B3D8E" w:rsidP="003B3D8E">
      <w:pPr>
        <w:pStyle w:val="ListParagraph"/>
        <w:numPr>
          <w:ilvl w:val="0"/>
          <w:numId w:val="1"/>
        </w:numPr>
        <w:tabs>
          <w:tab w:val="clear" w:pos="1080"/>
          <w:tab w:val="num" w:pos="360"/>
        </w:tabs>
        <w:spacing w:line="480" w:lineRule="auto"/>
        <w:ind w:left="360" w:hanging="360"/>
      </w:pPr>
      <w:r>
        <w:t>Ricoeur and the News</w:t>
      </w:r>
    </w:p>
    <w:p w:rsidR="00304B44" w:rsidRDefault="00903909" w:rsidP="00903909">
      <w:pPr>
        <w:spacing w:line="480" w:lineRule="auto"/>
      </w:pPr>
      <w:r>
        <w:t>To identify possibl</w:t>
      </w:r>
      <w:r w:rsidR="00FC66BC">
        <w:t>e origins of the literary dimension</w:t>
      </w:r>
      <w:r>
        <w:t xml:space="preserve"> of this set of news stories, this paper </w:t>
      </w:r>
      <w:r w:rsidR="00276D8B">
        <w:t xml:space="preserve">draws upon a set of </w:t>
      </w:r>
      <w:r>
        <w:t>ideas developed by the recently deceased French social philosopher, Paul Ricouer. In a series of books and essays,</w:t>
      </w:r>
      <w:r w:rsidR="00486F8A">
        <w:rPr>
          <w:rStyle w:val="FootnoteReference"/>
        </w:rPr>
        <w:footnoteReference w:id="3"/>
      </w:r>
      <w:r w:rsidR="00617B60">
        <w:t xml:space="preserve"> Ricoeur</w:t>
      </w:r>
      <w:r w:rsidR="00486F8A">
        <w:t xml:space="preserve"> argues that scholars, when </w:t>
      </w:r>
      <w:r>
        <w:t xml:space="preserve">either </w:t>
      </w:r>
      <w:r w:rsidR="00486F8A">
        <w:t>reading or listening to political utterances, should always assume that that the interlocutor’s words and sentenc</w:t>
      </w:r>
      <w:r>
        <w:t>es, by themselves,</w:t>
      </w:r>
      <w:r w:rsidR="00486F8A">
        <w:t xml:space="preserve"> are incomplete expressio</w:t>
      </w:r>
      <w:r w:rsidR="00A23CFF">
        <w:t>ns of the actor’s actual views.</w:t>
      </w:r>
      <w:r w:rsidR="00486F8A">
        <w:t xml:space="preserve"> To see </w:t>
      </w:r>
      <w:r w:rsidR="00A23CFF">
        <w:t xml:space="preserve">completely </w:t>
      </w:r>
      <w:r w:rsidR="00486F8A">
        <w:t xml:space="preserve">what the political actor imagines, the analyst needs to string the </w:t>
      </w:r>
      <w:r w:rsidR="00A23CFF">
        <w:t xml:space="preserve">actor’s </w:t>
      </w:r>
      <w:r w:rsidR="00486F8A">
        <w:t>words and sentences into a c</w:t>
      </w:r>
      <w:r w:rsidR="000E3343">
        <w:t xml:space="preserve">oherent and complete narrative. </w:t>
      </w:r>
    </w:p>
    <w:p w:rsidR="00FC66BC" w:rsidRDefault="00903909" w:rsidP="00304B44">
      <w:pPr>
        <w:spacing w:line="480" w:lineRule="auto"/>
        <w:ind w:firstLine="720"/>
      </w:pPr>
      <w:r>
        <w:t xml:space="preserve">Ricouer </w:t>
      </w:r>
      <w:r w:rsidR="00BA0499">
        <w:t xml:space="preserve">uses the term “narrative” to denote </w:t>
      </w:r>
      <w:r>
        <w:t xml:space="preserve">a vision about a deed: </w:t>
      </w:r>
      <w:r w:rsidR="00BA0499">
        <w:t xml:space="preserve">about </w:t>
      </w:r>
      <w:r>
        <w:t>its origins, execution, and consequences.</w:t>
      </w:r>
      <w:r w:rsidR="00CC6D79">
        <w:t xml:space="preserve"> In</w:t>
      </w:r>
      <w:r>
        <w:t xml:space="preserve"> a </w:t>
      </w:r>
      <w:r w:rsidR="00CC6D79">
        <w:t xml:space="preserve">typical </w:t>
      </w:r>
      <w:r>
        <w:t>narrative</w:t>
      </w:r>
      <w:r w:rsidR="00304B44">
        <w:t>,</w:t>
      </w:r>
      <w:r w:rsidR="00CC6D79">
        <w:t xml:space="preserve"> either a single actor or a group of actors </w:t>
      </w:r>
      <w:r w:rsidR="00304B44">
        <w:t>decide to act either</w:t>
      </w:r>
      <w:r w:rsidR="00CC6D79">
        <w:t xml:space="preserve"> to achieve a goal</w:t>
      </w:r>
      <w:r w:rsidR="00304B44">
        <w:t xml:space="preserve"> or because the act seems inherently worth doing</w:t>
      </w:r>
      <w:r w:rsidR="00CC6D79">
        <w:t>; the</w:t>
      </w:r>
      <w:r w:rsidR="000E3343">
        <w:t xml:space="preserve"> course of</w:t>
      </w:r>
      <w:r w:rsidR="00304B44">
        <w:t xml:space="preserve"> the</w:t>
      </w:r>
      <w:r w:rsidR="000E3343">
        <w:t xml:space="preserve"> action proves, in practice, to be more dangerous and slippery than the </w:t>
      </w:r>
      <w:r w:rsidR="00CC6D79">
        <w:t xml:space="preserve">singular or collective </w:t>
      </w:r>
      <w:r w:rsidR="000E3343">
        <w:t>protagonist had expected</w:t>
      </w:r>
      <w:r w:rsidR="00CC6D79">
        <w:t>; this requires modifications of amendments of the original plan</w:t>
      </w:r>
      <w:r w:rsidR="000E3343">
        <w:t xml:space="preserve">; </w:t>
      </w:r>
      <w:r w:rsidR="00CC6D79">
        <w:t>and the action</w:t>
      </w:r>
      <w:r w:rsidR="00486F8A">
        <w:t xml:space="preserve"> </w:t>
      </w:r>
      <w:r w:rsidR="000E3343">
        <w:t xml:space="preserve">ultimately </w:t>
      </w:r>
      <w:r w:rsidR="00CC6D79">
        <w:t>leads to particular</w:t>
      </w:r>
      <w:r w:rsidR="00A23CFF">
        <w:t xml:space="preserve"> consequences</w:t>
      </w:r>
      <w:r w:rsidR="00CC6D79">
        <w:t>, many</w:t>
      </w:r>
      <w:r w:rsidR="000E3343">
        <w:t xml:space="preserve"> (often unexpected)</w:t>
      </w:r>
      <w:r w:rsidR="00A23CFF">
        <w:t>.</w:t>
      </w:r>
      <w:r w:rsidR="00304B44">
        <w:t xml:space="preserve"> The entire sequence</w:t>
      </w:r>
      <w:r w:rsidR="00BA0499">
        <w:t xml:space="preserve">, from the </w:t>
      </w:r>
      <w:r w:rsidR="00BA0499">
        <w:lastRenderedPageBreak/>
        <w:t>description of the world before the deed to the description of the world afterwards,</w:t>
      </w:r>
      <w:r w:rsidR="00304B44">
        <w:t xml:space="preserve"> constitutes the narrative.</w:t>
      </w:r>
      <w:r w:rsidR="00A23CFF">
        <w:t xml:space="preserve"> </w:t>
      </w:r>
      <w:r w:rsidR="00C62C96">
        <w:t xml:space="preserve"> </w:t>
      </w:r>
    </w:p>
    <w:p w:rsidR="00486F8A" w:rsidRDefault="00FC66BC" w:rsidP="00FC66BC">
      <w:pPr>
        <w:spacing w:line="480" w:lineRule="auto"/>
        <w:ind w:firstLine="720"/>
      </w:pPr>
      <w:r>
        <w:t>According to Ricoeur</w:t>
      </w:r>
      <w:r w:rsidR="00486F8A">
        <w:t>, a term</w:t>
      </w:r>
      <w:r w:rsidR="00BA0499">
        <w:t>, phrase, exhortation,</w:t>
      </w:r>
      <w:r w:rsidR="00486F8A">
        <w:t xml:space="preserve"> or</w:t>
      </w:r>
      <w:r w:rsidR="00BA0499">
        <w:t xml:space="preserve"> seemingly non-committal expository</w:t>
      </w:r>
      <w:r w:rsidR="00486F8A">
        <w:t xml:space="preserve"> sentence (say, “The dragon is 20 m</w:t>
      </w:r>
      <w:r w:rsidR="00BA0499">
        <w:t>eters long.”) acquires</w:t>
      </w:r>
      <w:r w:rsidR="00486F8A">
        <w:t xml:space="preserve"> significance </w:t>
      </w:r>
      <w:r>
        <w:t>for an actor because</w:t>
      </w:r>
      <w:r w:rsidR="00486F8A">
        <w:t xml:space="preserve"> of its relationship to an underlying and half-hidden broader tale (say, a story about a knight </w:t>
      </w:r>
      <w:r>
        <w:t>deciding to defend</w:t>
      </w:r>
      <w:r w:rsidR="000E3343">
        <w:t xml:space="preserve"> his </w:t>
      </w:r>
      <w:r>
        <w:t xml:space="preserve">ailing </w:t>
      </w:r>
      <w:r w:rsidR="000E3343">
        <w:t>father’s castle)</w:t>
      </w:r>
      <w:r w:rsidR="00304B44">
        <w:t xml:space="preserve"> that the actor takes seriously</w:t>
      </w:r>
      <w:r w:rsidR="000E3343">
        <w:t>.</w:t>
      </w:r>
      <w:r w:rsidR="00486F8A">
        <w:t xml:space="preserve"> If the analyst does not know th</w:t>
      </w:r>
      <w:r w:rsidR="00304B44">
        <w:t>e implicit</w:t>
      </w:r>
      <w:r w:rsidR="00486F8A">
        <w:t xml:space="preserve"> tale, then she or he will be unable to fathom the </w:t>
      </w:r>
      <w:r>
        <w:t xml:space="preserve">logic that generates the </w:t>
      </w:r>
      <w:r w:rsidR="00486F8A">
        <w:t xml:space="preserve">actor’s </w:t>
      </w:r>
      <w:r w:rsidR="008B5879">
        <w:t>emotions, expectations</w:t>
      </w:r>
      <w:r>
        <w:t>, and wishes. T</w:t>
      </w:r>
      <w:r w:rsidR="008B5879">
        <w:t xml:space="preserve">he author’s </w:t>
      </w:r>
      <w:r>
        <w:t>meaning,</w:t>
      </w:r>
      <w:r w:rsidR="008B5879">
        <w:t xml:space="preserve"> </w:t>
      </w:r>
      <w:r w:rsidR="00304B44">
        <w:t>when uttering</w:t>
      </w:r>
      <w:r w:rsidR="00486F8A">
        <w:t xml:space="preserve"> a concept, name, sentence, or word</w:t>
      </w:r>
      <w:r>
        <w:t>, will elude the analyst’s comprehension</w:t>
      </w:r>
      <w:r w:rsidR="00486F8A">
        <w:t>.</w:t>
      </w:r>
    </w:p>
    <w:p w:rsidR="00486F8A" w:rsidRDefault="00486F8A">
      <w:pPr>
        <w:spacing w:line="480" w:lineRule="auto"/>
        <w:ind w:firstLine="720"/>
      </w:pPr>
      <w:r>
        <w:t>Ricoeur</w:t>
      </w:r>
      <w:r w:rsidR="00FC66BC">
        <w:t>’s understanding</w:t>
      </w:r>
      <w:r w:rsidR="000E3343">
        <w:t xml:space="preserve"> of “narrative” diverges</w:t>
      </w:r>
      <w:r>
        <w:t xml:space="preserve"> from a set of related </w:t>
      </w:r>
      <w:r w:rsidR="00FC66BC">
        <w:t>notions,</w:t>
      </w:r>
      <w:r w:rsidR="00304B44">
        <w:t xml:space="preserve"> such as</w:t>
      </w:r>
      <w:r w:rsidR="008B5879">
        <w:t xml:space="preserve"> “framing” and “frames</w:t>
      </w:r>
      <w:r w:rsidR="00FC66BC">
        <w:t>,”</w:t>
      </w:r>
      <w:r>
        <w:t xml:space="preserve"> </w:t>
      </w:r>
      <w:r w:rsidR="00FC66BC">
        <w:t xml:space="preserve">currently </w:t>
      </w:r>
      <w:r>
        <w:t>popular among social scient</w:t>
      </w:r>
      <w:r w:rsidR="008B5879">
        <w:t>ists who approach</w:t>
      </w:r>
      <w:r w:rsidR="000E3343">
        <w:t xml:space="preserve"> </w:t>
      </w:r>
      <w:r>
        <w:t>politics</w:t>
      </w:r>
      <w:r w:rsidR="000E3343">
        <w:t xml:space="preserve"> from a cultural perspe</w:t>
      </w:r>
      <w:r w:rsidR="008B5879">
        <w:t xml:space="preserve">ctive. </w:t>
      </w:r>
      <w:r>
        <w:t>As Judith Butler points out, framing and frame refer to attempts to fix a</w:t>
      </w:r>
      <w:r w:rsidR="000E3343">
        <w:t xml:space="preserve">nd bound one’s use of reality. </w:t>
      </w:r>
      <w:r>
        <w:t xml:space="preserve">In a painting, a movie, or a photograph, the edges of the frame lop off certain possibilities </w:t>
      </w:r>
      <w:r w:rsidR="000E3343">
        <w:t xml:space="preserve">from the view of the audience. </w:t>
      </w:r>
      <w:r>
        <w:t>One’s understanding is restricted, and one’s likely conduct is thus limited.</w:t>
      </w:r>
      <w:r>
        <w:rPr>
          <w:rStyle w:val="FootnoteReference"/>
        </w:rPr>
        <w:footnoteReference w:id="4"/>
      </w:r>
      <w:r w:rsidR="000E3343">
        <w:t xml:space="preserve"> </w:t>
      </w:r>
      <w:r>
        <w:t xml:space="preserve">Butler’s understanding is congruent with Erving Goffman’s </w:t>
      </w:r>
      <w:r w:rsidR="00304B44">
        <w:t xml:space="preserve">older </w:t>
      </w:r>
      <w:r>
        <w:t>psycho-sociological sense of framing</w:t>
      </w:r>
      <w:r w:rsidR="008B5879">
        <w:t>,</w:t>
      </w:r>
      <w:r>
        <w:t xml:space="preserve"> as a type of behavior modification induced by systemat</w:t>
      </w:r>
      <w:r w:rsidR="000E3343">
        <w:t>ic threats and personal pain. According to Goffman, o</w:t>
      </w:r>
      <w:r>
        <w:t xml:space="preserve">ne learns via punishment the proper way of responding to </w:t>
      </w:r>
      <w:r>
        <w:lastRenderedPageBreak/>
        <w:t>a standard social situation (say, greeting a pesky neighbor at a funeral) and is dissuaded from unseemly behavior.</w:t>
      </w:r>
      <w:r>
        <w:rPr>
          <w:rStyle w:val="FootnoteReference"/>
        </w:rPr>
        <w:footnoteReference w:id="5"/>
      </w:r>
      <w:r>
        <w:t xml:space="preserve">  </w:t>
      </w:r>
    </w:p>
    <w:p w:rsidR="00486F8A" w:rsidRDefault="008B5879">
      <w:pPr>
        <w:spacing w:line="480" w:lineRule="auto"/>
        <w:ind w:firstLine="720"/>
      </w:pPr>
      <w:r>
        <w:t>Ricoeur, in contrast, sees a narrative</w:t>
      </w:r>
      <w:r w:rsidR="000E3343">
        <w:t xml:space="preserve"> as a verbal practice</w:t>
      </w:r>
      <w:r w:rsidR="00486F8A">
        <w:t xml:space="preserve"> that spurs, not in</w:t>
      </w:r>
      <w:r w:rsidR="000E3343">
        <w:t xml:space="preserve">hibits, action. </w:t>
      </w:r>
      <w:r w:rsidR="00486F8A">
        <w:t>In his opinion, the story of quest, obstructions, and heroism helps one discer</w:t>
      </w:r>
      <w:r w:rsidR="000E3343">
        <w:t xml:space="preserve">n options and inspires effort. </w:t>
      </w:r>
      <w:r w:rsidR="00486F8A">
        <w:t>Stated differently, Goffman and Butler see frames as rules about correct behavior and understanding that make social life predictable; frames condition us.</w:t>
      </w:r>
      <w:r w:rsidR="00486F8A">
        <w:rPr>
          <w:rStyle w:val="FootnoteReference"/>
        </w:rPr>
        <w:footnoteReference w:id="6"/>
      </w:r>
      <w:r w:rsidR="000E3343">
        <w:t xml:space="preserve"> </w:t>
      </w:r>
      <w:r w:rsidR="00486F8A">
        <w:t>For Ricoeur, narratives are stories about quests that inspire extraordinary, unpredictable action.</w:t>
      </w:r>
      <w:r w:rsidR="005F775C">
        <w:rPr>
          <w:rStyle w:val="FootnoteReference"/>
        </w:rPr>
        <w:footnoteReference w:id="7"/>
      </w:r>
      <w:r w:rsidR="00486F8A">
        <w:t xml:space="preserve">  </w:t>
      </w:r>
    </w:p>
    <w:p w:rsidR="008B5879" w:rsidRDefault="00304B44">
      <w:pPr>
        <w:spacing w:line="480" w:lineRule="auto"/>
        <w:ind w:firstLine="720"/>
      </w:pPr>
      <w:r>
        <w:t xml:space="preserve">The uncovering of a </w:t>
      </w:r>
      <w:r w:rsidR="00486F8A">
        <w:t>half-hidden</w:t>
      </w:r>
      <w:r>
        <w:t xml:space="preserve"> story</w:t>
      </w:r>
      <w:r w:rsidR="00486F8A">
        <w:t xml:space="preserve"> in a verbal utterance gets the anal</w:t>
      </w:r>
      <w:r w:rsidR="00577FB5">
        <w:t xml:space="preserve">yst only so far, Ricoeur adds. </w:t>
      </w:r>
      <w:r>
        <w:t>In his opinion, a researcher also</w:t>
      </w:r>
      <w:r w:rsidR="00486F8A">
        <w:t xml:space="preserve"> needs to locate the implicit narrative</w:t>
      </w:r>
      <w:r w:rsidR="008B5879">
        <w:t xml:space="preserve"> amid more widely held social</w:t>
      </w:r>
      <w:r w:rsidR="00486F8A">
        <w:t xml:space="preserve"> myths with which the political actor </w:t>
      </w:r>
      <w:r w:rsidR="00577FB5">
        <w:t>ha</w:t>
      </w:r>
      <w:r>
        <w:t>s been raised since infancy. Ricoe</w:t>
      </w:r>
      <w:r w:rsidR="00DA49E4">
        <w:t>ur</w:t>
      </w:r>
      <w:r>
        <w:t xml:space="preserve"> believes that</w:t>
      </w:r>
      <w:r w:rsidR="00577FB5">
        <w:t xml:space="preserve"> n</w:t>
      </w:r>
      <w:r w:rsidR="00486F8A">
        <w:t xml:space="preserve">arratives carry emotional wallop </w:t>
      </w:r>
      <w:r>
        <w:t xml:space="preserve">not for abstract aesthetic reasons, but </w:t>
      </w:r>
      <w:r w:rsidR="00486F8A">
        <w:t xml:space="preserve">because they resemble long-held tales that circulate within one’s community. </w:t>
      </w:r>
      <w:r>
        <w:t>These communal tales ceaseless tug at our imaginations and channel our feelings.</w:t>
      </w:r>
    </w:p>
    <w:p w:rsidR="008B5879" w:rsidRDefault="00DA49E4">
      <w:pPr>
        <w:spacing w:line="480" w:lineRule="auto"/>
        <w:ind w:firstLine="720"/>
      </w:pPr>
      <w:r>
        <w:t>Ricoeur</w:t>
      </w:r>
      <w:r w:rsidR="008B5879">
        <w:t xml:space="preserve"> </w:t>
      </w:r>
      <w:r>
        <w:t xml:space="preserve">avers that humans </w:t>
      </w:r>
      <w:r w:rsidR="008B5879">
        <w:t xml:space="preserve">embrace </w:t>
      </w:r>
      <w:r>
        <w:t xml:space="preserve">communal </w:t>
      </w:r>
      <w:r w:rsidR="008B5879">
        <w:t xml:space="preserve">myths partly for reasons of survival. </w:t>
      </w:r>
      <w:r>
        <w:t>Myths allow human beings, who have</w:t>
      </w:r>
      <w:r w:rsidR="00486F8A">
        <w:t xml:space="preserve"> physical bodies </w:t>
      </w:r>
      <w:r w:rsidR="00577FB5">
        <w:t xml:space="preserve">that need </w:t>
      </w:r>
      <w:r w:rsidR="00486F8A">
        <w:t xml:space="preserve">to </w:t>
      </w:r>
      <w:r w:rsidR="00577FB5">
        <w:t xml:space="preserve">be </w:t>
      </w:r>
      <w:r>
        <w:lastRenderedPageBreak/>
        <w:t xml:space="preserve">maintained and </w:t>
      </w:r>
      <w:r w:rsidR="00486F8A">
        <w:t>protect</w:t>
      </w:r>
      <w:r w:rsidR="00577FB5">
        <w:t>ed</w:t>
      </w:r>
      <w:r w:rsidR="00486F8A">
        <w:t>, to make sense of the challeng</w:t>
      </w:r>
      <w:r w:rsidR="00577FB5">
        <w:t>es and tasks that surround us.</w:t>
      </w:r>
      <w:r>
        <w:t xml:space="preserve"> Myths teach people </w:t>
      </w:r>
      <w:r w:rsidR="00486F8A">
        <w:t>how to</w:t>
      </w:r>
      <w:r>
        <w:t xml:space="preserve"> identify dangers, </w:t>
      </w:r>
      <w:r w:rsidR="00486F8A">
        <w:t>prioritize</w:t>
      </w:r>
      <w:r>
        <w:t xml:space="preserve"> goals, </w:t>
      </w:r>
      <w:r w:rsidR="00577FB5">
        <w:t>recognize evils</w:t>
      </w:r>
      <w:r>
        <w:t>, and seek safety</w:t>
      </w:r>
      <w:r w:rsidR="00577FB5">
        <w:t xml:space="preserve">. </w:t>
      </w:r>
    </w:p>
    <w:p w:rsidR="00486F8A" w:rsidRDefault="00486F8A">
      <w:pPr>
        <w:spacing w:line="480" w:lineRule="auto"/>
        <w:ind w:firstLine="720"/>
      </w:pPr>
      <w:r>
        <w:t>In addition, we are taught myths since infancy for a soci</w:t>
      </w:r>
      <w:r w:rsidR="00824F07">
        <w:t>etally</w:t>
      </w:r>
      <w:r w:rsidR="00577FB5">
        <w:t xml:space="preserve"> functional reason. </w:t>
      </w:r>
      <w:r w:rsidR="008B5879">
        <w:t>According to Ricoeur, h</w:t>
      </w:r>
      <w:r>
        <w:t>umans, to survive and pro</w:t>
      </w:r>
      <w:r w:rsidR="00577FB5">
        <w:t xml:space="preserve">sper, </w:t>
      </w:r>
      <w:r w:rsidR="002B354B">
        <w:t xml:space="preserve">necessarily </w:t>
      </w:r>
      <w:r w:rsidR="00577FB5">
        <w:t xml:space="preserve">live in social settings. </w:t>
      </w:r>
      <w:r>
        <w:t>A durable social setting requires shared norms among members (so that life is predictable) and deep sentiments o</w:t>
      </w:r>
      <w:r w:rsidR="00577FB5">
        <w:t>f mutual loyalty and gratitude.</w:t>
      </w:r>
      <w:r w:rsidR="003D7C3D">
        <w:t xml:space="preserve"> S</w:t>
      </w:r>
      <w:r w:rsidR="00DA49E4">
        <w:t>hared myth</w:t>
      </w:r>
      <w:r w:rsidR="003D7C3D">
        <w:t>s recall and thereby</w:t>
      </w:r>
      <w:r w:rsidR="00DA49E4">
        <w:t xml:space="preserve"> </w:t>
      </w:r>
      <w:r>
        <w:t>perpetuate the shared norms necessary for collective existence.</w:t>
      </w:r>
      <w:r>
        <w:rPr>
          <w:rStyle w:val="FootnoteReference"/>
        </w:rPr>
        <w:footnoteReference w:id="8"/>
      </w:r>
      <w:r w:rsidR="002B354B">
        <w:t xml:space="preserve"> </w:t>
      </w:r>
      <w:r w:rsidR="00DA49E4">
        <w:t xml:space="preserve">Through </w:t>
      </w:r>
      <w:r w:rsidR="003D7C3D">
        <w:t xml:space="preserve">their community’s </w:t>
      </w:r>
      <w:r w:rsidR="00DA49E4">
        <w:t>stories about legendary actors</w:t>
      </w:r>
      <w:r w:rsidR="003D7C3D">
        <w:t xml:space="preserve"> and grand deeds, humans</w:t>
      </w:r>
      <w:r w:rsidR="00DA49E4">
        <w:t xml:space="preserve"> acquire images of virtues and motivations to be brave, steadfast, just, and so forth. </w:t>
      </w:r>
      <w:r w:rsidR="002B354B">
        <w:t xml:space="preserve">Without a shared myth, which describes the world’s dangers and </w:t>
      </w:r>
      <w:r w:rsidR="00DA49E4">
        <w:t xml:space="preserve">prescribes </w:t>
      </w:r>
      <w:r w:rsidR="002B354B">
        <w:t>way</w:t>
      </w:r>
      <w:r w:rsidR="00DA49E4">
        <w:t>s of dealing</w:t>
      </w:r>
      <w:r w:rsidR="002B354B">
        <w:t xml:space="preserve"> with those concerns, humans would not feel at home wit</w:t>
      </w:r>
      <w:r w:rsidR="00DA49E4">
        <w:t>h others (because they would never</w:t>
      </w:r>
      <w:r w:rsidR="002B354B">
        <w:t xml:space="preserve"> know the emotions, priorities, and norms that others </w:t>
      </w:r>
      <w:r w:rsidR="00DA49E4">
        <w:t xml:space="preserve">in the community </w:t>
      </w:r>
      <w:r w:rsidR="002B354B">
        <w:t xml:space="preserve">treat as sacred). </w:t>
      </w:r>
    </w:p>
    <w:p w:rsidR="00BA0499" w:rsidRDefault="003D7C3D" w:rsidP="003D7C3D">
      <w:pPr>
        <w:spacing w:line="480" w:lineRule="auto"/>
        <w:ind w:firstLine="720"/>
      </w:pPr>
      <w:r>
        <w:t>Therefore</w:t>
      </w:r>
      <w:r w:rsidR="00486F8A">
        <w:t xml:space="preserve">, to understand the political message </w:t>
      </w:r>
      <w:r>
        <w:t xml:space="preserve">embedded </w:t>
      </w:r>
      <w:r w:rsidR="00486F8A">
        <w:t xml:space="preserve">in any </w:t>
      </w:r>
      <w:r w:rsidR="002B354B">
        <w:t xml:space="preserve">written or spoken </w:t>
      </w:r>
      <w:r w:rsidR="00486F8A">
        <w:t>utterance about politics, a research</w:t>
      </w:r>
      <w:r>
        <w:t>er must consult</w:t>
      </w:r>
      <w:r w:rsidR="00577FB5">
        <w:t xml:space="preserve"> the</w:t>
      </w:r>
      <w:r>
        <w:t xml:space="preserve"> writer’s or speaker’s</w:t>
      </w:r>
      <w:r w:rsidR="00577FB5">
        <w:t xml:space="preserve"> narrative</w:t>
      </w:r>
      <w:r>
        <w:t xml:space="preserve"> </w:t>
      </w:r>
      <w:r>
        <w:lastRenderedPageBreak/>
        <w:t>heritage – that is,</w:t>
      </w:r>
      <w:r w:rsidR="00577FB5">
        <w:t xml:space="preserve"> the narrative</w:t>
      </w:r>
      <w:r w:rsidR="002B354B">
        <w:t>s</w:t>
      </w:r>
      <w:r w:rsidR="00577FB5">
        <w:t xml:space="preserve"> </w:t>
      </w:r>
      <w:r>
        <w:t>that are prevalent within</w:t>
      </w:r>
      <w:r w:rsidR="00AA52B1">
        <w:t xml:space="preserve"> </w:t>
      </w:r>
      <w:r w:rsidR="00577FB5">
        <w:t>the speaker’s</w:t>
      </w:r>
      <w:r w:rsidR="00486F8A">
        <w:t xml:space="preserve"> </w:t>
      </w:r>
      <w:r w:rsidR="00AA52B1">
        <w:t>community</w:t>
      </w:r>
      <w:r w:rsidR="00577FB5">
        <w:t>.</w:t>
      </w:r>
      <w:r w:rsidR="00486F8A">
        <w:t xml:space="preserve"> Even this is no</w:t>
      </w:r>
      <w:r w:rsidR="00577FB5">
        <w:t>t enough, Ricoeur quickly adds.</w:t>
      </w:r>
      <w:r w:rsidR="00486F8A">
        <w:t xml:space="preserve"> Before </w:t>
      </w:r>
      <w:r>
        <w:t>an analyst can feeling confident</w:t>
      </w:r>
      <w:r w:rsidR="00486F8A">
        <w:t xml:space="preserve"> that </w:t>
      </w:r>
      <w:r>
        <w:t xml:space="preserve">she or he </w:t>
      </w:r>
      <w:r w:rsidR="00486F8A">
        <w:t xml:space="preserve">one has a solid understanding of an interlocutor’s vision, </w:t>
      </w:r>
      <w:r>
        <w:t>the</w:t>
      </w:r>
      <w:r w:rsidR="00577FB5">
        <w:t xml:space="preserve"> researcher must take </w:t>
      </w:r>
      <w:r w:rsidR="00486F8A">
        <w:t>a thir</w:t>
      </w:r>
      <w:r w:rsidR="00577FB5">
        <w:t xml:space="preserve">d methodological </w:t>
      </w:r>
      <w:r>
        <w:t>step. The researcher</w:t>
      </w:r>
      <w:r w:rsidR="004A7F1D">
        <w:t xml:space="preserve"> must reflect on</w:t>
      </w:r>
      <w:r>
        <w:t xml:space="preserve"> the history of the speaker’s or writer’s community,</w:t>
      </w:r>
      <w:r w:rsidR="004A7F1D">
        <w:t xml:space="preserve"> </w:t>
      </w:r>
      <w:r w:rsidR="00486F8A">
        <w:t>and consider aspects of th</w:t>
      </w:r>
      <w:r w:rsidR="004A7F1D">
        <w:t xml:space="preserve">at history that the interlocutor may </w:t>
      </w:r>
      <w:r w:rsidR="002B354B">
        <w:t xml:space="preserve">be </w:t>
      </w:r>
      <w:r>
        <w:t>trying</w:t>
      </w:r>
      <w:r w:rsidR="004A7F1D">
        <w:t xml:space="preserve"> to avoid, deny, or whitewash.</w:t>
      </w:r>
      <w:r>
        <w:t xml:space="preserve"> In other words, a researcher</w:t>
      </w:r>
      <w:r w:rsidR="00486F8A">
        <w:t xml:space="preserve"> should never </w:t>
      </w:r>
      <w:r>
        <w:t xml:space="preserve">view </w:t>
      </w:r>
      <w:r w:rsidR="00486F8A">
        <w:t>the</w:t>
      </w:r>
      <w:r>
        <w:t xml:space="preserve"> </w:t>
      </w:r>
      <w:r w:rsidR="00486F8A">
        <w:t>declarations and pronouncements of a person</w:t>
      </w:r>
      <w:r>
        <w:t xml:space="preserve"> or group as an uninhibited revelation</w:t>
      </w:r>
      <w:r w:rsidR="00486F8A">
        <w:t>.</w:t>
      </w:r>
      <w:r w:rsidR="00486F8A">
        <w:rPr>
          <w:rStyle w:val="FootnoteReference"/>
        </w:rPr>
        <w:footnoteReference w:id="9"/>
      </w:r>
      <w:r w:rsidR="00824F07">
        <w:t xml:space="preserve"> </w:t>
      </w:r>
      <w:r w:rsidR="00BD2539">
        <w:t>Paul Kearney, one of Ric</w:t>
      </w:r>
      <w:r w:rsidR="002B354B">
        <w:t xml:space="preserve">ouer’s </w:t>
      </w:r>
      <w:r w:rsidR="00BD2539">
        <w:t xml:space="preserve">former students, </w:t>
      </w:r>
      <w:r w:rsidR="002B354B">
        <w:t>summarizes Ricoeur’s position through the epigram</w:t>
      </w:r>
      <w:r w:rsidR="004E15BA">
        <w:t xml:space="preserve"> “narrative memories are never innocent.”</w:t>
      </w:r>
      <w:r w:rsidR="00BD2539">
        <w:rPr>
          <w:rStyle w:val="FootnoteReference"/>
        </w:rPr>
        <w:footnoteReference w:id="10"/>
      </w:r>
      <w:r w:rsidR="004E15BA">
        <w:t xml:space="preserve"> </w:t>
      </w:r>
    </w:p>
    <w:p w:rsidR="00486F8A" w:rsidRDefault="00BA0499" w:rsidP="003D7C3D">
      <w:pPr>
        <w:spacing w:line="480" w:lineRule="auto"/>
        <w:ind w:firstLine="720"/>
      </w:pPr>
      <w:r>
        <w:t>According to Ricoeur, h</w:t>
      </w:r>
      <w:r w:rsidR="00486F8A">
        <w:t>umans – for reasons of profound shame, c</w:t>
      </w:r>
      <w:r w:rsidR="003D7C3D">
        <w:t>alculations of material advantage</w:t>
      </w:r>
      <w:r w:rsidR="00486F8A">
        <w:t>, and smoldering, indignant anger about power inequalities – assiduousl</w:t>
      </w:r>
      <w:r w:rsidR="002B354B">
        <w:t xml:space="preserve">y hide a portion of their </w:t>
      </w:r>
      <w:r w:rsidR="00486F8A">
        <w:t>motivations and beliefs from outsiders, inclu</w:t>
      </w:r>
      <w:r w:rsidR="00F531D1">
        <w:t xml:space="preserve">ding scientific investigators. </w:t>
      </w:r>
      <w:r w:rsidR="003D7C3D">
        <w:t>To discern the</w:t>
      </w:r>
      <w:r w:rsidR="00486F8A">
        <w:t xml:space="preserve"> political vision</w:t>
      </w:r>
      <w:r w:rsidR="003D7C3D">
        <w:t xml:space="preserve"> o</w:t>
      </w:r>
      <w:r w:rsidR="00DE688E">
        <w:t>f a person or a group, an investigator</w:t>
      </w:r>
      <w:r w:rsidR="003D7C3D">
        <w:t xml:space="preserve"> must</w:t>
      </w:r>
      <w:r w:rsidR="00486F8A">
        <w:t xml:space="preserve"> consider possible hidden agendas from two additional s</w:t>
      </w:r>
      <w:r w:rsidR="00DE688E">
        <w:t>ets of information: (1)</w:t>
      </w:r>
      <w:r w:rsidR="00486F8A">
        <w:t xml:space="preserve"> past acts </w:t>
      </w:r>
      <w:r w:rsidR="00DE688E">
        <w:t xml:space="preserve">by the speaker’s community </w:t>
      </w:r>
      <w:r w:rsidR="00486F8A">
        <w:t xml:space="preserve">(what harmful deeds, material interests, and power inequalities might be the actor be </w:t>
      </w:r>
      <w:r w:rsidR="00DE688E">
        <w:t xml:space="preserve">intentionally camouflaging?), and (2) </w:t>
      </w:r>
      <w:r w:rsidR="00486F8A">
        <w:t>the ways that the political actor, when describing contempo</w:t>
      </w:r>
      <w:r w:rsidR="00DE688E">
        <w:t xml:space="preserve">rary public affairs, modifies her or his </w:t>
      </w:r>
      <w:r w:rsidR="00486F8A">
        <w:t>community’s shared myths about heroism, hero</w:t>
      </w:r>
      <w:r w:rsidR="00DE688E">
        <w:t>ic actions, and evil threats</w:t>
      </w:r>
      <w:r w:rsidR="00486F8A">
        <w:t>.</w:t>
      </w:r>
      <w:r w:rsidR="00F531D1">
        <w:t xml:space="preserve"> </w:t>
      </w:r>
      <w:r w:rsidR="00AC6FD9">
        <w:t>In other words</w:t>
      </w:r>
      <w:r w:rsidR="00DE688E">
        <w:t xml:space="preserve">, how does the writer or speaker, whose meaning the analyst is </w:t>
      </w:r>
      <w:r w:rsidR="00DE688E">
        <w:lastRenderedPageBreak/>
        <w:t>trying to grasp, apply the community’s “Grand Narrative” –</w:t>
      </w:r>
      <w:r w:rsidR="00AC6FD9">
        <w:t xml:space="preserve"> or</w:t>
      </w:r>
      <w:r w:rsidR="00DE688E">
        <w:t xml:space="preserve"> the set of stories with which the community’s leaders routinely r</w:t>
      </w:r>
      <w:r w:rsidR="00AC6FD9">
        <w:t xml:space="preserve">ationalize social arrangements </w:t>
      </w:r>
      <w:r w:rsidR="00824F07">
        <w:t>and justify acts</w:t>
      </w:r>
      <w:r w:rsidR="00F531D1">
        <w:t xml:space="preserve"> of oppression within and outside its borders</w:t>
      </w:r>
      <w:r w:rsidR="00AC6FD9">
        <w:t>?</w:t>
      </w:r>
      <w:r w:rsidR="00F531D1">
        <w:rPr>
          <w:rStyle w:val="FootnoteReference"/>
        </w:rPr>
        <w:footnoteReference w:id="11"/>
      </w:r>
      <w:r w:rsidR="00824F07">
        <w:t xml:space="preserve"> </w:t>
      </w:r>
    </w:p>
    <w:p w:rsidR="00486F8A" w:rsidRDefault="00AC6FD9" w:rsidP="00AC6FD9">
      <w:pPr>
        <w:spacing w:line="480" w:lineRule="auto"/>
        <w:ind w:firstLine="720"/>
      </w:pPr>
      <w:r>
        <w:t xml:space="preserve">Using </w:t>
      </w:r>
      <w:r w:rsidR="00486F8A">
        <w:t>Ricoeur’s</w:t>
      </w:r>
      <w:r>
        <w:t xml:space="preserve"> advice, the remainder of this paper looks at </w:t>
      </w:r>
      <w:r w:rsidR="00486F8A">
        <w:t xml:space="preserve">news stories </w:t>
      </w:r>
      <w:r>
        <w:t>about apparent</w:t>
      </w:r>
      <w:r w:rsidR="00486F8A">
        <w:t xml:space="preserve"> electoral fraud</w:t>
      </w:r>
      <w:r w:rsidRPr="00AC6FD9">
        <w:t xml:space="preserve"> </w:t>
      </w:r>
      <w:r>
        <w:t>during Iran’s 2009 presidential election, popular demonstrations sparked by the fraud, and</w:t>
      </w:r>
      <w:r w:rsidR="00486F8A">
        <w:t xml:space="preserve"> subsequent government repression</w:t>
      </w:r>
      <w:r>
        <w:t>.</w:t>
      </w:r>
      <w:r w:rsidR="004E15BA">
        <w:t xml:space="preserve"> </w:t>
      </w:r>
      <w:r w:rsidR="00486F8A">
        <w:t xml:space="preserve">The paper focuses on reports in the </w:t>
      </w:r>
      <w:r w:rsidR="00486F8A">
        <w:rPr>
          <w:u w:val="single"/>
        </w:rPr>
        <w:t>New York Times</w:t>
      </w:r>
      <w:r w:rsidR="00486F8A">
        <w:t xml:space="preserve"> (hereon to be referred to simply as the </w:t>
      </w:r>
      <w:r w:rsidR="00486F8A">
        <w:rPr>
          <w:u w:val="single"/>
        </w:rPr>
        <w:t>Times</w:t>
      </w:r>
      <w:r w:rsidR="00A35617">
        <w:t>) partly because it has been a frequently</w:t>
      </w:r>
      <w:r w:rsidR="00486F8A">
        <w:t xml:space="preserve"> cited news source among American citizens interested in and working within the Washington Beltway and within the</w:t>
      </w:r>
      <w:r w:rsidR="00A35617">
        <w:t xml:space="preserve"> New York-Washington Corridor. </w:t>
      </w:r>
      <w:r w:rsidR="00486F8A">
        <w:t xml:space="preserve">So, one </w:t>
      </w:r>
      <w:r w:rsidR="00A35617">
        <w:t>can assume that</w:t>
      </w:r>
      <w:r>
        <w:t xml:space="preserve"> U.S. citizens who thought about events in Iran were pondering</w:t>
      </w:r>
      <w:r w:rsidR="00A35617">
        <w:t xml:space="preserve"> the </w:t>
      </w:r>
      <w:r w:rsidR="00A35617" w:rsidRPr="00A35617">
        <w:rPr>
          <w:u w:val="single"/>
        </w:rPr>
        <w:t>Times</w:t>
      </w:r>
      <w:r w:rsidR="00A35617">
        <w:t>’ rendering of events in Iran</w:t>
      </w:r>
      <w:r w:rsidR="00486F8A">
        <w:t xml:space="preserve"> </w:t>
      </w:r>
      <w:r>
        <w:t>(which, interestingly, was seldom challenged by other major news outlets in the United States</w:t>
      </w:r>
      <w:r w:rsidR="00A35617">
        <w:t>)</w:t>
      </w:r>
      <w:r>
        <w:t xml:space="preserve">. </w:t>
      </w:r>
      <w:r w:rsidR="00486F8A">
        <w:t>Following Ricoeur</w:t>
      </w:r>
      <w:r w:rsidR="008027A8">
        <w:t>’s recommendations, the paper</w:t>
      </w:r>
      <w:r w:rsidR="00486F8A">
        <w:t xml:space="preserve"> does not abstractly count the journalists’ utterances and </w:t>
      </w:r>
      <w:r w:rsidR="00A35617">
        <w:t xml:space="preserve">then discuss numeric patterns. </w:t>
      </w:r>
      <w:r w:rsidR="00486F8A">
        <w:t xml:space="preserve">Instead, </w:t>
      </w:r>
      <w:r w:rsidR="008027A8">
        <w:t xml:space="preserve">it </w:t>
      </w:r>
      <w:r w:rsidR="00486F8A">
        <w:t>first summ</w:t>
      </w:r>
      <w:r w:rsidR="008027A8">
        <w:t xml:space="preserve">arizes some recurrent empirical claims </w:t>
      </w:r>
      <w:r w:rsidR="00A35617">
        <w:t>in</w:t>
      </w:r>
      <w:r w:rsidR="008027A8">
        <w:t xml:space="preserve"> the</w:t>
      </w:r>
      <w:r w:rsidR="00A35617">
        <w:t xml:space="preserve"> correspondents’ reports. </w:t>
      </w:r>
      <w:r w:rsidR="00486F8A">
        <w:t>Then it draws parallels between the narratives to traditional myths o</w:t>
      </w:r>
      <w:r w:rsidR="004A7696">
        <w:t xml:space="preserve">f America’s national founding. </w:t>
      </w:r>
      <w:r w:rsidR="00486F8A">
        <w:t>Finally, the pap</w:t>
      </w:r>
      <w:r w:rsidR="004A7696">
        <w:t>er, after recalling some intense policy debates and social worries in the United States at the time of the Iranian protests</w:t>
      </w:r>
      <w:r w:rsidR="00486F8A">
        <w:t>, considers</w:t>
      </w:r>
      <w:r w:rsidR="008027A8">
        <w:t xml:space="preserve"> the ways that the </w:t>
      </w:r>
      <w:r w:rsidR="00486F8A">
        <w:t xml:space="preserve">reports </w:t>
      </w:r>
      <w:r w:rsidR="008027A8">
        <w:t>enabled Americans</w:t>
      </w:r>
      <w:r w:rsidR="00486F8A">
        <w:t xml:space="preserve"> to avoid </w:t>
      </w:r>
      <w:r w:rsidR="008027A8">
        <w:t xml:space="preserve">thinking about their own </w:t>
      </w:r>
      <w:r w:rsidR="008027A8">
        <w:lastRenderedPageBreak/>
        <w:t>community’s political-economic circumstances and its own potentially embarrassing past</w:t>
      </w:r>
      <w:r w:rsidR="00486F8A">
        <w:t>.</w:t>
      </w:r>
    </w:p>
    <w:p w:rsidR="00486F8A" w:rsidRDefault="00486F8A">
      <w:pPr>
        <w:spacing w:line="480" w:lineRule="auto"/>
      </w:pPr>
    </w:p>
    <w:p w:rsidR="00486F8A" w:rsidRDefault="00486F8A">
      <w:pPr>
        <w:pStyle w:val="Footer"/>
        <w:tabs>
          <w:tab w:val="clear" w:pos="4320"/>
          <w:tab w:val="clear" w:pos="8640"/>
          <w:tab w:val="left" w:pos="720"/>
        </w:tabs>
        <w:spacing w:line="480" w:lineRule="auto"/>
      </w:pPr>
      <w:r>
        <w:t>II.</w:t>
      </w:r>
      <w:r w:rsidR="008027A8">
        <w:tab/>
        <w:t>Statements</w:t>
      </w:r>
      <w:r>
        <w:t xml:space="preserve"> about Iran</w:t>
      </w:r>
      <w:r w:rsidR="004A7696">
        <w:t xml:space="preserve"> b</w:t>
      </w:r>
      <w:r>
        <w:t>efore the Elections</w:t>
      </w:r>
    </w:p>
    <w:p w:rsidR="00486F8A" w:rsidRDefault="00486F8A">
      <w:pPr>
        <w:spacing w:line="480" w:lineRule="auto"/>
      </w:pPr>
      <w:r>
        <w:t xml:space="preserve">The </w:t>
      </w:r>
      <w:r>
        <w:rPr>
          <w:u w:val="single"/>
        </w:rPr>
        <w:t>Times</w:t>
      </w:r>
      <w:r>
        <w:t xml:space="preserve"> published more than two hundred articles a</w:t>
      </w:r>
      <w:r w:rsidR="004A7696">
        <w:t xml:space="preserve">bout Iranian politics in 2009. </w:t>
      </w:r>
      <w:r>
        <w:t xml:space="preserve">The </w:t>
      </w:r>
      <w:r w:rsidR="008027A8">
        <w:t xml:space="preserve">frequency of coverage varied over the year. </w:t>
      </w:r>
      <w:r>
        <w:t>Prior to the election, the newspaper typically ran 3-to-6 news stories (including editorials and</w:t>
      </w:r>
      <w:r w:rsidR="004A7696">
        <w:t xml:space="preserve"> political analyses) per week. </w:t>
      </w:r>
      <w:r>
        <w:t>During the election week and the month that immediately followed, the newspaper</w:t>
      </w:r>
      <w:r w:rsidR="004A7696">
        <w:t xml:space="preserve"> ran 2-to-6 news stories a day.</w:t>
      </w:r>
      <w:r>
        <w:t xml:space="preserve"> In the months thereafter, coverage declined slightly, to about 1-to-2 stories a day.</w:t>
      </w:r>
    </w:p>
    <w:p w:rsidR="00486F8A" w:rsidRDefault="00486F8A">
      <w:pPr>
        <w:spacing w:line="480" w:lineRule="auto"/>
      </w:pPr>
      <w:r>
        <w:tab/>
        <w:t>Prior to the election, the news reports usually depicted Iran as a place of old-fashion and pre-modern cultural traditions, and as ruled by a headstrong and religiously puritanical president with little in</w:t>
      </w:r>
      <w:r w:rsidR="004A7696">
        <w:t>terest in scientific reasoning.</w:t>
      </w:r>
      <w:r>
        <w:t xml:space="preserve"> In addition, reporters often described rival class interests within the country and told of acts of intimidation and violence by non-government groups.  </w:t>
      </w:r>
    </w:p>
    <w:p w:rsidR="00486F8A" w:rsidRDefault="00486F8A" w:rsidP="008027A8">
      <w:pPr>
        <w:spacing w:line="480" w:lineRule="auto"/>
        <w:ind w:firstLine="720"/>
      </w:pPr>
      <w:r>
        <w:t xml:space="preserve">A story on October 13, 2008, for example, describes a nation-wide strike by merchants in </w:t>
      </w:r>
      <w:smartTag w:uri="urn:schemas-microsoft-com:office:smarttags" w:element="country-region">
        <w:smartTag w:uri="urn:schemas-microsoft-com:office:smarttags" w:element="place">
          <w:r>
            <w:t>Iran</w:t>
          </w:r>
        </w:smartTag>
      </w:smartTag>
      <w:r>
        <w:t>’s bazaars.</w:t>
      </w:r>
      <w:r>
        <w:rPr>
          <w:rStyle w:val="FootnoteReference"/>
        </w:rPr>
        <w:footnoteReference w:id="12"/>
      </w:r>
      <w:r w:rsidR="004A7696">
        <w:t xml:space="preserve"> </w:t>
      </w:r>
      <w:r>
        <w:t>The strike was a protest against an upcoming 3 percent sales tax legislated by the Iranian parliament – reportedly the first</w:t>
      </w:r>
      <w:r w:rsidR="004A7696">
        <w:t xml:space="preserve"> sales tax in Iranian history. </w:t>
      </w:r>
      <w:r>
        <w:t>The reporter’s account seems, on fir</w:t>
      </w:r>
      <w:r w:rsidR="008027A8">
        <w:t>st glance, to be about interest-</w:t>
      </w:r>
      <w:r>
        <w:t>g</w:t>
      </w:r>
      <w:r w:rsidR="004A7696">
        <w:t xml:space="preserve">roup politics and little else. </w:t>
      </w:r>
      <w:r w:rsidR="008027A8">
        <w:t>The report pointed out that Iran’s</w:t>
      </w:r>
      <w:r>
        <w:t xml:space="preserve"> elected legislature enacted the tax to generate revenues for public services (in particular, to fund public goods fo</w:t>
      </w:r>
      <w:r w:rsidR="004A7696">
        <w:t xml:space="preserve">r young and </w:t>
      </w:r>
      <w:r w:rsidR="004A7696">
        <w:lastRenderedPageBreak/>
        <w:t>unemployed adults).</w:t>
      </w:r>
      <w:r w:rsidR="008027A8">
        <w:t xml:space="preserve"> Striking shop owners we</w:t>
      </w:r>
      <w:r>
        <w:t>re depicted as not only self-i</w:t>
      </w:r>
      <w:r w:rsidR="008027A8">
        <w:t>nterested but also as bullies (a</w:t>
      </w:r>
      <w:r w:rsidR="004A7696">
        <w:t>llegedly, the</w:t>
      </w:r>
      <w:r w:rsidR="008027A8">
        <w:t xml:space="preserve"> few </w:t>
      </w:r>
      <w:r>
        <w:t>who did not want to close their business were physically threatened by neighboring merchants</w:t>
      </w:r>
      <w:r w:rsidR="008027A8">
        <w:t xml:space="preserve">). </w:t>
      </w:r>
      <w:r>
        <w:t>Equally prominent in the story was a seemingly tangential discussion the economic policies of</w:t>
      </w:r>
      <w:r w:rsidR="004A7696">
        <w:t xml:space="preserve"> President Mahmoud Ahmadinejad.</w:t>
      </w:r>
      <w:r>
        <w:t xml:space="preserve"> The discussion was tangential in the sense that it was not immediately relevant to the title of the article: “Tax Delay Fa</w:t>
      </w:r>
      <w:r w:rsidR="004A7696">
        <w:t xml:space="preserve">ils to Quell Iranian Protest.” </w:t>
      </w:r>
      <w:r>
        <w:t>The article purportedly was an account of striking merchants, not a discussion o</w:t>
      </w:r>
      <w:r w:rsidR="004A7696">
        <w:t xml:space="preserve">f </w:t>
      </w:r>
      <w:r w:rsidR="008027A8">
        <w:t>the president’s economic program</w:t>
      </w:r>
      <w:r w:rsidR="004A7696">
        <w:t>.</w:t>
      </w:r>
      <w:r>
        <w:t xml:space="preserve"> Yet at least a quarter of the art</w:t>
      </w:r>
      <w:r w:rsidR="00D67E87">
        <w:t>icle was devoted neither to Ahma</w:t>
      </w:r>
      <w:r>
        <w:t>dinejad’s order to delay the tax nor to the merchants’ strike, but to his economic vision since becoming president.</w:t>
      </w:r>
    </w:p>
    <w:p w:rsidR="00486F8A" w:rsidRDefault="008027A8">
      <w:pPr>
        <w:spacing w:line="480" w:lineRule="auto"/>
        <w:ind w:firstLine="720"/>
      </w:pPr>
      <w:r>
        <w:t>Allegedly, Ahmadinejad had pursued</w:t>
      </w:r>
      <w:r w:rsidR="00486F8A">
        <w:t xml:space="preserve"> a program of e</w:t>
      </w:r>
      <w:r w:rsidR="004A7696">
        <w:t>conomic reform that had angered</w:t>
      </w:r>
      <w:r w:rsidR="00486F8A">
        <w:t xml:space="preserve"> </w:t>
      </w:r>
      <w:r w:rsidR="004A7696">
        <w:t xml:space="preserve">all major sectors of </w:t>
      </w:r>
      <w:r w:rsidR="00486F8A">
        <w:t>the</w:t>
      </w:r>
      <w:r w:rsidR="004A7696">
        <w:t xml:space="preserve"> country’s bourgeoisie. </w:t>
      </w:r>
      <w:r w:rsidR="00486F8A">
        <w:t>Among other</w:t>
      </w:r>
      <w:r>
        <w:t xml:space="preserve"> things, he</w:t>
      </w:r>
      <w:r w:rsidR="00486F8A">
        <w:t xml:space="preserve"> had</w:t>
      </w:r>
      <w:r>
        <w:t xml:space="preserve"> terminated </w:t>
      </w:r>
      <w:r w:rsidR="00486F8A">
        <w:t xml:space="preserve">government subsidies to many </w:t>
      </w:r>
      <w:r>
        <w:t xml:space="preserve">private </w:t>
      </w:r>
      <w:r w:rsidR="00486F8A">
        <w:t>manufacturers, and then redistributed available government funds to non-wealthy citizens in the countrysid</w:t>
      </w:r>
      <w:r w:rsidR="004A7696">
        <w:t>e and poorer sectors of cities.</w:t>
      </w:r>
      <w:r>
        <w:t xml:space="preserve"> Journalists actions </w:t>
      </w:r>
      <w:r w:rsidR="00486F8A">
        <w:t xml:space="preserve">depicted </w:t>
      </w:r>
      <w:r>
        <w:t xml:space="preserve">the redistribution </w:t>
      </w:r>
      <w:r w:rsidR="00486F8A">
        <w:t xml:space="preserve">as </w:t>
      </w:r>
      <w:r>
        <w:t>economically misguided and irrational to boot</w:t>
      </w:r>
      <w:r w:rsidR="00486F8A">
        <w:t xml:space="preserve"> (the result of personal dislike of the wealthy</w:t>
      </w:r>
      <w:r>
        <w:t>)</w:t>
      </w:r>
      <w:r w:rsidR="004A7696">
        <w:t xml:space="preserve">. </w:t>
      </w:r>
      <w:r w:rsidR="00486F8A">
        <w:t>T</w:t>
      </w:r>
      <w:r w:rsidR="000D412B">
        <w:t>o substantiate these judgments, t</w:t>
      </w:r>
      <w:r w:rsidR="00486F8A">
        <w:t>he reporter</w:t>
      </w:r>
      <w:r>
        <w:t xml:space="preserve"> for the </w:t>
      </w:r>
      <w:r w:rsidRPr="008027A8">
        <w:rPr>
          <w:u w:val="single"/>
        </w:rPr>
        <w:t>Times</w:t>
      </w:r>
      <w:r w:rsidR="00486F8A">
        <w:t xml:space="preserve"> </w:t>
      </w:r>
      <w:r w:rsidR="000D412B">
        <w:t>(Nazila Fathi) quoted</w:t>
      </w:r>
      <w:r w:rsidR="004A7696">
        <w:t xml:space="preserve"> Iranian social scientists who fou</w:t>
      </w:r>
      <w:r w:rsidR="00486F8A">
        <w:t>nd the president’s ec</w:t>
      </w:r>
      <w:r w:rsidR="004A7696">
        <w:t>onomic vision empirical wrong-headed</w:t>
      </w:r>
      <w:r w:rsidR="000D412B">
        <w:t xml:space="preserve">. They maintained that </w:t>
      </w:r>
      <w:r w:rsidR="00486F8A">
        <w:t>both the cuts in subsidies</w:t>
      </w:r>
      <w:r w:rsidR="000D412B">
        <w:t xml:space="preserve"> to</w:t>
      </w:r>
      <w:r w:rsidR="00486F8A">
        <w:t xml:space="preserve"> the direct handou</w:t>
      </w:r>
      <w:r w:rsidR="000D412B">
        <w:t>ts spurred inflation, and</w:t>
      </w:r>
      <w:r w:rsidR="00486F8A">
        <w:t xml:space="preserve"> contend</w:t>
      </w:r>
      <w:r w:rsidR="004A7696">
        <w:t>ed that</w:t>
      </w:r>
      <w:r w:rsidR="00486F8A">
        <w:t xml:space="preserve"> </w:t>
      </w:r>
      <w:r w:rsidR="004A7696">
        <w:t xml:space="preserve">Ahmadinejad </w:t>
      </w:r>
      <w:r w:rsidR="00486F8A">
        <w:t>has succeeded in ali</w:t>
      </w:r>
      <w:r w:rsidR="004A7696">
        <w:t>enating all sectors of society.</w:t>
      </w:r>
      <w:r w:rsidR="00486F8A">
        <w:t xml:space="preserve"> The </w:t>
      </w:r>
      <w:r w:rsidR="000D412B">
        <w:t xml:space="preserve">article closes words </w:t>
      </w:r>
      <w:r w:rsidR="004A7696">
        <w:t>by</w:t>
      </w:r>
      <w:r w:rsidR="00486F8A">
        <w:t xml:space="preserve"> an Iranian social scientist: “No one feels safe in a situation where there is recession, inflation, une</w:t>
      </w:r>
      <w:r w:rsidR="004A7696">
        <w:t xml:space="preserve">mployment and economic crisis. </w:t>
      </w:r>
      <w:r w:rsidR="00486F8A">
        <w:t>All traders feel threatened.”</w:t>
      </w:r>
      <w:r w:rsidR="00486F8A">
        <w:rPr>
          <w:rStyle w:val="FootnoteReference"/>
        </w:rPr>
        <w:footnoteReference w:id="13"/>
      </w:r>
    </w:p>
    <w:p w:rsidR="00486F8A" w:rsidRDefault="00486F8A">
      <w:pPr>
        <w:spacing w:line="480" w:lineRule="auto"/>
      </w:pPr>
      <w:r>
        <w:lastRenderedPageBreak/>
        <w:tab/>
        <w:t xml:space="preserve">Until the eve of the election, the </w:t>
      </w:r>
      <w:r>
        <w:rPr>
          <w:u w:val="single"/>
        </w:rPr>
        <w:t>Times</w:t>
      </w:r>
      <w:r>
        <w:t xml:space="preserve"> c</w:t>
      </w:r>
      <w:r w:rsidR="00BA0499">
        <w:t>ontinued to portray</w:t>
      </w:r>
      <w:r>
        <w:t xml:space="preserve"> Iranian domestic politics against the back</w:t>
      </w:r>
      <w:r w:rsidR="00BA0499">
        <w:t>drop of the president’s pursuit</w:t>
      </w:r>
      <w:r>
        <w:t xml:space="preserve"> </w:t>
      </w:r>
      <w:r w:rsidR="00BA0499">
        <w:t xml:space="preserve">of </w:t>
      </w:r>
      <w:r>
        <w:t>economic reforms, and continue</w:t>
      </w:r>
      <w:r w:rsidR="00BA0499">
        <w:t>d to represent those reforms as unreasonable</w:t>
      </w:r>
      <w:r>
        <w:t xml:space="preserve"> f</w:t>
      </w:r>
      <w:r w:rsidR="004A7696">
        <w:t>rom an informed</w:t>
      </w:r>
      <w:r w:rsidR="00EF6AE3">
        <w:t>, scientific</w:t>
      </w:r>
      <w:r w:rsidR="00BA0499">
        <w:t xml:space="preserve"> point of view</w:t>
      </w:r>
      <w:r w:rsidR="004A7696">
        <w:t>.</w:t>
      </w:r>
      <w:r w:rsidR="00BA0499">
        <w:t xml:space="preserve"> In</w:t>
      </w:r>
      <w:r>
        <w:t xml:space="preserve"> “As Iran Gets R</w:t>
      </w:r>
      <w:r w:rsidR="00BA0499">
        <w:t>eady to Vote, Economy Dominates,</w:t>
      </w:r>
      <w:r>
        <w:t>”</w:t>
      </w:r>
      <w:r>
        <w:rPr>
          <w:rStyle w:val="FootnoteReference"/>
        </w:rPr>
        <w:footnoteReference w:id="14"/>
      </w:r>
      <w:r w:rsidR="00BA0499">
        <w:t xml:space="preserve"> the</w:t>
      </w:r>
      <w:r w:rsidR="00EF6AE3">
        <w:t xml:space="preserve"> correspondents note</w:t>
      </w:r>
      <w:r w:rsidR="00BA0499">
        <w:t>d</w:t>
      </w:r>
      <w:r>
        <w:t xml:space="preserve"> that some sectors of society (especially the rural poor, young married couples</w:t>
      </w:r>
      <w:r w:rsidR="00EF6AE3">
        <w:t>, and publ</w:t>
      </w:r>
      <w:r w:rsidR="00BA0499">
        <w:t>ic employees) might benefit</w:t>
      </w:r>
      <w:r>
        <w:t xml:space="preserve"> in the short ru</w:t>
      </w:r>
      <w:r w:rsidR="00EF6AE3">
        <w:t>n from the pre</w:t>
      </w:r>
      <w:r w:rsidR="001949BC">
        <w:t>sident’s policies, but</w:t>
      </w:r>
      <w:r w:rsidR="00EF6AE3">
        <w:t xml:space="preserve"> then quote</w:t>
      </w:r>
      <w:r w:rsidR="001949BC">
        <w:t xml:space="preserve">d without rebuttal </w:t>
      </w:r>
      <w:r w:rsidR="00EF6AE3">
        <w:t>social scientists</w:t>
      </w:r>
      <w:r w:rsidR="001949BC">
        <w:t xml:space="preserve"> </w:t>
      </w:r>
      <w:r w:rsidR="00EF6AE3">
        <w:t>who maintain</w:t>
      </w:r>
      <w:r w:rsidR="001949BC">
        <w:t>ed</w:t>
      </w:r>
      <w:r>
        <w:t xml:space="preserve"> that the government’s policies in fact undermined long-term economic growth.</w:t>
      </w:r>
      <w:r>
        <w:rPr>
          <w:rStyle w:val="FootnoteReference"/>
        </w:rPr>
        <w:footnoteReference w:id="15"/>
      </w:r>
      <w:r w:rsidR="00EF6AE3">
        <w:t xml:space="preserve"> The sequencing of po</w:t>
      </w:r>
      <w:r w:rsidR="001949BC">
        <w:t>sitions gave</w:t>
      </w:r>
      <w:r w:rsidR="00EF6AE3">
        <w:t xml:space="preserve"> the impression that the economic policies were, from an object</w:t>
      </w:r>
      <w:r w:rsidR="001949BC">
        <w:t>ive point of view, reckless</w:t>
      </w:r>
      <w:r w:rsidR="00EF6AE3">
        <w:t>.</w:t>
      </w:r>
    </w:p>
    <w:p w:rsidR="00486F8A" w:rsidRDefault="001949BC">
      <w:pPr>
        <w:spacing w:line="480" w:lineRule="auto"/>
        <w:ind w:firstLine="720"/>
      </w:pPr>
      <w:r>
        <w:t>T</w:t>
      </w:r>
      <w:r w:rsidR="00486F8A">
        <w:t xml:space="preserve">he tone of the reports </w:t>
      </w:r>
      <w:r>
        <w:t xml:space="preserve">began to change as the </w:t>
      </w:r>
      <w:r w:rsidR="00486F8A">
        <w:t>campaign</w:t>
      </w:r>
      <w:r>
        <w:t xml:space="preserve"> period</w:t>
      </w:r>
      <w:r w:rsidR="00EF6AE3">
        <w:t xml:space="preserve"> drew to a close.</w:t>
      </w:r>
      <w:r w:rsidR="00486F8A">
        <w:t xml:space="preserve"> Correspondents </w:t>
      </w:r>
      <w:r>
        <w:t>began to describe verbal attacks among the candidates</w:t>
      </w:r>
      <w:r w:rsidR="00486F8A">
        <w:t xml:space="preserve"> – akin to what is called “negative cam</w:t>
      </w:r>
      <w:r w:rsidR="00EF6AE3">
        <w:t>paigning” in the United States.</w:t>
      </w:r>
      <w:r>
        <w:t xml:space="preserve"> According to one writer</w:t>
      </w:r>
      <w:r w:rsidR="00486F8A">
        <w:t>, “levels of passion and acrimony” had risen to a level almost unprecedented in modern Iranian politics.</w:t>
      </w:r>
      <w:r w:rsidR="00486F8A">
        <w:rPr>
          <w:rStyle w:val="FootnoteReference"/>
        </w:rPr>
        <w:footnoteReference w:id="16"/>
      </w:r>
      <w:r w:rsidR="00EF6AE3">
        <w:t xml:space="preserve"> </w:t>
      </w:r>
      <w:r>
        <w:t>Reporters told of</w:t>
      </w:r>
      <w:r w:rsidR="00486F8A">
        <w:t xml:space="preserve"> candidates </w:t>
      </w:r>
      <w:r w:rsidR="00EF6AE3">
        <w:t xml:space="preserve">publically </w:t>
      </w:r>
      <w:r>
        <w:t>accusing</w:t>
      </w:r>
      <w:r w:rsidR="00486F8A">
        <w:t xml:space="preserve"> each other of corruption, bribery and torture, and </w:t>
      </w:r>
      <w:r>
        <w:t xml:space="preserve">generalized </w:t>
      </w:r>
      <w:r w:rsidR="00486F8A">
        <w:t xml:space="preserve">that the country was becoming polarized into two partisan camps: anti-Ahmadinejad “reformers,” which included an unusually large number of women, intellectuals, liberals, and residents of posh urban neighborhoods; and </w:t>
      </w:r>
      <w:r w:rsidR="00486F8A">
        <w:lastRenderedPageBreak/>
        <w:t>pro-Ahmadinejad “principalists,” which included a disproportionate number of rural poor, public servants, and retirees.</w:t>
      </w:r>
      <w:r w:rsidR="00486F8A">
        <w:rPr>
          <w:rStyle w:val="FootnoteReference"/>
        </w:rPr>
        <w:footnoteReference w:id="17"/>
      </w:r>
      <w:r w:rsidR="00486F8A">
        <w:t xml:space="preserve">  </w:t>
      </w:r>
    </w:p>
    <w:p w:rsidR="00486F8A" w:rsidRDefault="00486F8A">
      <w:pPr>
        <w:spacing w:line="480" w:lineRule="auto"/>
        <w:ind w:firstLine="720"/>
      </w:pPr>
      <w:r>
        <w:rPr>
          <w:u w:val="single"/>
        </w:rPr>
        <w:t>Times</w:t>
      </w:r>
      <w:r>
        <w:t xml:space="preserve"> </w:t>
      </w:r>
      <w:r w:rsidR="001949BC">
        <w:t xml:space="preserve">news </w:t>
      </w:r>
      <w:r>
        <w:t>reports began to cite without criticism the work of private pollsters in Iran</w:t>
      </w:r>
      <w:r w:rsidR="00EF6AE3">
        <w:t xml:space="preserve"> who had</w:t>
      </w:r>
      <w:r>
        <w:t xml:space="preserve"> ideological and financial ties to liberal</w:t>
      </w:r>
      <w:r w:rsidR="00EF6AE3">
        <w:t xml:space="preserve">-reform organizations. </w:t>
      </w:r>
      <w:r w:rsidR="001949BC">
        <w:t>The</w:t>
      </w:r>
      <w:r>
        <w:t xml:space="preserve"> polls</w:t>
      </w:r>
      <w:r w:rsidR="001949BC">
        <w:t>ters contended</w:t>
      </w:r>
      <w:r>
        <w:t xml:space="preserve"> that the opponents of Ahmadinejad were attracting </w:t>
      </w:r>
      <w:r w:rsidR="001949BC">
        <w:t xml:space="preserve">far </w:t>
      </w:r>
      <w:r>
        <w:t>more citizen</w:t>
      </w:r>
      <w:r w:rsidR="00EF6AE3">
        <w:t xml:space="preserve"> support than was Ahmadinejad. </w:t>
      </w:r>
      <w:r>
        <w:rPr>
          <w:u w:val="single"/>
        </w:rPr>
        <w:t>Times</w:t>
      </w:r>
      <w:r>
        <w:t xml:space="preserve"> reporters did not discuss either </w:t>
      </w:r>
      <w:r w:rsidR="00EF6AE3">
        <w:t xml:space="preserve">practical </w:t>
      </w:r>
      <w:r>
        <w:t xml:space="preserve">methodological challenges </w:t>
      </w:r>
      <w:r w:rsidR="001949BC">
        <w:t xml:space="preserve">to survey research in Iran </w:t>
      </w:r>
      <w:r>
        <w:t>(such as question formulation and sampl</w:t>
      </w:r>
      <w:r w:rsidR="00EF6AE3">
        <w:t>e selection in an ethnically heterogen</w:t>
      </w:r>
      <w:r w:rsidR="00D67E87">
        <w:t>e</w:t>
      </w:r>
      <w:r w:rsidR="00EF6AE3">
        <w:t>ous and geographically far-flung country</w:t>
      </w:r>
      <w:r w:rsidR="001949BC">
        <w:t xml:space="preserve"> like Iran)</w:t>
      </w:r>
      <w:r>
        <w:t xml:space="preserve"> or the possible </w:t>
      </w:r>
      <w:r w:rsidR="001949BC">
        <w:t xml:space="preserve">partisan biases of the collectors and analysts of the </w:t>
      </w:r>
      <w:r>
        <w:t>polling data.</w:t>
      </w:r>
      <w:r>
        <w:rPr>
          <w:rStyle w:val="FootnoteReference"/>
        </w:rPr>
        <w:footnoteReference w:id="18"/>
      </w:r>
      <w:r>
        <w:t xml:space="preserve">     </w:t>
      </w:r>
    </w:p>
    <w:p w:rsidR="00486F8A" w:rsidRDefault="00486F8A">
      <w:pPr>
        <w:spacing w:line="480" w:lineRule="auto"/>
      </w:pPr>
      <w:r>
        <w:tab/>
        <w:t>Perhaps because many Am</w:t>
      </w:r>
      <w:r w:rsidR="007F0F1E">
        <w:t xml:space="preserve">ericans do not realize that some government office holders in Iran are elected, </w:t>
      </w:r>
      <w:r w:rsidR="007F0F1E" w:rsidRPr="007F0F1E">
        <w:rPr>
          <w:u w:val="single"/>
        </w:rPr>
        <w:t>Times</w:t>
      </w:r>
      <w:r>
        <w:t xml:space="preserve"> reporters</w:t>
      </w:r>
      <w:r w:rsidR="007F0F1E">
        <w:t xml:space="preserve"> periodically</w:t>
      </w:r>
      <w:r>
        <w:t xml:space="preserve"> </w:t>
      </w:r>
      <w:r w:rsidR="001949BC">
        <w:t>referred to some of the constitutional details of Iran’s political system</w:t>
      </w:r>
      <w:r>
        <w:t>.</w:t>
      </w:r>
      <w:r>
        <w:rPr>
          <w:rStyle w:val="FootnoteReference"/>
        </w:rPr>
        <w:footnoteReference w:id="19"/>
      </w:r>
      <w:r w:rsidR="001949BC">
        <w:t xml:space="preserve"> The reporters noted that some key </w:t>
      </w:r>
      <w:r w:rsidR="00CA778F">
        <w:t xml:space="preserve">legislated and executive </w:t>
      </w:r>
      <w:r w:rsidR="001949BC">
        <w:t>offices in Iran are indeed elected, yet</w:t>
      </w:r>
      <w:r w:rsidR="00CA778F">
        <w:t xml:space="preserve"> </w:t>
      </w:r>
      <w:r>
        <w:t>Iran</w:t>
      </w:r>
      <w:r w:rsidR="007F0F1E">
        <w:t>’s political system is</w:t>
      </w:r>
      <w:r w:rsidR="00CA778F">
        <w:t>, in the reporters’ assessment, generally</w:t>
      </w:r>
      <w:r>
        <w:t xml:space="preserve"> author</w:t>
      </w:r>
      <w:r w:rsidR="007F0F1E">
        <w:t xml:space="preserve">itarian. </w:t>
      </w:r>
      <w:r w:rsidR="00CA778F">
        <w:t>Allegedly, this is because many government officials</w:t>
      </w:r>
      <w:r w:rsidR="007F0F1E">
        <w:t xml:space="preserve"> are </w:t>
      </w:r>
      <w:r w:rsidR="00CA778F">
        <w:t xml:space="preserve">either </w:t>
      </w:r>
      <w:r w:rsidR="007F0F1E">
        <w:t xml:space="preserve">theocrats </w:t>
      </w:r>
      <w:r w:rsidR="00CA778F">
        <w:t xml:space="preserve">or clerics </w:t>
      </w:r>
      <w:r w:rsidR="007F0F1E">
        <w:t>who</w:t>
      </w:r>
      <w:r>
        <w:t xml:space="preserve"> for the most part abide by t</w:t>
      </w:r>
      <w:r w:rsidR="00CA778F">
        <w:t>he wishes of the Supreme Ruler. The Supreme Ruler</w:t>
      </w:r>
      <w:r w:rsidR="007F0F1E">
        <w:t xml:space="preserve"> is </w:t>
      </w:r>
      <w:r>
        <w:t>a non-elected official with extensi</w:t>
      </w:r>
      <w:r w:rsidR="00CA778F">
        <w:t>ve appointment powers</w:t>
      </w:r>
      <w:r w:rsidR="00FA139F">
        <w:t>. For more than a decade</w:t>
      </w:r>
      <w:r w:rsidR="00CA778F">
        <w:t>, the current Supreme Ruler (</w:t>
      </w:r>
      <w:r w:rsidR="00FA139F">
        <w:t xml:space="preserve">Ayatollah </w:t>
      </w:r>
      <w:r w:rsidR="00CA778F">
        <w:t>Ali Khmenei) has sought</w:t>
      </w:r>
      <w:r>
        <w:t xml:space="preserve"> to recast Iranian society according to Islamic p</w:t>
      </w:r>
      <w:r w:rsidR="00CA778F">
        <w:t>rinciples and, on the whole, has successfully weeded out opponents</w:t>
      </w:r>
      <w:r w:rsidR="007F0F1E">
        <w:t xml:space="preserve"> f</w:t>
      </w:r>
      <w:r w:rsidR="00CA778F">
        <w:t>rom the broader political landscape</w:t>
      </w:r>
      <w:r w:rsidR="007F0F1E">
        <w:t xml:space="preserve">. </w:t>
      </w:r>
      <w:r w:rsidR="00CA778F">
        <w:t xml:space="preserve">One </w:t>
      </w:r>
      <w:r w:rsidR="00CA778F">
        <w:lastRenderedPageBreak/>
        <w:t>method of limiting the points of v</w:t>
      </w:r>
      <w:r w:rsidR="00FA139F">
        <w:t>iew in Iranian politics revolves around the decisions of</w:t>
      </w:r>
      <w:r w:rsidR="00CA778F">
        <w:t xml:space="preserve"> a com</w:t>
      </w:r>
      <w:r w:rsidR="00FA139F">
        <w:t>mittee of religious experts, which</w:t>
      </w:r>
      <w:r w:rsidR="00CA778F">
        <w:t xml:space="preserve"> has the power to screen candidates for parliamentary and presidential elections so that critics of the regime are excluded. </w:t>
      </w:r>
    </w:p>
    <w:p w:rsidR="00CA778F" w:rsidRDefault="00CA778F">
      <w:pPr>
        <w:spacing w:line="480" w:lineRule="auto"/>
      </w:pPr>
    </w:p>
    <w:p w:rsidR="00486F8A" w:rsidRDefault="00FA139F">
      <w:pPr>
        <w:spacing w:line="480" w:lineRule="auto"/>
      </w:pPr>
      <w:r>
        <w:t>III.</w:t>
      </w:r>
      <w:r>
        <w:tab/>
        <w:t>Reports</w:t>
      </w:r>
      <w:r w:rsidR="00486F8A">
        <w:t xml:space="preserve"> about the Post-Election Protests</w:t>
      </w:r>
    </w:p>
    <w:p w:rsidR="00486F8A" w:rsidRDefault="00FA139F">
      <w:pPr>
        <w:spacing w:line="480" w:lineRule="auto"/>
      </w:pPr>
      <w:r>
        <w:t xml:space="preserve">According to the reporters for the </w:t>
      </w:r>
      <w:r w:rsidRPr="00FA139F">
        <w:rPr>
          <w:u w:val="single"/>
        </w:rPr>
        <w:t>Times</w:t>
      </w:r>
      <w:r>
        <w:t>, b</w:t>
      </w:r>
      <w:r w:rsidR="00486F8A">
        <w:t>efore the polls offi</w:t>
      </w:r>
      <w:r>
        <w:t xml:space="preserve">cially closed on June 12, </w:t>
      </w:r>
      <w:r w:rsidR="00486F8A">
        <w:t>all candidates for the preside</w:t>
      </w:r>
      <w:r w:rsidR="007F0F1E">
        <w:t xml:space="preserve">ncy </w:t>
      </w:r>
      <w:r>
        <w:t xml:space="preserve">had </w:t>
      </w:r>
      <w:r w:rsidR="007F0F1E">
        <w:t>boldly predicted victory.</w:t>
      </w:r>
      <w:r w:rsidR="00486F8A">
        <w:t xml:space="preserve"> Not surprisingly, each insisted that he had done very well </w:t>
      </w:r>
      <w:r>
        <w:t xml:space="preserve">toward the end of the campaign period </w:t>
      </w:r>
      <w:r w:rsidR="00486F8A">
        <w:t>and that his o</w:t>
      </w:r>
      <w:r>
        <w:t>pponents had suffered setbacks. All the candidates who ran against</w:t>
      </w:r>
      <w:r w:rsidR="00486F8A">
        <w:t xml:space="preserve"> </w:t>
      </w:r>
      <w:r w:rsidR="007F0F1E">
        <w:t>Ahmadinejad predicted</w:t>
      </w:r>
      <w:r w:rsidR="00486F8A">
        <w:t xml:space="preserve"> that he </w:t>
      </w:r>
      <w:r w:rsidR="007F0F1E">
        <w:t>had failed to receive</w:t>
      </w:r>
      <w:r w:rsidR="00486F8A">
        <w:t xml:space="preserve"> an absolute majority of ballots cast (under Iranian election rules, if no candidates receives at least half of the ballots cast in the first presidential election, a second election takes place between the top two vote getters).  </w:t>
      </w:r>
    </w:p>
    <w:p w:rsidR="00486F8A" w:rsidRDefault="00486F8A">
      <w:pPr>
        <w:spacing w:line="480" w:lineRule="auto"/>
        <w:ind w:firstLine="720"/>
      </w:pPr>
      <w:r>
        <w:t xml:space="preserve">According to the </w:t>
      </w:r>
      <w:r>
        <w:rPr>
          <w:u w:val="single"/>
        </w:rPr>
        <w:t>Times</w:t>
      </w:r>
      <w:r w:rsidR="00FA139F">
        <w:t xml:space="preserve">, </w:t>
      </w:r>
      <w:r>
        <w:t xml:space="preserve">Iran’s </w:t>
      </w:r>
      <w:r w:rsidR="00FA139F">
        <w:t>state-supported news agency predicted</w:t>
      </w:r>
      <w:r>
        <w:t xml:space="preserve"> </w:t>
      </w:r>
      <w:r w:rsidR="00FA139F">
        <w:t xml:space="preserve">only a few hours after the polls closed </w:t>
      </w:r>
      <w:r>
        <w:t>that Ahmadinejad had beaten his closest competitor by a</w:t>
      </w:r>
      <w:r w:rsidR="00FA139F">
        <w:t xml:space="preserve"> hefty margin (roughly 2:1) and that a second vote would not be needed</w:t>
      </w:r>
      <w:r w:rsidR="00314BDD">
        <w:t>.</w:t>
      </w:r>
      <w:r>
        <w:t xml:space="preserve"> The timing of the announcement (before results from the countryside could be tabulated and forwarded to the cities) and the size the preside</w:t>
      </w:r>
      <w:r w:rsidR="00FA139F">
        <w:t>nt’s anticipated</w:t>
      </w:r>
      <w:r>
        <w:t xml:space="preserve"> victory spurred cries of irregularity by those candidates who were predicted to lose.</w:t>
      </w:r>
      <w:r>
        <w:rPr>
          <w:rStyle w:val="FootnoteReference"/>
        </w:rPr>
        <w:footnoteReference w:id="20"/>
      </w:r>
      <w:r>
        <w:t xml:space="preserve"> </w:t>
      </w:r>
      <w:r w:rsidR="00FA139F">
        <w:t>This contributed to days of unauthorized street protests in Iran’s major cities that the newspaper reports called the “Green Movement.”</w:t>
      </w:r>
      <w:r>
        <w:t xml:space="preserve"> </w:t>
      </w:r>
    </w:p>
    <w:p w:rsidR="006D4972" w:rsidRDefault="00486F8A">
      <w:pPr>
        <w:spacing w:line="480" w:lineRule="auto"/>
        <w:ind w:firstLine="720"/>
      </w:pPr>
      <w:r>
        <w:lastRenderedPageBreak/>
        <w:t>Over the next few days,</w:t>
      </w:r>
      <w:r>
        <w:rPr>
          <w:rStyle w:val="FootnoteReference"/>
        </w:rPr>
        <w:footnoteReference w:id="21"/>
      </w:r>
      <w:r>
        <w:t xml:space="preserve"> U.S. correspondents filed reports daily about </w:t>
      </w:r>
      <w:r w:rsidR="006D4972">
        <w:t>the street demonstrations and</w:t>
      </w:r>
      <w:r>
        <w:t xml:space="preserve"> about the </w:t>
      </w:r>
      <w:r w:rsidR="006D4972">
        <w:t xml:space="preserve">government’s response. The Supreme Leader vacillated, first insisting that the elections were carried out fairly and that no recount would take place, and then tolerating an investigation of charges of ballot tampering in selected locations. On the streets, protesters were occasionally harassed by uniformed officers and more frequently were threatened and beaten by non-uniformed bullies. The latter, according to the news reports, were widely believed by have been thugs hired by the beneficiaries of the election results. </w:t>
      </w:r>
    </w:p>
    <w:p w:rsidR="00486F8A" w:rsidRDefault="006D4972" w:rsidP="00CA3F3D">
      <w:pPr>
        <w:spacing w:line="480" w:lineRule="auto"/>
        <w:ind w:firstLine="720"/>
      </w:pPr>
      <w:r>
        <w:t xml:space="preserve">As the weeks passed by, the reporters devoted more space to descriptions of the Supreme Leader. At first, the </w:t>
      </w:r>
      <w:r w:rsidR="00486F8A">
        <w:t xml:space="preserve">correspondents maintained </w:t>
      </w:r>
      <w:r>
        <w:t xml:space="preserve">that </w:t>
      </w:r>
      <w:r w:rsidR="00486F8A">
        <w:t>Ayatollah Khamenei, because of his position as Supreme Leader, had the authority to</w:t>
      </w:r>
      <w:r w:rsidR="00CA3F3D">
        <w:t xml:space="preserve"> declare the election invalid and said that his decision was unpredictable, given that he</w:t>
      </w:r>
      <w:r w:rsidR="00486F8A">
        <w:t xml:space="preserve"> </w:t>
      </w:r>
      <w:r w:rsidR="00CA3F3D">
        <w:t xml:space="preserve">was a reserved, </w:t>
      </w:r>
      <w:r w:rsidR="00486F8A">
        <w:t xml:space="preserve">consensus-oriented political leader who kept his political cards close to his chest and </w:t>
      </w:r>
      <w:r w:rsidR="00CA3F3D">
        <w:t>who disliked outspoken dissenters and public unrest</w:t>
      </w:r>
      <w:r w:rsidR="00486F8A">
        <w:t>.</w:t>
      </w:r>
      <w:r w:rsidR="00486F8A">
        <w:rPr>
          <w:rStyle w:val="FootnoteReference"/>
        </w:rPr>
        <w:footnoteReference w:id="22"/>
      </w:r>
      <w:r w:rsidR="00CA3F3D">
        <w:t xml:space="preserve"> After</w:t>
      </w:r>
      <w:r w:rsidR="00486F8A">
        <w:t xml:space="preserve"> the Supreme Leader declared </w:t>
      </w:r>
      <w:r w:rsidR="00CA3F3D">
        <w:t xml:space="preserve">that </w:t>
      </w:r>
      <w:r w:rsidR="00486F8A">
        <w:t xml:space="preserve">the election </w:t>
      </w:r>
      <w:r w:rsidR="00CA3F3D">
        <w:t>was basically fair and that documented irregularities were limited and ha</w:t>
      </w:r>
      <w:r w:rsidR="00486F8A">
        <w:t>d not affect the overal</w:t>
      </w:r>
      <w:r w:rsidR="00CA3F3D">
        <w:t xml:space="preserve">l outcome, journalists </w:t>
      </w:r>
      <w:r w:rsidR="00486F8A">
        <w:t xml:space="preserve">began </w:t>
      </w:r>
      <w:r w:rsidR="00CA3F3D">
        <w:t>to construct</w:t>
      </w:r>
      <w:r w:rsidR="00486F8A">
        <w:t xml:space="preserve"> more critical image</w:t>
      </w:r>
      <w:r w:rsidR="00CA3F3D">
        <w:t xml:space="preserve">s </w:t>
      </w:r>
      <w:r w:rsidR="00486F8A">
        <w:t xml:space="preserve">of the </w:t>
      </w:r>
      <w:r w:rsidR="00314BDD">
        <w:t xml:space="preserve">country’s political situation. </w:t>
      </w:r>
      <w:r w:rsidR="00CA3F3D">
        <w:t>Report</w:t>
      </w:r>
      <w:r w:rsidR="002A1E9B">
        <w:t>er</w:t>
      </w:r>
      <w:r w:rsidR="00CA3F3D">
        <w:t>s referred to</w:t>
      </w:r>
      <w:r w:rsidR="00486F8A">
        <w:t xml:space="preserve"> “baton-wielding riot police officers” and “riot police officers dressed in RoboCop gear” who “roared down the sidewalks on </w:t>
      </w:r>
      <w:r w:rsidR="00486F8A">
        <w:lastRenderedPageBreak/>
        <w:t>motorcycles to disperse and intimidate the cots of pedestrians who had gather to share rumors and dismay.”</w:t>
      </w:r>
      <w:r w:rsidR="00486F8A">
        <w:rPr>
          <w:rStyle w:val="FootnoteReference"/>
        </w:rPr>
        <w:footnoteReference w:id="23"/>
      </w:r>
      <w:r w:rsidR="00CA3F3D">
        <w:t xml:space="preserve"> One reporter </w:t>
      </w:r>
      <w:r w:rsidR="00486F8A">
        <w:t>described Pres</w:t>
      </w:r>
      <w:r w:rsidR="00314BDD">
        <w:t>id</w:t>
      </w:r>
      <w:r w:rsidR="00486F8A">
        <w:t>ent Ahmadinejad as “a Holocaust-denying hard-liner,” deemed the election a “sham” whose ou</w:t>
      </w:r>
      <w:r w:rsidR="00CA3F3D">
        <w:t>tcome the government had orchestrated</w:t>
      </w:r>
      <w:r w:rsidR="00486F8A">
        <w:t xml:space="preserve"> for weeks, and called the political system a “paternalistic quasi-theocracy” and a “controlled society.”</w:t>
      </w:r>
      <w:r w:rsidR="00486F8A">
        <w:rPr>
          <w:rStyle w:val="FootnoteReference"/>
        </w:rPr>
        <w:footnoteReference w:id="24"/>
      </w:r>
      <w:r w:rsidR="00486F8A">
        <w:t xml:space="preserve"> </w:t>
      </w:r>
      <w:r w:rsidR="002A1E9B">
        <w:t xml:space="preserve">According to one analysis in the Times, so many Iranians were frustrated by the high-handedness of the government that those whose religious faith had never been tied to theocracy might </w:t>
      </w:r>
      <w:r w:rsidR="00486F8A">
        <w:t>per</w:t>
      </w:r>
      <w:r w:rsidR="002A1E9B">
        <w:t>manently disengage from public life</w:t>
      </w:r>
      <w:r w:rsidR="00486F8A">
        <w:t>.</w:t>
      </w:r>
      <w:r w:rsidR="00486F8A">
        <w:rPr>
          <w:rStyle w:val="FootnoteReference"/>
        </w:rPr>
        <w:footnoteReference w:id="25"/>
      </w:r>
    </w:p>
    <w:p w:rsidR="00486F8A" w:rsidRDefault="002A1E9B">
      <w:pPr>
        <w:spacing w:line="480" w:lineRule="auto"/>
      </w:pPr>
      <w:r>
        <w:tab/>
        <w:t>Correspondents described a myriad of ways that citizens were expressing their d</w:t>
      </w:r>
      <w:r w:rsidR="00486F8A">
        <w:t xml:space="preserve">issatisfaction and anger </w:t>
      </w:r>
      <w:r>
        <w:t>toward the regime. News reports told of e</w:t>
      </w:r>
      <w:r w:rsidR="00486F8A">
        <w:t>normous silent marches, with many thousands of par</w:t>
      </w:r>
      <w:r>
        <w:t>ticipants, taking place almost every</w:t>
      </w:r>
      <w:r w:rsidR="00314BDD">
        <w:t xml:space="preserve"> day</w:t>
      </w:r>
      <w:r>
        <w:t xml:space="preserve"> in Iran’s largest cities</w:t>
      </w:r>
      <w:r w:rsidR="00314BDD">
        <w:t>.</w:t>
      </w:r>
      <w:r>
        <w:t xml:space="preserve"> Reportedly, sometimes marchers</w:t>
      </w:r>
      <w:r w:rsidR="00486F8A">
        <w:t xml:space="preserve"> shouted “Death to the coup d’état!” and “</w:t>
      </w:r>
      <w:r>
        <w:t>Death to the Dictator!,” and occasionally</w:t>
      </w:r>
      <w:r w:rsidR="00486F8A">
        <w:t xml:space="preserve"> grou</w:t>
      </w:r>
      <w:r>
        <w:t>ps threw rocks at riot police and at night torched parked cars and broke the</w:t>
      </w:r>
      <w:r w:rsidR="00486F8A">
        <w:t xml:space="preserve"> windows of busine</w:t>
      </w:r>
      <w:r w:rsidR="00314BDD">
        <w:t>ss e</w:t>
      </w:r>
      <w:r>
        <w:t>stablishments</w:t>
      </w:r>
      <w:r w:rsidR="00314BDD">
        <w:t>.</w:t>
      </w:r>
      <w:r>
        <w:t xml:space="preserve"> At heavily attend</w:t>
      </w:r>
      <w:r w:rsidR="009E76CD">
        <w:t>ed</w:t>
      </w:r>
      <w:r w:rsidR="00486F8A">
        <w:t xml:space="preserve"> sports events, such as the World Cup qualifying games, athletes who were d</w:t>
      </w:r>
      <w:r w:rsidR="009E76CD">
        <w:t>issatisfied with either the</w:t>
      </w:r>
      <w:r w:rsidR="00486F8A">
        <w:t xml:space="preserve"> outcome of the election</w:t>
      </w:r>
      <w:r w:rsidR="009E76CD">
        <w:t xml:space="preserve"> or the brutality against protesters</w:t>
      </w:r>
      <w:r w:rsidR="00486F8A">
        <w:t xml:space="preserve"> wore green armbands (green was, among other things, the campaign color of the most popular candidate who ran against President Ajmadinejad).</w:t>
      </w:r>
      <w:r w:rsidR="00486F8A">
        <w:rPr>
          <w:rStyle w:val="FootnoteReference"/>
        </w:rPr>
        <w:footnoteReference w:id="26"/>
      </w:r>
      <w:r w:rsidR="00486F8A">
        <w:t xml:space="preserve">  </w:t>
      </w:r>
    </w:p>
    <w:p w:rsidR="009E76CD" w:rsidRDefault="009E76CD" w:rsidP="009E76CD">
      <w:pPr>
        <w:spacing w:line="480" w:lineRule="auto"/>
      </w:pPr>
    </w:p>
    <w:p w:rsidR="009E76CD" w:rsidRDefault="002A1E9B" w:rsidP="009E76CD">
      <w:pPr>
        <w:spacing w:line="480" w:lineRule="auto"/>
        <w:ind w:firstLine="720"/>
      </w:pPr>
      <w:r>
        <w:t>As the weeks passed, c</w:t>
      </w:r>
      <w:r w:rsidR="00486F8A">
        <w:t xml:space="preserve">orrespondents for the </w:t>
      </w:r>
      <w:r w:rsidR="00486F8A">
        <w:rPr>
          <w:u w:val="single"/>
        </w:rPr>
        <w:t>Times</w:t>
      </w:r>
      <w:r>
        <w:t xml:space="preserve"> </w:t>
      </w:r>
      <w:r w:rsidR="00486F8A">
        <w:t>began to describe Iranian politics as a conflict between “the government” (</w:t>
      </w:r>
      <w:r>
        <w:t xml:space="preserve">presented </w:t>
      </w:r>
      <w:r w:rsidR="00486F8A">
        <w:t>as a single unit) and a “broad cross section of society,” including clerics who advocated spiritual values but opposed theocracy.</w:t>
      </w:r>
      <w:r w:rsidR="00486F8A">
        <w:rPr>
          <w:rStyle w:val="FootnoteReference"/>
        </w:rPr>
        <w:footnoteReference w:id="27"/>
      </w:r>
      <w:r w:rsidR="00486F8A">
        <w:t xml:space="preserve"> The government, the reporters said, comprised a set of “hardliners” who</w:t>
      </w:r>
      <w:r w:rsidR="009E76CD">
        <w:t xml:space="preserve"> for years had wanted to expunge</w:t>
      </w:r>
      <w:r w:rsidR="00486F8A">
        <w:t xml:space="preserve"> liberal values and </w:t>
      </w:r>
      <w:r w:rsidR="009E76CD">
        <w:t>democratic procedures from</w:t>
      </w:r>
      <w:r w:rsidR="00314BDD">
        <w:t xml:space="preserve"> Iran. </w:t>
      </w:r>
    </w:p>
    <w:p w:rsidR="00486F8A" w:rsidRDefault="009E76CD" w:rsidP="009E76CD">
      <w:pPr>
        <w:spacing w:line="480" w:lineRule="auto"/>
        <w:ind w:firstLine="720"/>
      </w:pPr>
      <w:r>
        <w:t>Allegedly, the country was increasingly ruled through fear.  The unseemly hubbub had provided the hardliners with a legal pretext for rounding up liberals and eliminating the few civil liberties that remained in Iran. A</w:t>
      </w:r>
      <w:r w:rsidR="00486F8A">
        <w:t>t least two dozen protesters reportedly had been killed either by security forces or by vigil</w:t>
      </w:r>
      <w:r>
        <w:t>antes tolerated by the regime. Many hundreds</w:t>
      </w:r>
      <w:r w:rsidR="00486F8A">
        <w:t xml:space="preserve"> of suspected opponents of the re-electe</w:t>
      </w:r>
      <w:r>
        <w:t>d government had been arrested. Reportedly, scores</w:t>
      </w:r>
      <w:r w:rsidR="00486F8A">
        <w:t xml:space="preserve"> of those </w:t>
      </w:r>
      <w:r>
        <w:t xml:space="preserve">who </w:t>
      </w:r>
      <w:r w:rsidR="00486F8A">
        <w:t>ha</w:t>
      </w:r>
      <w:r>
        <w:t>d been imprisoned were</w:t>
      </w:r>
      <w:r w:rsidR="00486F8A">
        <w:t xml:space="preserve"> tortured through sleep deprivation, mock executions,</w:t>
      </w:r>
      <w:r>
        <w:t xml:space="preserve"> rape, and beatings.</w:t>
      </w:r>
      <w:r w:rsidR="00D416CC">
        <w:rPr>
          <w:rStyle w:val="FootnoteReference"/>
        </w:rPr>
        <w:footnoteReference w:id="28"/>
      </w:r>
      <w:r>
        <w:t xml:space="preserve"> Reporters also told of show trials in which</w:t>
      </w:r>
      <w:r w:rsidR="00486F8A">
        <w:t xml:space="preserve"> </w:t>
      </w:r>
      <w:r>
        <w:t xml:space="preserve">personages who had denounced the elections confessed before television </w:t>
      </w:r>
      <w:r>
        <w:lastRenderedPageBreak/>
        <w:t>cameras of</w:t>
      </w:r>
      <w:r w:rsidR="00486F8A">
        <w:t xml:space="preserve"> participating in a plot, fomented by fore</w:t>
      </w:r>
      <w:r>
        <w:t>ign countries, to bring down Iran’s</w:t>
      </w:r>
      <w:r w:rsidR="00486F8A">
        <w:t xml:space="preserve"> </w:t>
      </w:r>
      <w:r>
        <w:t xml:space="preserve">elected </w:t>
      </w:r>
      <w:r w:rsidR="00486F8A">
        <w:t>government.</w:t>
      </w:r>
      <w:r w:rsidR="00486F8A">
        <w:rPr>
          <w:rStyle w:val="FootnoteReference"/>
        </w:rPr>
        <w:footnoteReference w:id="29"/>
      </w:r>
      <w:r w:rsidR="00486F8A">
        <w:t xml:space="preserve">   </w:t>
      </w:r>
    </w:p>
    <w:p w:rsidR="00486F8A" w:rsidRDefault="00486F8A">
      <w:pPr>
        <w:spacing w:line="480" w:lineRule="auto"/>
        <w:ind w:firstLine="720"/>
      </w:pPr>
      <w:r>
        <w:t>Why did the hardliners resort to contemptible actions</w:t>
      </w:r>
      <w:r w:rsidR="00D416CC">
        <w:t xml:space="preserve"> (by the reporters’ and implicitly the readers’ standards)</w:t>
      </w:r>
      <w:r>
        <w:t xml:space="preserve"> a</w:t>
      </w:r>
      <w:r w:rsidR="00314BDD">
        <w:t>nd desire a regimented society?</w:t>
      </w:r>
      <w:r>
        <w:t xml:space="preserve"> According to the correspondents, </w:t>
      </w:r>
      <w:r w:rsidR="00D416CC">
        <w:t>love of power was the motive. Those who monopolized</w:t>
      </w:r>
      <w:r>
        <w:t xml:space="preserve"> </w:t>
      </w:r>
      <w:r w:rsidR="00D416CC">
        <w:t xml:space="preserve">the command posts of Iran’s government and its religious tradition </w:t>
      </w:r>
      <w:r>
        <w:t>wished to rule unconteste</w:t>
      </w:r>
      <w:r w:rsidR="00314BDD">
        <w:t xml:space="preserve">d, and </w:t>
      </w:r>
      <w:r w:rsidR="00D416CC">
        <w:t xml:space="preserve">President </w:t>
      </w:r>
      <w:r w:rsidR="00314BDD">
        <w:t>Ahmadinejad provided</w:t>
      </w:r>
      <w:r>
        <w:t xml:space="preserve"> the perfect public face for the cabal: “Mr. Ahmadinejad is the shrewd and ruthless front man for a clerical, military and political elite that is more unified and emboldened than at any t</w:t>
      </w:r>
      <w:r w:rsidR="00314BDD">
        <w:t>ime since the 1979 revolution.”</w:t>
      </w:r>
      <w:r>
        <w:t xml:space="preserve"> </w:t>
      </w:r>
      <w:r w:rsidR="00D416CC">
        <w:t xml:space="preserve">Under its democratic façade, </w:t>
      </w:r>
      <w:r>
        <w:t>Iran was, according to reporters, controlled by “a com</w:t>
      </w:r>
      <w:r w:rsidR="00D416CC">
        <w:t>plex and opaque power structure</w:t>
      </w:r>
      <w:r>
        <w:t>”</w:t>
      </w:r>
      <w:r>
        <w:rPr>
          <w:rStyle w:val="FootnoteReference"/>
        </w:rPr>
        <w:footnoteReference w:id="30"/>
      </w:r>
      <w:r>
        <w:t xml:space="preserve"> that was ultimately managed by the Supreme Leader, with the President serving as day-to-day groundskeeper.</w:t>
      </w:r>
      <w:r>
        <w:rPr>
          <w:rStyle w:val="FootnoteReference"/>
        </w:rPr>
        <w:footnoteReference w:id="31"/>
      </w:r>
    </w:p>
    <w:p w:rsidR="008F1D2A" w:rsidRDefault="00D416CC" w:rsidP="008F1D2A">
      <w:pPr>
        <w:spacing w:line="480" w:lineRule="auto"/>
        <w:ind w:firstLine="720"/>
      </w:pPr>
      <w:r>
        <w:t>To sustain itself, the conspiracy relied on populist xenophobia, patronage, and religious zealotry.</w:t>
      </w:r>
      <w:r w:rsidR="008F1D2A">
        <w:t xml:space="preserve"> While protesters came</w:t>
      </w:r>
      <w:r w:rsidR="00486F8A">
        <w:t xml:space="preserve"> from all walks of life, </w:t>
      </w:r>
      <w:r w:rsidR="008F1D2A">
        <w:t xml:space="preserve">they were disproportionately well educated, </w:t>
      </w:r>
      <w:r w:rsidR="00486F8A">
        <w:t>followers of western fashion</w:t>
      </w:r>
      <w:r w:rsidR="008F1D2A">
        <w:t xml:space="preserve">, and violators of </w:t>
      </w:r>
      <w:r w:rsidR="00314BDD">
        <w:lastRenderedPageBreak/>
        <w:t xml:space="preserve">traditional Islamic norms. </w:t>
      </w:r>
      <w:r w:rsidR="008F1D2A">
        <w:t>Allegedly, they</w:t>
      </w:r>
      <w:r w:rsidR="00486F8A">
        <w:t xml:space="preserve"> did not </w:t>
      </w:r>
      <w:r w:rsidR="00314BDD">
        <w:t>advocate a particular ideology</w:t>
      </w:r>
      <w:r w:rsidR="008F1D2A">
        <w:t>, political revolution, or economic upheaval</w:t>
      </w:r>
      <w:r w:rsidR="00314BDD">
        <w:t>.</w:t>
      </w:r>
      <w:r w:rsidR="00486F8A">
        <w:t xml:space="preserve"> They simply </w:t>
      </w:r>
      <w:r w:rsidR="00314BDD">
        <w:t>wanted free and fair elections.</w:t>
      </w:r>
      <w:r w:rsidR="00834602">
        <w:t xml:space="preserve"> “We don’t the regime to fall.</w:t>
      </w:r>
      <w:r w:rsidR="00486F8A">
        <w:t xml:space="preserve"> We want our votes to be counted,” said one Iranian is reported to have said.</w:t>
      </w:r>
      <w:r w:rsidR="00486F8A">
        <w:rPr>
          <w:rStyle w:val="FootnoteReference"/>
        </w:rPr>
        <w:footnoteReference w:id="32"/>
      </w:r>
      <w:r w:rsidR="008F1D2A">
        <w:t xml:space="preserve"> Citizens who supported the regime, in contrast, were depicted as devout Muslims, poorly educated, and without property and secure livelihoods. This subpopulation of Iranians was allegedly too tied to the hierarchical tenants of Muslim faith to care about democratic niceties. It was “essentially conservative,” which made it difficult to know the degree to which the election was completely high jacked and the extent to which the fraud was limited to a few places and</w:t>
      </w:r>
      <w:r w:rsidR="00834602">
        <w:t>, therefore,</w:t>
      </w:r>
      <w:r w:rsidR="008F1D2A">
        <w:t xml:space="preserve"> did not affect the outcome.</w:t>
      </w:r>
      <w:r w:rsidR="008F1D2A">
        <w:rPr>
          <w:rStyle w:val="FootnoteReference"/>
        </w:rPr>
        <w:footnoteReference w:id="33"/>
      </w:r>
      <w:r w:rsidR="008F1D2A">
        <w:t xml:space="preserve"> Allegedly, the formally educated Iranians from upper- and middle-class backgrounds were informed enough to know what had happened</w:t>
      </w:r>
      <w:r w:rsidR="00834602">
        <w:t xml:space="preserve"> and sufficiently independent in their thinking to question what authorities were saying and distrust</w:t>
      </w:r>
      <w:r w:rsidR="008F1D2A">
        <w:t xml:space="preserve">, whereas less educated and less wealthy Iranians were pawns of government misinformation. </w:t>
      </w:r>
    </w:p>
    <w:p w:rsidR="00486F8A" w:rsidRDefault="00486F8A">
      <w:pPr>
        <w:spacing w:line="480" w:lineRule="auto"/>
      </w:pPr>
    </w:p>
    <w:p w:rsidR="00486F8A" w:rsidRDefault="00834602">
      <w:pPr>
        <w:spacing w:line="480" w:lineRule="auto"/>
      </w:pPr>
      <w:r>
        <w:t>IV.</w:t>
      </w:r>
      <w:r>
        <w:tab/>
      </w:r>
      <w:r w:rsidR="00CE388C">
        <w:t>Projection and Denial</w:t>
      </w:r>
    </w:p>
    <w:p w:rsidR="00C15DD8" w:rsidRDefault="00A57E91">
      <w:pPr>
        <w:spacing w:line="480" w:lineRule="auto"/>
      </w:pPr>
      <w:r>
        <w:lastRenderedPageBreak/>
        <w:t>As mentioned earlier, according to</w:t>
      </w:r>
      <w:r w:rsidR="00834602">
        <w:t xml:space="preserve"> Ricoeur, humans depend on familiar narratives to make sense of the world, to discover dangers, to develop goals and priorities, and to nurture appropriate virtues for attaining those goals and priorities</w:t>
      </w:r>
      <w:r w:rsidR="00C15DD8">
        <w:t xml:space="preserve">. </w:t>
      </w:r>
      <w:r w:rsidR="00834602">
        <w:t>Consequently, humans will tend to observe the world according to the categories and logic of familiar narratives, especially those taught since childhood, widely held within society, and propagated by the community’s leaders and their rituals.</w:t>
      </w:r>
      <w:r w:rsidR="00C15DD8">
        <w:rPr>
          <w:rStyle w:val="FootnoteReference"/>
        </w:rPr>
        <w:footnoteReference w:id="34"/>
      </w:r>
      <w:r w:rsidR="00834602">
        <w:t xml:space="preserve"> Conversely, observations that fit poorly with a community’s narrative heritage are generally ignored.</w:t>
      </w:r>
      <w:r w:rsidR="00C15DD8">
        <w:t xml:space="preserve"> We can see both dynamics at work in the news reports about the 2009 election and its aftermath.</w:t>
      </w:r>
    </w:p>
    <w:p w:rsidR="00637593" w:rsidRDefault="00C15DD8">
      <w:pPr>
        <w:spacing w:line="480" w:lineRule="auto"/>
      </w:pPr>
      <w:r>
        <w:tab/>
        <w:t xml:space="preserve">Immediately prior to the election, the journalists covered Iranian politics largely in terms of a clash in economic aspirations and ambitions. President Ahmadinejad was depicted as a populist </w:t>
      </w:r>
      <w:r w:rsidR="00637593">
        <w:t xml:space="preserve">who ignored economic wisdom and </w:t>
      </w:r>
      <w:r>
        <w:t xml:space="preserve">who was willing to sacrifice the interests and goals of business groups </w:t>
      </w:r>
      <w:r w:rsidR="0049592F">
        <w:t xml:space="preserve">for the sake of ameliorating the economic hardships facing Iran’s working poor and unemployed. </w:t>
      </w:r>
      <w:r w:rsidR="00637593">
        <w:t xml:space="preserve">The other candidates were depicted (and depicted themselves) as different promoters of either greater integration into the global economy, champions of the national bourgeoisie, or promoters of austerity measures. </w:t>
      </w:r>
    </w:p>
    <w:p w:rsidR="00637593" w:rsidRDefault="0049592F" w:rsidP="00637593">
      <w:pPr>
        <w:spacing w:line="480" w:lineRule="auto"/>
        <w:ind w:firstLine="720"/>
      </w:pPr>
      <w:r>
        <w:lastRenderedPageBreak/>
        <w:t>After th</w:t>
      </w:r>
      <w:r w:rsidR="00637593">
        <w:t>e election results were announced</w:t>
      </w:r>
      <w:r>
        <w:t xml:space="preserve"> and the demonstrations began, </w:t>
      </w:r>
      <w:r w:rsidR="00637593">
        <w:t>the economic background to this outbreak of</w:t>
      </w:r>
      <w:r>
        <w:t xml:space="preserve"> political strife in Iran was forgotten. Instead, the coverage of the Green demonstrations</w:t>
      </w:r>
      <w:r w:rsidR="00637593">
        <w:t xml:space="preserve"> and of the government’s re</w:t>
      </w:r>
      <w:r w:rsidR="00E410B7">
        <w:t>s</w:t>
      </w:r>
      <w:r w:rsidR="00637593">
        <w:t>ponse</w:t>
      </w:r>
      <w:r>
        <w:t xml:space="preserve"> was told in terms</w:t>
      </w:r>
      <w:r w:rsidR="00637593">
        <w:t xml:space="preserve"> of villains and valiant citizens. The report</w:t>
      </w:r>
      <w:r w:rsidR="00E410B7">
        <w:t>s</w:t>
      </w:r>
      <w:r w:rsidR="00637593">
        <w:t xml:space="preserve"> </w:t>
      </w:r>
      <w:r w:rsidR="00E410B7">
        <w:t xml:space="preserve">of the </w:t>
      </w:r>
      <w:r w:rsidR="00637593">
        <w:t xml:space="preserve">struggle </w:t>
      </w:r>
      <w:r w:rsidR="00E410B7">
        <w:t xml:space="preserve">paralleled some features of standard </w:t>
      </w:r>
      <w:r>
        <w:t xml:space="preserve">stories about America’s colonial origins and </w:t>
      </w:r>
      <w:r w:rsidR="00E410B7">
        <w:t xml:space="preserve">its </w:t>
      </w:r>
      <w:r>
        <w:t>subseque</w:t>
      </w:r>
      <w:r w:rsidR="00E410B7">
        <w:t>nt war of independence. In the opinion of students of U.S. popular culture,</w:t>
      </w:r>
      <w:r>
        <w:t xml:space="preserve"> Americans over the decades have tended to believe (1) that the country was first founded by </w:t>
      </w:r>
      <w:r w:rsidR="00486F8A">
        <w:t>deeply piou</w:t>
      </w:r>
      <w:r w:rsidR="00235250">
        <w:t>s, courageous, and self-reliant</w:t>
      </w:r>
      <w:r>
        <w:t xml:space="preserve"> pioneer</w:t>
      </w:r>
      <w:r w:rsidR="00235250">
        <w:t>s who responsibly cultivated parcels of private property from the wilderness</w:t>
      </w:r>
      <w:r>
        <w:t>, (2</w:t>
      </w:r>
      <w:r w:rsidR="00486F8A">
        <w:t xml:space="preserve">) </w:t>
      </w:r>
      <w:r w:rsidR="00235250">
        <w:t>that earliest pioneers</w:t>
      </w:r>
      <w:r>
        <w:t xml:space="preserve"> were trying to escape</w:t>
      </w:r>
      <w:r w:rsidR="00486F8A">
        <w:t xml:space="preserve"> religious </w:t>
      </w:r>
      <w:r>
        <w:t>intolerance in the Old World, (3</w:t>
      </w:r>
      <w:r w:rsidR="00486F8A">
        <w:t>)</w:t>
      </w:r>
      <w:r w:rsidR="009579BC">
        <w:t xml:space="preserve"> that the pioneers fought</w:t>
      </w:r>
      <w:r w:rsidR="00486F8A">
        <w:t xml:space="preserve"> savages and</w:t>
      </w:r>
      <w:r>
        <w:t xml:space="preserve"> mastered the</w:t>
      </w:r>
      <w:r w:rsidR="00486F8A">
        <w:t xml:space="preserve"> wilderness </w:t>
      </w:r>
      <w:r>
        <w:t xml:space="preserve">not for self-benefit but </w:t>
      </w:r>
      <w:r w:rsidR="009579BC">
        <w:t>to promote and protect an unprecedented liberal</w:t>
      </w:r>
      <w:r w:rsidR="00235250">
        <w:t>, free-market,</w:t>
      </w:r>
      <w:r w:rsidR="009579BC">
        <w:t xml:space="preserve"> and democratic order</w:t>
      </w:r>
      <w:r>
        <w:t xml:space="preserve">, and (4)  that they engaged in </w:t>
      </w:r>
      <w:r w:rsidR="009579BC">
        <w:t xml:space="preserve">political </w:t>
      </w:r>
      <w:r>
        <w:t>rebellion</w:t>
      </w:r>
      <w:r w:rsidR="009579BC">
        <w:t xml:space="preserve"> </w:t>
      </w:r>
      <w:r w:rsidR="00486F8A">
        <w:t>only after patiently</w:t>
      </w:r>
      <w:r w:rsidR="00BA7AFD">
        <w:t xml:space="preserve"> and properly</w:t>
      </w:r>
      <w:r w:rsidR="00486F8A">
        <w:t xml:space="preserve"> pursuing legal redress of grievances to no avail</w:t>
      </w:r>
      <w:r w:rsidR="009579BC">
        <w:t xml:space="preserve"> and were always respectful of rule of law</w:t>
      </w:r>
      <w:r w:rsidR="00486F8A">
        <w:t>.</w:t>
      </w:r>
      <w:r w:rsidR="00486F8A">
        <w:rPr>
          <w:rStyle w:val="FootnoteReference"/>
        </w:rPr>
        <w:footnoteReference w:id="35"/>
      </w:r>
      <w:r w:rsidR="00486F8A">
        <w:t xml:space="preserve"> </w:t>
      </w:r>
      <w:r w:rsidR="00637593">
        <w:t>Versions of t</w:t>
      </w:r>
      <w:r w:rsidR="009579BC">
        <w:t xml:space="preserve">hese </w:t>
      </w:r>
      <w:r w:rsidR="00637593">
        <w:t xml:space="preserve">familiar </w:t>
      </w:r>
      <w:r w:rsidR="009579BC">
        <w:t xml:space="preserve">themes </w:t>
      </w:r>
      <w:r w:rsidR="00E410B7">
        <w:t xml:space="preserve">about a Manichean struggle between an intolerant, tyrannical government and noble, everyday individualists </w:t>
      </w:r>
      <w:r w:rsidR="009579BC">
        <w:t xml:space="preserve">appear in the </w:t>
      </w:r>
      <w:r w:rsidR="009579BC" w:rsidRPr="00637593">
        <w:rPr>
          <w:u w:val="single"/>
        </w:rPr>
        <w:t>Times</w:t>
      </w:r>
      <w:r w:rsidR="009579BC">
        <w:t xml:space="preserve"> depiction of events in Iran. </w:t>
      </w:r>
    </w:p>
    <w:p w:rsidR="009579BC" w:rsidRDefault="009579BC" w:rsidP="00637593">
      <w:pPr>
        <w:spacing w:line="480" w:lineRule="auto"/>
        <w:ind w:firstLine="720"/>
      </w:pPr>
      <w:r>
        <w:t xml:space="preserve">First, the news reports in the </w:t>
      </w:r>
      <w:r w:rsidRPr="00E252E8">
        <w:rPr>
          <w:u w:val="single"/>
        </w:rPr>
        <w:t>Times</w:t>
      </w:r>
      <w:r>
        <w:t xml:space="preserve"> portrayed the rowdy and </w:t>
      </w:r>
      <w:r w:rsidR="0073737F">
        <w:t>defiant crowds</w:t>
      </w:r>
      <w:r>
        <w:t xml:space="preserve"> as orderly and, </w:t>
      </w:r>
      <w:r w:rsidR="0073737F">
        <w:t>in fact, as evidence of the spread</w:t>
      </w:r>
      <w:r>
        <w:t xml:space="preserve"> of Western culture in Iran. Allegedly, the </w:t>
      </w:r>
      <w:r>
        <w:lastRenderedPageBreak/>
        <w:t>protesters were representatives of the country’s better educated, property-owning, secular, and Westernized populations.</w:t>
      </w:r>
      <w:r w:rsidR="0073737F">
        <w:t xml:space="preserve"> The p</w:t>
      </w:r>
      <w:r>
        <w:t xml:space="preserve">rotesters respected social order and rule of law, and were compelled to amass because of tyrannical behavior by government officials. </w:t>
      </w:r>
      <w:r w:rsidR="0073737F">
        <w:t>E</w:t>
      </w:r>
      <w:r>
        <w:t>ven tho</w:t>
      </w:r>
      <w:r w:rsidR="0073737F">
        <w:t>ugh the demonstrators</w:t>
      </w:r>
      <w:r>
        <w:t xml:space="preserve"> technically defied laws, believed in rule of law and seldom contemplated radical notions about restructuring the economy, redistributing property, reigning in capitalism, or living without a centralized system of political authority. </w:t>
      </w:r>
      <w:r w:rsidR="0073737F">
        <w:t>No anarchist</w:t>
      </w:r>
      <w:r>
        <w:t>,</w:t>
      </w:r>
      <w:r w:rsidR="0073737F">
        <w:t xml:space="preserve"> socialist, or populist motivations and aspirations</w:t>
      </w:r>
      <w:r>
        <w:t xml:space="preserve"> were involved. The goals of the political opposition were (the reporters contended) morally upright, lacking untoward anti-bourgeois intentions.</w:t>
      </w:r>
      <w:r w:rsidR="0073737F">
        <w:t xml:space="preserve"> T</w:t>
      </w:r>
      <w:r>
        <w:t>o b</w:t>
      </w:r>
      <w:r w:rsidR="0073737F">
        <w:t>orrow</w:t>
      </w:r>
      <w:r>
        <w:t xml:space="preserve"> Karl Marx’s facetious phrase, </w:t>
      </w:r>
      <w:r w:rsidR="0073737F">
        <w:t xml:space="preserve">these were </w:t>
      </w:r>
      <w:r>
        <w:t>“beautiful” revolutionaries without narrowly material, spiteful, or politically self-int</w:t>
      </w:r>
      <w:r w:rsidR="0073737F">
        <w:t xml:space="preserve">erested motivations. At most, they wanted </w:t>
      </w:r>
      <w:r>
        <w:t>to nullify the election results</w:t>
      </w:r>
      <w:r w:rsidR="0073737F">
        <w:t xml:space="preserve"> and hold a re-election. At minimum, they wanted to prevent similar electoral shenanigans in the future</w:t>
      </w:r>
      <w:r>
        <w:t>.</w:t>
      </w:r>
      <w:r>
        <w:rPr>
          <w:rStyle w:val="FootnoteReference"/>
        </w:rPr>
        <w:footnoteReference w:id="36"/>
      </w:r>
      <w:r>
        <w:t xml:space="preserve">      </w:t>
      </w:r>
    </w:p>
    <w:p w:rsidR="00664774" w:rsidRDefault="00664774" w:rsidP="00637593">
      <w:pPr>
        <w:spacing w:line="480" w:lineRule="auto"/>
        <w:ind w:firstLine="720"/>
      </w:pPr>
      <w:r>
        <w:t>The rulers, in contrast, were depicted as cold blooded and power hungry and as having no fixed goal besides ensuring that Iranian citizens conformed to directives. The Supreme Leader, the President, and other officials might talk in public about the need to obey Iran’s constitution or the Koran, but underne</w:t>
      </w:r>
      <w:r w:rsidR="00E410B7">
        <w:t>ath pious words, were unthinking</w:t>
      </w:r>
      <w:r>
        <w:t xml:space="preserve"> tyrants who did not respect human rights of the rule of law. All that the rulers desired was mastery.</w:t>
      </w:r>
    </w:p>
    <w:p w:rsidR="00207963" w:rsidRDefault="00E410B7" w:rsidP="000B599E">
      <w:pPr>
        <w:spacing w:line="480" w:lineRule="auto"/>
        <w:ind w:firstLine="720"/>
      </w:pPr>
      <w:r>
        <w:lastRenderedPageBreak/>
        <w:t>The implicit references to</w:t>
      </w:r>
      <w:r w:rsidR="00F50A1A">
        <w:t xml:space="preserve"> a well-known American narrative to impute motivations, perceptions, and conditions in Iran arguably helped reporters conceptualize what was happening around them. </w:t>
      </w:r>
      <w:r>
        <w:t xml:space="preserve">They were able to impute motivations, perceptions, and conditions to literally hundreds of thousands of political actors (both government officials and civilian demonstrators) in Iran.  </w:t>
      </w:r>
      <w:r w:rsidR="00207963">
        <w:t>But the narrative</w:t>
      </w:r>
      <w:r w:rsidR="00F50A1A">
        <w:t xml:space="preserve"> also </w:t>
      </w:r>
      <w:r w:rsidR="00207963">
        <w:t xml:space="preserve">may have </w:t>
      </w:r>
      <w:r w:rsidR="00F50A1A">
        <w:t>obstructed alternative understandings of what was t</w:t>
      </w:r>
      <w:r w:rsidR="00207963">
        <w:t>aking place before their eyes, because t</w:t>
      </w:r>
      <w:r w:rsidR="00F50A1A">
        <w:t xml:space="preserve">he reporters </w:t>
      </w:r>
      <w:r w:rsidR="00617B60">
        <w:t>neglect</w:t>
      </w:r>
      <w:r w:rsidR="00F50A1A">
        <w:t>ed</w:t>
      </w:r>
      <w:r w:rsidR="00617B60">
        <w:t xml:space="preserve"> of several </w:t>
      </w:r>
      <w:r w:rsidR="00F50A1A">
        <w:t xml:space="preserve">features of the </w:t>
      </w:r>
      <w:r w:rsidR="00207963">
        <w:t xml:space="preserve">election and </w:t>
      </w:r>
      <w:r w:rsidR="00F50A1A">
        <w:t xml:space="preserve">protests that did not easily fit the familiar </w:t>
      </w:r>
      <w:r w:rsidR="00617B60">
        <w:t>narrative</w:t>
      </w:r>
      <w:r w:rsidR="00F50A1A">
        <w:t xml:space="preserve"> of American colonists fighting for their freedom</w:t>
      </w:r>
      <w:r w:rsidR="00617B60">
        <w:t>.</w:t>
      </w:r>
      <w:r w:rsidR="00A82018">
        <w:t xml:space="preserve"> </w:t>
      </w:r>
    </w:p>
    <w:p w:rsidR="000B599E" w:rsidRDefault="00A82018" w:rsidP="000B599E">
      <w:pPr>
        <w:spacing w:line="480" w:lineRule="auto"/>
        <w:ind w:firstLine="720"/>
      </w:pPr>
      <w:r>
        <w:t>For example, t</w:t>
      </w:r>
      <w:r w:rsidR="00692A86">
        <w:t>he reports</w:t>
      </w:r>
      <w:r>
        <w:t xml:space="preserve"> in the </w:t>
      </w:r>
      <w:r w:rsidRPr="00A82018">
        <w:rPr>
          <w:u w:val="single"/>
        </w:rPr>
        <w:t>Times</w:t>
      </w:r>
      <w:r w:rsidR="00692A86">
        <w:t xml:space="preserve"> ignored evidence of market instability and economic suffering in Iran. This is surprising given the extent to which </w:t>
      </w:r>
      <w:r w:rsidR="00207963">
        <w:t xml:space="preserve">the proper political response to </w:t>
      </w:r>
      <w:r w:rsidR="00692A86">
        <w:t>econo</w:t>
      </w:r>
      <w:r w:rsidR="00F50A1A">
        <w:t>mic hard times had been debated in Iran during</w:t>
      </w:r>
      <w:r w:rsidR="00692A86">
        <w:t xml:space="preserve"> the weeks leading up to the post-election protests</w:t>
      </w:r>
      <w:r w:rsidR="00F50A1A">
        <w:t>, and the differences among the candidates on the subject about how to deal with high unemployment, housing shortages, and other economic problems</w:t>
      </w:r>
      <w:r w:rsidR="00692A86">
        <w:t xml:space="preserve">. </w:t>
      </w:r>
      <w:r w:rsidR="00207963">
        <w:t>Likewise, t</w:t>
      </w:r>
      <w:r w:rsidR="00692A86">
        <w:t>he large disparities of wealth and huge pockets of squalor within the country were seldom mentioned</w:t>
      </w:r>
      <w:r>
        <w:t xml:space="preserve"> in articles about protest</w:t>
      </w:r>
      <w:r w:rsidR="000B599E">
        <w:t xml:space="preserve"> even though the protests tended to occur in the more economically prosperous neighborhoods of Iranian cities</w:t>
      </w:r>
      <w:r w:rsidR="00692A86">
        <w:t>.</w:t>
      </w:r>
      <w:r w:rsidR="000B599E">
        <w:t xml:space="preserve"> The</w:t>
      </w:r>
      <w:r w:rsidR="00207963">
        <w:t xml:space="preserve"> journalists, finally,</w:t>
      </w:r>
      <w:r w:rsidR="000B599E">
        <w:t xml:space="preserve"> failed to discuss the variety of economic groups that participated in the demonstrations and the non-political demands that they were making, including more power for unions, equal rights for women, greater protection of native industries from foreign competition, and greater political powers for municipal merchant associations. The Green movement</w:t>
      </w:r>
      <w:r w:rsidR="004477FC">
        <w:t>, in other words,</w:t>
      </w:r>
      <w:r w:rsidR="000B599E">
        <w:t xml:space="preserve"> overlay a wide range of cl</w:t>
      </w:r>
      <w:r w:rsidR="004477FC">
        <w:t xml:space="preserve">ass struggles within Iran. That set of struggles might have provided alternative explanations </w:t>
      </w:r>
      <w:r w:rsidR="004477FC">
        <w:lastRenderedPageBreak/>
        <w:t>for both the altered election</w:t>
      </w:r>
      <w:r w:rsidR="000B599E">
        <w:t xml:space="preserve"> results</w:t>
      </w:r>
      <w:r w:rsidR="004477FC">
        <w:t xml:space="preserve"> and </w:t>
      </w:r>
      <w:r w:rsidR="000B599E">
        <w:t>the rulers’</w:t>
      </w:r>
      <w:r w:rsidR="004477FC">
        <w:t xml:space="preserve"> motives in trying</w:t>
      </w:r>
      <w:r w:rsidR="000B599E">
        <w:t xml:space="preserve"> to monopolize power.</w:t>
      </w:r>
    </w:p>
    <w:p w:rsidR="00CA50AD" w:rsidRDefault="000B599E" w:rsidP="00FD293E">
      <w:pPr>
        <w:spacing w:line="480" w:lineRule="auto"/>
        <w:ind w:firstLine="720"/>
      </w:pPr>
      <w:r>
        <w:t xml:space="preserve">In addition, the correspondents </w:t>
      </w:r>
      <w:r w:rsidR="00235250">
        <w:t xml:space="preserve">generally </w:t>
      </w:r>
      <w:r>
        <w:t xml:space="preserve">presented </w:t>
      </w:r>
      <w:r w:rsidR="00207963">
        <w:t xml:space="preserve">both </w:t>
      </w:r>
      <w:r>
        <w:t xml:space="preserve">the conservative and </w:t>
      </w:r>
      <w:r w:rsidR="00207963">
        <w:t xml:space="preserve">the </w:t>
      </w:r>
      <w:r>
        <w:t>reformist political groups in Iran as monolithic</w:t>
      </w:r>
      <w:r w:rsidR="00207963">
        <w:t>, organizationally hierarchical,</w:t>
      </w:r>
      <w:r>
        <w:t xml:space="preserve"> and</w:t>
      </w:r>
      <w:r w:rsidR="00207963">
        <w:t xml:space="preserve"> ideologically</w:t>
      </w:r>
      <w:r>
        <w:t xml:space="preserve"> unified, whereas </w:t>
      </w:r>
      <w:r w:rsidR="00FD293E">
        <w:t>many scholars in the West have argued that the political</w:t>
      </w:r>
      <w:r w:rsidR="00207963">
        <w:t xml:space="preserve"> groups and</w:t>
      </w:r>
      <w:r w:rsidR="00FD293E">
        <w:t xml:space="preserve"> institutions in Iran are profoundly fractured and internally pluralistic.</w:t>
      </w:r>
      <w:r w:rsidR="00235250">
        <w:rPr>
          <w:rStyle w:val="FootnoteReference"/>
        </w:rPr>
        <w:footnoteReference w:id="37"/>
      </w:r>
      <w:r w:rsidR="00235250">
        <w:t xml:space="preserve"> </w:t>
      </w:r>
      <w:r w:rsidR="00FD293E">
        <w:t>Even the Revolutionary Guard, it has been argued, has competing cliques, circles, and factions, and therefore acts differently in differently in different local</w:t>
      </w:r>
      <w:r w:rsidR="00235250">
        <w:t>es</w:t>
      </w:r>
      <w:r w:rsidR="00FD293E">
        <w:t>.</w:t>
      </w:r>
      <w:r w:rsidR="00235250">
        <w:rPr>
          <w:rStyle w:val="FootnoteReference"/>
        </w:rPr>
        <w:footnoteReference w:id="38"/>
      </w:r>
      <w:r w:rsidR="00FD293E">
        <w:t xml:space="preserve"> According to the more pluralist reading of Iranian politics</w:t>
      </w:r>
      <w:r w:rsidR="00207963">
        <w:t xml:space="preserve"> that scholars have advanced</w:t>
      </w:r>
      <w:r w:rsidR="00FD293E">
        <w:t xml:space="preserve">, many in Iran’s political and religious elite have disagreed with the policy positions of both the Supreme Leader and president Ahmadinejad, and were outraged by both signs of election manipulation and the subsequent widespread violation of the civil rights of Iranian citizens. For these reasons, half of the members of the Iranian parliament refused to attend the president’s induction ceremony, despite risking the displeasure of the Supreme Leader. </w:t>
      </w:r>
    </w:p>
    <w:p w:rsidR="00486F8A" w:rsidRDefault="00207963" w:rsidP="00FD293E">
      <w:pPr>
        <w:spacing w:line="480" w:lineRule="auto"/>
        <w:ind w:firstLine="720"/>
      </w:pPr>
      <w:r>
        <w:t xml:space="preserve">The reporters for the Times did not entertain this vision when describing the street struggles and elite politics following the disputed elections. </w:t>
      </w:r>
      <w:r w:rsidR="00C40EF2">
        <w:t>Put si</w:t>
      </w:r>
      <w:r w:rsidR="00A82018">
        <w:t xml:space="preserve">mply, scholarly </w:t>
      </w:r>
      <w:r w:rsidR="00C40EF2">
        <w:t xml:space="preserve">studies </w:t>
      </w:r>
      <w:r w:rsidR="00A82018">
        <w:t xml:space="preserve">about Iran portrayed </w:t>
      </w:r>
      <w:r w:rsidR="00C40EF2">
        <w:t>a h</w:t>
      </w:r>
      <w:r w:rsidR="00A82018">
        <w:t>ighly pluralistic regime</w:t>
      </w:r>
      <w:r w:rsidR="00C40EF2">
        <w:t>, in which people, political elites, and religious orders pursue a multiplicity of goals an</w:t>
      </w:r>
      <w:r w:rsidR="00A82018">
        <w:t>d aims, and clash accordingly.</w:t>
      </w:r>
      <w:r w:rsidR="00CA50AD">
        <w:t xml:space="preserve"> In the </w:t>
      </w:r>
      <w:r w:rsidR="00CA50AD">
        <w:lastRenderedPageBreak/>
        <w:t>words of Farideh Farhi, “it is hard to imagine any institution – including the [Revolutionary Guard]—free of elite schisms.”</w:t>
      </w:r>
      <w:r w:rsidR="00CA50AD">
        <w:rPr>
          <w:rStyle w:val="FootnoteReference"/>
        </w:rPr>
        <w:footnoteReference w:id="39"/>
      </w:r>
      <w:r w:rsidR="00A82018">
        <w:t xml:space="preserve"> </w:t>
      </w:r>
      <w:r w:rsidR="00C40EF2">
        <w:t xml:space="preserve">Journalistic accounts, in contrast, </w:t>
      </w:r>
      <w:r w:rsidR="00235250">
        <w:t xml:space="preserve">tended to </w:t>
      </w:r>
      <w:r w:rsidR="00C40EF2">
        <w:t>portray</w:t>
      </w:r>
      <w:r w:rsidR="00BC1313">
        <w:t xml:space="preserve"> Iranian politics in a bi</w:t>
      </w:r>
      <w:r w:rsidR="00C40EF2">
        <w:t xml:space="preserve">nary fashion, with actors being assigned to roles familiar to Americans raised </w:t>
      </w:r>
      <w:r w:rsidR="004477FC">
        <w:t>since childhood on mythic stories about</w:t>
      </w:r>
      <w:r w:rsidR="00C40EF2">
        <w:t xml:space="preserve"> </w:t>
      </w:r>
      <w:r w:rsidR="00235250">
        <w:t xml:space="preserve">a new </w:t>
      </w:r>
      <w:r w:rsidR="004477FC">
        <w:t>nation of property-owning and legally respectful</w:t>
      </w:r>
      <w:r w:rsidR="00BC1313">
        <w:t xml:space="preserve"> individuals resisting religiously intolerant and untrustworthy political tyrants.</w:t>
      </w:r>
      <w:r w:rsidR="00A82018">
        <w:t xml:space="preserve"> </w:t>
      </w:r>
      <w:r w:rsidR="00101145">
        <w:t xml:space="preserve">Observations </w:t>
      </w:r>
      <w:r w:rsidR="004477FC">
        <w:t xml:space="preserve">from Iran </w:t>
      </w:r>
      <w:r w:rsidR="00101145">
        <w:t xml:space="preserve">that might </w:t>
      </w:r>
      <w:r w:rsidR="00A82018">
        <w:t>clash with</w:t>
      </w:r>
      <w:r w:rsidR="00101145">
        <w:t xml:space="preserve"> the </w:t>
      </w:r>
      <w:r w:rsidR="004477FC">
        <w:t>familiar</w:t>
      </w:r>
      <w:r w:rsidR="00A82018">
        <w:t xml:space="preserve"> story about America’s founding</w:t>
      </w:r>
      <w:r w:rsidR="00101145">
        <w:t xml:space="preserve"> </w:t>
      </w:r>
      <w:r w:rsidR="00A82018">
        <w:t>were conspicuously absent.</w:t>
      </w:r>
    </w:p>
    <w:p w:rsidR="00A82018" w:rsidRDefault="00A82018">
      <w:pPr>
        <w:spacing w:line="480" w:lineRule="auto"/>
      </w:pPr>
    </w:p>
    <w:p w:rsidR="00486F8A" w:rsidRDefault="00486F8A">
      <w:pPr>
        <w:spacing w:line="480" w:lineRule="auto"/>
      </w:pPr>
      <w:r>
        <w:t>V.</w:t>
      </w:r>
      <w:r>
        <w:tab/>
        <w:t>Narratives and Forgetfulness</w:t>
      </w:r>
    </w:p>
    <w:p w:rsidR="00675BBC" w:rsidRDefault="00CE388C">
      <w:pPr>
        <w:spacing w:line="480" w:lineRule="auto"/>
      </w:pPr>
      <w:r>
        <w:t xml:space="preserve">If the journalists </w:t>
      </w:r>
      <w:r w:rsidR="00664774">
        <w:t xml:space="preserve">for the </w:t>
      </w:r>
      <w:r w:rsidR="00664774" w:rsidRPr="00664774">
        <w:rPr>
          <w:u w:val="single"/>
        </w:rPr>
        <w:t>Times</w:t>
      </w:r>
      <w:r w:rsidR="00664774">
        <w:t xml:space="preserve"> </w:t>
      </w:r>
      <w:r>
        <w:t xml:space="preserve">did in fact employ a common American storyline to make sense of the events in Iran, why did they do so, as opposed to either adopting some form of class analysis or recognizing the large universe of competing interests and values that many scholars report? </w:t>
      </w:r>
      <w:r w:rsidR="00486F8A">
        <w:t>Ricoeur</w:t>
      </w:r>
      <w:r>
        <w:t xml:space="preserve"> suggests that the reasons for e</w:t>
      </w:r>
      <w:r w:rsidR="00664774">
        <w:t>mbracing a familiar narrative are</w:t>
      </w:r>
      <w:r>
        <w:t xml:space="preserve"> not mere</w:t>
      </w:r>
      <w:r w:rsidR="006F2577">
        <w:t xml:space="preserve">ly </w:t>
      </w:r>
      <w:r w:rsidR="00664774">
        <w:t xml:space="preserve">those of </w:t>
      </w:r>
      <w:r w:rsidR="006F2577">
        <w:t>convenience. It is not simply that</w:t>
      </w:r>
      <w:r>
        <w:t xml:space="preserve"> </w:t>
      </w:r>
      <w:r w:rsidR="006F2577">
        <w:t>“</w:t>
      </w:r>
      <w:r>
        <w:t>I need some sort of narrative to make sense of my situation, so I might as well use the narratives that were taught to me since childhood.</w:t>
      </w:r>
      <w:r w:rsidR="006F2577">
        <w:t>”</w:t>
      </w:r>
      <w:r>
        <w:t xml:space="preserve">  In addition</w:t>
      </w:r>
      <w:r w:rsidR="00A82018">
        <w:t>,</w:t>
      </w:r>
      <w:r w:rsidR="00664774">
        <w:t xml:space="preserve"> he says,</w:t>
      </w:r>
      <w:r w:rsidR="00486F8A">
        <w:t xml:space="preserve"> pe</w:t>
      </w:r>
      <w:r w:rsidR="00A82018">
        <w:t xml:space="preserve">ople </w:t>
      </w:r>
      <w:r>
        <w:t>use one or more of their</w:t>
      </w:r>
      <w:r w:rsidR="00A82018">
        <w:t xml:space="preserve"> c</w:t>
      </w:r>
      <w:r>
        <w:t xml:space="preserve">ommunity’s narratives as a fig leaf to cover </w:t>
      </w:r>
      <w:r w:rsidR="00A82018">
        <w:t>shame and guilt. Narrative</w:t>
      </w:r>
      <w:r w:rsidR="007D2EC5">
        <w:t>s</w:t>
      </w:r>
      <w:r w:rsidR="00A82018">
        <w:t xml:space="preserve">, besides expressing and revealing a person’s beliefs, obfuscate the past and permit selective amnesia about </w:t>
      </w:r>
      <w:r w:rsidR="006F2577">
        <w:t xml:space="preserve">one’s </w:t>
      </w:r>
      <w:r w:rsidR="00A82018">
        <w:t>personal and group history.</w:t>
      </w:r>
      <w:r w:rsidR="00486F8A">
        <w:rPr>
          <w:rStyle w:val="FootnoteReference"/>
        </w:rPr>
        <w:footnoteReference w:id="40"/>
      </w:r>
      <w:r w:rsidR="00675BBC">
        <w:t xml:space="preserve"> </w:t>
      </w:r>
      <w:r w:rsidR="00486F8A">
        <w:t xml:space="preserve"> </w:t>
      </w:r>
    </w:p>
    <w:p w:rsidR="00486F8A" w:rsidRDefault="00574231" w:rsidP="00675BBC">
      <w:pPr>
        <w:spacing w:line="480" w:lineRule="auto"/>
        <w:ind w:firstLine="720"/>
      </w:pPr>
      <w:r>
        <w:t>US intervention in the affairs of other sovereign countries is one</w:t>
      </w:r>
      <w:r w:rsidR="007D2EC5">
        <w:t xml:space="preserve"> of the</w:t>
      </w:r>
      <w:r>
        <w:t xml:space="preserve"> topic</w:t>
      </w:r>
      <w:r w:rsidR="007D2EC5">
        <w:t>s</w:t>
      </w:r>
      <w:r>
        <w:t xml:space="preserve"> that perhaps was obscured by the narrative</w:t>
      </w:r>
      <w:r w:rsidR="00CE388C">
        <w:t xml:space="preserve"> of a</w:t>
      </w:r>
      <w:r w:rsidR="007D2EC5">
        <w:t>n oppressed</w:t>
      </w:r>
      <w:r w:rsidR="00CE388C">
        <w:t xml:space="preserve"> people rising together against a </w:t>
      </w:r>
      <w:r w:rsidR="00CE388C">
        <w:lastRenderedPageBreak/>
        <w:t xml:space="preserve">tyrannical </w:t>
      </w:r>
      <w:r>
        <w:t>system of rule. According to the news reports,</w:t>
      </w:r>
      <w:r w:rsidR="00675BBC">
        <w:t xml:space="preserve"> </w:t>
      </w:r>
      <w:r w:rsidR="00486F8A">
        <w:t xml:space="preserve">the Iranian </w:t>
      </w:r>
      <w:r>
        <w:t xml:space="preserve">government accused the United States and Great Britain of aiding </w:t>
      </w:r>
      <w:r w:rsidR="00486F8A">
        <w:t>the anti-government demonstrators.</w:t>
      </w:r>
      <w:r w:rsidR="00486F8A">
        <w:rPr>
          <w:rStyle w:val="FootnoteReference"/>
        </w:rPr>
        <w:footnoteReference w:id="41"/>
      </w:r>
      <w:r w:rsidR="00675BBC">
        <w:t xml:space="preserve"> In the words of one article</w:t>
      </w:r>
      <w:r w:rsidR="00486F8A">
        <w:t>, “[T]he government appeared to fall back on a familiar playbook: trying to rouse Iranians through populist appeals against outside interference and dark accusations of foreign conspiracy.”</w:t>
      </w:r>
      <w:r w:rsidR="00486F8A">
        <w:rPr>
          <w:rStyle w:val="FootnoteReference"/>
        </w:rPr>
        <w:footnoteReference w:id="42"/>
      </w:r>
      <w:r w:rsidR="007F5669">
        <w:t xml:space="preserve"> </w:t>
      </w:r>
      <w:r>
        <w:t xml:space="preserve">Rather than taking the accusations seriously, the reporters </w:t>
      </w:r>
      <w:r w:rsidR="00675BBC">
        <w:t xml:space="preserve">simply cited the accusations as </w:t>
      </w:r>
      <w:r>
        <w:t>an</w:t>
      </w:r>
      <w:r w:rsidR="00486F8A">
        <w:t xml:space="preserve"> example of </w:t>
      </w:r>
      <w:r>
        <w:t xml:space="preserve">a conspiracy of </w:t>
      </w:r>
      <w:r w:rsidR="00486F8A">
        <w:t>tyrants attempting to misinform citizens.</w:t>
      </w:r>
      <w:r w:rsidR="00486F8A">
        <w:rPr>
          <w:rStyle w:val="FootnoteReference"/>
        </w:rPr>
        <w:footnoteReference w:id="43"/>
      </w:r>
      <w:r>
        <w:t xml:space="preserve"> Election manipulation and the designs of the ruling class sufficed as explanations for why citizens were taking to the streets.</w:t>
      </w:r>
      <w:r w:rsidR="00486F8A">
        <w:t xml:space="preserve">  </w:t>
      </w:r>
    </w:p>
    <w:p w:rsidR="00CB7F31" w:rsidRDefault="00486F8A" w:rsidP="00584BDC">
      <w:pPr>
        <w:spacing w:line="480" w:lineRule="auto"/>
        <w:ind w:firstLine="720"/>
      </w:pPr>
      <w:r>
        <w:t xml:space="preserve">But </w:t>
      </w:r>
      <w:r w:rsidR="007D2EC5">
        <w:t>did</w:t>
      </w:r>
      <w:r w:rsidR="00574231">
        <w:t xml:space="preserve"> the</w:t>
      </w:r>
      <w:r w:rsidR="00675BBC">
        <w:t xml:space="preserve"> familiar narrative </w:t>
      </w:r>
      <w:r w:rsidR="007D2EC5">
        <w:t>also allow</w:t>
      </w:r>
      <w:r w:rsidR="00574231">
        <w:t xml:space="preserve"> the reporters and, indirectly, the readers of the news reports to</w:t>
      </w:r>
      <w:r w:rsidR="00675BBC">
        <w:t xml:space="preserve"> dodge </w:t>
      </w:r>
      <w:r w:rsidR="00574231">
        <w:t>an uncomfortable truth</w:t>
      </w:r>
      <w:r w:rsidR="00675BBC">
        <w:t xml:space="preserve">?  </w:t>
      </w:r>
      <w:r>
        <w:t>The United States</w:t>
      </w:r>
      <w:r w:rsidR="00574231">
        <w:t>, after all,</w:t>
      </w:r>
      <w:r>
        <w:t xml:space="preserve"> </w:t>
      </w:r>
      <w:r w:rsidR="007D2EC5">
        <w:t xml:space="preserve">for more than a half century </w:t>
      </w:r>
      <w:r>
        <w:t xml:space="preserve">has </w:t>
      </w:r>
      <w:r w:rsidR="00574231">
        <w:t xml:space="preserve">been involved </w:t>
      </w:r>
      <w:r w:rsidR="007D2EC5">
        <w:t xml:space="preserve">in </w:t>
      </w:r>
      <w:r w:rsidR="001144F9">
        <w:t>efforts</w:t>
      </w:r>
      <w:r w:rsidR="007D2EC5">
        <w:t xml:space="preserve"> to redirect</w:t>
      </w:r>
      <w:r w:rsidR="00574231">
        <w:t xml:space="preserve"> Iranian polit</w:t>
      </w:r>
      <w:r w:rsidR="007D2EC5">
        <w:t>ics from outside the country’s borders</w:t>
      </w:r>
      <w:r w:rsidR="00574231">
        <w:t xml:space="preserve">. </w:t>
      </w:r>
      <w:r w:rsidR="00CB7F31">
        <w:t>Very e</w:t>
      </w:r>
      <w:r w:rsidR="00675BBC">
        <w:t xml:space="preserve">arly in the Cold War, </w:t>
      </w:r>
      <w:r w:rsidR="00CB7F31">
        <w:t xml:space="preserve">for example, </w:t>
      </w:r>
      <w:r w:rsidR="00675BBC">
        <w:t>t</w:t>
      </w:r>
      <w:r>
        <w:t>h</w:t>
      </w:r>
      <w:r w:rsidR="00675BBC">
        <w:t xml:space="preserve">e United States </w:t>
      </w:r>
      <w:r w:rsidR="00DE5A0C">
        <w:t>secretly prepared an uprising</w:t>
      </w:r>
      <w:r w:rsidR="00CB7F31">
        <w:t xml:space="preserve"> that </w:t>
      </w:r>
      <w:r>
        <w:t xml:space="preserve">toppled Iran’s elected </w:t>
      </w:r>
      <w:r w:rsidR="00CB7F31">
        <w:t>government. Afterwards, the United States armed</w:t>
      </w:r>
      <w:r w:rsidR="00DE5A0C">
        <w:t xml:space="preserve"> and financially aided</w:t>
      </w:r>
      <w:r w:rsidR="00CB7F31">
        <w:t xml:space="preserve"> a </w:t>
      </w:r>
      <w:r>
        <w:t>dic</w:t>
      </w:r>
      <w:r w:rsidR="00675BBC">
        <w:t>tator</w:t>
      </w:r>
      <w:r w:rsidR="00CB7F31">
        <w:t>ship in Iran</w:t>
      </w:r>
      <w:r w:rsidR="00DE5A0C">
        <w:t xml:space="preserve"> for more than a quarter </w:t>
      </w:r>
      <w:r w:rsidR="00DE5A0C">
        <w:lastRenderedPageBreak/>
        <w:t>century</w:t>
      </w:r>
      <w:r w:rsidR="00CB7F31">
        <w:t xml:space="preserve">. </w:t>
      </w:r>
      <w:r w:rsidR="00675BBC">
        <w:t>More recently, the United States</w:t>
      </w:r>
      <w:r>
        <w:t xml:space="preserve"> s</w:t>
      </w:r>
      <w:r w:rsidR="00CB7F31">
        <w:t>ided with Iraq in a</w:t>
      </w:r>
      <w:r w:rsidR="00675BBC">
        <w:t xml:space="preserve"> highly destructive</w:t>
      </w:r>
      <w:r w:rsidR="00CB7F31">
        <w:t xml:space="preserve"> </w:t>
      </w:r>
      <w:r>
        <w:t>war</w:t>
      </w:r>
      <w:r w:rsidR="00CB7F31">
        <w:t xml:space="preserve"> with Iran and, during the war, may have facilitated</w:t>
      </w:r>
      <w:r>
        <w:t xml:space="preserve"> Iraq’s use of chemical weapons </w:t>
      </w:r>
      <w:r w:rsidR="00675BBC">
        <w:t>agains</w:t>
      </w:r>
      <w:r w:rsidR="00CB7F31">
        <w:t>t Iranian citizens.</w:t>
      </w:r>
      <w:r w:rsidR="00675BBC">
        <w:t xml:space="preserve"> </w:t>
      </w:r>
      <w:r w:rsidR="00CB7F31">
        <w:t xml:space="preserve">In addition, the United States military </w:t>
      </w:r>
      <w:r w:rsidR="00DE5A0C">
        <w:t xml:space="preserve">during its standoff with Iran over hostages </w:t>
      </w:r>
      <w:r w:rsidR="00584BDC">
        <w:t xml:space="preserve">shot down a </w:t>
      </w:r>
      <w:r w:rsidR="00CB7F31">
        <w:t xml:space="preserve">non-military </w:t>
      </w:r>
      <w:r w:rsidR="00584BDC">
        <w:t>Iranian passenger plane (killing</w:t>
      </w:r>
      <w:r>
        <w:t xml:space="preserve"> more than one hundred passengers) that ha</w:t>
      </w:r>
      <w:r w:rsidR="00CB7F31">
        <w:t>d not violated air space. A</w:t>
      </w:r>
      <w:r>
        <w:t xml:space="preserve">fter Iran offered to help the United States with its war with Afghanistan and its invasion of Iraq, </w:t>
      </w:r>
      <w:r w:rsidR="00CB7F31">
        <w:t xml:space="preserve">the United States </w:t>
      </w:r>
      <w:r>
        <w:t>labeled Iran a</w:t>
      </w:r>
      <w:r w:rsidR="007F5669">
        <w:t xml:space="preserve"> member of the Axis of Evil.</w:t>
      </w:r>
      <w:r w:rsidR="00584BDC">
        <w:t xml:space="preserve"> Finally</w:t>
      </w:r>
      <w:r>
        <w:t>,</w:t>
      </w:r>
      <w:r w:rsidR="00CB7F31">
        <w:t xml:space="preserve"> during the reported events of 2009, former</w:t>
      </w:r>
      <w:r>
        <w:t xml:space="preserve"> insiders during the presidential administr</w:t>
      </w:r>
      <w:r w:rsidR="00584BDC">
        <w:t>ation of George W. Bush revealed to</w:t>
      </w:r>
      <w:r>
        <w:t xml:space="preserve"> </w:t>
      </w:r>
      <w:r>
        <w:rPr>
          <w:u w:val="single"/>
        </w:rPr>
        <w:t>Times</w:t>
      </w:r>
      <w:r>
        <w:t xml:space="preserve"> reporters t</w:t>
      </w:r>
      <w:r w:rsidR="00CB7F31">
        <w:t>hat the U.S. government had been</w:t>
      </w:r>
      <w:r>
        <w:t xml:space="preserve"> foment</w:t>
      </w:r>
      <w:r w:rsidR="00CB7F31">
        <w:t>ing</w:t>
      </w:r>
      <w:r>
        <w:t xml:space="preserve"> dissident groups within Iran</w:t>
      </w:r>
      <w:r w:rsidR="00CB7F31">
        <w:t xml:space="preserve"> through both overt and covert means</w:t>
      </w:r>
      <w:r>
        <w:t>.</w:t>
      </w:r>
      <w:r>
        <w:rPr>
          <w:rStyle w:val="FootnoteReference"/>
        </w:rPr>
        <w:footnoteReference w:id="44"/>
      </w:r>
      <w:r w:rsidR="00584BDC">
        <w:t xml:space="preserve"> </w:t>
      </w:r>
    </w:p>
    <w:p w:rsidR="00486F8A" w:rsidRDefault="00CB7F31" w:rsidP="00DE5A0C">
      <w:pPr>
        <w:spacing w:line="480" w:lineRule="auto"/>
        <w:ind w:firstLine="720"/>
      </w:pPr>
      <w:r>
        <w:t>In other words, the American government has bee</w:t>
      </w:r>
      <w:r w:rsidR="007D2EC5">
        <w:t xml:space="preserve">n trying </w:t>
      </w:r>
      <w:r w:rsidR="00DE5A0C">
        <w:t>to control</w:t>
      </w:r>
      <w:r>
        <w:t xml:space="preserve"> Iranian </w:t>
      </w:r>
      <w:r w:rsidR="00DE5A0C">
        <w:t xml:space="preserve">public </w:t>
      </w:r>
      <w:r>
        <w:t>affairs for a long time</w:t>
      </w:r>
      <w:r w:rsidR="007D2EC5">
        <w:t xml:space="preserve"> and in doing so has backed non-democratic groups and impeded democratic processes. Its ongoing behavior belies its claim of being a defender of democracy and of human rights. Consequently, t</w:t>
      </w:r>
      <w:r>
        <w:t xml:space="preserve">he narrative </w:t>
      </w:r>
      <w:r w:rsidR="006F2577">
        <w:t xml:space="preserve">of </w:t>
      </w:r>
      <w:r>
        <w:t>a freedom-loving people arising spontaneously against their governmental oppressors not only is congruent with stories Americans like to tell</w:t>
      </w:r>
      <w:r w:rsidR="006F2577">
        <w:t xml:space="preserve"> about their country’s origins. T</w:t>
      </w:r>
      <w:r w:rsidR="00DE5A0C">
        <w:t>he narrative</w:t>
      </w:r>
      <w:r w:rsidR="007D2EC5">
        <w:t xml:space="preserve"> also</w:t>
      </w:r>
      <w:r w:rsidR="00DE5A0C">
        <w:t xml:space="preserve"> allows Americans to be distracted from more morally troubling questions about </w:t>
      </w:r>
      <w:r w:rsidR="00966CD3">
        <w:t>the authenticity of their democratic claims, about the country’s use</w:t>
      </w:r>
      <w:r w:rsidR="00DE5A0C">
        <w:t xml:space="preserve"> citizens of foreign countries as objects</w:t>
      </w:r>
      <w:r w:rsidR="00966CD3">
        <w:t>,</w:t>
      </w:r>
      <w:r w:rsidR="00DE5A0C">
        <w:t xml:space="preserve"> and about buttressing unwanted tyrannies whenever it seems to US officials be in the best interest of the United States. </w:t>
      </w:r>
      <w:r w:rsidR="00966CD3">
        <w:t>Through the use of the familiar narrative, d</w:t>
      </w:r>
      <w:r w:rsidR="00DE5A0C">
        <w:t xml:space="preserve">ifficult questions </w:t>
      </w:r>
      <w:r w:rsidR="00966CD3">
        <w:t xml:space="preserve">– </w:t>
      </w:r>
      <w:r w:rsidR="00DE5A0C">
        <w:t xml:space="preserve">about </w:t>
      </w:r>
      <w:r w:rsidR="00966CD3">
        <w:t xml:space="preserve">recurrent </w:t>
      </w:r>
      <w:r w:rsidR="00DE5A0C">
        <w:t xml:space="preserve">violations of international laws </w:t>
      </w:r>
      <w:r w:rsidR="001144F9">
        <w:t xml:space="preserve">through covert actions, </w:t>
      </w:r>
      <w:r w:rsidR="00DE5A0C">
        <w:t xml:space="preserve">and </w:t>
      </w:r>
      <w:r w:rsidR="00DE5A0C">
        <w:lastRenderedPageBreak/>
        <w:t xml:space="preserve">about </w:t>
      </w:r>
      <w:r w:rsidR="00966CD3">
        <w:t>the degree of democratic</w:t>
      </w:r>
      <w:r w:rsidR="00DE5A0C">
        <w:t xml:space="preserve"> </w:t>
      </w:r>
      <w:r w:rsidR="00966CD3">
        <w:t>control over America’s security state</w:t>
      </w:r>
      <w:r w:rsidR="00DE5A0C">
        <w:t xml:space="preserve"> </w:t>
      </w:r>
      <w:r w:rsidR="00966CD3">
        <w:t xml:space="preserve">– </w:t>
      </w:r>
      <w:r w:rsidR="00DE5A0C">
        <w:t>become unnecessary to ask.</w:t>
      </w:r>
      <w:r w:rsidR="00486F8A">
        <w:rPr>
          <w:rStyle w:val="FootnoteReference"/>
        </w:rPr>
        <w:footnoteReference w:id="45"/>
      </w:r>
    </w:p>
    <w:p w:rsidR="00B8128C" w:rsidRDefault="00597343">
      <w:pPr>
        <w:spacing w:line="480" w:lineRule="auto"/>
      </w:pPr>
      <w:r>
        <w:tab/>
      </w:r>
      <w:r w:rsidR="00584BDC">
        <w:t>Besides obfuscating U.S. efforts to reconstruct other societies, t</w:t>
      </w:r>
      <w:r>
        <w:t>he narrative about Iran’s beautiful rebellion against tyranny hides possibly another painful issue f</w:t>
      </w:r>
      <w:r w:rsidR="00584BDC">
        <w:t xml:space="preserve">rom American readers: fears about the concentration of economic and political power in the hands of corporate elites and about the </w:t>
      </w:r>
      <w:r w:rsidR="00922B21">
        <w:t xml:space="preserve">possible </w:t>
      </w:r>
      <w:r w:rsidR="00584BDC">
        <w:t>growing power imbalance</w:t>
      </w:r>
      <w:r>
        <w:t xml:space="preserve"> be</w:t>
      </w:r>
      <w:r w:rsidR="00584BDC">
        <w:t>tween</w:t>
      </w:r>
      <w:r>
        <w:t xml:space="preserve"> “main stree</w:t>
      </w:r>
      <w:r w:rsidR="00584BDC">
        <w:t xml:space="preserve">t” and </w:t>
      </w:r>
      <w:r w:rsidR="007F5669">
        <w:t xml:space="preserve">“Wall Street.” </w:t>
      </w:r>
      <w:r>
        <w:t>The journalists covering Iran’s post-election rebellion either knowingly or unknowingly brush</w:t>
      </w:r>
      <w:r w:rsidR="00922B21">
        <w:t>ed</w:t>
      </w:r>
      <w:r>
        <w:t xml:space="preserve"> aside suspicions wafting through Iran that t</w:t>
      </w:r>
      <w:r w:rsidR="006F2577">
        <w:t>he candidates running against Ah</w:t>
      </w:r>
      <w:r>
        <w:t xml:space="preserve">madinejad either belonged the wealthiest families (by far) in the country and had acquired that </w:t>
      </w:r>
      <w:r w:rsidR="00922B21">
        <w:t>wealth throug</w:t>
      </w:r>
      <w:r w:rsidR="00B8128C">
        <w:t>h sub rosa political connections</w:t>
      </w:r>
      <w:r>
        <w:t>, or were backed by the co</w:t>
      </w:r>
      <w:r w:rsidR="007F5669">
        <w:t>untry’s self-serving oligarchy.</w:t>
      </w:r>
      <w:r w:rsidR="00B8128C">
        <w:t xml:space="preserve"> In theory, a</w:t>
      </w:r>
      <w:r>
        <w:t xml:space="preserve"> class-based interpretation of the anti-government demonstrations and of splits within the elite would not have been difficult to write (and, as we have already noted, economic aspects of Iran’s domestic politics were stressed immed</w:t>
      </w:r>
      <w:r w:rsidR="007F5669">
        <w:t xml:space="preserve">iately prior to the election). </w:t>
      </w:r>
      <w:r w:rsidR="006F2577">
        <w:t xml:space="preserve">Strikes </w:t>
      </w:r>
      <w:r w:rsidR="0076342B">
        <w:t xml:space="preserve">by </w:t>
      </w:r>
      <w:r w:rsidR="006F2577">
        <w:t>bus drivers, school teachers, and factory workers had been shaking Iranian so</w:t>
      </w:r>
      <w:r w:rsidR="0076342B">
        <w:t>ciety for several years. This led</w:t>
      </w:r>
      <w:r w:rsidR="006F2577">
        <w:t xml:space="preserve"> one scholar to emphasize</w:t>
      </w:r>
      <w:r w:rsidR="0076342B">
        <w:t xml:space="preserve"> that “the Green Movement was not just a clap of thunder in a clear blue sky.”</w:t>
      </w:r>
      <w:r w:rsidR="0076342B">
        <w:rPr>
          <w:rStyle w:val="FootnoteReference"/>
        </w:rPr>
        <w:footnoteReference w:id="46"/>
      </w:r>
      <w:r w:rsidR="0076342B">
        <w:t xml:space="preserve"> </w:t>
      </w:r>
      <w:r w:rsidR="00B8128C">
        <w:t>But, that was not an angle</w:t>
      </w:r>
      <w:r w:rsidR="0076342B">
        <w:t xml:space="preserve"> that reporters and editors </w:t>
      </w:r>
      <w:r>
        <w:t>chose to st</w:t>
      </w:r>
      <w:r w:rsidR="007F5669">
        <w:t xml:space="preserve">ress. </w:t>
      </w:r>
    </w:p>
    <w:p w:rsidR="00966CD3" w:rsidRDefault="0076342B" w:rsidP="00B8128C">
      <w:pPr>
        <w:spacing w:line="480" w:lineRule="auto"/>
        <w:ind w:firstLine="720"/>
      </w:pPr>
      <w:r>
        <w:t>Why the de-emphasis of</w:t>
      </w:r>
      <w:r w:rsidR="00B8128C">
        <w:t xml:space="preserve"> economic interests within Iran? </w:t>
      </w:r>
      <w:r w:rsidR="0073160A">
        <w:t xml:space="preserve">Timing may provide a clue. </w:t>
      </w:r>
      <w:r w:rsidR="001144F9">
        <w:t>The reports about Iran appeared in a particular historical context: the American economy had recently nosedived.</w:t>
      </w:r>
      <w:r>
        <w:t xml:space="preserve"> At that</w:t>
      </w:r>
      <w:r w:rsidR="0073160A">
        <w:t xml:space="preserve"> time,</w:t>
      </w:r>
      <w:r w:rsidR="00597343">
        <w:t xml:space="preserve"> </w:t>
      </w:r>
      <w:r w:rsidR="0073160A">
        <w:t xml:space="preserve">laid off </w:t>
      </w:r>
      <w:r w:rsidR="001144F9">
        <w:t xml:space="preserve">workers, indebted home owners, </w:t>
      </w:r>
      <w:r w:rsidR="001144F9">
        <w:lastRenderedPageBreak/>
        <w:t>and bankrupt small businesses</w:t>
      </w:r>
      <w:r w:rsidR="00597343">
        <w:t xml:space="preserve"> were increasingly furious with and demanding punishment o</w:t>
      </w:r>
      <w:r w:rsidR="001144F9">
        <w:t>f Wall Street bankers;</w:t>
      </w:r>
      <w:r w:rsidR="0073160A">
        <w:t xml:space="preserve"> and </w:t>
      </w:r>
      <w:r w:rsidR="00597343">
        <w:t>the seeds of the Tea Party mov</w:t>
      </w:r>
      <w:r w:rsidR="007F5669">
        <w:t xml:space="preserve">ement </w:t>
      </w:r>
      <w:r w:rsidR="001144F9">
        <w:t xml:space="preserve">and, a little later, the Occupy movement </w:t>
      </w:r>
      <w:r w:rsidR="007F5669">
        <w:t xml:space="preserve">were </w:t>
      </w:r>
      <w:r w:rsidR="001144F9">
        <w:t>being planted</w:t>
      </w:r>
      <w:r w:rsidR="007F5669">
        <w:t>.</w:t>
      </w:r>
      <w:r w:rsidR="00597343">
        <w:t xml:space="preserve"> </w:t>
      </w:r>
      <w:r w:rsidR="001144F9">
        <w:t>I</w:t>
      </w:r>
      <w:r w:rsidR="00311CD0">
        <w:t>t was unclear what to do with collapse of major banks, auto companies, and housing markets. In the United States, economic verities were being questioned</w:t>
      </w:r>
      <w:r>
        <w:t>: bailouts were being considered for enormous corporations and financial institutions</w:t>
      </w:r>
      <w:r w:rsidR="001144F9">
        <w:t>; proponents of austerity measures and Keynesian thought denounced each other’s reasoning</w:t>
      </w:r>
      <w:r w:rsidR="00311CD0">
        <w:t>. Meanwhile, i</w:t>
      </w:r>
      <w:r w:rsidR="0073160A">
        <w:t xml:space="preserve">n Iran, rival visions of capitalism, of socialism, and of Islamic </w:t>
      </w:r>
      <w:r w:rsidR="00311CD0">
        <w:t>understandings of economic justice were being deba</w:t>
      </w:r>
      <w:r w:rsidR="00966CD3">
        <w:t xml:space="preserve">ted </w:t>
      </w:r>
      <w:r w:rsidR="001144F9">
        <w:t>heatedly</w:t>
      </w:r>
      <w:r w:rsidR="00966CD3">
        <w:t xml:space="preserve"> and</w:t>
      </w:r>
      <w:r w:rsidR="001144F9">
        <w:t xml:space="preserve"> were</w:t>
      </w:r>
      <w:r w:rsidR="00966CD3">
        <w:t xml:space="preserve"> fragmenting </w:t>
      </w:r>
      <w:r w:rsidR="00311CD0">
        <w:t xml:space="preserve">the political </w:t>
      </w:r>
      <w:r w:rsidR="00966CD3">
        <w:t>elite, Iran’s religious establishing,</w:t>
      </w:r>
      <w:r w:rsidR="00311CD0">
        <w:t xml:space="preserve"> and the </w:t>
      </w:r>
      <w:r w:rsidR="00966CD3">
        <w:t xml:space="preserve">highly decentralized </w:t>
      </w:r>
      <w:r w:rsidR="00311CD0">
        <w:t xml:space="preserve">Green protest movement. </w:t>
      </w:r>
    </w:p>
    <w:p w:rsidR="00597343" w:rsidRDefault="00966CD3" w:rsidP="00B8128C">
      <w:pPr>
        <w:spacing w:line="480" w:lineRule="auto"/>
        <w:ind w:firstLine="720"/>
      </w:pPr>
      <w:r>
        <w:t>Given conditions in the United States, i</w:t>
      </w:r>
      <w:r w:rsidR="00597343">
        <w:t xml:space="preserve">t may be that </w:t>
      </w:r>
      <w:r w:rsidR="00311CD0">
        <w:t xml:space="preserve">the </w:t>
      </w:r>
      <w:r>
        <w:t xml:space="preserve">disagreements and </w:t>
      </w:r>
      <w:r w:rsidR="00311CD0">
        <w:t>clashes over economic policies and theories in Iran was not a topic the correspondents wished to address</w:t>
      </w:r>
      <w:r w:rsidR="006125EE">
        <w:t xml:space="preserve"> in a thorough and systematic manner</w:t>
      </w:r>
      <w:r w:rsidR="00311CD0">
        <w:t>. It may have been that the political tinderbox of how to handle capitalism’s periodic meltdowns was to</w:t>
      </w:r>
      <w:r w:rsidR="0076342B">
        <w:t>o</w:t>
      </w:r>
      <w:r w:rsidR="00311CD0">
        <w:t xml:space="preserve"> scary</w:t>
      </w:r>
      <w:r w:rsidR="006125EE">
        <w:t xml:space="preserve"> to contemplate</w:t>
      </w:r>
      <w:r w:rsidR="00597343">
        <w:t xml:space="preserve"> about</w:t>
      </w:r>
      <w:r w:rsidR="0076342B">
        <w:t xml:space="preserve"> because </w:t>
      </w:r>
      <w:r w:rsidR="006125EE">
        <w:t>the topic</w:t>
      </w:r>
      <w:r w:rsidR="0076342B">
        <w:t xml:space="preserve"> was, substantively, too close to home</w:t>
      </w:r>
      <w:r w:rsidR="00597343">
        <w:t>.</w:t>
      </w:r>
      <w:r>
        <w:t xml:space="preserve"> Arguably, to discuss in detail the intense economic debates percolating</w:t>
      </w:r>
      <w:r w:rsidR="001144F9">
        <w:t xml:space="preserve"> through Iran would have compelled both</w:t>
      </w:r>
      <w:r w:rsidR="00CD3E9A">
        <w:t xml:space="preserve"> journalists and their readers</w:t>
      </w:r>
      <w:r w:rsidR="001144F9">
        <w:t xml:space="preserve"> to address</w:t>
      </w:r>
      <w:r w:rsidR="00CD3E9A">
        <w:t xml:space="preserve"> uncomfortable</w:t>
      </w:r>
      <w:r w:rsidR="001144F9">
        <w:t xml:space="preserve"> questions about the permanence</w:t>
      </w:r>
      <w:r>
        <w:t xml:space="preserve"> and promise of capitalist economics </w:t>
      </w:r>
      <w:r w:rsidR="006125EE">
        <w:t>in general</w:t>
      </w:r>
      <w:r w:rsidR="00CD3E9A">
        <w:t>, at a time when worries were becoming widespread. A full economic interpretation of Iranian politics</w:t>
      </w:r>
      <w:r w:rsidR="006125EE">
        <w:t xml:space="preserve"> would have </w:t>
      </w:r>
      <w:r w:rsidR="00CD3E9A">
        <w:t xml:space="preserve">reinforced growing </w:t>
      </w:r>
      <w:r>
        <w:t>fears</w:t>
      </w:r>
      <w:r w:rsidR="006125EE">
        <w:t xml:space="preserve"> about the fate of America’s </w:t>
      </w:r>
      <w:r w:rsidR="00CD3E9A">
        <w:t xml:space="preserve">own </w:t>
      </w:r>
      <w:r w:rsidR="006125EE">
        <w:t>economy</w:t>
      </w:r>
      <w:r>
        <w:t>.</w:t>
      </w:r>
      <w:r w:rsidR="001144F9">
        <w:t xml:space="preserve"> </w:t>
      </w:r>
      <w:r w:rsidR="003F3140">
        <w:t>Given the growing insecurities and defensiveness of those Americans who were wedded to capitalist arrangements, d</w:t>
      </w:r>
      <w:r w:rsidR="001144F9">
        <w:t xml:space="preserve">enial </w:t>
      </w:r>
      <w:r w:rsidR="003F3140">
        <w:t xml:space="preserve">of the economic side of the Iranian experience </w:t>
      </w:r>
      <w:r w:rsidR="001144F9">
        <w:t>may have see</w:t>
      </w:r>
      <w:r w:rsidR="003F3140">
        <w:t>med a less intellectually threatening</w:t>
      </w:r>
      <w:r w:rsidR="001144F9">
        <w:t xml:space="preserve"> and therefore more appealing option.</w:t>
      </w:r>
      <w:r>
        <w:t xml:space="preserve"> </w:t>
      </w:r>
    </w:p>
    <w:p w:rsidR="00597343" w:rsidRDefault="00597343">
      <w:pPr>
        <w:spacing w:line="480" w:lineRule="auto"/>
      </w:pPr>
    </w:p>
    <w:p w:rsidR="00597343" w:rsidRDefault="00597343">
      <w:pPr>
        <w:spacing w:line="480" w:lineRule="auto"/>
      </w:pPr>
      <w:r>
        <w:t xml:space="preserve">VI. </w:t>
      </w:r>
      <w:r>
        <w:tab/>
        <w:t>Conclusions</w:t>
      </w:r>
    </w:p>
    <w:p w:rsidR="003F3140" w:rsidRDefault="00922B21" w:rsidP="00A91D50">
      <w:pPr>
        <w:spacing w:line="480" w:lineRule="auto"/>
      </w:pPr>
      <w:r>
        <w:t>Ric</w:t>
      </w:r>
      <w:r w:rsidR="00831F06">
        <w:t>oeur’s ideas</w:t>
      </w:r>
      <w:r w:rsidR="00311CD0">
        <w:t xml:space="preserve"> about how </w:t>
      </w:r>
      <w:r w:rsidR="00831F06">
        <w:t xml:space="preserve">familiar narratives inform representations of public events are useful for understanding the way </w:t>
      </w:r>
      <w:r w:rsidR="0076342B">
        <w:t xml:space="preserve">allegedly “objective” </w:t>
      </w:r>
      <w:r w:rsidR="00831F06">
        <w:t xml:space="preserve">news accounts represent reality. Narratives, by imputing motivations and perceptions to actors, give </w:t>
      </w:r>
      <w:r w:rsidR="0076342B">
        <w:t xml:space="preserve">journalistic </w:t>
      </w:r>
      <w:r w:rsidR="00831F06">
        <w:t>descriptions logical shape. But</w:t>
      </w:r>
      <w:r w:rsidR="00A91D50">
        <w:t>,</w:t>
      </w:r>
      <w:r w:rsidR="00831F06">
        <w:t xml:space="preserve"> they also distort and obfuscate vision</w:t>
      </w:r>
      <w:r w:rsidR="001B475B">
        <w:t>. Narratives make events on</w:t>
      </w:r>
      <w:r w:rsidR="0076342B">
        <w:t xml:space="preserve"> foreign </w:t>
      </w:r>
      <w:r w:rsidR="001B475B">
        <w:t xml:space="preserve">soil </w:t>
      </w:r>
      <w:r w:rsidR="0076342B">
        <w:t>feel familiar</w:t>
      </w:r>
      <w:r w:rsidR="001B475B">
        <w:t>,</w:t>
      </w:r>
      <w:r w:rsidR="0076342B">
        <w:t xml:space="preserve"> because the actors and their actions resemble already well-known figures and plots. But</w:t>
      </w:r>
      <w:r w:rsidR="00A91D50">
        <w:t>,</w:t>
      </w:r>
      <w:r w:rsidR="0076342B">
        <w:t xml:space="preserve"> </w:t>
      </w:r>
      <w:r w:rsidR="001B475B">
        <w:t xml:space="preserve">familiar and emotionally comfortable </w:t>
      </w:r>
      <w:r w:rsidR="0076342B">
        <w:t>narratives also</w:t>
      </w:r>
      <w:r w:rsidR="00831F06">
        <w:t xml:space="preserve"> allow</w:t>
      </w:r>
      <w:r w:rsidR="0076342B">
        <w:t xml:space="preserve"> </w:t>
      </w:r>
      <w:r w:rsidR="001B475B">
        <w:t xml:space="preserve">for issue </w:t>
      </w:r>
      <w:r w:rsidR="0076342B">
        <w:t xml:space="preserve">avoidance and </w:t>
      </w:r>
      <w:r w:rsidR="001B475B">
        <w:t xml:space="preserve">can facilitate </w:t>
      </w:r>
      <w:r w:rsidR="0076342B">
        <w:t xml:space="preserve">denial. </w:t>
      </w:r>
      <w:r w:rsidR="00A91D50">
        <w:t>Through the use of familiar storylines, r</w:t>
      </w:r>
      <w:r w:rsidR="006125EE">
        <w:t>eporters can minimize facts</w:t>
      </w:r>
      <w:r w:rsidR="00A91D50">
        <w:t xml:space="preserve"> and observations</w:t>
      </w:r>
      <w:r w:rsidR="006125EE">
        <w:t xml:space="preserve"> that might unsettle arrangements at home. Extant patterns of authority are thus reinforced, and subversive notions about social alternatives are eliminated. </w:t>
      </w:r>
    </w:p>
    <w:p w:rsidR="00597343" w:rsidRDefault="003F3140" w:rsidP="003F3140">
      <w:pPr>
        <w:spacing w:line="480" w:lineRule="auto"/>
        <w:ind w:firstLine="720"/>
      </w:pPr>
      <w:r>
        <w:t>There are, however,</w:t>
      </w:r>
      <w:bookmarkStart w:id="0" w:name="_GoBack"/>
      <w:bookmarkEnd w:id="0"/>
      <w:r>
        <w:t xml:space="preserve"> costs to denying the aspects of reality that may make one uncomfortable with one’s home. Necessary debates about social reform can be postponed, and shameful actions can continue. </w:t>
      </w:r>
      <w:r w:rsidR="00A91D50">
        <w:t>T</w:t>
      </w:r>
      <w:r w:rsidR="001B475B">
        <w:t xml:space="preserve">he </w:t>
      </w:r>
      <w:r w:rsidR="00A91D50">
        <w:t>critical discussion</w:t>
      </w:r>
      <w:r w:rsidR="00453198">
        <w:t xml:space="preserve"> of the </w:t>
      </w:r>
      <w:r w:rsidR="0076342B">
        <w:t>narratives</w:t>
      </w:r>
      <w:r w:rsidR="00A91D50">
        <w:t xml:space="preserve"> that a community encourages and that journalists’ employ</w:t>
      </w:r>
      <w:r w:rsidR="001B475B">
        <w:t xml:space="preserve"> </w:t>
      </w:r>
      <w:r w:rsidR="00A91D50">
        <w:t xml:space="preserve">thus </w:t>
      </w:r>
      <w:r w:rsidR="001B475B">
        <w:t>may</w:t>
      </w:r>
      <w:r w:rsidR="00453198">
        <w:t xml:space="preserve"> be a</w:t>
      </w:r>
      <w:r w:rsidR="001B475B">
        <w:t>n important</w:t>
      </w:r>
      <w:r w:rsidR="00453198">
        <w:t xml:space="preserve"> first step in </w:t>
      </w:r>
      <w:r w:rsidR="001B475B">
        <w:t xml:space="preserve">reducing the </w:t>
      </w:r>
      <w:r w:rsidR="00A91D50">
        <w:t>amount of self-serving amnesia in a citizenry’s</w:t>
      </w:r>
      <w:r w:rsidR="001B475B">
        <w:t xml:space="preserve"> thinking,</w:t>
      </w:r>
      <w:r w:rsidR="00662EA0">
        <w:t xml:space="preserve"> and </w:t>
      </w:r>
      <w:r w:rsidR="00A91D50">
        <w:t>in cultivating a sense of responsibility for existing social arrangements</w:t>
      </w:r>
      <w:r w:rsidR="001B475B">
        <w:t>.</w:t>
      </w:r>
    </w:p>
    <w:p w:rsidR="003F3140" w:rsidRDefault="003F3140" w:rsidP="003F3140">
      <w:pPr>
        <w:spacing w:line="480" w:lineRule="auto"/>
        <w:ind w:firstLine="720"/>
      </w:pPr>
    </w:p>
    <w:p w:rsidR="003F3140" w:rsidRDefault="003F3140" w:rsidP="003F3140">
      <w:pPr>
        <w:spacing w:line="480" w:lineRule="auto"/>
      </w:pPr>
    </w:p>
    <w:sectPr w:rsidR="003F3140">
      <w:footerReference w:type="even" r:id="rId9"/>
      <w:footerReference w:type="default" r:id="rId10"/>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223" w:rsidRDefault="00DA0223">
      <w:r>
        <w:separator/>
      </w:r>
    </w:p>
  </w:endnote>
  <w:endnote w:type="continuationSeparator" w:id="0">
    <w:p w:rsidR="00DA0223" w:rsidRDefault="00DA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8C" w:rsidRDefault="00CE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388C" w:rsidRDefault="00CE3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88C" w:rsidRDefault="00CE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3140">
      <w:rPr>
        <w:rStyle w:val="PageNumber"/>
        <w:noProof/>
      </w:rPr>
      <w:t>29</w:t>
    </w:r>
    <w:r>
      <w:rPr>
        <w:rStyle w:val="PageNumber"/>
      </w:rPr>
      <w:fldChar w:fldCharType="end"/>
    </w:r>
  </w:p>
  <w:p w:rsidR="00CE388C" w:rsidRDefault="00CE38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223" w:rsidRDefault="00DA0223">
      <w:r>
        <w:separator/>
      </w:r>
    </w:p>
  </w:footnote>
  <w:footnote w:type="continuationSeparator" w:id="0">
    <w:p w:rsidR="00DA0223" w:rsidRDefault="00DA0223">
      <w:r>
        <w:continuationSeparator/>
      </w:r>
    </w:p>
  </w:footnote>
  <w:footnote w:id="1">
    <w:p w:rsidR="00CE388C" w:rsidRDefault="00CE388C" w:rsidP="00D22FEA">
      <w:pPr>
        <w:pStyle w:val="FootnoteText"/>
        <w:rPr>
          <w:sz w:val="24"/>
        </w:rPr>
      </w:pPr>
      <w:r>
        <w:rPr>
          <w:rStyle w:val="FootnoteReference"/>
          <w:sz w:val="24"/>
        </w:rPr>
        <w:footnoteRef/>
      </w:r>
      <w:r>
        <w:rPr>
          <w:sz w:val="24"/>
        </w:rPr>
        <w:t xml:space="preserve"> William Gamson, for example, found through an analysis of focus groups in the late twentieth century that when looking at political cartoons about foreign affairs, Americans from the wealthiest and most formally educated strata were more likely to accept racialist symbols in prestige newspapers and newsmagazines as accurate and reasonable than were Americans from less wealthy and less formally educated backgrounds, who tend to be more dubious about the accuracy of print media and who also tend to juxtapose news-media messages with messages from community sources, such as churches and synagogues. William Gamson, </w:t>
      </w:r>
      <w:r>
        <w:rPr>
          <w:sz w:val="24"/>
          <w:u w:val="single"/>
        </w:rPr>
        <w:t>Talking Politics</w:t>
      </w:r>
      <w:r>
        <w:rPr>
          <w:sz w:val="24"/>
        </w:rPr>
        <w:t xml:space="preserve"> (Cambridge: Cambridge University Press, 1992). For more abstract reflections on the diverse ways that people contemporary Anglo/American societies receive and interpret media messages, see Stuart Hall, “Encoding/decoding “ in Stuart Hall, Dorothy Hobson, Andrew Lowe, and Paul Willis, eds., </w:t>
      </w:r>
      <w:r w:rsidRPr="0012622A">
        <w:rPr>
          <w:sz w:val="24"/>
          <w:u w:val="single"/>
        </w:rPr>
        <w:t>Culture, Media, Language</w:t>
      </w:r>
      <w:r>
        <w:rPr>
          <w:sz w:val="24"/>
        </w:rPr>
        <w:t xml:space="preserve"> (Abingdon, England: Routledge, 1992), 128-138.</w:t>
      </w:r>
    </w:p>
    <w:p w:rsidR="00CE388C" w:rsidRDefault="00CE388C" w:rsidP="00D22FEA">
      <w:pPr>
        <w:pStyle w:val="FootnoteText"/>
        <w:rPr>
          <w:sz w:val="24"/>
        </w:rPr>
      </w:pPr>
    </w:p>
    <w:p w:rsidR="00CE388C" w:rsidRDefault="00CE388C" w:rsidP="00D22FEA">
      <w:pPr>
        <w:pStyle w:val="FootnoteText"/>
        <w:rPr>
          <w:sz w:val="24"/>
        </w:rPr>
      </w:pPr>
    </w:p>
  </w:footnote>
  <w:footnote w:id="2">
    <w:p w:rsidR="00CE388C" w:rsidRDefault="00CE388C" w:rsidP="00861451">
      <w:pPr>
        <w:pStyle w:val="FootnoteText"/>
        <w:rPr>
          <w:sz w:val="24"/>
        </w:rPr>
      </w:pPr>
      <w:r>
        <w:rPr>
          <w:rStyle w:val="FootnoteReference"/>
          <w:sz w:val="24"/>
        </w:rPr>
        <w:footnoteRef/>
      </w:r>
      <w:r>
        <w:rPr>
          <w:sz w:val="24"/>
        </w:rPr>
        <w:t xml:space="preserve"> Todd Gitlin, </w:t>
      </w:r>
      <w:r>
        <w:rPr>
          <w:sz w:val="24"/>
          <w:u w:val="single"/>
        </w:rPr>
        <w:t>The Whole World Is Watching: Mass Media in the Making and Unmaking of the New Left</w:t>
      </w:r>
      <w:r>
        <w:rPr>
          <w:sz w:val="24"/>
        </w:rPr>
        <w:t xml:space="preserve"> (Berkeley: University of California Press, 1980); Lance Bennett, </w:t>
      </w:r>
      <w:r>
        <w:rPr>
          <w:sz w:val="24"/>
          <w:u w:val="single"/>
        </w:rPr>
        <w:t>News: The Politics of Illusion, Second Edition</w:t>
      </w:r>
      <w:r>
        <w:rPr>
          <w:sz w:val="24"/>
        </w:rPr>
        <w:t xml:space="preserve"> (New York: Longman, 1980). The argument that “the news” is modern industrial societies is not simply a detached representation of “the truth” has a long history, of course. See Walter Lippmann, </w:t>
      </w:r>
      <w:r w:rsidRPr="00CF74C5">
        <w:rPr>
          <w:sz w:val="24"/>
          <w:u w:val="single"/>
        </w:rPr>
        <w:t>Public Opinion</w:t>
      </w:r>
      <w:r>
        <w:rPr>
          <w:sz w:val="24"/>
        </w:rPr>
        <w:t xml:space="preserve"> (New York: Macmillan, 1922).  </w:t>
      </w:r>
    </w:p>
  </w:footnote>
  <w:footnote w:id="3">
    <w:p w:rsidR="00CE388C" w:rsidRDefault="00CE388C">
      <w:pPr>
        <w:pStyle w:val="FootnoteText"/>
        <w:rPr>
          <w:sz w:val="24"/>
        </w:rPr>
      </w:pPr>
      <w:r>
        <w:rPr>
          <w:rStyle w:val="FootnoteReference"/>
          <w:sz w:val="24"/>
        </w:rPr>
        <w:footnoteRef/>
      </w:r>
      <w:r>
        <w:rPr>
          <w:sz w:val="24"/>
        </w:rPr>
        <w:t xml:space="preserve"> In constructing a simple depiction of Ricoeur’s complex and far-ranging argument about narratives, myths, and memory, I am drawing on the following writings by Rioeur: </w:t>
      </w:r>
      <w:r>
        <w:rPr>
          <w:sz w:val="24"/>
          <w:u w:val="single"/>
        </w:rPr>
        <w:t>Freud and Philosophy: An Essay on Interpretation</w:t>
      </w:r>
      <w:r>
        <w:rPr>
          <w:sz w:val="24"/>
        </w:rPr>
        <w:t xml:space="preserve"> (New Haven, Connecticut: Yale University Press, 1970); </w:t>
      </w:r>
      <w:r>
        <w:rPr>
          <w:sz w:val="24"/>
          <w:u w:val="single"/>
        </w:rPr>
        <w:t>Time and Narrative, Volumes I-III</w:t>
      </w:r>
      <w:r>
        <w:rPr>
          <w:sz w:val="24"/>
        </w:rPr>
        <w:t xml:space="preserve"> (Chicago: University of Chicago Press, 1983, 1984, 1985); </w:t>
      </w:r>
      <w:r>
        <w:rPr>
          <w:sz w:val="24"/>
          <w:u w:val="single"/>
        </w:rPr>
        <w:t>Lectures on Ideology and Utopia</w:t>
      </w:r>
      <w:r>
        <w:rPr>
          <w:sz w:val="24"/>
        </w:rPr>
        <w:t xml:space="preserve"> (New York: Columbia University Press, 1986); </w:t>
      </w:r>
      <w:r>
        <w:rPr>
          <w:sz w:val="24"/>
          <w:u w:val="single"/>
        </w:rPr>
        <w:t>Memory, History, and Forgetting</w:t>
      </w:r>
      <w:r>
        <w:rPr>
          <w:sz w:val="24"/>
        </w:rPr>
        <w:t xml:space="preserve"> (Chicago: University of Chicago Press, 2004); </w:t>
      </w:r>
      <w:r w:rsidRPr="005F775C">
        <w:rPr>
          <w:sz w:val="24"/>
          <w:u w:val="single"/>
        </w:rPr>
        <w:t>On Psychoanalysis</w:t>
      </w:r>
      <w:r>
        <w:rPr>
          <w:sz w:val="24"/>
        </w:rPr>
        <w:t xml:space="preserve"> (Cambridge, England: Polity Press, 2012).</w:t>
      </w:r>
    </w:p>
  </w:footnote>
  <w:footnote w:id="4">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Judith Butler, </w:t>
      </w:r>
      <w:r>
        <w:rPr>
          <w:sz w:val="24"/>
          <w:u w:val="single"/>
        </w:rPr>
        <w:t>Frames of War: When Is Life Grievable?</w:t>
      </w:r>
      <w:r>
        <w:rPr>
          <w:sz w:val="24"/>
        </w:rPr>
        <w:t xml:space="preserve"> (</w:t>
      </w:r>
      <w:smartTag w:uri="urn:schemas-microsoft-com:office:smarttags" w:element="City">
        <w:smartTag w:uri="urn:schemas-microsoft-com:office:smarttags" w:element="place">
          <w:r>
            <w:rPr>
              <w:sz w:val="24"/>
            </w:rPr>
            <w:t>London</w:t>
          </w:r>
        </w:smartTag>
      </w:smartTag>
      <w:r>
        <w:rPr>
          <w:sz w:val="24"/>
        </w:rPr>
        <w:t>: Verso, 2009), pp. 8-11.</w:t>
      </w:r>
    </w:p>
  </w:footnote>
  <w:footnote w:id="5">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For an explication of Goffman’s view of “frame” as a psychologically repressive experience induced by taunts and threats, see Cyrus Ernesto </w:t>
      </w:r>
      <w:smartTag w:uri="urn:schemas-microsoft-com:office:smarttags" w:element="PersonName">
        <w:r>
          <w:rPr>
            <w:sz w:val="24"/>
          </w:rPr>
          <w:t>Zirakzadeh</w:t>
        </w:r>
      </w:smartTag>
      <w:r>
        <w:rPr>
          <w:sz w:val="24"/>
        </w:rPr>
        <w:t xml:space="preserve">, “On Frames and Narratives: Two Modes of Experiencing and Interpreting Politics,” presented at the 2009 American Political Science Association Annual Meeting in </w:t>
      </w:r>
      <w:smartTag w:uri="urn:schemas-microsoft-com:office:smarttags" w:element="place">
        <w:smartTag w:uri="urn:schemas-microsoft-com:office:smarttags" w:element="City">
          <w:r>
            <w:rPr>
              <w:sz w:val="24"/>
            </w:rPr>
            <w:t>Toronto</w:t>
          </w:r>
        </w:smartTag>
        <w:r>
          <w:rPr>
            <w:sz w:val="24"/>
          </w:rPr>
          <w:t xml:space="preserve">, </w:t>
        </w:r>
        <w:smartTag w:uri="urn:schemas-microsoft-com:office:smarttags" w:element="country-region">
          <w:r>
            <w:rPr>
              <w:sz w:val="24"/>
            </w:rPr>
            <w:t>Canada</w:t>
          </w:r>
        </w:smartTag>
      </w:smartTag>
      <w:r>
        <w:rPr>
          <w:sz w:val="24"/>
        </w:rPr>
        <w:t>.</w:t>
      </w:r>
    </w:p>
    <w:p w:rsidR="00CE388C" w:rsidRDefault="00CE388C">
      <w:pPr>
        <w:pStyle w:val="FootnoteText"/>
        <w:rPr>
          <w:sz w:val="24"/>
        </w:rPr>
      </w:pPr>
    </w:p>
  </w:footnote>
  <w:footnote w:id="6">
    <w:p w:rsidR="00CE388C" w:rsidRDefault="00CE388C">
      <w:pPr>
        <w:pStyle w:val="FootnoteText"/>
        <w:rPr>
          <w:sz w:val="24"/>
        </w:rPr>
      </w:pPr>
      <w:r>
        <w:rPr>
          <w:rStyle w:val="FootnoteReference"/>
          <w:sz w:val="24"/>
        </w:rPr>
        <w:footnoteRef/>
      </w:r>
      <w:r>
        <w:rPr>
          <w:sz w:val="24"/>
        </w:rPr>
        <w:t xml:space="preserve"> </w:t>
      </w:r>
      <w:smartTag w:uri="urn:schemas-microsoft-com:office:smarttags" w:element="City">
        <w:smartTag w:uri="urn:schemas-microsoft-com:office:smarttags" w:element="place">
          <w:r>
            <w:rPr>
              <w:sz w:val="24"/>
            </w:rPr>
            <w:t>Butler</w:t>
          </w:r>
        </w:smartTag>
      </w:smartTag>
      <w:r>
        <w:rPr>
          <w:sz w:val="24"/>
        </w:rPr>
        <w:t xml:space="preserve"> contends that sometimes it is possible to replace a frame that “cons” us with a healthier frame that is less limiting, even if it inevitably structures our lives.  She sometimes calls these “interpretive matrices.”  See </w:t>
      </w:r>
      <w:r>
        <w:rPr>
          <w:sz w:val="24"/>
          <w:u w:val="single"/>
        </w:rPr>
        <w:t>Frames of War</w:t>
      </w:r>
      <w:r>
        <w:rPr>
          <w:sz w:val="24"/>
        </w:rPr>
        <w:t>., pp. 12, 51-2.</w:t>
      </w:r>
    </w:p>
    <w:p w:rsidR="00CE388C" w:rsidRDefault="00CE388C">
      <w:pPr>
        <w:pStyle w:val="FootnoteText"/>
        <w:rPr>
          <w:sz w:val="24"/>
        </w:rPr>
      </w:pPr>
    </w:p>
  </w:footnote>
  <w:footnote w:id="7">
    <w:p w:rsidR="00CE388C" w:rsidRPr="005F775C" w:rsidRDefault="00CE388C">
      <w:pPr>
        <w:pStyle w:val="FootnoteText"/>
        <w:rPr>
          <w:sz w:val="24"/>
          <w:szCs w:val="24"/>
        </w:rPr>
      </w:pPr>
      <w:r w:rsidRPr="005F775C">
        <w:rPr>
          <w:rStyle w:val="FootnoteReference"/>
          <w:sz w:val="24"/>
          <w:szCs w:val="24"/>
        </w:rPr>
        <w:footnoteRef/>
      </w:r>
      <w:r w:rsidRPr="005F775C">
        <w:rPr>
          <w:sz w:val="24"/>
          <w:szCs w:val="24"/>
        </w:rPr>
        <w:t xml:space="preserve"> </w:t>
      </w:r>
      <w:r>
        <w:rPr>
          <w:sz w:val="24"/>
          <w:szCs w:val="24"/>
        </w:rPr>
        <w:t>S</w:t>
      </w:r>
      <w:r w:rsidRPr="005F775C">
        <w:rPr>
          <w:sz w:val="24"/>
          <w:szCs w:val="24"/>
        </w:rPr>
        <w:t xml:space="preserve">ee </w:t>
      </w:r>
      <w:r>
        <w:rPr>
          <w:sz w:val="24"/>
          <w:szCs w:val="24"/>
        </w:rPr>
        <w:t xml:space="preserve">Ricoeur, </w:t>
      </w:r>
      <w:r w:rsidRPr="005F775C">
        <w:rPr>
          <w:sz w:val="24"/>
          <w:szCs w:val="24"/>
        </w:rPr>
        <w:t xml:space="preserve">“Life: A Story in Search of a Narrator” and “Narrative: Its Place in Psychoanalysis” in </w:t>
      </w:r>
      <w:r w:rsidRPr="00314BDD">
        <w:rPr>
          <w:sz w:val="24"/>
          <w:szCs w:val="24"/>
          <w:u w:val="single"/>
        </w:rPr>
        <w:t>On Psychoanalysis</w:t>
      </w:r>
      <w:r w:rsidRPr="005F775C">
        <w:rPr>
          <w:sz w:val="24"/>
          <w:szCs w:val="24"/>
        </w:rPr>
        <w:t xml:space="preserve">, pp. </w:t>
      </w:r>
      <w:r>
        <w:rPr>
          <w:sz w:val="24"/>
          <w:szCs w:val="24"/>
        </w:rPr>
        <w:t>187-210.</w:t>
      </w:r>
    </w:p>
  </w:footnote>
  <w:footnote w:id="8">
    <w:p w:rsidR="00CE388C" w:rsidRPr="005F775C" w:rsidRDefault="00CE388C">
      <w:pPr>
        <w:pStyle w:val="FootnoteText"/>
        <w:rPr>
          <w:sz w:val="24"/>
          <w:szCs w:val="24"/>
        </w:rPr>
      </w:pPr>
    </w:p>
    <w:p w:rsidR="00CE388C" w:rsidRDefault="00CE388C">
      <w:pPr>
        <w:pStyle w:val="FootnoteText"/>
        <w:rPr>
          <w:sz w:val="24"/>
        </w:rPr>
      </w:pPr>
      <w:r>
        <w:rPr>
          <w:rStyle w:val="FootnoteReference"/>
          <w:sz w:val="24"/>
        </w:rPr>
        <w:footnoteRef/>
      </w:r>
      <w:r>
        <w:rPr>
          <w:sz w:val="24"/>
        </w:rPr>
        <w:t xml:space="preserve"> Ricoeur’s repeated emphasis on national foundation myths – which, he argues, underlie the political thinking of all people in a community – clashes slightly with the logic of more pluralistic intrepretivists, such as Mark Bevir, who suggest that webs of political meaning can exist independently of stories of a national founding and that there need not be a shared national consensus. This divergence may partly reflect the different connotations that each author associates with the notion of a national myth and therefore differences in substantive visions of cultural homogeneity. Both Ricoeur and Bevir, after all, contend that individuals inherit paradigmatic political stories, which inform their beliefs about current events and structure their political practices; and both insist that the political beliefs of humans are neither random nor disconnected from the themes that concerned previous generations. See Bevir, “How Narratives Explain” in Dvora Yanow and Peregrine Schwartz-Shea, eds, </w:t>
      </w:r>
      <w:r>
        <w:rPr>
          <w:sz w:val="24"/>
          <w:u w:val="single"/>
        </w:rPr>
        <w:t>Interpretation and Method: Empirical Methods and the Interpretive Turn</w:t>
      </w:r>
      <w:r>
        <w:rPr>
          <w:sz w:val="24"/>
        </w:rPr>
        <w:t xml:space="preserve"> (Armonk, New York: M.E. Sharpe, 2006), pp. 281-90. For one of Ricoeur’s most strongly worded statements about the importance of national founding myth to social cohesion, see </w:t>
      </w:r>
      <w:r w:rsidRPr="00826ECC">
        <w:rPr>
          <w:sz w:val="24"/>
          <w:u w:val="single"/>
        </w:rPr>
        <w:t>Lectures on Ideology and Utopia</w:t>
      </w:r>
      <w:r>
        <w:rPr>
          <w:sz w:val="24"/>
        </w:rPr>
        <w:t>, p. 261.</w:t>
      </w:r>
    </w:p>
  </w:footnote>
  <w:footnote w:id="9">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One secondary work that is particularly useful in unpacking dimensions of Ricoeur’s so-called hermeneutics of suspicion is Richard Kearney, </w:t>
      </w:r>
      <w:r w:rsidRPr="004E15BA">
        <w:rPr>
          <w:sz w:val="24"/>
          <w:u w:val="single"/>
        </w:rPr>
        <w:t xml:space="preserve">On Paul Ricoeur: </w:t>
      </w:r>
      <w:r>
        <w:rPr>
          <w:sz w:val="24"/>
          <w:u w:val="single"/>
        </w:rPr>
        <w:t>The Owl of Minerva</w:t>
      </w:r>
      <w:r>
        <w:rPr>
          <w:sz w:val="24"/>
        </w:rPr>
        <w:t xml:space="preserve"> (London: Ashgate, 2004).  For relevant primary texts, see Ricoeur, </w:t>
      </w:r>
      <w:r>
        <w:rPr>
          <w:sz w:val="24"/>
          <w:u w:val="single"/>
        </w:rPr>
        <w:t>Freud and Philosophy</w:t>
      </w:r>
      <w:r>
        <w:rPr>
          <w:sz w:val="24"/>
        </w:rPr>
        <w:t xml:space="preserve">, </w:t>
      </w:r>
      <w:r>
        <w:rPr>
          <w:sz w:val="24"/>
          <w:u w:val="single"/>
        </w:rPr>
        <w:t>Lectures on Ideology and Utopia</w:t>
      </w:r>
      <w:r>
        <w:rPr>
          <w:sz w:val="24"/>
        </w:rPr>
        <w:t xml:space="preserve">, and </w:t>
      </w:r>
      <w:r>
        <w:rPr>
          <w:sz w:val="24"/>
          <w:u w:val="single"/>
        </w:rPr>
        <w:t>Memory, History, Forgetting</w:t>
      </w:r>
      <w:r>
        <w:rPr>
          <w:sz w:val="24"/>
        </w:rPr>
        <w:t>.</w:t>
      </w:r>
    </w:p>
    <w:p w:rsidR="00CE388C" w:rsidRDefault="00CE388C">
      <w:pPr>
        <w:pStyle w:val="FootnoteText"/>
        <w:rPr>
          <w:sz w:val="24"/>
        </w:rPr>
      </w:pPr>
    </w:p>
  </w:footnote>
  <w:footnote w:id="10">
    <w:p w:rsidR="00CE388C" w:rsidRDefault="00CE388C" w:rsidP="00BD2539">
      <w:pPr>
        <w:pStyle w:val="FootnoteText"/>
        <w:rPr>
          <w:sz w:val="24"/>
          <w:szCs w:val="24"/>
        </w:rPr>
      </w:pPr>
      <w:r w:rsidRPr="004E15BA">
        <w:rPr>
          <w:rStyle w:val="FootnoteReference"/>
          <w:sz w:val="24"/>
          <w:szCs w:val="24"/>
        </w:rPr>
        <w:footnoteRef/>
      </w:r>
      <w:r w:rsidRPr="004E15BA">
        <w:rPr>
          <w:sz w:val="24"/>
          <w:szCs w:val="24"/>
        </w:rPr>
        <w:t xml:space="preserve"> Kearney, </w:t>
      </w:r>
      <w:r w:rsidRPr="004E15BA">
        <w:rPr>
          <w:sz w:val="24"/>
          <w:szCs w:val="24"/>
          <w:u w:val="single"/>
        </w:rPr>
        <w:t>On Paul Ricoeur</w:t>
      </w:r>
      <w:r w:rsidRPr="004E15BA">
        <w:rPr>
          <w:sz w:val="24"/>
          <w:szCs w:val="24"/>
        </w:rPr>
        <w:t>, p. 105.</w:t>
      </w:r>
    </w:p>
    <w:p w:rsidR="00CE388C" w:rsidRPr="004E15BA" w:rsidRDefault="00CE388C" w:rsidP="00BD2539">
      <w:pPr>
        <w:pStyle w:val="FootnoteText"/>
        <w:rPr>
          <w:sz w:val="24"/>
          <w:szCs w:val="24"/>
        </w:rPr>
      </w:pPr>
    </w:p>
  </w:footnote>
  <w:footnote w:id="11">
    <w:p w:rsidR="00CE388C" w:rsidRPr="00D67E87" w:rsidRDefault="00CE388C">
      <w:pPr>
        <w:pStyle w:val="FootnoteText"/>
        <w:rPr>
          <w:sz w:val="24"/>
          <w:szCs w:val="24"/>
        </w:rPr>
      </w:pPr>
      <w:r w:rsidRPr="00D67E87">
        <w:rPr>
          <w:rStyle w:val="FootnoteReference"/>
          <w:sz w:val="24"/>
          <w:szCs w:val="24"/>
        </w:rPr>
        <w:footnoteRef/>
      </w:r>
      <w:r w:rsidRPr="00D67E87">
        <w:rPr>
          <w:sz w:val="24"/>
          <w:szCs w:val="24"/>
        </w:rPr>
        <w:t xml:space="preserve"> Ricoeur contrasts the community’s self-serving “Grand Narrative” with the local “counter narratives” that dissenters within a community constantly coin.  He maintains that altho</w:t>
      </w:r>
      <w:r>
        <w:rPr>
          <w:sz w:val="24"/>
          <w:szCs w:val="24"/>
        </w:rPr>
        <w:t>ugh the two types of</w:t>
      </w:r>
      <w:r w:rsidRPr="00D67E87">
        <w:rPr>
          <w:sz w:val="24"/>
          <w:szCs w:val="24"/>
        </w:rPr>
        <w:t xml:space="preserve"> narratives diverge on some details, in general they align on important points of the community’s story: the primordial problem that the community faces; the type of hero that the community needs to handle the recurrent problem; and the types of obstacles, threats, and opponents facing the hero. For Kearney’s</w:t>
      </w:r>
      <w:r>
        <w:rPr>
          <w:sz w:val="24"/>
          <w:szCs w:val="24"/>
        </w:rPr>
        <w:t xml:space="preserve"> rendering</w:t>
      </w:r>
      <w:r w:rsidRPr="00D67E87">
        <w:rPr>
          <w:sz w:val="24"/>
          <w:szCs w:val="24"/>
        </w:rPr>
        <w:t xml:space="preserve"> of Ricoeur’s position and also for Ricoeur’s own statements on the benefits and dangers of official narratives, </w:t>
      </w:r>
      <w:r>
        <w:rPr>
          <w:sz w:val="24"/>
          <w:szCs w:val="24"/>
        </w:rPr>
        <w:t xml:space="preserve">see </w:t>
      </w:r>
      <w:r w:rsidRPr="00D67E87">
        <w:rPr>
          <w:sz w:val="24"/>
          <w:szCs w:val="24"/>
        </w:rPr>
        <w:t xml:space="preserve">Kearney, </w:t>
      </w:r>
      <w:r w:rsidRPr="00D67E87">
        <w:rPr>
          <w:sz w:val="24"/>
          <w:szCs w:val="24"/>
          <w:u w:val="single"/>
        </w:rPr>
        <w:t>On Paul Ricoeur</w:t>
      </w:r>
      <w:r w:rsidRPr="00D67E87">
        <w:rPr>
          <w:sz w:val="24"/>
          <w:szCs w:val="24"/>
        </w:rPr>
        <w:t>, pp. 99-114, 157-169</w:t>
      </w:r>
      <w:r>
        <w:rPr>
          <w:sz w:val="24"/>
          <w:szCs w:val="24"/>
        </w:rPr>
        <w:t>, and Ricoeur</w:t>
      </w:r>
      <w:r w:rsidRPr="00D67E87">
        <w:rPr>
          <w:sz w:val="24"/>
          <w:szCs w:val="24"/>
        </w:rPr>
        <w:t xml:space="preserve">, </w:t>
      </w:r>
      <w:r w:rsidRPr="00D67E87">
        <w:rPr>
          <w:sz w:val="24"/>
          <w:szCs w:val="24"/>
          <w:u w:val="single"/>
        </w:rPr>
        <w:t>Memory, History, and Forgetting</w:t>
      </w:r>
      <w:r w:rsidRPr="00D67E87">
        <w:rPr>
          <w:sz w:val="24"/>
          <w:szCs w:val="24"/>
        </w:rPr>
        <w:t>, especially pp. 443-452, 500-503.</w:t>
      </w:r>
    </w:p>
  </w:footnote>
  <w:footnote w:id="12">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Nazila Fathi, “Tax Delay Fails to Quell Iranian Protest,” </w:t>
      </w:r>
      <w:r>
        <w:rPr>
          <w:sz w:val="24"/>
          <w:u w:val="single"/>
        </w:rPr>
        <w:t>The New York Times</w:t>
      </w:r>
      <w:r>
        <w:rPr>
          <w:sz w:val="24"/>
        </w:rPr>
        <w:t>, October 13, 2008.</w:t>
      </w:r>
    </w:p>
  </w:footnote>
  <w:footnote w:id="13">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Fathi, “Tax Delay Fails to Quell Iranian Protest.”</w:t>
      </w:r>
    </w:p>
  </w:footnote>
  <w:footnote w:id="14">
    <w:p w:rsidR="00CE388C" w:rsidRDefault="00CE388C">
      <w:pPr>
        <w:pStyle w:val="FootnoteText"/>
        <w:tabs>
          <w:tab w:val="left" w:pos="5940"/>
        </w:tabs>
        <w:rPr>
          <w:sz w:val="24"/>
        </w:rPr>
      </w:pPr>
    </w:p>
    <w:p w:rsidR="00CE388C" w:rsidRDefault="00CE388C">
      <w:pPr>
        <w:pStyle w:val="FootnoteText"/>
        <w:tabs>
          <w:tab w:val="left" w:pos="5940"/>
        </w:tabs>
        <w:rPr>
          <w:sz w:val="24"/>
        </w:rPr>
      </w:pPr>
      <w:r>
        <w:rPr>
          <w:rStyle w:val="FootnoteReference"/>
          <w:sz w:val="24"/>
        </w:rPr>
        <w:footnoteRef/>
      </w:r>
      <w:r>
        <w:rPr>
          <w:sz w:val="24"/>
        </w:rPr>
        <w:t xml:space="preserve"> Robert F. Worth, “As </w:t>
      </w:r>
      <w:smartTag w:uri="urn:schemas-microsoft-com:office:smarttags" w:element="country-region">
        <w:r>
          <w:rPr>
            <w:sz w:val="24"/>
          </w:rPr>
          <w:t>Iran</w:t>
        </w:r>
      </w:smartTag>
      <w:r>
        <w:rPr>
          <w:sz w:val="24"/>
        </w:rPr>
        <w:t xml:space="preserve"> Gets Ready to Vote, Economy Dominates,”  </w:t>
      </w:r>
      <w:r>
        <w:rPr>
          <w:sz w:val="24"/>
          <w:u w:val="single"/>
        </w:rPr>
        <w:t xml:space="preserve">The </w:t>
      </w:r>
      <w:smartTag w:uri="urn:schemas-microsoft-com:office:smarttags" w:element="State">
        <w:smartTag w:uri="urn:schemas-microsoft-com:office:smarttags" w:element="place">
          <w:r>
            <w:rPr>
              <w:sz w:val="24"/>
              <w:u w:val="single"/>
            </w:rPr>
            <w:t>New York</w:t>
          </w:r>
        </w:smartTag>
      </w:smartTag>
      <w:r>
        <w:rPr>
          <w:sz w:val="24"/>
          <w:u w:val="single"/>
        </w:rPr>
        <w:t xml:space="preserve"> Times</w:t>
      </w:r>
      <w:r>
        <w:rPr>
          <w:sz w:val="24"/>
        </w:rPr>
        <w:t>, June 10, 2009.</w:t>
      </w:r>
    </w:p>
  </w:footnote>
  <w:footnote w:id="15">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See also, Robert F. Worth, “As Iran Votes, Talk of Sea Change,” </w:t>
      </w:r>
      <w:r>
        <w:rPr>
          <w:sz w:val="24"/>
          <w:u w:val="single"/>
        </w:rPr>
        <w:t>The New York Times</w:t>
      </w:r>
      <w:r>
        <w:rPr>
          <w:sz w:val="24"/>
        </w:rPr>
        <w:t>, June 12, 2009.</w:t>
      </w:r>
    </w:p>
  </w:footnote>
  <w:footnote w:id="16">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Robert F. Worth, “In </w:t>
      </w:r>
      <w:smartTag w:uri="urn:schemas-microsoft-com:office:smarttags" w:element="country-region">
        <w:r>
          <w:rPr>
            <w:sz w:val="24"/>
          </w:rPr>
          <w:t>Iran</w:t>
        </w:r>
      </w:smartTag>
      <w:r>
        <w:rPr>
          <w:sz w:val="24"/>
        </w:rPr>
        <w:t xml:space="preserve">, Harsh Talk as Election Nears,” </w:t>
      </w:r>
      <w:r>
        <w:rPr>
          <w:sz w:val="24"/>
          <w:u w:val="single"/>
        </w:rPr>
        <w:t xml:space="preserve">The </w:t>
      </w:r>
      <w:smartTag w:uri="urn:schemas-microsoft-com:office:smarttags" w:element="State">
        <w:smartTag w:uri="urn:schemas-microsoft-com:office:smarttags" w:element="place">
          <w:r>
            <w:rPr>
              <w:sz w:val="24"/>
              <w:u w:val="single"/>
            </w:rPr>
            <w:t>New York</w:t>
          </w:r>
        </w:smartTag>
      </w:smartTag>
      <w:r>
        <w:rPr>
          <w:sz w:val="24"/>
          <w:u w:val="single"/>
        </w:rPr>
        <w:t xml:space="preserve"> Times</w:t>
      </w:r>
      <w:r>
        <w:rPr>
          <w:sz w:val="24"/>
        </w:rPr>
        <w:t>, June 8, 2009.</w:t>
      </w:r>
    </w:p>
  </w:footnote>
  <w:footnote w:id="17">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“In Iran, Harsh Talk as Election Nears”; Robert F. Worth, “In Iran Race, Ex-Leader Works to Oust President, </w:t>
      </w:r>
      <w:r>
        <w:rPr>
          <w:sz w:val="24"/>
          <w:u w:val="single"/>
        </w:rPr>
        <w:t>The New York Times</w:t>
      </w:r>
      <w:r>
        <w:rPr>
          <w:sz w:val="24"/>
        </w:rPr>
        <w:t xml:space="preserve">, June 11, 2009; Robert F. Worth, “As Iran Votes, Talk of Sea Change,” </w:t>
      </w:r>
      <w:r>
        <w:rPr>
          <w:sz w:val="24"/>
          <w:u w:val="single"/>
        </w:rPr>
        <w:t>The New York Times</w:t>
      </w:r>
      <w:r>
        <w:rPr>
          <w:sz w:val="24"/>
        </w:rPr>
        <w:t>, June 12, 2009.</w:t>
      </w:r>
    </w:p>
  </w:footnote>
  <w:footnote w:id="18">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“In Iran Race, Ex-Leader Works to Oust President.”</w:t>
      </w:r>
    </w:p>
  </w:footnote>
  <w:footnote w:id="19">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“In Iran Race”; Worth, “As Iran Votes.”</w:t>
      </w:r>
    </w:p>
  </w:footnote>
  <w:footnote w:id="20">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Robert F. Worth and Nazila Fathi, “Both Sides Claim Victory in Presidential Election in </w:t>
      </w:r>
      <w:smartTag w:uri="urn:schemas-microsoft-com:office:smarttags" w:element="country-region">
        <w:smartTag w:uri="urn:schemas-microsoft-com:office:smarttags" w:element="place">
          <w:r>
            <w:rPr>
              <w:sz w:val="24"/>
            </w:rPr>
            <w:t>Iran</w:t>
          </w:r>
        </w:smartTag>
      </w:smartTag>
      <w:r>
        <w:rPr>
          <w:sz w:val="24"/>
        </w:rPr>
        <w:t xml:space="preserve">,” </w:t>
      </w:r>
      <w:r>
        <w:rPr>
          <w:sz w:val="24"/>
          <w:u w:val="single"/>
        </w:rPr>
        <w:t>The New York Times</w:t>
      </w:r>
      <w:r>
        <w:rPr>
          <w:sz w:val="24"/>
        </w:rPr>
        <w:t>, June 13, 2009.</w:t>
      </w:r>
    </w:p>
  </w:footnote>
  <w:footnote w:id="21">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and Fathi, “Both Sides Claim Victory ”; Robert F. Worth and Nazila Fathi, “Protests Flare in Tehran as Opposition Disputes Vote,” </w:t>
      </w:r>
      <w:r>
        <w:rPr>
          <w:sz w:val="24"/>
          <w:u w:val="single"/>
        </w:rPr>
        <w:t>The New York Times</w:t>
      </w:r>
      <w:r>
        <w:rPr>
          <w:sz w:val="24"/>
        </w:rPr>
        <w:t xml:space="preserve">, June 14, 2009; Bill Keller, “Reverberations as Door Slams on Hope of Change,” </w:t>
      </w:r>
      <w:r>
        <w:rPr>
          <w:sz w:val="24"/>
          <w:u w:val="single"/>
        </w:rPr>
        <w:t>The New York Times</w:t>
      </w:r>
      <w:r>
        <w:rPr>
          <w:sz w:val="24"/>
        </w:rPr>
        <w:t>, June 14, 2009.</w:t>
      </w:r>
    </w:p>
  </w:footnote>
  <w:footnote w:id="22">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“In Iran Race”; Worth and Fathi, “Both Sides Claim Victory ”; Nazila Fathi, “</w:t>
      </w:r>
      <w:smartTag w:uri="urn:schemas-microsoft-com:office:smarttags" w:element="country-region">
        <w:smartTag w:uri="urn:schemas-microsoft-com:office:smarttags" w:element="place">
          <w:r>
            <w:rPr>
              <w:sz w:val="24"/>
            </w:rPr>
            <w:t>Iran</w:t>
          </w:r>
        </w:smartTag>
      </w:smartTag>
      <w:r>
        <w:rPr>
          <w:sz w:val="24"/>
        </w:rPr>
        <w:t xml:space="preserve">’s Top Leader Dashes Hopes for a Compromise,” </w:t>
      </w:r>
      <w:r>
        <w:rPr>
          <w:sz w:val="24"/>
          <w:u w:val="single"/>
        </w:rPr>
        <w:t>The New York Times</w:t>
      </w:r>
      <w:r>
        <w:rPr>
          <w:sz w:val="24"/>
        </w:rPr>
        <w:t>, June 20, 2009.</w:t>
      </w:r>
    </w:p>
  </w:footnote>
  <w:footnote w:id="23">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Robert F. Worth and Nazila Fathi, “Unrest Deepens as Critics Are Detained,” </w:t>
      </w:r>
      <w:r>
        <w:rPr>
          <w:sz w:val="24"/>
          <w:u w:val="single"/>
        </w:rPr>
        <w:t>The New York Times</w:t>
      </w:r>
      <w:r>
        <w:rPr>
          <w:sz w:val="24"/>
        </w:rPr>
        <w:t>, June 15, 2009; Keller, “Memo From Tehran.”</w:t>
      </w:r>
    </w:p>
  </w:footnote>
  <w:footnote w:id="24">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Keller, “Memo From </w:t>
      </w:r>
      <w:smartTag w:uri="urn:schemas-microsoft-com:office:smarttags" w:element="City">
        <w:smartTag w:uri="urn:schemas-microsoft-com:office:smarttags" w:element="place">
          <w:r>
            <w:rPr>
              <w:sz w:val="24"/>
            </w:rPr>
            <w:t>Tehran</w:t>
          </w:r>
        </w:smartTag>
      </w:smartTag>
      <w:r>
        <w:rPr>
          <w:sz w:val="24"/>
        </w:rPr>
        <w:t>.”</w:t>
      </w:r>
    </w:p>
  </w:footnote>
  <w:footnote w:id="25">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Bill Keller and Michael Slackman, “News Analysis: Leader Emerges With Stronger Hand,” </w:t>
      </w:r>
      <w:r>
        <w:rPr>
          <w:sz w:val="24"/>
          <w:u w:val="single"/>
        </w:rPr>
        <w:t>The New York Times</w:t>
      </w:r>
      <w:r>
        <w:rPr>
          <w:sz w:val="24"/>
        </w:rPr>
        <w:t>, June 15, 2009.</w:t>
      </w:r>
    </w:p>
  </w:footnote>
  <w:footnote w:id="26">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and Fathi, “Protests Flare”; Nazila Fathi, “Protesters Defy Iranian Efforts to Cloak Unrest,” </w:t>
      </w:r>
      <w:r>
        <w:rPr>
          <w:sz w:val="24"/>
          <w:u w:val="single"/>
        </w:rPr>
        <w:t>The New York Times</w:t>
      </w:r>
      <w:r>
        <w:rPr>
          <w:sz w:val="24"/>
        </w:rPr>
        <w:t>, June 18, 2009.</w:t>
      </w:r>
    </w:p>
  </w:footnote>
  <w:footnote w:id="27">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and Fathi, “Unrest Deepens”; Fathi, “Protesters Defy”: Robert F. Worth and Nazila Fathi, “Defiance Grows as Iran’s Leader Sets Vote Review,” </w:t>
      </w:r>
      <w:r>
        <w:rPr>
          <w:sz w:val="24"/>
          <w:u w:val="single"/>
        </w:rPr>
        <w:t>The New York Times</w:t>
      </w:r>
      <w:r>
        <w:rPr>
          <w:sz w:val="24"/>
        </w:rPr>
        <w:t xml:space="preserve">, June 16, 2009; Neil MacFarquhar, “Iran’s Latest Protests Are Seen as the Toughest to Stop,” </w:t>
      </w:r>
      <w:r>
        <w:rPr>
          <w:sz w:val="24"/>
          <w:u w:val="single"/>
        </w:rPr>
        <w:t>The New York Times</w:t>
      </w:r>
      <w:r>
        <w:rPr>
          <w:sz w:val="24"/>
        </w:rPr>
        <w:t xml:space="preserve">, June 17, 2009; Robert F. Worth, “A Struggle for the Legacy of the Iranian Revolution, </w:t>
      </w:r>
      <w:r>
        <w:rPr>
          <w:sz w:val="24"/>
          <w:u w:val="single"/>
        </w:rPr>
        <w:t>The New York Times</w:t>
      </w:r>
      <w:r>
        <w:rPr>
          <w:sz w:val="24"/>
        </w:rPr>
        <w:t xml:space="preserve">, June 21, 2009; Michael Slackman and Nazila Fathi, “Crackdowns on Protesters Drape Tehran in Silence,” </w:t>
      </w:r>
      <w:r>
        <w:rPr>
          <w:sz w:val="24"/>
          <w:u w:val="single"/>
        </w:rPr>
        <w:t>The New York Times</w:t>
      </w:r>
      <w:r>
        <w:rPr>
          <w:sz w:val="24"/>
        </w:rPr>
        <w:t>, June 24, 2009.</w:t>
      </w:r>
    </w:p>
    <w:p w:rsidR="00CE388C" w:rsidRDefault="00CE388C">
      <w:pPr>
        <w:pStyle w:val="FootnoteText"/>
        <w:rPr>
          <w:sz w:val="24"/>
        </w:rPr>
      </w:pPr>
    </w:p>
  </w:footnote>
  <w:footnote w:id="28">
    <w:p w:rsidR="00CE388C" w:rsidRDefault="00CE388C" w:rsidP="00D416CC">
      <w:pPr>
        <w:pStyle w:val="FootnoteText"/>
        <w:rPr>
          <w:sz w:val="24"/>
        </w:rPr>
      </w:pPr>
      <w:r>
        <w:rPr>
          <w:rStyle w:val="FootnoteReference"/>
        </w:rPr>
        <w:footnoteRef/>
      </w:r>
      <w:r>
        <w:t xml:space="preserve"> </w:t>
      </w:r>
      <w:r>
        <w:rPr>
          <w:sz w:val="24"/>
        </w:rPr>
        <w:t xml:space="preserve">MacFarquhar, “Iran’s Latest Protests”; Nazila Fathi, “In a Death Seen Around the World, a Symbol of Iranian Protests,” </w:t>
      </w:r>
      <w:r>
        <w:rPr>
          <w:sz w:val="24"/>
          <w:u w:val="single"/>
        </w:rPr>
        <w:t>The New York Times</w:t>
      </w:r>
      <w:r>
        <w:rPr>
          <w:sz w:val="24"/>
        </w:rPr>
        <w:t xml:space="preserve">, June 23, 2009; Michael Slackman, “Iran Arrests Iranian Employees of British Embassy as Protests Return,” </w:t>
      </w:r>
      <w:r>
        <w:rPr>
          <w:sz w:val="24"/>
          <w:u w:val="single"/>
        </w:rPr>
        <w:t>The New York Times</w:t>
      </w:r>
      <w:r>
        <w:rPr>
          <w:sz w:val="24"/>
        </w:rPr>
        <w:t xml:space="preserve">, June 29, 2009; Robert F. Worth, “Reports of Prison Abuse and Deaths Anger Iranians,” </w:t>
      </w:r>
      <w:r>
        <w:rPr>
          <w:sz w:val="24"/>
          <w:u w:val="single"/>
        </w:rPr>
        <w:t>The New York Tim</w:t>
      </w:r>
      <w:r>
        <w:rPr>
          <w:sz w:val="24"/>
        </w:rPr>
        <w:t xml:space="preserve">es, July 29, 2009; Robert F. Worth, “Iran Expanding Effort to Stifle the Opposition,” </w:t>
      </w:r>
      <w:r>
        <w:rPr>
          <w:sz w:val="24"/>
          <w:u w:val="single"/>
        </w:rPr>
        <w:t>The New York Times</w:t>
      </w:r>
      <w:r>
        <w:rPr>
          <w:sz w:val="24"/>
        </w:rPr>
        <w:t>, November 24, 2009.</w:t>
      </w:r>
    </w:p>
    <w:p w:rsidR="00CE388C" w:rsidRDefault="00CE388C" w:rsidP="00D416CC">
      <w:pPr>
        <w:pStyle w:val="FootnoteText"/>
        <w:rPr>
          <w:sz w:val="24"/>
        </w:rPr>
      </w:pPr>
    </w:p>
    <w:p w:rsidR="00CE388C" w:rsidRDefault="00CE388C">
      <w:pPr>
        <w:pStyle w:val="FootnoteText"/>
      </w:pPr>
    </w:p>
  </w:footnote>
  <w:footnote w:id="29">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Michael Slackman, “Top Reformers Admitted </w:t>
      </w:r>
      <w:smartTag w:uri="urn:schemas-microsoft-com:office:smarttags" w:element="place">
        <w:smartTag w:uri="urn:schemas-microsoft-com:office:smarttags" w:element="City">
          <w:r>
            <w:rPr>
              <w:sz w:val="24"/>
            </w:rPr>
            <w:t>Plot</w:t>
          </w:r>
        </w:smartTag>
        <w:r>
          <w:rPr>
            <w:sz w:val="24"/>
          </w:rPr>
          <w:t xml:space="preserve">, </w:t>
        </w:r>
        <w:smartTag w:uri="urn:schemas-microsoft-com:office:smarttags" w:element="country-region">
          <w:r>
            <w:rPr>
              <w:sz w:val="24"/>
            </w:rPr>
            <w:t>Iran</w:t>
          </w:r>
        </w:smartTag>
      </w:smartTag>
      <w:r>
        <w:rPr>
          <w:sz w:val="24"/>
        </w:rPr>
        <w:t xml:space="preserve"> Declares,” </w:t>
      </w:r>
      <w:r>
        <w:rPr>
          <w:sz w:val="24"/>
          <w:u w:val="single"/>
        </w:rPr>
        <w:t>The New York Times</w:t>
      </w:r>
      <w:r>
        <w:rPr>
          <w:sz w:val="24"/>
        </w:rPr>
        <w:t xml:space="preserve">, July 4, 2009.  Roger Cohen, “Op-Ed Columnist: </w:t>
      </w:r>
      <w:smartTag w:uri="urn:schemas-microsoft-com:office:smarttags" w:element="country-region">
        <w:smartTag w:uri="urn:schemas-microsoft-com:office:smarttags" w:element="place">
          <w:r>
            <w:rPr>
              <w:sz w:val="24"/>
            </w:rPr>
            <w:t>Iran</w:t>
          </w:r>
        </w:smartTag>
      </w:smartTag>
      <w:r>
        <w:rPr>
          <w:sz w:val="24"/>
        </w:rPr>
        <w:t xml:space="preserve">’s Tragic Joke,” </w:t>
      </w:r>
      <w:r>
        <w:rPr>
          <w:sz w:val="24"/>
          <w:u w:val="single"/>
        </w:rPr>
        <w:t>The New York Times</w:t>
      </w:r>
      <w:r>
        <w:rPr>
          <w:sz w:val="24"/>
        </w:rPr>
        <w:t xml:space="preserve">, July 21, 2009; Robert F. Worth, “Reports of Prison Abuse and Deaths Anger Iranians,” </w:t>
      </w:r>
      <w:r>
        <w:rPr>
          <w:sz w:val="24"/>
          <w:u w:val="single"/>
        </w:rPr>
        <w:t>The New York Times</w:t>
      </w:r>
      <w:r>
        <w:rPr>
          <w:sz w:val="24"/>
        </w:rPr>
        <w:t>, July 29, 2009.</w:t>
      </w:r>
    </w:p>
  </w:footnote>
  <w:footnote w:id="30">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and Fathi, “Unrest Deepens”; David E. Sanger, “Understanding </w:t>
      </w:r>
      <w:smartTag w:uri="urn:schemas-microsoft-com:office:smarttags" w:element="country-region">
        <w:smartTag w:uri="urn:schemas-microsoft-com:office:smarttags" w:element="place">
          <w:r>
            <w:rPr>
              <w:sz w:val="24"/>
            </w:rPr>
            <w:t>Iran</w:t>
          </w:r>
        </w:smartTag>
      </w:smartTag>
      <w:r>
        <w:rPr>
          <w:sz w:val="24"/>
        </w:rPr>
        <w:t xml:space="preserve">: Repression 101,” </w:t>
      </w:r>
      <w:r>
        <w:rPr>
          <w:sz w:val="24"/>
          <w:u w:val="single"/>
        </w:rPr>
        <w:t>The New York Times</w:t>
      </w:r>
      <w:r>
        <w:rPr>
          <w:sz w:val="24"/>
        </w:rPr>
        <w:t xml:space="preserve"> June 28, 2009.</w:t>
      </w:r>
    </w:p>
  </w:footnote>
  <w:footnote w:id="31">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and Fathi, “Unrest Deepens”; Keller and Slackman, “Leader Emerges With Stronger Hand.”  One news report offers a slightly different perspective and mentions in passing that it is possible that </w:t>
      </w:r>
      <w:smartTag w:uri="urn:schemas-microsoft-com:office:smarttags" w:element="country-region">
        <w:smartTag w:uri="urn:schemas-microsoft-com:office:smarttags" w:element="place">
          <w:r>
            <w:rPr>
              <w:sz w:val="24"/>
            </w:rPr>
            <w:t>Iran</w:t>
          </w:r>
        </w:smartTag>
      </w:smartTag>
      <w:r>
        <w:rPr>
          <w:sz w:val="24"/>
        </w:rPr>
        <w:t xml:space="preserve"> is not ruled by a single, cohesive elite but by “fractious power centers.” But even this article in the end argues that the Supreme Leader on the whole rules Iran hierarchically. Nazila Fathi and Michael Slackman, “As Confrontation Deepens, Iran’s Path Is Unclear,” </w:t>
      </w:r>
      <w:r>
        <w:rPr>
          <w:sz w:val="24"/>
          <w:u w:val="single"/>
        </w:rPr>
        <w:t>The New York Times</w:t>
      </w:r>
      <w:r>
        <w:rPr>
          <w:sz w:val="24"/>
        </w:rPr>
        <w:t xml:space="preserve">, June 19, 2009; Cohen, “Iran’s Tragic Joke.”   </w:t>
      </w:r>
    </w:p>
  </w:footnote>
  <w:footnote w:id="32">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Worth and Fathi, “Defiance Grows.”  This quotation reappears in Helene Cooper’s report, “Exploring </w:t>
      </w:r>
      <w:smartTag w:uri="urn:schemas-microsoft-com:office:smarttags" w:element="country-region">
        <w:smartTag w:uri="urn:schemas-microsoft-com:office:smarttags" w:element="place">
          <w:r>
            <w:rPr>
              <w:sz w:val="24"/>
            </w:rPr>
            <w:t>Iran</w:t>
          </w:r>
        </w:smartTag>
      </w:smartTag>
      <w:r>
        <w:rPr>
          <w:sz w:val="24"/>
        </w:rPr>
        <w:t xml:space="preserve">’s Unrest and the Obama Factor,” </w:t>
      </w:r>
      <w:r>
        <w:rPr>
          <w:sz w:val="24"/>
          <w:u w:val="single"/>
        </w:rPr>
        <w:t>The New York Times</w:t>
      </w:r>
      <w:r>
        <w:rPr>
          <w:sz w:val="24"/>
        </w:rPr>
        <w:t xml:space="preserve">, June 21, 2009.  See also MacFarquhar, “Iran’s Latest Protests”; Nazila Fathi, “Recount Offer Fails to Quell Political Tumult in Iran,” </w:t>
      </w:r>
      <w:r>
        <w:rPr>
          <w:sz w:val="24"/>
          <w:u w:val="single"/>
        </w:rPr>
        <w:t>The New York Times</w:t>
      </w:r>
      <w:r>
        <w:rPr>
          <w:sz w:val="24"/>
        </w:rPr>
        <w:t xml:space="preserve">, June 17, 2009; Danielle Pletka and Ali Alfoneh, “Iran’s Hidden Revolution,” </w:t>
      </w:r>
      <w:r>
        <w:rPr>
          <w:sz w:val="24"/>
          <w:u w:val="single"/>
        </w:rPr>
        <w:t>The New York Times</w:t>
      </w:r>
      <w:r>
        <w:rPr>
          <w:sz w:val="24"/>
        </w:rPr>
        <w:t xml:space="preserve">, June 17, 2009; Nazila Fathi, “Protesters Defy Iranian Efforts to Cloak Unrest,” </w:t>
      </w:r>
      <w:r>
        <w:rPr>
          <w:sz w:val="24"/>
          <w:u w:val="single"/>
        </w:rPr>
        <w:t>The New York Times</w:t>
      </w:r>
      <w:r>
        <w:rPr>
          <w:sz w:val="24"/>
        </w:rPr>
        <w:t>, June 18, 2009; Fathi and Slackman, “As Confrontation Deepens.”</w:t>
      </w:r>
    </w:p>
  </w:footnote>
  <w:footnote w:id="33">
    <w:p w:rsidR="00CE388C" w:rsidRDefault="00CE388C" w:rsidP="008F1D2A">
      <w:pPr>
        <w:pStyle w:val="FootnoteText"/>
        <w:rPr>
          <w:sz w:val="24"/>
        </w:rPr>
      </w:pPr>
    </w:p>
    <w:p w:rsidR="00CE388C" w:rsidRDefault="00CE388C" w:rsidP="008F1D2A">
      <w:pPr>
        <w:pStyle w:val="FootnoteText"/>
        <w:rPr>
          <w:sz w:val="24"/>
        </w:rPr>
      </w:pPr>
      <w:r>
        <w:rPr>
          <w:rStyle w:val="FootnoteReference"/>
          <w:sz w:val="24"/>
        </w:rPr>
        <w:footnoteRef/>
      </w:r>
      <w:r>
        <w:rPr>
          <w:sz w:val="24"/>
        </w:rPr>
        <w:t xml:space="preserve"> Keller, “Reverberations”; Worth and Fathi, “Unrest Deepens”; Noam Cohen “Twitter on the Barricades: Six Lessons Learned,” </w:t>
      </w:r>
      <w:r>
        <w:rPr>
          <w:sz w:val="24"/>
          <w:u w:val="single"/>
        </w:rPr>
        <w:t>The New York Times</w:t>
      </w:r>
      <w:r>
        <w:rPr>
          <w:sz w:val="24"/>
        </w:rPr>
        <w:t xml:space="preserve">, June 21, 2009; Neil MacFarquhar, “In </w:t>
      </w:r>
      <w:smartTag w:uri="urn:schemas-microsoft-com:office:smarttags" w:element="country-region">
        <w:smartTag w:uri="urn:schemas-microsoft-com:office:smarttags" w:element="place">
          <w:r>
            <w:rPr>
              <w:sz w:val="24"/>
            </w:rPr>
            <w:t>Iran</w:t>
          </w:r>
        </w:smartTag>
      </w:smartTag>
      <w:r>
        <w:rPr>
          <w:sz w:val="24"/>
        </w:rPr>
        <w:t xml:space="preserve">, Both Sides Seek to Carry Islam’s Banner,” </w:t>
      </w:r>
      <w:r>
        <w:rPr>
          <w:sz w:val="24"/>
          <w:u w:val="single"/>
        </w:rPr>
        <w:t>The New York Times</w:t>
      </w:r>
      <w:r>
        <w:rPr>
          <w:sz w:val="24"/>
        </w:rPr>
        <w:t>, June 22, 2009.</w:t>
      </w:r>
    </w:p>
  </w:footnote>
  <w:footnote w:id="34">
    <w:p w:rsidR="00CE388C" w:rsidRDefault="00CE388C" w:rsidP="00C15DD8">
      <w:pPr>
        <w:pStyle w:val="FootnoteText"/>
        <w:rPr>
          <w:sz w:val="24"/>
        </w:rPr>
      </w:pPr>
    </w:p>
    <w:p w:rsidR="00CE388C" w:rsidRDefault="00CE388C" w:rsidP="00C15DD8">
      <w:pPr>
        <w:pStyle w:val="FootnoteText"/>
        <w:rPr>
          <w:sz w:val="24"/>
        </w:rPr>
      </w:pPr>
      <w:r>
        <w:rPr>
          <w:rStyle w:val="FootnoteReference"/>
          <w:sz w:val="24"/>
        </w:rPr>
        <w:footnoteRef/>
      </w:r>
      <w:r>
        <w:rPr>
          <w:sz w:val="24"/>
        </w:rPr>
        <w:t xml:space="preserve"> In addition to the earlier references, see </w:t>
      </w:r>
      <w:r w:rsidRPr="0091659E">
        <w:rPr>
          <w:sz w:val="24"/>
          <w:u w:val="single"/>
        </w:rPr>
        <w:t>Lectures on Ideology and Utopia</w:t>
      </w:r>
      <w:r>
        <w:rPr>
          <w:sz w:val="24"/>
        </w:rPr>
        <w:t>, pp. 262-265. Ricoeur never systematically addressed the question of a how to identify the community’s key narratives, or what he sometimes calls national myths. He seemed to assume that the task is fairly easy, even in a self-described polyglot society, such as the United States. This is debatable, of course. Not only do Latinos, Latinas, and African Americans communicate and use narratives and myths that are very different from what is taught in grade-school texts, but modern U.S. fiction suggests that descendants of early European Americans also are quite diverse in the substantive myths of America founding that they embrace. See the regional novels of Daniel Woodrell, for example. Is it possible that stable communities can be more internally heterogeneous in their orienting narratives than Ricoeur presumes?</w:t>
      </w:r>
    </w:p>
  </w:footnote>
  <w:footnote w:id="35">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For </w:t>
      </w:r>
      <w:r w:rsidR="006F2577">
        <w:rPr>
          <w:sz w:val="24"/>
        </w:rPr>
        <w:t>further discussions about</w:t>
      </w:r>
      <w:r>
        <w:rPr>
          <w:sz w:val="24"/>
        </w:rPr>
        <w:t xml:space="preserve"> these themes </w:t>
      </w:r>
      <w:r w:rsidR="00E410B7">
        <w:rPr>
          <w:sz w:val="24"/>
        </w:rPr>
        <w:t>and their persistence in American popular</w:t>
      </w:r>
      <w:r>
        <w:rPr>
          <w:sz w:val="24"/>
        </w:rPr>
        <w:t xml:space="preserve"> culture, see Perry Miller, </w:t>
      </w:r>
      <w:r>
        <w:rPr>
          <w:sz w:val="24"/>
          <w:u w:val="single"/>
        </w:rPr>
        <w:t>Nature’s Nation</w:t>
      </w:r>
      <w:r>
        <w:rPr>
          <w:sz w:val="24"/>
        </w:rPr>
        <w:t xml:space="preserve"> (Cambridge: Harvard University Press, 1967); Edmund S. Morgan, </w:t>
      </w:r>
      <w:r>
        <w:rPr>
          <w:sz w:val="24"/>
          <w:u w:val="single"/>
        </w:rPr>
        <w:t>Puritan Political Ideas, 1558-1794</w:t>
      </w:r>
      <w:r>
        <w:rPr>
          <w:sz w:val="24"/>
        </w:rPr>
        <w:t xml:space="preserve"> (Indianapolis, IN: Bobbs-Merrill, 1965); Michael Paul Rogin, “Nature as Politics and Nature as Romance in America” </w:t>
      </w:r>
      <w:r>
        <w:rPr>
          <w:sz w:val="24"/>
          <w:u w:val="single"/>
        </w:rPr>
        <w:t>Political Theor</w:t>
      </w:r>
      <w:r>
        <w:rPr>
          <w:sz w:val="24"/>
        </w:rPr>
        <w:t xml:space="preserve">y 5 (February 1977); Richard Slotkin, </w:t>
      </w:r>
      <w:r>
        <w:rPr>
          <w:sz w:val="24"/>
          <w:u w:val="single"/>
        </w:rPr>
        <w:t>Regeneration Through Violence, The Mythology of the American Frontier, 1600-1860</w:t>
      </w:r>
      <w:r>
        <w:rPr>
          <w:sz w:val="24"/>
        </w:rPr>
        <w:t xml:space="preserve"> (Middletown, CT: Wesleyan University Press, 1978); Richard Slotkin, </w:t>
      </w:r>
      <w:r>
        <w:rPr>
          <w:sz w:val="24"/>
          <w:u w:val="single"/>
        </w:rPr>
        <w:t>Gunfighter Nation: The Myth of the Frontier in Twentieth-Century America</w:t>
      </w:r>
      <w:r>
        <w:rPr>
          <w:sz w:val="24"/>
        </w:rPr>
        <w:t xml:space="preserve"> (Norman: University of Oklahoma Press, 1998). </w:t>
      </w:r>
    </w:p>
  </w:footnote>
  <w:footnote w:id="36">
    <w:p w:rsidR="00CE388C" w:rsidRDefault="00CE388C" w:rsidP="009579BC">
      <w:pPr>
        <w:pStyle w:val="FootnoteText"/>
        <w:rPr>
          <w:sz w:val="24"/>
        </w:rPr>
      </w:pPr>
    </w:p>
    <w:p w:rsidR="00CE388C" w:rsidRDefault="00CE388C" w:rsidP="009579BC">
      <w:pPr>
        <w:pStyle w:val="FootnoteText"/>
        <w:rPr>
          <w:sz w:val="24"/>
        </w:rPr>
      </w:pPr>
      <w:r>
        <w:rPr>
          <w:rStyle w:val="FootnoteReference"/>
          <w:sz w:val="24"/>
        </w:rPr>
        <w:footnoteRef/>
      </w:r>
      <w:r>
        <w:rPr>
          <w:sz w:val="24"/>
        </w:rPr>
        <w:t xml:space="preserve"> Nazila Fathi and Michael Slackman, “Options Shrink for Opposition as Iran Tightens Grip,” </w:t>
      </w:r>
      <w:r>
        <w:rPr>
          <w:sz w:val="24"/>
          <w:u w:val="single"/>
        </w:rPr>
        <w:t>The New York Times</w:t>
      </w:r>
      <w:r>
        <w:rPr>
          <w:sz w:val="24"/>
        </w:rPr>
        <w:t xml:space="preserve">, June 26, 2009; Nazila Fahi and Michael Slackman, “Iranian Leaders Gaining the Edge Over Protesters,” </w:t>
      </w:r>
      <w:r>
        <w:rPr>
          <w:sz w:val="24"/>
          <w:u w:val="single"/>
        </w:rPr>
        <w:t>The New York Times</w:t>
      </w:r>
      <w:r>
        <w:rPr>
          <w:sz w:val="24"/>
        </w:rPr>
        <w:t xml:space="preserve"> June 27, 2009; Robert F. Worth, “Candidate Declares Iran May Face ‘Disintegration’,” </w:t>
      </w:r>
      <w:r>
        <w:rPr>
          <w:sz w:val="24"/>
          <w:u w:val="single"/>
        </w:rPr>
        <w:t>The New York Times</w:t>
      </w:r>
      <w:r>
        <w:rPr>
          <w:sz w:val="24"/>
        </w:rPr>
        <w:t xml:space="preserve">, July 13, 2009; Robert F. Worth, “Ex-President in Iran Seeks Referendum,” </w:t>
      </w:r>
      <w:r>
        <w:rPr>
          <w:sz w:val="24"/>
          <w:u w:val="single"/>
        </w:rPr>
        <w:t>The New York Times</w:t>
      </w:r>
      <w:r>
        <w:rPr>
          <w:sz w:val="24"/>
        </w:rPr>
        <w:t>, July 20, 2009.</w:t>
      </w:r>
    </w:p>
  </w:footnote>
  <w:footnote w:id="37">
    <w:p w:rsidR="00CE388C" w:rsidRPr="00CE388C" w:rsidRDefault="00CE388C" w:rsidP="00235250">
      <w:pPr>
        <w:pStyle w:val="FootnoteText"/>
        <w:rPr>
          <w:sz w:val="24"/>
          <w:szCs w:val="24"/>
        </w:rPr>
      </w:pPr>
      <w:r>
        <w:rPr>
          <w:rStyle w:val="FootnoteReference"/>
        </w:rPr>
        <w:footnoteRef/>
      </w:r>
      <w:r>
        <w:t xml:space="preserve"> </w:t>
      </w:r>
      <w:r w:rsidRPr="00CE388C">
        <w:rPr>
          <w:sz w:val="24"/>
          <w:szCs w:val="24"/>
        </w:rPr>
        <w:t xml:space="preserve">For a sample of scholarly treatments of Iran politics during the 2009 election period, see Barbara Ann Rieffer-Flanagan, </w:t>
      </w:r>
      <w:r w:rsidRPr="00CE388C">
        <w:rPr>
          <w:sz w:val="24"/>
          <w:szCs w:val="24"/>
          <w:u w:val="single"/>
        </w:rPr>
        <w:t>Evolving Iran: An Introduction to Politics and Problems in the Islamic Republic</w:t>
      </w:r>
      <w:r w:rsidRPr="00CE388C">
        <w:rPr>
          <w:sz w:val="24"/>
          <w:szCs w:val="24"/>
        </w:rPr>
        <w:t xml:space="preserve"> (Washington, DC: Georgetown University Press, 2013), pp. 91-113; Negin Nabvi, ed., Iran: From Theocracy to the Green Movement (New York: Palgrave Macmillan, 2012)</w:t>
      </w:r>
      <w:r w:rsidR="006F2577">
        <w:rPr>
          <w:sz w:val="24"/>
          <w:szCs w:val="24"/>
        </w:rPr>
        <w:t xml:space="preserve">; Asef Bayat, </w:t>
      </w:r>
      <w:r w:rsidR="006F2577" w:rsidRPr="006F2577">
        <w:rPr>
          <w:sz w:val="24"/>
          <w:szCs w:val="24"/>
          <w:u w:val="single"/>
        </w:rPr>
        <w:t>Life as Politics: How Ordinary People Change the Middle East, Second Edition</w:t>
      </w:r>
      <w:r w:rsidR="006F2577">
        <w:rPr>
          <w:sz w:val="24"/>
          <w:szCs w:val="24"/>
        </w:rPr>
        <w:t xml:space="preserve"> (Palo Alto, CA: Stanford University Press, 2013), pp. 153-188, 284-304</w:t>
      </w:r>
      <w:r w:rsidRPr="00CE388C">
        <w:rPr>
          <w:sz w:val="24"/>
          <w:szCs w:val="24"/>
        </w:rPr>
        <w:t>.</w:t>
      </w:r>
    </w:p>
    <w:p w:rsidR="00CE388C" w:rsidRPr="00CE388C" w:rsidRDefault="00CE388C" w:rsidP="00235250">
      <w:pPr>
        <w:pStyle w:val="FootnoteText"/>
        <w:rPr>
          <w:sz w:val="24"/>
          <w:szCs w:val="24"/>
        </w:rPr>
      </w:pPr>
    </w:p>
  </w:footnote>
  <w:footnote w:id="38">
    <w:p w:rsidR="00CE388C" w:rsidRPr="00CE388C" w:rsidRDefault="00CE388C">
      <w:pPr>
        <w:pStyle w:val="FootnoteText"/>
        <w:rPr>
          <w:sz w:val="24"/>
          <w:szCs w:val="24"/>
        </w:rPr>
      </w:pPr>
      <w:r>
        <w:rPr>
          <w:rStyle w:val="FootnoteReference"/>
        </w:rPr>
        <w:footnoteRef/>
      </w:r>
      <w:r w:rsidRPr="00CE388C">
        <w:rPr>
          <w:sz w:val="24"/>
          <w:szCs w:val="24"/>
        </w:rPr>
        <w:t xml:space="preserve"> Fariba Adelkhah, “Political Economy of the Green Movement” in Nabvi, </w:t>
      </w:r>
      <w:r w:rsidRPr="00CE388C">
        <w:rPr>
          <w:sz w:val="24"/>
          <w:szCs w:val="24"/>
          <w:u w:val="single"/>
        </w:rPr>
        <w:t>Iran: From Theocracy</w:t>
      </w:r>
      <w:r w:rsidRPr="00CE388C">
        <w:rPr>
          <w:sz w:val="24"/>
          <w:szCs w:val="24"/>
        </w:rPr>
        <w:t>, pp. 25-28.</w:t>
      </w:r>
    </w:p>
  </w:footnote>
  <w:footnote w:id="39">
    <w:p w:rsidR="00CE388C" w:rsidRPr="00CE388C" w:rsidRDefault="00CE388C">
      <w:pPr>
        <w:pStyle w:val="FootnoteText"/>
        <w:rPr>
          <w:sz w:val="24"/>
          <w:szCs w:val="24"/>
        </w:rPr>
      </w:pPr>
      <w:r>
        <w:rPr>
          <w:rStyle w:val="FootnoteReference"/>
        </w:rPr>
        <w:footnoteRef/>
      </w:r>
      <w:r>
        <w:t xml:space="preserve"> </w:t>
      </w:r>
      <w:r w:rsidRPr="00CE388C">
        <w:rPr>
          <w:sz w:val="24"/>
          <w:szCs w:val="24"/>
        </w:rPr>
        <w:t xml:space="preserve">Farideh Farhi, “The Tenth Presidential Elections,” in Nabvi, </w:t>
      </w:r>
      <w:r w:rsidRPr="00CE388C">
        <w:rPr>
          <w:sz w:val="24"/>
          <w:szCs w:val="24"/>
          <w:u w:val="single"/>
        </w:rPr>
        <w:t>Iran: From Theocracy</w:t>
      </w:r>
      <w:r w:rsidRPr="00CE388C">
        <w:rPr>
          <w:sz w:val="24"/>
          <w:szCs w:val="24"/>
        </w:rPr>
        <w:t>, p. 13.</w:t>
      </w:r>
    </w:p>
  </w:footnote>
  <w:footnote w:id="40">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Ricoeur, </w:t>
      </w:r>
      <w:r>
        <w:rPr>
          <w:sz w:val="24"/>
          <w:u w:val="single"/>
        </w:rPr>
        <w:t>Freud</w:t>
      </w:r>
      <w:r>
        <w:rPr>
          <w:sz w:val="24"/>
        </w:rPr>
        <w:t xml:space="preserve">, p. 516; Ricoeur, </w:t>
      </w:r>
      <w:r>
        <w:rPr>
          <w:sz w:val="24"/>
          <w:u w:val="single"/>
        </w:rPr>
        <w:t>Memory, History, Forgetting</w:t>
      </w:r>
      <w:r>
        <w:rPr>
          <w:sz w:val="24"/>
        </w:rPr>
        <w:t>, pp. 444-52.</w:t>
      </w:r>
    </w:p>
  </w:footnote>
  <w:footnote w:id="41">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Nazila Fathi and Michael Slackman, “Iran Stepping Up Effort to Quell Election Protest,” </w:t>
      </w:r>
      <w:r>
        <w:rPr>
          <w:sz w:val="24"/>
          <w:u w:val="single"/>
        </w:rPr>
        <w:t>The New York Times</w:t>
      </w:r>
      <w:r>
        <w:rPr>
          <w:sz w:val="24"/>
        </w:rPr>
        <w:t xml:space="preserve">, June 25, 2009; Fathi and Slackman, “Options Shrink”; Fathi and Slackman, “Iranian Leaders Gaining the Edge”; Slackman, “Iran Arrests Iranian Employees of British Embassy”; Alan Cowell and Stephen Castle, “Europe Weighs Pulling Envoys From Tehran,” </w:t>
      </w:r>
      <w:r>
        <w:rPr>
          <w:sz w:val="24"/>
          <w:u w:val="single"/>
        </w:rPr>
        <w:t>The New York Times</w:t>
      </w:r>
      <w:r>
        <w:rPr>
          <w:sz w:val="24"/>
        </w:rPr>
        <w:t xml:space="preserve">, July 2, 2009; Elaine Sciolino, “Iranian Critic Quotes Khomeini Principles,” </w:t>
      </w:r>
      <w:r>
        <w:rPr>
          <w:sz w:val="24"/>
          <w:u w:val="single"/>
        </w:rPr>
        <w:t>The New York Times</w:t>
      </w:r>
      <w:r>
        <w:rPr>
          <w:sz w:val="24"/>
        </w:rPr>
        <w:t xml:space="preserve">, July 19, 2009; Michael Slackman, “Iran’s Supreme Leader Softens Tone,” </w:t>
      </w:r>
      <w:r>
        <w:rPr>
          <w:sz w:val="24"/>
          <w:u w:val="single"/>
        </w:rPr>
        <w:t>The New York Times</w:t>
      </w:r>
      <w:r>
        <w:rPr>
          <w:sz w:val="24"/>
        </w:rPr>
        <w:t xml:space="preserve">, August 28, 2009; Robert F. Worth, “Scholar Who Was Held After Disputed Iranian Election Is Given at Least 12 Years,” </w:t>
      </w:r>
      <w:r>
        <w:rPr>
          <w:sz w:val="24"/>
          <w:u w:val="single"/>
        </w:rPr>
        <w:t>The New York Times</w:t>
      </w:r>
      <w:r>
        <w:rPr>
          <w:sz w:val="24"/>
        </w:rPr>
        <w:t xml:space="preserve">, October 21, 2009; Nazila Fathi, “Iran Lashes Out at West Over Protests,” </w:t>
      </w:r>
      <w:r>
        <w:rPr>
          <w:sz w:val="24"/>
          <w:u w:val="single"/>
        </w:rPr>
        <w:t>The New York Times</w:t>
      </w:r>
      <w:r>
        <w:rPr>
          <w:sz w:val="24"/>
        </w:rPr>
        <w:t xml:space="preserve">, December 30, 2009; Michael Slackman, “Standoff in Iran Deepens With New Show of Force,” </w:t>
      </w:r>
      <w:r>
        <w:rPr>
          <w:sz w:val="24"/>
          <w:u w:val="single"/>
        </w:rPr>
        <w:t>The New York Times</w:t>
      </w:r>
      <w:r>
        <w:rPr>
          <w:sz w:val="24"/>
        </w:rPr>
        <w:t>, January 2, 2010.</w:t>
      </w:r>
    </w:p>
  </w:footnote>
  <w:footnote w:id="42">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Fathi and Slackman, “Options Shrink for Opposition.”</w:t>
      </w:r>
    </w:p>
  </w:footnote>
  <w:footnote w:id="43">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Richard Bernstein, “In </w:t>
      </w:r>
      <w:smartTag w:uri="urn:schemas-microsoft-com:office:smarttags" w:element="City">
        <w:smartTag w:uri="urn:schemas-microsoft-com:office:smarttags" w:element="place">
          <w:r>
            <w:rPr>
              <w:sz w:val="24"/>
            </w:rPr>
            <w:t>Tehran</w:t>
          </w:r>
        </w:smartTag>
      </w:smartTag>
      <w:r>
        <w:rPr>
          <w:sz w:val="24"/>
        </w:rPr>
        <w:t xml:space="preserve">, Shades of Tiananmen,” </w:t>
      </w:r>
      <w:r>
        <w:rPr>
          <w:sz w:val="24"/>
          <w:u w:val="single"/>
        </w:rPr>
        <w:t>The New York Times</w:t>
      </w:r>
      <w:r>
        <w:rPr>
          <w:sz w:val="24"/>
        </w:rPr>
        <w:t>, July 2, 2009.</w:t>
      </w:r>
    </w:p>
  </w:footnote>
  <w:footnote w:id="44">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Landler and Mazzetti, “U.S. Scrambles for Information.”</w:t>
      </w:r>
    </w:p>
  </w:footnote>
  <w:footnote w:id="45">
    <w:p w:rsidR="00CE388C" w:rsidRDefault="00CE388C">
      <w:pPr>
        <w:pStyle w:val="FootnoteText"/>
        <w:rPr>
          <w:sz w:val="24"/>
        </w:rPr>
      </w:pPr>
    </w:p>
    <w:p w:rsidR="00CE388C" w:rsidRDefault="00CE388C">
      <w:pPr>
        <w:pStyle w:val="FootnoteText"/>
        <w:rPr>
          <w:sz w:val="24"/>
        </w:rPr>
      </w:pPr>
      <w:r>
        <w:rPr>
          <w:rStyle w:val="FootnoteReference"/>
          <w:sz w:val="24"/>
        </w:rPr>
        <w:footnoteRef/>
      </w:r>
      <w:r>
        <w:rPr>
          <w:sz w:val="24"/>
        </w:rPr>
        <w:t xml:space="preserve"> Cooper, “Exploring Iran’s Unrest.”</w:t>
      </w:r>
    </w:p>
    <w:p w:rsidR="0076342B" w:rsidRDefault="0076342B">
      <w:pPr>
        <w:pStyle w:val="FootnoteText"/>
        <w:rPr>
          <w:sz w:val="24"/>
        </w:rPr>
      </w:pPr>
    </w:p>
  </w:footnote>
  <w:footnote w:id="46">
    <w:p w:rsidR="0076342B" w:rsidRPr="0076342B" w:rsidRDefault="0076342B">
      <w:pPr>
        <w:pStyle w:val="FootnoteText"/>
        <w:rPr>
          <w:sz w:val="24"/>
          <w:szCs w:val="24"/>
        </w:rPr>
      </w:pPr>
      <w:r>
        <w:rPr>
          <w:rStyle w:val="FootnoteReference"/>
        </w:rPr>
        <w:footnoteRef/>
      </w:r>
      <w:r>
        <w:t xml:space="preserve"> </w:t>
      </w:r>
      <w:r w:rsidRPr="0076342B">
        <w:rPr>
          <w:sz w:val="24"/>
          <w:szCs w:val="24"/>
        </w:rPr>
        <w:t>Adelkhah, “Political Economy,” p. 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A2CE9"/>
    <w:multiLevelType w:val="hybridMultilevel"/>
    <w:tmpl w:val="1D246DA8"/>
    <w:lvl w:ilvl="0" w:tplc="DE7CCEE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43"/>
    <w:rsid w:val="00023882"/>
    <w:rsid w:val="00046A5F"/>
    <w:rsid w:val="000B599E"/>
    <w:rsid w:val="000C2F2B"/>
    <w:rsid w:val="000C6CB2"/>
    <w:rsid w:val="000D412B"/>
    <w:rsid w:val="000E3343"/>
    <w:rsid w:val="00101145"/>
    <w:rsid w:val="001144F9"/>
    <w:rsid w:val="001165E6"/>
    <w:rsid w:val="001211CC"/>
    <w:rsid w:val="0012622A"/>
    <w:rsid w:val="001276E2"/>
    <w:rsid w:val="001949BC"/>
    <w:rsid w:val="001B475B"/>
    <w:rsid w:val="001E0CCE"/>
    <w:rsid w:val="00207963"/>
    <w:rsid w:val="00235250"/>
    <w:rsid w:val="00276D8B"/>
    <w:rsid w:val="0029301E"/>
    <w:rsid w:val="002A1E9B"/>
    <w:rsid w:val="002B354B"/>
    <w:rsid w:val="00304B44"/>
    <w:rsid w:val="00311CD0"/>
    <w:rsid w:val="00314BDD"/>
    <w:rsid w:val="003344B9"/>
    <w:rsid w:val="003803B9"/>
    <w:rsid w:val="003B3D8E"/>
    <w:rsid w:val="003C26C8"/>
    <w:rsid w:val="003D22F5"/>
    <w:rsid w:val="003D7C3D"/>
    <w:rsid w:val="003F082D"/>
    <w:rsid w:val="003F3140"/>
    <w:rsid w:val="00405A6D"/>
    <w:rsid w:val="004218B0"/>
    <w:rsid w:val="0042340E"/>
    <w:rsid w:val="00433A62"/>
    <w:rsid w:val="004344C4"/>
    <w:rsid w:val="004477FC"/>
    <w:rsid w:val="00453198"/>
    <w:rsid w:val="00453F42"/>
    <w:rsid w:val="00461730"/>
    <w:rsid w:val="00486F8A"/>
    <w:rsid w:val="0049592F"/>
    <w:rsid w:val="004A7696"/>
    <w:rsid w:val="004A7F1D"/>
    <w:rsid w:val="004C2319"/>
    <w:rsid w:val="004E15BA"/>
    <w:rsid w:val="00550872"/>
    <w:rsid w:val="0055116E"/>
    <w:rsid w:val="00554A06"/>
    <w:rsid w:val="005654EA"/>
    <w:rsid w:val="00574231"/>
    <w:rsid w:val="00577FB5"/>
    <w:rsid w:val="00584BDC"/>
    <w:rsid w:val="00597343"/>
    <w:rsid w:val="005A2B73"/>
    <w:rsid w:val="005B4896"/>
    <w:rsid w:val="005F775C"/>
    <w:rsid w:val="006125EE"/>
    <w:rsid w:val="00617B60"/>
    <w:rsid w:val="00637593"/>
    <w:rsid w:val="00662EA0"/>
    <w:rsid w:val="00664774"/>
    <w:rsid w:val="00675BBC"/>
    <w:rsid w:val="00692A86"/>
    <w:rsid w:val="006B0596"/>
    <w:rsid w:val="006C5BF2"/>
    <w:rsid w:val="006D4972"/>
    <w:rsid w:val="006E0F21"/>
    <w:rsid w:val="006F2577"/>
    <w:rsid w:val="0071479A"/>
    <w:rsid w:val="00714D31"/>
    <w:rsid w:val="0073160A"/>
    <w:rsid w:val="0073737F"/>
    <w:rsid w:val="00760B41"/>
    <w:rsid w:val="0076342B"/>
    <w:rsid w:val="00774BCC"/>
    <w:rsid w:val="00780BFD"/>
    <w:rsid w:val="007D2EC5"/>
    <w:rsid w:val="007F0F1E"/>
    <w:rsid w:val="007F5669"/>
    <w:rsid w:val="008027A8"/>
    <w:rsid w:val="00824F07"/>
    <w:rsid w:val="00826ECC"/>
    <w:rsid w:val="00831F06"/>
    <w:rsid w:val="00834602"/>
    <w:rsid w:val="0085213B"/>
    <w:rsid w:val="00861451"/>
    <w:rsid w:val="008638C5"/>
    <w:rsid w:val="008B5879"/>
    <w:rsid w:val="008C3945"/>
    <w:rsid w:val="008F1D2A"/>
    <w:rsid w:val="00903909"/>
    <w:rsid w:val="0091659E"/>
    <w:rsid w:val="00922B21"/>
    <w:rsid w:val="009579BC"/>
    <w:rsid w:val="00966CD3"/>
    <w:rsid w:val="009D235C"/>
    <w:rsid w:val="009E76CD"/>
    <w:rsid w:val="00A00879"/>
    <w:rsid w:val="00A23CFF"/>
    <w:rsid w:val="00A35617"/>
    <w:rsid w:val="00A57E91"/>
    <w:rsid w:val="00A82018"/>
    <w:rsid w:val="00A91D50"/>
    <w:rsid w:val="00AA52B1"/>
    <w:rsid w:val="00AB6E54"/>
    <w:rsid w:val="00AC6FD9"/>
    <w:rsid w:val="00AF758D"/>
    <w:rsid w:val="00B37B44"/>
    <w:rsid w:val="00B42EA6"/>
    <w:rsid w:val="00B8128C"/>
    <w:rsid w:val="00B9053A"/>
    <w:rsid w:val="00BA0499"/>
    <w:rsid w:val="00BA7AFD"/>
    <w:rsid w:val="00BC1313"/>
    <w:rsid w:val="00BD2539"/>
    <w:rsid w:val="00C01543"/>
    <w:rsid w:val="00C15DD8"/>
    <w:rsid w:val="00C40EF2"/>
    <w:rsid w:val="00C62C96"/>
    <w:rsid w:val="00CA3F3D"/>
    <w:rsid w:val="00CA50AD"/>
    <w:rsid w:val="00CA778F"/>
    <w:rsid w:val="00CB7F31"/>
    <w:rsid w:val="00CC6D79"/>
    <w:rsid w:val="00CC7E65"/>
    <w:rsid w:val="00CD3E9A"/>
    <w:rsid w:val="00CE388C"/>
    <w:rsid w:val="00CF74C5"/>
    <w:rsid w:val="00D1301E"/>
    <w:rsid w:val="00D22FEA"/>
    <w:rsid w:val="00D416CC"/>
    <w:rsid w:val="00D41FDD"/>
    <w:rsid w:val="00D56EEC"/>
    <w:rsid w:val="00D67E87"/>
    <w:rsid w:val="00D86644"/>
    <w:rsid w:val="00DA0128"/>
    <w:rsid w:val="00DA0223"/>
    <w:rsid w:val="00DA49E4"/>
    <w:rsid w:val="00DD1CB8"/>
    <w:rsid w:val="00DE5A0C"/>
    <w:rsid w:val="00DE688E"/>
    <w:rsid w:val="00DF52FB"/>
    <w:rsid w:val="00E1042E"/>
    <w:rsid w:val="00E21596"/>
    <w:rsid w:val="00E252E8"/>
    <w:rsid w:val="00E410B7"/>
    <w:rsid w:val="00E50653"/>
    <w:rsid w:val="00E61B37"/>
    <w:rsid w:val="00EA78A3"/>
    <w:rsid w:val="00EC7A8A"/>
    <w:rsid w:val="00EF07AB"/>
    <w:rsid w:val="00EF6AE3"/>
    <w:rsid w:val="00F114CC"/>
    <w:rsid w:val="00F42A84"/>
    <w:rsid w:val="00F50A1A"/>
    <w:rsid w:val="00F531D1"/>
    <w:rsid w:val="00FA139F"/>
    <w:rsid w:val="00FC66BC"/>
    <w:rsid w:val="00FD293E"/>
    <w:rsid w:val="00FE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spacing w:line="480" w:lineRule="auto"/>
      <w:ind w:firstLine="720"/>
    </w:pPr>
  </w:style>
  <w:style w:type="paragraph" w:styleId="ListParagraph">
    <w:name w:val="List Paragraph"/>
    <w:basedOn w:val="Normal"/>
    <w:uiPriority w:val="34"/>
    <w:qFormat/>
    <w:rsid w:val="003B3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spacing w:line="480" w:lineRule="auto"/>
      <w:ind w:firstLine="720"/>
    </w:pPr>
  </w:style>
  <w:style w:type="paragraph" w:styleId="ListParagraph">
    <w:name w:val="List Paragraph"/>
    <w:basedOn w:val="Normal"/>
    <w:uiPriority w:val="34"/>
    <w:qFormat/>
    <w:rsid w:val="003B3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229E8-D82F-4A75-8ECC-80AB2446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29</Pages>
  <Words>6401</Words>
  <Characters>36490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APSA10</vt:lpstr>
    </vt:vector>
  </TitlesOfParts>
  <Company>Dell Computer Corporation</Company>
  <LinksUpToDate>false</LinksUpToDate>
  <CharactersWithSpaces>42806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APSA10</dc:title>
  <dc:creator>Preferred Customer</dc:creator>
  <cp:lastModifiedBy>CLAS</cp:lastModifiedBy>
  <cp:revision>3</cp:revision>
  <cp:lastPrinted>2010-08-27T16:09:00Z</cp:lastPrinted>
  <dcterms:created xsi:type="dcterms:W3CDTF">2014-04-07T17:33:00Z</dcterms:created>
  <dcterms:modified xsi:type="dcterms:W3CDTF">2014-04-07T18:12:00Z</dcterms:modified>
</cp:coreProperties>
</file>