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B72CA5" w:rsidRDefault="00F82595" w:rsidP="004E58EE">
      <w:pPr>
        <w:jc w:val="center"/>
      </w:pPr>
      <w:r>
        <w:t>IN SEARCH OF CONSTITUTIONAL FEDERALISM</w:t>
      </w:r>
    </w:p>
    <w:p w:rsidR="00086830" w:rsidRDefault="00086830" w:rsidP="004E58EE">
      <w:pPr>
        <w:jc w:val="center"/>
      </w:pPr>
    </w:p>
    <w:p w:rsidR="00F82595" w:rsidRDefault="00F82595" w:rsidP="00086830">
      <w:pPr>
        <w:spacing w:after="0"/>
        <w:jc w:val="center"/>
      </w:pPr>
      <w:r>
        <w:t xml:space="preserve">G. Alan </w:t>
      </w:r>
      <w:proofErr w:type="spellStart"/>
      <w:r>
        <w:t>Tarr</w:t>
      </w:r>
      <w:proofErr w:type="spellEnd"/>
    </w:p>
    <w:p w:rsidR="00086830" w:rsidRDefault="00086830" w:rsidP="00086830">
      <w:pPr>
        <w:spacing w:after="0"/>
        <w:jc w:val="center"/>
      </w:pPr>
    </w:p>
    <w:p w:rsidR="00086830" w:rsidRDefault="00086830" w:rsidP="00086830">
      <w:pPr>
        <w:spacing w:after="0"/>
        <w:jc w:val="center"/>
      </w:pPr>
      <w:r>
        <w:t>Department of Political Science</w:t>
      </w:r>
    </w:p>
    <w:p w:rsidR="00086830" w:rsidRDefault="00086830" w:rsidP="00086830">
      <w:pPr>
        <w:spacing w:after="0"/>
        <w:jc w:val="center"/>
      </w:pPr>
      <w:r>
        <w:t>Rutgers University</w:t>
      </w:r>
    </w:p>
    <w:p w:rsidR="00086830" w:rsidRDefault="00086830" w:rsidP="00086830">
      <w:pPr>
        <w:spacing w:after="0"/>
        <w:jc w:val="center"/>
      </w:pPr>
      <w:r>
        <w:t>Camden, NJ 08102</w:t>
      </w:r>
    </w:p>
    <w:p w:rsidR="00086830" w:rsidRDefault="00086830" w:rsidP="00086830">
      <w:pPr>
        <w:spacing w:after="0"/>
        <w:jc w:val="center"/>
      </w:pPr>
      <w:r>
        <w:t>tarr@camden.rutgers.edu</w:t>
      </w:r>
    </w:p>
    <w:p w:rsidR="00086830" w:rsidRDefault="00086830" w:rsidP="00086830">
      <w:pPr>
        <w:spacing w:after="0"/>
        <w:jc w:val="center"/>
      </w:pPr>
    </w:p>
    <w:p w:rsidR="00086830" w:rsidRDefault="00086830" w:rsidP="00086830">
      <w:pPr>
        <w:spacing w:after="0"/>
      </w:pPr>
    </w:p>
    <w:p w:rsidR="00650F57" w:rsidRDefault="00650F57"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4E58EE">
      <w:pPr>
        <w:jc w:val="center"/>
      </w:pPr>
    </w:p>
    <w:p w:rsidR="00086830" w:rsidRDefault="00086830" w:rsidP="00086830">
      <w:r>
        <w:t xml:space="preserve">Prepared for delivery at the 2015 conference of the Western Political Science </w:t>
      </w:r>
      <w:r w:rsidR="00B47F4F">
        <w:t>Association</w:t>
      </w:r>
      <w:r>
        <w:t>, Las Vegas, NV.</w:t>
      </w:r>
    </w:p>
    <w:p w:rsidR="00086830" w:rsidRDefault="00086830" w:rsidP="004E58EE">
      <w:pPr>
        <w:jc w:val="center"/>
      </w:pPr>
    </w:p>
    <w:p w:rsidR="00086830" w:rsidRDefault="00086830" w:rsidP="00086830">
      <w:pPr>
        <w:jc w:val="center"/>
      </w:pPr>
      <w:bookmarkStart w:id="0" w:name="_GoBack"/>
      <w:bookmarkEnd w:id="0"/>
      <w:r>
        <w:lastRenderedPageBreak/>
        <w:t>IN SEARCH OF CONSTITUTIONAL FEDERALISM</w:t>
      </w:r>
    </w:p>
    <w:p w:rsidR="000F1A6C" w:rsidRDefault="00F82595" w:rsidP="004E58EE">
      <w:pPr>
        <w:ind w:firstLine="720"/>
      </w:pPr>
      <w:r>
        <w:t xml:space="preserve">In </w:t>
      </w:r>
      <w:r>
        <w:rPr>
          <w:i/>
        </w:rPr>
        <w:t>Comparative Federalism: Theory and Practice</w:t>
      </w:r>
      <w:r>
        <w:t xml:space="preserve">, Michael Burgess </w:t>
      </w:r>
      <w:r w:rsidR="00DB02B1">
        <w:t xml:space="preserve">observes </w:t>
      </w:r>
      <w:r>
        <w:t>that the meaning of “federalism” was contested during the drafting and ratific</w:t>
      </w:r>
      <w:r w:rsidR="00482EBF">
        <w:t>ation of the U.S. Constitution, with the “formidable proponents [of the Constitution] virtually commandeer[</w:t>
      </w:r>
      <w:proofErr w:type="spellStart"/>
      <w:r w:rsidR="00482EBF">
        <w:t>ing</w:t>
      </w:r>
      <w:proofErr w:type="spellEnd"/>
      <w:r w:rsidR="00482EBF">
        <w:t xml:space="preserve">] the term `federal’,” </w:t>
      </w:r>
      <w:proofErr w:type="gramStart"/>
      <w:r w:rsidR="00482EBF">
        <w:t>whi</w:t>
      </w:r>
      <w:r w:rsidR="00731F2C">
        <w:t>ch</w:t>
      </w:r>
      <w:proofErr w:type="gramEnd"/>
      <w:r w:rsidR="00482EBF">
        <w:t xml:space="preserve"> their opponents</w:t>
      </w:r>
      <w:r w:rsidR="004D0A78">
        <w:t xml:space="preserve"> insisted should be reserved for confederations.</w:t>
      </w:r>
      <w:r w:rsidR="00A977BB">
        <w:rPr>
          <w:rStyle w:val="EndnoteReference"/>
        </w:rPr>
        <w:endnoteReference w:id="1"/>
      </w:r>
      <w:r w:rsidR="00A977BB">
        <w:t xml:space="preserve">  </w:t>
      </w:r>
      <w:r w:rsidR="00DB02B1">
        <w:t>T</w:t>
      </w:r>
      <w:r w:rsidR="00650F57">
        <w:t>he</w:t>
      </w:r>
      <w:r w:rsidR="004D0A78">
        <w:t xml:space="preserve"> Anti-Federalists</w:t>
      </w:r>
      <w:r w:rsidR="000B5259">
        <w:t xml:space="preserve"> </w:t>
      </w:r>
      <w:r w:rsidR="00987C0B">
        <w:t>may have been</w:t>
      </w:r>
      <w:r w:rsidR="00650F57">
        <w:t xml:space="preserve"> correct</w:t>
      </w:r>
      <w:r w:rsidR="00DB02B1">
        <w:t xml:space="preserve"> as to the traditional </w:t>
      </w:r>
      <w:r w:rsidR="00950A74">
        <w:t>meaning</w:t>
      </w:r>
      <w:r w:rsidR="00DB02B1">
        <w:t xml:space="preserve"> of federalism</w:t>
      </w:r>
      <w:r w:rsidR="00650F57">
        <w:t>; but</w:t>
      </w:r>
      <w:r w:rsidR="00DB02B1">
        <w:t xml:space="preserve"> </w:t>
      </w:r>
      <w:r w:rsidR="003E0665">
        <w:t xml:space="preserve">as Burgess recognizes, </w:t>
      </w:r>
      <w:r w:rsidR="004D0A78">
        <w:t xml:space="preserve">the </w:t>
      </w:r>
      <w:r w:rsidR="000A4113">
        <w:t>f</w:t>
      </w:r>
      <w:r w:rsidR="00DB02B1">
        <w:t xml:space="preserve">ramers </w:t>
      </w:r>
      <w:r w:rsidR="000F1A6C">
        <w:t xml:space="preserve">of the </w:t>
      </w:r>
      <w:r w:rsidR="004D0A78">
        <w:t>new Constitution</w:t>
      </w:r>
      <w:r w:rsidR="000F1A6C">
        <w:t xml:space="preserve"> </w:t>
      </w:r>
      <w:r w:rsidR="0090763B">
        <w:t>were</w:t>
      </w:r>
      <w:r w:rsidR="000F1A6C">
        <w:t xml:space="preserve"> jettison</w:t>
      </w:r>
      <w:r w:rsidR="0090763B">
        <w:t>ing</w:t>
      </w:r>
      <w:r w:rsidR="000F1A6C">
        <w:t xml:space="preserve"> that understanding</w:t>
      </w:r>
      <w:r w:rsidR="00650F57">
        <w:t xml:space="preserve"> </w:t>
      </w:r>
      <w:r w:rsidR="00DB02B1">
        <w:t xml:space="preserve">in favor of </w:t>
      </w:r>
      <w:r w:rsidR="00650F57">
        <w:t>a new system</w:t>
      </w:r>
      <w:r w:rsidR="000F1A6C">
        <w:t xml:space="preserve"> </w:t>
      </w:r>
      <w:r w:rsidR="00650F57">
        <w:t xml:space="preserve">that combined </w:t>
      </w:r>
      <w:r w:rsidR="004D0A78">
        <w:t xml:space="preserve">national and </w:t>
      </w:r>
      <w:r w:rsidR="00650F57">
        <w:t>con</w:t>
      </w:r>
      <w:r w:rsidR="004D0A78">
        <w:t>federal features</w:t>
      </w:r>
      <w:r w:rsidR="000B5259">
        <w:t xml:space="preserve">.  </w:t>
      </w:r>
      <w:r w:rsidR="000F1A6C">
        <w:t>A</w:t>
      </w:r>
      <w:r w:rsidR="000B5259">
        <w:t>s might be expected</w:t>
      </w:r>
      <w:r w:rsidR="00DB02B1">
        <w:t>, their</w:t>
      </w:r>
      <w:r w:rsidR="000B5259">
        <w:t xml:space="preserve"> innovation</w:t>
      </w:r>
      <w:r w:rsidR="00650F57">
        <w:t xml:space="preserve"> </w:t>
      </w:r>
      <w:r w:rsidR="000B5259">
        <w:t>left</w:t>
      </w:r>
      <w:r w:rsidR="00650F57">
        <w:t xml:space="preserve"> much</w:t>
      </w:r>
      <w:r w:rsidR="000B5259">
        <w:t xml:space="preserve"> </w:t>
      </w:r>
      <w:r w:rsidR="004D0A78">
        <w:t>unresolved</w:t>
      </w:r>
      <w:r w:rsidR="000B5259">
        <w:t xml:space="preserve">, and this incompleteness has </w:t>
      </w:r>
      <w:r w:rsidR="000F1A6C">
        <w:t>ensured that</w:t>
      </w:r>
      <w:r w:rsidR="004D0A78">
        <w:t xml:space="preserve"> debate about </w:t>
      </w:r>
      <w:r w:rsidR="00650F57">
        <w:t>America</w:t>
      </w:r>
      <w:r w:rsidR="00086830">
        <w:t>n</w:t>
      </w:r>
      <w:r w:rsidR="004D0A78">
        <w:t xml:space="preserve"> federalism ha</w:t>
      </w:r>
      <w:r w:rsidR="000A4113">
        <w:t>s</w:t>
      </w:r>
      <w:r w:rsidR="004D0A78">
        <w:t xml:space="preserve"> been a recurring feature of American politic</w:t>
      </w:r>
      <w:r w:rsidR="000B5259">
        <w:t>al life</w:t>
      </w:r>
      <w:r w:rsidR="004D0A78">
        <w:t xml:space="preserve">.  </w:t>
      </w:r>
      <w:r w:rsidR="000B5259">
        <w:t xml:space="preserve">Thus, </w:t>
      </w:r>
      <w:r w:rsidR="004D0A78">
        <w:t xml:space="preserve">three decades after the Constitution’s ratification, Chief Justice John Marshall observed that </w:t>
      </w:r>
      <w:r w:rsidR="000B5259">
        <w:t>“the question respecting the extent of the powers actually granted [to the federal government] is perpetually arising, and will probably continue to arise, as long as our system shall exist.”</w:t>
      </w:r>
      <w:r w:rsidR="00A977BB">
        <w:rPr>
          <w:rStyle w:val="EndnoteReference"/>
        </w:rPr>
        <w:endnoteReference w:id="2"/>
      </w:r>
      <w:r w:rsidR="000B5259">
        <w:t xml:space="preserve"> </w:t>
      </w:r>
      <w:r w:rsidR="00570879">
        <w:t>Woodrow Wilson concurred a century later, noting that “the question of the relation of the States to the federal government cannot be settled by one generation because it is a question of growth, and every successive stage of our political and economic development gives it a new aspect, makes it a new question.”</w:t>
      </w:r>
      <w:r w:rsidR="009E583B">
        <w:rPr>
          <w:rStyle w:val="EndnoteReference"/>
        </w:rPr>
        <w:endnoteReference w:id="3"/>
      </w:r>
      <w:r w:rsidR="00730F8F">
        <w:t xml:space="preserve"> </w:t>
      </w:r>
      <w:r w:rsidR="00987C0B">
        <w:t xml:space="preserve"> </w:t>
      </w:r>
      <w:r w:rsidR="00387A19">
        <w:t xml:space="preserve"> </w:t>
      </w:r>
      <w:r w:rsidR="00513C3D">
        <w:t>Fundamental disagreement</w:t>
      </w:r>
      <w:r w:rsidR="00F964A6">
        <w:t>s</w:t>
      </w:r>
      <w:r w:rsidR="00513C3D">
        <w:t xml:space="preserve"> about</w:t>
      </w:r>
      <w:r w:rsidR="00910AE6">
        <w:t xml:space="preserve"> federalism </w:t>
      </w:r>
      <w:r w:rsidR="00650F57">
        <w:t xml:space="preserve">also </w:t>
      </w:r>
      <w:r w:rsidR="00F964A6">
        <w:t>continue on</w:t>
      </w:r>
      <w:r w:rsidR="00DB02B1">
        <w:t xml:space="preserve"> </w:t>
      </w:r>
      <w:r w:rsidR="000A4113">
        <w:t>t</w:t>
      </w:r>
      <w:r w:rsidR="00650F57">
        <w:t>he Supreme Court</w:t>
      </w:r>
      <w:r w:rsidR="009F6582">
        <w:t>. W</w:t>
      </w:r>
      <w:r w:rsidR="00650F57">
        <w:t>hen</w:t>
      </w:r>
      <w:r w:rsidR="00DB02B1">
        <w:t xml:space="preserve"> the Rehnquist Court launched its</w:t>
      </w:r>
      <w:r w:rsidR="00730F8F">
        <w:t xml:space="preserve"> “new federalism” initiative, the</w:t>
      </w:r>
      <w:r w:rsidR="000A4113">
        <w:t xml:space="preserve"> justices were</w:t>
      </w:r>
      <w:r w:rsidR="00730F8F">
        <w:t xml:space="preserve"> sharply divided</w:t>
      </w:r>
      <w:r w:rsidR="00F964A6">
        <w:t>, and t</w:t>
      </w:r>
      <w:r w:rsidR="004653C3">
        <w:t>his</w:t>
      </w:r>
      <w:r w:rsidR="00730F8F">
        <w:t xml:space="preserve"> pattern seems likely to continue on the Roberts Court</w:t>
      </w:r>
      <w:r w:rsidR="004653C3">
        <w:t xml:space="preserve">, </w:t>
      </w:r>
      <w:r w:rsidR="000A4113">
        <w:t>if</w:t>
      </w:r>
      <w:r w:rsidR="004653C3">
        <w:t xml:space="preserve"> </w:t>
      </w:r>
      <w:proofErr w:type="gramStart"/>
      <w:r w:rsidR="004653C3">
        <w:t>its</w:t>
      </w:r>
      <w:proofErr w:type="gramEnd"/>
      <w:r w:rsidR="004653C3">
        <w:t xml:space="preserve"> highly contentious ruling upholding the Obama Administration’s national-health-care program</w:t>
      </w:r>
      <w:r w:rsidR="009063DC">
        <w:t xml:space="preserve"> </w:t>
      </w:r>
      <w:r w:rsidR="000A4113">
        <w:t>is any indication</w:t>
      </w:r>
      <w:r w:rsidR="004653C3">
        <w:t>.</w:t>
      </w:r>
      <w:r w:rsidR="009063DC">
        <w:rPr>
          <w:rStyle w:val="EndnoteReference"/>
        </w:rPr>
        <w:endnoteReference w:id="4"/>
      </w:r>
      <w:r w:rsidR="004653C3">
        <w:t xml:space="preserve"> </w:t>
      </w:r>
      <w:r w:rsidR="003E0665">
        <w:t xml:space="preserve"> </w:t>
      </w:r>
      <w:r w:rsidR="004653C3">
        <w:t xml:space="preserve">This </w:t>
      </w:r>
      <w:r w:rsidR="000F1A6C">
        <w:t xml:space="preserve">chapter analyzes </w:t>
      </w:r>
      <w:r w:rsidR="00987C0B">
        <w:t xml:space="preserve">competing perspectives on </w:t>
      </w:r>
      <w:r w:rsidR="00950A74">
        <w:t xml:space="preserve">constitutional </w:t>
      </w:r>
      <w:r w:rsidR="00987C0B">
        <w:t xml:space="preserve">federalism </w:t>
      </w:r>
      <w:r w:rsidR="00950A74">
        <w:t xml:space="preserve">both </w:t>
      </w:r>
      <w:r w:rsidR="00987C0B">
        <w:t xml:space="preserve">on the U.S. </w:t>
      </w:r>
      <w:r w:rsidR="004653C3">
        <w:t>Supreme Court</w:t>
      </w:r>
      <w:r w:rsidR="00987C0B">
        <w:t xml:space="preserve"> and </w:t>
      </w:r>
      <w:r w:rsidR="00950A74">
        <w:t xml:space="preserve">in </w:t>
      </w:r>
      <w:r w:rsidR="00650F57">
        <w:t xml:space="preserve">recent </w:t>
      </w:r>
      <w:r w:rsidR="00987C0B">
        <w:t>scholarly</w:t>
      </w:r>
      <w:r w:rsidR="004653C3">
        <w:t xml:space="preserve"> commentaries</w:t>
      </w:r>
      <w:r w:rsidR="00950A74">
        <w:t xml:space="preserve">. </w:t>
      </w:r>
      <w:r w:rsidR="00650F57">
        <w:t>It</w:t>
      </w:r>
      <w:r w:rsidR="004653C3">
        <w:t xml:space="preserve"> </w:t>
      </w:r>
      <w:r w:rsidR="00730F8F">
        <w:t xml:space="preserve">concludes with comments on the state of American constitutional federalism and </w:t>
      </w:r>
      <w:r w:rsidR="00650F57">
        <w:t xml:space="preserve">of </w:t>
      </w:r>
      <w:r w:rsidR="00730F8F">
        <w:t>research on that topic</w:t>
      </w:r>
      <w:r w:rsidR="000F1A6C">
        <w:t>.</w:t>
      </w:r>
      <w:r w:rsidR="004653C3">
        <w:t xml:space="preserve"> </w:t>
      </w:r>
    </w:p>
    <w:p w:rsidR="004653C3" w:rsidRPr="00233626" w:rsidRDefault="004653C3" w:rsidP="004E58EE">
      <w:pPr>
        <w:jc w:val="center"/>
      </w:pPr>
      <w:r w:rsidRPr="00233626">
        <w:t>The Supreme Court</w:t>
      </w:r>
      <w:r w:rsidR="00513C3D" w:rsidRPr="00233626">
        <w:t xml:space="preserve">’s </w:t>
      </w:r>
      <w:r w:rsidRPr="00233626">
        <w:t>“New Federalism”</w:t>
      </w:r>
      <w:r w:rsidR="00513C3D" w:rsidRPr="00233626">
        <w:t xml:space="preserve"> Jurisprudence</w:t>
      </w:r>
    </w:p>
    <w:p w:rsidR="004653C3" w:rsidRPr="00233626" w:rsidRDefault="00DB02B1" w:rsidP="004E58EE">
      <w:pPr>
        <w:rPr>
          <w:rFonts w:cs="Times New Roman"/>
        </w:rPr>
      </w:pPr>
      <w:r w:rsidRPr="00233626">
        <w:rPr>
          <w:rFonts w:cs="Times New Roman"/>
        </w:rPr>
        <w:tab/>
      </w:r>
      <w:r w:rsidR="0090763B">
        <w:rPr>
          <w:rFonts w:cs="Times New Roman"/>
        </w:rPr>
        <w:t>I</w:t>
      </w:r>
      <w:r w:rsidR="006A48B3" w:rsidRPr="00233626">
        <w:rPr>
          <w:rFonts w:cs="Times New Roman"/>
        </w:rPr>
        <w:t xml:space="preserve">n the early 1990s, the Supreme Court under Chief Justice William Rehnquist embarked on a </w:t>
      </w:r>
      <w:r w:rsidR="00A436CB">
        <w:rPr>
          <w:rFonts w:cs="Times New Roman"/>
        </w:rPr>
        <w:t xml:space="preserve">controversial </w:t>
      </w:r>
      <w:r w:rsidR="006A48B3" w:rsidRPr="00233626">
        <w:rPr>
          <w:rFonts w:cs="Times New Roman"/>
        </w:rPr>
        <w:t>“new federalism,” seeking to d</w:t>
      </w:r>
      <w:r w:rsidRPr="00233626">
        <w:rPr>
          <w:rFonts w:cs="Times New Roman"/>
        </w:rPr>
        <w:t>emarc</w:t>
      </w:r>
      <w:r w:rsidR="006A48B3" w:rsidRPr="00233626">
        <w:rPr>
          <w:rFonts w:cs="Times New Roman"/>
        </w:rPr>
        <w:t>ate mutually exclusive spheres of federal and state</w:t>
      </w:r>
      <w:r w:rsidRPr="00233626">
        <w:rPr>
          <w:rFonts w:cs="Times New Roman"/>
        </w:rPr>
        <w:t xml:space="preserve"> authority</w:t>
      </w:r>
      <w:r w:rsidR="006A48B3" w:rsidRPr="00233626">
        <w:rPr>
          <w:rFonts w:cs="Times New Roman"/>
        </w:rPr>
        <w:t>.</w:t>
      </w:r>
      <w:r w:rsidR="000A4113" w:rsidRPr="00233626">
        <w:rPr>
          <w:rStyle w:val="EndnoteReference"/>
          <w:rFonts w:cs="Times New Roman"/>
        </w:rPr>
        <w:endnoteReference w:id="5"/>
      </w:r>
      <w:r w:rsidR="006A48B3" w:rsidRPr="00233626">
        <w:rPr>
          <w:rFonts w:cs="Times New Roman"/>
        </w:rPr>
        <w:t xml:space="preserve"> The Rehnquist Court’s rulings </w:t>
      </w:r>
      <w:r w:rsidRPr="00233626">
        <w:rPr>
          <w:rFonts w:cs="Times New Roman"/>
        </w:rPr>
        <w:t xml:space="preserve">dealt </w:t>
      </w:r>
      <w:r w:rsidR="006A48B3" w:rsidRPr="00233626">
        <w:rPr>
          <w:rFonts w:cs="Times New Roman"/>
        </w:rPr>
        <w:t>with the scope of federal power</w:t>
      </w:r>
      <w:r w:rsidRPr="00233626">
        <w:rPr>
          <w:rFonts w:cs="Times New Roman"/>
        </w:rPr>
        <w:t xml:space="preserve"> under the </w:t>
      </w:r>
      <w:r w:rsidR="009D0599" w:rsidRPr="00233626">
        <w:rPr>
          <w:rFonts w:cs="Times New Roman"/>
        </w:rPr>
        <w:t>C</w:t>
      </w:r>
      <w:r w:rsidRPr="00233626">
        <w:rPr>
          <w:rFonts w:cs="Times New Roman"/>
        </w:rPr>
        <w:t xml:space="preserve">ommerce and </w:t>
      </w:r>
      <w:r w:rsidR="009D0599" w:rsidRPr="00233626">
        <w:rPr>
          <w:rFonts w:cs="Times New Roman"/>
        </w:rPr>
        <w:t>N</w:t>
      </w:r>
      <w:r w:rsidRPr="00233626">
        <w:rPr>
          <w:rFonts w:cs="Times New Roman"/>
        </w:rPr>
        <w:t>ecessary-an</w:t>
      </w:r>
      <w:r w:rsidR="009D0599" w:rsidRPr="00233626">
        <w:rPr>
          <w:rFonts w:cs="Times New Roman"/>
        </w:rPr>
        <w:t>d</w:t>
      </w:r>
      <w:r w:rsidRPr="00233626">
        <w:rPr>
          <w:rFonts w:cs="Times New Roman"/>
        </w:rPr>
        <w:t>-</w:t>
      </w:r>
      <w:r w:rsidR="009D0599" w:rsidRPr="00233626">
        <w:rPr>
          <w:rFonts w:cs="Times New Roman"/>
        </w:rPr>
        <w:t>P</w:t>
      </w:r>
      <w:r w:rsidRPr="00233626">
        <w:rPr>
          <w:rFonts w:cs="Times New Roman"/>
        </w:rPr>
        <w:t xml:space="preserve">roper </w:t>
      </w:r>
      <w:r w:rsidR="009D0599" w:rsidRPr="00233626">
        <w:rPr>
          <w:rFonts w:cs="Times New Roman"/>
        </w:rPr>
        <w:t>C</w:t>
      </w:r>
      <w:r w:rsidRPr="00233626">
        <w:rPr>
          <w:rFonts w:cs="Times New Roman"/>
        </w:rPr>
        <w:t>lauses</w:t>
      </w:r>
      <w:r w:rsidR="00574F0D" w:rsidRPr="00233626">
        <w:rPr>
          <w:rFonts w:cs="Times New Roman"/>
        </w:rPr>
        <w:t>;</w:t>
      </w:r>
      <w:r w:rsidR="006A48B3" w:rsidRPr="00233626">
        <w:rPr>
          <w:rFonts w:cs="Times New Roman"/>
        </w:rPr>
        <w:t xml:space="preserve"> the scope of congressional power under the post-Civil-War amendments</w:t>
      </w:r>
      <w:r w:rsidRPr="00233626">
        <w:rPr>
          <w:rFonts w:cs="Times New Roman"/>
        </w:rPr>
        <w:t>;</w:t>
      </w:r>
      <w:r w:rsidR="006A48B3" w:rsidRPr="00233626">
        <w:rPr>
          <w:rFonts w:cs="Times New Roman"/>
        </w:rPr>
        <w:t xml:space="preserve"> congressional power to </w:t>
      </w:r>
      <w:r w:rsidR="00574F0D" w:rsidRPr="00233626">
        <w:rPr>
          <w:rFonts w:cs="Times New Roman"/>
        </w:rPr>
        <w:t>require</w:t>
      </w:r>
      <w:r w:rsidR="006A48B3" w:rsidRPr="00233626">
        <w:rPr>
          <w:rFonts w:cs="Times New Roman"/>
        </w:rPr>
        <w:t xml:space="preserve"> state l</w:t>
      </w:r>
      <w:r w:rsidRPr="00233626">
        <w:rPr>
          <w:rFonts w:cs="Times New Roman"/>
        </w:rPr>
        <w:t>egislative and exec</w:t>
      </w:r>
      <w:r w:rsidR="001263CC" w:rsidRPr="00233626">
        <w:rPr>
          <w:rFonts w:cs="Times New Roman"/>
        </w:rPr>
        <w:t>utive action;</w:t>
      </w:r>
      <w:r w:rsidR="006A48B3" w:rsidRPr="00233626">
        <w:rPr>
          <w:rFonts w:cs="Times New Roman"/>
        </w:rPr>
        <w:t xml:space="preserve"> and the </w:t>
      </w:r>
      <w:r w:rsidR="009063DC">
        <w:rPr>
          <w:rFonts w:cs="Times New Roman"/>
        </w:rPr>
        <w:t>scope</w:t>
      </w:r>
      <w:r w:rsidR="006A48B3" w:rsidRPr="00233626">
        <w:rPr>
          <w:rFonts w:cs="Times New Roman"/>
        </w:rPr>
        <w:t xml:space="preserve"> of state sovereign immunity</w:t>
      </w:r>
      <w:r w:rsidR="009D0599" w:rsidRPr="00233626">
        <w:rPr>
          <w:rFonts w:cs="Times New Roman"/>
        </w:rPr>
        <w:t>. In all these areas, the C</w:t>
      </w:r>
      <w:r w:rsidR="001263CC" w:rsidRPr="00233626">
        <w:rPr>
          <w:rFonts w:cs="Times New Roman"/>
        </w:rPr>
        <w:t>ourt’s rulings</w:t>
      </w:r>
      <w:r w:rsidR="006A48B3" w:rsidRPr="00233626">
        <w:rPr>
          <w:rFonts w:cs="Times New Roman"/>
        </w:rPr>
        <w:t xml:space="preserve"> </w:t>
      </w:r>
      <w:r w:rsidR="00F964A6">
        <w:rPr>
          <w:rFonts w:cs="Times New Roman"/>
        </w:rPr>
        <w:t xml:space="preserve">limited </w:t>
      </w:r>
      <w:r w:rsidR="006A48B3" w:rsidRPr="00233626">
        <w:rPr>
          <w:rFonts w:cs="Times New Roman"/>
        </w:rPr>
        <w:t xml:space="preserve">federal power and </w:t>
      </w:r>
      <w:r w:rsidR="001263CC" w:rsidRPr="00233626">
        <w:rPr>
          <w:rFonts w:cs="Times New Roman"/>
        </w:rPr>
        <w:t>secure</w:t>
      </w:r>
      <w:r w:rsidR="00F964A6">
        <w:rPr>
          <w:rFonts w:cs="Times New Roman"/>
        </w:rPr>
        <w:t>d</w:t>
      </w:r>
      <w:r w:rsidR="006A48B3" w:rsidRPr="00233626">
        <w:rPr>
          <w:rFonts w:cs="Times New Roman"/>
        </w:rPr>
        <w:t xml:space="preserve"> state prerogatives. Conversely, its rulings on preemption </w:t>
      </w:r>
      <w:r w:rsidR="009D0599" w:rsidRPr="00233626">
        <w:rPr>
          <w:rFonts w:cs="Times New Roman"/>
        </w:rPr>
        <w:t>during the same period tended</w:t>
      </w:r>
      <w:r w:rsidR="006A48B3" w:rsidRPr="00233626">
        <w:rPr>
          <w:rFonts w:cs="Times New Roman"/>
        </w:rPr>
        <w:t xml:space="preserve"> to protect the federal sphere from state encroachments</w:t>
      </w:r>
      <w:r w:rsidR="001D23EA" w:rsidRPr="00233626">
        <w:rPr>
          <w:rFonts w:cs="Times New Roman"/>
        </w:rPr>
        <w:t>, so the Court’s aim was not merely to enhance the power of the states</w:t>
      </w:r>
      <w:r w:rsidR="006A48B3" w:rsidRPr="00233626">
        <w:rPr>
          <w:rFonts w:cs="Times New Roman"/>
        </w:rPr>
        <w:t>. The Roberts Court has continued to supervise the constitutional division of power, reinterpret</w:t>
      </w:r>
      <w:r w:rsidR="00574F0D" w:rsidRPr="00233626">
        <w:rPr>
          <w:rFonts w:cs="Times New Roman"/>
        </w:rPr>
        <w:t>ing</w:t>
      </w:r>
      <w:r w:rsidR="006A48B3" w:rsidRPr="00233626">
        <w:rPr>
          <w:rFonts w:cs="Times New Roman"/>
        </w:rPr>
        <w:t xml:space="preserve"> congressional power under the</w:t>
      </w:r>
      <w:r w:rsidR="009D0599" w:rsidRPr="00233626">
        <w:rPr>
          <w:rFonts w:cs="Times New Roman"/>
        </w:rPr>
        <w:t xml:space="preserve"> N</w:t>
      </w:r>
      <w:r w:rsidR="006A48B3" w:rsidRPr="00233626">
        <w:rPr>
          <w:rFonts w:cs="Times New Roman"/>
        </w:rPr>
        <w:t xml:space="preserve">ecessary and </w:t>
      </w:r>
      <w:r w:rsidR="009D0599" w:rsidRPr="00233626">
        <w:rPr>
          <w:rFonts w:cs="Times New Roman"/>
        </w:rPr>
        <w:t>Proper C</w:t>
      </w:r>
      <w:r w:rsidR="006A48B3" w:rsidRPr="00233626">
        <w:rPr>
          <w:rFonts w:cs="Times New Roman"/>
        </w:rPr>
        <w:t>lause and signal</w:t>
      </w:r>
      <w:r w:rsidR="00574F0D" w:rsidRPr="00233626">
        <w:rPr>
          <w:rFonts w:cs="Times New Roman"/>
        </w:rPr>
        <w:t>ing</w:t>
      </w:r>
      <w:r w:rsidR="006A48B3" w:rsidRPr="00233626">
        <w:rPr>
          <w:rFonts w:cs="Times New Roman"/>
        </w:rPr>
        <w:t xml:space="preserve"> a willingness to </w:t>
      </w:r>
      <w:r w:rsidR="001D23EA" w:rsidRPr="00233626">
        <w:rPr>
          <w:rFonts w:cs="Times New Roman"/>
        </w:rPr>
        <w:t>scrutinize alleged</w:t>
      </w:r>
      <w:r w:rsidR="006A48B3" w:rsidRPr="00233626">
        <w:rPr>
          <w:rFonts w:cs="Times New Roman"/>
        </w:rPr>
        <w:t xml:space="preserve"> federal coercion under the </w:t>
      </w:r>
      <w:r w:rsidR="001D23EA" w:rsidRPr="00233626">
        <w:rPr>
          <w:rFonts w:cs="Times New Roman"/>
        </w:rPr>
        <w:t>Spending C</w:t>
      </w:r>
      <w:r w:rsidR="006A48B3" w:rsidRPr="00233626">
        <w:rPr>
          <w:rFonts w:cs="Times New Roman"/>
        </w:rPr>
        <w:t>lause.</w:t>
      </w:r>
    </w:p>
    <w:p w:rsidR="00716EE0" w:rsidRPr="00233626" w:rsidRDefault="000F6011" w:rsidP="004E58EE">
      <w:pPr>
        <w:ind w:firstLine="720"/>
        <w:rPr>
          <w:rFonts w:cs="Times New Roman"/>
        </w:rPr>
      </w:pPr>
      <w:r w:rsidRPr="00233626">
        <w:rPr>
          <w:rFonts w:cs="Times New Roman"/>
        </w:rPr>
        <w:t xml:space="preserve">Underlying these rulings was a revival of </w:t>
      </w:r>
      <w:r w:rsidR="001263CC" w:rsidRPr="00233626">
        <w:rPr>
          <w:rFonts w:cs="Times New Roman"/>
        </w:rPr>
        <w:t xml:space="preserve">the </w:t>
      </w:r>
      <w:r w:rsidR="001D366C" w:rsidRPr="00233626">
        <w:rPr>
          <w:rFonts w:cs="Times New Roman"/>
        </w:rPr>
        <w:t xml:space="preserve">doctrine of </w:t>
      </w:r>
      <w:r w:rsidR="009D0599" w:rsidRPr="00233626">
        <w:rPr>
          <w:rFonts w:cs="Times New Roman"/>
        </w:rPr>
        <w:t>“</w:t>
      </w:r>
      <w:r w:rsidR="001D366C" w:rsidRPr="00233626">
        <w:rPr>
          <w:rFonts w:cs="Times New Roman"/>
        </w:rPr>
        <w:t>dual federalism</w:t>
      </w:r>
      <w:r w:rsidRPr="00233626">
        <w:rPr>
          <w:rFonts w:cs="Times New Roman"/>
        </w:rPr>
        <w:t>,</w:t>
      </w:r>
      <w:r w:rsidR="009D0599" w:rsidRPr="00233626">
        <w:rPr>
          <w:rFonts w:cs="Times New Roman"/>
        </w:rPr>
        <w:t>”</w:t>
      </w:r>
      <w:r w:rsidR="001D366C" w:rsidRPr="00233626">
        <w:rPr>
          <w:rFonts w:cs="Times New Roman"/>
        </w:rPr>
        <w:t xml:space="preserve"> which </w:t>
      </w:r>
      <w:r w:rsidR="00F964A6">
        <w:rPr>
          <w:rFonts w:cs="Times New Roman"/>
        </w:rPr>
        <w:t>holds</w:t>
      </w:r>
      <w:r w:rsidR="001D366C" w:rsidRPr="00233626">
        <w:rPr>
          <w:rFonts w:cs="Times New Roman"/>
        </w:rPr>
        <w:t xml:space="preserve"> that the Framers reserved important powers</w:t>
      </w:r>
      <w:r w:rsidR="001263CC" w:rsidRPr="00233626">
        <w:rPr>
          <w:rFonts w:cs="Times New Roman"/>
        </w:rPr>
        <w:t xml:space="preserve"> </w:t>
      </w:r>
      <w:r w:rsidR="001D366C" w:rsidRPr="00233626">
        <w:rPr>
          <w:rFonts w:cs="Times New Roman"/>
        </w:rPr>
        <w:t>to the states</w:t>
      </w:r>
      <w:r w:rsidR="001263CC" w:rsidRPr="00233626">
        <w:rPr>
          <w:rFonts w:cs="Times New Roman"/>
        </w:rPr>
        <w:t xml:space="preserve"> and that federal powers should be interpreted </w:t>
      </w:r>
      <w:r w:rsidR="00F964A6">
        <w:rPr>
          <w:rFonts w:cs="Times New Roman"/>
        </w:rPr>
        <w:t>narrowly in order</w:t>
      </w:r>
      <w:r w:rsidR="009D0599" w:rsidRPr="00233626">
        <w:rPr>
          <w:rFonts w:cs="Times New Roman"/>
        </w:rPr>
        <w:t xml:space="preserve"> to prevent</w:t>
      </w:r>
      <w:r w:rsidR="001263CC" w:rsidRPr="00233626">
        <w:rPr>
          <w:rFonts w:cs="Times New Roman"/>
        </w:rPr>
        <w:t xml:space="preserve"> the federal  government </w:t>
      </w:r>
      <w:r w:rsidR="009D0599" w:rsidRPr="00233626">
        <w:rPr>
          <w:rFonts w:cs="Times New Roman"/>
        </w:rPr>
        <w:t>from</w:t>
      </w:r>
      <w:r w:rsidR="001D366C" w:rsidRPr="00233626">
        <w:rPr>
          <w:rFonts w:cs="Times New Roman"/>
        </w:rPr>
        <w:t xml:space="preserve"> us</w:t>
      </w:r>
      <w:r w:rsidR="009D0599" w:rsidRPr="00233626">
        <w:rPr>
          <w:rFonts w:cs="Times New Roman"/>
        </w:rPr>
        <w:t>ing</w:t>
      </w:r>
      <w:r w:rsidR="001D366C" w:rsidRPr="00233626">
        <w:rPr>
          <w:rFonts w:cs="Times New Roman"/>
        </w:rPr>
        <w:t xml:space="preserve"> its delegated powers to usurp the reserved </w:t>
      </w:r>
      <w:r w:rsidRPr="00233626">
        <w:rPr>
          <w:rFonts w:cs="Times New Roman"/>
        </w:rPr>
        <w:t>powers</w:t>
      </w:r>
      <w:r w:rsidR="009063DC">
        <w:rPr>
          <w:rFonts w:cs="Times New Roman"/>
        </w:rPr>
        <w:t xml:space="preserve"> of the states</w:t>
      </w:r>
      <w:r w:rsidR="009D0599" w:rsidRPr="00233626">
        <w:rPr>
          <w:rFonts w:cs="Times New Roman"/>
        </w:rPr>
        <w:t xml:space="preserve">.  </w:t>
      </w:r>
      <w:r w:rsidRPr="00233626">
        <w:rPr>
          <w:rFonts w:cs="Times New Roman"/>
        </w:rPr>
        <w:t xml:space="preserve">Put differently, dual federalism seeks to </w:t>
      </w:r>
      <w:r w:rsidR="009D0599" w:rsidRPr="00233626">
        <w:rPr>
          <w:rFonts w:cs="Times New Roman"/>
        </w:rPr>
        <w:t>ensure</w:t>
      </w:r>
      <w:r w:rsidR="001D366C" w:rsidRPr="00233626">
        <w:rPr>
          <w:rFonts w:cs="Times New Roman"/>
        </w:rPr>
        <w:t xml:space="preserve"> </w:t>
      </w:r>
      <w:r w:rsidR="001263CC" w:rsidRPr="00233626">
        <w:rPr>
          <w:rFonts w:cs="Times New Roman"/>
        </w:rPr>
        <w:t xml:space="preserve">that </w:t>
      </w:r>
      <w:r w:rsidR="001D366C" w:rsidRPr="00233626">
        <w:rPr>
          <w:rFonts w:cs="Times New Roman"/>
        </w:rPr>
        <w:t xml:space="preserve">a federal balance </w:t>
      </w:r>
      <w:r w:rsidRPr="00233626">
        <w:rPr>
          <w:rFonts w:cs="Times New Roman"/>
        </w:rPr>
        <w:t>is</w:t>
      </w:r>
      <w:r w:rsidR="009D0599" w:rsidRPr="00233626">
        <w:rPr>
          <w:rFonts w:cs="Times New Roman"/>
        </w:rPr>
        <w:t xml:space="preserve"> </w:t>
      </w:r>
      <w:r w:rsidR="001263CC" w:rsidRPr="00233626">
        <w:rPr>
          <w:rFonts w:cs="Times New Roman"/>
        </w:rPr>
        <w:t xml:space="preserve">maintained. </w:t>
      </w:r>
      <w:r w:rsidR="009D0599" w:rsidRPr="00233626">
        <w:rPr>
          <w:rFonts w:cs="Times New Roman"/>
        </w:rPr>
        <w:t>As</w:t>
      </w:r>
      <w:r w:rsidR="001263CC" w:rsidRPr="00233626">
        <w:rPr>
          <w:rFonts w:cs="Times New Roman"/>
        </w:rPr>
        <w:t xml:space="preserve"> a five-member majority </w:t>
      </w:r>
      <w:r w:rsidR="00CF67CC" w:rsidRPr="00233626">
        <w:rPr>
          <w:rFonts w:cs="Times New Roman"/>
        </w:rPr>
        <w:t>put it</w:t>
      </w:r>
      <w:r w:rsidR="001263CC" w:rsidRPr="00233626">
        <w:rPr>
          <w:rFonts w:cs="Times New Roman"/>
        </w:rPr>
        <w:t xml:space="preserve"> in </w:t>
      </w:r>
      <w:r w:rsidR="009656C7" w:rsidRPr="00233626">
        <w:rPr>
          <w:rStyle w:val="95AGrom"/>
          <w:rFonts w:cs="Times New Roman"/>
          <w:i/>
          <w:sz w:val="22"/>
        </w:rPr>
        <w:t xml:space="preserve">National League of Cities v. </w:t>
      </w:r>
      <w:proofErr w:type="spellStart"/>
      <w:r w:rsidR="009656C7" w:rsidRPr="00233626">
        <w:rPr>
          <w:rStyle w:val="95AGrom"/>
          <w:rFonts w:cs="Times New Roman"/>
          <w:i/>
          <w:sz w:val="22"/>
        </w:rPr>
        <w:t>Usery</w:t>
      </w:r>
      <w:proofErr w:type="spellEnd"/>
      <w:r w:rsidR="009656C7" w:rsidRPr="00233626">
        <w:rPr>
          <w:rStyle w:val="95AGrom"/>
          <w:rFonts w:cs="Times New Roman"/>
          <w:sz w:val="22"/>
        </w:rPr>
        <w:t xml:space="preserve"> (1976)</w:t>
      </w:r>
      <w:r w:rsidR="001263CC" w:rsidRPr="00233626">
        <w:rPr>
          <w:rStyle w:val="95AGrom"/>
          <w:rFonts w:cs="Times New Roman"/>
          <w:sz w:val="22"/>
        </w:rPr>
        <w:t xml:space="preserve">, </w:t>
      </w:r>
      <w:r w:rsidR="009D0599" w:rsidRPr="00233626">
        <w:rPr>
          <w:rStyle w:val="95AGrom"/>
          <w:rFonts w:cs="Times New Roman"/>
          <w:sz w:val="22"/>
        </w:rPr>
        <w:t>“</w:t>
      </w:r>
      <w:r w:rsidR="005F7A9F" w:rsidRPr="00233626">
        <w:rPr>
          <w:rStyle w:val="95AGrom"/>
          <w:rFonts w:cs="Times New Roman"/>
          <w:sz w:val="22"/>
        </w:rPr>
        <w:t xml:space="preserve">an otherwise </w:t>
      </w:r>
      <w:r w:rsidR="009656C7" w:rsidRPr="00233626">
        <w:rPr>
          <w:rStyle w:val="95AGrom"/>
          <w:rFonts w:cs="Times New Roman"/>
          <w:sz w:val="22"/>
        </w:rPr>
        <w:lastRenderedPageBreak/>
        <w:t>valid use of the Commerce Clause run</w:t>
      </w:r>
      <w:r w:rsidR="005F7A9F" w:rsidRPr="00233626">
        <w:rPr>
          <w:rStyle w:val="95AGrom"/>
          <w:rFonts w:cs="Times New Roman"/>
          <w:sz w:val="22"/>
        </w:rPr>
        <w:t xml:space="preserve">s </w:t>
      </w:r>
      <w:r w:rsidR="009656C7" w:rsidRPr="00233626">
        <w:rPr>
          <w:rStyle w:val="95AGrom"/>
          <w:rFonts w:cs="Times New Roman"/>
          <w:sz w:val="22"/>
        </w:rPr>
        <w:t xml:space="preserve">afoul of the Tenth Amendment, </w:t>
      </w:r>
      <w:r w:rsidR="005F7A9F" w:rsidRPr="00233626">
        <w:rPr>
          <w:rStyle w:val="95AGrom"/>
          <w:rFonts w:cs="Times New Roman"/>
          <w:sz w:val="22"/>
        </w:rPr>
        <w:t xml:space="preserve">if it </w:t>
      </w:r>
      <w:r w:rsidR="009656C7" w:rsidRPr="00233626">
        <w:rPr>
          <w:rStyle w:val="95AGrom"/>
          <w:rFonts w:cs="Times New Roman"/>
          <w:sz w:val="22"/>
        </w:rPr>
        <w:t>impairs the States’ integrity or their ability to function effectively in a federal system.”</w:t>
      </w:r>
      <w:r w:rsidR="00DF4B5F">
        <w:rPr>
          <w:rStyle w:val="EndnoteReference"/>
          <w:rFonts w:cs="Times New Roman"/>
        </w:rPr>
        <w:endnoteReference w:id="6"/>
      </w:r>
      <w:r w:rsidR="009656C7" w:rsidRPr="00233626">
        <w:rPr>
          <w:rStyle w:val="95AGrom"/>
          <w:rFonts w:cs="Times New Roman"/>
          <w:sz w:val="22"/>
        </w:rPr>
        <w:t xml:space="preserve"> </w:t>
      </w:r>
      <w:r w:rsidR="009063DC">
        <w:rPr>
          <w:rStyle w:val="95AGrom"/>
          <w:rFonts w:cs="Times New Roman"/>
          <w:sz w:val="22"/>
        </w:rPr>
        <w:t xml:space="preserve"> U</w:t>
      </w:r>
      <w:r w:rsidR="005F7A9F" w:rsidRPr="00233626">
        <w:rPr>
          <w:rFonts w:cs="Times New Roman"/>
        </w:rPr>
        <w:t xml:space="preserve">nder this understanding, </w:t>
      </w:r>
      <w:r w:rsidR="00716EE0" w:rsidRPr="00233626">
        <w:rPr>
          <w:rFonts w:cs="Times New Roman"/>
        </w:rPr>
        <w:t>the</w:t>
      </w:r>
      <w:r w:rsidR="009063DC">
        <w:rPr>
          <w:rFonts w:cs="Times New Roman"/>
        </w:rPr>
        <w:t>n, the</w:t>
      </w:r>
      <w:r w:rsidR="00716EE0" w:rsidRPr="00233626">
        <w:rPr>
          <w:rFonts w:cs="Times New Roman"/>
        </w:rPr>
        <w:t xml:space="preserve"> two levels of government are coequal sovereigns</w:t>
      </w:r>
      <w:r w:rsidR="00CF67CC" w:rsidRPr="00233626">
        <w:rPr>
          <w:rFonts w:cs="Times New Roman"/>
        </w:rPr>
        <w:t>,</w:t>
      </w:r>
      <w:r w:rsidR="00716EE0" w:rsidRPr="00233626">
        <w:rPr>
          <w:rFonts w:cs="Times New Roman"/>
        </w:rPr>
        <w:t xml:space="preserve"> and each is supreme within its own sphere</w:t>
      </w:r>
      <w:r w:rsidR="005F7A9F" w:rsidRPr="00233626">
        <w:rPr>
          <w:rFonts w:cs="Times New Roman"/>
        </w:rPr>
        <w:t>, so</w:t>
      </w:r>
      <w:r w:rsidR="00716EE0" w:rsidRPr="00233626">
        <w:rPr>
          <w:rFonts w:cs="Times New Roman"/>
        </w:rPr>
        <w:t xml:space="preserve"> the </w:t>
      </w:r>
      <w:r w:rsidR="005F7A9F" w:rsidRPr="00233626">
        <w:rPr>
          <w:rFonts w:cs="Times New Roman"/>
        </w:rPr>
        <w:t xml:space="preserve">federal </w:t>
      </w:r>
      <w:r w:rsidR="00716EE0" w:rsidRPr="00233626">
        <w:rPr>
          <w:rFonts w:cs="Times New Roman"/>
        </w:rPr>
        <w:t xml:space="preserve">government cannot undertake any action, even in the exercise of its enumerated powers, that </w:t>
      </w:r>
      <w:r w:rsidR="00987C0B">
        <w:rPr>
          <w:rFonts w:cs="Times New Roman"/>
        </w:rPr>
        <w:t xml:space="preserve">infringes on </w:t>
      </w:r>
      <w:r w:rsidR="00716EE0" w:rsidRPr="00233626">
        <w:rPr>
          <w:rFonts w:cs="Times New Roman"/>
        </w:rPr>
        <w:t xml:space="preserve">the functions reserved to the states. </w:t>
      </w:r>
    </w:p>
    <w:p w:rsidR="00716EE0" w:rsidRPr="00233626" w:rsidRDefault="00513C3D" w:rsidP="004E58EE">
      <w:pPr>
        <w:rPr>
          <w:rFonts w:cs="Times New Roman"/>
        </w:rPr>
      </w:pPr>
      <w:r w:rsidRPr="00233626">
        <w:rPr>
          <w:rFonts w:cs="Times New Roman"/>
        </w:rPr>
        <w:t xml:space="preserve">The </w:t>
      </w:r>
      <w:r w:rsidR="00716EE0" w:rsidRPr="00233626">
        <w:rPr>
          <w:rFonts w:cs="Times New Roman"/>
        </w:rPr>
        <w:t>Commerce Power</w:t>
      </w:r>
    </w:p>
    <w:p w:rsidR="00A434B9" w:rsidRPr="00233626" w:rsidRDefault="005F7A9F" w:rsidP="004E58EE">
      <w:pPr>
        <w:rPr>
          <w:rFonts w:cs="Times New Roman"/>
        </w:rPr>
      </w:pPr>
      <w:r w:rsidRPr="00233626">
        <w:rPr>
          <w:rFonts w:cs="Times New Roman"/>
        </w:rPr>
        <w:tab/>
        <w:t>Initially, under Chief Justice John Marshall, the Supreme Court broad</w:t>
      </w:r>
      <w:r w:rsidR="009063DC">
        <w:rPr>
          <w:rFonts w:cs="Times New Roman"/>
        </w:rPr>
        <w:t>ly</w:t>
      </w:r>
      <w:r w:rsidRPr="00233626">
        <w:rPr>
          <w:rFonts w:cs="Times New Roman"/>
        </w:rPr>
        <w:t xml:space="preserve"> interpret</w:t>
      </w:r>
      <w:r w:rsidR="009063DC">
        <w:rPr>
          <w:rFonts w:cs="Times New Roman"/>
        </w:rPr>
        <w:t>ed</w:t>
      </w:r>
      <w:r w:rsidRPr="00233626">
        <w:rPr>
          <w:rFonts w:cs="Times New Roman"/>
        </w:rPr>
        <w:t xml:space="preserve"> </w:t>
      </w:r>
      <w:r w:rsidR="001D23EA" w:rsidRPr="00233626">
        <w:rPr>
          <w:rFonts w:cs="Times New Roman"/>
        </w:rPr>
        <w:t>congressional</w:t>
      </w:r>
      <w:r w:rsidRPr="00233626">
        <w:rPr>
          <w:rFonts w:cs="Times New Roman"/>
        </w:rPr>
        <w:t xml:space="preserve"> power under the Commerce Clause. Writing in </w:t>
      </w:r>
      <w:r w:rsidRPr="00233626">
        <w:rPr>
          <w:rFonts w:cs="Times New Roman"/>
          <w:i/>
        </w:rPr>
        <w:t xml:space="preserve">Gibbons v. Ogden </w:t>
      </w:r>
      <w:r w:rsidRPr="00233626">
        <w:rPr>
          <w:rFonts w:cs="Times New Roman"/>
        </w:rPr>
        <w:t>(18</w:t>
      </w:r>
      <w:r w:rsidR="00CF67CC" w:rsidRPr="00233626">
        <w:rPr>
          <w:rFonts w:cs="Times New Roman"/>
        </w:rPr>
        <w:t>24</w:t>
      </w:r>
      <w:r w:rsidRPr="00233626">
        <w:rPr>
          <w:rFonts w:cs="Times New Roman"/>
        </w:rPr>
        <w:t xml:space="preserve">), Marshall argued that since </w:t>
      </w:r>
      <w:r w:rsidR="001D366C" w:rsidRPr="00233626">
        <w:rPr>
          <w:rFonts w:cs="Times New Roman"/>
        </w:rPr>
        <w:t xml:space="preserve">the commerce power was designed to promote the free flow of goods among the states, Congress </w:t>
      </w:r>
      <w:r w:rsidRPr="00233626">
        <w:rPr>
          <w:rFonts w:cs="Times New Roman"/>
        </w:rPr>
        <w:t>could</w:t>
      </w:r>
      <w:r w:rsidR="001D366C" w:rsidRPr="00233626">
        <w:rPr>
          <w:rFonts w:cs="Times New Roman"/>
        </w:rPr>
        <w:t xml:space="preserve"> </w:t>
      </w:r>
      <w:r w:rsidR="00F964A6">
        <w:rPr>
          <w:rFonts w:cs="Times New Roman"/>
        </w:rPr>
        <w:t>address</w:t>
      </w:r>
      <w:r w:rsidR="001D366C" w:rsidRPr="00233626">
        <w:rPr>
          <w:rFonts w:cs="Times New Roman"/>
        </w:rPr>
        <w:t xml:space="preserve"> all obstacles to that flow, no matter how local they might be. Thus, congressional power extend</w:t>
      </w:r>
      <w:r w:rsidR="00A434B9" w:rsidRPr="00233626">
        <w:rPr>
          <w:rFonts w:cs="Times New Roman"/>
        </w:rPr>
        <w:t>ed</w:t>
      </w:r>
      <w:r w:rsidR="001D366C" w:rsidRPr="00233626">
        <w:rPr>
          <w:rFonts w:cs="Times New Roman"/>
        </w:rPr>
        <w:t xml:space="preserve"> to “that commerce which concerns more states than one”—a formulation that encompasse</w:t>
      </w:r>
      <w:r w:rsidR="00A434B9" w:rsidRPr="00233626">
        <w:rPr>
          <w:rFonts w:cs="Times New Roman"/>
        </w:rPr>
        <w:t>d but wa</w:t>
      </w:r>
      <w:r w:rsidR="001D366C" w:rsidRPr="00233626">
        <w:rPr>
          <w:rFonts w:cs="Times New Roman"/>
        </w:rPr>
        <w:t>s not limited to interstate commerce. Insofar as intrastate activities affect</w:t>
      </w:r>
      <w:r w:rsidR="00A434B9" w:rsidRPr="00233626">
        <w:rPr>
          <w:rFonts w:cs="Times New Roman"/>
        </w:rPr>
        <w:t>ed</w:t>
      </w:r>
      <w:r w:rsidR="001D366C" w:rsidRPr="00233626">
        <w:rPr>
          <w:rFonts w:cs="Times New Roman"/>
        </w:rPr>
        <w:t xml:space="preserve"> commerce “among the several states,” they too </w:t>
      </w:r>
      <w:r w:rsidR="00A434B9" w:rsidRPr="00233626">
        <w:rPr>
          <w:rFonts w:cs="Times New Roman"/>
        </w:rPr>
        <w:t>we</w:t>
      </w:r>
      <w:r w:rsidR="001D366C" w:rsidRPr="00233626">
        <w:rPr>
          <w:rFonts w:cs="Times New Roman"/>
        </w:rPr>
        <w:t xml:space="preserve">re subject to congressional regulation. </w:t>
      </w:r>
      <w:r w:rsidR="00C97A18" w:rsidRPr="00233626">
        <w:rPr>
          <w:rFonts w:cs="Times New Roman"/>
        </w:rPr>
        <w:t>Under Marshall’s principle, a</w:t>
      </w:r>
      <w:r w:rsidR="001D366C" w:rsidRPr="00233626">
        <w:rPr>
          <w:rFonts w:cs="Times New Roman"/>
        </w:rPr>
        <w:t xml:space="preserve">s the expansion of business enterprises produced a more interdependent national economy, the range of economic activities subject to congressional regulation </w:t>
      </w:r>
      <w:r w:rsidR="00306220" w:rsidRPr="00233626">
        <w:rPr>
          <w:rFonts w:cs="Times New Roman"/>
        </w:rPr>
        <w:t xml:space="preserve">likewise </w:t>
      </w:r>
      <w:r w:rsidR="001D366C" w:rsidRPr="00233626">
        <w:rPr>
          <w:rFonts w:cs="Times New Roman"/>
        </w:rPr>
        <w:t xml:space="preserve">increased. </w:t>
      </w:r>
    </w:p>
    <w:p w:rsidR="00F964A6" w:rsidRDefault="00A434B9" w:rsidP="004E58EE">
      <w:pPr>
        <w:ind w:firstLine="720"/>
        <w:rPr>
          <w:rFonts w:cs="Times New Roman"/>
        </w:rPr>
      </w:pPr>
      <w:r w:rsidRPr="00233626">
        <w:rPr>
          <w:rFonts w:cs="Times New Roman"/>
        </w:rPr>
        <w:t>To avoid this result, which the</w:t>
      </w:r>
      <w:r w:rsidR="00C97A18" w:rsidRPr="00233626">
        <w:rPr>
          <w:rFonts w:cs="Times New Roman"/>
        </w:rPr>
        <w:t>y</w:t>
      </w:r>
      <w:r w:rsidRPr="00233626">
        <w:rPr>
          <w:rFonts w:cs="Times New Roman"/>
        </w:rPr>
        <w:t xml:space="preserve"> saw as threatening the domain of state power, dual federalist </w:t>
      </w:r>
      <w:r w:rsidR="00C97A18" w:rsidRPr="00233626">
        <w:rPr>
          <w:rFonts w:cs="Times New Roman"/>
        </w:rPr>
        <w:t>justices</w:t>
      </w:r>
      <w:r w:rsidR="00306220" w:rsidRPr="00233626">
        <w:rPr>
          <w:rFonts w:cs="Times New Roman"/>
        </w:rPr>
        <w:t xml:space="preserve"> in </w:t>
      </w:r>
      <w:r w:rsidRPr="00233626">
        <w:rPr>
          <w:rFonts w:cs="Times New Roman"/>
        </w:rPr>
        <w:t>the 1890s</w:t>
      </w:r>
      <w:r w:rsidR="009063DC">
        <w:rPr>
          <w:rFonts w:cs="Times New Roman"/>
        </w:rPr>
        <w:t xml:space="preserve"> began</w:t>
      </w:r>
      <w:r w:rsidR="00306220" w:rsidRPr="00233626">
        <w:rPr>
          <w:rFonts w:cs="Times New Roman"/>
        </w:rPr>
        <w:t xml:space="preserve"> to limit </w:t>
      </w:r>
      <w:r w:rsidRPr="00233626">
        <w:rPr>
          <w:rFonts w:cs="Times New Roman"/>
        </w:rPr>
        <w:t xml:space="preserve">congressional power under the Commerce Clause.  The Court narrowed </w:t>
      </w:r>
      <w:r w:rsidR="00C97A18" w:rsidRPr="00233626">
        <w:rPr>
          <w:rFonts w:cs="Times New Roman"/>
        </w:rPr>
        <w:t>its</w:t>
      </w:r>
      <w:r w:rsidRPr="00233626">
        <w:rPr>
          <w:rFonts w:cs="Times New Roman"/>
        </w:rPr>
        <w:t xml:space="preserve"> definition of </w:t>
      </w:r>
      <w:r w:rsidR="00C97A18" w:rsidRPr="00233626">
        <w:rPr>
          <w:rFonts w:cs="Times New Roman"/>
        </w:rPr>
        <w:t>“commerce</w:t>
      </w:r>
      <w:r w:rsidR="001D23EA" w:rsidRPr="00233626">
        <w:rPr>
          <w:rFonts w:cs="Times New Roman"/>
        </w:rPr>
        <w:t>,</w:t>
      </w:r>
      <w:r w:rsidR="00C97A18" w:rsidRPr="00233626">
        <w:rPr>
          <w:rFonts w:cs="Times New Roman"/>
        </w:rPr>
        <w:t>” circumscribed the “e</w:t>
      </w:r>
      <w:r w:rsidRPr="00233626">
        <w:rPr>
          <w:rFonts w:cs="Times New Roman"/>
        </w:rPr>
        <w:t xml:space="preserve">ffects on commerce” that </w:t>
      </w:r>
      <w:r w:rsidR="00C97A18" w:rsidRPr="00233626">
        <w:rPr>
          <w:rFonts w:cs="Times New Roman"/>
        </w:rPr>
        <w:t>C</w:t>
      </w:r>
      <w:r w:rsidRPr="00233626">
        <w:rPr>
          <w:rFonts w:cs="Times New Roman"/>
        </w:rPr>
        <w:t xml:space="preserve">ongress could address, and limited the purposes for which commerce might be regulated </w:t>
      </w:r>
      <w:r w:rsidR="00C97A18" w:rsidRPr="00233626">
        <w:rPr>
          <w:rFonts w:cs="Times New Roman"/>
        </w:rPr>
        <w:t xml:space="preserve">in order </w:t>
      </w:r>
      <w:r w:rsidRPr="00233626">
        <w:rPr>
          <w:rFonts w:cs="Times New Roman"/>
        </w:rPr>
        <w:t>to safeguard the states’ “police power.” Not until 1937, with the “switch in time that saved nine,” did the Court abandon dual federalism</w:t>
      </w:r>
      <w:r w:rsidR="00F964A6">
        <w:rPr>
          <w:rFonts w:cs="Times New Roman"/>
        </w:rPr>
        <w:t xml:space="preserve"> and re-endorse </w:t>
      </w:r>
      <w:r w:rsidR="001D366C" w:rsidRPr="00233626">
        <w:rPr>
          <w:rFonts w:cs="Times New Roman"/>
        </w:rPr>
        <w:t xml:space="preserve">an expansive interpretation of the </w:t>
      </w:r>
      <w:r w:rsidR="001D23EA" w:rsidRPr="00233626">
        <w:rPr>
          <w:rFonts w:cs="Times New Roman"/>
        </w:rPr>
        <w:t>federal</w:t>
      </w:r>
      <w:r w:rsidR="001D366C" w:rsidRPr="00233626">
        <w:rPr>
          <w:rFonts w:cs="Times New Roman"/>
        </w:rPr>
        <w:t xml:space="preserve"> commerce power. </w:t>
      </w:r>
    </w:p>
    <w:p w:rsidR="001D366C" w:rsidRPr="00233626" w:rsidRDefault="001D366C" w:rsidP="004E58EE">
      <w:pPr>
        <w:ind w:firstLine="720"/>
        <w:rPr>
          <w:rFonts w:cs="Times New Roman"/>
        </w:rPr>
      </w:pPr>
      <w:r w:rsidRPr="00233626">
        <w:rPr>
          <w:rFonts w:cs="Times New Roman"/>
        </w:rPr>
        <w:t xml:space="preserve">Since </w:t>
      </w:r>
      <w:r w:rsidR="00574F0D" w:rsidRPr="00233626">
        <w:rPr>
          <w:rFonts w:cs="Times New Roman"/>
        </w:rPr>
        <w:t>1995</w:t>
      </w:r>
      <w:r w:rsidRPr="00233626">
        <w:rPr>
          <w:rFonts w:cs="Times New Roman"/>
        </w:rPr>
        <w:t xml:space="preserve">, however, </w:t>
      </w:r>
      <w:r w:rsidR="00F964A6">
        <w:rPr>
          <w:rFonts w:cs="Times New Roman"/>
        </w:rPr>
        <w:t>the Court</w:t>
      </w:r>
      <w:r w:rsidRPr="00233626">
        <w:rPr>
          <w:rFonts w:cs="Times New Roman"/>
        </w:rPr>
        <w:t xml:space="preserve"> has </w:t>
      </w:r>
      <w:r w:rsidR="001D23EA" w:rsidRPr="00233626">
        <w:rPr>
          <w:rFonts w:cs="Times New Roman"/>
        </w:rPr>
        <w:t xml:space="preserve">sought to limit the </w:t>
      </w:r>
      <w:r w:rsidR="00F964A6">
        <w:rPr>
          <w:rFonts w:cs="Times New Roman"/>
        </w:rPr>
        <w:t>scope</w:t>
      </w:r>
      <w:r w:rsidR="001D23EA" w:rsidRPr="00233626">
        <w:rPr>
          <w:rFonts w:cs="Times New Roman"/>
        </w:rPr>
        <w:t xml:space="preserve"> of </w:t>
      </w:r>
      <w:r w:rsidRPr="00233626">
        <w:rPr>
          <w:rFonts w:cs="Times New Roman"/>
        </w:rPr>
        <w:t xml:space="preserve">the </w:t>
      </w:r>
      <w:r w:rsidR="001D23EA" w:rsidRPr="00233626">
        <w:rPr>
          <w:rFonts w:cs="Times New Roman"/>
        </w:rPr>
        <w:t>federal</w:t>
      </w:r>
      <w:r w:rsidRPr="00233626">
        <w:rPr>
          <w:rFonts w:cs="Times New Roman"/>
        </w:rPr>
        <w:t xml:space="preserve"> commerce power</w:t>
      </w:r>
      <w:r w:rsidR="001D23EA" w:rsidRPr="00233626">
        <w:rPr>
          <w:rFonts w:cs="Times New Roman"/>
        </w:rPr>
        <w:t xml:space="preserve">. </w:t>
      </w:r>
      <w:r w:rsidRPr="00233626">
        <w:rPr>
          <w:rFonts w:cs="Times New Roman"/>
        </w:rPr>
        <w:t xml:space="preserve">In </w:t>
      </w:r>
      <w:r w:rsidRPr="00233626">
        <w:rPr>
          <w:rFonts w:cs="Times New Roman"/>
          <w:i/>
        </w:rPr>
        <w:t>United States v. Lopez</w:t>
      </w:r>
      <w:r w:rsidRPr="00233626">
        <w:rPr>
          <w:rFonts w:cs="Times New Roman"/>
        </w:rPr>
        <w:t xml:space="preserve"> (1995), it struck down a federal enactment creating gun-free zones near schools</w:t>
      </w:r>
      <w:r w:rsidR="00A434B9" w:rsidRPr="00233626">
        <w:rPr>
          <w:rFonts w:cs="Times New Roman"/>
        </w:rPr>
        <w:t>;</w:t>
      </w:r>
      <w:r w:rsidRPr="00233626">
        <w:rPr>
          <w:rFonts w:cs="Times New Roman"/>
        </w:rPr>
        <w:t xml:space="preserve"> </w:t>
      </w:r>
      <w:r w:rsidR="00A434B9" w:rsidRPr="00233626">
        <w:rPr>
          <w:rFonts w:cs="Times New Roman"/>
        </w:rPr>
        <w:t>and</w:t>
      </w:r>
      <w:r w:rsidRPr="00233626">
        <w:rPr>
          <w:rFonts w:cs="Times New Roman"/>
        </w:rPr>
        <w:t xml:space="preserve"> in </w:t>
      </w:r>
      <w:r w:rsidRPr="00233626">
        <w:rPr>
          <w:rFonts w:cs="Times New Roman"/>
          <w:i/>
        </w:rPr>
        <w:t>United States v. Morrison</w:t>
      </w:r>
      <w:r w:rsidRPr="00233626">
        <w:rPr>
          <w:rFonts w:cs="Times New Roman"/>
        </w:rPr>
        <w:t xml:space="preserve"> (2000)</w:t>
      </w:r>
      <w:proofErr w:type="gramStart"/>
      <w:r w:rsidRPr="00233626">
        <w:rPr>
          <w:rFonts w:cs="Times New Roman"/>
        </w:rPr>
        <w:t>,</w:t>
      </w:r>
      <w:proofErr w:type="gramEnd"/>
      <w:r w:rsidRPr="00233626">
        <w:rPr>
          <w:rFonts w:cs="Times New Roman"/>
        </w:rPr>
        <w:t xml:space="preserve"> </w:t>
      </w:r>
      <w:r w:rsidR="00A434B9" w:rsidRPr="00233626">
        <w:rPr>
          <w:rFonts w:cs="Times New Roman"/>
        </w:rPr>
        <w:t xml:space="preserve">it </w:t>
      </w:r>
      <w:r w:rsidR="00C97A18" w:rsidRPr="00233626">
        <w:rPr>
          <w:rFonts w:cs="Times New Roman"/>
        </w:rPr>
        <w:t>invalidated</w:t>
      </w:r>
      <w:r w:rsidRPr="00233626">
        <w:rPr>
          <w:rFonts w:cs="Times New Roman"/>
        </w:rPr>
        <w:t xml:space="preserve"> a provision of the Violence Against Women Act that established a right to sue perpetrators of gender-based violence in federa</w:t>
      </w:r>
      <w:r w:rsidR="00F964A6">
        <w:rPr>
          <w:rFonts w:cs="Times New Roman"/>
        </w:rPr>
        <w:t>l court. Speaking for the Court</w:t>
      </w:r>
      <w:r w:rsidRPr="00233626">
        <w:rPr>
          <w:rFonts w:cs="Times New Roman"/>
        </w:rPr>
        <w:t xml:space="preserve">, Chief Justice Rehnquist </w:t>
      </w:r>
      <w:r w:rsidR="002F30C2" w:rsidRPr="00233626">
        <w:rPr>
          <w:rFonts w:cs="Times New Roman"/>
        </w:rPr>
        <w:t xml:space="preserve">insisted that </w:t>
      </w:r>
      <w:r w:rsidR="00C97A18" w:rsidRPr="00233626">
        <w:rPr>
          <w:rFonts w:cs="Times New Roman"/>
        </w:rPr>
        <w:t>c</w:t>
      </w:r>
      <w:r w:rsidRPr="00233626">
        <w:rPr>
          <w:rFonts w:cs="Times New Roman"/>
        </w:rPr>
        <w:t>ongressional statutes regulat</w:t>
      </w:r>
      <w:r w:rsidR="00C97A18" w:rsidRPr="00233626">
        <w:rPr>
          <w:rFonts w:cs="Times New Roman"/>
        </w:rPr>
        <w:t>ing</w:t>
      </w:r>
      <w:r w:rsidRPr="00233626">
        <w:rPr>
          <w:rFonts w:cs="Times New Roman"/>
        </w:rPr>
        <w:t xml:space="preserve"> noncommercial activity in areas of traditional state concern</w:t>
      </w:r>
      <w:r w:rsidR="002F30C2" w:rsidRPr="00233626">
        <w:rPr>
          <w:rFonts w:cs="Times New Roman"/>
        </w:rPr>
        <w:t xml:space="preserve"> </w:t>
      </w:r>
      <w:r w:rsidRPr="00233626">
        <w:rPr>
          <w:rFonts w:cs="Times New Roman"/>
        </w:rPr>
        <w:t>were subject to searching judicial scrutiny</w:t>
      </w:r>
      <w:r w:rsidR="00C97A18" w:rsidRPr="00233626">
        <w:rPr>
          <w:rFonts w:cs="Times New Roman"/>
        </w:rPr>
        <w:t>,</w:t>
      </w:r>
      <w:r w:rsidRPr="00233626">
        <w:rPr>
          <w:rFonts w:cs="Times New Roman"/>
        </w:rPr>
        <w:t xml:space="preserve"> in order to maintain the balance of power between nation and state. To accept </w:t>
      </w:r>
      <w:r w:rsidR="002F30C2" w:rsidRPr="00233626">
        <w:rPr>
          <w:rFonts w:cs="Times New Roman"/>
        </w:rPr>
        <w:t xml:space="preserve">the tenuous connection between the regulated activities and commerce as sufficient to justify congressional intervention, </w:t>
      </w:r>
      <w:r w:rsidRPr="00233626">
        <w:rPr>
          <w:rFonts w:cs="Times New Roman"/>
        </w:rPr>
        <w:t>he co</w:t>
      </w:r>
      <w:r w:rsidR="00C97A18" w:rsidRPr="00233626">
        <w:rPr>
          <w:rFonts w:cs="Times New Roman"/>
        </w:rPr>
        <w:t>ntended</w:t>
      </w:r>
      <w:r w:rsidRPr="00233626">
        <w:rPr>
          <w:rFonts w:cs="Times New Roman"/>
        </w:rPr>
        <w:t>, would in effect remove all limits on congressional regulatory authority</w:t>
      </w:r>
      <w:r w:rsidR="002F30C2" w:rsidRPr="00233626">
        <w:rPr>
          <w:rFonts w:cs="Times New Roman"/>
        </w:rPr>
        <w:t xml:space="preserve"> and</w:t>
      </w:r>
      <w:r w:rsidRPr="00233626">
        <w:rPr>
          <w:rFonts w:cs="Times New Roman"/>
        </w:rPr>
        <w:t xml:space="preserve"> </w:t>
      </w:r>
      <w:r w:rsidR="00F964A6">
        <w:rPr>
          <w:rFonts w:cs="Times New Roman"/>
        </w:rPr>
        <w:t xml:space="preserve">create </w:t>
      </w:r>
      <w:r w:rsidRPr="00233626">
        <w:rPr>
          <w:rFonts w:cs="Times New Roman"/>
        </w:rPr>
        <w:t>a unitary system</w:t>
      </w:r>
      <w:r w:rsidR="002F30C2" w:rsidRPr="00233626">
        <w:rPr>
          <w:rFonts w:cs="Times New Roman"/>
        </w:rPr>
        <w:t xml:space="preserve">. </w:t>
      </w:r>
      <w:r w:rsidR="005E24A6" w:rsidRPr="00233626">
        <w:rPr>
          <w:rFonts w:cs="Times New Roman"/>
        </w:rPr>
        <w:t xml:space="preserve">However, </w:t>
      </w:r>
      <w:r w:rsidR="00264A1D">
        <w:rPr>
          <w:rFonts w:cs="Times New Roman"/>
        </w:rPr>
        <w:t>the Court did not pursue a consistent course. I</w:t>
      </w:r>
      <w:r w:rsidR="00C97A18" w:rsidRPr="00233626">
        <w:rPr>
          <w:rFonts w:cs="Times New Roman"/>
        </w:rPr>
        <w:t>n</w:t>
      </w:r>
      <w:r w:rsidRPr="00233626">
        <w:rPr>
          <w:rFonts w:cs="Times New Roman"/>
        </w:rPr>
        <w:t xml:space="preserve"> </w:t>
      </w:r>
      <w:r w:rsidRPr="00233626">
        <w:rPr>
          <w:rFonts w:cs="Times New Roman"/>
          <w:i/>
        </w:rPr>
        <w:t xml:space="preserve">Gonzales v. </w:t>
      </w:r>
      <w:proofErr w:type="spellStart"/>
      <w:r w:rsidRPr="00233626">
        <w:rPr>
          <w:rFonts w:cs="Times New Roman"/>
          <w:i/>
        </w:rPr>
        <w:t>Raich</w:t>
      </w:r>
      <w:proofErr w:type="spellEnd"/>
      <w:r w:rsidRPr="00233626">
        <w:rPr>
          <w:rFonts w:cs="Times New Roman"/>
        </w:rPr>
        <w:t xml:space="preserve"> (2005), </w:t>
      </w:r>
      <w:r w:rsidR="00264A1D">
        <w:rPr>
          <w:rFonts w:cs="Times New Roman"/>
        </w:rPr>
        <w:t>it</w:t>
      </w:r>
      <w:r w:rsidRPr="00233626">
        <w:rPr>
          <w:rFonts w:cs="Times New Roman"/>
        </w:rPr>
        <w:t xml:space="preserve"> </w:t>
      </w:r>
      <w:r w:rsidR="001E6936" w:rsidRPr="00233626">
        <w:rPr>
          <w:rFonts w:cs="Times New Roman"/>
        </w:rPr>
        <w:t xml:space="preserve">rejected </w:t>
      </w:r>
      <w:r w:rsidRPr="00233626">
        <w:rPr>
          <w:rFonts w:cs="Times New Roman"/>
        </w:rPr>
        <w:t xml:space="preserve">a challenge to the federal Controlled Substances Act (regulating drugs), insofar as it interfered with state programs that authorized physicians to prescribe marijuana for medical purposes and permitted patients to grow or purchase marijuana for those purposes. To the </w:t>
      </w:r>
      <w:r w:rsidR="005E24A6" w:rsidRPr="00233626">
        <w:rPr>
          <w:rFonts w:cs="Times New Roman"/>
        </w:rPr>
        <w:t xml:space="preserve">three </w:t>
      </w:r>
      <w:r w:rsidRPr="00233626">
        <w:rPr>
          <w:rFonts w:cs="Times New Roman"/>
        </w:rPr>
        <w:t>dissenters</w:t>
      </w:r>
      <w:r w:rsidR="00264A1D">
        <w:rPr>
          <w:rFonts w:cs="Times New Roman"/>
        </w:rPr>
        <w:t xml:space="preserve"> in </w:t>
      </w:r>
      <w:proofErr w:type="spellStart"/>
      <w:r w:rsidR="00264A1D">
        <w:rPr>
          <w:rFonts w:cs="Times New Roman"/>
          <w:i/>
        </w:rPr>
        <w:t>Raich</w:t>
      </w:r>
      <w:proofErr w:type="spellEnd"/>
      <w:r w:rsidRPr="00233626">
        <w:rPr>
          <w:rFonts w:cs="Times New Roman"/>
        </w:rPr>
        <w:t xml:space="preserve">, </w:t>
      </w:r>
      <w:r w:rsidR="005E24A6" w:rsidRPr="00233626">
        <w:rPr>
          <w:rFonts w:cs="Times New Roman"/>
        </w:rPr>
        <w:t xml:space="preserve">who had been in the majority in </w:t>
      </w:r>
      <w:r w:rsidR="005E24A6" w:rsidRPr="00233626">
        <w:rPr>
          <w:rFonts w:cs="Times New Roman"/>
          <w:i/>
        </w:rPr>
        <w:t xml:space="preserve">Lopez </w:t>
      </w:r>
      <w:r w:rsidR="005E24A6" w:rsidRPr="00233626">
        <w:rPr>
          <w:rFonts w:cs="Times New Roman"/>
        </w:rPr>
        <w:t xml:space="preserve">and </w:t>
      </w:r>
      <w:r w:rsidR="005E24A6" w:rsidRPr="00233626">
        <w:rPr>
          <w:rFonts w:cs="Times New Roman"/>
          <w:i/>
        </w:rPr>
        <w:t>Morrison</w:t>
      </w:r>
      <w:r w:rsidR="005E24A6" w:rsidRPr="00233626">
        <w:rPr>
          <w:rFonts w:cs="Times New Roman"/>
        </w:rPr>
        <w:t>,</w:t>
      </w:r>
      <w:r w:rsidR="005E24A6" w:rsidRPr="00233626">
        <w:rPr>
          <w:rFonts w:cs="Times New Roman"/>
          <w:i/>
        </w:rPr>
        <w:t xml:space="preserve"> </w:t>
      </w:r>
      <w:r w:rsidRPr="00233626">
        <w:rPr>
          <w:rFonts w:cs="Times New Roman"/>
        </w:rPr>
        <w:t xml:space="preserve">the </w:t>
      </w:r>
      <w:r w:rsidR="005E24A6" w:rsidRPr="00233626">
        <w:rPr>
          <w:rFonts w:cs="Times New Roman"/>
        </w:rPr>
        <w:t xml:space="preserve">federal law </w:t>
      </w:r>
      <w:r w:rsidR="001D23EA" w:rsidRPr="00233626">
        <w:rPr>
          <w:rFonts w:cs="Times New Roman"/>
        </w:rPr>
        <w:t>unconstitutional</w:t>
      </w:r>
      <w:r w:rsidR="00731F2C" w:rsidRPr="00233626">
        <w:rPr>
          <w:rFonts w:cs="Times New Roman"/>
        </w:rPr>
        <w:t>ly</w:t>
      </w:r>
      <w:r w:rsidRPr="00233626">
        <w:rPr>
          <w:rFonts w:cs="Times New Roman"/>
        </w:rPr>
        <w:t xml:space="preserve"> interfered with the states’ ability to experiment in an area of traditional state concern and made it difficult to discern any activities n</w:t>
      </w:r>
      <w:r w:rsidR="00AD6739">
        <w:rPr>
          <w:rFonts w:cs="Times New Roman"/>
        </w:rPr>
        <w:t>ot subject to federal regulation.</w:t>
      </w:r>
    </w:p>
    <w:p w:rsidR="00513C3D" w:rsidRPr="00233626" w:rsidRDefault="00306220" w:rsidP="004E58EE">
      <w:pPr>
        <w:pStyle w:val="Extract"/>
        <w:spacing w:line="276" w:lineRule="auto"/>
        <w:ind w:left="0"/>
        <w:jc w:val="left"/>
        <w:rPr>
          <w:rFonts w:asciiTheme="minorHAnsi" w:hAnsiTheme="minorHAnsi"/>
          <w:color w:val="000000"/>
          <w:sz w:val="22"/>
          <w:szCs w:val="22"/>
        </w:rPr>
      </w:pPr>
      <w:r w:rsidRPr="00233626">
        <w:rPr>
          <w:rFonts w:asciiTheme="minorHAnsi" w:hAnsiTheme="minorHAnsi"/>
          <w:sz w:val="22"/>
          <w:szCs w:val="22"/>
        </w:rPr>
        <w:lastRenderedPageBreak/>
        <w:tab/>
      </w:r>
      <w:r w:rsidR="00B20694" w:rsidRPr="00233626">
        <w:rPr>
          <w:rFonts w:asciiTheme="minorHAnsi" w:hAnsiTheme="minorHAnsi"/>
          <w:sz w:val="22"/>
          <w:szCs w:val="22"/>
        </w:rPr>
        <w:t>I</w:t>
      </w:r>
      <w:r w:rsidRPr="00233626">
        <w:rPr>
          <w:rFonts w:asciiTheme="minorHAnsi" w:hAnsiTheme="minorHAnsi"/>
          <w:sz w:val="22"/>
          <w:szCs w:val="22"/>
        </w:rPr>
        <w:t xml:space="preserve">n </w:t>
      </w:r>
      <w:r w:rsidRPr="00233626">
        <w:rPr>
          <w:rFonts w:asciiTheme="minorHAnsi" w:hAnsiTheme="minorHAnsi"/>
          <w:i/>
          <w:sz w:val="22"/>
          <w:szCs w:val="22"/>
        </w:rPr>
        <w:t xml:space="preserve">National Federation of Independent Business v. Sibelius </w:t>
      </w:r>
      <w:r w:rsidRPr="00233626">
        <w:rPr>
          <w:rFonts w:asciiTheme="minorHAnsi" w:hAnsiTheme="minorHAnsi"/>
          <w:sz w:val="22"/>
          <w:szCs w:val="22"/>
        </w:rPr>
        <w:t xml:space="preserve">(2012), </w:t>
      </w:r>
      <w:r w:rsidR="00B20694" w:rsidRPr="00233626">
        <w:rPr>
          <w:rFonts w:asciiTheme="minorHAnsi" w:hAnsiTheme="minorHAnsi"/>
          <w:sz w:val="22"/>
          <w:szCs w:val="22"/>
        </w:rPr>
        <w:t xml:space="preserve">the Court considered the constitutionality of the </w:t>
      </w:r>
      <w:r w:rsidR="008B64DE" w:rsidRPr="00233626">
        <w:rPr>
          <w:rFonts w:asciiTheme="minorHAnsi" w:hAnsiTheme="minorHAnsi"/>
          <w:sz w:val="22"/>
          <w:szCs w:val="22"/>
        </w:rPr>
        <w:t>“individual mandate”</w:t>
      </w:r>
      <w:r w:rsidR="00731F2C" w:rsidRPr="00233626">
        <w:rPr>
          <w:rFonts w:asciiTheme="minorHAnsi" w:hAnsiTheme="minorHAnsi"/>
          <w:sz w:val="22"/>
          <w:szCs w:val="22"/>
        </w:rPr>
        <w:t xml:space="preserve"> </w:t>
      </w:r>
      <w:r w:rsidR="000F6011" w:rsidRPr="00233626">
        <w:rPr>
          <w:rFonts w:asciiTheme="minorHAnsi" w:hAnsiTheme="minorHAnsi"/>
          <w:sz w:val="22"/>
          <w:szCs w:val="22"/>
        </w:rPr>
        <w:t xml:space="preserve">provision </w:t>
      </w:r>
      <w:r w:rsidR="00731F2C" w:rsidRPr="00233626">
        <w:rPr>
          <w:rFonts w:asciiTheme="minorHAnsi" w:hAnsiTheme="minorHAnsi"/>
          <w:sz w:val="22"/>
          <w:szCs w:val="22"/>
        </w:rPr>
        <w:t>of the Patient Protection and Affordable Care Act,</w:t>
      </w:r>
      <w:r w:rsidR="008B64DE" w:rsidRPr="00233626">
        <w:rPr>
          <w:rFonts w:asciiTheme="minorHAnsi" w:hAnsiTheme="minorHAnsi"/>
          <w:sz w:val="22"/>
          <w:szCs w:val="22"/>
        </w:rPr>
        <w:t xml:space="preserve"> which imposed a financial penalty on persons who failed to obtain health insurance</w:t>
      </w:r>
      <w:r w:rsidR="00F964A6">
        <w:rPr>
          <w:rFonts w:asciiTheme="minorHAnsi" w:hAnsiTheme="minorHAnsi"/>
          <w:sz w:val="22"/>
          <w:szCs w:val="22"/>
        </w:rPr>
        <w:t>.</w:t>
      </w:r>
      <w:r w:rsidR="008B64DE" w:rsidRPr="00233626">
        <w:rPr>
          <w:rStyle w:val="EndnoteReference"/>
          <w:rFonts w:asciiTheme="minorHAnsi" w:hAnsiTheme="minorHAnsi"/>
          <w:sz w:val="22"/>
          <w:szCs w:val="22"/>
        </w:rPr>
        <w:endnoteReference w:id="7"/>
      </w:r>
      <w:r w:rsidR="008B64DE" w:rsidRPr="00233626">
        <w:rPr>
          <w:rFonts w:asciiTheme="minorHAnsi" w:hAnsiTheme="minorHAnsi"/>
          <w:sz w:val="22"/>
          <w:szCs w:val="22"/>
        </w:rPr>
        <w:t xml:space="preserve"> </w:t>
      </w:r>
      <w:r w:rsidR="000F6011" w:rsidRPr="00233626">
        <w:rPr>
          <w:rFonts w:asciiTheme="minorHAnsi" w:hAnsiTheme="minorHAnsi"/>
          <w:sz w:val="22"/>
          <w:szCs w:val="22"/>
        </w:rPr>
        <w:t>S</w:t>
      </w:r>
      <w:r w:rsidR="008B64DE" w:rsidRPr="00233626">
        <w:rPr>
          <w:rFonts w:asciiTheme="minorHAnsi" w:hAnsiTheme="minorHAnsi"/>
          <w:sz w:val="22"/>
          <w:szCs w:val="22"/>
        </w:rPr>
        <w:t xml:space="preserve">peaking for a five-member majority that included the Court’s liberal members, </w:t>
      </w:r>
      <w:r w:rsidR="000F6011" w:rsidRPr="00233626">
        <w:rPr>
          <w:rFonts w:asciiTheme="minorHAnsi" w:hAnsiTheme="minorHAnsi"/>
          <w:sz w:val="22"/>
          <w:szCs w:val="22"/>
        </w:rPr>
        <w:t xml:space="preserve">Chief Justice Roberts upheld the individual mandate through a </w:t>
      </w:r>
      <w:r w:rsidRPr="00233626">
        <w:rPr>
          <w:rFonts w:asciiTheme="minorHAnsi" w:hAnsiTheme="minorHAnsi"/>
          <w:sz w:val="22"/>
          <w:szCs w:val="22"/>
        </w:rPr>
        <w:t>strained interpretation of the federal taxing power</w:t>
      </w:r>
      <w:r w:rsidR="000F6011" w:rsidRPr="00233626">
        <w:rPr>
          <w:rFonts w:asciiTheme="minorHAnsi" w:hAnsiTheme="minorHAnsi"/>
          <w:sz w:val="22"/>
          <w:szCs w:val="22"/>
        </w:rPr>
        <w:t xml:space="preserve">. </w:t>
      </w:r>
      <w:r w:rsidR="008B64DE" w:rsidRPr="00233626">
        <w:rPr>
          <w:rFonts w:asciiTheme="minorHAnsi" w:hAnsiTheme="minorHAnsi"/>
          <w:sz w:val="22"/>
          <w:szCs w:val="22"/>
        </w:rPr>
        <w:t>However</w:t>
      </w:r>
      <w:r w:rsidRPr="00233626">
        <w:rPr>
          <w:rFonts w:asciiTheme="minorHAnsi" w:hAnsiTheme="minorHAnsi"/>
          <w:sz w:val="22"/>
          <w:szCs w:val="22"/>
        </w:rPr>
        <w:t xml:space="preserve">, </w:t>
      </w:r>
      <w:r w:rsidR="008B64DE" w:rsidRPr="00233626">
        <w:rPr>
          <w:rFonts w:asciiTheme="minorHAnsi" w:hAnsiTheme="minorHAnsi"/>
          <w:sz w:val="22"/>
          <w:szCs w:val="22"/>
        </w:rPr>
        <w:t xml:space="preserve">speaking for a different five-member majority that included the Court’s conservative justices, he </w:t>
      </w:r>
      <w:r w:rsidR="00F964A6">
        <w:rPr>
          <w:rFonts w:asciiTheme="minorHAnsi" w:hAnsiTheme="minorHAnsi"/>
          <w:sz w:val="22"/>
          <w:szCs w:val="22"/>
        </w:rPr>
        <w:t>ruled</w:t>
      </w:r>
      <w:r w:rsidR="000F6011" w:rsidRPr="00233626">
        <w:rPr>
          <w:rFonts w:asciiTheme="minorHAnsi" w:hAnsiTheme="minorHAnsi"/>
          <w:sz w:val="22"/>
          <w:szCs w:val="22"/>
        </w:rPr>
        <w:t xml:space="preserve"> that the individual mandate did not pass muster under </w:t>
      </w:r>
      <w:r w:rsidRPr="00233626">
        <w:rPr>
          <w:rFonts w:asciiTheme="minorHAnsi" w:hAnsiTheme="minorHAnsi"/>
          <w:sz w:val="22"/>
          <w:szCs w:val="22"/>
        </w:rPr>
        <w:t xml:space="preserve">the Commerce Clause.  While acknowledging that </w:t>
      </w:r>
      <w:r w:rsidR="00513C3D" w:rsidRPr="00233626">
        <w:rPr>
          <w:rFonts w:asciiTheme="minorHAnsi" w:hAnsiTheme="minorHAnsi"/>
          <w:color w:val="000000"/>
          <w:sz w:val="22"/>
          <w:szCs w:val="22"/>
        </w:rPr>
        <w:t xml:space="preserve">the Constitution grants Congress </w:t>
      </w:r>
      <w:r w:rsidR="000F6011" w:rsidRPr="00233626">
        <w:rPr>
          <w:rFonts w:asciiTheme="minorHAnsi" w:hAnsiTheme="minorHAnsi"/>
          <w:color w:val="000000"/>
          <w:sz w:val="22"/>
          <w:szCs w:val="22"/>
        </w:rPr>
        <w:t>broad</w:t>
      </w:r>
      <w:r w:rsidR="00513C3D" w:rsidRPr="00233626">
        <w:rPr>
          <w:rFonts w:asciiTheme="minorHAnsi" w:hAnsiTheme="minorHAnsi"/>
          <w:color w:val="000000"/>
          <w:sz w:val="22"/>
          <w:szCs w:val="22"/>
        </w:rPr>
        <w:t xml:space="preserve"> power to “regulate Commerce,” </w:t>
      </w:r>
      <w:r w:rsidR="00F964A6">
        <w:rPr>
          <w:rFonts w:asciiTheme="minorHAnsi" w:hAnsiTheme="minorHAnsi"/>
          <w:color w:val="000000"/>
          <w:sz w:val="22"/>
          <w:szCs w:val="22"/>
        </w:rPr>
        <w:t>it</w:t>
      </w:r>
      <w:r w:rsidR="00513C3D" w:rsidRPr="00233626">
        <w:rPr>
          <w:rFonts w:asciiTheme="minorHAnsi" w:hAnsiTheme="minorHAnsi"/>
          <w:color w:val="000000"/>
          <w:sz w:val="22"/>
          <w:szCs w:val="22"/>
        </w:rPr>
        <w:t xml:space="preserve"> “presupposes the existence of commercial activity to be regulated</w:t>
      </w:r>
      <w:r w:rsidR="008B64DE" w:rsidRPr="00233626">
        <w:rPr>
          <w:rFonts w:asciiTheme="minorHAnsi" w:hAnsiTheme="minorHAnsi"/>
          <w:color w:val="000000"/>
          <w:sz w:val="22"/>
          <w:szCs w:val="22"/>
        </w:rPr>
        <w:t xml:space="preserve">” and that </w:t>
      </w:r>
      <w:r w:rsidR="00513C3D" w:rsidRPr="00233626">
        <w:rPr>
          <w:rFonts w:asciiTheme="minorHAnsi" w:hAnsiTheme="minorHAnsi"/>
          <w:color w:val="000000"/>
          <w:sz w:val="22"/>
          <w:szCs w:val="22"/>
        </w:rPr>
        <w:t>the individual mandate did not regulate “existing commercial activity.” Rather, it compelled individuals “to become active in commerce by purchasing a product, on the ground that their failure to do so affects interstate commerce.” For the Court to construe the Commerce Clause to allow Congress to regulate individuals “precisely because they are doing nothing would open a new and potentially vast domain to congressional authority” and “would bring countless decisions an individual could potentially make within the scope of federal regulation, and . . . empower Congress to make those decisions for him.”</w:t>
      </w:r>
      <w:r w:rsidR="000F6011" w:rsidRPr="00233626">
        <w:rPr>
          <w:rFonts w:asciiTheme="minorHAnsi" w:hAnsiTheme="minorHAnsi"/>
          <w:color w:val="000000"/>
          <w:sz w:val="22"/>
          <w:szCs w:val="22"/>
        </w:rPr>
        <w:t xml:space="preserve">  </w:t>
      </w:r>
      <w:proofErr w:type="gramStart"/>
      <w:r w:rsidR="000F6011" w:rsidRPr="00233626">
        <w:rPr>
          <w:rFonts w:asciiTheme="minorHAnsi" w:hAnsiTheme="minorHAnsi"/>
          <w:color w:val="000000"/>
          <w:sz w:val="22"/>
          <w:szCs w:val="22"/>
        </w:rPr>
        <w:t>This the</w:t>
      </w:r>
      <w:proofErr w:type="gramEnd"/>
      <w:r w:rsidR="000F6011" w:rsidRPr="00233626">
        <w:rPr>
          <w:rFonts w:asciiTheme="minorHAnsi" w:hAnsiTheme="minorHAnsi"/>
          <w:color w:val="000000"/>
          <w:sz w:val="22"/>
          <w:szCs w:val="22"/>
        </w:rPr>
        <w:t xml:space="preserve"> Court declined to do.</w:t>
      </w:r>
    </w:p>
    <w:p w:rsidR="008B64DE" w:rsidRPr="00233626" w:rsidRDefault="008B64DE" w:rsidP="004E58EE">
      <w:pPr>
        <w:pStyle w:val="Extract"/>
        <w:spacing w:line="276" w:lineRule="auto"/>
        <w:ind w:left="0"/>
        <w:jc w:val="left"/>
        <w:rPr>
          <w:rFonts w:asciiTheme="minorHAnsi" w:hAnsiTheme="minorHAnsi"/>
          <w:b/>
          <w:color w:val="000000"/>
          <w:sz w:val="22"/>
          <w:szCs w:val="22"/>
        </w:rPr>
      </w:pPr>
    </w:p>
    <w:p w:rsidR="00513C3D" w:rsidRPr="00233626" w:rsidRDefault="00513C3D" w:rsidP="004E58EE">
      <w:pPr>
        <w:rPr>
          <w:rFonts w:cs="Times New Roman"/>
        </w:rPr>
      </w:pPr>
      <w:r w:rsidRPr="00233626">
        <w:rPr>
          <w:rFonts w:cs="Times New Roman"/>
        </w:rPr>
        <w:t xml:space="preserve">The Necessary and Proper Clause </w:t>
      </w:r>
    </w:p>
    <w:p w:rsidR="00CA174F" w:rsidRPr="00233626" w:rsidRDefault="008B64DE" w:rsidP="004E58EE">
      <w:pPr>
        <w:spacing w:before="100" w:beforeAutospacing="1" w:after="100" w:afterAutospacing="1"/>
        <w:rPr>
          <w:rFonts w:eastAsia="Times New Roman" w:cs="Times New Roman"/>
        </w:rPr>
      </w:pPr>
      <w:r w:rsidRPr="00233626">
        <w:rPr>
          <w:rFonts w:cs="Times New Roman"/>
        </w:rPr>
        <w:tab/>
        <w:t xml:space="preserve">Even so, the Roberts Court might have upheld the individual mandate under the Necessary and Proper Clause, </w:t>
      </w:r>
      <w:r w:rsidR="00CE5398" w:rsidRPr="00233626">
        <w:rPr>
          <w:rFonts w:cs="Times New Roman"/>
        </w:rPr>
        <w:t xml:space="preserve">insofar as </w:t>
      </w:r>
      <w:r w:rsidR="00D7211F">
        <w:rPr>
          <w:rFonts w:cs="Times New Roman"/>
        </w:rPr>
        <w:t>it</w:t>
      </w:r>
      <w:r w:rsidR="00731F2C" w:rsidRPr="00233626">
        <w:rPr>
          <w:rFonts w:cs="Times New Roman"/>
        </w:rPr>
        <w:t xml:space="preserve"> </w:t>
      </w:r>
      <w:r w:rsidR="000F6011" w:rsidRPr="00233626">
        <w:rPr>
          <w:rFonts w:cs="Times New Roman"/>
        </w:rPr>
        <w:t xml:space="preserve">furthered the implementation of Obama’s </w:t>
      </w:r>
      <w:r w:rsidR="00CE5398" w:rsidRPr="00233626">
        <w:rPr>
          <w:rFonts w:cs="Times New Roman"/>
        </w:rPr>
        <w:t xml:space="preserve">health-care reform. Indeed, </w:t>
      </w:r>
      <w:r w:rsidR="00731F2C" w:rsidRPr="00233626">
        <w:rPr>
          <w:rFonts w:cs="Times New Roman"/>
        </w:rPr>
        <w:t xml:space="preserve">two years </w:t>
      </w:r>
      <w:r w:rsidR="00D7211F">
        <w:rPr>
          <w:rFonts w:cs="Times New Roman"/>
        </w:rPr>
        <w:t>ear</w:t>
      </w:r>
      <w:r w:rsidR="00AD6739">
        <w:rPr>
          <w:rFonts w:cs="Times New Roman"/>
        </w:rPr>
        <w:t>lier</w:t>
      </w:r>
      <w:r w:rsidR="00731F2C" w:rsidRPr="00233626">
        <w:rPr>
          <w:rFonts w:cs="Times New Roman"/>
        </w:rPr>
        <w:t xml:space="preserve"> </w:t>
      </w:r>
      <w:r w:rsidR="00CE5398" w:rsidRPr="00233626">
        <w:rPr>
          <w:rFonts w:cs="Times New Roman"/>
        </w:rPr>
        <w:t xml:space="preserve">in </w:t>
      </w:r>
      <w:r w:rsidR="00CE5398" w:rsidRPr="00233626">
        <w:rPr>
          <w:rFonts w:cs="Times New Roman"/>
          <w:i/>
        </w:rPr>
        <w:t xml:space="preserve">United States v. Comstock </w:t>
      </w:r>
      <w:r w:rsidR="00CE5398" w:rsidRPr="00233626">
        <w:rPr>
          <w:rFonts w:cs="Times New Roman"/>
        </w:rPr>
        <w:t xml:space="preserve">(2010) the Roberts Court had </w:t>
      </w:r>
      <w:r w:rsidR="00731F2C" w:rsidRPr="00233626">
        <w:rPr>
          <w:rFonts w:cs="Times New Roman"/>
        </w:rPr>
        <w:t xml:space="preserve">maintained </w:t>
      </w:r>
      <w:r w:rsidR="00CE5398" w:rsidRPr="00233626">
        <w:rPr>
          <w:rFonts w:cs="Times New Roman"/>
        </w:rPr>
        <w:t>that “the Constitution’s grants of specific federal legislative authority are accompanied by broad powers to enact laws that are `convenient or useful’ or `conducive’ to the authority’s `beneficial exercise.’”</w:t>
      </w:r>
      <w:r w:rsidR="00987C0B">
        <w:rPr>
          <w:rStyle w:val="EndnoteReference"/>
          <w:rFonts w:cs="Times New Roman"/>
        </w:rPr>
        <w:endnoteReference w:id="8"/>
      </w:r>
      <w:r w:rsidR="00CE5398" w:rsidRPr="00233626">
        <w:rPr>
          <w:rFonts w:cs="Times New Roman"/>
        </w:rPr>
        <w:t xml:space="preserve">  </w:t>
      </w:r>
      <w:r w:rsidR="00D7211F">
        <w:rPr>
          <w:rFonts w:cs="Times New Roman"/>
        </w:rPr>
        <w:t>But</w:t>
      </w:r>
      <w:r w:rsidR="00CE5398" w:rsidRPr="00233626">
        <w:rPr>
          <w:rFonts w:cs="Times New Roman"/>
        </w:rPr>
        <w:t xml:space="preserve"> Chief Justice Roberts </w:t>
      </w:r>
      <w:r w:rsidR="00AD6739">
        <w:rPr>
          <w:rFonts w:cs="Times New Roman"/>
        </w:rPr>
        <w:t xml:space="preserve">contended </w:t>
      </w:r>
      <w:r w:rsidR="00731F2C" w:rsidRPr="00233626">
        <w:rPr>
          <w:rFonts w:cs="Times New Roman"/>
        </w:rPr>
        <w:t>that even if the</w:t>
      </w:r>
      <w:r w:rsidR="00CA174F" w:rsidRPr="00233626">
        <w:rPr>
          <w:rFonts w:cs="Times New Roman"/>
        </w:rPr>
        <w:t xml:space="preserve"> individual mandate</w:t>
      </w:r>
      <w:r w:rsidR="00731F2C" w:rsidRPr="00233626">
        <w:rPr>
          <w:rFonts w:cs="Times New Roman"/>
        </w:rPr>
        <w:t xml:space="preserve"> was “necessary,” that </w:t>
      </w:r>
      <w:r w:rsidR="000F6011" w:rsidRPr="00233626">
        <w:rPr>
          <w:rFonts w:cs="Times New Roman"/>
        </w:rPr>
        <w:t>was insufficient.</w:t>
      </w:r>
      <w:r w:rsidR="00731F2C" w:rsidRPr="00233626">
        <w:rPr>
          <w:rFonts w:cs="Times New Roman"/>
        </w:rPr>
        <w:t xml:space="preserve"> Congressional statutes must also be “proper,” </w:t>
      </w:r>
      <w:r w:rsidR="00D7211F">
        <w:rPr>
          <w:rFonts w:cs="Times New Roman"/>
        </w:rPr>
        <w:t xml:space="preserve">that is, they must </w:t>
      </w:r>
      <w:r w:rsidR="00CA174F" w:rsidRPr="00233626">
        <w:rPr>
          <w:rFonts w:cs="Times New Roman"/>
        </w:rPr>
        <w:t>not “</w:t>
      </w:r>
      <w:r w:rsidR="00CA174F" w:rsidRPr="00233626">
        <w:rPr>
          <w:rFonts w:eastAsia="Times New Roman" w:cs="Times New Roman"/>
        </w:rPr>
        <w:t xml:space="preserve">undermine the structure of government established by the Constitution.” If they do, </w:t>
      </w:r>
      <w:r w:rsidR="00AD6739">
        <w:rPr>
          <w:rFonts w:eastAsia="Times New Roman" w:cs="Times New Roman"/>
        </w:rPr>
        <w:t>he</w:t>
      </w:r>
      <w:r w:rsidR="00CA174F" w:rsidRPr="00233626">
        <w:rPr>
          <w:rFonts w:eastAsia="Times New Roman" w:cs="Times New Roman"/>
        </w:rPr>
        <w:t xml:space="preserve"> insisted, such laws are not “</w:t>
      </w:r>
      <w:proofErr w:type="gramStart"/>
      <w:r w:rsidR="00CA174F" w:rsidRPr="00233626">
        <w:rPr>
          <w:rFonts w:eastAsia="Times New Roman" w:cs="Times New Roman"/>
        </w:rPr>
        <w:t>consist[</w:t>
      </w:r>
      <w:proofErr w:type="spellStart"/>
      <w:proofErr w:type="gramEnd"/>
      <w:r w:rsidR="00CA174F" w:rsidRPr="00233626">
        <w:rPr>
          <w:rFonts w:eastAsia="Times New Roman" w:cs="Times New Roman"/>
        </w:rPr>
        <w:t>ent</w:t>
      </w:r>
      <w:proofErr w:type="spellEnd"/>
      <w:r w:rsidR="00CA174F" w:rsidRPr="00233626">
        <w:rPr>
          <w:rFonts w:eastAsia="Times New Roman" w:cs="Times New Roman"/>
        </w:rPr>
        <w:t xml:space="preserve">] with the letter and spirit of the constitution” (quoting </w:t>
      </w:r>
      <w:r w:rsidR="00CA174F" w:rsidRPr="00233626">
        <w:rPr>
          <w:rFonts w:eastAsia="Times New Roman" w:cs="Times New Roman"/>
          <w:i/>
        </w:rPr>
        <w:t>McCulloch</w:t>
      </w:r>
      <w:r w:rsidR="00CA174F" w:rsidRPr="00233626">
        <w:rPr>
          <w:rFonts w:eastAsia="Times New Roman" w:cs="Times New Roman"/>
        </w:rPr>
        <w:t>) but are “in the words of The Federalist, ‘merely acts of usurpation’ which ‘deserve to be treated as such.’ ”</w:t>
      </w:r>
      <w:r w:rsidR="00E74029">
        <w:rPr>
          <w:rStyle w:val="EndnoteReference"/>
          <w:rFonts w:eastAsia="Times New Roman" w:cs="Times New Roman"/>
        </w:rPr>
        <w:endnoteReference w:id="9"/>
      </w:r>
      <w:r w:rsidR="00CA174F" w:rsidRPr="00233626">
        <w:rPr>
          <w:rFonts w:eastAsia="Times New Roman" w:cs="Times New Roman"/>
        </w:rPr>
        <w:t xml:space="preserve"> </w:t>
      </w:r>
      <w:r w:rsidR="00AD6739">
        <w:rPr>
          <w:rFonts w:eastAsia="Times New Roman" w:cs="Times New Roman"/>
        </w:rPr>
        <w:t xml:space="preserve">It will be interesting to see </w:t>
      </w:r>
      <w:r w:rsidR="00CA174F" w:rsidRPr="00233626">
        <w:rPr>
          <w:rFonts w:eastAsia="Times New Roman" w:cs="Times New Roman"/>
        </w:rPr>
        <w:t xml:space="preserve">how far the Roberts Court will </w:t>
      </w:r>
      <w:r w:rsidR="000F6011" w:rsidRPr="00233626">
        <w:rPr>
          <w:rFonts w:eastAsia="Times New Roman" w:cs="Times New Roman"/>
        </w:rPr>
        <w:t>push</w:t>
      </w:r>
      <w:r w:rsidR="00CA174F" w:rsidRPr="00233626">
        <w:rPr>
          <w:rFonts w:eastAsia="Times New Roman" w:cs="Times New Roman"/>
        </w:rPr>
        <w:t xml:space="preserve"> this structural limit on the exercise of congressional power.</w:t>
      </w:r>
    </w:p>
    <w:p w:rsidR="00716EE0" w:rsidRPr="00233626" w:rsidRDefault="00731F2C" w:rsidP="004E58EE">
      <w:pPr>
        <w:rPr>
          <w:rFonts w:cs="Times New Roman"/>
        </w:rPr>
      </w:pPr>
      <w:r w:rsidRPr="00233626">
        <w:rPr>
          <w:rFonts w:cs="Times New Roman"/>
        </w:rPr>
        <w:t xml:space="preserve"> </w:t>
      </w:r>
      <w:r w:rsidR="00513C3D" w:rsidRPr="00233626">
        <w:rPr>
          <w:rFonts w:cs="Times New Roman"/>
        </w:rPr>
        <w:t>The Court’s “</w:t>
      </w:r>
      <w:r w:rsidR="00716EE0" w:rsidRPr="00233626">
        <w:rPr>
          <w:rFonts w:cs="Times New Roman"/>
        </w:rPr>
        <w:t>Commandeering</w:t>
      </w:r>
      <w:r w:rsidR="00513C3D" w:rsidRPr="00233626">
        <w:rPr>
          <w:rFonts w:cs="Times New Roman"/>
        </w:rPr>
        <w:t>”</w:t>
      </w:r>
      <w:r w:rsidR="00716EE0" w:rsidRPr="00233626">
        <w:rPr>
          <w:rFonts w:cs="Times New Roman"/>
        </w:rPr>
        <w:t xml:space="preserve"> Jurisprudence</w:t>
      </w:r>
    </w:p>
    <w:p w:rsidR="00AD661D" w:rsidRPr="00233626" w:rsidRDefault="00513C3D" w:rsidP="004E58EE">
      <w:pPr>
        <w:ind w:firstLine="720"/>
        <w:rPr>
          <w:rFonts w:cs="Times New Roman"/>
        </w:rPr>
      </w:pPr>
      <w:r w:rsidRPr="00233626">
        <w:rPr>
          <w:rFonts w:cs="Times New Roman"/>
        </w:rPr>
        <w:t xml:space="preserve">The </w:t>
      </w:r>
      <w:r w:rsidR="000F6011" w:rsidRPr="00233626">
        <w:rPr>
          <w:rFonts w:cs="Times New Roman"/>
        </w:rPr>
        <w:t>Rehnquist</w:t>
      </w:r>
      <w:r w:rsidRPr="00233626">
        <w:rPr>
          <w:rFonts w:cs="Times New Roman"/>
        </w:rPr>
        <w:t xml:space="preserve"> Court also </w:t>
      </w:r>
      <w:r w:rsidR="00264A1D">
        <w:rPr>
          <w:rFonts w:cs="Times New Roman"/>
        </w:rPr>
        <w:t xml:space="preserve">sought to </w:t>
      </w:r>
      <w:r w:rsidRPr="00233626">
        <w:rPr>
          <w:rFonts w:cs="Times New Roman"/>
        </w:rPr>
        <w:t>s</w:t>
      </w:r>
      <w:r w:rsidR="00AD661D" w:rsidRPr="00233626">
        <w:rPr>
          <w:rFonts w:cs="Times New Roman"/>
        </w:rPr>
        <w:t>afeguard</w:t>
      </w:r>
      <w:r w:rsidRPr="00233626">
        <w:rPr>
          <w:rFonts w:cs="Times New Roman"/>
        </w:rPr>
        <w:t xml:space="preserve"> </w:t>
      </w:r>
      <w:r w:rsidR="00C767AA">
        <w:rPr>
          <w:rFonts w:cs="Times New Roman"/>
        </w:rPr>
        <w:t xml:space="preserve">state decision-making </w:t>
      </w:r>
      <w:r w:rsidR="00716EE0" w:rsidRPr="00233626">
        <w:rPr>
          <w:rFonts w:cs="Times New Roman"/>
        </w:rPr>
        <w:t xml:space="preserve">by </w:t>
      </w:r>
      <w:r w:rsidR="00AD661D" w:rsidRPr="00233626">
        <w:rPr>
          <w:rFonts w:cs="Times New Roman"/>
        </w:rPr>
        <w:t xml:space="preserve">striking down congressional efforts </w:t>
      </w:r>
      <w:r w:rsidR="00716EE0" w:rsidRPr="00233626">
        <w:rPr>
          <w:rFonts w:cs="Times New Roman"/>
        </w:rPr>
        <w:t xml:space="preserve">to “commandeer” state officials into carrying out federal programs. In </w:t>
      </w:r>
      <w:r w:rsidR="00716EE0" w:rsidRPr="00233626">
        <w:rPr>
          <w:rFonts w:cs="Times New Roman"/>
          <w:i/>
        </w:rPr>
        <w:t>New York v. United States</w:t>
      </w:r>
      <w:r w:rsidR="00716EE0" w:rsidRPr="00233626">
        <w:rPr>
          <w:rFonts w:cs="Times New Roman"/>
        </w:rPr>
        <w:t xml:space="preserve"> (1992), the Court held unconstitutional a provision of the Low-Level Radioactive Waste Policy Amendments Act of 1985</w:t>
      </w:r>
      <w:r w:rsidR="000F6011" w:rsidRPr="00233626">
        <w:rPr>
          <w:rFonts w:cs="Times New Roman"/>
        </w:rPr>
        <w:t>, which</w:t>
      </w:r>
      <w:r w:rsidR="00716EE0" w:rsidRPr="00233626">
        <w:rPr>
          <w:rFonts w:cs="Times New Roman"/>
        </w:rPr>
        <w:t xml:space="preserve"> required a state that had failed to provide for </w:t>
      </w:r>
      <w:r w:rsidR="000F6011" w:rsidRPr="00233626">
        <w:rPr>
          <w:rFonts w:cs="Times New Roman"/>
        </w:rPr>
        <w:t xml:space="preserve">disposal of that waste </w:t>
      </w:r>
      <w:r w:rsidR="00AD661D" w:rsidRPr="00233626">
        <w:rPr>
          <w:rFonts w:cs="Times New Roman"/>
        </w:rPr>
        <w:t>t</w:t>
      </w:r>
      <w:r w:rsidR="00716EE0" w:rsidRPr="00233626">
        <w:rPr>
          <w:rFonts w:cs="Times New Roman"/>
        </w:rPr>
        <w:t xml:space="preserve">o </w:t>
      </w:r>
      <w:r w:rsidR="000F6011" w:rsidRPr="00233626">
        <w:rPr>
          <w:rFonts w:cs="Times New Roman"/>
        </w:rPr>
        <w:t>take</w:t>
      </w:r>
      <w:r w:rsidR="00716EE0" w:rsidRPr="00233626">
        <w:rPr>
          <w:rFonts w:cs="Times New Roman"/>
        </w:rPr>
        <w:t xml:space="preserve"> possession of </w:t>
      </w:r>
      <w:r w:rsidR="000F6011" w:rsidRPr="00233626">
        <w:rPr>
          <w:rFonts w:cs="Times New Roman"/>
        </w:rPr>
        <w:t>it</w:t>
      </w:r>
      <w:r w:rsidR="00716EE0" w:rsidRPr="00233626">
        <w:rPr>
          <w:rFonts w:cs="Times New Roman"/>
        </w:rPr>
        <w:t xml:space="preserve"> and to become liable for all damages suffered by the generator or owner of that waste as a result of the state’s failure to take prompt possession. </w:t>
      </w:r>
      <w:r w:rsidR="00CF3C1F" w:rsidRPr="00233626">
        <w:rPr>
          <w:rFonts w:cs="Times New Roman"/>
        </w:rPr>
        <w:t xml:space="preserve">Speaking for a six-member majority, </w:t>
      </w:r>
      <w:r w:rsidR="00716EE0" w:rsidRPr="00233626">
        <w:rPr>
          <w:rFonts w:cs="Times New Roman"/>
        </w:rPr>
        <w:t>Justice Sandra Day O’Connor</w:t>
      </w:r>
      <w:r w:rsidRPr="00233626">
        <w:rPr>
          <w:rFonts w:cs="Times New Roman"/>
        </w:rPr>
        <w:t xml:space="preserve"> </w:t>
      </w:r>
      <w:r w:rsidR="00716EE0" w:rsidRPr="00233626">
        <w:rPr>
          <w:rFonts w:cs="Times New Roman"/>
        </w:rPr>
        <w:t xml:space="preserve">asserted </w:t>
      </w:r>
      <w:r w:rsidR="00CA174F" w:rsidRPr="00233626">
        <w:rPr>
          <w:rFonts w:cs="Times New Roman"/>
        </w:rPr>
        <w:t>that</w:t>
      </w:r>
      <w:r w:rsidR="00716EE0" w:rsidRPr="00233626">
        <w:rPr>
          <w:rFonts w:cs="Times New Roman"/>
        </w:rPr>
        <w:t xml:space="preserve"> “[n]o matter how powerful the federal interest involved, the Constitution simply does not give Congress the authority to require the States to regulate. </w:t>
      </w:r>
      <w:r w:rsidR="00716EE0" w:rsidRPr="00233626">
        <w:rPr>
          <w:rFonts w:cs="Times New Roman"/>
        </w:rPr>
        <w:lastRenderedPageBreak/>
        <w:t>The Constitution instead gives Congress the authority to regulate matters directly and to preempt contrary state regulation. Where a federal interest is sufficiently strong to cause Congress to legislate, it must do so directly; it may not conscript state governments as its agents.”</w:t>
      </w:r>
      <w:r w:rsidR="00DF4B5F">
        <w:rPr>
          <w:rStyle w:val="EndnoteReference"/>
          <w:rFonts w:cs="Times New Roman"/>
        </w:rPr>
        <w:endnoteReference w:id="10"/>
      </w:r>
      <w:r w:rsidR="00AD6739">
        <w:rPr>
          <w:rFonts w:cs="Times New Roman"/>
        </w:rPr>
        <w:t xml:space="preserve">  </w:t>
      </w:r>
      <w:r w:rsidR="00CA174F" w:rsidRPr="00233626">
        <w:rPr>
          <w:rFonts w:cs="Times New Roman"/>
        </w:rPr>
        <w:t>Five years later, the Court i</w:t>
      </w:r>
      <w:r w:rsidR="00AD661D" w:rsidRPr="00233626">
        <w:rPr>
          <w:rFonts w:cs="Times New Roman"/>
        </w:rPr>
        <w:t xml:space="preserve">n </w:t>
      </w:r>
      <w:proofErr w:type="spellStart"/>
      <w:r w:rsidR="00716EE0" w:rsidRPr="00233626">
        <w:rPr>
          <w:rFonts w:cs="Times New Roman"/>
          <w:i/>
        </w:rPr>
        <w:t>Printz</w:t>
      </w:r>
      <w:proofErr w:type="spellEnd"/>
      <w:r w:rsidR="00716EE0" w:rsidRPr="00233626">
        <w:rPr>
          <w:rFonts w:cs="Times New Roman"/>
          <w:i/>
        </w:rPr>
        <w:t xml:space="preserve"> v. United States</w:t>
      </w:r>
      <w:r w:rsidR="00716EE0" w:rsidRPr="00233626">
        <w:rPr>
          <w:rFonts w:cs="Times New Roman"/>
        </w:rPr>
        <w:t xml:space="preserve"> (1997)</w:t>
      </w:r>
      <w:r w:rsidR="00AD661D" w:rsidRPr="00233626">
        <w:rPr>
          <w:rFonts w:cs="Times New Roman"/>
        </w:rPr>
        <w:t xml:space="preserve"> struck down </w:t>
      </w:r>
      <w:r w:rsidR="00716EE0" w:rsidRPr="00233626">
        <w:rPr>
          <w:rFonts w:cs="Times New Roman"/>
        </w:rPr>
        <w:t xml:space="preserve">provisions of the Brady Handgun Violence Prevention Act </w:t>
      </w:r>
      <w:r w:rsidR="00AD661D" w:rsidRPr="00233626">
        <w:rPr>
          <w:rFonts w:cs="Times New Roman"/>
        </w:rPr>
        <w:t>that</w:t>
      </w:r>
      <w:r w:rsidR="00716EE0" w:rsidRPr="00233626">
        <w:rPr>
          <w:rFonts w:cs="Times New Roman"/>
        </w:rPr>
        <w:t xml:space="preserve"> </w:t>
      </w:r>
      <w:r w:rsidR="00AD6739">
        <w:rPr>
          <w:rFonts w:cs="Times New Roman"/>
        </w:rPr>
        <w:t>required</w:t>
      </w:r>
      <w:r w:rsidR="00716EE0" w:rsidRPr="00233626">
        <w:rPr>
          <w:rFonts w:cs="Times New Roman"/>
        </w:rPr>
        <w:t xml:space="preserve"> state and local law-enforcement officers to conduct background checks on prospective handgun purchasers</w:t>
      </w:r>
      <w:r w:rsidR="00AD661D" w:rsidRPr="00233626">
        <w:rPr>
          <w:rFonts w:cs="Times New Roman"/>
        </w:rPr>
        <w:t xml:space="preserve">. </w:t>
      </w:r>
      <w:r w:rsidR="00716EE0" w:rsidRPr="00233626">
        <w:rPr>
          <w:rFonts w:cs="Times New Roman"/>
        </w:rPr>
        <w:t xml:space="preserve"> </w:t>
      </w:r>
      <w:r w:rsidR="00CA174F" w:rsidRPr="00233626">
        <w:rPr>
          <w:rFonts w:cs="Times New Roman"/>
        </w:rPr>
        <w:t>Speaking for a five-member majority, Justice Antonin Scalia</w:t>
      </w:r>
      <w:r w:rsidR="002302E9" w:rsidRPr="00233626">
        <w:rPr>
          <w:rFonts w:cs="Times New Roman"/>
        </w:rPr>
        <w:t xml:space="preserve"> noted that “w</w:t>
      </w:r>
      <w:r w:rsidR="00716EE0" w:rsidRPr="00233626">
        <w:rPr>
          <w:rFonts w:cs="Times New Roman"/>
        </w:rPr>
        <w:t xml:space="preserve">e held in </w:t>
      </w:r>
      <w:r w:rsidR="00716EE0" w:rsidRPr="00233626">
        <w:rPr>
          <w:rFonts w:cs="Times New Roman"/>
          <w:i/>
        </w:rPr>
        <w:t>New York</w:t>
      </w:r>
      <w:r w:rsidR="002302E9" w:rsidRPr="00233626">
        <w:rPr>
          <w:rFonts w:cs="Times New Roman"/>
          <w:i/>
        </w:rPr>
        <w:t xml:space="preserve"> </w:t>
      </w:r>
      <w:r w:rsidR="00716EE0" w:rsidRPr="00233626">
        <w:rPr>
          <w:rFonts w:cs="Times New Roman"/>
        </w:rPr>
        <w:t>that Congress cannot compel the State to enact or enforce a federal regulatory program. Today we hold that Congress cannot circumvent that prohibition by conscripting the State’s officers directly.” S</w:t>
      </w:r>
      <w:r w:rsidR="00AD661D" w:rsidRPr="00233626">
        <w:rPr>
          <w:rFonts w:cs="Times New Roman"/>
        </w:rPr>
        <w:t xml:space="preserve">uch </w:t>
      </w:r>
      <w:r w:rsidR="00716EE0" w:rsidRPr="00233626">
        <w:rPr>
          <w:rFonts w:cs="Times New Roman"/>
        </w:rPr>
        <w:t xml:space="preserve">conscripting </w:t>
      </w:r>
      <w:r w:rsidR="00AD661D" w:rsidRPr="00233626">
        <w:rPr>
          <w:rFonts w:cs="Times New Roman"/>
        </w:rPr>
        <w:t xml:space="preserve">of </w:t>
      </w:r>
      <w:r w:rsidR="00716EE0" w:rsidRPr="00233626">
        <w:rPr>
          <w:rFonts w:cs="Times New Roman"/>
        </w:rPr>
        <w:t xml:space="preserve">state officers to carry out a federal program </w:t>
      </w:r>
      <w:r w:rsidR="00AD661D" w:rsidRPr="00233626">
        <w:rPr>
          <w:rFonts w:cs="Times New Roman"/>
        </w:rPr>
        <w:t xml:space="preserve">not only </w:t>
      </w:r>
      <w:r w:rsidR="00716EE0" w:rsidRPr="00233626">
        <w:rPr>
          <w:rFonts w:cs="Times New Roman"/>
        </w:rPr>
        <w:t>violated the states’ “resid</w:t>
      </w:r>
      <w:r w:rsidR="00AD661D" w:rsidRPr="00233626">
        <w:rPr>
          <w:rFonts w:cs="Times New Roman"/>
        </w:rPr>
        <w:t>uary and inviolable sovereignty</w:t>
      </w:r>
      <w:r w:rsidR="00716EE0" w:rsidRPr="00233626">
        <w:rPr>
          <w:rFonts w:cs="Times New Roman"/>
        </w:rPr>
        <w:t xml:space="preserve">” </w:t>
      </w:r>
      <w:r w:rsidR="00AD661D" w:rsidRPr="00233626">
        <w:rPr>
          <w:rFonts w:cs="Times New Roman"/>
        </w:rPr>
        <w:t>but also transgressed t</w:t>
      </w:r>
      <w:r w:rsidR="00716EE0" w:rsidRPr="00233626">
        <w:rPr>
          <w:rFonts w:cs="Times New Roman"/>
        </w:rPr>
        <w:t xml:space="preserve">he </w:t>
      </w:r>
      <w:r w:rsidRPr="00233626">
        <w:rPr>
          <w:rFonts w:cs="Times New Roman"/>
        </w:rPr>
        <w:t xml:space="preserve">constitutional </w:t>
      </w:r>
      <w:r w:rsidR="00716EE0" w:rsidRPr="00233626">
        <w:rPr>
          <w:rFonts w:cs="Times New Roman"/>
        </w:rPr>
        <w:t>separation of powers</w:t>
      </w:r>
      <w:r w:rsidR="00AD6739">
        <w:rPr>
          <w:rFonts w:cs="Times New Roman"/>
        </w:rPr>
        <w:t xml:space="preserve"> by</w:t>
      </w:r>
      <w:r w:rsidRPr="00233626">
        <w:rPr>
          <w:rFonts w:cs="Times New Roman"/>
        </w:rPr>
        <w:t xml:space="preserve"> transferr</w:t>
      </w:r>
      <w:r w:rsidR="00AD6739">
        <w:rPr>
          <w:rFonts w:cs="Times New Roman"/>
        </w:rPr>
        <w:t>ing</w:t>
      </w:r>
      <w:r w:rsidRPr="00233626">
        <w:rPr>
          <w:rFonts w:cs="Times New Roman"/>
        </w:rPr>
        <w:t xml:space="preserve"> responsibility for the “faithful execution of the laws” from the President to state</w:t>
      </w:r>
      <w:r w:rsidR="002302E9" w:rsidRPr="00233626">
        <w:rPr>
          <w:rFonts w:cs="Times New Roman"/>
        </w:rPr>
        <w:t xml:space="preserve"> law enforcement officers.</w:t>
      </w:r>
    </w:p>
    <w:p w:rsidR="00716EE0" w:rsidRPr="00233626" w:rsidRDefault="00AD661D" w:rsidP="004E58EE">
      <w:pPr>
        <w:rPr>
          <w:rFonts w:cs="Times New Roman"/>
        </w:rPr>
      </w:pPr>
      <w:r w:rsidRPr="00233626">
        <w:rPr>
          <w:rFonts w:cs="Times New Roman"/>
        </w:rPr>
        <w:t>Sovereign I</w:t>
      </w:r>
      <w:r w:rsidR="00716EE0" w:rsidRPr="00233626">
        <w:rPr>
          <w:rFonts w:cs="Times New Roman"/>
        </w:rPr>
        <w:t xml:space="preserve">mmunity </w:t>
      </w:r>
      <w:r w:rsidR="00307286" w:rsidRPr="00233626">
        <w:rPr>
          <w:rFonts w:cs="Times New Roman"/>
        </w:rPr>
        <w:t>and the States</w:t>
      </w:r>
    </w:p>
    <w:p w:rsidR="00716EE0" w:rsidRPr="00233626" w:rsidRDefault="00716EE0" w:rsidP="004E58EE">
      <w:pPr>
        <w:ind w:firstLine="720"/>
        <w:rPr>
          <w:rFonts w:cs="Times New Roman"/>
        </w:rPr>
      </w:pPr>
      <w:r w:rsidRPr="00233626">
        <w:rPr>
          <w:rFonts w:cs="Times New Roman"/>
        </w:rPr>
        <w:t xml:space="preserve">In </w:t>
      </w:r>
      <w:r w:rsidRPr="00233626">
        <w:rPr>
          <w:rFonts w:cs="Times New Roman"/>
          <w:i/>
        </w:rPr>
        <w:t>Seminole Tribe of Florida v. Florida</w:t>
      </w:r>
      <w:r w:rsidRPr="00233626">
        <w:rPr>
          <w:rFonts w:cs="Times New Roman"/>
        </w:rPr>
        <w:t xml:space="preserve"> (1996), Chief Justice Rehnquist </w:t>
      </w:r>
      <w:r w:rsidR="00AD6739">
        <w:rPr>
          <w:rFonts w:cs="Times New Roman"/>
        </w:rPr>
        <w:t>held</w:t>
      </w:r>
      <w:r w:rsidRPr="00233626">
        <w:rPr>
          <w:rFonts w:cs="Times New Roman"/>
        </w:rPr>
        <w:t xml:space="preserve"> for a five-member majority that Congress lack</w:t>
      </w:r>
      <w:r w:rsidR="00CF3C1F" w:rsidRPr="00233626">
        <w:rPr>
          <w:rFonts w:cs="Times New Roman"/>
        </w:rPr>
        <w:t>s</w:t>
      </w:r>
      <w:r w:rsidRPr="00233626">
        <w:rPr>
          <w:rFonts w:cs="Times New Roman"/>
        </w:rPr>
        <w:t xml:space="preserve"> power under the Commerce Clause to abrogate</w:t>
      </w:r>
      <w:r w:rsidR="00CF3C1F" w:rsidRPr="00233626">
        <w:rPr>
          <w:rFonts w:cs="Times New Roman"/>
        </w:rPr>
        <w:t xml:space="preserve"> </w:t>
      </w:r>
      <w:r w:rsidRPr="00233626">
        <w:rPr>
          <w:rFonts w:cs="Times New Roman"/>
        </w:rPr>
        <w:t>state</w:t>
      </w:r>
      <w:r w:rsidR="00CF3C1F" w:rsidRPr="00233626">
        <w:rPr>
          <w:rFonts w:cs="Times New Roman"/>
        </w:rPr>
        <w:t xml:space="preserve">s’ </w:t>
      </w:r>
      <w:r w:rsidRPr="00233626">
        <w:rPr>
          <w:rFonts w:cs="Times New Roman"/>
        </w:rPr>
        <w:t>sovereign immunity</w:t>
      </w:r>
      <w:r w:rsidR="00CF3C1F" w:rsidRPr="00233626">
        <w:rPr>
          <w:rFonts w:cs="Times New Roman"/>
        </w:rPr>
        <w:t>, which is</w:t>
      </w:r>
      <w:r w:rsidRPr="00233626">
        <w:rPr>
          <w:rFonts w:cs="Times New Roman"/>
        </w:rPr>
        <w:t xml:space="preserve"> protected by the Eleventh Amendment. </w:t>
      </w:r>
      <w:r w:rsidR="007B2D30" w:rsidRPr="00233626">
        <w:rPr>
          <w:rFonts w:cs="Times New Roman"/>
        </w:rPr>
        <w:t xml:space="preserve">In taking this position, </w:t>
      </w:r>
      <w:r w:rsidRPr="00233626">
        <w:rPr>
          <w:rFonts w:cs="Times New Roman"/>
        </w:rPr>
        <w:t>Rehnquist</w:t>
      </w:r>
      <w:r w:rsidR="007B2D30" w:rsidRPr="00233626">
        <w:rPr>
          <w:rFonts w:cs="Times New Roman"/>
        </w:rPr>
        <w:t xml:space="preserve"> faced </w:t>
      </w:r>
      <w:r w:rsidRPr="00233626">
        <w:rPr>
          <w:rFonts w:cs="Times New Roman"/>
        </w:rPr>
        <w:t>a major</w:t>
      </w:r>
      <w:r w:rsidR="00AD6739">
        <w:rPr>
          <w:rFonts w:cs="Times New Roman"/>
        </w:rPr>
        <w:t xml:space="preserve"> textual problem: b</w:t>
      </w:r>
      <w:r w:rsidRPr="00233626">
        <w:rPr>
          <w:rFonts w:cs="Times New Roman"/>
        </w:rPr>
        <w:t xml:space="preserve">y its terms, the Eleventh Amendment simply does not bar the kind of suit brought </w:t>
      </w:r>
      <w:r w:rsidR="00FE5B9A">
        <w:rPr>
          <w:rFonts w:cs="Times New Roman"/>
        </w:rPr>
        <w:t xml:space="preserve">in this case </w:t>
      </w:r>
      <w:r w:rsidRPr="00233626">
        <w:rPr>
          <w:rFonts w:cs="Times New Roman"/>
        </w:rPr>
        <w:t>by the Seminole Tribe.</w:t>
      </w:r>
      <w:r w:rsidR="00CF3C1F" w:rsidRPr="00233626">
        <w:rPr>
          <w:rStyle w:val="EndnoteReference"/>
          <w:rFonts w:cs="Times New Roman"/>
        </w:rPr>
        <w:endnoteReference w:id="11"/>
      </w:r>
      <w:r w:rsidR="00CF3C1F" w:rsidRPr="00233626">
        <w:rPr>
          <w:rFonts w:cs="Times New Roman"/>
        </w:rPr>
        <w:t xml:space="preserve"> </w:t>
      </w:r>
      <w:r w:rsidRPr="00233626">
        <w:rPr>
          <w:rFonts w:cs="Times New Roman"/>
        </w:rPr>
        <w:t>Rehnquist nevertheless proclaimed that a “blind reliance upon the text of the Eleventh Amendment” would be “overly exacting</w:t>
      </w:r>
      <w:r w:rsidR="007B2D30" w:rsidRPr="00233626">
        <w:rPr>
          <w:rFonts w:cs="Times New Roman"/>
        </w:rPr>
        <w:t>,</w:t>
      </w:r>
      <w:r w:rsidRPr="00233626">
        <w:rPr>
          <w:rFonts w:cs="Times New Roman"/>
        </w:rPr>
        <w:t xml:space="preserve">” </w:t>
      </w:r>
      <w:r w:rsidR="007B2D30" w:rsidRPr="00233626">
        <w:rPr>
          <w:rFonts w:cs="Times New Roman"/>
        </w:rPr>
        <w:t xml:space="preserve">insisting that the amendment constitutionalizes the idea that </w:t>
      </w:r>
      <w:r w:rsidRPr="00233626">
        <w:rPr>
          <w:rFonts w:cs="Times New Roman"/>
        </w:rPr>
        <w:t>“</w:t>
      </w:r>
      <w:r w:rsidR="007B2D30" w:rsidRPr="00233626">
        <w:rPr>
          <w:rFonts w:cs="Times New Roman"/>
        </w:rPr>
        <w:t>f</w:t>
      </w:r>
      <w:r w:rsidRPr="00233626">
        <w:rPr>
          <w:rFonts w:cs="Times New Roman"/>
        </w:rPr>
        <w:t>irst, that each State is a sovereign entity in our federal system; and second, that it is inherent in the nature of sovereignty not to be amenab</w:t>
      </w:r>
      <w:r w:rsidR="007B2D30" w:rsidRPr="00233626">
        <w:rPr>
          <w:rFonts w:cs="Times New Roman"/>
        </w:rPr>
        <w:t>le to suit without its consent.</w:t>
      </w:r>
      <w:r w:rsidRPr="00233626">
        <w:rPr>
          <w:rFonts w:cs="Times New Roman"/>
        </w:rPr>
        <w:t>”</w:t>
      </w:r>
      <w:r w:rsidR="007B2D30" w:rsidRPr="00233626">
        <w:rPr>
          <w:rFonts w:cs="Times New Roman"/>
        </w:rPr>
        <w:t xml:space="preserve">  </w:t>
      </w:r>
    </w:p>
    <w:p w:rsidR="00716EE0" w:rsidRPr="00233626" w:rsidRDefault="00826D20" w:rsidP="004E58EE">
      <w:pPr>
        <w:ind w:firstLine="720"/>
      </w:pPr>
      <w:r w:rsidRPr="00233626">
        <w:rPr>
          <w:rFonts w:cs="Times New Roman"/>
        </w:rPr>
        <w:t>In a series of subsequent cases</w:t>
      </w:r>
      <w:r w:rsidR="00FB0F79" w:rsidRPr="00233626">
        <w:rPr>
          <w:rFonts w:cs="Times New Roman"/>
        </w:rPr>
        <w:t>,</w:t>
      </w:r>
      <w:r w:rsidR="007B2D30" w:rsidRPr="00233626">
        <w:rPr>
          <w:rFonts w:cs="Times New Roman"/>
        </w:rPr>
        <w:t xml:space="preserve"> a </w:t>
      </w:r>
      <w:r w:rsidR="00FB0F79" w:rsidRPr="00233626">
        <w:rPr>
          <w:rFonts w:cs="Times New Roman"/>
        </w:rPr>
        <w:t xml:space="preserve">closely </w:t>
      </w:r>
      <w:r w:rsidR="007B2D30" w:rsidRPr="00233626">
        <w:rPr>
          <w:rFonts w:cs="Times New Roman"/>
        </w:rPr>
        <w:t xml:space="preserve">divided Court </w:t>
      </w:r>
      <w:r w:rsidR="009F6582" w:rsidRPr="00233626">
        <w:rPr>
          <w:rFonts w:cs="Times New Roman"/>
        </w:rPr>
        <w:t xml:space="preserve">extended </w:t>
      </w:r>
      <w:r w:rsidR="00716EE0" w:rsidRPr="00233626">
        <w:rPr>
          <w:rFonts w:cs="Times New Roman"/>
          <w:i/>
        </w:rPr>
        <w:t>Seminole Tribe</w:t>
      </w:r>
      <w:r w:rsidR="009F6582" w:rsidRPr="00233626">
        <w:rPr>
          <w:rFonts w:cs="Times New Roman"/>
        </w:rPr>
        <w:t xml:space="preserve">. </w:t>
      </w:r>
      <w:r w:rsidR="00716EE0" w:rsidRPr="00233626">
        <w:rPr>
          <w:rFonts w:cs="Times New Roman"/>
        </w:rPr>
        <w:t xml:space="preserve">In </w:t>
      </w:r>
      <w:r w:rsidR="00716EE0" w:rsidRPr="00233626">
        <w:rPr>
          <w:rFonts w:cs="Times New Roman"/>
          <w:i/>
        </w:rPr>
        <w:t>Florida Prepaid Postsecondary Education Expense Board v. College Savings Bank</w:t>
      </w:r>
      <w:r w:rsidR="007B2D30" w:rsidRPr="00233626">
        <w:rPr>
          <w:rFonts w:cs="Times New Roman"/>
          <w:i/>
        </w:rPr>
        <w:t xml:space="preserve"> </w:t>
      </w:r>
      <w:r w:rsidR="007B2D30" w:rsidRPr="00233626">
        <w:rPr>
          <w:rFonts w:cs="Times New Roman"/>
        </w:rPr>
        <w:t>(1999)</w:t>
      </w:r>
      <w:r w:rsidR="00D7211F">
        <w:rPr>
          <w:rFonts w:cs="Times New Roman"/>
        </w:rPr>
        <w:t>,</w:t>
      </w:r>
      <w:r w:rsidR="00FB0F79" w:rsidRPr="00233626">
        <w:rPr>
          <w:rFonts w:cs="Times New Roman"/>
        </w:rPr>
        <w:t xml:space="preserve"> </w:t>
      </w:r>
      <w:proofErr w:type="spellStart"/>
      <w:r w:rsidR="00FB0F79" w:rsidRPr="00233626">
        <w:rPr>
          <w:rFonts w:cs="Times New Roman"/>
          <w:i/>
        </w:rPr>
        <w:t>Kimel</w:t>
      </w:r>
      <w:proofErr w:type="spellEnd"/>
      <w:r w:rsidR="00FB0F79" w:rsidRPr="00233626">
        <w:rPr>
          <w:rFonts w:cs="Times New Roman"/>
          <w:i/>
        </w:rPr>
        <w:t xml:space="preserve"> v. Florida Board of Regents</w:t>
      </w:r>
      <w:r w:rsidR="00FB0F79" w:rsidRPr="00233626">
        <w:rPr>
          <w:rFonts w:cs="Times New Roman"/>
        </w:rPr>
        <w:t xml:space="preserve"> (2000), and </w:t>
      </w:r>
      <w:r w:rsidR="00FB0F79" w:rsidRPr="00233626">
        <w:rPr>
          <w:i/>
        </w:rPr>
        <w:t>Trustees of the University of Alabama v. Garrett</w:t>
      </w:r>
      <w:r w:rsidR="00FB0F79" w:rsidRPr="00233626">
        <w:rPr>
          <w:rFonts w:cs="Times New Roman"/>
        </w:rPr>
        <w:t xml:space="preserve"> (2001), </w:t>
      </w:r>
      <w:r w:rsidR="00AD6739">
        <w:rPr>
          <w:rFonts w:cs="Times New Roman"/>
        </w:rPr>
        <w:t>it</w:t>
      </w:r>
      <w:r w:rsidR="00716EE0" w:rsidRPr="00233626">
        <w:rPr>
          <w:rFonts w:cs="Times New Roman"/>
        </w:rPr>
        <w:t xml:space="preserve"> </w:t>
      </w:r>
      <w:r w:rsidR="00FB0F79" w:rsidRPr="00233626">
        <w:rPr>
          <w:rFonts w:cs="Times New Roman"/>
        </w:rPr>
        <w:t>conceded</w:t>
      </w:r>
      <w:r w:rsidR="004A584F" w:rsidRPr="00233626">
        <w:rPr>
          <w:rFonts w:cs="Times New Roman"/>
        </w:rPr>
        <w:t xml:space="preserve"> that </w:t>
      </w:r>
      <w:r w:rsidR="00716EE0" w:rsidRPr="00233626">
        <w:rPr>
          <w:rFonts w:cs="Times New Roman"/>
        </w:rPr>
        <w:t xml:space="preserve">Congress has power to </w:t>
      </w:r>
      <w:r w:rsidRPr="00233626">
        <w:rPr>
          <w:rFonts w:cs="Times New Roman"/>
        </w:rPr>
        <w:t xml:space="preserve">abrogate the states’ </w:t>
      </w:r>
      <w:r w:rsidR="004A584F" w:rsidRPr="00233626">
        <w:rPr>
          <w:rFonts w:cs="Times New Roman"/>
        </w:rPr>
        <w:t xml:space="preserve">sovereign immunity </w:t>
      </w:r>
      <w:r w:rsidR="00716EE0" w:rsidRPr="00233626">
        <w:rPr>
          <w:rFonts w:cs="Times New Roman"/>
        </w:rPr>
        <w:t>under Section 5 of the Fourteenth Amendment</w:t>
      </w:r>
      <w:r w:rsidR="00FB0F79" w:rsidRPr="00233626">
        <w:rPr>
          <w:rFonts w:cs="Times New Roman"/>
        </w:rPr>
        <w:t>. But</w:t>
      </w:r>
      <w:r w:rsidR="001A411A">
        <w:rPr>
          <w:rFonts w:cs="Times New Roman"/>
        </w:rPr>
        <w:t xml:space="preserve"> </w:t>
      </w:r>
      <w:r w:rsidR="00FB0F79" w:rsidRPr="00233626">
        <w:rPr>
          <w:rFonts w:cs="Times New Roman"/>
        </w:rPr>
        <w:t>it narrow</w:t>
      </w:r>
      <w:r w:rsidR="00D7211F">
        <w:rPr>
          <w:rFonts w:cs="Times New Roman"/>
        </w:rPr>
        <w:t>ed</w:t>
      </w:r>
      <w:r w:rsidR="00FB0F79" w:rsidRPr="00233626">
        <w:rPr>
          <w:rFonts w:cs="Times New Roman"/>
        </w:rPr>
        <w:t xml:space="preserve"> </w:t>
      </w:r>
      <w:r w:rsidR="00716EE0" w:rsidRPr="00233626">
        <w:rPr>
          <w:rFonts w:cs="Times New Roman"/>
        </w:rPr>
        <w:t>Congress’s enforcement power</w:t>
      </w:r>
      <w:r w:rsidR="00D7211F">
        <w:rPr>
          <w:rFonts w:cs="Times New Roman"/>
        </w:rPr>
        <w:t xml:space="preserve"> by</w:t>
      </w:r>
      <w:r w:rsidR="00FB0F79" w:rsidRPr="00233626">
        <w:rPr>
          <w:rFonts w:cs="Times New Roman"/>
        </w:rPr>
        <w:t xml:space="preserve"> announcing </w:t>
      </w:r>
      <w:r w:rsidR="008662A4">
        <w:rPr>
          <w:rFonts w:cs="Times New Roman"/>
        </w:rPr>
        <w:t xml:space="preserve">it </w:t>
      </w:r>
      <w:r w:rsidR="00FB0F79" w:rsidRPr="00233626">
        <w:rPr>
          <w:rFonts w:cs="Times New Roman"/>
        </w:rPr>
        <w:t xml:space="preserve">would </w:t>
      </w:r>
      <w:r w:rsidR="00D7211F">
        <w:rPr>
          <w:rFonts w:cs="Times New Roman"/>
        </w:rPr>
        <w:t>examine</w:t>
      </w:r>
      <w:r w:rsidR="00FB0F79" w:rsidRPr="00233626">
        <w:rPr>
          <w:rFonts w:cs="Times New Roman"/>
        </w:rPr>
        <w:t xml:space="preserve"> whether there was “a congruence and proportionality between the injury to be prevented or remedied and the means </w:t>
      </w:r>
      <w:proofErr w:type="gramStart"/>
      <w:r w:rsidR="00FB0F79" w:rsidRPr="00233626">
        <w:rPr>
          <w:rFonts w:cs="Times New Roman"/>
        </w:rPr>
        <w:t>adopted</w:t>
      </w:r>
      <w:proofErr w:type="gramEnd"/>
      <w:r w:rsidR="00FB0F79" w:rsidRPr="00233626">
        <w:rPr>
          <w:rFonts w:cs="Times New Roman"/>
        </w:rPr>
        <w:t xml:space="preserve"> to that end.”</w:t>
      </w:r>
      <w:r w:rsidR="008662A4">
        <w:rPr>
          <w:rStyle w:val="EndnoteReference"/>
          <w:rFonts w:cs="Times New Roman"/>
        </w:rPr>
        <w:endnoteReference w:id="12"/>
      </w:r>
      <w:r w:rsidR="00FB0F79" w:rsidRPr="00233626">
        <w:rPr>
          <w:rFonts w:cs="Times New Roman"/>
        </w:rPr>
        <w:t xml:space="preserve"> </w:t>
      </w:r>
      <w:r w:rsidRPr="00233626">
        <w:rPr>
          <w:rFonts w:cs="Times New Roman"/>
        </w:rPr>
        <w:t xml:space="preserve"> </w:t>
      </w:r>
      <w:r w:rsidR="00716EE0" w:rsidRPr="00233626">
        <w:rPr>
          <w:rFonts w:cs="Times New Roman"/>
        </w:rPr>
        <w:t xml:space="preserve">In </w:t>
      </w:r>
      <w:r w:rsidR="00716EE0" w:rsidRPr="00233626">
        <w:rPr>
          <w:rFonts w:cs="Times New Roman"/>
          <w:i/>
        </w:rPr>
        <w:t>College Savings Bank v. Florida Prepaid Postsecondary Education Expense Board</w:t>
      </w:r>
      <w:r w:rsidR="00CF3C1F" w:rsidRPr="00233626">
        <w:rPr>
          <w:rFonts w:cs="Times New Roman"/>
        </w:rPr>
        <w:t xml:space="preserve"> (1999), </w:t>
      </w:r>
      <w:r w:rsidR="00716EE0" w:rsidRPr="00233626">
        <w:rPr>
          <w:rFonts w:cs="Times New Roman"/>
        </w:rPr>
        <w:t xml:space="preserve">the Court invalidated </w:t>
      </w:r>
      <w:r w:rsidR="001A411A">
        <w:rPr>
          <w:rFonts w:cs="Times New Roman"/>
        </w:rPr>
        <w:t>a federal</w:t>
      </w:r>
      <w:r w:rsidR="00D7211F">
        <w:rPr>
          <w:rFonts w:cs="Times New Roman"/>
        </w:rPr>
        <w:t xml:space="preserve"> statute</w:t>
      </w:r>
      <w:r w:rsidR="001A411A">
        <w:rPr>
          <w:rFonts w:cs="Times New Roman"/>
        </w:rPr>
        <w:t xml:space="preserve"> </w:t>
      </w:r>
      <w:r w:rsidR="00D7211F">
        <w:rPr>
          <w:rFonts w:cs="Times New Roman"/>
        </w:rPr>
        <w:t>subjecting</w:t>
      </w:r>
      <w:r w:rsidR="00716EE0" w:rsidRPr="00233626">
        <w:rPr>
          <w:rFonts w:cs="Times New Roman"/>
        </w:rPr>
        <w:t xml:space="preserve"> states to suits under </w:t>
      </w:r>
      <w:r w:rsidR="00D7211F">
        <w:rPr>
          <w:rFonts w:cs="Times New Roman"/>
        </w:rPr>
        <w:t xml:space="preserve">federal statute </w:t>
      </w:r>
      <w:r w:rsidR="00716EE0" w:rsidRPr="00233626">
        <w:rPr>
          <w:rFonts w:cs="Times New Roman"/>
        </w:rPr>
        <w:t xml:space="preserve">for false and misleading advertising. </w:t>
      </w:r>
      <w:r w:rsidRPr="00233626">
        <w:rPr>
          <w:rFonts w:cs="Times New Roman"/>
        </w:rPr>
        <w:t>I</w:t>
      </w:r>
      <w:r w:rsidR="00CF3C1F" w:rsidRPr="00233626">
        <w:rPr>
          <w:rFonts w:cs="Times New Roman"/>
        </w:rPr>
        <w:t xml:space="preserve">n </w:t>
      </w:r>
      <w:r w:rsidR="00716EE0" w:rsidRPr="00233626">
        <w:rPr>
          <w:rFonts w:cs="Times New Roman"/>
          <w:i/>
        </w:rPr>
        <w:t>Alden v. Maine</w:t>
      </w:r>
      <w:r w:rsidR="00CF3C1F" w:rsidRPr="00233626">
        <w:rPr>
          <w:rFonts w:cs="Times New Roman"/>
          <w:i/>
        </w:rPr>
        <w:t xml:space="preserve"> </w:t>
      </w:r>
      <w:r w:rsidR="00CF3C1F" w:rsidRPr="00233626">
        <w:rPr>
          <w:rFonts w:cs="Times New Roman"/>
        </w:rPr>
        <w:t>(1999)</w:t>
      </w:r>
      <w:r w:rsidR="00716EE0" w:rsidRPr="00233626">
        <w:rPr>
          <w:rFonts w:cs="Times New Roman"/>
        </w:rPr>
        <w:t xml:space="preserve"> </w:t>
      </w:r>
      <w:r w:rsidR="00FB0F79" w:rsidRPr="00233626">
        <w:rPr>
          <w:rFonts w:cs="Times New Roman"/>
        </w:rPr>
        <w:t xml:space="preserve">it </w:t>
      </w:r>
      <w:r w:rsidR="0066709F" w:rsidRPr="00233626">
        <w:rPr>
          <w:rFonts w:cs="Times New Roman"/>
        </w:rPr>
        <w:t xml:space="preserve">ruled that </w:t>
      </w:r>
      <w:r w:rsidR="00CF3C1F" w:rsidRPr="00233626">
        <w:rPr>
          <w:rFonts w:cs="Times New Roman"/>
        </w:rPr>
        <w:t>Maine</w:t>
      </w:r>
      <w:r w:rsidR="00D7211F">
        <w:rPr>
          <w:rFonts w:cs="Times New Roman"/>
        </w:rPr>
        <w:t>’s</w:t>
      </w:r>
      <w:r w:rsidR="00CF3C1F" w:rsidRPr="00233626">
        <w:rPr>
          <w:rFonts w:cs="Times New Roman"/>
        </w:rPr>
        <w:t xml:space="preserve"> </w:t>
      </w:r>
      <w:r w:rsidR="00716EE0" w:rsidRPr="00233626">
        <w:rPr>
          <w:rFonts w:cs="Times New Roman"/>
        </w:rPr>
        <w:t>probation officers</w:t>
      </w:r>
      <w:r w:rsidR="0066709F" w:rsidRPr="00233626">
        <w:rPr>
          <w:rFonts w:cs="Times New Roman"/>
        </w:rPr>
        <w:t xml:space="preserve"> could not sue the </w:t>
      </w:r>
      <w:r w:rsidRPr="00233626">
        <w:rPr>
          <w:rFonts w:cs="Times New Roman"/>
        </w:rPr>
        <w:t xml:space="preserve">state </w:t>
      </w:r>
      <w:r w:rsidR="0066709F" w:rsidRPr="00233626">
        <w:rPr>
          <w:rFonts w:cs="Times New Roman"/>
        </w:rPr>
        <w:t>in state court for failing</w:t>
      </w:r>
      <w:r w:rsidRPr="00233626">
        <w:rPr>
          <w:rFonts w:cs="Times New Roman"/>
        </w:rPr>
        <w:t xml:space="preserve"> </w:t>
      </w:r>
      <w:r w:rsidR="00716EE0" w:rsidRPr="00233626">
        <w:rPr>
          <w:rFonts w:cs="Times New Roman"/>
        </w:rPr>
        <w:t>to abide by the overtime provisions of the</w:t>
      </w:r>
      <w:r w:rsidRPr="00233626">
        <w:rPr>
          <w:rFonts w:cs="Times New Roman"/>
        </w:rPr>
        <w:t xml:space="preserve"> federal</w:t>
      </w:r>
      <w:r w:rsidR="00716EE0" w:rsidRPr="00233626">
        <w:rPr>
          <w:rFonts w:cs="Times New Roman"/>
        </w:rPr>
        <w:t xml:space="preserve"> Fair Labor Standards Act</w:t>
      </w:r>
      <w:r w:rsidR="0066709F" w:rsidRPr="00233626">
        <w:rPr>
          <w:rFonts w:cs="Times New Roman"/>
        </w:rPr>
        <w:t>.</w:t>
      </w:r>
      <w:r w:rsidR="00716EE0" w:rsidRPr="00233626">
        <w:rPr>
          <w:rFonts w:cs="Times New Roman"/>
        </w:rPr>
        <w:t xml:space="preserve"> </w:t>
      </w:r>
      <w:r w:rsidR="00FB0F79" w:rsidRPr="00233626">
        <w:rPr>
          <w:rFonts w:cs="Times New Roman"/>
        </w:rPr>
        <w:t xml:space="preserve"> Finally, in </w:t>
      </w:r>
      <w:r w:rsidR="00716EE0" w:rsidRPr="00233626">
        <w:rPr>
          <w:rFonts w:cs="Times New Roman"/>
          <w:i/>
        </w:rPr>
        <w:t xml:space="preserve">Federal Maritime Commission v. South Carolina State Ports Authority </w:t>
      </w:r>
      <w:r w:rsidR="00B62960" w:rsidRPr="00233626">
        <w:rPr>
          <w:rFonts w:cs="Times New Roman"/>
        </w:rPr>
        <w:t xml:space="preserve">(2002), it ruled that state sovereign immunity </w:t>
      </w:r>
      <w:r w:rsidR="00716EE0" w:rsidRPr="00233626">
        <w:rPr>
          <w:rFonts w:cs="Times New Roman"/>
        </w:rPr>
        <w:t xml:space="preserve">barred actions against </w:t>
      </w:r>
      <w:proofErr w:type="spellStart"/>
      <w:r w:rsidR="00716EE0" w:rsidRPr="00233626">
        <w:rPr>
          <w:rFonts w:cs="Times New Roman"/>
        </w:rPr>
        <w:t>nonconsenting</w:t>
      </w:r>
      <w:proofErr w:type="spellEnd"/>
      <w:r w:rsidR="00716EE0" w:rsidRPr="00233626">
        <w:rPr>
          <w:rFonts w:cs="Times New Roman"/>
        </w:rPr>
        <w:t xml:space="preserve"> states even in federal regulatory agencies.</w:t>
      </w:r>
      <w:r w:rsidR="001A411A">
        <w:rPr>
          <w:rFonts w:cs="Times New Roman"/>
        </w:rPr>
        <w:t xml:space="preserve"> </w:t>
      </w:r>
      <w:r w:rsidR="00B62960" w:rsidRPr="00233626">
        <w:t>S</w:t>
      </w:r>
      <w:r w:rsidR="00716EE0" w:rsidRPr="00233626">
        <w:t xml:space="preserve">ince </w:t>
      </w:r>
      <w:r w:rsidR="001A411A">
        <w:t xml:space="preserve">that ruling, </w:t>
      </w:r>
      <w:r w:rsidR="00B62960" w:rsidRPr="00233626">
        <w:t>however, the</w:t>
      </w:r>
      <w:r w:rsidR="00716EE0" w:rsidRPr="00233626">
        <w:t xml:space="preserve"> Court has </w:t>
      </w:r>
      <w:r w:rsidR="001A411A">
        <w:t xml:space="preserve">become </w:t>
      </w:r>
      <w:r w:rsidR="00D7211F">
        <w:t xml:space="preserve">somewhat </w:t>
      </w:r>
      <w:r w:rsidR="00716EE0" w:rsidRPr="00233626">
        <w:t>more deferential to</w:t>
      </w:r>
      <w:r w:rsidR="00BD7848" w:rsidRPr="00233626">
        <w:t xml:space="preserve"> Congress</w:t>
      </w:r>
      <w:r w:rsidR="00D7211F">
        <w:t xml:space="preserve">. </w:t>
      </w:r>
      <w:r w:rsidR="001A411A">
        <w:t>In</w:t>
      </w:r>
      <w:r w:rsidR="00B62960" w:rsidRPr="00233626">
        <w:t xml:space="preserve"> </w:t>
      </w:r>
      <w:r w:rsidR="00716EE0" w:rsidRPr="00233626">
        <w:rPr>
          <w:i/>
        </w:rPr>
        <w:t xml:space="preserve">Nevada Department of Human Resources v. </w:t>
      </w:r>
      <w:proofErr w:type="spellStart"/>
      <w:r w:rsidR="00716EE0" w:rsidRPr="00233626">
        <w:rPr>
          <w:i/>
        </w:rPr>
        <w:t>Hibbs</w:t>
      </w:r>
      <w:proofErr w:type="spellEnd"/>
      <w:r w:rsidR="00716EE0" w:rsidRPr="00233626">
        <w:t xml:space="preserve"> (2003)</w:t>
      </w:r>
      <w:r w:rsidR="00BD7848" w:rsidRPr="00233626">
        <w:t>, it ruled</w:t>
      </w:r>
      <w:r w:rsidR="00716EE0" w:rsidRPr="00233626">
        <w:t xml:space="preserve"> that state employees could sue their employers in federal court for violation of the </w:t>
      </w:r>
      <w:r w:rsidR="00D7211F">
        <w:t xml:space="preserve">federal </w:t>
      </w:r>
      <w:r w:rsidR="00716EE0" w:rsidRPr="00233626">
        <w:t>Family and Medical Leave Act</w:t>
      </w:r>
      <w:r w:rsidR="00947A2E">
        <w:t>,</w:t>
      </w:r>
      <w:r w:rsidR="00B62960" w:rsidRPr="00233626">
        <w:t xml:space="preserve"> and in </w:t>
      </w:r>
      <w:r w:rsidR="00B62960" w:rsidRPr="00233626">
        <w:rPr>
          <w:i/>
        </w:rPr>
        <w:t>Tennessee v. Lane</w:t>
      </w:r>
      <w:r w:rsidR="00716EE0" w:rsidRPr="00233626">
        <w:t xml:space="preserve"> (</w:t>
      </w:r>
      <w:r w:rsidR="00B62960" w:rsidRPr="00233626">
        <w:t>2004) that disabled persons could sue states in federal court when their right of physical access to state courts was</w:t>
      </w:r>
      <w:r w:rsidR="00BD7848" w:rsidRPr="00233626">
        <w:t xml:space="preserve"> limited</w:t>
      </w:r>
      <w:r w:rsidR="00B62960" w:rsidRPr="00233626">
        <w:t xml:space="preserve"> in violation of the </w:t>
      </w:r>
      <w:r w:rsidR="00D7211F">
        <w:t xml:space="preserve">federal </w:t>
      </w:r>
      <w:r w:rsidR="00B62960" w:rsidRPr="00233626">
        <w:t>Americ</w:t>
      </w:r>
      <w:r w:rsidR="0090763B">
        <w:t>an w</w:t>
      </w:r>
      <w:r w:rsidR="00B62960" w:rsidRPr="00233626">
        <w:t xml:space="preserve">ith Disabilities Act. </w:t>
      </w:r>
    </w:p>
    <w:p w:rsidR="004653C3" w:rsidRPr="00233626" w:rsidRDefault="00716EE0" w:rsidP="004E58EE">
      <w:r w:rsidRPr="00233626">
        <w:t>Preemption</w:t>
      </w:r>
    </w:p>
    <w:p w:rsidR="00716EE0" w:rsidRPr="00233626" w:rsidRDefault="008B64DE" w:rsidP="004E58EE">
      <w:pPr>
        <w:ind w:firstLine="720"/>
      </w:pPr>
      <w:r w:rsidRPr="00233626">
        <w:lastRenderedPageBreak/>
        <w:t>During the twentieth century,</w:t>
      </w:r>
      <w:r w:rsidR="00716EE0" w:rsidRPr="00233626">
        <w:t xml:space="preserve"> the federal government entered </w:t>
      </w:r>
      <w:r w:rsidR="0096718B">
        <w:t>various</w:t>
      </w:r>
      <w:r w:rsidR="00716EE0" w:rsidRPr="00233626">
        <w:t xml:space="preserve"> policy areas—for example, environmental protection, race relations, and consumer protection—that previously had been state concerns. </w:t>
      </w:r>
      <w:r w:rsidR="0090763B">
        <w:t xml:space="preserve">When </w:t>
      </w:r>
      <w:r w:rsidR="0090763B" w:rsidRPr="00233626">
        <w:t xml:space="preserve">federal and state policies </w:t>
      </w:r>
      <w:r w:rsidR="00D7211F">
        <w:t>are</w:t>
      </w:r>
      <w:r w:rsidR="0090763B" w:rsidRPr="00233626">
        <w:t xml:space="preserve"> complementary</w:t>
      </w:r>
      <w:r w:rsidR="0090763B">
        <w:t>, t</w:t>
      </w:r>
      <w:r w:rsidR="00716EE0" w:rsidRPr="00233626">
        <w:t>his expansion of federal power produce</w:t>
      </w:r>
      <w:r w:rsidR="00D7211F">
        <w:t>s</w:t>
      </w:r>
      <w:r w:rsidR="0090763B">
        <w:t xml:space="preserve"> no</w:t>
      </w:r>
      <w:r w:rsidR="0096718B">
        <w:t xml:space="preserve"> conflict</w:t>
      </w:r>
      <w:r w:rsidR="00716EE0" w:rsidRPr="00233626">
        <w:t xml:space="preserve">. </w:t>
      </w:r>
      <w:r w:rsidR="00BD7848" w:rsidRPr="00233626">
        <w:t>But w</w:t>
      </w:r>
      <w:r w:rsidR="00716EE0" w:rsidRPr="00233626">
        <w:t>hen</w:t>
      </w:r>
      <w:r w:rsidR="0096718B">
        <w:t xml:space="preserve"> they </w:t>
      </w:r>
      <w:r w:rsidR="00D7211F">
        <w:t>are</w:t>
      </w:r>
      <w:r w:rsidR="0096718B">
        <w:t xml:space="preserve"> not, </w:t>
      </w:r>
      <w:r w:rsidR="00716EE0" w:rsidRPr="00233626">
        <w:t xml:space="preserve">the Supremacy Clause mandates that federal policy </w:t>
      </w:r>
      <w:r w:rsidR="00BD7848" w:rsidRPr="00233626">
        <w:t>preempt</w:t>
      </w:r>
      <w:r w:rsidR="00716EE0" w:rsidRPr="00233626">
        <w:t xml:space="preserve"> inconsistent state laws</w:t>
      </w:r>
      <w:r w:rsidR="00BD7848" w:rsidRPr="00233626">
        <w:t>.</w:t>
      </w:r>
      <w:r w:rsidR="00D7211F">
        <w:t xml:space="preserve"> W</w:t>
      </w:r>
      <w:r w:rsidR="00BD7848" w:rsidRPr="00233626">
        <w:t>hen</w:t>
      </w:r>
      <w:r w:rsidR="00716EE0" w:rsidRPr="00233626">
        <w:t xml:space="preserve"> congressional statutes </w:t>
      </w:r>
      <w:r w:rsidR="00BD7848" w:rsidRPr="00233626">
        <w:t>ma</w:t>
      </w:r>
      <w:r w:rsidR="00D7211F">
        <w:t>k</w:t>
      </w:r>
      <w:r w:rsidR="00BD7848" w:rsidRPr="00233626">
        <w:t xml:space="preserve">e no reference to </w:t>
      </w:r>
      <w:r w:rsidR="00716EE0" w:rsidRPr="00233626">
        <w:t>preemption</w:t>
      </w:r>
      <w:r w:rsidR="00BD7848" w:rsidRPr="00233626">
        <w:t xml:space="preserve">, </w:t>
      </w:r>
      <w:r w:rsidR="00C8570B" w:rsidRPr="00233626">
        <w:t>courts</w:t>
      </w:r>
      <w:r w:rsidR="0096718B">
        <w:t xml:space="preserve"> </w:t>
      </w:r>
      <w:r w:rsidR="00D7211F">
        <w:t>must</w:t>
      </w:r>
      <w:r w:rsidR="00BD7848" w:rsidRPr="00233626">
        <w:t xml:space="preserve"> decide </w:t>
      </w:r>
      <w:r w:rsidR="00716EE0" w:rsidRPr="00233626">
        <w:t>“whether the state action stands as an obstacle to the accomplishment and execution of the full purposes and objectives of Congress.”</w:t>
      </w:r>
      <w:r w:rsidR="00716EE0" w:rsidRPr="00233626">
        <w:rPr>
          <w:vertAlign w:val="superscript"/>
        </w:rPr>
        <w:endnoteReference w:id="13"/>
      </w:r>
      <w:r w:rsidR="00716EE0" w:rsidRPr="00233626">
        <w:t xml:space="preserve"> </w:t>
      </w:r>
    </w:p>
    <w:p w:rsidR="000956FB" w:rsidRPr="00233626" w:rsidRDefault="0090763B" w:rsidP="0096718B">
      <w:pPr>
        <w:ind w:firstLine="720"/>
      </w:pPr>
      <w:r>
        <w:t>Beginning in the late 1930s,</w:t>
      </w:r>
      <w:r w:rsidR="0071467E" w:rsidRPr="00233626">
        <w:t xml:space="preserve"> the Supreme Court adopted a presumption against preemption, proclaiming that </w:t>
      </w:r>
      <w:r w:rsidR="00716EE0" w:rsidRPr="00233626">
        <w:t>“the historic police powers of the States [are] not to be super</w:t>
      </w:r>
      <w:r w:rsidR="0096718B">
        <w:t>s</w:t>
      </w:r>
      <w:r w:rsidR="00716EE0" w:rsidRPr="00233626">
        <w:t>eded by the Federal Act unless that [is] the clear a</w:t>
      </w:r>
      <w:r w:rsidR="0071467E" w:rsidRPr="00233626">
        <w:t>nd manifest purpose of Congress.</w:t>
      </w:r>
      <w:r w:rsidR="00716EE0" w:rsidRPr="00233626">
        <w:t xml:space="preserve">” </w:t>
      </w:r>
      <w:r w:rsidR="0071467E" w:rsidRPr="00233626">
        <w:t xml:space="preserve"> However, the Rehnquist Court tended to </w:t>
      </w:r>
      <w:r w:rsidR="00716EE0" w:rsidRPr="00233626">
        <w:t xml:space="preserve">assume the incompatibility of state law with federal initiatives. This is reflected in rulings invalidating state laws that touched on foreign affairs (e.g., </w:t>
      </w:r>
      <w:r w:rsidR="00716EE0" w:rsidRPr="00233626">
        <w:rPr>
          <w:i/>
        </w:rPr>
        <w:t xml:space="preserve">Crosby v. National Foreign Trade Council </w:t>
      </w:r>
      <w:r w:rsidR="00716EE0" w:rsidRPr="00233626">
        <w:t xml:space="preserve">[2000] and </w:t>
      </w:r>
      <w:r w:rsidR="00716EE0" w:rsidRPr="00233626">
        <w:rPr>
          <w:i/>
        </w:rPr>
        <w:t>American Insurance Association v. Garamendi</w:t>
      </w:r>
      <w:r w:rsidR="00716EE0" w:rsidRPr="00233626">
        <w:t xml:space="preserve"> [2003]). It is also evident in rulings blocking on preemption grounds claims</w:t>
      </w:r>
      <w:r>
        <w:t xml:space="preserve"> in tort law:</w:t>
      </w:r>
      <w:r w:rsidR="00716EE0" w:rsidRPr="00233626">
        <w:t xml:space="preserve"> </w:t>
      </w:r>
      <w:r>
        <w:t xml:space="preserve">tort claims </w:t>
      </w:r>
      <w:r w:rsidR="00716EE0" w:rsidRPr="00233626">
        <w:t>against tobacco companies (</w:t>
      </w:r>
      <w:proofErr w:type="spellStart"/>
      <w:r w:rsidR="00716EE0" w:rsidRPr="00233626">
        <w:rPr>
          <w:i/>
        </w:rPr>
        <w:t>Cipollone</w:t>
      </w:r>
      <w:proofErr w:type="spellEnd"/>
      <w:r w:rsidR="00716EE0" w:rsidRPr="00233626">
        <w:rPr>
          <w:i/>
        </w:rPr>
        <w:t xml:space="preserve"> v. Liggett Group </w:t>
      </w:r>
      <w:r w:rsidR="00716EE0" w:rsidRPr="00233626">
        <w:t>[1992]), state laws regulating the display of cigarette advertisements (</w:t>
      </w:r>
      <w:r w:rsidR="00716EE0" w:rsidRPr="00233626">
        <w:rPr>
          <w:i/>
        </w:rPr>
        <w:t>Lorillard Tobacco Co. v. Reilly</w:t>
      </w:r>
      <w:r w:rsidR="00716EE0" w:rsidRPr="00233626">
        <w:t xml:space="preserve"> [2001]), and remedies under state law for design defects in automobiles (</w:t>
      </w:r>
      <w:proofErr w:type="spellStart"/>
      <w:r w:rsidR="00716EE0" w:rsidRPr="00233626">
        <w:rPr>
          <w:i/>
        </w:rPr>
        <w:t>Geier</w:t>
      </w:r>
      <w:proofErr w:type="spellEnd"/>
      <w:r w:rsidR="00716EE0" w:rsidRPr="00233626">
        <w:rPr>
          <w:i/>
        </w:rPr>
        <w:t xml:space="preserve"> v. American Honda Motor Company</w:t>
      </w:r>
      <w:r w:rsidR="00716EE0" w:rsidRPr="00233626">
        <w:t xml:space="preserve"> [2000]). The Roberts Court has continued this trend</w:t>
      </w:r>
      <w:r w:rsidR="00421CD7">
        <w:t xml:space="preserve">. </w:t>
      </w:r>
      <w:r w:rsidR="000956FB" w:rsidRPr="00233626">
        <w:t xml:space="preserve">This willingness to strike down state law may seem inconsistent with the “new federalism’s” solicitude for state power and state sovereignty.  </w:t>
      </w:r>
      <w:r>
        <w:t>But</w:t>
      </w:r>
      <w:r w:rsidR="000956FB" w:rsidRPr="00233626">
        <w:t xml:space="preserve"> it fits smoothly into the dual federalist constitutionalism championed by the Supreme Court, because that “model understands different regulatory targets as properly local or national and then segregates jurisdiction accordingly (by preempting improper local activity and enforcing the limits of the</w:t>
      </w:r>
      <w:r w:rsidR="00F46EF0">
        <w:t xml:space="preserve"> federally enumerated powers).”</w:t>
      </w:r>
      <w:r w:rsidR="00F46EF0">
        <w:rPr>
          <w:rStyle w:val="EndnoteReference"/>
        </w:rPr>
        <w:endnoteReference w:id="14"/>
      </w:r>
      <w:r w:rsidR="000956FB" w:rsidRPr="00233626">
        <w:t xml:space="preserve"> </w:t>
      </w:r>
    </w:p>
    <w:p w:rsidR="00307286" w:rsidRDefault="00307286" w:rsidP="004E58EE">
      <w:pPr>
        <w:spacing w:after="0"/>
      </w:pPr>
      <w:r w:rsidRPr="00233626">
        <w:t>The Spending Power</w:t>
      </w:r>
    </w:p>
    <w:p w:rsidR="00421CD7" w:rsidRDefault="00421CD7" w:rsidP="004E58EE">
      <w:pPr>
        <w:spacing w:after="0"/>
      </w:pPr>
    </w:p>
    <w:p w:rsidR="00307286" w:rsidRDefault="00307286" w:rsidP="004E58EE">
      <w:pPr>
        <w:ind w:firstLine="720"/>
      </w:pPr>
      <w:r w:rsidRPr="00233626">
        <w:t xml:space="preserve">Article I, Section 8 authorizes Congress “to pay the debts and provide for the common defense and general welfare of the United States.” </w:t>
      </w:r>
      <w:r w:rsidR="0096718B">
        <w:t>T</w:t>
      </w:r>
      <w:r w:rsidRPr="00233626">
        <w:t xml:space="preserve">his broad grant of power worried </w:t>
      </w:r>
      <w:r w:rsidR="0096718B">
        <w:t xml:space="preserve">the Anti-Federalists, </w:t>
      </w:r>
      <w:r w:rsidRPr="00233626">
        <w:t xml:space="preserve">who asserted that it would transform the national government into a government of indefinite, rather than enumerated, powers. </w:t>
      </w:r>
      <w:r w:rsidR="00A436CB">
        <w:t xml:space="preserve">In </w:t>
      </w:r>
      <w:r w:rsidR="00A436CB" w:rsidRPr="00A436CB">
        <w:rPr>
          <w:i/>
        </w:rPr>
        <w:t>Steward Machine Company v. Davis</w:t>
      </w:r>
      <w:r w:rsidR="00A436CB" w:rsidRPr="00233626">
        <w:t xml:space="preserve"> (1937) and </w:t>
      </w:r>
      <w:proofErr w:type="spellStart"/>
      <w:r w:rsidR="00A436CB" w:rsidRPr="00A436CB">
        <w:rPr>
          <w:i/>
        </w:rPr>
        <w:t>Helvering</w:t>
      </w:r>
      <w:proofErr w:type="spellEnd"/>
      <w:r w:rsidR="00A436CB" w:rsidRPr="00A436CB">
        <w:rPr>
          <w:i/>
        </w:rPr>
        <w:t xml:space="preserve"> v. Davis</w:t>
      </w:r>
      <w:r w:rsidR="00A436CB">
        <w:t xml:space="preserve"> (1937), the Court </w:t>
      </w:r>
      <w:r w:rsidR="0096718B">
        <w:t>confirmed</w:t>
      </w:r>
      <w:r w:rsidR="00A436CB">
        <w:t xml:space="preserve"> that </w:t>
      </w:r>
      <w:r w:rsidRPr="00233626">
        <w:t>the spending power was</w:t>
      </w:r>
      <w:r w:rsidR="00A436CB">
        <w:t xml:space="preserve"> an independent grant of power, not</w:t>
      </w:r>
      <w:r w:rsidRPr="00233626">
        <w:t xml:space="preserve"> limited by the reserved powers of the states</w:t>
      </w:r>
      <w:r w:rsidR="00A436CB">
        <w:t xml:space="preserve">. </w:t>
      </w:r>
      <w:r w:rsidR="00421CD7">
        <w:t xml:space="preserve">So </w:t>
      </w:r>
      <w:r w:rsidRPr="00233626">
        <w:t>Congress c</w:t>
      </w:r>
      <w:r w:rsidR="00A436CB">
        <w:t>ould</w:t>
      </w:r>
      <w:r w:rsidRPr="00233626">
        <w:t xml:space="preserve"> use its spending power to regulate indirectly matters that it could not regulate directly, by attaching conditions on the funds that it ma</w:t>
      </w:r>
      <w:r w:rsidR="00A436CB">
        <w:t>de</w:t>
      </w:r>
      <w:r w:rsidRPr="00233626">
        <w:t xml:space="preserve"> available to states and localities. </w:t>
      </w:r>
      <w:r w:rsidR="00A436CB">
        <w:t>B</w:t>
      </w:r>
      <w:r w:rsidRPr="00233626">
        <w:t>ecause states could choose whether or not to forgo the federal funds, the Supreme Court held that states were not coerced by Congress’s imposition of conditions on the</w:t>
      </w:r>
      <w:r w:rsidR="00A436CB">
        <w:t>ir</w:t>
      </w:r>
      <w:r w:rsidRPr="00233626">
        <w:t xml:space="preserve"> distribution</w:t>
      </w:r>
      <w:r w:rsidR="00947A2E">
        <w:t xml:space="preserve">.  </w:t>
      </w:r>
      <w:r w:rsidRPr="00233626">
        <w:t>However, as Justice Sandra Day O’Connor</w:t>
      </w:r>
      <w:r w:rsidR="00947A2E">
        <w:t>—a member of the “federalism five”--</w:t>
      </w:r>
      <w:r w:rsidRPr="00233626">
        <w:t>noted in her dissent</w:t>
      </w:r>
      <w:r w:rsidR="00947A2E">
        <w:t xml:space="preserve"> in </w:t>
      </w:r>
      <w:r w:rsidR="00947A2E" w:rsidRPr="00947A2E">
        <w:rPr>
          <w:i/>
        </w:rPr>
        <w:t>South Dakota v. Dole</w:t>
      </w:r>
      <w:r w:rsidR="00947A2E" w:rsidRPr="00233626">
        <w:t xml:space="preserve"> (1987)</w:t>
      </w:r>
      <w:r w:rsidRPr="00233626">
        <w:t>, given the sizable amounts involved, in practice the potential loss of even some federal funds m</w:t>
      </w:r>
      <w:r w:rsidR="00947A2E">
        <w:t xml:space="preserve">ight in effect coerce </w:t>
      </w:r>
      <w:r w:rsidRPr="00233626">
        <w:t xml:space="preserve">states to </w:t>
      </w:r>
      <w:r w:rsidR="00947A2E">
        <w:t>alter their policies.</w:t>
      </w:r>
      <w:r w:rsidR="00947A2E">
        <w:rPr>
          <w:rStyle w:val="EndnoteReference"/>
        </w:rPr>
        <w:endnoteReference w:id="15"/>
      </w:r>
    </w:p>
    <w:p w:rsidR="000A0FF9" w:rsidRPr="00421CD7" w:rsidRDefault="00947A2E" w:rsidP="00571D17">
      <w:pPr>
        <w:spacing w:after="0"/>
        <w:ind w:firstLine="720"/>
        <w:rPr>
          <w:rFonts w:eastAsia="Times New Roman" w:cs="Times New Roman"/>
        </w:rPr>
      </w:pPr>
      <w:r>
        <w:t>The Roberts Court embraced th</w:t>
      </w:r>
      <w:r w:rsidR="00AD281E">
        <w:t xml:space="preserve">e notion that federal grant programs might </w:t>
      </w:r>
      <w:r w:rsidR="0096718B">
        <w:t xml:space="preserve">be </w:t>
      </w:r>
      <w:r w:rsidR="00AD281E">
        <w:t>unconstitutionally coerc</w:t>
      </w:r>
      <w:r w:rsidR="0096718B">
        <w:t>iv</w:t>
      </w:r>
      <w:r w:rsidR="00AD281E">
        <w:t xml:space="preserve">e </w:t>
      </w:r>
      <w:r>
        <w:t xml:space="preserve">in </w:t>
      </w:r>
      <w:r>
        <w:rPr>
          <w:i/>
        </w:rPr>
        <w:t>National Board of Independent Business v. Sebelius</w:t>
      </w:r>
      <w:r>
        <w:t>.</w:t>
      </w:r>
      <w:r>
        <w:rPr>
          <w:i/>
        </w:rPr>
        <w:t xml:space="preserve"> </w:t>
      </w:r>
      <w:r w:rsidR="00C17154">
        <w:t xml:space="preserve">The statute </w:t>
      </w:r>
      <w:r w:rsidR="00AD281E">
        <w:t xml:space="preserve">at issue in </w:t>
      </w:r>
      <w:r w:rsidR="00AD281E">
        <w:rPr>
          <w:i/>
        </w:rPr>
        <w:t xml:space="preserve">Sebelius </w:t>
      </w:r>
      <w:r w:rsidR="00C17154">
        <w:t>substantially expanded eligibility under Medicaid, a cooperative program under which the federal and state governments jointly provide health insurance for indigents</w:t>
      </w:r>
      <w:r w:rsidR="00AD281E">
        <w:t>. A</w:t>
      </w:r>
      <w:r w:rsidR="00C17154">
        <w:t xml:space="preserve">lthough states could choose whether </w:t>
      </w:r>
      <w:r w:rsidR="00C17154">
        <w:lastRenderedPageBreak/>
        <w:t>or not to participate in th</w:t>
      </w:r>
      <w:r w:rsidR="00AD281E">
        <w:t xml:space="preserve">is </w:t>
      </w:r>
      <w:r w:rsidR="00C17154">
        <w:t xml:space="preserve">Medicaid expansion, failure to do so would result in the termination of all </w:t>
      </w:r>
      <w:r w:rsidR="00AD281E" w:rsidRPr="00421CD7">
        <w:t xml:space="preserve">their </w:t>
      </w:r>
      <w:r w:rsidR="00C17154" w:rsidRPr="00421CD7">
        <w:t>federal Medicaid funds</w:t>
      </w:r>
      <w:r w:rsidR="00AD281E" w:rsidRPr="00421CD7">
        <w:t xml:space="preserve">. This provision was so punitive, the Court reasoned, that it “passed the point at which pressure turns into compulsion” and in effect coerced state participation.  In this respect it was no different from the federal commandeering struck down in </w:t>
      </w:r>
      <w:r w:rsidR="00AD281E" w:rsidRPr="00421CD7">
        <w:rPr>
          <w:i/>
        </w:rPr>
        <w:t xml:space="preserve">New York </w:t>
      </w:r>
      <w:r w:rsidR="00AD281E" w:rsidRPr="00421CD7">
        <w:t xml:space="preserve">and </w:t>
      </w:r>
      <w:proofErr w:type="spellStart"/>
      <w:r w:rsidR="00AD281E" w:rsidRPr="00421CD7">
        <w:rPr>
          <w:i/>
        </w:rPr>
        <w:t>Printz</w:t>
      </w:r>
      <w:proofErr w:type="spellEnd"/>
      <w:r w:rsidR="00AD281E" w:rsidRPr="00421CD7">
        <w:t xml:space="preserve">.   </w:t>
      </w:r>
      <w:r w:rsidR="0096718B" w:rsidRPr="00421CD7">
        <w:t>Such a “gun to the head</w:t>
      </w:r>
      <w:r w:rsidR="008001B5" w:rsidRPr="00421CD7">
        <w:t xml:space="preserve">” </w:t>
      </w:r>
      <w:r w:rsidR="0096718B" w:rsidRPr="00421CD7">
        <w:t>(</w:t>
      </w:r>
      <w:r w:rsidR="008001B5" w:rsidRPr="00421CD7">
        <w:t>to use the Court’s colorful language</w:t>
      </w:r>
      <w:r w:rsidR="0096718B" w:rsidRPr="00421CD7">
        <w:t>)</w:t>
      </w:r>
      <w:r w:rsidR="008001B5" w:rsidRPr="00421CD7">
        <w:t xml:space="preserve"> is inconsistent with “</w:t>
      </w:r>
      <w:r w:rsidR="008001B5" w:rsidRPr="00421CD7">
        <w:rPr>
          <w:rFonts w:eastAsia="Times New Roman" w:cs="Times New Roman"/>
        </w:rPr>
        <w:t>ensuring that Spending Clause legislation does not undermine the status of the States as independent sovereigns in our federal system.”</w:t>
      </w:r>
      <w:r w:rsidR="00804E4D" w:rsidRPr="00421CD7">
        <w:rPr>
          <w:rStyle w:val="EndnoteReference"/>
          <w:rFonts w:eastAsia="Times New Roman" w:cs="Times New Roman"/>
        </w:rPr>
        <w:endnoteReference w:id="16"/>
      </w:r>
      <w:r w:rsidR="008001B5" w:rsidRPr="00421CD7">
        <w:rPr>
          <w:rFonts w:eastAsia="Times New Roman" w:cs="Times New Roman"/>
        </w:rPr>
        <w:t xml:space="preserve">  </w:t>
      </w:r>
      <w:r w:rsidR="000A0FF9" w:rsidRPr="00421CD7">
        <w:rPr>
          <w:rFonts w:eastAsia="Times New Roman" w:cs="Times New Roman"/>
        </w:rPr>
        <w:t>Although</w:t>
      </w:r>
      <w:r w:rsidR="008001B5" w:rsidRPr="00421CD7">
        <w:rPr>
          <w:rFonts w:eastAsia="Times New Roman" w:cs="Times New Roman"/>
        </w:rPr>
        <w:t xml:space="preserve"> the Court did not attempt to define the distinction between pressure and compulsion, thus leaving unresolved how closely it would scrutinize the conditions imposed in other </w:t>
      </w:r>
      <w:r w:rsidR="00950A74" w:rsidRPr="00421CD7">
        <w:rPr>
          <w:rFonts w:eastAsia="Times New Roman" w:cs="Times New Roman"/>
        </w:rPr>
        <w:t xml:space="preserve">grant </w:t>
      </w:r>
      <w:r w:rsidR="000A0FF9" w:rsidRPr="00421CD7">
        <w:rPr>
          <w:rFonts w:eastAsia="Times New Roman" w:cs="Times New Roman"/>
        </w:rPr>
        <w:t xml:space="preserve">programs, it hinted at a new basis for judicial intervention to protect state autonomy. </w:t>
      </w:r>
    </w:p>
    <w:p w:rsidR="000A0FF9" w:rsidRDefault="000A0FF9" w:rsidP="004E58EE">
      <w:pPr>
        <w:spacing w:after="0"/>
        <w:ind w:firstLine="720"/>
        <w:rPr>
          <w:rFonts w:ascii="Times New Roman" w:eastAsia="Times New Roman" w:hAnsi="Times New Roman" w:cs="Times New Roman"/>
        </w:rPr>
      </w:pPr>
    </w:p>
    <w:p w:rsidR="000A0FF9" w:rsidRDefault="000A0FF9" w:rsidP="004E58EE">
      <w:pPr>
        <w:spacing w:after="0"/>
        <w:ind w:firstLine="720"/>
        <w:jc w:val="center"/>
        <w:rPr>
          <w:szCs w:val="24"/>
        </w:rPr>
      </w:pPr>
      <w:r>
        <w:rPr>
          <w:szCs w:val="24"/>
        </w:rPr>
        <w:t>Neo-</w:t>
      </w:r>
      <w:proofErr w:type="spellStart"/>
      <w:r>
        <w:rPr>
          <w:szCs w:val="24"/>
        </w:rPr>
        <w:t>Marshallian</w:t>
      </w:r>
      <w:proofErr w:type="spellEnd"/>
      <w:r>
        <w:rPr>
          <w:szCs w:val="24"/>
        </w:rPr>
        <w:t xml:space="preserve"> Federalism</w:t>
      </w:r>
    </w:p>
    <w:p w:rsidR="000A0FF9" w:rsidRPr="000A0FF9" w:rsidRDefault="000A0FF9" w:rsidP="004E58EE">
      <w:pPr>
        <w:spacing w:after="0"/>
        <w:ind w:firstLine="720"/>
        <w:jc w:val="center"/>
        <w:rPr>
          <w:rFonts w:ascii="Times New Roman" w:eastAsia="Times New Roman" w:hAnsi="Times New Roman" w:cs="Times New Roman"/>
        </w:rPr>
      </w:pPr>
    </w:p>
    <w:p w:rsidR="009D5BF0" w:rsidRDefault="000A0FF9" w:rsidP="004E58EE">
      <w:pPr>
        <w:rPr>
          <w:szCs w:val="24"/>
        </w:rPr>
      </w:pPr>
      <w:r>
        <w:rPr>
          <w:szCs w:val="24"/>
        </w:rPr>
        <w:tab/>
        <w:t>The revival of dual federalism has generated extensive commentary, m</w:t>
      </w:r>
      <w:r w:rsidR="00571D17">
        <w:rPr>
          <w:szCs w:val="24"/>
        </w:rPr>
        <w:t>uch</w:t>
      </w:r>
      <w:r>
        <w:rPr>
          <w:szCs w:val="24"/>
        </w:rPr>
        <w:t xml:space="preserve"> of it critical, both on and off the Court.</w:t>
      </w:r>
      <w:r>
        <w:rPr>
          <w:rStyle w:val="EndnoteReference"/>
          <w:szCs w:val="24"/>
        </w:rPr>
        <w:endnoteReference w:id="17"/>
      </w:r>
      <w:r>
        <w:rPr>
          <w:szCs w:val="24"/>
        </w:rPr>
        <w:t xml:space="preserve">  </w:t>
      </w:r>
      <w:r w:rsidR="009D5BF0">
        <w:rPr>
          <w:szCs w:val="24"/>
        </w:rPr>
        <w:t>One approach</w:t>
      </w:r>
      <w:r w:rsidR="004E3FB8">
        <w:rPr>
          <w:szCs w:val="24"/>
        </w:rPr>
        <w:t>, adopted by the dissenting justices</w:t>
      </w:r>
      <w:r w:rsidR="00571D17">
        <w:rPr>
          <w:szCs w:val="24"/>
        </w:rPr>
        <w:t xml:space="preserve"> in the new federalism cases</w:t>
      </w:r>
      <w:r w:rsidR="004E3FB8">
        <w:rPr>
          <w:szCs w:val="24"/>
        </w:rPr>
        <w:t xml:space="preserve">, </w:t>
      </w:r>
      <w:r w:rsidR="009D5BF0">
        <w:rPr>
          <w:szCs w:val="24"/>
        </w:rPr>
        <w:t xml:space="preserve">has been to harken back to the constitutional understanding prior to this revival, as reflected in the Court’s precedents </w:t>
      </w:r>
      <w:r w:rsidR="004E3FB8">
        <w:rPr>
          <w:szCs w:val="24"/>
        </w:rPr>
        <w:t>since</w:t>
      </w:r>
      <w:r w:rsidR="009D5BF0">
        <w:rPr>
          <w:szCs w:val="24"/>
        </w:rPr>
        <w:t xml:space="preserve"> 1937. More ambitiously, some scholars have looked to the constitutional vision of the Founders and of Chief Justice John Marshall to critique dual federalism.  </w:t>
      </w:r>
      <w:r w:rsidR="00086830">
        <w:rPr>
          <w:szCs w:val="24"/>
        </w:rPr>
        <w:t>A</w:t>
      </w:r>
      <w:r w:rsidR="009D5BF0">
        <w:rPr>
          <w:szCs w:val="24"/>
        </w:rPr>
        <w:t xml:space="preserve"> prime example of this latter approach is </w:t>
      </w:r>
      <w:proofErr w:type="spellStart"/>
      <w:r>
        <w:rPr>
          <w:szCs w:val="24"/>
        </w:rPr>
        <w:t>Sotirios</w:t>
      </w:r>
      <w:proofErr w:type="spellEnd"/>
      <w:r>
        <w:rPr>
          <w:szCs w:val="24"/>
        </w:rPr>
        <w:t xml:space="preserve"> Barber’s </w:t>
      </w:r>
      <w:r>
        <w:rPr>
          <w:i/>
          <w:szCs w:val="24"/>
        </w:rPr>
        <w:t>The Fallacies of States’ Rights</w:t>
      </w:r>
      <w:r>
        <w:rPr>
          <w:szCs w:val="24"/>
        </w:rPr>
        <w:t xml:space="preserve">. </w:t>
      </w:r>
    </w:p>
    <w:p w:rsidR="00726FD6" w:rsidRDefault="000A0FF9" w:rsidP="004E58EE">
      <w:pPr>
        <w:ind w:firstLine="720"/>
        <w:rPr>
          <w:szCs w:val="24"/>
        </w:rPr>
      </w:pPr>
      <w:r>
        <w:rPr>
          <w:szCs w:val="24"/>
        </w:rPr>
        <w:t xml:space="preserve">Barber contrasts the Rehnquist/Roberts understanding of the Constitution </w:t>
      </w:r>
      <w:r w:rsidR="00503C1D">
        <w:rPr>
          <w:szCs w:val="24"/>
        </w:rPr>
        <w:t>and of the balance of po</w:t>
      </w:r>
      <w:r>
        <w:rPr>
          <w:szCs w:val="24"/>
        </w:rPr>
        <w:t xml:space="preserve">wer it protects with the more nationalist understanding of the character and aims of the Constitution espoused by Chief Justice John Marshall. </w:t>
      </w:r>
      <w:r w:rsidR="00726FD6">
        <w:rPr>
          <w:szCs w:val="24"/>
        </w:rPr>
        <w:t>Consider, first of all, the issue of state sovereignty, which is a major underpinning of the Court’s position.  The problem with this, as the Court has acknowledged, is that state sovereignty is not mentioned in the Constitution, so it must be understood as implicit in the Founders’ design. This is not on its face a fanciful notion --- after all, neither federalism nor the separation of powers is expressly mentioned either.  However, in failing to include an explicit guarantee of state sovereignty, the Founders were deliberately departing from the Articles of Confederation, whose Article XIII states:  “Each State retains its sovereignty, freedom and independence.” The decision not to include such a guarantee at least raises the question whether this was meant to signal a change in constitutional principle.</w:t>
      </w:r>
      <w:r w:rsidR="00726FD6">
        <w:rPr>
          <w:rStyle w:val="EndnoteReference"/>
          <w:szCs w:val="24"/>
        </w:rPr>
        <w:endnoteReference w:id="18"/>
      </w:r>
    </w:p>
    <w:p w:rsidR="00503C1D" w:rsidRDefault="00726FD6" w:rsidP="004E58EE">
      <w:pPr>
        <w:ind w:firstLine="720"/>
        <w:rPr>
          <w:szCs w:val="24"/>
        </w:rPr>
      </w:pPr>
      <w:r>
        <w:rPr>
          <w:szCs w:val="24"/>
        </w:rPr>
        <w:t>More generally, t</w:t>
      </w:r>
      <w:r w:rsidR="000A0FF9">
        <w:rPr>
          <w:szCs w:val="24"/>
        </w:rPr>
        <w:t>he Constitution should be understood</w:t>
      </w:r>
      <w:r w:rsidR="00503C1D">
        <w:rPr>
          <w:szCs w:val="24"/>
        </w:rPr>
        <w:t>,</w:t>
      </w:r>
      <w:r w:rsidR="000A0FF9">
        <w:rPr>
          <w:szCs w:val="24"/>
        </w:rPr>
        <w:t xml:space="preserve"> Barber (and Marshall) </w:t>
      </w:r>
      <w:proofErr w:type="gramStart"/>
      <w:r w:rsidR="000A0FF9">
        <w:rPr>
          <w:szCs w:val="24"/>
        </w:rPr>
        <w:t>insist</w:t>
      </w:r>
      <w:proofErr w:type="gramEnd"/>
      <w:r w:rsidR="000A0FF9">
        <w:rPr>
          <w:szCs w:val="24"/>
        </w:rPr>
        <w:t>, as a purposive</w:t>
      </w:r>
      <w:r w:rsidR="00503C1D">
        <w:rPr>
          <w:szCs w:val="24"/>
        </w:rPr>
        <w:t xml:space="preserve"> document</w:t>
      </w:r>
      <w:r w:rsidR="000A0FF9">
        <w:rPr>
          <w:szCs w:val="24"/>
        </w:rPr>
        <w:t>, a means to</w:t>
      </w:r>
      <w:r w:rsidR="00503C1D">
        <w:rPr>
          <w:szCs w:val="24"/>
        </w:rPr>
        <w:t xml:space="preserve"> achieve</w:t>
      </w:r>
      <w:r w:rsidR="000A0FF9">
        <w:rPr>
          <w:szCs w:val="24"/>
        </w:rPr>
        <w:t xml:space="preserve"> certain identifiable ends</w:t>
      </w:r>
      <w:r w:rsidR="00503C1D">
        <w:rPr>
          <w:szCs w:val="24"/>
        </w:rPr>
        <w:t>.  T</w:t>
      </w:r>
      <w:r w:rsidR="000A0FF9">
        <w:rPr>
          <w:szCs w:val="24"/>
        </w:rPr>
        <w:t>hese ends can be ascertained from the Declaration of Independence</w:t>
      </w:r>
      <w:r w:rsidR="00503C1D">
        <w:rPr>
          <w:szCs w:val="24"/>
        </w:rPr>
        <w:t xml:space="preserve">, which the </w:t>
      </w:r>
      <w:r w:rsidR="000A0FF9">
        <w:rPr>
          <w:szCs w:val="24"/>
        </w:rPr>
        <w:t>Constitution was meant to implement</w:t>
      </w:r>
      <w:r w:rsidR="00503C1D">
        <w:rPr>
          <w:szCs w:val="24"/>
        </w:rPr>
        <w:t>:  “</w:t>
      </w:r>
      <w:r w:rsidR="00503C1D">
        <w:t xml:space="preserve">to secure these rights, Governments are instituted among Men . . . and whenever any Form of Government becomes destructive of these ends, it is the Right of the People . . .  to institute new Government, laying its foundation on such principles and organizing its powers in such form, as to them shall seem most likely to </w:t>
      </w:r>
      <w:proofErr w:type="spellStart"/>
      <w:r w:rsidR="00503C1D">
        <w:t>effect</w:t>
      </w:r>
      <w:proofErr w:type="spellEnd"/>
      <w:r w:rsidR="00503C1D">
        <w:t xml:space="preserve"> their Safety and Happiness.”  They also can be found in </w:t>
      </w:r>
      <w:r w:rsidR="000A0FF9">
        <w:rPr>
          <w:szCs w:val="24"/>
        </w:rPr>
        <w:t xml:space="preserve">the Preamble of the Constitution, and </w:t>
      </w:r>
      <w:r w:rsidR="00503C1D">
        <w:rPr>
          <w:szCs w:val="24"/>
        </w:rPr>
        <w:t>they are implied by</w:t>
      </w:r>
      <w:r w:rsidR="000A0FF9">
        <w:rPr>
          <w:szCs w:val="24"/>
        </w:rPr>
        <w:t xml:space="preserve"> the enumerated powers grant</w:t>
      </w:r>
      <w:r w:rsidR="00503C1D">
        <w:rPr>
          <w:szCs w:val="24"/>
        </w:rPr>
        <w:t>ed</w:t>
      </w:r>
      <w:r w:rsidR="000A0FF9">
        <w:rPr>
          <w:szCs w:val="24"/>
        </w:rPr>
        <w:t xml:space="preserve"> to Congress in Article I, section 8</w:t>
      </w:r>
      <w:r w:rsidR="00503C1D">
        <w:rPr>
          <w:szCs w:val="24"/>
        </w:rPr>
        <w:t xml:space="preserve">, which are means </w:t>
      </w:r>
      <w:r w:rsidR="00421CD7">
        <w:rPr>
          <w:szCs w:val="24"/>
        </w:rPr>
        <w:t>for achieving</w:t>
      </w:r>
      <w:r w:rsidR="00503C1D">
        <w:rPr>
          <w:szCs w:val="24"/>
        </w:rPr>
        <w:t xml:space="preserve"> identifiable ends</w:t>
      </w:r>
      <w:r w:rsidR="000A0FF9">
        <w:rPr>
          <w:szCs w:val="24"/>
        </w:rPr>
        <w:t>. What is missing from</w:t>
      </w:r>
      <w:r w:rsidR="00503C1D">
        <w:rPr>
          <w:szCs w:val="24"/>
        </w:rPr>
        <w:t xml:space="preserve"> this</w:t>
      </w:r>
      <w:r w:rsidR="000A0FF9">
        <w:rPr>
          <w:szCs w:val="24"/>
        </w:rPr>
        <w:t xml:space="preserve"> account, of course, is any consideration of the division of power between nation and state</w:t>
      </w:r>
      <w:r w:rsidR="00503C1D">
        <w:rPr>
          <w:szCs w:val="24"/>
        </w:rPr>
        <w:t>. This</w:t>
      </w:r>
      <w:r w:rsidR="000A0FF9">
        <w:rPr>
          <w:szCs w:val="24"/>
        </w:rPr>
        <w:t xml:space="preserve"> omission is not inadvertent, because the Constitution is not fundamentally concerned with preserving particular structural arrangements.  </w:t>
      </w:r>
      <w:r w:rsidR="00421CD7">
        <w:rPr>
          <w:szCs w:val="24"/>
        </w:rPr>
        <w:t xml:space="preserve">Also, </w:t>
      </w:r>
      <w:r w:rsidR="00503C1D">
        <w:rPr>
          <w:szCs w:val="24"/>
        </w:rPr>
        <w:t>b</w:t>
      </w:r>
      <w:r w:rsidR="000A0FF9">
        <w:rPr>
          <w:szCs w:val="24"/>
        </w:rPr>
        <w:t xml:space="preserve">ecause the </w:t>
      </w:r>
      <w:r w:rsidR="000A0FF9">
        <w:rPr>
          <w:szCs w:val="24"/>
        </w:rPr>
        <w:lastRenderedPageBreak/>
        <w:t xml:space="preserve">Constitution is meant to ensure security against external foes, national prosperity, internal order, and other ends, the powers of the national government must be adequate to the accomplishment of those objectives.  As Marshall put it in </w:t>
      </w:r>
      <w:r w:rsidR="000A0FF9" w:rsidRPr="0046398D">
        <w:rPr>
          <w:i/>
          <w:szCs w:val="24"/>
        </w:rPr>
        <w:t>McCulloch v. Maryland</w:t>
      </w:r>
      <w:r w:rsidR="000A0FF9">
        <w:rPr>
          <w:szCs w:val="24"/>
        </w:rPr>
        <w:t xml:space="preserve"> (1819): “</w:t>
      </w:r>
      <w:r w:rsidR="000A0FF9">
        <w:t xml:space="preserve">The power being given, it is the interest of the Nation to facilitate its execution. It can never be their interest, and cannot be presumed to have been their intention, to clog and embarrass its execution by withholding the most appropriate means.” </w:t>
      </w:r>
      <w:r w:rsidR="000A0FF9">
        <w:rPr>
          <w:szCs w:val="24"/>
        </w:rPr>
        <w:t xml:space="preserve"> If those means </w:t>
      </w:r>
      <w:r w:rsidR="00421CD7">
        <w:rPr>
          <w:szCs w:val="24"/>
        </w:rPr>
        <w:t xml:space="preserve">involve </w:t>
      </w:r>
      <w:r w:rsidR="000A0FF9">
        <w:rPr>
          <w:szCs w:val="24"/>
        </w:rPr>
        <w:t xml:space="preserve">intrusion on traditional state powers or </w:t>
      </w:r>
      <w:r w:rsidR="00503C1D">
        <w:rPr>
          <w:szCs w:val="24"/>
        </w:rPr>
        <w:t xml:space="preserve">require </w:t>
      </w:r>
      <w:r w:rsidR="000A0FF9">
        <w:rPr>
          <w:szCs w:val="24"/>
        </w:rPr>
        <w:t xml:space="preserve">shifts in the distribution of power between nation and </w:t>
      </w:r>
      <w:proofErr w:type="gramStart"/>
      <w:r w:rsidR="000A0FF9">
        <w:rPr>
          <w:szCs w:val="24"/>
        </w:rPr>
        <w:t>state, that</w:t>
      </w:r>
      <w:proofErr w:type="gramEnd"/>
      <w:r w:rsidR="000A0FF9">
        <w:rPr>
          <w:szCs w:val="24"/>
        </w:rPr>
        <w:t xml:space="preserve"> is consistent with the constitutional design, which is to promote accomplishment of national objectives.  Thus Barber finds no constitutional obstacle to the temporary “commandeering” of state officials in </w:t>
      </w:r>
      <w:proofErr w:type="spellStart"/>
      <w:r w:rsidR="000A0FF9">
        <w:rPr>
          <w:i/>
          <w:szCs w:val="24"/>
        </w:rPr>
        <w:t>Printz</w:t>
      </w:r>
      <w:proofErr w:type="spellEnd"/>
      <w:r w:rsidR="000A0FF9">
        <w:rPr>
          <w:i/>
          <w:szCs w:val="24"/>
        </w:rPr>
        <w:t xml:space="preserve"> v. United States</w:t>
      </w:r>
      <w:r w:rsidR="000A0FF9">
        <w:rPr>
          <w:szCs w:val="24"/>
        </w:rPr>
        <w:t xml:space="preserve"> or the creation of an “individual mandate” in </w:t>
      </w:r>
      <w:r w:rsidR="000A0FF9">
        <w:rPr>
          <w:i/>
          <w:szCs w:val="24"/>
        </w:rPr>
        <w:t>Sebelius</w:t>
      </w:r>
      <w:r w:rsidR="000A0FF9">
        <w:rPr>
          <w:szCs w:val="24"/>
        </w:rPr>
        <w:t xml:space="preserve">.  Certainly the achievement of important national objectives such as gun control and the provision of health care should not be sacrificed to the end of preserving some, for Barber, fictitious state sovereignty. </w:t>
      </w:r>
    </w:p>
    <w:p w:rsidR="000A0FF9" w:rsidRDefault="000A0FF9" w:rsidP="004E58EE">
      <w:pPr>
        <w:ind w:firstLine="720"/>
        <w:rPr>
          <w:szCs w:val="24"/>
        </w:rPr>
      </w:pPr>
      <w:r>
        <w:rPr>
          <w:szCs w:val="24"/>
        </w:rPr>
        <w:t xml:space="preserve">In support of this </w:t>
      </w:r>
      <w:r w:rsidR="00503C1D">
        <w:rPr>
          <w:szCs w:val="24"/>
        </w:rPr>
        <w:t xml:space="preserve">position, </w:t>
      </w:r>
      <w:r>
        <w:rPr>
          <w:szCs w:val="24"/>
        </w:rPr>
        <w:t xml:space="preserve">Barber points to James Madison’s argument in The Federalist No. 45: </w:t>
      </w:r>
    </w:p>
    <w:p w:rsidR="000A0FF9" w:rsidRDefault="000A0FF9" w:rsidP="004E58EE">
      <w:pPr>
        <w:ind w:left="720"/>
        <w:rPr>
          <w:szCs w:val="24"/>
        </w:rPr>
      </w:pPr>
      <w:r>
        <w:t>But if the Union, as has been shown, be essential to the security of the people of America against foreign danger; if it be essential to their security against contentions and wars among the different States; if it be essential to guard them against those violent and oppressive factions which embitter the blessings of liberty, and against those military establishments which must gradually poison its very fountain; if, in a word, the Union be essential to the happiness of the people of America, is it not preposterous, to urge as an objection to a government, without which the objects of the Union cannot be attained, that such a government may derogate from the importance of the governments of the individual States? Was, then, the American Revolution effected, was the American Confederacy formed, was the precious blood of thousands spilt, and the hard-earned substance of millions lavished, not that the people of America should enjoy peace, liberty, and safety, but that the government of the individual States, that particular municipal establishments, might enjoy a certain extent of power, and be arrayed with certain dignities and attributes of sovereignty?</w:t>
      </w:r>
    </w:p>
    <w:p w:rsidR="00CE7781" w:rsidRDefault="00CE7781" w:rsidP="004E58EE">
      <w:pPr>
        <w:spacing w:after="0"/>
        <w:rPr>
          <w:szCs w:val="24"/>
        </w:rPr>
      </w:pPr>
      <w:r>
        <w:rPr>
          <w:szCs w:val="24"/>
        </w:rPr>
        <w:t>Thus,</w:t>
      </w:r>
      <w:r w:rsidR="000A0FF9">
        <w:rPr>
          <w:szCs w:val="24"/>
        </w:rPr>
        <w:t xml:space="preserve"> a division of powers between nation and state may exist in practice, but the protection of such a division was never an aim of the Constitution.  </w:t>
      </w:r>
      <w:r w:rsidR="00726FD6">
        <w:rPr>
          <w:szCs w:val="24"/>
        </w:rPr>
        <w:t>As</w:t>
      </w:r>
      <w:r w:rsidR="00421CD7">
        <w:rPr>
          <w:szCs w:val="24"/>
        </w:rPr>
        <w:t xml:space="preserve"> </w:t>
      </w:r>
      <w:r w:rsidR="000A0FF9">
        <w:rPr>
          <w:szCs w:val="24"/>
        </w:rPr>
        <w:t>Madison noted in The Federalist No. 4</w:t>
      </w:r>
      <w:r w:rsidR="00726FD6">
        <w:rPr>
          <w:szCs w:val="24"/>
        </w:rPr>
        <w:t>6</w:t>
      </w:r>
      <w:r w:rsidR="000A0FF9">
        <w:rPr>
          <w:szCs w:val="24"/>
        </w:rPr>
        <w:t>,</w:t>
      </w:r>
      <w:r w:rsidR="00726FD6">
        <w:rPr>
          <w:szCs w:val="24"/>
        </w:rPr>
        <w:t xml:space="preserve"> </w:t>
      </w:r>
      <w:r w:rsidR="00726FD6" w:rsidRPr="00233626">
        <w:t>“federal and States governments are in fact but different agents and trustees of the people.”</w:t>
      </w:r>
      <w:r w:rsidR="00726FD6">
        <w:t xml:space="preserve"> From this it follows (in The Federalist No. 45) that </w:t>
      </w:r>
      <w:r w:rsidR="000A0FF9">
        <w:t xml:space="preserve">“the real welfare of the great body of the people is the supreme object to be pursued; and . . . no form of government whatever, has any other value, than as it may be fitted for the attainment of this object.”  A particular division of powers </w:t>
      </w:r>
      <w:r w:rsidR="000A0FF9">
        <w:rPr>
          <w:szCs w:val="24"/>
        </w:rPr>
        <w:t>may or may not, depending on circumstances, contribute to good government.  There can be no “categorical limits” on national power because the objectives of the national government are superior to those of the state governments</w:t>
      </w:r>
      <w:r>
        <w:rPr>
          <w:szCs w:val="24"/>
        </w:rPr>
        <w:t>. That</w:t>
      </w:r>
      <w:r w:rsidR="000A0FF9">
        <w:rPr>
          <w:szCs w:val="24"/>
        </w:rPr>
        <w:t xml:space="preserve"> is inherent in the idea that the national government serves the welfare of the whole nation, while each state serves the welfare of only part of the people, and in any event the Supremacy Clause removes any doubt on that account. </w:t>
      </w:r>
      <w:r w:rsidR="000A0FF9">
        <w:rPr>
          <w:rStyle w:val="EndnoteReference"/>
          <w:szCs w:val="24"/>
        </w:rPr>
        <w:endnoteReference w:id="19"/>
      </w:r>
      <w:r w:rsidR="000A0FF9">
        <w:rPr>
          <w:szCs w:val="24"/>
        </w:rPr>
        <w:t xml:space="preserve">  There may be value to a decentralization of power, but that value is contingent on circumstances, instrumental rather than inherent. The Constitution is not fundamentally about “federalism” or about a “federal balance”—neither term appears in the document.  State governments </w:t>
      </w:r>
      <w:r w:rsidR="000A0FF9">
        <w:rPr>
          <w:szCs w:val="24"/>
        </w:rPr>
        <w:lastRenderedPageBreak/>
        <w:t>may exercise th</w:t>
      </w:r>
      <w:r>
        <w:rPr>
          <w:szCs w:val="24"/>
        </w:rPr>
        <w:t>os</w:t>
      </w:r>
      <w:r w:rsidR="000A0FF9">
        <w:rPr>
          <w:szCs w:val="24"/>
        </w:rPr>
        <w:t>e  powers</w:t>
      </w:r>
      <w:r>
        <w:rPr>
          <w:szCs w:val="24"/>
        </w:rPr>
        <w:t xml:space="preserve"> </w:t>
      </w:r>
      <w:r w:rsidR="000A0FF9">
        <w:rPr>
          <w:szCs w:val="24"/>
        </w:rPr>
        <w:t xml:space="preserve">not granted to the national government, but the grants of power must be read broadly in order that the aims for which they were given may be achieved.  </w:t>
      </w:r>
    </w:p>
    <w:p w:rsidR="00726FD6" w:rsidRPr="00726FD6" w:rsidRDefault="00726FD6" w:rsidP="004E58EE">
      <w:pPr>
        <w:spacing w:after="0"/>
      </w:pPr>
    </w:p>
    <w:p w:rsidR="000A0FF9" w:rsidRDefault="000A0FF9" w:rsidP="004E58EE">
      <w:pPr>
        <w:ind w:firstLine="720"/>
      </w:pPr>
      <w:r>
        <w:rPr>
          <w:szCs w:val="24"/>
        </w:rPr>
        <w:t xml:space="preserve">It may be, as Marshall observed in </w:t>
      </w:r>
      <w:r>
        <w:rPr>
          <w:i/>
          <w:szCs w:val="24"/>
        </w:rPr>
        <w:t>McCulloch</w:t>
      </w:r>
      <w:r>
        <w:rPr>
          <w:szCs w:val="24"/>
        </w:rPr>
        <w:t xml:space="preserve">, that “the question </w:t>
      </w:r>
      <w:r>
        <w:t xml:space="preserve">respecting the extent of the powers actually granted is perpetually arising, and will probably continue to arise so long as our system shall exist.”  But this says less about the intrinsic difficulty of the question than about the character of the nation’s politics.  The only limitations on the national government’s powers are those enshrined in the Constitution’s rights guarantees and in the limited objectives for which the national government was created.  But the means to those ends are not limited, and thus Spencer Roane, who attacked the decision in </w:t>
      </w:r>
      <w:r>
        <w:rPr>
          <w:i/>
        </w:rPr>
        <w:t>McCulloch</w:t>
      </w:r>
      <w:r>
        <w:t>, was probably correct when he observed that a government limited in its objectives but not in the means by which they might be attained, was not a very limited government.</w:t>
      </w:r>
      <w:r>
        <w:rPr>
          <w:rStyle w:val="EndnoteReference"/>
        </w:rPr>
        <w:endnoteReference w:id="20"/>
      </w:r>
    </w:p>
    <w:p w:rsidR="00F46EF0" w:rsidRDefault="00A85903" w:rsidP="004E58EE">
      <w:pPr>
        <w:spacing w:after="0" w:line="480" w:lineRule="auto"/>
        <w:jc w:val="center"/>
      </w:pPr>
      <w:r w:rsidRPr="00F46EF0">
        <w:t>The Political Safeguards of Federalism</w:t>
      </w:r>
    </w:p>
    <w:p w:rsidR="004E3FB8" w:rsidRDefault="00A85903" w:rsidP="004E58EE">
      <w:pPr>
        <w:rPr>
          <w:szCs w:val="24"/>
        </w:rPr>
      </w:pPr>
      <w:r>
        <w:rPr>
          <w:szCs w:val="24"/>
        </w:rPr>
        <w:tab/>
        <w:t>When the Supreme Court abandoned dual federalism in the late 1930’s</w:t>
      </w:r>
      <w:proofErr w:type="gramStart"/>
      <w:r>
        <w:rPr>
          <w:szCs w:val="24"/>
        </w:rPr>
        <w:t>,</w:t>
      </w:r>
      <w:proofErr w:type="gramEnd"/>
      <w:r w:rsidR="002D09A6">
        <w:rPr>
          <w:szCs w:val="24"/>
        </w:rPr>
        <w:t xml:space="preserve"> it </w:t>
      </w:r>
      <w:r w:rsidR="0077576F">
        <w:rPr>
          <w:szCs w:val="24"/>
        </w:rPr>
        <w:t>adopted</w:t>
      </w:r>
      <w:r w:rsidR="002D09A6">
        <w:rPr>
          <w:szCs w:val="24"/>
        </w:rPr>
        <w:t xml:space="preserve"> a new and more encompassing view of federal powers</w:t>
      </w:r>
      <w:r w:rsidR="00540D8D">
        <w:rPr>
          <w:szCs w:val="24"/>
        </w:rPr>
        <w:t xml:space="preserve"> and</w:t>
      </w:r>
      <w:r w:rsidR="002D09A6">
        <w:rPr>
          <w:szCs w:val="24"/>
        </w:rPr>
        <w:t xml:space="preserve"> accord</w:t>
      </w:r>
      <w:r w:rsidR="001361F0">
        <w:rPr>
          <w:szCs w:val="24"/>
        </w:rPr>
        <w:t>ed</w:t>
      </w:r>
      <w:r w:rsidR="002D09A6">
        <w:rPr>
          <w:szCs w:val="24"/>
        </w:rPr>
        <w:t xml:space="preserve"> a strong presumption of constitutionality to congressional regulation of the economy</w:t>
      </w:r>
      <w:r w:rsidR="00540D8D">
        <w:rPr>
          <w:szCs w:val="24"/>
        </w:rPr>
        <w:t>.</w:t>
      </w:r>
      <w:r w:rsidR="002D09A6">
        <w:rPr>
          <w:szCs w:val="24"/>
        </w:rPr>
        <w:t xml:space="preserve"> </w:t>
      </w:r>
      <w:r w:rsidR="00540D8D">
        <w:rPr>
          <w:szCs w:val="24"/>
        </w:rPr>
        <w:t xml:space="preserve"> The Court justified this by</w:t>
      </w:r>
      <w:r>
        <w:rPr>
          <w:szCs w:val="24"/>
        </w:rPr>
        <w:t xml:space="preserve"> arguing that the primary safeguards for state interests and prerogatives were political, not jurisprudential.  </w:t>
      </w:r>
      <w:r w:rsidR="00540D8D">
        <w:rPr>
          <w:szCs w:val="24"/>
        </w:rPr>
        <w:t xml:space="preserve">The states’ role in the composition of the national government and the selection of national officials would serve to protect </w:t>
      </w:r>
      <w:r w:rsidR="004E3FB8">
        <w:rPr>
          <w:szCs w:val="24"/>
        </w:rPr>
        <w:t>the</w:t>
      </w:r>
      <w:r w:rsidR="0077576F">
        <w:rPr>
          <w:szCs w:val="24"/>
        </w:rPr>
        <w:t>m</w:t>
      </w:r>
      <w:r w:rsidR="00540D8D">
        <w:rPr>
          <w:szCs w:val="24"/>
        </w:rPr>
        <w:t xml:space="preserve"> against federal overreaching. </w:t>
      </w:r>
      <w:r>
        <w:rPr>
          <w:szCs w:val="24"/>
        </w:rPr>
        <w:t>Over time a substantial scholarly literature developed describing</w:t>
      </w:r>
      <w:r w:rsidR="008A7C24">
        <w:rPr>
          <w:szCs w:val="24"/>
        </w:rPr>
        <w:t>—and celebrating--</w:t>
      </w:r>
      <w:r>
        <w:rPr>
          <w:szCs w:val="24"/>
        </w:rPr>
        <w:t>these political safeguards of federalism.</w:t>
      </w:r>
      <w:r w:rsidR="008A7C24">
        <w:rPr>
          <w:rStyle w:val="EndnoteReference"/>
          <w:szCs w:val="24"/>
        </w:rPr>
        <w:endnoteReference w:id="21"/>
      </w:r>
      <w:r>
        <w:rPr>
          <w:szCs w:val="24"/>
        </w:rPr>
        <w:t xml:space="preserve">  When the “federalism five” resurrected dual federalism, the dissenting justices </w:t>
      </w:r>
      <w:r w:rsidR="004E3FB8">
        <w:rPr>
          <w:szCs w:val="24"/>
        </w:rPr>
        <w:t xml:space="preserve">also </w:t>
      </w:r>
      <w:r w:rsidR="002D09A6">
        <w:rPr>
          <w:szCs w:val="24"/>
        </w:rPr>
        <w:t xml:space="preserve">responded by </w:t>
      </w:r>
      <w:r w:rsidR="00540D8D">
        <w:rPr>
          <w:szCs w:val="24"/>
        </w:rPr>
        <w:t xml:space="preserve">stressing this political </w:t>
      </w:r>
      <w:r>
        <w:rPr>
          <w:szCs w:val="24"/>
        </w:rPr>
        <w:t>safeguards rationale</w:t>
      </w:r>
      <w:r w:rsidR="00540D8D">
        <w:rPr>
          <w:szCs w:val="24"/>
        </w:rPr>
        <w:t>.</w:t>
      </w:r>
      <w:r w:rsidR="004E3FB8">
        <w:rPr>
          <w:szCs w:val="24"/>
        </w:rPr>
        <w:t xml:space="preserve"> This is evident </w:t>
      </w:r>
      <w:r w:rsidR="005B420D">
        <w:rPr>
          <w:szCs w:val="24"/>
        </w:rPr>
        <w:t xml:space="preserve">in </w:t>
      </w:r>
      <w:r w:rsidR="005B420D">
        <w:rPr>
          <w:i/>
          <w:szCs w:val="24"/>
        </w:rPr>
        <w:t xml:space="preserve">Garcia v. San Antonio Metropolitan Transit Authority </w:t>
      </w:r>
      <w:r w:rsidR="005B420D">
        <w:rPr>
          <w:szCs w:val="24"/>
        </w:rPr>
        <w:t xml:space="preserve">(1985), the case that overruled </w:t>
      </w:r>
      <w:r w:rsidR="005B420D">
        <w:rPr>
          <w:i/>
          <w:szCs w:val="24"/>
        </w:rPr>
        <w:t xml:space="preserve">National League of Cities v. </w:t>
      </w:r>
      <w:proofErr w:type="spellStart"/>
      <w:r w:rsidR="005B420D">
        <w:rPr>
          <w:i/>
          <w:szCs w:val="24"/>
        </w:rPr>
        <w:t>Usery</w:t>
      </w:r>
      <w:proofErr w:type="spellEnd"/>
      <w:r w:rsidR="004E3FB8">
        <w:rPr>
          <w:szCs w:val="24"/>
        </w:rPr>
        <w:t>, in which Justice Harry Blackmun claimed that “the Framers chose to rely on a federal system in which special restraints on federal power over the States inhered principally in the workings of the National Government itself, rather than in discrete limitations on the objects of federal authority.”</w:t>
      </w:r>
      <w:r w:rsidR="004E3FB8">
        <w:rPr>
          <w:i/>
          <w:szCs w:val="24"/>
        </w:rPr>
        <w:t xml:space="preserve"> </w:t>
      </w:r>
      <w:r w:rsidR="005B420D">
        <w:rPr>
          <w:rStyle w:val="EndnoteReference"/>
          <w:szCs w:val="24"/>
        </w:rPr>
        <w:endnoteReference w:id="22"/>
      </w:r>
      <w:r w:rsidR="001361F0">
        <w:rPr>
          <w:szCs w:val="24"/>
        </w:rPr>
        <w:t xml:space="preserve"> </w:t>
      </w:r>
    </w:p>
    <w:p w:rsidR="002D09A6" w:rsidRDefault="00540D8D" w:rsidP="004E58EE">
      <w:pPr>
        <w:rPr>
          <w:szCs w:val="24"/>
        </w:rPr>
      </w:pPr>
      <w:r>
        <w:rPr>
          <w:szCs w:val="24"/>
        </w:rPr>
        <w:tab/>
      </w:r>
      <w:r w:rsidR="00181CC9">
        <w:rPr>
          <w:szCs w:val="24"/>
        </w:rPr>
        <w:t>Critics of the political-safeguards approach noted</w:t>
      </w:r>
      <w:r w:rsidR="005E4926">
        <w:rPr>
          <w:szCs w:val="24"/>
        </w:rPr>
        <w:t xml:space="preserve"> </w:t>
      </w:r>
      <w:r w:rsidR="00181CC9">
        <w:rPr>
          <w:szCs w:val="24"/>
        </w:rPr>
        <w:t xml:space="preserve">that it relies on a process to safeguard federalism rather than undertaking a substantive inquiry into what ends the national government is authorized to pursue. </w:t>
      </w:r>
      <w:r w:rsidR="0077576F">
        <w:rPr>
          <w:szCs w:val="24"/>
        </w:rPr>
        <w:t xml:space="preserve">By foregoing that inquiry, it </w:t>
      </w:r>
      <w:r w:rsidR="00181CC9">
        <w:rPr>
          <w:szCs w:val="24"/>
        </w:rPr>
        <w:t>offers even greater potential scope to the national government than the neo-</w:t>
      </w:r>
      <w:proofErr w:type="spellStart"/>
      <w:r w:rsidR="00181CC9">
        <w:rPr>
          <w:szCs w:val="24"/>
        </w:rPr>
        <w:t>Marshallian</w:t>
      </w:r>
      <w:proofErr w:type="spellEnd"/>
      <w:r w:rsidR="00181CC9">
        <w:rPr>
          <w:szCs w:val="24"/>
        </w:rPr>
        <w:t xml:space="preserve"> approach does.</w:t>
      </w:r>
      <w:r w:rsidR="00181CC9">
        <w:rPr>
          <w:rStyle w:val="EndnoteReference"/>
          <w:szCs w:val="24"/>
        </w:rPr>
        <w:endnoteReference w:id="23"/>
      </w:r>
      <w:r w:rsidR="00181CC9">
        <w:rPr>
          <w:szCs w:val="24"/>
        </w:rPr>
        <w:t xml:space="preserve">  Critics also argue </w:t>
      </w:r>
      <w:r>
        <w:rPr>
          <w:szCs w:val="24"/>
        </w:rPr>
        <w:t xml:space="preserve">that the states’ role in the federal government has shrunk. Whereas states initially determined who was eligible to vote for the House of Representatives, constitutional amendments and the Voting Rights Act have nationalized voter qualifications. Even more important, whereas state legislatures initially elected senators, under the Seventeenth Amendment </w:t>
      </w:r>
      <w:r w:rsidR="003F37BD">
        <w:rPr>
          <w:szCs w:val="24"/>
        </w:rPr>
        <w:t>senators are now popularly elected and thus lack that close connection to state officials. Thus the obsolescence of the political safeguards of federalism requires more active judicial intervention to ensure the federal balance.  But some scholars respond that the states continue to play an important role in the design and implementation of federal programs, thus protecting against federal dominance or overreaching.</w:t>
      </w:r>
      <w:r w:rsidR="003F37BD">
        <w:rPr>
          <w:rStyle w:val="EndnoteReference"/>
          <w:szCs w:val="24"/>
        </w:rPr>
        <w:endnoteReference w:id="24"/>
      </w:r>
      <w:r w:rsidR="003F37BD">
        <w:rPr>
          <w:szCs w:val="24"/>
        </w:rPr>
        <w:t xml:space="preserve"> Beyond that, whatever the original federal balance, the people have by constitutional amendment</w:t>
      </w:r>
      <w:r w:rsidR="00C9209D">
        <w:rPr>
          <w:szCs w:val="24"/>
        </w:rPr>
        <w:t xml:space="preserve"> chosen to alter that balance, and </w:t>
      </w:r>
      <w:r w:rsidR="00255D48">
        <w:rPr>
          <w:szCs w:val="24"/>
        </w:rPr>
        <w:t xml:space="preserve">there is no justification for increased </w:t>
      </w:r>
      <w:r w:rsidR="00C9209D">
        <w:rPr>
          <w:szCs w:val="24"/>
        </w:rPr>
        <w:t>judicial intervention to undo that choice.</w:t>
      </w:r>
      <w:r w:rsidR="00C9209D">
        <w:rPr>
          <w:rStyle w:val="EndnoteReference"/>
          <w:szCs w:val="24"/>
        </w:rPr>
        <w:endnoteReference w:id="25"/>
      </w:r>
    </w:p>
    <w:p w:rsidR="00181CC9" w:rsidRDefault="00181CC9" w:rsidP="00181CC9">
      <w:pPr>
        <w:jc w:val="center"/>
        <w:rPr>
          <w:szCs w:val="24"/>
        </w:rPr>
      </w:pPr>
      <w:r>
        <w:rPr>
          <w:szCs w:val="24"/>
        </w:rPr>
        <w:lastRenderedPageBreak/>
        <w:t>Balanced Federalism</w:t>
      </w:r>
    </w:p>
    <w:p w:rsidR="00A85903" w:rsidRDefault="001A4EC6" w:rsidP="001A4EC6">
      <w:pPr>
        <w:ind w:firstLine="720"/>
        <w:rPr>
          <w:szCs w:val="24"/>
        </w:rPr>
      </w:pPr>
      <w:r>
        <w:rPr>
          <w:szCs w:val="24"/>
        </w:rPr>
        <w:t>S</w:t>
      </w:r>
      <w:r w:rsidR="00A85903">
        <w:rPr>
          <w:szCs w:val="24"/>
        </w:rPr>
        <w:t xml:space="preserve">ome scholars have </w:t>
      </w:r>
      <w:r w:rsidR="001B4A11">
        <w:rPr>
          <w:szCs w:val="24"/>
        </w:rPr>
        <w:t xml:space="preserve">questioned whether </w:t>
      </w:r>
      <w:r>
        <w:rPr>
          <w:szCs w:val="24"/>
        </w:rPr>
        <w:t xml:space="preserve">there </w:t>
      </w:r>
      <w:r w:rsidR="007B4968">
        <w:rPr>
          <w:szCs w:val="24"/>
        </w:rPr>
        <w:t>is</w:t>
      </w:r>
      <w:r>
        <w:rPr>
          <w:szCs w:val="24"/>
        </w:rPr>
        <w:t xml:space="preserve"> an “</w:t>
      </w:r>
      <w:r w:rsidR="00A85903">
        <w:rPr>
          <w:szCs w:val="24"/>
        </w:rPr>
        <w:t>original understanding</w:t>
      </w:r>
      <w:r>
        <w:rPr>
          <w:szCs w:val="24"/>
        </w:rPr>
        <w:t xml:space="preserve">” of federalism at </w:t>
      </w:r>
      <w:r w:rsidR="007B4968">
        <w:rPr>
          <w:szCs w:val="24"/>
        </w:rPr>
        <w:t xml:space="preserve">all. </w:t>
      </w:r>
      <w:r>
        <w:rPr>
          <w:szCs w:val="24"/>
        </w:rPr>
        <w:t xml:space="preserve">They </w:t>
      </w:r>
      <w:r w:rsidR="00A85903">
        <w:rPr>
          <w:szCs w:val="24"/>
        </w:rPr>
        <w:t xml:space="preserve">assert that given the novelty of the system being created, the Constitution did not mandate “any particular and timeless balance among its components” but rather “accepted certain types of change as natural and desirable.” </w:t>
      </w:r>
      <w:r w:rsidR="001B4A11">
        <w:rPr>
          <w:szCs w:val="24"/>
        </w:rPr>
        <w:t xml:space="preserve">Some </w:t>
      </w:r>
      <w:r>
        <w:rPr>
          <w:szCs w:val="24"/>
        </w:rPr>
        <w:t xml:space="preserve">Founders </w:t>
      </w:r>
      <w:r w:rsidR="001B4A11">
        <w:rPr>
          <w:szCs w:val="24"/>
        </w:rPr>
        <w:t>expressly</w:t>
      </w:r>
      <w:r>
        <w:rPr>
          <w:szCs w:val="24"/>
        </w:rPr>
        <w:t xml:space="preserve"> </w:t>
      </w:r>
      <w:r w:rsidR="00A85903">
        <w:rPr>
          <w:szCs w:val="24"/>
        </w:rPr>
        <w:t xml:space="preserve">recognized </w:t>
      </w:r>
      <w:r>
        <w:rPr>
          <w:szCs w:val="24"/>
        </w:rPr>
        <w:t>this</w:t>
      </w:r>
      <w:r w:rsidR="001B4A11">
        <w:rPr>
          <w:szCs w:val="24"/>
        </w:rPr>
        <w:t>—for example</w:t>
      </w:r>
      <w:r w:rsidR="00571D17">
        <w:rPr>
          <w:szCs w:val="24"/>
        </w:rPr>
        <w:t xml:space="preserve">, </w:t>
      </w:r>
      <w:r w:rsidR="00A85903">
        <w:rPr>
          <w:szCs w:val="24"/>
        </w:rPr>
        <w:t>Alexander Hamilton</w:t>
      </w:r>
      <w:r w:rsidR="001B4A11">
        <w:rPr>
          <w:szCs w:val="24"/>
        </w:rPr>
        <w:t xml:space="preserve"> </w:t>
      </w:r>
      <w:r w:rsidR="00A85903">
        <w:rPr>
          <w:szCs w:val="24"/>
        </w:rPr>
        <w:t xml:space="preserve">in </w:t>
      </w:r>
      <w:r w:rsidR="007B4968">
        <w:rPr>
          <w:szCs w:val="24"/>
        </w:rPr>
        <w:t xml:space="preserve">The </w:t>
      </w:r>
      <w:r w:rsidR="00A85903">
        <w:rPr>
          <w:szCs w:val="24"/>
        </w:rPr>
        <w:t>Federalis</w:t>
      </w:r>
      <w:r w:rsidR="007B4968">
        <w:rPr>
          <w:szCs w:val="24"/>
        </w:rPr>
        <w:t>t</w:t>
      </w:r>
      <w:r w:rsidR="00A85903">
        <w:rPr>
          <w:szCs w:val="24"/>
        </w:rPr>
        <w:t xml:space="preserve"> No. 82</w:t>
      </w:r>
      <w:r w:rsidR="00571D17">
        <w:rPr>
          <w:szCs w:val="24"/>
        </w:rPr>
        <w:t xml:space="preserve"> </w:t>
      </w:r>
      <w:r w:rsidR="001B4A11">
        <w:rPr>
          <w:szCs w:val="24"/>
        </w:rPr>
        <w:t xml:space="preserve">noted </w:t>
      </w:r>
      <w:r w:rsidR="00571D17">
        <w:rPr>
          <w:szCs w:val="24"/>
        </w:rPr>
        <w:t>that</w:t>
      </w:r>
      <w:r w:rsidR="00A85903">
        <w:rPr>
          <w:szCs w:val="24"/>
        </w:rPr>
        <w:t xml:space="preserve"> “‘tis time only that can mature and perfect so compound a system.” Thus the</w:t>
      </w:r>
      <w:r w:rsidR="001B4A11">
        <w:rPr>
          <w:szCs w:val="24"/>
        </w:rPr>
        <w:t>se scholars</w:t>
      </w:r>
      <w:r w:rsidR="0077576F">
        <w:rPr>
          <w:szCs w:val="24"/>
        </w:rPr>
        <w:t xml:space="preserve"> view the endemic</w:t>
      </w:r>
      <w:r>
        <w:rPr>
          <w:szCs w:val="24"/>
        </w:rPr>
        <w:t xml:space="preserve"> disagreements about constitutional federalism a</w:t>
      </w:r>
      <w:r w:rsidR="0077576F">
        <w:rPr>
          <w:szCs w:val="24"/>
        </w:rPr>
        <w:t xml:space="preserve">s </w:t>
      </w:r>
      <w:r w:rsidR="00A85903">
        <w:rPr>
          <w:szCs w:val="24"/>
        </w:rPr>
        <w:t xml:space="preserve">inherent in the Constitution itself, rather than the result of flawed interpretations, </w:t>
      </w:r>
      <w:r w:rsidR="0077576F">
        <w:rPr>
          <w:szCs w:val="24"/>
        </w:rPr>
        <w:t>noting that</w:t>
      </w:r>
      <w:r w:rsidR="00A85903">
        <w:rPr>
          <w:szCs w:val="24"/>
        </w:rPr>
        <w:t xml:space="preserve"> “that structure simply incorporated too many mutable and malleable parts divided by far too many murky and </w:t>
      </w:r>
      <w:proofErr w:type="spellStart"/>
      <w:r w:rsidR="00410D8E">
        <w:rPr>
          <w:szCs w:val="24"/>
        </w:rPr>
        <w:t>manipulable</w:t>
      </w:r>
      <w:proofErr w:type="spellEnd"/>
      <w:r w:rsidR="00A85903">
        <w:rPr>
          <w:szCs w:val="24"/>
        </w:rPr>
        <w:t xml:space="preserve"> lines either to define or to sustain any single and true balance.”</w:t>
      </w:r>
      <w:r w:rsidR="00410D8E">
        <w:rPr>
          <w:rStyle w:val="EndnoteReference"/>
          <w:szCs w:val="24"/>
        </w:rPr>
        <w:endnoteReference w:id="26"/>
      </w:r>
    </w:p>
    <w:p w:rsidR="001A4EC6" w:rsidRPr="00233626" w:rsidRDefault="00C671D0" w:rsidP="00C671D0">
      <w:pPr>
        <w:rPr>
          <w:rFonts w:cs="Times New Roman"/>
        </w:rPr>
      </w:pPr>
      <w:r>
        <w:rPr>
          <w:szCs w:val="24"/>
        </w:rPr>
        <w:tab/>
        <w:t>Erin Ryan offers an alternative vision of American constitutional federalism</w:t>
      </w:r>
      <w:r w:rsidR="0077576F">
        <w:rPr>
          <w:szCs w:val="24"/>
        </w:rPr>
        <w:t xml:space="preserve"> </w:t>
      </w:r>
      <w:r>
        <w:rPr>
          <w:szCs w:val="24"/>
        </w:rPr>
        <w:t xml:space="preserve">rooted in this constitutional indeterminacy in </w:t>
      </w:r>
      <w:r w:rsidR="001A4EC6" w:rsidRPr="00233626">
        <w:rPr>
          <w:rFonts w:cs="Times New Roman"/>
          <w:i/>
        </w:rPr>
        <w:t>Federalism and the Tug of War Within</w:t>
      </w:r>
      <w:r>
        <w:rPr>
          <w:rFonts w:cs="Times New Roman"/>
        </w:rPr>
        <w:t xml:space="preserve">. She rejects the Supreme Court’s resurrection of </w:t>
      </w:r>
      <w:r w:rsidR="001A4EC6" w:rsidRPr="00233626">
        <w:rPr>
          <w:rFonts w:cs="Times New Roman"/>
        </w:rPr>
        <w:t xml:space="preserve">dual federalism, </w:t>
      </w:r>
      <w:r w:rsidR="00FE5D4C">
        <w:rPr>
          <w:rFonts w:cs="Times New Roman"/>
        </w:rPr>
        <w:t xml:space="preserve">claiming that </w:t>
      </w:r>
      <w:r w:rsidR="007B4968">
        <w:rPr>
          <w:rFonts w:cs="Times New Roman"/>
        </w:rPr>
        <w:t xml:space="preserve">it </w:t>
      </w:r>
      <w:r>
        <w:rPr>
          <w:rFonts w:cs="Times New Roman"/>
        </w:rPr>
        <w:t>move</w:t>
      </w:r>
      <w:r w:rsidR="007B4968">
        <w:rPr>
          <w:rFonts w:cs="Times New Roman"/>
        </w:rPr>
        <w:t>s</w:t>
      </w:r>
      <w:r w:rsidR="001A4EC6" w:rsidRPr="00233626">
        <w:rPr>
          <w:rFonts w:cs="Times New Roman"/>
        </w:rPr>
        <w:t xml:space="preserve"> from the uncontested premise </w:t>
      </w:r>
      <w:r w:rsidR="00FE5D4C">
        <w:rPr>
          <w:rFonts w:cs="Times New Roman"/>
        </w:rPr>
        <w:t xml:space="preserve">that the state and federal </w:t>
      </w:r>
      <w:r w:rsidR="001A4EC6" w:rsidRPr="00233626">
        <w:rPr>
          <w:rFonts w:cs="Times New Roman"/>
        </w:rPr>
        <w:t>government</w:t>
      </w:r>
      <w:r w:rsidR="00FE5D4C">
        <w:rPr>
          <w:rFonts w:cs="Times New Roman"/>
        </w:rPr>
        <w:t xml:space="preserve">s </w:t>
      </w:r>
      <w:r w:rsidR="001A4EC6" w:rsidRPr="00233626">
        <w:rPr>
          <w:rFonts w:cs="Times New Roman"/>
        </w:rPr>
        <w:t xml:space="preserve">have separate sources of authority </w:t>
      </w:r>
      <w:r w:rsidR="00FE5D4C">
        <w:rPr>
          <w:rFonts w:cs="Times New Roman"/>
        </w:rPr>
        <w:t>to the unjustified conclusion that they</w:t>
      </w:r>
      <w:r w:rsidR="001A4EC6" w:rsidRPr="00233626">
        <w:rPr>
          <w:rFonts w:cs="Times New Roman"/>
        </w:rPr>
        <w:t xml:space="preserve"> exercise that authority in mutually exclusive jurisdictional spheres.  This view of American federalism is too simple, because the Constitution, in addition to delineating mutually exclusive spheres, also establishes a large “gray area” in which there is considerable overlap of authority. Furthermore, the Court’s emphasis on jurisdictional separation is inconsistent with the political practice that has developed under the Constitution, which entails a great deal of power sharing and state-federal bargaining. Thus although dual federalism may be internally consistent, it is externally inconsistent. </w:t>
      </w:r>
      <w:proofErr w:type="gramStart"/>
      <w:r w:rsidR="001A4EC6" w:rsidRPr="00233626">
        <w:rPr>
          <w:rFonts w:cs="Times New Roman"/>
        </w:rPr>
        <w:t>“</w:t>
      </w:r>
      <w:r w:rsidR="007B4968">
        <w:rPr>
          <w:rFonts w:cs="Times New Roman"/>
        </w:rPr>
        <w:t>T</w:t>
      </w:r>
      <w:r w:rsidR="001A4EC6" w:rsidRPr="00233626">
        <w:rPr>
          <w:rFonts w:cs="Times New Roman"/>
        </w:rPr>
        <w:t>he boundary between state and federal power is far more contingent and collaboratively determined than acknow</w:t>
      </w:r>
      <w:r>
        <w:rPr>
          <w:rFonts w:cs="Times New Roman"/>
        </w:rPr>
        <w:t>ledged” by dual federalists.</w:t>
      </w:r>
      <w:proofErr w:type="gramEnd"/>
      <w:r>
        <w:rPr>
          <w:rStyle w:val="EndnoteReference"/>
          <w:rFonts w:cs="Times New Roman"/>
        </w:rPr>
        <w:endnoteReference w:id="27"/>
      </w:r>
    </w:p>
    <w:p w:rsidR="001A4EC6" w:rsidRDefault="001A4EC6" w:rsidP="001A4EC6">
      <w:pPr>
        <w:spacing w:after="0"/>
        <w:ind w:firstLine="720"/>
        <w:rPr>
          <w:rFonts w:cs="Times New Roman"/>
        </w:rPr>
      </w:pPr>
      <w:r w:rsidRPr="00233626">
        <w:rPr>
          <w:rFonts w:cs="Times New Roman"/>
        </w:rPr>
        <w:t xml:space="preserve">Yet if Ryan rejects judicial enforcement of dual federalism, she also questions </w:t>
      </w:r>
      <w:r w:rsidR="0077576F">
        <w:rPr>
          <w:rFonts w:cs="Times New Roman"/>
        </w:rPr>
        <w:t>the</w:t>
      </w:r>
      <w:r w:rsidRPr="00233626">
        <w:rPr>
          <w:rFonts w:cs="Times New Roman"/>
        </w:rPr>
        <w:t xml:space="preserve"> judicial abdication </w:t>
      </w:r>
      <w:r w:rsidR="0077576F">
        <w:rPr>
          <w:rFonts w:cs="Times New Roman"/>
        </w:rPr>
        <w:t>of political-safeguards federalism</w:t>
      </w:r>
      <w:r w:rsidR="007B4968">
        <w:rPr>
          <w:rFonts w:cs="Times New Roman"/>
        </w:rPr>
        <w:t xml:space="preserve">. </w:t>
      </w:r>
      <w:r w:rsidR="0077576F">
        <w:rPr>
          <w:rFonts w:cs="Times New Roman"/>
        </w:rPr>
        <w:t xml:space="preserve"> </w:t>
      </w:r>
      <w:r w:rsidRPr="00233626">
        <w:rPr>
          <w:rFonts w:cs="Times New Roman"/>
        </w:rPr>
        <w:t xml:space="preserve">State-federal collaboration </w:t>
      </w:r>
      <w:r w:rsidR="0077576F">
        <w:rPr>
          <w:rFonts w:cs="Times New Roman"/>
        </w:rPr>
        <w:t>may</w:t>
      </w:r>
      <w:r w:rsidRPr="00233626">
        <w:rPr>
          <w:rFonts w:cs="Times New Roman"/>
        </w:rPr>
        <w:t xml:space="preserve"> promote good government, but cooperative federalism offers a description of what is, not of what should be. Relying exclusively on the political safeguards of federalism makes sense only if one cherishes the unrealistic hope that “if federalism really matter[s], Congress will see that it is taken care of.”</w:t>
      </w:r>
      <w:r w:rsidR="00DC2DB5">
        <w:rPr>
          <w:rStyle w:val="EndnoteReference"/>
          <w:rFonts w:cs="Times New Roman"/>
        </w:rPr>
        <w:endnoteReference w:id="28"/>
      </w:r>
      <w:r w:rsidRPr="00233626">
        <w:rPr>
          <w:rFonts w:cs="Times New Roman"/>
        </w:rPr>
        <w:t xml:space="preserve">  Judges must therefore enforce the boundaries of state and federal jurisdiction when they are clear. </w:t>
      </w:r>
      <w:r w:rsidR="00FE5D4C">
        <w:rPr>
          <w:rFonts w:cs="Times New Roman"/>
        </w:rPr>
        <w:t xml:space="preserve">Yet </w:t>
      </w:r>
      <w:r w:rsidRPr="00233626">
        <w:rPr>
          <w:rFonts w:cs="Times New Roman"/>
        </w:rPr>
        <w:t xml:space="preserve">much of what government does falls into the large gray area of overlapping </w:t>
      </w:r>
      <w:proofErr w:type="spellStart"/>
      <w:r w:rsidRPr="00233626">
        <w:rPr>
          <w:rFonts w:cs="Times New Roman"/>
        </w:rPr>
        <w:t>interjusdictional</w:t>
      </w:r>
      <w:proofErr w:type="spellEnd"/>
      <w:r w:rsidRPr="00233626">
        <w:rPr>
          <w:rFonts w:cs="Times New Roman"/>
        </w:rPr>
        <w:t xml:space="preserve"> concerns.  This overlap may occur because a particular policy issue implicates the powers of both the state and federal governments.  </w:t>
      </w:r>
      <w:r w:rsidR="00DC2DB5">
        <w:rPr>
          <w:rFonts w:cs="Times New Roman"/>
        </w:rPr>
        <w:t xml:space="preserve">For example, </w:t>
      </w:r>
      <w:r w:rsidRPr="00233626">
        <w:rPr>
          <w:rFonts w:cs="Times New Roman"/>
        </w:rPr>
        <w:t xml:space="preserve">local regulation of land use may lead to environmental problems that inextricably connect it to the protection of navigable waterways, which is a federal concern, given the waterways’ connection to interstate commerce. </w:t>
      </w:r>
      <w:r w:rsidR="009B5805">
        <w:rPr>
          <w:rFonts w:cs="Times New Roman"/>
        </w:rPr>
        <w:t xml:space="preserve">The </w:t>
      </w:r>
      <w:r w:rsidRPr="00233626">
        <w:rPr>
          <w:rFonts w:cs="Times New Roman"/>
        </w:rPr>
        <w:t>overlap may also occur because the Constitution does not make clear which government is the appropriate regulator</w:t>
      </w:r>
      <w:r w:rsidR="009B5805">
        <w:rPr>
          <w:rFonts w:cs="Times New Roman"/>
        </w:rPr>
        <w:t xml:space="preserve">. </w:t>
      </w:r>
      <w:r w:rsidRPr="00233626">
        <w:rPr>
          <w:rFonts w:cs="Times New Roman"/>
        </w:rPr>
        <w:t>Jurisdictional overlap occurs as well as a result of the increasingly national impacts of local phenomena</w:t>
      </w:r>
      <w:r w:rsidR="00723989">
        <w:rPr>
          <w:rFonts w:cs="Times New Roman"/>
        </w:rPr>
        <w:t>, ranging from</w:t>
      </w:r>
      <w:r w:rsidRPr="00233626">
        <w:rPr>
          <w:rFonts w:cs="Times New Roman"/>
        </w:rPr>
        <w:t xml:space="preserve"> greenhouse gas emissions </w:t>
      </w:r>
      <w:r w:rsidR="00723989">
        <w:rPr>
          <w:rFonts w:cs="Times New Roman"/>
        </w:rPr>
        <w:t>to</w:t>
      </w:r>
      <w:r w:rsidRPr="00233626">
        <w:rPr>
          <w:rFonts w:cs="Times New Roman"/>
        </w:rPr>
        <w:t xml:space="preserve"> childhood obesity. And even in areas where the Constitution may seem to offer direction, the fede</w:t>
      </w:r>
      <w:r w:rsidR="00DC2DB5">
        <w:rPr>
          <w:rFonts w:cs="Times New Roman"/>
        </w:rPr>
        <w:t xml:space="preserve">ral government may profit from </w:t>
      </w:r>
      <w:r w:rsidRPr="00233626">
        <w:rPr>
          <w:rFonts w:cs="Times New Roman"/>
        </w:rPr>
        <w:t xml:space="preserve">local expertise and </w:t>
      </w:r>
      <w:r w:rsidR="00DC2DB5">
        <w:rPr>
          <w:rFonts w:cs="Times New Roman"/>
        </w:rPr>
        <w:t>enforcement capability</w:t>
      </w:r>
      <w:r w:rsidRPr="00233626">
        <w:rPr>
          <w:rFonts w:cs="Times New Roman"/>
        </w:rPr>
        <w:t xml:space="preserve"> or the states from national coordination where state political incentives could encourage regulatory abdication</w:t>
      </w:r>
      <w:r w:rsidR="00723989">
        <w:rPr>
          <w:rFonts w:cs="Times New Roman"/>
        </w:rPr>
        <w:t xml:space="preserve">. </w:t>
      </w:r>
      <w:r w:rsidR="00510A46" w:rsidRPr="00233626">
        <w:rPr>
          <w:rFonts w:cs="Times New Roman"/>
        </w:rPr>
        <w:t>“Although federal preemption of local participation in preventing and responding to an act of terrorism is theoretically permissible, it would be both counterproductive and absurdly inefficient.”</w:t>
      </w:r>
      <w:r w:rsidR="00510A46">
        <w:rPr>
          <w:rStyle w:val="EndnoteReference"/>
          <w:rFonts w:cs="Times New Roman"/>
        </w:rPr>
        <w:endnoteReference w:id="29"/>
      </w:r>
      <w:r w:rsidR="00510A46">
        <w:rPr>
          <w:rFonts w:cs="Times New Roman"/>
        </w:rPr>
        <w:t xml:space="preserve">  Similarly, </w:t>
      </w:r>
      <w:r w:rsidR="00510A46">
        <w:rPr>
          <w:rFonts w:cs="Times New Roman"/>
        </w:rPr>
        <w:lastRenderedPageBreak/>
        <w:t>fe</w:t>
      </w:r>
      <w:r w:rsidR="00510A46" w:rsidRPr="00233626">
        <w:rPr>
          <w:rFonts w:cs="Times New Roman"/>
        </w:rPr>
        <w:t>deral efforts to prevent wetlands loss and state efforts t</w:t>
      </w:r>
      <w:r w:rsidR="00510A46">
        <w:rPr>
          <w:rFonts w:cs="Times New Roman"/>
        </w:rPr>
        <w:t>o deal with vehicular pollution illustrate the advantages of cooperation, while the aftermath of Hurricane Katrina reveals the tragic consequences of a lack of cooperation.</w:t>
      </w:r>
    </w:p>
    <w:p w:rsidR="00DC2DB5" w:rsidRPr="00233626" w:rsidRDefault="00DC2DB5" w:rsidP="001A4EC6">
      <w:pPr>
        <w:spacing w:after="0"/>
        <w:ind w:firstLine="720"/>
        <w:rPr>
          <w:rFonts w:cs="Times New Roman"/>
        </w:rPr>
      </w:pPr>
    </w:p>
    <w:p w:rsidR="00B904E6" w:rsidRPr="00233626" w:rsidRDefault="007B4968" w:rsidP="00B904E6">
      <w:pPr>
        <w:spacing w:after="0"/>
        <w:ind w:firstLine="720"/>
        <w:rPr>
          <w:rFonts w:cs="Times New Roman"/>
        </w:rPr>
      </w:pPr>
      <w:r>
        <w:rPr>
          <w:rFonts w:cs="Times New Roman"/>
        </w:rPr>
        <w:t>As an</w:t>
      </w:r>
      <w:r w:rsidRPr="00233626">
        <w:rPr>
          <w:rFonts w:cs="Times New Roman"/>
        </w:rPr>
        <w:t xml:space="preserve"> alternative to dual federalism and </w:t>
      </w:r>
      <w:r>
        <w:rPr>
          <w:rFonts w:cs="Times New Roman"/>
        </w:rPr>
        <w:t xml:space="preserve">political-safeguards </w:t>
      </w:r>
      <w:r w:rsidRPr="00233626">
        <w:rPr>
          <w:rFonts w:cs="Times New Roman"/>
        </w:rPr>
        <w:t>federalism</w:t>
      </w:r>
      <w:r>
        <w:rPr>
          <w:rFonts w:cs="Times New Roman"/>
        </w:rPr>
        <w:t>,</w:t>
      </w:r>
      <w:r w:rsidRPr="00233626">
        <w:rPr>
          <w:rFonts w:cs="Times New Roman"/>
        </w:rPr>
        <w:t xml:space="preserve"> </w:t>
      </w:r>
      <w:r w:rsidR="001A4EC6" w:rsidRPr="00233626">
        <w:rPr>
          <w:rFonts w:cs="Times New Roman"/>
        </w:rPr>
        <w:t>Ryan</w:t>
      </w:r>
      <w:r w:rsidR="00B904E6">
        <w:rPr>
          <w:rFonts w:cs="Times New Roman"/>
        </w:rPr>
        <w:t xml:space="preserve"> proposes </w:t>
      </w:r>
      <w:r>
        <w:rPr>
          <w:rFonts w:cs="Times New Roman"/>
        </w:rPr>
        <w:t>a “ba</w:t>
      </w:r>
      <w:r w:rsidR="00B904E6">
        <w:rPr>
          <w:rFonts w:cs="Times New Roman"/>
        </w:rPr>
        <w:t xml:space="preserve">lanced </w:t>
      </w:r>
      <w:r>
        <w:rPr>
          <w:rFonts w:cs="Times New Roman"/>
        </w:rPr>
        <w:t>f</w:t>
      </w:r>
      <w:r w:rsidR="00B904E6">
        <w:rPr>
          <w:rFonts w:cs="Times New Roman"/>
        </w:rPr>
        <w:t>ederalism”</w:t>
      </w:r>
      <w:r w:rsidR="003F5339">
        <w:rPr>
          <w:rFonts w:cs="Times New Roman"/>
        </w:rPr>
        <w:t xml:space="preserve"> </w:t>
      </w:r>
      <w:r w:rsidR="003F5339" w:rsidRPr="00233626">
        <w:rPr>
          <w:rFonts w:cs="Times New Roman"/>
        </w:rPr>
        <w:t>framed in terms of the purposes federalism is meant to serve</w:t>
      </w:r>
      <w:r w:rsidR="001A4EC6" w:rsidRPr="00233626">
        <w:rPr>
          <w:rFonts w:cs="Times New Roman"/>
        </w:rPr>
        <w:t xml:space="preserve">. </w:t>
      </w:r>
      <w:r>
        <w:rPr>
          <w:rFonts w:cs="Times New Roman"/>
        </w:rPr>
        <w:t>T</w:t>
      </w:r>
      <w:r w:rsidR="00D057F6">
        <w:rPr>
          <w:rFonts w:cs="Times New Roman"/>
        </w:rPr>
        <w:t>hese purposes include</w:t>
      </w:r>
      <w:r w:rsidR="001A4EC6" w:rsidRPr="00233626">
        <w:rPr>
          <w:rFonts w:cs="Times New Roman"/>
        </w:rPr>
        <w:t xml:space="preserve"> a multiplicity of values that are only partially consistent</w:t>
      </w:r>
      <w:r w:rsidR="00D057F6">
        <w:rPr>
          <w:rFonts w:cs="Times New Roman"/>
        </w:rPr>
        <w:t xml:space="preserve">: </w:t>
      </w:r>
      <w:r w:rsidR="001A4EC6" w:rsidRPr="00233626">
        <w:rPr>
          <w:rFonts w:cs="Times New Roman"/>
        </w:rPr>
        <w:t xml:space="preserve">(1) maintenance of the checks and balances that protect individuals against tyranny, (2) promotion of accountable and participatory government, (3) various benefits associated with local autonomy, including diversity, innovation, and </w:t>
      </w:r>
      <w:proofErr w:type="spellStart"/>
      <w:r w:rsidR="001A4EC6" w:rsidRPr="00233626">
        <w:rPr>
          <w:rFonts w:cs="Times New Roman"/>
        </w:rPr>
        <w:t>interjurisdictional</w:t>
      </w:r>
      <w:proofErr w:type="spellEnd"/>
      <w:r w:rsidR="001A4EC6" w:rsidRPr="00233626">
        <w:rPr>
          <w:rFonts w:cs="Times New Roman"/>
        </w:rPr>
        <w:t xml:space="preserve"> competition, and (4) pragmatic problem-solving, including the “exchange of unique regulatory capacity to cope with </w:t>
      </w:r>
      <w:proofErr w:type="spellStart"/>
      <w:r w:rsidR="001A4EC6" w:rsidRPr="00233626">
        <w:rPr>
          <w:rFonts w:cs="Times New Roman"/>
        </w:rPr>
        <w:t>interjurisdictional</w:t>
      </w:r>
      <w:proofErr w:type="spellEnd"/>
      <w:r w:rsidR="001A4EC6" w:rsidRPr="00233626">
        <w:rPr>
          <w:rFonts w:cs="Times New Roman"/>
        </w:rPr>
        <w:t xml:space="preserve"> problems.”  For a constitutio</w:t>
      </w:r>
      <w:r>
        <w:rPr>
          <w:rFonts w:cs="Times New Roman"/>
        </w:rPr>
        <w:t>nal interpreter relying on “b</w:t>
      </w:r>
      <w:r w:rsidR="001A4EC6" w:rsidRPr="00233626">
        <w:rPr>
          <w:rFonts w:cs="Times New Roman"/>
        </w:rPr>
        <w:t xml:space="preserve">alanced </w:t>
      </w:r>
      <w:r>
        <w:rPr>
          <w:rFonts w:cs="Times New Roman"/>
        </w:rPr>
        <w:t xml:space="preserve">federalism,” then, the challenge </w:t>
      </w:r>
      <w:r w:rsidR="001A4EC6" w:rsidRPr="00233626">
        <w:rPr>
          <w:rFonts w:cs="Times New Roman"/>
        </w:rPr>
        <w:t xml:space="preserve">in each instance is to strike the “best balance of protection afforded these underlying </w:t>
      </w:r>
      <w:r w:rsidR="00DC2DB5">
        <w:rPr>
          <w:rFonts w:cs="Times New Roman"/>
        </w:rPr>
        <w:t>values when tensions arise.”</w:t>
      </w:r>
      <w:r w:rsidR="00DC2DB5">
        <w:rPr>
          <w:rStyle w:val="EndnoteReference"/>
          <w:rFonts w:cs="Times New Roman"/>
        </w:rPr>
        <w:endnoteReference w:id="30"/>
      </w:r>
      <w:r w:rsidR="00DC2DB5">
        <w:rPr>
          <w:rFonts w:cs="Times New Roman"/>
        </w:rPr>
        <w:t xml:space="preserve"> </w:t>
      </w:r>
      <w:r w:rsidR="00D472B0">
        <w:rPr>
          <w:rFonts w:cs="Times New Roman"/>
        </w:rPr>
        <w:t xml:space="preserve"> The </w:t>
      </w:r>
      <w:r w:rsidR="00C23D45">
        <w:rPr>
          <w:rFonts w:cs="Times New Roman"/>
        </w:rPr>
        <w:t xml:space="preserve">Rehnquist and Roberts Courts </w:t>
      </w:r>
      <w:r w:rsidR="00D057F6">
        <w:rPr>
          <w:rFonts w:cs="Times New Roman"/>
        </w:rPr>
        <w:t xml:space="preserve">have done a poor job striking the balance because </w:t>
      </w:r>
      <w:r w:rsidR="008366CA">
        <w:rPr>
          <w:rFonts w:cs="Times New Roman"/>
        </w:rPr>
        <w:t>they have delineate</w:t>
      </w:r>
      <w:r w:rsidR="00662091">
        <w:rPr>
          <w:rFonts w:cs="Times New Roman"/>
        </w:rPr>
        <w:t>d</w:t>
      </w:r>
      <w:r w:rsidR="008366CA">
        <w:rPr>
          <w:rFonts w:cs="Times New Roman"/>
        </w:rPr>
        <w:t xml:space="preserve"> </w:t>
      </w:r>
      <w:r w:rsidR="008366CA">
        <w:t xml:space="preserve">mutually exclusive federal and state spheres, whereas prevailing political practice has recognized </w:t>
      </w:r>
      <w:r w:rsidR="00662091">
        <w:t>th</w:t>
      </w:r>
      <w:r w:rsidR="008366CA">
        <w:t xml:space="preserve">e </w:t>
      </w:r>
      <w:r w:rsidR="00723989">
        <w:t>ubiquity</w:t>
      </w:r>
      <w:r w:rsidR="008366CA">
        <w:t xml:space="preserve"> of cross-jurisdictional regulatory problems and </w:t>
      </w:r>
      <w:r w:rsidR="00D057F6">
        <w:t xml:space="preserve">the </w:t>
      </w:r>
      <w:r w:rsidR="008366CA">
        <w:t>need for intergovernmental efforts to deal with them</w:t>
      </w:r>
      <w:r w:rsidR="00662091">
        <w:t xml:space="preserve">, </w:t>
      </w:r>
      <w:r w:rsidR="00B904E6">
        <w:rPr>
          <w:rFonts w:cs="Times New Roman"/>
        </w:rPr>
        <w:t>More specifically,</w:t>
      </w:r>
      <w:r w:rsidR="00723989">
        <w:rPr>
          <w:rFonts w:cs="Times New Roman"/>
        </w:rPr>
        <w:t xml:space="preserve"> Ryan</w:t>
      </w:r>
      <w:r w:rsidR="00B904E6">
        <w:rPr>
          <w:rFonts w:cs="Times New Roman"/>
        </w:rPr>
        <w:t xml:space="preserve"> suggests that while</w:t>
      </w:r>
      <w:r w:rsidR="00B904E6" w:rsidRPr="00233626">
        <w:rPr>
          <w:rFonts w:cs="Times New Roman"/>
        </w:rPr>
        <w:t xml:space="preserve"> dual federalism prevents tyranny by emphasizing </w:t>
      </w:r>
      <w:r w:rsidR="00B904E6">
        <w:rPr>
          <w:rFonts w:cs="Times New Roman"/>
        </w:rPr>
        <w:t xml:space="preserve">the </w:t>
      </w:r>
      <w:r w:rsidR="00B904E6" w:rsidRPr="00233626">
        <w:rPr>
          <w:rFonts w:cs="Times New Roman"/>
        </w:rPr>
        <w:t xml:space="preserve">checks and balances of jurisdictional separation, </w:t>
      </w:r>
      <w:r w:rsidR="00B904E6">
        <w:rPr>
          <w:rFonts w:cs="Times New Roman"/>
        </w:rPr>
        <w:t xml:space="preserve">it </w:t>
      </w:r>
      <w:r w:rsidR="00B904E6" w:rsidRPr="00233626">
        <w:rPr>
          <w:rFonts w:cs="Times New Roman"/>
        </w:rPr>
        <w:t xml:space="preserve">compromises the problem-solving value by inhibiting </w:t>
      </w:r>
      <w:r w:rsidR="00723989">
        <w:rPr>
          <w:rFonts w:cs="Times New Roman"/>
        </w:rPr>
        <w:t>intergovernmental collaboration</w:t>
      </w:r>
      <w:r w:rsidR="00B904E6" w:rsidRPr="00233626">
        <w:rPr>
          <w:rFonts w:cs="Times New Roman"/>
        </w:rPr>
        <w:t xml:space="preserve"> even when needed. </w:t>
      </w:r>
      <w:r w:rsidR="00B904E6">
        <w:rPr>
          <w:rFonts w:cs="Times New Roman"/>
        </w:rPr>
        <w:t xml:space="preserve">And while it </w:t>
      </w:r>
      <w:r w:rsidR="00B904E6" w:rsidRPr="00233626">
        <w:rPr>
          <w:rFonts w:cs="Times New Roman"/>
        </w:rPr>
        <w:t>may reduce voter confusion in service of the accountability value</w:t>
      </w:r>
      <w:r w:rsidR="00B904E6">
        <w:rPr>
          <w:rFonts w:cs="Times New Roman"/>
        </w:rPr>
        <w:t>, it</w:t>
      </w:r>
      <w:r w:rsidR="00B904E6" w:rsidRPr="00233626">
        <w:rPr>
          <w:rFonts w:cs="Times New Roman"/>
        </w:rPr>
        <w:t xml:space="preserve"> serves localism values only superficially</w:t>
      </w:r>
      <w:r w:rsidR="00122B44">
        <w:rPr>
          <w:rFonts w:cs="Times New Roman"/>
        </w:rPr>
        <w:t>. In contrast, c</w:t>
      </w:r>
      <w:r w:rsidR="00B904E6" w:rsidRPr="00233626">
        <w:rPr>
          <w:rFonts w:cs="Times New Roman"/>
        </w:rPr>
        <w:t>ooperative federalism</w:t>
      </w:r>
      <w:r w:rsidR="00122B44">
        <w:rPr>
          <w:rFonts w:cs="Times New Roman"/>
        </w:rPr>
        <w:t xml:space="preserve">, which develops </w:t>
      </w:r>
      <w:r w:rsidR="00122B44">
        <w:t xml:space="preserve">“either </w:t>
      </w:r>
      <w:r w:rsidR="00122B44" w:rsidRPr="00233626">
        <w:rPr>
          <w:rFonts w:cs="Times New Roman"/>
        </w:rPr>
        <w:t>because neither side has all the legal authority it needs to effectively solve the problem, or because compelling circumstances make a partne</w:t>
      </w:r>
      <w:r w:rsidR="00122B44">
        <w:rPr>
          <w:rFonts w:cs="Times New Roman"/>
        </w:rPr>
        <w:t xml:space="preserve">rship approach necessary,” </w:t>
      </w:r>
      <w:r w:rsidR="00122B44" w:rsidRPr="00233626">
        <w:rPr>
          <w:rFonts w:cs="Times New Roman"/>
        </w:rPr>
        <w:t>forestall</w:t>
      </w:r>
      <w:r w:rsidR="00122B44">
        <w:rPr>
          <w:rFonts w:cs="Times New Roman"/>
        </w:rPr>
        <w:t>s</w:t>
      </w:r>
      <w:r w:rsidR="00122B44" w:rsidRPr="00233626">
        <w:rPr>
          <w:rFonts w:cs="Times New Roman"/>
        </w:rPr>
        <w:t xml:space="preserve"> tyranny through the checks and bal</w:t>
      </w:r>
      <w:r w:rsidR="00122B44">
        <w:rPr>
          <w:rFonts w:cs="Times New Roman"/>
        </w:rPr>
        <w:t>ances of jurisdictional overlap and serves the problem-solving value</w:t>
      </w:r>
      <w:r w:rsidR="00723989">
        <w:rPr>
          <w:rFonts w:cs="Times New Roman"/>
        </w:rPr>
        <w:t xml:space="preserve">, even if it </w:t>
      </w:r>
      <w:r w:rsidR="00122B44">
        <w:rPr>
          <w:rFonts w:cs="Times New Roman"/>
        </w:rPr>
        <w:t xml:space="preserve">less effective in enforcing </w:t>
      </w:r>
      <w:r w:rsidR="00122B44" w:rsidRPr="00233626">
        <w:rPr>
          <w:rFonts w:cs="Times New Roman"/>
        </w:rPr>
        <w:t>accountability</w:t>
      </w:r>
      <w:r w:rsidR="00122B44">
        <w:rPr>
          <w:rFonts w:cs="Times New Roman"/>
        </w:rPr>
        <w:t>.</w:t>
      </w:r>
      <w:r w:rsidR="00122B44">
        <w:rPr>
          <w:rStyle w:val="EndnoteReference"/>
          <w:rFonts w:cs="Times New Roman"/>
        </w:rPr>
        <w:endnoteReference w:id="31"/>
      </w:r>
      <w:r w:rsidR="00122B44">
        <w:rPr>
          <w:rFonts w:cs="Times New Roman"/>
        </w:rPr>
        <w:t xml:space="preserve">  </w:t>
      </w:r>
      <w:r w:rsidR="00B904E6" w:rsidRPr="00233626">
        <w:rPr>
          <w:rFonts w:cs="Times New Roman"/>
        </w:rPr>
        <w:t xml:space="preserve"> </w:t>
      </w:r>
    </w:p>
    <w:p w:rsidR="009B4909" w:rsidRDefault="009B4909" w:rsidP="0043403E">
      <w:pPr>
        <w:spacing w:after="0"/>
        <w:rPr>
          <w:rFonts w:cs="Times New Roman"/>
        </w:rPr>
      </w:pPr>
    </w:p>
    <w:p w:rsidR="0043403E" w:rsidRPr="00233626" w:rsidRDefault="00723989" w:rsidP="009B4909">
      <w:pPr>
        <w:spacing w:after="0"/>
        <w:ind w:firstLine="720"/>
      </w:pPr>
      <w:r>
        <w:rPr>
          <w:rFonts w:cs="Times New Roman"/>
        </w:rPr>
        <w:t xml:space="preserve">Yet </w:t>
      </w:r>
      <w:r w:rsidR="00510A46">
        <w:rPr>
          <w:rFonts w:cs="Times New Roman"/>
        </w:rPr>
        <w:t xml:space="preserve">Ryan cautions that it would be a mistake to place too great </w:t>
      </w:r>
      <w:r>
        <w:rPr>
          <w:rFonts w:cs="Times New Roman"/>
        </w:rPr>
        <w:t xml:space="preserve">a </w:t>
      </w:r>
      <w:r w:rsidR="00510A46">
        <w:rPr>
          <w:rFonts w:cs="Times New Roman"/>
        </w:rPr>
        <w:t>reliance</w:t>
      </w:r>
      <w:r>
        <w:rPr>
          <w:rFonts w:cs="Times New Roman"/>
        </w:rPr>
        <w:t xml:space="preserve"> on the Supreme Court</w:t>
      </w:r>
      <w:r w:rsidR="003F5339">
        <w:rPr>
          <w:rFonts w:cs="Times New Roman"/>
        </w:rPr>
        <w:t xml:space="preserve">. Balanced federalism requires </w:t>
      </w:r>
      <w:proofErr w:type="gramStart"/>
      <w:r w:rsidR="003F5339">
        <w:rPr>
          <w:rFonts w:cs="Times New Roman"/>
        </w:rPr>
        <w:t>a sensitivity</w:t>
      </w:r>
      <w:proofErr w:type="gramEnd"/>
      <w:r w:rsidR="003F5339">
        <w:rPr>
          <w:rFonts w:cs="Times New Roman"/>
        </w:rPr>
        <w:t xml:space="preserve"> to context and the dynamics of established working relationships, and often the </w:t>
      </w:r>
      <w:r w:rsidR="00C23D45" w:rsidRPr="00233626">
        <w:rPr>
          <w:rFonts w:cs="Times New Roman"/>
        </w:rPr>
        <w:t xml:space="preserve">other branches of government at both the state and federal levels </w:t>
      </w:r>
      <w:r w:rsidR="003F5339">
        <w:rPr>
          <w:rFonts w:cs="Times New Roman"/>
        </w:rPr>
        <w:t xml:space="preserve">are better at striking the appropriate balance. </w:t>
      </w:r>
      <w:r w:rsidR="00C23D45" w:rsidRPr="00233626">
        <w:rPr>
          <w:rFonts w:cs="Times New Roman"/>
        </w:rPr>
        <w:t xml:space="preserve">In particular, she </w:t>
      </w:r>
      <w:r w:rsidR="003F5339">
        <w:rPr>
          <w:rFonts w:cs="Times New Roman"/>
        </w:rPr>
        <w:t>describes</w:t>
      </w:r>
      <w:r w:rsidR="00C23D45" w:rsidRPr="00233626">
        <w:rPr>
          <w:rFonts w:cs="Times New Roman"/>
        </w:rPr>
        <w:t xml:space="preserve"> how the balances struck through bargaining between state and federal executive-branch officials ensure the protection of federalism values without sacrificing the advantages of policy collaboration</w:t>
      </w:r>
      <w:r w:rsidR="003F5339">
        <w:rPr>
          <w:rFonts w:cs="Times New Roman"/>
        </w:rPr>
        <w:t xml:space="preserve">. </w:t>
      </w:r>
      <w:r w:rsidR="0043403E">
        <w:rPr>
          <w:rFonts w:cs="Times New Roman"/>
        </w:rPr>
        <w:t xml:space="preserve">“Fair bargaining” serves the ends of federalism, and thus the outcomes </w:t>
      </w:r>
      <w:r w:rsidR="003F5339">
        <w:rPr>
          <w:rFonts w:cs="Times New Roman"/>
        </w:rPr>
        <w:t>of “negotiated federalism</w:t>
      </w:r>
      <w:r w:rsidR="00C23D45" w:rsidRPr="00233626">
        <w:rPr>
          <w:rFonts w:cs="Times New Roman"/>
        </w:rPr>
        <w:t>” are entitled to considerable judicial deference.</w:t>
      </w:r>
      <w:r w:rsidR="003F5339">
        <w:rPr>
          <w:rFonts w:cs="Times New Roman"/>
        </w:rPr>
        <w:t xml:space="preserve"> </w:t>
      </w:r>
      <w:r w:rsidR="0043403E">
        <w:rPr>
          <w:rFonts w:cs="Times New Roman"/>
        </w:rPr>
        <w:t xml:space="preserve"> The collaboration that results, Ryan concludes, </w:t>
      </w:r>
      <w:r w:rsidR="0043403E" w:rsidRPr="00233626">
        <w:t>“recognize</w:t>
      </w:r>
      <w:r w:rsidR="0043403E">
        <w:t>[s]</w:t>
      </w:r>
      <w:r w:rsidR="0043403E" w:rsidRPr="00233626">
        <w:t xml:space="preserve"> the existence of the </w:t>
      </w:r>
      <w:proofErr w:type="gramStart"/>
      <w:r w:rsidR="0043403E" w:rsidRPr="00233626">
        <w:t>states  not</w:t>
      </w:r>
      <w:proofErr w:type="gramEnd"/>
      <w:r w:rsidR="0043403E" w:rsidRPr="00233626">
        <w:t xml:space="preserve"> simply as geographical entities but also as significant centers of </w:t>
      </w:r>
      <w:r w:rsidR="0043403E">
        <w:t>the regulation of human affairs,</w:t>
      </w:r>
      <w:r w:rsidR="0043403E" w:rsidRPr="00233626">
        <w:t>”</w:t>
      </w:r>
      <w:r w:rsidR="0043403E">
        <w:t xml:space="preserve"> which is what federalism is meant to accomplish.</w:t>
      </w:r>
      <w:r w:rsidR="0043403E">
        <w:rPr>
          <w:rStyle w:val="EndnoteReference"/>
        </w:rPr>
        <w:endnoteReference w:id="32"/>
      </w:r>
    </w:p>
    <w:p w:rsidR="0043403E" w:rsidRPr="00233626" w:rsidRDefault="0043403E" w:rsidP="0043403E">
      <w:pPr>
        <w:spacing w:after="0"/>
      </w:pPr>
    </w:p>
    <w:p w:rsidR="00F82595" w:rsidRPr="00233626" w:rsidRDefault="000F1A6C" w:rsidP="004E58EE">
      <w:pPr>
        <w:jc w:val="center"/>
      </w:pPr>
      <w:r w:rsidRPr="00233626">
        <w:t>Competitive Federalism</w:t>
      </w:r>
    </w:p>
    <w:p w:rsidR="001A5B6F" w:rsidRDefault="007B4968" w:rsidP="001A5B6F">
      <w:pPr>
        <w:ind w:firstLine="720"/>
      </w:pPr>
      <w:r>
        <w:t xml:space="preserve">For Michael </w:t>
      </w:r>
      <w:proofErr w:type="spellStart"/>
      <w:r>
        <w:t>Greve</w:t>
      </w:r>
      <w:proofErr w:type="spellEnd"/>
      <w:r>
        <w:t>, t</w:t>
      </w:r>
      <w:r w:rsidR="003E0665">
        <w:t xml:space="preserve">he elements of overlapping jurisdiction and cooperative arrangements that Ryan applauds </w:t>
      </w:r>
      <w:r>
        <w:t>represent</w:t>
      </w:r>
      <w:r w:rsidR="003E0665">
        <w:t xml:space="preserve"> distortions of the constitutional design.  </w:t>
      </w:r>
      <w:r w:rsidR="00333EF9">
        <w:t>Indeed, h</w:t>
      </w:r>
      <w:r w:rsidR="003E0665">
        <w:t xml:space="preserve">e describes </w:t>
      </w:r>
      <w:r w:rsidR="001A5B6F">
        <w:t xml:space="preserve">the system of federalism that originated in the 1930s </w:t>
      </w:r>
      <w:r w:rsidR="003E0665">
        <w:t>as turning the Constitution “</w:t>
      </w:r>
      <w:r w:rsidR="002D41E1">
        <w:t>upside down</w:t>
      </w:r>
      <w:r w:rsidR="003E0665">
        <w:t>”</w:t>
      </w:r>
      <w:r w:rsidR="002D41E1">
        <w:t xml:space="preserve"> </w:t>
      </w:r>
      <w:r w:rsidR="001A5B6F">
        <w:t>by</w:t>
      </w:r>
      <w:r w:rsidR="002D41E1">
        <w:t xml:space="preserve"> repudiating the competitive federalism of earlier eras.</w:t>
      </w:r>
      <w:r w:rsidR="009B4909">
        <w:rPr>
          <w:rStyle w:val="EndnoteReference"/>
        </w:rPr>
        <w:endnoteReference w:id="33"/>
      </w:r>
      <w:r w:rsidR="00C96199">
        <w:t xml:space="preserve">  </w:t>
      </w:r>
      <w:proofErr w:type="spellStart"/>
      <w:r w:rsidR="00333EF9">
        <w:t>Greve</w:t>
      </w:r>
      <w:proofErr w:type="spellEnd"/>
      <w:r w:rsidR="00333EF9">
        <w:t xml:space="preserve"> </w:t>
      </w:r>
      <w:r>
        <w:t>views</w:t>
      </w:r>
      <w:r w:rsidR="00333EF9">
        <w:t xml:space="preserve"> federalism as a mechanism for disciplining </w:t>
      </w:r>
      <w:r w:rsidR="00333EF9">
        <w:lastRenderedPageBreak/>
        <w:t xml:space="preserve">governments by putting them in competition with one another, </w:t>
      </w:r>
      <w:r w:rsidR="00701908" w:rsidRPr="00233626">
        <w:t>encourag</w:t>
      </w:r>
      <w:r w:rsidR="00333EF9">
        <w:t>ing</w:t>
      </w:r>
      <w:r w:rsidR="00701908" w:rsidRPr="00233626">
        <w:t xml:space="preserve"> </w:t>
      </w:r>
      <w:r w:rsidR="00BC4A54">
        <w:t xml:space="preserve">states to </w:t>
      </w:r>
      <w:r w:rsidR="00701908" w:rsidRPr="00233626">
        <w:t xml:space="preserve">compete with each other to attract </w:t>
      </w:r>
      <w:r w:rsidR="00E5532B">
        <w:t xml:space="preserve">business, investment, and productive </w:t>
      </w:r>
      <w:r w:rsidR="00701908" w:rsidRPr="00233626">
        <w:t>citizens through packages of goods and services</w:t>
      </w:r>
      <w:r w:rsidR="00333EF9">
        <w:t xml:space="preserve">. </w:t>
      </w:r>
      <w:r w:rsidR="00E5532B">
        <w:t xml:space="preserve">Citizens and businesses </w:t>
      </w:r>
      <w:r w:rsidR="003739CA">
        <w:t>then</w:t>
      </w:r>
      <w:r w:rsidR="00E5532B">
        <w:t xml:space="preserve"> </w:t>
      </w:r>
      <w:r>
        <w:t xml:space="preserve">can </w:t>
      </w:r>
      <w:r w:rsidR="00E5532B">
        <w:t xml:space="preserve">vote with their feet, </w:t>
      </w:r>
      <w:r>
        <w:t>so</w:t>
      </w:r>
      <w:r w:rsidR="00E5532B">
        <w:t xml:space="preserve"> citizen choice discipline</w:t>
      </w:r>
      <w:r w:rsidR="003739CA">
        <w:t>s</w:t>
      </w:r>
      <w:r w:rsidR="00E5532B">
        <w:t xml:space="preserve"> state governments </w:t>
      </w:r>
      <w:r w:rsidR="003739CA">
        <w:t>just</w:t>
      </w:r>
      <w:r w:rsidR="00E5532B">
        <w:t xml:space="preserve"> as consumer choice disciplines producers. </w:t>
      </w:r>
      <w:r w:rsidR="00DF1F88">
        <w:t>It follows that</w:t>
      </w:r>
      <w:r w:rsidR="00333EF9">
        <w:t xml:space="preserve"> policies that</w:t>
      </w:r>
      <w:r w:rsidR="00701908" w:rsidRPr="00233626">
        <w:t xml:space="preserve"> that allow states to join together (cartelize) interfere with </w:t>
      </w:r>
      <w:r w:rsidR="00333EF9">
        <w:t xml:space="preserve">the </w:t>
      </w:r>
      <w:r w:rsidR="00701908" w:rsidRPr="00233626">
        <w:t xml:space="preserve">advantages of federalism. </w:t>
      </w:r>
      <w:r w:rsidR="00333EF9">
        <w:t xml:space="preserve">So too do arrangements that blur jurisdictional boundaries and disconnect policy from revenue generation, thereby interfering with governmental accountability to the people.  The crucial question for </w:t>
      </w:r>
      <w:proofErr w:type="spellStart"/>
      <w:r w:rsidR="00333EF9">
        <w:t>Greve</w:t>
      </w:r>
      <w:proofErr w:type="spellEnd"/>
      <w:r w:rsidR="00333EF9">
        <w:t xml:space="preserve"> is not whether the United States is more or less federal but what kind of federalism exists.</w:t>
      </w:r>
      <w:r w:rsidR="001A5B6F">
        <w:t xml:space="preserve"> “A competitive federalism that disciplines government at all levels is worth having. A cartel federalism that empowers government at all levels is pathological, and quite probably worse than wholesale nationalization.”</w:t>
      </w:r>
      <w:r w:rsidR="001A5B6F">
        <w:rPr>
          <w:rStyle w:val="EndnoteReference"/>
        </w:rPr>
        <w:endnoteReference w:id="34"/>
      </w:r>
    </w:p>
    <w:p w:rsidR="0050320D" w:rsidRDefault="001A5B6F" w:rsidP="00DF1F88">
      <w:pPr>
        <w:spacing w:after="0"/>
        <w:ind w:firstLine="720"/>
      </w:pPr>
      <w:r>
        <w:t xml:space="preserve">In arguing that competitive federalism is rooted in the Constitution, </w:t>
      </w:r>
      <w:proofErr w:type="spellStart"/>
      <w:r>
        <w:t>Greve</w:t>
      </w:r>
      <w:proofErr w:type="spellEnd"/>
      <w:r>
        <w:t xml:space="preserve"> does not </w:t>
      </w:r>
      <w:r w:rsidR="00DF1F88">
        <w:t>pretend</w:t>
      </w:r>
      <w:r>
        <w:t xml:space="preserve"> that such a</w:t>
      </w:r>
      <w:r w:rsidR="00DF1F88">
        <w:t xml:space="preserve"> system was in the mind of the F</w:t>
      </w:r>
      <w:r>
        <w:t xml:space="preserve">ounders.  </w:t>
      </w:r>
      <w:r w:rsidR="00E5532B">
        <w:t>This</w:t>
      </w:r>
      <w:r>
        <w:t xml:space="preserve"> would hardly be credible, given competitive federalism</w:t>
      </w:r>
      <w:r w:rsidR="003739CA">
        <w:t>’s roots in</w:t>
      </w:r>
      <w:r>
        <w:t xml:space="preserve"> public choice and neoclassical economics. </w:t>
      </w:r>
      <w:r w:rsidR="00DF1F88">
        <w:t xml:space="preserve">But he insists </w:t>
      </w:r>
      <w:r>
        <w:t xml:space="preserve">that </w:t>
      </w:r>
      <w:r w:rsidR="00E5532B">
        <w:t xml:space="preserve"> </w:t>
      </w:r>
      <w:r>
        <w:t>competitive federalism “illuminates the elementary calculus of the United States Constitution”</w:t>
      </w:r>
      <w:r w:rsidR="00E5532B">
        <w:t xml:space="preserve"> and</w:t>
      </w:r>
      <w:r>
        <w:t xml:space="preserve"> is compatible with its “foundational premises and ascertainable structure,” </w:t>
      </w:r>
      <w:r w:rsidR="00E5532B">
        <w:t xml:space="preserve">and so it can be seen as the </w:t>
      </w:r>
      <w:r>
        <w:t>foreseeable consequence</w:t>
      </w:r>
      <w:r w:rsidR="00DF1F88">
        <w:t xml:space="preserve"> of the F</w:t>
      </w:r>
      <w:r w:rsidR="00E5532B">
        <w:t xml:space="preserve">ounders’ constitutional choices and thus as equivalent to the intention of the document. </w:t>
      </w:r>
      <w:r w:rsidR="00E5532B">
        <w:rPr>
          <w:rStyle w:val="EndnoteReference"/>
        </w:rPr>
        <w:endnoteReference w:id="35"/>
      </w:r>
      <w:r>
        <w:t xml:space="preserve"> </w:t>
      </w:r>
      <w:r w:rsidR="007D22D1">
        <w:t xml:space="preserve">In particular, he </w:t>
      </w:r>
      <w:r w:rsidR="003739CA">
        <w:t>emphasizes</w:t>
      </w:r>
      <w:r w:rsidR="007D22D1">
        <w:t xml:space="preserve"> that “the Constitution makes no explicit provision for asymmetries or equalization. It permits concurrent taxation and commands formal state equality—and lets the outcomes be what they may.”</w:t>
      </w:r>
      <w:r w:rsidR="007D22D1">
        <w:rPr>
          <w:rStyle w:val="EndnoteReference"/>
        </w:rPr>
        <w:endnoteReference w:id="36"/>
      </w:r>
      <w:r w:rsidR="0050320D">
        <w:t xml:space="preserve"> Thus, “l</w:t>
      </w:r>
      <w:r w:rsidR="0050320D" w:rsidRPr="00233626">
        <w:t xml:space="preserve">ike separation of powers, federalism was an instrument for controlling governmental power by dividing it and harnessing individual interest and ambition to the </w:t>
      </w:r>
      <w:r w:rsidR="0050320D">
        <w:t>service of republican ends.”</w:t>
      </w:r>
      <w:r w:rsidR="0050320D">
        <w:rPr>
          <w:rStyle w:val="EndnoteReference"/>
        </w:rPr>
        <w:endnoteReference w:id="37"/>
      </w:r>
      <w:r w:rsidR="0050320D">
        <w:t xml:space="preserve"> </w:t>
      </w:r>
    </w:p>
    <w:p w:rsidR="0050320D" w:rsidRDefault="0050320D" w:rsidP="0050320D">
      <w:pPr>
        <w:spacing w:after="0"/>
      </w:pPr>
    </w:p>
    <w:p w:rsidR="0050320D" w:rsidRDefault="003739CA" w:rsidP="0050320D">
      <w:pPr>
        <w:spacing w:after="0"/>
        <w:ind w:firstLine="720"/>
      </w:pPr>
      <w:proofErr w:type="spellStart"/>
      <w:r>
        <w:t>Greve</w:t>
      </w:r>
      <w:proofErr w:type="spellEnd"/>
      <w:r>
        <w:t xml:space="preserve"> </w:t>
      </w:r>
      <w:r w:rsidR="0050320D">
        <w:t>contends</w:t>
      </w:r>
      <w:r>
        <w:t xml:space="preserve"> that</w:t>
      </w:r>
      <w:r w:rsidR="007D22D1">
        <w:t xml:space="preserve"> the Supreme Court must play an active role in supervising American federalism and striking down efforts to avoid its stringent requirements. </w:t>
      </w:r>
      <w:r w:rsidR="009B3B63">
        <w:t>Among these market-protective and pro-competitive</w:t>
      </w:r>
      <w:r w:rsidR="007D22D1">
        <w:t xml:space="preserve"> </w:t>
      </w:r>
      <w:r w:rsidR="009B3B63">
        <w:t>requirements are the Privileges and immunities Clause, the prohibitions found in Article I, section 10, and the dormant commerce clause, which “exposes producers in each state to interstate competition [and] bars states from procuring local advantages by means of exploiting outsiders. “</w:t>
      </w:r>
      <w:r w:rsidR="009B3B63">
        <w:rPr>
          <w:rStyle w:val="EndnoteReference"/>
        </w:rPr>
        <w:endnoteReference w:id="38"/>
      </w:r>
      <w:r w:rsidR="00480EB5">
        <w:t xml:space="preserve"> </w:t>
      </w:r>
      <w:r w:rsidR="0050320D">
        <w:t xml:space="preserve"> Such judicial scrutiny is necessary because governments </w:t>
      </w:r>
      <w:r w:rsidR="00480EB5">
        <w:t>quite naturally seek to avoid a competition with winners and losers</w:t>
      </w:r>
      <w:r w:rsidR="0050320D">
        <w:t>; yet the Court’s record is mixed at best</w:t>
      </w:r>
      <w:r w:rsidR="00480EB5">
        <w:t>.</w:t>
      </w:r>
      <w:r w:rsidR="009B3B63">
        <w:t xml:space="preserve"> </w:t>
      </w:r>
    </w:p>
    <w:p w:rsidR="00DF1F88" w:rsidRDefault="00DF1F88" w:rsidP="0050320D">
      <w:pPr>
        <w:spacing w:after="0"/>
        <w:ind w:firstLine="720"/>
      </w:pPr>
    </w:p>
    <w:p w:rsidR="0050320D" w:rsidRDefault="007D22D1" w:rsidP="0050320D">
      <w:pPr>
        <w:spacing w:after="0"/>
        <w:ind w:firstLine="720"/>
      </w:pPr>
      <w:r>
        <w:t xml:space="preserve">One way of </w:t>
      </w:r>
      <w:r w:rsidR="00A303AE">
        <w:t xml:space="preserve">avoiding interstate competition </w:t>
      </w:r>
      <w:r>
        <w:t xml:space="preserve">is </w:t>
      </w:r>
      <w:r w:rsidR="00A303AE">
        <w:t>to have</w:t>
      </w:r>
      <w:r>
        <w:t xml:space="preserve"> the federal government impose (the same) policies on all the states</w:t>
      </w:r>
      <w:r w:rsidR="00480EB5">
        <w:t>. A</w:t>
      </w:r>
      <w:r w:rsidR="00A303AE">
        <w:t xml:space="preserve">ccording to </w:t>
      </w:r>
      <w:proofErr w:type="spellStart"/>
      <w:r w:rsidR="00A303AE">
        <w:t>Greve</w:t>
      </w:r>
      <w:proofErr w:type="spellEnd"/>
      <w:r w:rsidR="00A303AE">
        <w:t xml:space="preserve"> </w:t>
      </w:r>
      <w:r>
        <w:t>the Supreme Court’s emasculation of the</w:t>
      </w:r>
      <w:r w:rsidR="00A303AE">
        <w:t xml:space="preserve"> enumeration of powers since the</w:t>
      </w:r>
      <w:r>
        <w:t xml:space="preserve"> </w:t>
      </w:r>
      <w:r w:rsidR="00A303AE">
        <w:t>New Deal has encouraged th</w:t>
      </w:r>
      <w:r w:rsidR="00480EB5">
        <w:t>is</w:t>
      </w:r>
      <w:r w:rsidR="00A303AE">
        <w:t xml:space="preserve"> approach, particularly when the states know that they can participate in the design and implementation of federal programs.</w:t>
      </w:r>
      <w:r w:rsidR="00850733">
        <w:t xml:space="preserve"> Indeed, he views </w:t>
      </w:r>
      <w:r w:rsidR="00701908">
        <w:t>New Deal constitutionalism as state-</w:t>
      </w:r>
      <w:r w:rsidR="003739CA">
        <w:t>government-</w:t>
      </w:r>
      <w:r w:rsidR="00701908">
        <w:t>friendly,</w:t>
      </w:r>
      <w:r w:rsidR="003739CA">
        <w:t xml:space="preserve"> because</w:t>
      </w:r>
      <w:r w:rsidR="00701908">
        <w:t xml:space="preserve"> in increas</w:t>
      </w:r>
      <w:r w:rsidR="003739CA">
        <w:t>ing</w:t>
      </w:r>
      <w:r w:rsidR="00701908">
        <w:t xml:space="preserve"> the </w:t>
      </w:r>
      <w:r w:rsidR="003739CA">
        <w:t>scope</w:t>
      </w:r>
      <w:r w:rsidR="00701908">
        <w:t xml:space="preserve"> of its activities, </w:t>
      </w:r>
      <w:r w:rsidR="003739CA">
        <w:t>the federal government</w:t>
      </w:r>
      <w:r w:rsidR="00701908">
        <w:t xml:space="preserve"> has not displaced the states but involved them in programs. “While the federal initiatives of the 1930s of course involved the national government in domains theretofore beyond its purview, they also built state capacity and enabled states to run programs that, to all practical intents, had been beyond their abilities.”</w:t>
      </w:r>
      <w:r w:rsidR="00850733">
        <w:rPr>
          <w:rStyle w:val="EndnoteReference"/>
        </w:rPr>
        <w:endnoteReference w:id="39"/>
      </w:r>
      <w:r w:rsidR="0050320D">
        <w:t xml:space="preserve"> </w:t>
      </w:r>
    </w:p>
    <w:p w:rsidR="0050320D" w:rsidRDefault="0050320D" w:rsidP="0050320D">
      <w:pPr>
        <w:spacing w:after="0"/>
        <w:ind w:firstLine="720"/>
      </w:pPr>
    </w:p>
    <w:p w:rsidR="00701908" w:rsidRDefault="00701908" w:rsidP="0050320D">
      <w:pPr>
        <w:spacing w:after="0"/>
        <w:ind w:firstLine="720"/>
      </w:pPr>
      <w:r>
        <w:lastRenderedPageBreak/>
        <w:t>A</w:t>
      </w:r>
      <w:r w:rsidR="0050320D">
        <w:t xml:space="preserve"> second</w:t>
      </w:r>
      <w:r w:rsidR="003739CA">
        <w:t xml:space="preserve"> way to avoid competition is to </w:t>
      </w:r>
      <w:r w:rsidR="0050320D">
        <w:t>ensure that the</w:t>
      </w:r>
      <w:r>
        <w:t xml:space="preserve"> federal </w:t>
      </w:r>
      <w:r w:rsidR="0050320D">
        <w:t>expansion of activities does not preclude state regulation. Thus in the wake of the New Deal, the elimination of</w:t>
      </w:r>
      <w:r>
        <w:t xml:space="preserve"> limitation by enumeration through an expansive commerce clause </w:t>
      </w:r>
      <w:r w:rsidR="0050320D">
        <w:t>was</w:t>
      </w:r>
      <w:r>
        <w:t xml:space="preserve"> complemented by an und</w:t>
      </w:r>
      <w:r w:rsidR="0050320D">
        <w:t>ermining of the supremacy clause</w:t>
      </w:r>
      <w:r>
        <w:t xml:space="preserve"> through </w:t>
      </w:r>
      <w:r w:rsidR="0050320D">
        <w:t xml:space="preserve">a </w:t>
      </w:r>
      <w:r>
        <w:t xml:space="preserve">presumption against preemption. </w:t>
      </w:r>
      <w:proofErr w:type="spellStart"/>
      <w:r w:rsidR="0050320D">
        <w:t>Greve</w:t>
      </w:r>
      <w:proofErr w:type="spellEnd"/>
      <w:r w:rsidR="0050320D">
        <w:t xml:space="preserve"> thus applauds the Rehnquist Court’s </w:t>
      </w:r>
      <w:r w:rsidR="00DF1F88">
        <w:t>willingness</w:t>
      </w:r>
      <w:r w:rsidR="0050320D">
        <w:t xml:space="preserve"> to s</w:t>
      </w:r>
      <w:r w:rsidR="00DF1F88">
        <w:t xml:space="preserve">crutinize </w:t>
      </w:r>
      <w:r w:rsidR="0050320D">
        <w:t xml:space="preserve">state laws on preemption grounds as reinforcing competitive federalism. A third way to avoid policy competition is through nationalization of policy experiments. Justice Louis Brandeis celebrated how federalism allows courageous states to experiment, but </w:t>
      </w:r>
      <w:proofErr w:type="spellStart"/>
      <w:r w:rsidR="0050320D">
        <w:t>Greve</w:t>
      </w:r>
      <w:proofErr w:type="spellEnd"/>
      <w:r w:rsidR="0050320D">
        <w:t xml:space="preserve"> notes that such experimentation rarely leads to policy diversification. </w:t>
      </w:r>
      <w:r w:rsidR="00DF1F88">
        <w:t>Rather,</w:t>
      </w:r>
      <w:r w:rsidR="0050320D">
        <w:t xml:space="preserve"> interest groups that succeed </w:t>
      </w:r>
      <w:r>
        <w:t xml:space="preserve">in one or a few states </w:t>
      </w:r>
      <w:r w:rsidR="0050320D">
        <w:t xml:space="preserve">tend to support nationalization of </w:t>
      </w:r>
      <w:r>
        <w:t xml:space="preserve">the policy </w:t>
      </w:r>
      <w:r w:rsidR="0050320D">
        <w:t xml:space="preserve">in order to avoid competition from states that make other policy choices.  </w:t>
      </w:r>
    </w:p>
    <w:p w:rsidR="0050320D" w:rsidRDefault="0050320D" w:rsidP="0050320D">
      <w:pPr>
        <w:spacing w:after="0"/>
        <w:ind w:firstLine="720"/>
      </w:pPr>
    </w:p>
    <w:p w:rsidR="00C767AA" w:rsidRDefault="0050320D" w:rsidP="0050320D">
      <w:pPr>
        <w:spacing w:after="0"/>
        <w:ind w:firstLine="720"/>
      </w:pPr>
      <w:r>
        <w:t xml:space="preserve">In sum, </w:t>
      </w:r>
      <w:proofErr w:type="spellStart"/>
      <w:r>
        <w:t>Greve</w:t>
      </w:r>
      <w:proofErr w:type="spellEnd"/>
      <w:r>
        <w:t xml:space="preserve"> concludes that “our </w:t>
      </w:r>
      <w:r w:rsidR="002E1FF3" w:rsidRPr="00233626">
        <w:t>constitutional federalism is the product of a single sovereign people, which has allocated specified powers to different agents.”</w:t>
      </w:r>
      <w:r>
        <w:rPr>
          <w:rStyle w:val="EndnoteReference"/>
        </w:rPr>
        <w:endnoteReference w:id="40"/>
      </w:r>
      <w:r>
        <w:t xml:space="preserve"> However, since the 1930s those agents have succeeded in throwing off their constitutional shackles and, with the blessing of the Supreme Court, have created a system that encourages intergovernmental cooperation but at the expense of the public. The aim must be, then, not to </w:t>
      </w:r>
      <w:proofErr w:type="gramStart"/>
      <w:r>
        <w:t>conform</w:t>
      </w:r>
      <w:proofErr w:type="gramEnd"/>
      <w:r>
        <w:t xml:space="preserve"> constitutional doctrine to political practice but to reinvigorate the Constitution’s division of powers to reform </w:t>
      </w:r>
      <w:r w:rsidR="00DF1F88">
        <w:t>that</w:t>
      </w:r>
      <w:r>
        <w:t xml:space="preserve"> practice.  For only </w:t>
      </w:r>
      <w:r w:rsidR="00DF1F88">
        <w:t>then</w:t>
      </w:r>
      <w:r>
        <w:t xml:space="preserve"> can federalism again be a boon for that single sovereign people. </w:t>
      </w:r>
    </w:p>
    <w:p w:rsidR="0050320D" w:rsidRDefault="0050320D" w:rsidP="0050320D">
      <w:pPr>
        <w:spacing w:after="0"/>
        <w:ind w:firstLine="720"/>
      </w:pPr>
    </w:p>
    <w:p w:rsidR="00C767AA" w:rsidRDefault="003E0665" w:rsidP="003E0665">
      <w:pPr>
        <w:spacing w:after="0"/>
        <w:jc w:val="center"/>
      </w:pPr>
      <w:r>
        <w:t>Conclusion</w:t>
      </w:r>
    </w:p>
    <w:p w:rsidR="003E0665" w:rsidRDefault="003E0665" w:rsidP="003E0665">
      <w:pPr>
        <w:spacing w:after="0"/>
        <w:jc w:val="center"/>
      </w:pPr>
    </w:p>
    <w:p w:rsidR="00435F7A" w:rsidRDefault="002D41E1" w:rsidP="002D41E1">
      <w:pPr>
        <w:spacing w:after="0"/>
        <w:ind w:firstLine="720"/>
      </w:pPr>
      <w:r>
        <w:t>Our survey confirms that the debate over American constitutional federalism has lost neither its intensity nor its topicality. Scholars disagree about the meaning of federalism, the aims of the Founders in creating a federal system, and the extent to which those aims can—and should—guide contemporary interpretation of the Constitution.  Justices too debate whether the Constitution was meant to secure a federal “balance” and what role judges should play in safeguarding federal arrangements.</w:t>
      </w:r>
      <w:r w:rsidR="00435F7A">
        <w:t xml:space="preserve"> Finally, many participants in the debate detect a divergence between the operation of American federalism today and the original constitutional design, though they differ as to whether political practice should be brought into conformity with the constitutional design or whether constitutional doctrine should be altered to reflect better contemporary practice.</w:t>
      </w:r>
    </w:p>
    <w:p w:rsidR="00DF1F88" w:rsidRDefault="00DF1F88" w:rsidP="002D41E1">
      <w:pPr>
        <w:spacing w:after="0"/>
        <w:ind w:firstLine="720"/>
      </w:pPr>
    </w:p>
    <w:p w:rsidR="00435F7A" w:rsidRDefault="00435F7A" w:rsidP="002D41E1">
      <w:pPr>
        <w:spacing w:after="0"/>
        <w:ind w:firstLine="720"/>
      </w:pPr>
      <w:r>
        <w:t xml:space="preserve">One may be encouraged by the vitality of the debate and by the fact that American constitutional federalism continues to attract the attention of the nation’s leading constitutional minds. However, one may also be discouraged by the absence of consensus this scholarly engagement has produced. Indeed, writing less than two decades ago, one scholar </w:t>
      </w:r>
      <w:r w:rsidR="003E0665">
        <w:t>lamented that there is “virtually no important issue of federalism on which a particular point of view command[s] a clear consensus of the scholars of the field.”</w:t>
      </w:r>
      <w:r w:rsidR="003E0665">
        <w:rPr>
          <w:rStyle w:val="EndnoteReference"/>
        </w:rPr>
        <w:endnoteReference w:id="41"/>
      </w:r>
      <w:r>
        <w:t xml:space="preserve">  There is likely no other field of American constitutional law about which such a claim could be made.  Therefore, perhaps future scholars should turn their attention to explaining the lack of consensus, which might reasonably be viewed as a failure, and consider whether a shared understanding of American federalism is possible. </w:t>
      </w:r>
    </w:p>
    <w:p w:rsidR="00435F7A" w:rsidRDefault="00435F7A" w:rsidP="002D41E1">
      <w:pPr>
        <w:spacing w:after="0"/>
        <w:ind w:firstLine="720"/>
      </w:pPr>
    </w:p>
    <w:p w:rsidR="00086830" w:rsidRDefault="00086830" w:rsidP="00435F7A">
      <w:pPr>
        <w:spacing w:after="0"/>
        <w:jc w:val="center"/>
      </w:pPr>
    </w:p>
    <w:p w:rsidR="00C767AA" w:rsidRDefault="00435F7A" w:rsidP="00435F7A">
      <w:pPr>
        <w:spacing w:after="0"/>
        <w:jc w:val="center"/>
      </w:pPr>
      <w:r>
        <w:lastRenderedPageBreak/>
        <w:t>NOTES</w:t>
      </w:r>
    </w:p>
    <w:p w:rsidR="00435F7A" w:rsidRDefault="00435F7A" w:rsidP="00435F7A">
      <w:pPr>
        <w:spacing w:after="0"/>
        <w:jc w:val="center"/>
      </w:pPr>
    </w:p>
    <w:sectPr w:rsidR="00435F7A" w:rsidSect="003E3154">
      <w:headerReference w:type="default" r:id="rId7"/>
      <w:endnotePr>
        <w:numFmt w:val="decimal"/>
      </w:endnotePr>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3B" w:rsidRDefault="00C7043B" w:rsidP="00482EBF">
      <w:pPr>
        <w:spacing w:after="0" w:line="240" w:lineRule="auto"/>
      </w:pPr>
      <w:r>
        <w:separator/>
      </w:r>
    </w:p>
  </w:endnote>
  <w:endnote w:type="continuationSeparator" w:id="0">
    <w:p w:rsidR="00C7043B" w:rsidRDefault="00C7043B" w:rsidP="00482EBF">
      <w:pPr>
        <w:spacing w:after="0" w:line="240" w:lineRule="auto"/>
      </w:pPr>
      <w:r>
        <w:continuationSeparator/>
      </w:r>
    </w:p>
  </w:endnote>
  <w:endnote w:id="1">
    <w:p w:rsidR="00A977BB" w:rsidRPr="00A977BB" w:rsidRDefault="00A977BB" w:rsidP="00086830">
      <w:pPr>
        <w:pStyle w:val="EndnoteText"/>
        <w:spacing w:line="276" w:lineRule="auto"/>
        <w:rPr>
          <w:sz w:val="22"/>
          <w:szCs w:val="22"/>
        </w:rPr>
      </w:pPr>
      <w:r>
        <w:rPr>
          <w:rStyle w:val="EndnoteReference"/>
        </w:rPr>
        <w:endnoteRef/>
      </w:r>
      <w:r>
        <w:t xml:space="preserve"> </w:t>
      </w:r>
      <w:r>
        <w:rPr>
          <w:sz w:val="22"/>
          <w:szCs w:val="22"/>
        </w:rPr>
        <w:t xml:space="preserve">Michael Burgess, </w:t>
      </w:r>
      <w:r w:rsidRPr="00A977BB">
        <w:rPr>
          <w:i/>
          <w:sz w:val="22"/>
          <w:szCs w:val="22"/>
        </w:rPr>
        <w:t>Comparative Federalism: Theory and Practice</w:t>
      </w:r>
      <w:r>
        <w:rPr>
          <w:sz w:val="22"/>
          <w:szCs w:val="22"/>
        </w:rPr>
        <w:t xml:space="preserve"> (London: Routledge, 2006), p. 57.</w:t>
      </w:r>
    </w:p>
  </w:endnote>
  <w:endnote w:id="2">
    <w:p w:rsidR="00A977BB" w:rsidRPr="00A977BB" w:rsidRDefault="00A977BB" w:rsidP="00086830">
      <w:pPr>
        <w:pStyle w:val="EndnoteText"/>
        <w:spacing w:line="276" w:lineRule="auto"/>
      </w:pPr>
      <w:r>
        <w:rPr>
          <w:rStyle w:val="EndnoteReference"/>
        </w:rPr>
        <w:endnoteRef/>
      </w:r>
      <w:r>
        <w:t xml:space="preserve"> </w:t>
      </w:r>
      <w:proofErr w:type="gramStart"/>
      <w:r w:rsidRPr="00A977BB">
        <w:rPr>
          <w:i/>
          <w:sz w:val="22"/>
          <w:szCs w:val="22"/>
        </w:rPr>
        <w:t>McCulloch v. Maryland</w:t>
      </w:r>
      <w:r>
        <w:rPr>
          <w:sz w:val="22"/>
          <w:szCs w:val="22"/>
        </w:rPr>
        <w:t>, 17 U.S. 316,</w:t>
      </w:r>
      <w:r w:rsidR="0044266E">
        <w:rPr>
          <w:sz w:val="22"/>
          <w:szCs w:val="22"/>
        </w:rPr>
        <w:t xml:space="preserve"> 405</w:t>
      </w:r>
      <w:r>
        <w:rPr>
          <w:sz w:val="22"/>
          <w:szCs w:val="22"/>
        </w:rPr>
        <w:t xml:space="preserve"> (1819).</w:t>
      </w:r>
      <w:proofErr w:type="gramEnd"/>
    </w:p>
  </w:endnote>
  <w:endnote w:id="3">
    <w:p w:rsidR="009E583B" w:rsidRPr="009E583B" w:rsidRDefault="009E583B" w:rsidP="00086830">
      <w:pPr>
        <w:pStyle w:val="EndnoteText"/>
        <w:spacing w:line="276" w:lineRule="auto"/>
        <w:rPr>
          <w:sz w:val="22"/>
          <w:szCs w:val="22"/>
        </w:rPr>
      </w:pPr>
      <w:r>
        <w:rPr>
          <w:rStyle w:val="EndnoteReference"/>
        </w:rPr>
        <w:endnoteRef/>
      </w:r>
      <w:r>
        <w:t xml:space="preserve"> </w:t>
      </w:r>
      <w:r w:rsidRPr="009E583B">
        <w:rPr>
          <w:sz w:val="22"/>
          <w:szCs w:val="22"/>
        </w:rPr>
        <w:t xml:space="preserve">Woodrow Wilson, </w:t>
      </w:r>
      <w:r w:rsidRPr="009E583B">
        <w:rPr>
          <w:i/>
          <w:sz w:val="22"/>
          <w:szCs w:val="22"/>
        </w:rPr>
        <w:t xml:space="preserve">Constitutional Government in the United States </w:t>
      </w:r>
      <w:r w:rsidRPr="009E583B">
        <w:rPr>
          <w:sz w:val="22"/>
          <w:szCs w:val="22"/>
        </w:rPr>
        <w:t>(New York: Co</w:t>
      </w:r>
      <w:r>
        <w:rPr>
          <w:sz w:val="22"/>
          <w:szCs w:val="22"/>
        </w:rPr>
        <w:t>lumbia University Press, 1908),</w:t>
      </w:r>
      <w:r w:rsidRPr="009E583B">
        <w:rPr>
          <w:i/>
          <w:sz w:val="22"/>
          <w:szCs w:val="22"/>
        </w:rPr>
        <w:t xml:space="preserve"> </w:t>
      </w:r>
      <w:r w:rsidRPr="009E583B">
        <w:rPr>
          <w:sz w:val="22"/>
          <w:szCs w:val="22"/>
        </w:rPr>
        <w:t>p. 173.</w:t>
      </w:r>
    </w:p>
  </w:endnote>
  <w:endnote w:id="4">
    <w:p w:rsidR="009063DC" w:rsidRPr="009063DC" w:rsidRDefault="009063DC" w:rsidP="00086830">
      <w:pPr>
        <w:pStyle w:val="EndnoteText"/>
        <w:spacing w:line="276" w:lineRule="auto"/>
        <w:rPr>
          <w:sz w:val="22"/>
          <w:szCs w:val="22"/>
        </w:rPr>
      </w:pPr>
      <w:r>
        <w:rPr>
          <w:rStyle w:val="EndnoteReference"/>
        </w:rPr>
        <w:endnoteRef/>
      </w:r>
      <w:r>
        <w:t xml:space="preserve"> </w:t>
      </w:r>
      <w:r w:rsidRPr="009063DC">
        <w:rPr>
          <w:i/>
          <w:sz w:val="22"/>
          <w:szCs w:val="22"/>
        </w:rPr>
        <w:t xml:space="preserve">National Federation of Independent Business v. </w:t>
      </w:r>
      <w:proofErr w:type="gramStart"/>
      <w:r w:rsidRPr="009063DC">
        <w:rPr>
          <w:i/>
          <w:sz w:val="22"/>
          <w:szCs w:val="22"/>
        </w:rPr>
        <w:t xml:space="preserve">Sebelius </w:t>
      </w:r>
      <w:r>
        <w:rPr>
          <w:sz w:val="22"/>
          <w:szCs w:val="22"/>
        </w:rPr>
        <w:t>,</w:t>
      </w:r>
      <w:proofErr w:type="gramEnd"/>
      <w:r>
        <w:rPr>
          <w:sz w:val="22"/>
          <w:szCs w:val="22"/>
        </w:rPr>
        <w:t xml:space="preserve"> 567 U.S. ___ </w:t>
      </w:r>
      <w:r w:rsidRPr="009063DC">
        <w:rPr>
          <w:sz w:val="22"/>
          <w:szCs w:val="22"/>
        </w:rPr>
        <w:t>(2012)</w:t>
      </w:r>
      <w:r>
        <w:rPr>
          <w:sz w:val="22"/>
          <w:szCs w:val="22"/>
        </w:rPr>
        <w:t>.</w:t>
      </w:r>
    </w:p>
  </w:endnote>
  <w:endnote w:id="5">
    <w:p w:rsidR="000A4113" w:rsidRPr="009E583B" w:rsidRDefault="000A4113" w:rsidP="00086830">
      <w:pPr>
        <w:pStyle w:val="EndnoteText"/>
        <w:spacing w:line="276" w:lineRule="auto"/>
        <w:rPr>
          <w:sz w:val="22"/>
          <w:szCs w:val="22"/>
        </w:rPr>
      </w:pPr>
      <w:r w:rsidRPr="00233626">
        <w:rPr>
          <w:rStyle w:val="EndnoteReference"/>
          <w:sz w:val="22"/>
          <w:szCs w:val="22"/>
        </w:rPr>
        <w:endnoteRef/>
      </w:r>
      <w:r w:rsidRPr="00233626">
        <w:rPr>
          <w:sz w:val="22"/>
          <w:szCs w:val="22"/>
        </w:rPr>
        <w:t xml:space="preserve"> One might argue that the “new federalism” began with </w:t>
      </w:r>
      <w:r w:rsidRPr="00233626">
        <w:rPr>
          <w:i/>
          <w:sz w:val="22"/>
          <w:szCs w:val="22"/>
        </w:rPr>
        <w:t xml:space="preserve">National League of Cities v. </w:t>
      </w:r>
      <w:proofErr w:type="spellStart"/>
      <w:r w:rsidRPr="00233626">
        <w:rPr>
          <w:i/>
          <w:sz w:val="22"/>
          <w:szCs w:val="22"/>
        </w:rPr>
        <w:t>Usery</w:t>
      </w:r>
      <w:proofErr w:type="spellEnd"/>
      <w:r w:rsidRPr="00233626">
        <w:rPr>
          <w:sz w:val="22"/>
          <w:szCs w:val="22"/>
        </w:rPr>
        <w:t xml:space="preserve">, 426 U.S. 833 (1976), in which five justices struck down application of the minimum-wage and overtime-pay provisions of the Fair Labor Standards Act to state employees.  But this ruling </w:t>
      </w:r>
      <w:r w:rsidR="009D0599" w:rsidRPr="00233626">
        <w:rPr>
          <w:sz w:val="22"/>
          <w:szCs w:val="22"/>
        </w:rPr>
        <w:t xml:space="preserve">spawned no progeny and was overruled less than a decade later by </w:t>
      </w:r>
      <w:r w:rsidR="009D0599" w:rsidRPr="00233626">
        <w:rPr>
          <w:i/>
          <w:sz w:val="22"/>
          <w:szCs w:val="22"/>
        </w:rPr>
        <w:t>Garcia v. San Antonio Metropolitan Transit Authority</w:t>
      </w:r>
      <w:r w:rsidRPr="00233626">
        <w:rPr>
          <w:sz w:val="22"/>
          <w:szCs w:val="22"/>
        </w:rPr>
        <w:t>,</w:t>
      </w:r>
      <w:r w:rsidR="009D0599" w:rsidRPr="00233626">
        <w:rPr>
          <w:sz w:val="22"/>
          <w:szCs w:val="22"/>
        </w:rPr>
        <w:t xml:space="preserve"> 469 U.S. 528 (1985).</w:t>
      </w:r>
      <w:r w:rsidRPr="00233626">
        <w:rPr>
          <w:sz w:val="22"/>
          <w:szCs w:val="22"/>
        </w:rPr>
        <w:t xml:space="preserve">  </w:t>
      </w:r>
      <w:r w:rsidR="00B80FB0">
        <w:rPr>
          <w:sz w:val="22"/>
          <w:szCs w:val="22"/>
        </w:rPr>
        <w:t xml:space="preserve">   </w:t>
      </w:r>
    </w:p>
  </w:endnote>
  <w:endnote w:id="6">
    <w:p w:rsidR="00DF4B5F" w:rsidRPr="00DF4B5F" w:rsidRDefault="00DF4B5F" w:rsidP="00086830">
      <w:pPr>
        <w:pStyle w:val="EndnoteText"/>
        <w:spacing w:line="276" w:lineRule="auto"/>
        <w:rPr>
          <w:i/>
          <w:sz w:val="22"/>
          <w:szCs w:val="22"/>
        </w:rPr>
      </w:pPr>
      <w:r>
        <w:rPr>
          <w:rStyle w:val="EndnoteReference"/>
        </w:rPr>
        <w:endnoteRef/>
      </w:r>
      <w:r>
        <w:t xml:space="preserve"> </w:t>
      </w:r>
      <w:proofErr w:type="gramStart"/>
      <w:r>
        <w:rPr>
          <w:i/>
          <w:sz w:val="22"/>
          <w:szCs w:val="22"/>
        </w:rPr>
        <w:t xml:space="preserve">National League of Cities v. </w:t>
      </w:r>
      <w:proofErr w:type="spellStart"/>
      <w:r>
        <w:rPr>
          <w:i/>
          <w:sz w:val="22"/>
          <w:szCs w:val="22"/>
        </w:rPr>
        <w:t>Usery</w:t>
      </w:r>
      <w:proofErr w:type="spellEnd"/>
      <w:r>
        <w:rPr>
          <w:sz w:val="22"/>
          <w:szCs w:val="22"/>
        </w:rPr>
        <w:t xml:space="preserve">, 426 U.S. 833, </w:t>
      </w:r>
      <w:r w:rsidR="00C56F1B">
        <w:rPr>
          <w:sz w:val="22"/>
          <w:szCs w:val="22"/>
        </w:rPr>
        <w:t>843</w:t>
      </w:r>
      <w:r>
        <w:rPr>
          <w:sz w:val="22"/>
          <w:szCs w:val="22"/>
        </w:rPr>
        <w:t xml:space="preserve"> (1976).</w:t>
      </w:r>
      <w:proofErr w:type="gramEnd"/>
      <w:r>
        <w:rPr>
          <w:i/>
          <w:sz w:val="22"/>
          <w:szCs w:val="22"/>
        </w:rPr>
        <w:t xml:space="preserve"> </w:t>
      </w:r>
    </w:p>
  </w:endnote>
  <w:endnote w:id="7">
    <w:p w:rsidR="008B64DE" w:rsidRPr="00233626" w:rsidRDefault="008B64DE" w:rsidP="00086830">
      <w:pPr>
        <w:pStyle w:val="EndnoteText"/>
        <w:spacing w:line="276" w:lineRule="auto"/>
        <w:rPr>
          <w:sz w:val="22"/>
          <w:szCs w:val="22"/>
        </w:rPr>
      </w:pPr>
      <w:r w:rsidRPr="00233626">
        <w:rPr>
          <w:rStyle w:val="EndnoteReference"/>
          <w:sz w:val="22"/>
          <w:szCs w:val="22"/>
        </w:rPr>
        <w:endnoteRef/>
      </w:r>
      <w:r w:rsidRPr="00233626">
        <w:rPr>
          <w:sz w:val="22"/>
          <w:szCs w:val="22"/>
        </w:rPr>
        <w:t xml:space="preserve"> Some low-income persons were exempted from this requirement.</w:t>
      </w:r>
    </w:p>
  </w:endnote>
  <w:endnote w:id="8">
    <w:p w:rsidR="00987C0B" w:rsidRPr="00987C0B" w:rsidRDefault="00987C0B" w:rsidP="00086830">
      <w:pPr>
        <w:pStyle w:val="EndnoteText"/>
        <w:spacing w:line="276" w:lineRule="auto"/>
        <w:rPr>
          <w:sz w:val="22"/>
          <w:szCs w:val="22"/>
        </w:rPr>
      </w:pPr>
      <w:r>
        <w:rPr>
          <w:rStyle w:val="EndnoteReference"/>
        </w:rPr>
        <w:endnoteRef/>
      </w:r>
      <w:r>
        <w:t xml:space="preserve"> </w:t>
      </w:r>
      <w:r>
        <w:rPr>
          <w:i/>
          <w:sz w:val="22"/>
          <w:szCs w:val="22"/>
        </w:rPr>
        <w:t>United States v. Comstock</w:t>
      </w:r>
      <w:r>
        <w:rPr>
          <w:sz w:val="22"/>
          <w:szCs w:val="22"/>
        </w:rPr>
        <w:t xml:space="preserve">, </w:t>
      </w:r>
      <w:proofErr w:type="gramStart"/>
      <w:r>
        <w:rPr>
          <w:sz w:val="22"/>
          <w:szCs w:val="22"/>
        </w:rPr>
        <w:t>560 U.S.126, ___ (2010)</w:t>
      </w:r>
      <w:proofErr w:type="gramEnd"/>
      <w:r>
        <w:rPr>
          <w:sz w:val="22"/>
          <w:szCs w:val="22"/>
        </w:rPr>
        <w:t>.</w:t>
      </w:r>
    </w:p>
  </w:endnote>
  <w:endnote w:id="9">
    <w:p w:rsidR="00E74029" w:rsidRPr="00E74029" w:rsidRDefault="00E74029" w:rsidP="00086830">
      <w:pPr>
        <w:pStyle w:val="EndnoteText"/>
        <w:spacing w:line="276" w:lineRule="auto"/>
        <w:rPr>
          <w:sz w:val="22"/>
          <w:szCs w:val="22"/>
        </w:rPr>
      </w:pPr>
      <w:r>
        <w:rPr>
          <w:rStyle w:val="EndnoteReference"/>
        </w:rPr>
        <w:endnoteRef/>
      </w:r>
      <w:r>
        <w:t xml:space="preserve"> </w:t>
      </w:r>
      <w:r>
        <w:rPr>
          <w:i/>
          <w:sz w:val="22"/>
          <w:szCs w:val="22"/>
        </w:rPr>
        <w:t>National Federation of Independent Business v. Sebelius</w:t>
      </w:r>
      <w:r>
        <w:rPr>
          <w:sz w:val="22"/>
          <w:szCs w:val="22"/>
        </w:rPr>
        <w:t>, 567 U.S. ___, ___.</w:t>
      </w:r>
    </w:p>
  </w:endnote>
  <w:endnote w:id="10">
    <w:p w:rsidR="00DF4B5F" w:rsidRPr="00DF4B5F" w:rsidRDefault="00DF4B5F" w:rsidP="00086830">
      <w:pPr>
        <w:pStyle w:val="EndnoteText"/>
        <w:spacing w:line="276" w:lineRule="auto"/>
        <w:rPr>
          <w:i/>
          <w:sz w:val="22"/>
          <w:szCs w:val="22"/>
        </w:rPr>
      </w:pPr>
      <w:r>
        <w:rPr>
          <w:rStyle w:val="EndnoteReference"/>
        </w:rPr>
        <w:endnoteRef/>
      </w:r>
      <w:r>
        <w:t xml:space="preserve"> </w:t>
      </w:r>
      <w:proofErr w:type="gramStart"/>
      <w:r>
        <w:rPr>
          <w:i/>
          <w:sz w:val="22"/>
          <w:szCs w:val="22"/>
        </w:rPr>
        <w:t>New York v. United States</w:t>
      </w:r>
      <w:r>
        <w:rPr>
          <w:sz w:val="22"/>
          <w:szCs w:val="22"/>
        </w:rPr>
        <w:t xml:space="preserve">, </w:t>
      </w:r>
      <w:r w:rsidR="00AD3386">
        <w:rPr>
          <w:sz w:val="22"/>
          <w:szCs w:val="22"/>
        </w:rPr>
        <w:t>505</w:t>
      </w:r>
      <w:r>
        <w:rPr>
          <w:sz w:val="22"/>
          <w:szCs w:val="22"/>
        </w:rPr>
        <w:t xml:space="preserve"> U.S. 1</w:t>
      </w:r>
      <w:r w:rsidR="00AD3386">
        <w:rPr>
          <w:sz w:val="22"/>
          <w:szCs w:val="22"/>
        </w:rPr>
        <w:t>44</w:t>
      </w:r>
      <w:r>
        <w:rPr>
          <w:sz w:val="22"/>
          <w:szCs w:val="22"/>
        </w:rPr>
        <w:t xml:space="preserve">, </w:t>
      </w:r>
      <w:r w:rsidR="00AD3386">
        <w:rPr>
          <w:sz w:val="22"/>
          <w:szCs w:val="22"/>
        </w:rPr>
        <w:t xml:space="preserve">178 </w:t>
      </w:r>
      <w:r>
        <w:rPr>
          <w:sz w:val="22"/>
          <w:szCs w:val="22"/>
        </w:rPr>
        <w:t>(1992).</w:t>
      </w:r>
      <w:proofErr w:type="gramEnd"/>
      <w:r>
        <w:rPr>
          <w:i/>
          <w:sz w:val="22"/>
          <w:szCs w:val="22"/>
        </w:rPr>
        <w:t xml:space="preserve"> </w:t>
      </w:r>
    </w:p>
  </w:endnote>
  <w:endnote w:id="11">
    <w:p w:rsidR="00CF3C1F" w:rsidRPr="00FE5B9A" w:rsidRDefault="00CF3C1F" w:rsidP="00086830">
      <w:pPr>
        <w:pStyle w:val="EndnoteText"/>
        <w:spacing w:line="276" w:lineRule="auto"/>
        <w:rPr>
          <w:sz w:val="22"/>
          <w:szCs w:val="22"/>
        </w:rPr>
      </w:pPr>
      <w:r w:rsidRPr="00233626">
        <w:rPr>
          <w:rStyle w:val="EndnoteReference"/>
          <w:sz w:val="22"/>
          <w:szCs w:val="22"/>
        </w:rPr>
        <w:endnoteRef/>
      </w:r>
      <w:r w:rsidRPr="00233626">
        <w:rPr>
          <w:sz w:val="22"/>
          <w:szCs w:val="22"/>
        </w:rPr>
        <w:t xml:space="preserve"> </w:t>
      </w:r>
      <w:r w:rsidRPr="00233626">
        <w:rPr>
          <w:rFonts w:cs="Times New Roman"/>
          <w:sz w:val="22"/>
          <w:szCs w:val="22"/>
        </w:rPr>
        <w:t>The</w:t>
      </w:r>
      <w:r w:rsidR="00A977BB">
        <w:rPr>
          <w:rFonts w:cs="Times New Roman"/>
          <w:sz w:val="22"/>
          <w:szCs w:val="22"/>
        </w:rPr>
        <w:t xml:space="preserve"> Eleventh</w:t>
      </w:r>
      <w:r w:rsidRPr="00233626">
        <w:rPr>
          <w:rFonts w:cs="Times New Roman"/>
          <w:sz w:val="22"/>
          <w:szCs w:val="22"/>
        </w:rPr>
        <w:t xml:space="preserve"> Amendment reads:  “The Judicial power of the United States shall not be construed to extend to any suit in law or equity, commenced or prosecuted against one of the United States by Citizens of another State, or by Citizens or Subjects of any Foreign State.”</w:t>
      </w:r>
      <w:r w:rsidR="00FE5B9A">
        <w:rPr>
          <w:rFonts w:cs="Times New Roman"/>
          <w:sz w:val="22"/>
          <w:szCs w:val="22"/>
        </w:rPr>
        <w:t xml:space="preserve"> </w:t>
      </w:r>
      <w:r w:rsidR="00FE5B9A" w:rsidRPr="00FE5B9A">
        <w:rPr>
          <w:rFonts w:cs="Times New Roman"/>
          <w:sz w:val="22"/>
          <w:szCs w:val="22"/>
        </w:rPr>
        <w:t xml:space="preserve">The members of the Seminole Tribe were not “Citizens of another State, or Citizens or Subjects of any Foreign State” bringing suit under the federal court’s state-citizen diversity jurisdiction (granted by Article III in the original Constitution but then subsequently repealed by the Eleventh Amendment). Rather, they were </w:t>
      </w:r>
      <w:r w:rsidR="00987C0B">
        <w:rPr>
          <w:rFonts w:cs="Times New Roman"/>
          <w:sz w:val="22"/>
          <w:szCs w:val="22"/>
        </w:rPr>
        <w:t>suing</w:t>
      </w:r>
      <w:r w:rsidR="00FE5B9A" w:rsidRPr="00FE5B9A">
        <w:rPr>
          <w:rFonts w:cs="Times New Roman"/>
          <w:sz w:val="22"/>
          <w:szCs w:val="22"/>
        </w:rPr>
        <w:t xml:space="preserve"> under the federal court’s federal-question jurisdiction</w:t>
      </w:r>
      <w:r w:rsidR="00E74029">
        <w:rPr>
          <w:rFonts w:cs="Times New Roman"/>
          <w:sz w:val="22"/>
          <w:szCs w:val="22"/>
        </w:rPr>
        <w:t>, which was</w:t>
      </w:r>
      <w:r w:rsidR="00FE5B9A" w:rsidRPr="00FE5B9A">
        <w:rPr>
          <w:rFonts w:cs="Times New Roman"/>
          <w:sz w:val="22"/>
          <w:szCs w:val="22"/>
        </w:rPr>
        <w:t xml:space="preserve"> granted by Article III and </w:t>
      </w:r>
      <w:r w:rsidR="00E74029">
        <w:rPr>
          <w:rFonts w:cs="Times New Roman"/>
          <w:sz w:val="22"/>
          <w:szCs w:val="22"/>
        </w:rPr>
        <w:t xml:space="preserve">unaffected </w:t>
      </w:r>
      <w:r w:rsidR="00FE5B9A" w:rsidRPr="00FE5B9A">
        <w:rPr>
          <w:rFonts w:cs="Times New Roman"/>
          <w:sz w:val="22"/>
          <w:szCs w:val="22"/>
        </w:rPr>
        <w:t>by the Eleventh Amendment).</w:t>
      </w:r>
    </w:p>
  </w:endnote>
  <w:endnote w:id="12">
    <w:p w:rsidR="008662A4" w:rsidRPr="001A411A" w:rsidRDefault="008662A4" w:rsidP="00086830">
      <w:pPr>
        <w:pStyle w:val="EndnoteText"/>
        <w:spacing w:line="276" w:lineRule="auto"/>
      </w:pPr>
      <w:r>
        <w:rPr>
          <w:rStyle w:val="EndnoteReference"/>
        </w:rPr>
        <w:endnoteRef/>
      </w:r>
      <w:r>
        <w:t xml:space="preserve"> </w:t>
      </w:r>
      <w:r w:rsidR="001A411A" w:rsidRPr="00233626">
        <w:rPr>
          <w:rFonts w:cs="Times New Roman"/>
        </w:rPr>
        <w:t xml:space="preserve"> </w:t>
      </w:r>
      <w:proofErr w:type="spellStart"/>
      <w:r w:rsidR="001A411A" w:rsidRPr="001A411A">
        <w:rPr>
          <w:rFonts w:cs="Times New Roman"/>
          <w:i/>
          <w:sz w:val="22"/>
          <w:szCs w:val="22"/>
        </w:rPr>
        <w:t>Kimel</w:t>
      </w:r>
      <w:proofErr w:type="spellEnd"/>
      <w:r w:rsidR="001A411A" w:rsidRPr="001A411A">
        <w:rPr>
          <w:rFonts w:cs="Times New Roman"/>
          <w:i/>
          <w:sz w:val="22"/>
          <w:szCs w:val="22"/>
        </w:rPr>
        <w:t xml:space="preserve"> v. Florida Board of Regents</w:t>
      </w:r>
      <w:r w:rsidR="001A411A">
        <w:rPr>
          <w:rFonts w:cs="Times New Roman"/>
          <w:sz w:val="22"/>
          <w:szCs w:val="22"/>
        </w:rPr>
        <w:t xml:space="preserve">, 528 U.S. 62, 81 </w:t>
      </w:r>
      <w:r w:rsidR="001A411A" w:rsidRPr="001A411A">
        <w:rPr>
          <w:rFonts w:cs="Times New Roman"/>
          <w:sz w:val="22"/>
          <w:szCs w:val="22"/>
        </w:rPr>
        <w:t>(2000)</w:t>
      </w:r>
      <w:r w:rsidR="001A411A">
        <w:rPr>
          <w:rFonts w:cs="Times New Roman"/>
          <w:sz w:val="22"/>
          <w:szCs w:val="22"/>
        </w:rPr>
        <w:t xml:space="preserve">.  This test originated in </w:t>
      </w:r>
      <w:r w:rsidR="001A411A">
        <w:rPr>
          <w:rFonts w:cs="Times New Roman"/>
          <w:i/>
          <w:sz w:val="22"/>
          <w:szCs w:val="22"/>
        </w:rPr>
        <w:t>City of Boerne v. Flores</w:t>
      </w:r>
      <w:r w:rsidR="001A411A">
        <w:rPr>
          <w:rFonts w:cs="Times New Roman"/>
          <w:sz w:val="22"/>
          <w:szCs w:val="22"/>
        </w:rPr>
        <w:t>, 521 U.S. 507 (1997).</w:t>
      </w:r>
      <w:r w:rsidR="009B4909">
        <w:rPr>
          <w:rFonts w:cs="Times New Roman"/>
          <w:sz w:val="22"/>
          <w:szCs w:val="22"/>
        </w:rPr>
        <w:t xml:space="preserve">  See </w:t>
      </w:r>
      <w:r w:rsidR="009B4909" w:rsidRPr="009B4909">
        <w:rPr>
          <w:sz w:val="22"/>
          <w:szCs w:val="22"/>
        </w:rPr>
        <w:t xml:space="preserve">Evan H. </w:t>
      </w:r>
      <w:proofErr w:type="spellStart"/>
      <w:r w:rsidR="009B4909" w:rsidRPr="009B4909">
        <w:rPr>
          <w:sz w:val="22"/>
          <w:szCs w:val="22"/>
        </w:rPr>
        <w:t>Caminker</w:t>
      </w:r>
      <w:proofErr w:type="spellEnd"/>
      <w:r w:rsidR="009B4909" w:rsidRPr="009B4909">
        <w:rPr>
          <w:sz w:val="22"/>
          <w:szCs w:val="22"/>
        </w:rPr>
        <w:t xml:space="preserve">, “`Appropriate’ Means-Ends Constraints on Section </w:t>
      </w:r>
      <w:proofErr w:type="gramStart"/>
      <w:r w:rsidR="009B4909" w:rsidRPr="009B4909">
        <w:rPr>
          <w:sz w:val="22"/>
          <w:szCs w:val="22"/>
        </w:rPr>
        <w:t>5  Powers</w:t>
      </w:r>
      <w:proofErr w:type="gramEnd"/>
      <w:r w:rsidR="009B4909" w:rsidRPr="009B4909">
        <w:rPr>
          <w:sz w:val="22"/>
          <w:szCs w:val="22"/>
        </w:rPr>
        <w:t xml:space="preserve">,” </w:t>
      </w:r>
      <w:r w:rsidR="009B4909" w:rsidRPr="009B4909">
        <w:rPr>
          <w:i/>
          <w:sz w:val="22"/>
          <w:szCs w:val="22"/>
        </w:rPr>
        <w:t>Stanford Law Review</w:t>
      </w:r>
      <w:r w:rsidR="009B4909" w:rsidRPr="009B4909">
        <w:rPr>
          <w:sz w:val="22"/>
          <w:szCs w:val="22"/>
        </w:rPr>
        <w:t xml:space="preserve"> </w:t>
      </w:r>
      <w:r w:rsidR="009B4909">
        <w:rPr>
          <w:sz w:val="22"/>
          <w:szCs w:val="22"/>
        </w:rPr>
        <w:t xml:space="preserve">53 </w:t>
      </w:r>
      <w:r w:rsidR="009B4909" w:rsidRPr="009B4909">
        <w:rPr>
          <w:sz w:val="22"/>
          <w:szCs w:val="22"/>
        </w:rPr>
        <w:t>(2001)</w:t>
      </w:r>
      <w:r w:rsidR="009B4909">
        <w:rPr>
          <w:sz w:val="22"/>
          <w:szCs w:val="22"/>
        </w:rPr>
        <w:t>: 1127-</w:t>
      </w:r>
      <w:r w:rsidR="009E00B6">
        <w:rPr>
          <w:sz w:val="22"/>
          <w:szCs w:val="22"/>
        </w:rPr>
        <w:t>1199</w:t>
      </w:r>
      <w:r w:rsidR="009B4909">
        <w:rPr>
          <w:sz w:val="22"/>
          <w:szCs w:val="22"/>
        </w:rPr>
        <w:t>.</w:t>
      </w:r>
      <w:r w:rsidR="009B4909" w:rsidRPr="00233626">
        <w:t xml:space="preserve">  </w:t>
      </w:r>
    </w:p>
  </w:endnote>
  <w:endnote w:id="13">
    <w:p w:rsidR="00716EE0" w:rsidRPr="00233626" w:rsidRDefault="00716EE0" w:rsidP="00086830">
      <w:pPr>
        <w:pStyle w:val="EndnoteText"/>
        <w:spacing w:line="276" w:lineRule="auto"/>
        <w:rPr>
          <w:sz w:val="22"/>
          <w:szCs w:val="22"/>
        </w:rPr>
      </w:pPr>
      <w:r w:rsidRPr="00233626">
        <w:rPr>
          <w:rStyle w:val="EndnoteReference"/>
          <w:sz w:val="22"/>
          <w:szCs w:val="22"/>
        </w:rPr>
        <w:endnoteRef/>
      </w:r>
      <w:r w:rsidRPr="00233626">
        <w:rPr>
          <w:sz w:val="22"/>
          <w:szCs w:val="22"/>
        </w:rPr>
        <w:t xml:space="preserve"> </w:t>
      </w:r>
      <w:proofErr w:type="gramStart"/>
      <w:r w:rsidRPr="00B80FB0">
        <w:rPr>
          <w:i/>
          <w:sz w:val="22"/>
          <w:szCs w:val="22"/>
        </w:rPr>
        <w:t xml:space="preserve">Hines v. </w:t>
      </w:r>
      <w:proofErr w:type="spellStart"/>
      <w:r w:rsidRPr="00B80FB0">
        <w:rPr>
          <w:i/>
          <w:sz w:val="22"/>
          <w:szCs w:val="22"/>
        </w:rPr>
        <w:t>Davidowitz</w:t>
      </w:r>
      <w:proofErr w:type="spellEnd"/>
      <w:r w:rsidRPr="00233626">
        <w:rPr>
          <w:sz w:val="22"/>
          <w:szCs w:val="22"/>
        </w:rPr>
        <w:t>, 312 U.S. 52, 67 (1970).</w:t>
      </w:r>
      <w:proofErr w:type="gramEnd"/>
    </w:p>
  </w:endnote>
  <w:endnote w:id="14">
    <w:p w:rsidR="00F46EF0" w:rsidRPr="00F46EF0" w:rsidRDefault="00F46EF0" w:rsidP="00086830">
      <w:pPr>
        <w:pStyle w:val="EndnoteText"/>
        <w:spacing w:line="276" w:lineRule="auto"/>
        <w:rPr>
          <w:sz w:val="22"/>
          <w:szCs w:val="22"/>
        </w:rPr>
      </w:pPr>
      <w:r>
        <w:rPr>
          <w:rStyle w:val="EndnoteReference"/>
        </w:rPr>
        <w:endnoteRef/>
      </w:r>
      <w:r>
        <w:t xml:space="preserve"> </w:t>
      </w:r>
      <w:r>
        <w:rPr>
          <w:sz w:val="22"/>
          <w:szCs w:val="22"/>
        </w:rPr>
        <w:t>Erin Ryan</w:t>
      </w:r>
      <w:r w:rsidRPr="00F46EF0">
        <w:rPr>
          <w:sz w:val="22"/>
          <w:szCs w:val="22"/>
        </w:rPr>
        <w:t xml:space="preserve">, </w:t>
      </w:r>
      <w:r w:rsidRPr="00F46EF0">
        <w:rPr>
          <w:i/>
          <w:sz w:val="22"/>
          <w:szCs w:val="22"/>
        </w:rPr>
        <w:t xml:space="preserve">Federalism and the Tug of War Within </w:t>
      </w:r>
      <w:r w:rsidRPr="00F46EF0">
        <w:rPr>
          <w:sz w:val="22"/>
          <w:szCs w:val="22"/>
        </w:rPr>
        <w:t>(New York: Oxfo</w:t>
      </w:r>
      <w:r>
        <w:rPr>
          <w:sz w:val="22"/>
          <w:szCs w:val="22"/>
        </w:rPr>
        <w:t>rd University Press, 2011), p. 3.</w:t>
      </w:r>
    </w:p>
  </w:endnote>
  <w:endnote w:id="15">
    <w:p w:rsidR="00E74029" w:rsidRDefault="00947A2E" w:rsidP="00086830">
      <w:pPr>
        <w:spacing w:after="0"/>
      </w:pPr>
      <w:r>
        <w:rPr>
          <w:rStyle w:val="EndnoteReference"/>
        </w:rPr>
        <w:endnoteRef/>
      </w:r>
      <w:r>
        <w:t xml:space="preserve"> There is some scholarly support for this position.  See, for example, </w:t>
      </w:r>
      <w:proofErr w:type="spellStart"/>
      <w:r w:rsidRPr="00233626">
        <w:t>Ilya</w:t>
      </w:r>
      <w:proofErr w:type="spellEnd"/>
      <w:r w:rsidRPr="00233626">
        <w:t xml:space="preserve"> </w:t>
      </w:r>
      <w:proofErr w:type="spellStart"/>
      <w:r w:rsidRPr="00233626">
        <w:t>Somin</w:t>
      </w:r>
      <w:proofErr w:type="spellEnd"/>
      <w:r w:rsidRPr="00233626">
        <w:t>, “Closing the Pandora’s Box of Federalism: The Case for Judicial Restriction of Federal Su</w:t>
      </w:r>
      <w:r w:rsidR="00F46EF0">
        <w:t xml:space="preserve">bsidies to State Governments,” </w:t>
      </w:r>
      <w:r w:rsidRPr="00233626">
        <w:rPr>
          <w:i/>
        </w:rPr>
        <w:t xml:space="preserve">Georgetown Law Review </w:t>
      </w:r>
      <w:r w:rsidR="00B80FB0">
        <w:t>90</w:t>
      </w:r>
      <w:r w:rsidRPr="00233626">
        <w:t xml:space="preserve"> (2002)</w:t>
      </w:r>
      <w:r w:rsidR="00B80FB0">
        <w:t>: 461-</w:t>
      </w:r>
      <w:r w:rsidR="009E00B6">
        <w:t>502</w:t>
      </w:r>
      <w:r w:rsidRPr="00233626">
        <w:t>.</w:t>
      </w:r>
    </w:p>
  </w:endnote>
  <w:endnote w:id="16">
    <w:p w:rsidR="00804E4D" w:rsidRDefault="00804E4D" w:rsidP="00086830">
      <w:pPr>
        <w:pStyle w:val="EndnoteText"/>
        <w:spacing w:line="276" w:lineRule="auto"/>
      </w:pPr>
      <w:r>
        <w:rPr>
          <w:rStyle w:val="EndnoteReference"/>
        </w:rPr>
        <w:endnoteRef/>
      </w:r>
      <w:r>
        <w:t xml:space="preserve"> </w:t>
      </w:r>
      <w:proofErr w:type="gramStart"/>
      <w:r>
        <w:rPr>
          <w:i/>
          <w:sz w:val="22"/>
          <w:szCs w:val="22"/>
        </w:rPr>
        <w:t>National Federation of Independent Business v. Sebelius</w:t>
      </w:r>
      <w:r>
        <w:rPr>
          <w:sz w:val="22"/>
          <w:szCs w:val="22"/>
        </w:rPr>
        <w:t>, 567 U.S. ___, ___.</w:t>
      </w:r>
      <w:proofErr w:type="gramEnd"/>
    </w:p>
  </w:endnote>
  <w:endnote w:id="17">
    <w:p w:rsidR="000A0FF9" w:rsidRPr="00233626" w:rsidRDefault="000A0FF9" w:rsidP="00086830">
      <w:pPr>
        <w:spacing w:after="0"/>
      </w:pPr>
      <w:r>
        <w:rPr>
          <w:rStyle w:val="EndnoteReference"/>
        </w:rPr>
        <w:endnoteRef/>
      </w:r>
      <w:r>
        <w:t xml:space="preserve"> Not all the commentary has been negative—see, for example, Steven G. </w:t>
      </w:r>
      <w:proofErr w:type="spellStart"/>
      <w:r>
        <w:t>Calabresi</w:t>
      </w:r>
      <w:proofErr w:type="spellEnd"/>
      <w:r>
        <w:t xml:space="preserve">, “Federalism and the Rehnquist Court: A Normative Defense,” </w:t>
      </w:r>
      <w:r>
        <w:rPr>
          <w:i/>
        </w:rPr>
        <w:t xml:space="preserve">Annals of the American Association of Political and Social Sciences </w:t>
      </w:r>
      <w:r>
        <w:t>574 (2001): 24-</w:t>
      </w:r>
      <w:r w:rsidR="009E00B6">
        <w:t>36</w:t>
      </w:r>
      <w:r>
        <w:t xml:space="preserve">, and </w:t>
      </w:r>
      <w:r w:rsidRPr="00233626">
        <w:t xml:space="preserve">Keith L. Whittington, “Taking What They Give Us: Explaining the Court’s Federalism Offensive,” </w:t>
      </w:r>
      <w:r w:rsidRPr="000A0FF9">
        <w:rPr>
          <w:i/>
        </w:rPr>
        <w:t>Duke Law Journal</w:t>
      </w:r>
      <w:r>
        <w:t xml:space="preserve">  51</w:t>
      </w:r>
      <w:r w:rsidRPr="00233626">
        <w:t xml:space="preserve"> (2001)</w:t>
      </w:r>
      <w:r>
        <w:t>:477-</w:t>
      </w:r>
      <w:r w:rsidR="009E00B6">
        <w:t>520</w:t>
      </w:r>
      <w:r>
        <w:t>.</w:t>
      </w:r>
      <w:r w:rsidR="00CA4B98">
        <w:t xml:space="preserve"> However, overall commentary has been quite critical—see, for example, Mark </w:t>
      </w:r>
      <w:proofErr w:type="spellStart"/>
      <w:r w:rsidR="00CA4B98">
        <w:t>Tushnet</w:t>
      </w:r>
      <w:proofErr w:type="spellEnd"/>
      <w:r w:rsidR="00CA4B98">
        <w:t xml:space="preserve">, “William Rehnquist’s Federalism,” in Craig M. Bradley, ed., </w:t>
      </w:r>
      <w:r w:rsidR="00CA4B98">
        <w:rPr>
          <w:i/>
        </w:rPr>
        <w:t xml:space="preserve">The Rehnquist Legacy </w:t>
      </w:r>
      <w:r w:rsidR="00CA4B98">
        <w:t xml:space="preserve">(Cambridge University Press, 2006), and John T. Noonan, </w:t>
      </w:r>
      <w:r w:rsidR="00CA4B98">
        <w:rPr>
          <w:i/>
        </w:rPr>
        <w:t xml:space="preserve">Narrowing the Nation’s Power: The Supreme Court Sides with the States </w:t>
      </w:r>
      <w:r w:rsidR="00CA4B98">
        <w:t>(Berkeley: University of California Press, 2002).</w:t>
      </w:r>
    </w:p>
    <w:p w:rsidR="000A0FF9" w:rsidRPr="000A0FF9" w:rsidRDefault="000A0FF9" w:rsidP="00086830">
      <w:pPr>
        <w:pStyle w:val="EndnoteText"/>
        <w:spacing w:line="276" w:lineRule="auto"/>
        <w:rPr>
          <w:sz w:val="22"/>
          <w:szCs w:val="22"/>
        </w:rPr>
      </w:pPr>
    </w:p>
  </w:endnote>
  <w:endnote w:id="18">
    <w:p w:rsidR="00726FD6" w:rsidRDefault="00726FD6" w:rsidP="00086830">
      <w:pPr>
        <w:spacing w:after="0"/>
      </w:pPr>
      <w:r>
        <w:rPr>
          <w:rStyle w:val="EndnoteReference"/>
        </w:rPr>
        <w:endnoteRef/>
      </w:r>
      <w:r>
        <w:t xml:space="preserve"> See </w:t>
      </w:r>
      <w:r w:rsidRPr="00233626">
        <w:t xml:space="preserve">H. Jefferson Powell, “The </w:t>
      </w:r>
      <w:proofErr w:type="spellStart"/>
      <w:r w:rsidRPr="00233626">
        <w:t>Compleat</w:t>
      </w:r>
      <w:proofErr w:type="spellEnd"/>
      <w:r w:rsidRPr="00233626">
        <w:t xml:space="preserve"> Jeffersonian: Justice Rehnquist and Federalism,” </w:t>
      </w:r>
      <w:r w:rsidRPr="00233626">
        <w:rPr>
          <w:i/>
        </w:rPr>
        <w:t xml:space="preserve">Yale L. J. </w:t>
      </w:r>
      <w:r>
        <w:t xml:space="preserve">91 (1982): </w:t>
      </w:r>
      <w:r w:rsidRPr="00233626">
        <w:t>1317, 1367 (1982).</w:t>
      </w:r>
    </w:p>
  </w:endnote>
  <w:endnote w:id="19">
    <w:p w:rsidR="000A0FF9" w:rsidRPr="00F26CAE" w:rsidRDefault="000A0FF9" w:rsidP="00086830">
      <w:pPr>
        <w:spacing w:after="0"/>
      </w:pPr>
      <w:r>
        <w:rPr>
          <w:rStyle w:val="EndnoteReference"/>
        </w:rPr>
        <w:endnoteRef/>
      </w:r>
      <w:r>
        <w:t xml:space="preserve"> Barber, </w:t>
      </w:r>
      <w:r>
        <w:rPr>
          <w:i/>
        </w:rPr>
        <w:t>Fallacies of States’ Rights</w:t>
      </w:r>
      <w:r>
        <w:t>, p. 43.  For related critiques of balance federalism, see</w:t>
      </w:r>
      <w:r w:rsidRPr="00233626">
        <w:t xml:space="preserve"> Robert </w:t>
      </w:r>
      <w:proofErr w:type="spellStart"/>
      <w:r w:rsidRPr="00233626">
        <w:t>Lip</w:t>
      </w:r>
      <w:r>
        <w:t>kin</w:t>
      </w:r>
      <w:proofErr w:type="spellEnd"/>
      <w:r>
        <w:t xml:space="preserve">, “Federalism as Balance,” </w:t>
      </w:r>
      <w:r w:rsidRPr="00AB3C73">
        <w:rPr>
          <w:i/>
        </w:rPr>
        <w:t>Tulane Law Review</w:t>
      </w:r>
      <w:r w:rsidRPr="00233626">
        <w:t xml:space="preserve"> </w:t>
      </w:r>
      <w:r>
        <w:t xml:space="preserve">79 </w:t>
      </w:r>
      <w:r w:rsidRPr="00233626">
        <w:t>(2004)</w:t>
      </w:r>
      <w:r>
        <w:t>: 93-</w:t>
      </w:r>
      <w:r w:rsidR="0044266E">
        <w:t>166</w:t>
      </w:r>
      <w:r>
        <w:t xml:space="preserve">, and Caleb Nelson, “Preemption,” </w:t>
      </w:r>
      <w:r>
        <w:rPr>
          <w:i/>
        </w:rPr>
        <w:t xml:space="preserve">Virginia Law Review </w:t>
      </w:r>
      <w:r>
        <w:t>86 (2000): 225-</w:t>
      </w:r>
      <w:r w:rsidR="0044266E">
        <w:t>305</w:t>
      </w:r>
      <w:r>
        <w:t xml:space="preserve">. Nelson argues that the Supremacy Clause serves as </w:t>
      </w:r>
      <w:r w:rsidRPr="00233626">
        <w:t xml:space="preserve">an injunction against the judicial </w:t>
      </w:r>
      <w:r>
        <w:t>“</w:t>
      </w:r>
      <w:r w:rsidRPr="00233626">
        <w:t>harmonization</w:t>
      </w:r>
      <w:r>
        <w:t>”</w:t>
      </w:r>
      <w:r w:rsidRPr="00233626">
        <w:t xml:space="preserve"> of federal and preexisting state law.</w:t>
      </w:r>
      <w:r>
        <w:t xml:space="preserve"> </w:t>
      </w:r>
    </w:p>
  </w:endnote>
  <w:endnote w:id="20">
    <w:p w:rsidR="000A0FF9" w:rsidRPr="00974831" w:rsidRDefault="000A0FF9" w:rsidP="00086830">
      <w:pPr>
        <w:pStyle w:val="EndnoteText"/>
        <w:spacing w:line="276" w:lineRule="auto"/>
        <w:rPr>
          <w:sz w:val="22"/>
          <w:szCs w:val="22"/>
        </w:rPr>
      </w:pPr>
      <w:r>
        <w:rPr>
          <w:rStyle w:val="EndnoteReference"/>
        </w:rPr>
        <w:endnoteRef/>
      </w:r>
      <w:r>
        <w:t xml:space="preserve"> </w:t>
      </w:r>
      <w:r>
        <w:rPr>
          <w:sz w:val="22"/>
          <w:szCs w:val="22"/>
        </w:rPr>
        <w:t xml:space="preserve">Roane, who was chief justice of the Virginia Supreme Court, attacked </w:t>
      </w:r>
      <w:r>
        <w:rPr>
          <w:i/>
          <w:sz w:val="22"/>
          <w:szCs w:val="22"/>
        </w:rPr>
        <w:t xml:space="preserve">McCulloch </w:t>
      </w:r>
      <w:r>
        <w:rPr>
          <w:sz w:val="22"/>
          <w:szCs w:val="22"/>
        </w:rPr>
        <w:t xml:space="preserve">in a series of newspaper articles, to which Marshall, writing anonymously, replied.  These articles are collected in Gerald Gunther, ed., </w:t>
      </w:r>
      <w:r>
        <w:rPr>
          <w:i/>
          <w:sz w:val="22"/>
          <w:szCs w:val="22"/>
        </w:rPr>
        <w:t xml:space="preserve">John Marshall’s Defense of McCulloch v. Maryland </w:t>
      </w:r>
      <w:r>
        <w:rPr>
          <w:sz w:val="22"/>
          <w:szCs w:val="22"/>
        </w:rPr>
        <w:t>(Stanford, CA: Stanford University Press, 1969).</w:t>
      </w:r>
    </w:p>
  </w:endnote>
  <w:endnote w:id="21">
    <w:p w:rsidR="008A7C24" w:rsidRPr="008A7C24" w:rsidRDefault="008A7C24" w:rsidP="00086830">
      <w:pPr>
        <w:pStyle w:val="EndnoteText"/>
        <w:spacing w:line="276" w:lineRule="auto"/>
        <w:rPr>
          <w:sz w:val="22"/>
          <w:szCs w:val="22"/>
        </w:rPr>
      </w:pPr>
      <w:r>
        <w:rPr>
          <w:rStyle w:val="EndnoteReference"/>
        </w:rPr>
        <w:endnoteRef/>
      </w:r>
      <w:r>
        <w:t xml:space="preserve"> </w:t>
      </w:r>
      <w:r>
        <w:rPr>
          <w:sz w:val="22"/>
          <w:szCs w:val="22"/>
        </w:rPr>
        <w:t xml:space="preserve">The classic exposition of this idea is Herbert Wechsler, “The Political Safeguards of Federalism: The Role of the States in the Composition and Selection of the National Government,” </w:t>
      </w:r>
      <w:r>
        <w:rPr>
          <w:i/>
          <w:sz w:val="22"/>
          <w:szCs w:val="22"/>
        </w:rPr>
        <w:t>Columbia Law Review</w:t>
      </w:r>
      <w:r>
        <w:rPr>
          <w:sz w:val="22"/>
          <w:szCs w:val="22"/>
        </w:rPr>
        <w:t xml:space="preserve"> 54 (1954): 543-</w:t>
      </w:r>
      <w:r w:rsidR="00AD3386">
        <w:rPr>
          <w:sz w:val="22"/>
          <w:szCs w:val="22"/>
        </w:rPr>
        <w:t>556</w:t>
      </w:r>
      <w:r>
        <w:rPr>
          <w:sz w:val="22"/>
          <w:szCs w:val="22"/>
        </w:rPr>
        <w:t xml:space="preserve">.  More recent elaborations of this position include: Jesse H. </w:t>
      </w:r>
      <w:proofErr w:type="spellStart"/>
      <w:r>
        <w:rPr>
          <w:sz w:val="22"/>
          <w:szCs w:val="22"/>
        </w:rPr>
        <w:t>Choper</w:t>
      </w:r>
      <w:proofErr w:type="spellEnd"/>
      <w:r>
        <w:rPr>
          <w:sz w:val="22"/>
          <w:szCs w:val="22"/>
        </w:rPr>
        <w:t xml:space="preserve">, </w:t>
      </w:r>
      <w:r>
        <w:rPr>
          <w:i/>
          <w:sz w:val="22"/>
          <w:szCs w:val="22"/>
        </w:rPr>
        <w:t xml:space="preserve">Judicial Review and the National Political Process: A Functional Reconsideration of the Role of the Supreme Court </w:t>
      </w:r>
      <w:r>
        <w:rPr>
          <w:sz w:val="22"/>
          <w:szCs w:val="22"/>
        </w:rPr>
        <w:t xml:space="preserve">(Chicago: University of Chicago Press, 1980), and Larry Kramer, “Putting the Politics Back into the Political Safeguards of Federalism,” </w:t>
      </w:r>
      <w:r>
        <w:rPr>
          <w:i/>
          <w:sz w:val="22"/>
          <w:szCs w:val="22"/>
        </w:rPr>
        <w:t xml:space="preserve">Columbia Law Review </w:t>
      </w:r>
      <w:r>
        <w:rPr>
          <w:sz w:val="22"/>
          <w:szCs w:val="22"/>
        </w:rPr>
        <w:t>100 (2000): 215-</w:t>
      </w:r>
      <w:r w:rsidR="0044266E">
        <w:rPr>
          <w:sz w:val="22"/>
          <w:szCs w:val="22"/>
        </w:rPr>
        <w:t>293</w:t>
      </w:r>
      <w:r>
        <w:rPr>
          <w:sz w:val="22"/>
          <w:szCs w:val="22"/>
        </w:rPr>
        <w:t>.</w:t>
      </w:r>
    </w:p>
  </w:endnote>
  <w:endnote w:id="22">
    <w:p w:rsidR="005B420D" w:rsidRDefault="005B420D" w:rsidP="00086830">
      <w:pPr>
        <w:pStyle w:val="EndnoteText"/>
        <w:spacing w:line="276" w:lineRule="auto"/>
      </w:pPr>
      <w:r>
        <w:rPr>
          <w:rStyle w:val="EndnoteReference"/>
        </w:rPr>
        <w:endnoteRef/>
      </w:r>
      <w:r>
        <w:t xml:space="preserve"> </w:t>
      </w:r>
      <w:r w:rsidRPr="00233626">
        <w:rPr>
          <w:i/>
          <w:sz w:val="22"/>
          <w:szCs w:val="22"/>
        </w:rPr>
        <w:t>Garcia v. San Antonio Metropolitan Transit Authority</w:t>
      </w:r>
      <w:r w:rsidRPr="00233626">
        <w:rPr>
          <w:sz w:val="22"/>
          <w:szCs w:val="22"/>
        </w:rPr>
        <w:t>, 469 U.S. 528</w:t>
      </w:r>
      <w:r w:rsidR="004E3FB8">
        <w:rPr>
          <w:sz w:val="22"/>
          <w:szCs w:val="22"/>
        </w:rPr>
        <w:t xml:space="preserve">, 553-554 </w:t>
      </w:r>
      <w:r w:rsidRPr="00233626">
        <w:rPr>
          <w:sz w:val="22"/>
          <w:szCs w:val="22"/>
        </w:rPr>
        <w:t>(1985).</w:t>
      </w:r>
    </w:p>
  </w:endnote>
  <w:endnote w:id="23">
    <w:p w:rsidR="00181CC9" w:rsidRPr="00C30EB8" w:rsidRDefault="00181CC9" w:rsidP="00086830">
      <w:pPr>
        <w:spacing w:after="0"/>
      </w:pPr>
      <w:r>
        <w:rPr>
          <w:rStyle w:val="EndnoteReference"/>
        </w:rPr>
        <w:endnoteRef/>
      </w:r>
      <w:r>
        <w:t xml:space="preserve">  Thus Barber notes that “process federalism is the only form of federalism that opposes the idea that the enumeration of national powers implies limited ends.” See Barber, </w:t>
      </w:r>
      <w:r>
        <w:rPr>
          <w:i/>
        </w:rPr>
        <w:t>Fallacies of States’ Rights</w:t>
      </w:r>
      <w:r>
        <w:t xml:space="preserve">, pp. 13-14.  Similarly, dissenting in </w:t>
      </w:r>
      <w:r>
        <w:rPr>
          <w:i/>
        </w:rPr>
        <w:t>United States v. Comstock</w:t>
      </w:r>
      <w:r>
        <w:t xml:space="preserve">, Justice Clarence Thomas observed: </w:t>
      </w:r>
      <w:r w:rsidRPr="00C30EB8">
        <w:t>“</w:t>
      </w:r>
      <w:r w:rsidRPr="00C30EB8">
        <w:rPr>
          <w:rStyle w:val="Emphasis"/>
          <w:rFonts w:eastAsia="Calibri" w:cs="Times New Roman"/>
        </w:rPr>
        <w:t>McCulloch</w:t>
      </w:r>
      <w:r w:rsidRPr="00C30EB8">
        <w:rPr>
          <w:rFonts w:eastAsia="Calibri" w:cs="Times New Roman"/>
        </w:rPr>
        <w:t xml:space="preserve"> accords Congress a certain amount of discretion in assessing means-end fit under this second inquiry. However, unless the end itself is “legitimate,” the fit between means and end is irrelevant. This limitation was of utmost importance to the Framers.</w:t>
      </w:r>
      <w:r w:rsidRPr="00C30EB8">
        <w:t>”</w:t>
      </w:r>
      <w:r>
        <w:t>(560 U.S. 126, ___ [2010])</w:t>
      </w:r>
    </w:p>
  </w:endnote>
  <w:endnote w:id="24">
    <w:p w:rsidR="003F37BD" w:rsidRPr="003F37BD" w:rsidRDefault="003F37BD" w:rsidP="00086830">
      <w:pPr>
        <w:pStyle w:val="EndnoteText"/>
        <w:spacing w:line="276" w:lineRule="auto"/>
        <w:rPr>
          <w:sz w:val="22"/>
          <w:szCs w:val="22"/>
        </w:rPr>
      </w:pPr>
      <w:r>
        <w:rPr>
          <w:rStyle w:val="EndnoteReference"/>
        </w:rPr>
        <w:endnoteRef/>
      </w:r>
      <w:r>
        <w:t xml:space="preserve"> </w:t>
      </w:r>
      <w:r>
        <w:rPr>
          <w:sz w:val="22"/>
          <w:szCs w:val="22"/>
        </w:rPr>
        <w:t xml:space="preserve">See, for example, </w:t>
      </w:r>
      <w:r w:rsidRPr="003F37BD">
        <w:rPr>
          <w:sz w:val="22"/>
          <w:szCs w:val="22"/>
        </w:rPr>
        <w:t xml:space="preserve">John D. Nugent, </w:t>
      </w:r>
      <w:r w:rsidRPr="003F37BD">
        <w:rPr>
          <w:i/>
          <w:sz w:val="22"/>
          <w:szCs w:val="22"/>
        </w:rPr>
        <w:t xml:space="preserve">Safeguarding Federalism: How States Protect Their Interests in National Policymaking </w:t>
      </w:r>
      <w:r w:rsidRPr="003F37BD">
        <w:rPr>
          <w:sz w:val="22"/>
          <w:szCs w:val="22"/>
        </w:rPr>
        <w:t>(Norman: University of Oklahoma Press, 2009),</w:t>
      </w:r>
      <w:r w:rsidR="004E3FB8">
        <w:rPr>
          <w:sz w:val="22"/>
          <w:szCs w:val="22"/>
        </w:rPr>
        <w:t xml:space="preserve"> </w:t>
      </w:r>
      <w:r w:rsidRPr="003F37BD">
        <w:rPr>
          <w:sz w:val="22"/>
          <w:szCs w:val="22"/>
        </w:rPr>
        <w:t xml:space="preserve">and Larry D. Kramer, “Putting the Politics Back into the Political Safeguards of Federalism,” </w:t>
      </w:r>
      <w:r w:rsidRPr="003F37BD">
        <w:rPr>
          <w:i/>
          <w:sz w:val="22"/>
          <w:szCs w:val="22"/>
        </w:rPr>
        <w:t xml:space="preserve">Columbia Law Review </w:t>
      </w:r>
      <w:r w:rsidRPr="003F37BD">
        <w:rPr>
          <w:sz w:val="22"/>
          <w:szCs w:val="22"/>
        </w:rPr>
        <w:t>100 (2000): 215-293</w:t>
      </w:r>
      <w:r>
        <w:rPr>
          <w:sz w:val="22"/>
          <w:szCs w:val="22"/>
        </w:rPr>
        <w:t>.</w:t>
      </w:r>
    </w:p>
  </w:endnote>
  <w:endnote w:id="25">
    <w:p w:rsidR="00C9209D" w:rsidRPr="00C9209D" w:rsidRDefault="00C9209D" w:rsidP="00086830">
      <w:pPr>
        <w:pStyle w:val="EndnoteText"/>
        <w:spacing w:line="276" w:lineRule="auto"/>
        <w:rPr>
          <w:sz w:val="22"/>
          <w:szCs w:val="22"/>
        </w:rPr>
      </w:pPr>
      <w:r>
        <w:rPr>
          <w:rStyle w:val="EndnoteReference"/>
        </w:rPr>
        <w:endnoteRef/>
      </w:r>
      <w:r>
        <w:t xml:space="preserve"> </w:t>
      </w:r>
      <w:r>
        <w:rPr>
          <w:sz w:val="22"/>
          <w:szCs w:val="22"/>
        </w:rPr>
        <w:t xml:space="preserve">See Ralph A. Rossum, </w:t>
      </w:r>
      <w:r>
        <w:rPr>
          <w:i/>
          <w:sz w:val="22"/>
          <w:szCs w:val="22"/>
        </w:rPr>
        <w:t xml:space="preserve">Federalism, the Supreme Court, and the Seventeenth Amendment: The Irony of Constitutional Democracy </w:t>
      </w:r>
      <w:r>
        <w:rPr>
          <w:sz w:val="22"/>
          <w:szCs w:val="22"/>
        </w:rPr>
        <w:t>(Lanham, MD: Lexington Books, 2001).</w:t>
      </w:r>
    </w:p>
  </w:endnote>
  <w:endnote w:id="26">
    <w:p w:rsidR="00410D8E" w:rsidRPr="003F37BD" w:rsidRDefault="00410D8E" w:rsidP="00086830">
      <w:pPr>
        <w:spacing w:after="0"/>
      </w:pPr>
      <w:r w:rsidRPr="003F37BD">
        <w:rPr>
          <w:rStyle w:val="EndnoteReference"/>
        </w:rPr>
        <w:endnoteRef/>
      </w:r>
      <w:r w:rsidRPr="003F37BD">
        <w:t xml:space="preserve"> Edward A. Purcell, Jr., </w:t>
      </w:r>
      <w:r w:rsidRPr="003F37BD">
        <w:rPr>
          <w:i/>
        </w:rPr>
        <w:t xml:space="preserve">Originalism, Federalism, and the American Constitutional Enterprise </w:t>
      </w:r>
      <w:r w:rsidRPr="003F37BD">
        <w:t>(New Haven, CT: Yale University Press, 2007), pp. 7, 193.</w:t>
      </w:r>
      <w:r w:rsidR="001A4EC6">
        <w:t xml:space="preserve">  See also </w:t>
      </w:r>
      <w:r w:rsidR="001A4EC6" w:rsidRPr="00233626">
        <w:t xml:space="preserve">Erin Ryan, </w:t>
      </w:r>
      <w:r w:rsidR="001A4EC6" w:rsidRPr="00233626">
        <w:rPr>
          <w:i/>
        </w:rPr>
        <w:t xml:space="preserve">Federalism and the Tug of War Within </w:t>
      </w:r>
      <w:r w:rsidR="001A4EC6" w:rsidRPr="00233626">
        <w:t>(New York:</w:t>
      </w:r>
      <w:r w:rsidR="001A4EC6">
        <w:t xml:space="preserve"> Oxford University Press, 2011), which notes “</w:t>
      </w:r>
      <w:r w:rsidR="001A4EC6" w:rsidRPr="00233626">
        <w:t>the constitutional indeterminacy that enables alternative theor</w:t>
      </w:r>
      <w:r w:rsidR="001A4EC6">
        <w:t xml:space="preserve">etical models of federalism” and </w:t>
      </w:r>
      <w:r w:rsidR="001A4EC6" w:rsidRPr="00233626">
        <w:rPr>
          <w:rFonts w:cs="Times New Roman"/>
        </w:rPr>
        <w:t>“affords space for multiple interpretations.”</w:t>
      </w:r>
      <w:r w:rsidR="00E5532B">
        <w:rPr>
          <w:rFonts w:cs="Times New Roman"/>
        </w:rPr>
        <w:t xml:space="preserve"> </w:t>
      </w:r>
      <w:r w:rsidR="001A4EC6" w:rsidRPr="00233626">
        <w:rPr>
          <w:rFonts w:cs="Times New Roman"/>
        </w:rPr>
        <w:t>(</w:t>
      </w:r>
      <w:r w:rsidR="001A4EC6">
        <w:rPr>
          <w:rFonts w:cs="Times New Roman"/>
        </w:rPr>
        <w:t xml:space="preserve">pp. 1, </w:t>
      </w:r>
      <w:r w:rsidR="001A4EC6" w:rsidRPr="00233626">
        <w:rPr>
          <w:rFonts w:cs="Times New Roman"/>
        </w:rPr>
        <w:t>107)</w:t>
      </w:r>
    </w:p>
  </w:endnote>
  <w:endnote w:id="27">
    <w:p w:rsidR="00C671D0" w:rsidRPr="00C671D0" w:rsidRDefault="00C671D0" w:rsidP="00086830">
      <w:pPr>
        <w:pStyle w:val="EndnoteText"/>
        <w:spacing w:line="276" w:lineRule="auto"/>
        <w:rPr>
          <w:sz w:val="22"/>
          <w:szCs w:val="22"/>
        </w:rPr>
      </w:pPr>
      <w:r>
        <w:rPr>
          <w:rStyle w:val="EndnoteReference"/>
        </w:rPr>
        <w:endnoteRef/>
      </w:r>
      <w:r>
        <w:t xml:space="preserve"> </w:t>
      </w:r>
      <w:r>
        <w:rPr>
          <w:sz w:val="22"/>
          <w:szCs w:val="22"/>
        </w:rPr>
        <w:t xml:space="preserve">Ryan, </w:t>
      </w:r>
      <w:r>
        <w:rPr>
          <w:i/>
          <w:sz w:val="22"/>
          <w:szCs w:val="22"/>
        </w:rPr>
        <w:t>Federalism</w:t>
      </w:r>
      <w:r>
        <w:rPr>
          <w:sz w:val="22"/>
          <w:szCs w:val="22"/>
        </w:rPr>
        <w:t xml:space="preserve">, p. 339.  My account of Ryan’s book draws on my review in </w:t>
      </w:r>
      <w:proofErr w:type="spellStart"/>
      <w:r>
        <w:rPr>
          <w:i/>
          <w:sz w:val="22"/>
          <w:szCs w:val="22"/>
        </w:rPr>
        <w:t>Publius</w:t>
      </w:r>
      <w:proofErr w:type="spellEnd"/>
      <w:r>
        <w:rPr>
          <w:i/>
          <w:sz w:val="22"/>
          <w:szCs w:val="22"/>
        </w:rPr>
        <w:t>: The Journal of Federalism</w:t>
      </w:r>
      <w:r w:rsidR="00DC2DB5">
        <w:rPr>
          <w:sz w:val="22"/>
          <w:szCs w:val="22"/>
        </w:rPr>
        <w:t xml:space="preserve">, published online at: </w:t>
      </w:r>
      <w:hyperlink r:id="rId1" w:history="1">
        <w:r w:rsidR="00DC2DB5" w:rsidRPr="003B5426">
          <w:rPr>
            <w:rStyle w:val="Hyperlink"/>
            <w:sz w:val="22"/>
            <w:szCs w:val="22"/>
          </w:rPr>
          <w:t>http://publius.oxfordjournals.org/content/early/2013/04/22/publius.pjt018.full</w:t>
        </w:r>
      </w:hyperlink>
      <w:r w:rsidR="00DC2DB5">
        <w:rPr>
          <w:sz w:val="22"/>
          <w:szCs w:val="22"/>
        </w:rPr>
        <w:t xml:space="preserve"> .</w:t>
      </w:r>
      <w:r>
        <w:rPr>
          <w:i/>
          <w:sz w:val="22"/>
          <w:szCs w:val="22"/>
        </w:rPr>
        <w:t xml:space="preserve"> </w:t>
      </w:r>
    </w:p>
  </w:endnote>
  <w:endnote w:id="28">
    <w:p w:rsidR="00DC2DB5" w:rsidRPr="00DC2DB5" w:rsidRDefault="00DC2DB5" w:rsidP="00086830">
      <w:pPr>
        <w:pStyle w:val="EndnoteText"/>
        <w:spacing w:line="276" w:lineRule="auto"/>
        <w:rPr>
          <w:sz w:val="22"/>
          <w:szCs w:val="22"/>
        </w:rPr>
      </w:pPr>
      <w:r>
        <w:rPr>
          <w:rStyle w:val="EndnoteReference"/>
        </w:rPr>
        <w:endnoteRef/>
      </w:r>
      <w:r>
        <w:t xml:space="preserve"> </w:t>
      </w:r>
      <w:r>
        <w:rPr>
          <w:sz w:val="22"/>
          <w:szCs w:val="22"/>
        </w:rPr>
        <w:t xml:space="preserve"> Ryan, </w:t>
      </w:r>
      <w:r>
        <w:rPr>
          <w:i/>
          <w:sz w:val="22"/>
          <w:szCs w:val="22"/>
        </w:rPr>
        <w:t>Federalism</w:t>
      </w:r>
      <w:r>
        <w:rPr>
          <w:sz w:val="22"/>
          <w:szCs w:val="22"/>
        </w:rPr>
        <w:t>, p.</w:t>
      </w:r>
      <w:r>
        <w:rPr>
          <w:i/>
          <w:sz w:val="22"/>
          <w:szCs w:val="22"/>
        </w:rPr>
        <w:t xml:space="preserve"> </w:t>
      </w:r>
      <w:r>
        <w:rPr>
          <w:sz w:val="22"/>
          <w:szCs w:val="22"/>
        </w:rPr>
        <w:t>213.</w:t>
      </w:r>
    </w:p>
  </w:endnote>
  <w:endnote w:id="29">
    <w:p w:rsidR="00510A46" w:rsidRPr="00510A46" w:rsidRDefault="00510A46" w:rsidP="00086830">
      <w:pPr>
        <w:pStyle w:val="EndnoteText"/>
        <w:spacing w:line="276" w:lineRule="auto"/>
        <w:rPr>
          <w:sz w:val="22"/>
          <w:szCs w:val="22"/>
        </w:rPr>
      </w:pPr>
      <w:r>
        <w:rPr>
          <w:rStyle w:val="EndnoteReference"/>
        </w:rPr>
        <w:endnoteRef/>
      </w:r>
      <w:r>
        <w:t xml:space="preserve"> </w:t>
      </w:r>
      <w:r>
        <w:rPr>
          <w:sz w:val="22"/>
          <w:szCs w:val="22"/>
        </w:rPr>
        <w:t xml:space="preserve"> </w:t>
      </w:r>
      <w:proofErr w:type="gramStart"/>
      <w:r>
        <w:rPr>
          <w:sz w:val="22"/>
          <w:szCs w:val="22"/>
        </w:rPr>
        <w:t>Ibid.,</w:t>
      </w:r>
      <w:proofErr w:type="gramEnd"/>
      <w:r>
        <w:rPr>
          <w:sz w:val="22"/>
          <w:szCs w:val="22"/>
        </w:rPr>
        <w:t xml:space="preserve"> p. 158.</w:t>
      </w:r>
    </w:p>
  </w:endnote>
  <w:endnote w:id="30">
    <w:p w:rsidR="00DC2DB5" w:rsidRPr="00DC2DB5" w:rsidRDefault="00DC2DB5" w:rsidP="00086830">
      <w:pPr>
        <w:pStyle w:val="EndnoteText"/>
        <w:spacing w:line="276" w:lineRule="auto"/>
        <w:rPr>
          <w:sz w:val="22"/>
          <w:szCs w:val="22"/>
        </w:rPr>
      </w:pPr>
      <w:r>
        <w:rPr>
          <w:rStyle w:val="EndnoteReference"/>
        </w:rPr>
        <w:endnoteRef/>
      </w:r>
      <w:r>
        <w:t xml:space="preserve"> </w:t>
      </w:r>
      <w:r w:rsidR="00333EF9">
        <w:rPr>
          <w:sz w:val="22"/>
          <w:szCs w:val="22"/>
        </w:rPr>
        <w:t xml:space="preserve"> </w:t>
      </w:r>
      <w:proofErr w:type="gramStart"/>
      <w:r>
        <w:rPr>
          <w:sz w:val="22"/>
          <w:szCs w:val="22"/>
        </w:rPr>
        <w:t>Ibid.,</w:t>
      </w:r>
      <w:proofErr w:type="gramEnd"/>
      <w:r>
        <w:rPr>
          <w:sz w:val="22"/>
          <w:szCs w:val="22"/>
        </w:rPr>
        <w:t xml:space="preserve"> pp. 38-39.</w:t>
      </w:r>
    </w:p>
  </w:endnote>
  <w:endnote w:id="31">
    <w:p w:rsidR="00122B44" w:rsidRPr="00662091" w:rsidRDefault="00122B44" w:rsidP="00086830">
      <w:pPr>
        <w:pStyle w:val="EndnoteText"/>
        <w:spacing w:line="276" w:lineRule="auto"/>
        <w:rPr>
          <w:sz w:val="22"/>
          <w:szCs w:val="22"/>
        </w:rPr>
      </w:pPr>
      <w:r>
        <w:rPr>
          <w:rStyle w:val="EndnoteReference"/>
        </w:rPr>
        <w:endnoteRef/>
      </w:r>
      <w:r>
        <w:t xml:space="preserve"> </w:t>
      </w:r>
      <w:proofErr w:type="gramStart"/>
      <w:r w:rsidRPr="00662091">
        <w:rPr>
          <w:sz w:val="22"/>
          <w:szCs w:val="22"/>
        </w:rPr>
        <w:t>Ibid.,</w:t>
      </w:r>
      <w:proofErr w:type="gramEnd"/>
      <w:r w:rsidR="0043403E">
        <w:rPr>
          <w:sz w:val="22"/>
          <w:szCs w:val="22"/>
        </w:rPr>
        <w:t xml:space="preserve"> p</w:t>
      </w:r>
      <w:r w:rsidRPr="00662091">
        <w:rPr>
          <w:sz w:val="22"/>
          <w:szCs w:val="22"/>
        </w:rPr>
        <w:t xml:space="preserve">p. </w:t>
      </w:r>
      <w:r>
        <w:rPr>
          <w:sz w:val="22"/>
          <w:szCs w:val="22"/>
        </w:rPr>
        <w:t xml:space="preserve">66-67, </w:t>
      </w:r>
      <w:r w:rsidRPr="00662091">
        <w:rPr>
          <w:sz w:val="22"/>
          <w:szCs w:val="22"/>
        </w:rPr>
        <w:t>146.</w:t>
      </w:r>
      <w:r w:rsidR="0050320D">
        <w:rPr>
          <w:sz w:val="22"/>
          <w:szCs w:val="22"/>
        </w:rPr>
        <w:t xml:space="preserve"> </w:t>
      </w:r>
    </w:p>
  </w:endnote>
  <w:endnote w:id="32">
    <w:p w:rsidR="0043403E" w:rsidRPr="0043403E" w:rsidRDefault="0043403E" w:rsidP="00086830">
      <w:pPr>
        <w:pStyle w:val="EndnoteText"/>
        <w:spacing w:line="276" w:lineRule="auto"/>
        <w:rPr>
          <w:sz w:val="22"/>
          <w:szCs w:val="22"/>
        </w:rPr>
      </w:pPr>
      <w:r>
        <w:rPr>
          <w:rStyle w:val="EndnoteReference"/>
        </w:rPr>
        <w:endnoteRef/>
      </w:r>
      <w:r>
        <w:t xml:space="preserve"> </w:t>
      </w:r>
      <w:proofErr w:type="gramStart"/>
      <w:r w:rsidRPr="0043403E">
        <w:rPr>
          <w:sz w:val="22"/>
          <w:szCs w:val="22"/>
        </w:rPr>
        <w:t>Ibid.,</w:t>
      </w:r>
      <w:proofErr w:type="gramEnd"/>
      <w:r w:rsidRPr="0043403E">
        <w:rPr>
          <w:sz w:val="22"/>
          <w:szCs w:val="22"/>
        </w:rPr>
        <w:t xml:space="preserve"> p. 107.</w:t>
      </w:r>
    </w:p>
  </w:endnote>
  <w:endnote w:id="33">
    <w:p w:rsidR="009B4909" w:rsidRPr="00EF1502" w:rsidRDefault="009B4909" w:rsidP="00086830">
      <w:pPr>
        <w:spacing w:after="0"/>
      </w:pPr>
      <w:r>
        <w:rPr>
          <w:rStyle w:val="EndnoteReference"/>
        </w:rPr>
        <w:endnoteRef/>
      </w:r>
      <w:r>
        <w:t xml:space="preserve"> Michael S. </w:t>
      </w:r>
      <w:proofErr w:type="spellStart"/>
      <w:r>
        <w:t>Greve</w:t>
      </w:r>
      <w:proofErr w:type="spellEnd"/>
      <w:r>
        <w:t xml:space="preserve">, </w:t>
      </w:r>
      <w:r>
        <w:rPr>
          <w:i/>
        </w:rPr>
        <w:t xml:space="preserve">The Upside-Down Constitution </w:t>
      </w:r>
      <w:r>
        <w:t xml:space="preserve">(Cambridge, MA: Harvard University Press, 2012). </w:t>
      </w:r>
      <w:r w:rsidR="002D41E1">
        <w:t xml:space="preserve">He states that the constitutional order “has been revolutionized in the very specific sense of having been stood on its head.”(2) </w:t>
      </w:r>
      <w:r>
        <w:t>For analysis of the strengths and weaknesses of competitive federalism</w:t>
      </w:r>
      <w:r w:rsidR="00EF1502">
        <w:t xml:space="preserve"> in practice</w:t>
      </w:r>
      <w:r>
        <w:t xml:space="preserve">, see </w:t>
      </w:r>
      <w:r w:rsidR="00EF1502">
        <w:t xml:space="preserve">Daphne A. Kenyon and John Kincaid, eds., </w:t>
      </w:r>
      <w:r w:rsidR="00EF1502">
        <w:rPr>
          <w:i/>
        </w:rPr>
        <w:t xml:space="preserve">Competition Among States and Local Governments: Efficiency and Equity in American Federalism </w:t>
      </w:r>
      <w:r w:rsidR="00EF1502">
        <w:t>(Washington, DC: Urban Institute Press, 1991).</w:t>
      </w:r>
    </w:p>
  </w:endnote>
  <w:endnote w:id="34">
    <w:p w:rsidR="001A5B6F" w:rsidRDefault="001A5B6F" w:rsidP="00086830">
      <w:pPr>
        <w:pStyle w:val="EndnoteText"/>
        <w:spacing w:line="276" w:lineRule="auto"/>
      </w:pPr>
      <w:r>
        <w:rPr>
          <w:rStyle w:val="EndnoteReference"/>
        </w:rPr>
        <w:endnoteRef/>
      </w:r>
      <w:r>
        <w:t xml:space="preserve"> </w:t>
      </w:r>
      <w:proofErr w:type="spellStart"/>
      <w:r w:rsidRPr="001A5B6F">
        <w:rPr>
          <w:sz w:val="22"/>
          <w:szCs w:val="22"/>
        </w:rPr>
        <w:t>Greve</w:t>
      </w:r>
      <w:proofErr w:type="spellEnd"/>
      <w:r w:rsidRPr="001A5B6F">
        <w:rPr>
          <w:sz w:val="22"/>
          <w:szCs w:val="22"/>
        </w:rPr>
        <w:t xml:space="preserve">, </w:t>
      </w:r>
      <w:r>
        <w:rPr>
          <w:i/>
          <w:sz w:val="22"/>
          <w:szCs w:val="22"/>
        </w:rPr>
        <w:t xml:space="preserve">Upside-Down Constitution, </w:t>
      </w:r>
      <w:r w:rsidRPr="001A5B6F">
        <w:rPr>
          <w:sz w:val="22"/>
          <w:szCs w:val="22"/>
        </w:rPr>
        <w:t>p. 5</w:t>
      </w:r>
      <w:r>
        <w:t>.</w:t>
      </w:r>
    </w:p>
  </w:endnote>
  <w:endnote w:id="35">
    <w:p w:rsidR="00E5532B" w:rsidRPr="00E5532B" w:rsidRDefault="00E5532B" w:rsidP="00086830">
      <w:pPr>
        <w:pStyle w:val="EndnoteText"/>
        <w:spacing w:line="276" w:lineRule="auto"/>
        <w:rPr>
          <w:sz w:val="22"/>
          <w:szCs w:val="22"/>
        </w:rPr>
      </w:pPr>
      <w:r>
        <w:rPr>
          <w:rStyle w:val="EndnoteReference"/>
        </w:rPr>
        <w:endnoteRef/>
      </w:r>
      <w:r>
        <w:t xml:space="preserve"> </w:t>
      </w:r>
      <w:proofErr w:type="gramStart"/>
      <w:r>
        <w:rPr>
          <w:sz w:val="22"/>
          <w:szCs w:val="22"/>
        </w:rPr>
        <w:t>Ibid.,</w:t>
      </w:r>
      <w:proofErr w:type="gramEnd"/>
      <w:r>
        <w:rPr>
          <w:sz w:val="22"/>
          <w:szCs w:val="22"/>
        </w:rPr>
        <w:t xml:space="preserve"> pp. 7, 16, and 36.</w:t>
      </w:r>
    </w:p>
  </w:endnote>
  <w:endnote w:id="36">
    <w:p w:rsidR="007D22D1" w:rsidRPr="007D22D1" w:rsidRDefault="007D22D1" w:rsidP="00086830">
      <w:pPr>
        <w:pStyle w:val="EndnoteText"/>
        <w:spacing w:line="276" w:lineRule="auto"/>
        <w:rPr>
          <w:sz w:val="22"/>
          <w:szCs w:val="22"/>
        </w:rPr>
      </w:pPr>
      <w:r>
        <w:rPr>
          <w:rStyle w:val="EndnoteReference"/>
        </w:rPr>
        <w:endnoteRef/>
      </w:r>
      <w:r>
        <w:t xml:space="preserve"> </w:t>
      </w:r>
      <w:proofErr w:type="gramStart"/>
      <w:r>
        <w:rPr>
          <w:sz w:val="22"/>
          <w:szCs w:val="22"/>
        </w:rPr>
        <w:t>Ibid.,</w:t>
      </w:r>
      <w:proofErr w:type="gramEnd"/>
      <w:r>
        <w:rPr>
          <w:sz w:val="22"/>
          <w:szCs w:val="22"/>
        </w:rPr>
        <w:t xml:space="preserve"> p. 81.</w:t>
      </w:r>
    </w:p>
  </w:endnote>
  <w:endnote w:id="37">
    <w:p w:rsidR="0050320D" w:rsidRPr="0050320D" w:rsidRDefault="0050320D" w:rsidP="00086830">
      <w:pPr>
        <w:pStyle w:val="EndnoteText"/>
        <w:spacing w:line="276" w:lineRule="auto"/>
        <w:rPr>
          <w:sz w:val="22"/>
          <w:szCs w:val="22"/>
        </w:rPr>
      </w:pPr>
      <w:r>
        <w:rPr>
          <w:rStyle w:val="EndnoteReference"/>
        </w:rPr>
        <w:endnoteRef/>
      </w:r>
      <w:r>
        <w:t xml:space="preserve"> </w:t>
      </w:r>
      <w:proofErr w:type="gramStart"/>
      <w:r>
        <w:rPr>
          <w:sz w:val="22"/>
          <w:szCs w:val="22"/>
        </w:rPr>
        <w:t>Ibid.,</w:t>
      </w:r>
      <w:proofErr w:type="gramEnd"/>
      <w:r>
        <w:rPr>
          <w:sz w:val="22"/>
          <w:szCs w:val="22"/>
        </w:rPr>
        <w:t xml:space="preserve"> p. 55.</w:t>
      </w:r>
    </w:p>
  </w:endnote>
  <w:endnote w:id="38">
    <w:p w:rsidR="009B3B63" w:rsidRPr="009B3B63" w:rsidRDefault="009B3B63" w:rsidP="00086830">
      <w:pPr>
        <w:pStyle w:val="EndnoteText"/>
        <w:spacing w:line="276" w:lineRule="auto"/>
        <w:rPr>
          <w:sz w:val="22"/>
          <w:szCs w:val="22"/>
        </w:rPr>
      </w:pPr>
      <w:r>
        <w:rPr>
          <w:rStyle w:val="EndnoteReference"/>
        </w:rPr>
        <w:endnoteRef/>
      </w:r>
      <w:r>
        <w:t xml:space="preserve"> </w:t>
      </w:r>
      <w:proofErr w:type="gramStart"/>
      <w:r>
        <w:rPr>
          <w:sz w:val="22"/>
          <w:szCs w:val="22"/>
        </w:rPr>
        <w:t>Ibid.,</w:t>
      </w:r>
      <w:proofErr w:type="gramEnd"/>
      <w:r>
        <w:rPr>
          <w:sz w:val="22"/>
          <w:szCs w:val="22"/>
        </w:rPr>
        <w:t xml:space="preserve"> p. 81.</w:t>
      </w:r>
    </w:p>
  </w:endnote>
  <w:endnote w:id="39">
    <w:p w:rsidR="00850733" w:rsidRPr="0050320D" w:rsidRDefault="00850733" w:rsidP="00086830">
      <w:pPr>
        <w:spacing w:after="0"/>
      </w:pPr>
      <w:r>
        <w:rPr>
          <w:rStyle w:val="EndnoteReference"/>
        </w:rPr>
        <w:endnoteRef/>
      </w:r>
      <w:r>
        <w:t xml:space="preserve"> </w:t>
      </w:r>
      <w:proofErr w:type="gramStart"/>
      <w:r>
        <w:t>Ibid.,</w:t>
      </w:r>
      <w:proofErr w:type="gramEnd"/>
      <w:r>
        <w:t xml:space="preserve"> p. 244.</w:t>
      </w:r>
      <w:r w:rsidR="0050320D">
        <w:t xml:space="preserve"> </w:t>
      </w:r>
      <w:r w:rsidR="0050320D" w:rsidRPr="0050320D">
        <w:t xml:space="preserve">See also John Joseph Wallis and Wallace E. Oates, “The Impact of the New Deal on American Federalism,” in Michael D. </w:t>
      </w:r>
      <w:proofErr w:type="spellStart"/>
      <w:r w:rsidR="0050320D" w:rsidRPr="0050320D">
        <w:t>Bordo</w:t>
      </w:r>
      <w:proofErr w:type="spellEnd"/>
      <w:r w:rsidR="0050320D" w:rsidRPr="0050320D">
        <w:t xml:space="preserve">, Claudia </w:t>
      </w:r>
      <w:proofErr w:type="spellStart"/>
      <w:r w:rsidR="0050320D" w:rsidRPr="0050320D">
        <w:t>Goldin</w:t>
      </w:r>
      <w:proofErr w:type="spellEnd"/>
      <w:r w:rsidR="0050320D" w:rsidRPr="0050320D">
        <w:t xml:space="preserve">, and Eugene N. White, eds., </w:t>
      </w:r>
      <w:r w:rsidR="0050320D" w:rsidRPr="0050320D">
        <w:rPr>
          <w:i/>
        </w:rPr>
        <w:t xml:space="preserve">The Defining Moment: The Great Depression and the American Economy in the Twentieth Century </w:t>
      </w:r>
      <w:r w:rsidR="0050320D" w:rsidRPr="0050320D">
        <w:t>(University of Chicago Press, 1998)</w:t>
      </w:r>
      <w:r w:rsidR="0050320D">
        <w:t xml:space="preserve">, p.171, documenting that the </w:t>
      </w:r>
      <w:r w:rsidR="0050320D" w:rsidRPr="00233626">
        <w:t xml:space="preserve">state share of total government revenues from own sources rose from 16.4% </w:t>
      </w:r>
      <w:r w:rsidR="0050320D">
        <w:t xml:space="preserve">in </w:t>
      </w:r>
      <w:r w:rsidR="0050320D" w:rsidRPr="00233626">
        <w:t xml:space="preserve">1927 to 21.7% </w:t>
      </w:r>
      <w:r w:rsidR="0050320D">
        <w:t xml:space="preserve">in </w:t>
      </w:r>
      <w:r w:rsidR="0050320D" w:rsidRPr="00233626">
        <w:t>1934</w:t>
      </w:r>
      <w:r w:rsidR="0050320D">
        <w:t xml:space="preserve"> </w:t>
      </w:r>
      <w:r w:rsidR="0050320D" w:rsidRPr="00233626">
        <w:t xml:space="preserve">to 28.2% </w:t>
      </w:r>
      <w:r w:rsidR="0050320D">
        <w:t xml:space="preserve">in </w:t>
      </w:r>
      <w:r w:rsidR="0050320D" w:rsidRPr="00233626">
        <w:t>1940.</w:t>
      </w:r>
      <w:r w:rsidR="0050320D" w:rsidRPr="0050320D">
        <w:t>.</w:t>
      </w:r>
    </w:p>
  </w:endnote>
  <w:endnote w:id="40">
    <w:p w:rsidR="0050320D" w:rsidRPr="0050320D" w:rsidRDefault="0050320D" w:rsidP="00086830">
      <w:pPr>
        <w:pStyle w:val="EndnoteText"/>
        <w:spacing w:line="276" w:lineRule="auto"/>
        <w:rPr>
          <w:sz w:val="22"/>
          <w:szCs w:val="22"/>
        </w:rPr>
      </w:pPr>
      <w:r>
        <w:rPr>
          <w:rStyle w:val="EndnoteReference"/>
        </w:rPr>
        <w:endnoteRef/>
      </w:r>
      <w:r>
        <w:t xml:space="preserve"> </w:t>
      </w:r>
      <w:proofErr w:type="spellStart"/>
      <w:r>
        <w:rPr>
          <w:sz w:val="22"/>
          <w:szCs w:val="22"/>
        </w:rPr>
        <w:t>Greve</w:t>
      </w:r>
      <w:proofErr w:type="spellEnd"/>
      <w:r>
        <w:rPr>
          <w:sz w:val="22"/>
          <w:szCs w:val="22"/>
        </w:rPr>
        <w:t xml:space="preserve">, </w:t>
      </w:r>
      <w:r>
        <w:rPr>
          <w:i/>
          <w:sz w:val="22"/>
          <w:szCs w:val="22"/>
        </w:rPr>
        <w:t>Upside-Down Constitution</w:t>
      </w:r>
      <w:r>
        <w:rPr>
          <w:sz w:val="22"/>
          <w:szCs w:val="22"/>
        </w:rPr>
        <w:t>, p. 408, note 8.</w:t>
      </w:r>
    </w:p>
  </w:endnote>
  <w:endnote w:id="41">
    <w:p w:rsidR="003E0665" w:rsidRPr="00264A1D" w:rsidRDefault="003E0665" w:rsidP="00086830">
      <w:pPr>
        <w:pStyle w:val="EndnoteText"/>
        <w:spacing w:line="276" w:lineRule="auto"/>
        <w:rPr>
          <w:sz w:val="22"/>
          <w:szCs w:val="22"/>
        </w:rPr>
      </w:pPr>
      <w:r>
        <w:rPr>
          <w:rStyle w:val="EndnoteReference"/>
        </w:rPr>
        <w:endnoteRef/>
      </w:r>
      <w:r>
        <w:t xml:space="preserve"> </w:t>
      </w:r>
      <w:r>
        <w:rPr>
          <w:sz w:val="22"/>
          <w:szCs w:val="22"/>
        </w:rPr>
        <w:t xml:space="preserve">David L. Shapiro, </w:t>
      </w:r>
      <w:r>
        <w:rPr>
          <w:i/>
          <w:sz w:val="22"/>
          <w:szCs w:val="22"/>
        </w:rPr>
        <w:t xml:space="preserve">Federalism: A Dialogue </w:t>
      </w:r>
      <w:r>
        <w:rPr>
          <w:sz w:val="22"/>
          <w:szCs w:val="22"/>
        </w:rPr>
        <w:t xml:space="preserve">(Evanston, IL: Northwestern University Press, 1995), p. 6.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3B" w:rsidRDefault="00C7043B" w:rsidP="00482EBF">
      <w:pPr>
        <w:spacing w:after="0" w:line="240" w:lineRule="auto"/>
      </w:pPr>
      <w:r>
        <w:separator/>
      </w:r>
    </w:p>
  </w:footnote>
  <w:footnote w:type="continuationSeparator" w:id="0">
    <w:p w:rsidR="00C7043B" w:rsidRDefault="00C7043B" w:rsidP="00482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863932"/>
      <w:docPartObj>
        <w:docPartGallery w:val="Page Numbers (Top of Page)"/>
        <w:docPartUnique/>
      </w:docPartObj>
    </w:sdtPr>
    <w:sdtEndPr>
      <w:rPr>
        <w:noProof/>
      </w:rPr>
    </w:sdtEndPr>
    <w:sdtContent>
      <w:p w:rsidR="003E3154" w:rsidRDefault="002D61D1">
        <w:pPr>
          <w:pStyle w:val="Header"/>
          <w:jc w:val="right"/>
        </w:pPr>
        <w:r>
          <w:fldChar w:fldCharType="begin"/>
        </w:r>
        <w:r w:rsidR="003E3154">
          <w:instrText xml:space="preserve"> PAGE   \* MERGEFORMAT </w:instrText>
        </w:r>
        <w:r>
          <w:fldChar w:fldCharType="separate"/>
        </w:r>
        <w:r w:rsidR="00B47F4F">
          <w:rPr>
            <w:noProof/>
          </w:rPr>
          <w:t>2</w:t>
        </w:r>
        <w:r>
          <w:rPr>
            <w:noProof/>
          </w:rPr>
          <w:fldChar w:fldCharType="end"/>
        </w:r>
      </w:p>
    </w:sdtContent>
  </w:sdt>
  <w:p w:rsidR="003E3154" w:rsidRDefault="003E31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useFELayout/>
  </w:compat>
  <w:rsids>
    <w:rsidRoot w:val="00F82595"/>
    <w:rsid w:val="00001C17"/>
    <w:rsid w:val="00043241"/>
    <w:rsid w:val="00070D16"/>
    <w:rsid w:val="00086830"/>
    <w:rsid w:val="000956FB"/>
    <w:rsid w:val="000A00E3"/>
    <w:rsid w:val="000A0FF9"/>
    <w:rsid w:val="000A4113"/>
    <w:rsid w:val="000A417D"/>
    <w:rsid w:val="000B5259"/>
    <w:rsid w:val="000F1A6C"/>
    <w:rsid w:val="000F6011"/>
    <w:rsid w:val="0011054C"/>
    <w:rsid w:val="00122B44"/>
    <w:rsid w:val="001263CC"/>
    <w:rsid w:val="001361F0"/>
    <w:rsid w:val="00142AA3"/>
    <w:rsid w:val="001513A9"/>
    <w:rsid w:val="00160FF6"/>
    <w:rsid w:val="00181CC9"/>
    <w:rsid w:val="001A21BE"/>
    <w:rsid w:val="001A411A"/>
    <w:rsid w:val="001A4EC6"/>
    <w:rsid w:val="001A5B6F"/>
    <w:rsid w:val="001A7BCB"/>
    <w:rsid w:val="001B4A11"/>
    <w:rsid w:val="001D23EA"/>
    <w:rsid w:val="001D366C"/>
    <w:rsid w:val="001E6936"/>
    <w:rsid w:val="002302E9"/>
    <w:rsid w:val="00233626"/>
    <w:rsid w:val="00255D48"/>
    <w:rsid w:val="00264A1D"/>
    <w:rsid w:val="002D09A6"/>
    <w:rsid w:val="002D41E1"/>
    <w:rsid w:val="002D61D1"/>
    <w:rsid w:val="002E1FF3"/>
    <w:rsid w:val="002F30C2"/>
    <w:rsid w:val="00306220"/>
    <w:rsid w:val="00307286"/>
    <w:rsid w:val="00333EF9"/>
    <w:rsid w:val="00350247"/>
    <w:rsid w:val="00351088"/>
    <w:rsid w:val="0036133D"/>
    <w:rsid w:val="003739CA"/>
    <w:rsid w:val="00387A19"/>
    <w:rsid w:val="003A162E"/>
    <w:rsid w:val="003E0665"/>
    <w:rsid w:val="003E3154"/>
    <w:rsid w:val="003F37BD"/>
    <w:rsid w:val="003F5339"/>
    <w:rsid w:val="003F584A"/>
    <w:rsid w:val="00410D8E"/>
    <w:rsid w:val="00421CD7"/>
    <w:rsid w:val="00425B14"/>
    <w:rsid w:val="0043403E"/>
    <w:rsid w:val="00435F7A"/>
    <w:rsid w:val="0044266E"/>
    <w:rsid w:val="004471F1"/>
    <w:rsid w:val="004653C3"/>
    <w:rsid w:val="00480EB5"/>
    <w:rsid w:val="00482EBF"/>
    <w:rsid w:val="004A3193"/>
    <w:rsid w:val="004A584F"/>
    <w:rsid w:val="004C5B79"/>
    <w:rsid w:val="004D0A78"/>
    <w:rsid w:val="004E3FB8"/>
    <w:rsid w:val="004E58EE"/>
    <w:rsid w:val="004F24BA"/>
    <w:rsid w:val="0050320D"/>
    <w:rsid w:val="00503C1D"/>
    <w:rsid w:val="00507509"/>
    <w:rsid w:val="00510A46"/>
    <w:rsid w:val="00513C3D"/>
    <w:rsid w:val="00540D8D"/>
    <w:rsid w:val="0056199B"/>
    <w:rsid w:val="00570879"/>
    <w:rsid w:val="00571D17"/>
    <w:rsid w:val="00574F0D"/>
    <w:rsid w:val="005833B0"/>
    <w:rsid w:val="005B420D"/>
    <w:rsid w:val="005C6E85"/>
    <w:rsid w:val="005E24A6"/>
    <w:rsid w:val="005E4926"/>
    <w:rsid w:val="005F72DA"/>
    <w:rsid w:val="005F7A9F"/>
    <w:rsid w:val="00633862"/>
    <w:rsid w:val="00650F57"/>
    <w:rsid w:val="00654FD6"/>
    <w:rsid w:val="0065731C"/>
    <w:rsid w:val="00662091"/>
    <w:rsid w:val="00662330"/>
    <w:rsid w:val="0066709F"/>
    <w:rsid w:val="0067447E"/>
    <w:rsid w:val="006A48B3"/>
    <w:rsid w:val="006B2D9F"/>
    <w:rsid w:val="006F0EC2"/>
    <w:rsid w:val="00701863"/>
    <w:rsid w:val="00701908"/>
    <w:rsid w:val="00712BF0"/>
    <w:rsid w:val="0071467E"/>
    <w:rsid w:val="0071602E"/>
    <w:rsid w:val="00716EE0"/>
    <w:rsid w:val="00723989"/>
    <w:rsid w:val="00726FD6"/>
    <w:rsid w:val="00730F8F"/>
    <w:rsid w:val="00731F2C"/>
    <w:rsid w:val="0077576F"/>
    <w:rsid w:val="007A2096"/>
    <w:rsid w:val="007B2D30"/>
    <w:rsid w:val="007B4968"/>
    <w:rsid w:val="007B62E1"/>
    <w:rsid w:val="007C024D"/>
    <w:rsid w:val="007D22D1"/>
    <w:rsid w:val="007F5DC4"/>
    <w:rsid w:val="008001B5"/>
    <w:rsid w:val="00804E4D"/>
    <w:rsid w:val="00821C6C"/>
    <w:rsid w:val="00826D20"/>
    <w:rsid w:val="008366CA"/>
    <w:rsid w:val="00845DF5"/>
    <w:rsid w:val="00850733"/>
    <w:rsid w:val="008662A4"/>
    <w:rsid w:val="00884989"/>
    <w:rsid w:val="008A7C24"/>
    <w:rsid w:val="008B64DE"/>
    <w:rsid w:val="008E46DF"/>
    <w:rsid w:val="009063DC"/>
    <w:rsid w:val="0090763B"/>
    <w:rsid w:val="00910AE6"/>
    <w:rsid w:val="00930953"/>
    <w:rsid w:val="00947A2E"/>
    <w:rsid w:val="00950A74"/>
    <w:rsid w:val="00952FCF"/>
    <w:rsid w:val="009656C7"/>
    <w:rsid w:val="0096718B"/>
    <w:rsid w:val="00974831"/>
    <w:rsid w:val="00975C98"/>
    <w:rsid w:val="0098434F"/>
    <w:rsid w:val="00987C0B"/>
    <w:rsid w:val="00994DF7"/>
    <w:rsid w:val="009B3B63"/>
    <w:rsid w:val="009B4909"/>
    <w:rsid w:val="009B5805"/>
    <w:rsid w:val="009D0599"/>
    <w:rsid w:val="009D13BC"/>
    <w:rsid w:val="009D5BF0"/>
    <w:rsid w:val="009D6E6C"/>
    <w:rsid w:val="009E00B6"/>
    <w:rsid w:val="009E583B"/>
    <w:rsid w:val="009E66B6"/>
    <w:rsid w:val="009E7711"/>
    <w:rsid w:val="009F6582"/>
    <w:rsid w:val="00A303AE"/>
    <w:rsid w:val="00A434B9"/>
    <w:rsid w:val="00A436CB"/>
    <w:rsid w:val="00A46446"/>
    <w:rsid w:val="00A72436"/>
    <w:rsid w:val="00A85903"/>
    <w:rsid w:val="00A977BB"/>
    <w:rsid w:val="00AB3C73"/>
    <w:rsid w:val="00AD281E"/>
    <w:rsid w:val="00AD3386"/>
    <w:rsid w:val="00AD661D"/>
    <w:rsid w:val="00AD6739"/>
    <w:rsid w:val="00B149DC"/>
    <w:rsid w:val="00B20694"/>
    <w:rsid w:val="00B405BC"/>
    <w:rsid w:val="00B45A44"/>
    <w:rsid w:val="00B47F4F"/>
    <w:rsid w:val="00B62960"/>
    <w:rsid w:val="00B62EB5"/>
    <w:rsid w:val="00B632AD"/>
    <w:rsid w:val="00B7192B"/>
    <w:rsid w:val="00B72CA5"/>
    <w:rsid w:val="00B80FB0"/>
    <w:rsid w:val="00B904E6"/>
    <w:rsid w:val="00BA4154"/>
    <w:rsid w:val="00BB4F3C"/>
    <w:rsid w:val="00BC4A54"/>
    <w:rsid w:val="00BD7848"/>
    <w:rsid w:val="00C139FD"/>
    <w:rsid w:val="00C17154"/>
    <w:rsid w:val="00C235FC"/>
    <w:rsid w:val="00C23D45"/>
    <w:rsid w:val="00C30EB8"/>
    <w:rsid w:val="00C56F1B"/>
    <w:rsid w:val="00C671D0"/>
    <w:rsid w:val="00C7043B"/>
    <w:rsid w:val="00C73574"/>
    <w:rsid w:val="00C767AA"/>
    <w:rsid w:val="00C82FC3"/>
    <w:rsid w:val="00C8570B"/>
    <w:rsid w:val="00C9209D"/>
    <w:rsid w:val="00C96199"/>
    <w:rsid w:val="00C97A18"/>
    <w:rsid w:val="00CA174F"/>
    <w:rsid w:val="00CA4B98"/>
    <w:rsid w:val="00CE5398"/>
    <w:rsid w:val="00CE7781"/>
    <w:rsid w:val="00CF3C1F"/>
    <w:rsid w:val="00CF67CC"/>
    <w:rsid w:val="00D057F6"/>
    <w:rsid w:val="00D06252"/>
    <w:rsid w:val="00D3627B"/>
    <w:rsid w:val="00D4404B"/>
    <w:rsid w:val="00D472B0"/>
    <w:rsid w:val="00D60996"/>
    <w:rsid w:val="00D7211F"/>
    <w:rsid w:val="00D73E46"/>
    <w:rsid w:val="00D74105"/>
    <w:rsid w:val="00DB02B1"/>
    <w:rsid w:val="00DC2DB5"/>
    <w:rsid w:val="00DF1F88"/>
    <w:rsid w:val="00DF4B5F"/>
    <w:rsid w:val="00DF4D84"/>
    <w:rsid w:val="00E05464"/>
    <w:rsid w:val="00E5532B"/>
    <w:rsid w:val="00E74029"/>
    <w:rsid w:val="00E74B12"/>
    <w:rsid w:val="00EE14B2"/>
    <w:rsid w:val="00EF1502"/>
    <w:rsid w:val="00F26CAE"/>
    <w:rsid w:val="00F44464"/>
    <w:rsid w:val="00F46EF0"/>
    <w:rsid w:val="00F82595"/>
    <w:rsid w:val="00F86360"/>
    <w:rsid w:val="00F87CC9"/>
    <w:rsid w:val="00F964A6"/>
    <w:rsid w:val="00FA06C6"/>
    <w:rsid w:val="00FB0F79"/>
    <w:rsid w:val="00FB626C"/>
    <w:rsid w:val="00FD6735"/>
    <w:rsid w:val="00FE1081"/>
    <w:rsid w:val="00FE5B9A"/>
    <w:rsid w:val="00FE5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82EBF"/>
    <w:pPr>
      <w:spacing w:after="0" w:line="240" w:lineRule="auto"/>
    </w:pPr>
    <w:rPr>
      <w:sz w:val="20"/>
      <w:szCs w:val="20"/>
    </w:rPr>
  </w:style>
  <w:style w:type="character" w:customStyle="1" w:styleId="EndnoteTextChar">
    <w:name w:val="Endnote Text Char"/>
    <w:basedOn w:val="DefaultParagraphFont"/>
    <w:link w:val="EndnoteText"/>
    <w:uiPriority w:val="99"/>
    <w:rsid w:val="00482EBF"/>
    <w:rPr>
      <w:sz w:val="20"/>
      <w:szCs w:val="20"/>
    </w:rPr>
  </w:style>
  <w:style w:type="character" w:styleId="EndnoteReference">
    <w:name w:val="endnote reference"/>
    <w:basedOn w:val="DefaultParagraphFont"/>
    <w:uiPriority w:val="99"/>
    <w:unhideWhenUsed/>
    <w:rsid w:val="00482EBF"/>
    <w:rPr>
      <w:vertAlign w:val="superscript"/>
    </w:rPr>
  </w:style>
  <w:style w:type="paragraph" w:styleId="BalloonText">
    <w:name w:val="Balloon Text"/>
    <w:basedOn w:val="Normal"/>
    <w:link w:val="BalloonTextChar"/>
    <w:uiPriority w:val="99"/>
    <w:semiHidden/>
    <w:unhideWhenUsed/>
    <w:rsid w:val="00482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BF"/>
    <w:rPr>
      <w:rFonts w:ascii="Tahoma" w:hAnsi="Tahoma" w:cs="Tahoma"/>
      <w:sz w:val="16"/>
      <w:szCs w:val="16"/>
    </w:rPr>
  </w:style>
  <w:style w:type="character" w:customStyle="1" w:styleId="95AGrom">
    <w:name w:val="9.5 AG rom"/>
    <w:rsid w:val="00716EE0"/>
    <w:rPr>
      <w:noProof w:val="0"/>
      <w:sz w:val="19"/>
      <w:lang w:val="en-US"/>
    </w:rPr>
  </w:style>
  <w:style w:type="paragraph" w:customStyle="1" w:styleId="Extract">
    <w:name w:val="Extract"/>
    <w:basedOn w:val="Normal"/>
    <w:rsid w:val="00513C3D"/>
    <w:pPr>
      <w:spacing w:after="0" w:line="480" w:lineRule="auto"/>
      <w:ind w:left="720" w:right="720"/>
      <w:jc w:val="both"/>
    </w:pPr>
    <w:rPr>
      <w:rFonts w:ascii="Helvetica" w:eastAsia="Times New Roman" w:hAnsi="Helvetica" w:cs="Times New Roman"/>
      <w:sz w:val="20"/>
      <w:szCs w:val="20"/>
    </w:rPr>
  </w:style>
  <w:style w:type="paragraph" w:customStyle="1" w:styleId="bodytext">
    <w:name w:val="bodytext"/>
    <w:basedOn w:val="Normal"/>
    <w:rsid w:val="00513C3D"/>
    <w:pPr>
      <w:spacing w:before="100" w:beforeAutospacing="1" w:after="100" w:afterAutospacing="1" w:line="240" w:lineRule="auto"/>
    </w:pPr>
    <w:rPr>
      <w:rFonts w:ascii="Times" w:eastAsia="MS Mincho" w:hAnsi="Times" w:cs="Arial"/>
      <w:sz w:val="20"/>
      <w:szCs w:val="20"/>
    </w:rPr>
  </w:style>
  <w:style w:type="character" w:styleId="Emphasis">
    <w:name w:val="Emphasis"/>
    <w:basedOn w:val="DefaultParagraphFont"/>
    <w:qFormat/>
    <w:rsid w:val="00D06252"/>
    <w:rPr>
      <w:i/>
      <w:iCs/>
    </w:rPr>
  </w:style>
  <w:style w:type="character" w:styleId="Hyperlink">
    <w:name w:val="Hyperlink"/>
    <w:basedOn w:val="DefaultParagraphFont"/>
    <w:uiPriority w:val="99"/>
    <w:unhideWhenUsed/>
    <w:rsid w:val="00DC2DB5"/>
    <w:rPr>
      <w:color w:val="0000FF" w:themeColor="hyperlink"/>
      <w:u w:val="single"/>
    </w:rPr>
  </w:style>
  <w:style w:type="paragraph" w:styleId="Header">
    <w:name w:val="header"/>
    <w:basedOn w:val="Normal"/>
    <w:link w:val="HeaderChar"/>
    <w:uiPriority w:val="99"/>
    <w:unhideWhenUsed/>
    <w:rsid w:val="003E3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154"/>
  </w:style>
  <w:style w:type="paragraph" w:styleId="Footer">
    <w:name w:val="footer"/>
    <w:basedOn w:val="Normal"/>
    <w:link w:val="FooterChar"/>
    <w:uiPriority w:val="99"/>
    <w:unhideWhenUsed/>
    <w:rsid w:val="003E3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82EBF"/>
    <w:pPr>
      <w:spacing w:after="0" w:line="240" w:lineRule="auto"/>
    </w:pPr>
    <w:rPr>
      <w:sz w:val="20"/>
      <w:szCs w:val="20"/>
    </w:rPr>
  </w:style>
  <w:style w:type="character" w:customStyle="1" w:styleId="EndnoteTextChar">
    <w:name w:val="Endnote Text Char"/>
    <w:basedOn w:val="DefaultParagraphFont"/>
    <w:link w:val="EndnoteText"/>
    <w:uiPriority w:val="99"/>
    <w:rsid w:val="00482EBF"/>
    <w:rPr>
      <w:sz w:val="20"/>
      <w:szCs w:val="20"/>
    </w:rPr>
  </w:style>
  <w:style w:type="character" w:styleId="EndnoteReference">
    <w:name w:val="endnote reference"/>
    <w:basedOn w:val="DefaultParagraphFont"/>
    <w:uiPriority w:val="99"/>
    <w:unhideWhenUsed/>
    <w:rsid w:val="00482EBF"/>
    <w:rPr>
      <w:vertAlign w:val="superscript"/>
    </w:rPr>
  </w:style>
  <w:style w:type="paragraph" w:styleId="BalloonText">
    <w:name w:val="Balloon Text"/>
    <w:basedOn w:val="Normal"/>
    <w:link w:val="BalloonTextChar"/>
    <w:uiPriority w:val="99"/>
    <w:semiHidden/>
    <w:unhideWhenUsed/>
    <w:rsid w:val="00482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BF"/>
    <w:rPr>
      <w:rFonts w:ascii="Tahoma" w:hAnsi="Tahoma" w:cs="Tahoma"/>
      <w:sz w:val="16"/>
      <w:szCs w:val="16"/>
    </w:rPr>
  </w:style>
  <w:style w:type="character" w:customStyle="1" w:styleId="95AGrom">
    <w:name w:val="9.5 AG rom"/>
    <w:rsid w:val="00716EE0"/>
    <w:rPr>
      <w:noProof w:val="0"/>
      <w:sz w:val="19"/>
      <w:lang w:val="en-US"/>
    </w:rPr>
  </w:style>
  <w:style w:type="paragraph" w:customStyle="1" w:styleId="Extract">
    <w:name w:val="Extract"/>
    <w:basedOn w:val="Normal"/>
    <w:rsid w:val="00513C3D"/>
    <w:pPr>
      <w:spacing w:after="0" w:line="480" w:lineRule="auto"/>
      <w:ind w:left="720" w:right="720"/>
      <w:jc w:val="both"/>
    </w:pPr>
    <w:rPr>
      <w:rFonts w:ascii="Helvetica" w:eastAsia="Times New Roman" w:hAnsi="Helvetica" w:cs="Times New Roman"/>
      <w:sz w:val="20"/>
      <w:szCs w:val="20"/>
    </w:rPr>
  </w:style>
  <w:style w:type="paragraph" w:customStyle="1" w:styleId="bodytext">
    <w:name w:val="bodytext"/>
    <w:basedOn w:val="Normal"/>
    <w:rsid w:val="00513C3D"/>
    <w:pPr>
      <w:spacing w:before="100" w:beforeAutospacing="1" w:after="100" w:afterAutospacing="1" w:line="240" w:lineRule="auto"/>
    </w:pPr>
    <w:rPr>
      <w:rFonts w:ascii="Times" w:eastAsia="MS Mincho" w:hAnsi="Times" w:cs="Arial"/>
      <w:sz w:val="20"/>
      <w:szCs w:val="20"/>
    </w:rPr>
  </w:style>
  <w:style w:type="character" w:styleId="Emphasis">
    <w:name w:val="Emphasis"/>
    <w:basedOn w:val="DefaultParagraphFont"/>
    <w:qFormat/>
    <w:rsid w:val="00D06252"/>
    <w:rPr>
      <w:i/>
      <w:iCs/>
    </w:rPr>
  </w:style>
  <w:style w:type="character" w:styleId="Hyperlink">
    <w:name w:val="Hyperlink"/>
    <w:basedOn w:val="DefaultParagraphFont"/>
    <w:uiPriority w:val="99"/>
    <w:unhideWhenUsed/>
    <w:rsid w:val="00DC2DB5"/>
    <w:rPr>
      <w:color w:val="0000FF" w:themeColor="hyperlink"/>
      <w:u w:val="single"/>
    </w:rPr>
  </w:style>
  <w:style w:type="paragraph" w:styleId="Header">
    <w:name w:val="header"/>
    <w:basedOn w:val="Normal"/>
    <w:link w:val="HeaderChar"/>
    <w:uiPriority w:val="99"/>
    <w:unhideWhenUsed/>
    <w:rsid w:val="003E3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154"/>
  </w:style>
  <w:style w:type="paragraph" w:styleId="Footer">
    <w:name w:val="footer"/>
    <w:basedOn w:val="Normal"/>
    <w:link w:val="FooterChar"/>
    <w:uiPriority w:val="99"/>
    <w:unhideWhenUsed/>
    <w:rsid w:val="003E3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154"/>
  </w:style>
</w:styles>
</file>

<file path=word/webSettings.xml><?xml version="1.0" encoding="utf-8"?>
<w:webSettings xmlns:r="http://schemas.openxmlformats.org/officeDocument/2006/relationships" xmlns:w="http://schemas.openxmlformats.org/wordprocessingml/2006/main">
  <w:divs>
    <w:div w:id="521285694">
      <w:bodyDiv w:val="1"/>
      <w:marLeft w:val="0"/>
      <w:marRight w:val="0"/>
      <w:marTop w:val="0"/>
      <w:marBottom w:val="0"/>
      <w:divBdr>
        <w:top w:val="none" w:sz="0" w:space="0" w:color="auto"/>
        <w:left w:val="none" w:sz="0" w:space="0" w:color="auto"/>
        <w:bottom w:val="none" w:sz="0" w:space="0" w:color="auto"/>
        <w:right w:val="none" w:sz="0" w:space="0" w:color="auto"/>
      </w:divBdr>
    </w:div>
    <w:div w:id="550195556">
      <w:bodyDiv w:val="1"/>
      <w:marLeft w:val="0"/>
      <w:marRight w:val="0"/>
      <w:marTop w:val="0"/>
      <w:marBottom w:val="0"/>
      <w:divBdr>
        <w:top w:val="none" w:sz="0" w:space="0" w:color="auto"/>
        <w:left w:val="none" w:sz="0" w:space="0" w:color="auto"/>
        <w:bottom w:val="none" w:sz="0" w:space="0" w:color="auto"/>
        <w:right w:val="none" w:sz="0" w:space="0" w:color="auto"/>
      </w:divBdr>
    </w:div>
    <w:div w:id="980384076">
      <w:bodyDiv w:val="1"/>
      <w:marLeft w:val="0"/>
      <w:marRight w:val="0"/>
      <w:marTop w:val="0"/>
      <w:marBottom w:val="0"/>
      <w:divBdr>
        <w:top w:val="none" w:sz="0" w:space="0" w:color="auto"/>
        <w:left w:val="none" w:sz="0" w:space="0" w:color="auto"/>
        <w:bottom w:val="none" w:sz="0" w:space="0" w:color="auto"/>
        <w:right w:val="none" w:sz="0" w:space="0" w:color="auto"/>
      </w:divBdr>
      <w:divsChild>
        <w:div w:id="37363092">
          <w:marLeft w:val="0"/>
          <w:marRight w:val="0"/>
          <w:marTop w:val="0"/>
          <w:marBottom w:val="0"/>
          <w:divBdr>
            <w:top w:val="none" w:sz="0" w:space="0" w:color="auto"/>
            <w:left w:val="none" w:sz="0" w:space="0" w:color="auto"/>
            <w:bottom w:val="none" w:sz="0" w:space="0" w:color="auto"/>
            <w:right w:val="none" w:sz="0" w:space="0" w:color="auto"/>
          </w:divBdr>
        </w:div>
        <w:div w:id="704718253">
          <w:marLeft w:val="0"/>
          <w:marRight w:val="0"/>
          <w:marTop w:val="0"/>
          <w:marBottom w:val="0"/>
          <w:divBdr>
            <w:top w:val="none" w:sz="0" w:space="0" w:color="auto"/>
            <w:left w:val="none" w:sz="0" w:space="0" w:color="auto"/>
            <w:bottom w:val="none" w:sz="0" w:space="0" w:color="auto"/>
            <w:right w:val="none" w:sz="0" w:space="0" w:color="auto"/>
          </w:divBdr>
        </w:div>
        <w:div w:id="1180706419">
          <w:marLeft w:val="0"/>
          <w:marRight w:val="0"/>
          <w:marTop w:val="0"/>
          <w:marBottom w:val="0"/>
          <w:divBdr>
            <w:top w:val="none" w:sz="0" w:space="0" w:color="auto"/>
            <w:left w:val="none" w:sz="0" w:space="0" w:color="auto"/>
            <w:bottom w:val="none" w:sz="0" w:space="0" w:color="auto"/>
            <w:right w:val="none" w:sz="0" w:space="0" w:color="auto"/>
          </w:divBdr>
        </w:div>
        <w:div w:id="1236234815">
          <w:marLeft w:val="0"/>
          <w:marRight w:val="0"/>
          <w:marTop w:val="0"/>
          <w:marBottom w:val="0"/>
          <w:divBdr>
            <w:top w:val="none" w:sz="0" w:space="0" w:color="auto"/>
            <w:left w:val="none" w:sz="0" w:space="0" w:color="auto"/>
            <w:bottom w:val="none" w:sz="0" w:space="0" w:color="auto"/>
            <w:right w:val="none" w:sz="0" w:space="0" w:color="auto"/>
          </w:divBdr>
        </w:div>
        <w:div w:id="1788624385">
          <w:marLeft w:val="0"/>
          <w:marRight w:val="0"/>
          <w:marTop w:val="0"/>
          <w:marBottom w:val="0"/>
          <w:divBdr>
            <w:top w:val="none" w:sz="0" w:space="0" w:color="auto"/>
            <w:left w:val="none" w:sz="0" w:space="0" w:color="auto"/>
            <w:bottom w:val="none" w:sz="0" w:space="0" w:color="auto"/>
            <w:right w:val="none" w:sz="0" w:space="0" w:color="auto"/>
          </w:divBdr>
        </w:div>
      </w:divsChild>
    </w:div>
    <w:div w:id="1359814352">
      <w:bodyDiv w:val="1"/>
      <w:marLeft w:val="0"/>
      <w:marRight w:val="0"/>
      <w:marTop w:val="0"/>
      <w:marBottom w:val="0"/>
      <w:divBdr>
        <w:top w:val="none" w:sz="0" w:space="0" w:color="auto"/>
        <w:left w:val="none" w:sz="0" w:space="0" w:color="auto"/>
        <w:bottom w:val="none" w:sz="0" w:space="0" w:color="auto"/>
        <w:right w:val="none" w:sz="0" w:space="0" w:color="auto"/>
      </w:divBdr>
    </w:div>
    <w:div w:id="194079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publius.oxfordjournals.org/content/early/2013/04/22/publius.pjt018.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Bur06</b:Tag>
    <b:SourceType>Book</b:SourceType>
    <b:Guid>{D606DE02-ACBB-4A10-97C1-07A115C8EDFF}</b:Guid>
    <b:Author>
      <b:Author>
        <b:NameList>
          <b:Person>
            <b:Last>Burgess</b:Last>
            <b:First>Michael</b:First>
          </b:Person>
        </b:NameList>
      </b:Author>
    </b:Author>
    <b:Title>Comparative Federalism: Theory and Practice</b:Title>
    <b:Year>2006</b:Year>
    <b:City>Oxon</b:City>
    <b:Publisher>Routledge</b:Publisher>
    <b:RefOrder>1</b:RefOrder>
  </b:Source>
  <b:Source>
    <b:Tag>Woo11</b:Tag>
    <b:SourceType>Book</b:SourceType>
    <b:Guid>{AA44536B-FC02-4B22-98BC-CB6DFEC41FB9}</b:Guid>
    <b:Author>
      <b:Author>
        <b:NameList>
          <b:Person>
            <b:Last>Woodrow</b:Last>
            <b:First>Wilson</b:First>
          </b:Person>
        </b:NameList>
      </b:Author>
    </b:Author>
    <b:Title>Constitutional Government in the United States</b:Title>
    <b:Year>1911</b:Year>
    <b:City>New York</b:City>
    <b:Publisher>Columbia University Press</b:Publisher>
    <b:RefOrder>2</b:RefOrder>
  </b:Source>
  <b:Source>
    <b:Tag>Sha95</b:Tag>
    <b:SourceType>Book</b:SourceType>
    <b:Guid>{442DD315-D74F-4B82-80A7-05239718CC45}</b:Guid>
    <b:Author>
      <b:Author>
        <b:NameList>
          <b:Person>
            <b:Last>Shapiro</b:Last>
            <b:First>David</b:First>
            <b:Middle>L.</b:Middle>
          </b:Person>
        </b:NameList>
      </b:Author>
    </b:Author>
    <b:Title>Federalism: A Dialogue</b:Title>
    <b:Year>1995</b:Year>
    <b:City>Evanston, IL</b:City>
    <b:Publisher>Northwestern University Press</b:Publisher>
    <b:RefOrder>3</b:RefOrder>
  </b:Source>
</b:Sources>
</file>

<file path=customXml/itemProps1.xml><?xml version="1.0" encoding="utf-8"?>
<ds:datastoreItem xmlns:ds="http://schemas.openxmlformats.org/officeDocument/2006/customXml" ds:itemID="{C5ABC31B-C762-4989-96E0-A552CD8D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6510</Words>
  <Characters>37112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Tarr</dc:creator>
  <cp:lastModifiedBy>tarr</cp:lastModifiedBy>
  <cp:revision>2</cp:revision>
  <cp:lastPrinted>2013-05-14T12:31:00Z</cp:lastPrinted>
  <dcterms:created xsi:type="dcterms:W3CDTF">2015-01-19T19:38:00Z</dcterms:created>
  <dcterms:modified xsi:type="dcterms:W3CDTF">2015-01-19T19:38:00Z</dcterms:modified>
</cp:coreProperties>
</file>