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31940" w14:textId="2993E49C" w:rsidR="00424756" w:rsidRPr="00013F71" w:rsidRDefault="00EC19E9" w:rsidP="00C26571">
      <w:pPr>
        <w:pStyle w:val="Title"/>
        <w:spacing w:line="240" w:lineRule="auto"/>
        <w:rPr>
          <w:b/>
          <w:bCs/>
          <w:sz w:val="28"/>
          <w:szCs w:val="28"/>
        </w:rPr>
      </w:pPr>
      <w:r w:rsidRPr="00013F71">
        <w:rPr>
          <w:b/>
          <w:bCs/>
          <w:sz w:val="28"/>
          <w:szCs w:val="28"/>
        </w:rPr>
        <w:t>2016</w:t>
      </w:r>
      <w:r w:rsidR="00E65BA9" w:rsidRPr="00013F71">
        <w:rPr>
          <w:b/>
          <w:bCs/>
          <w:sz w:val="28"/>
          <w:szCs w:val="28"/>
        </w:rPr>
        <w:t xml:space="preserve"> WPSA State Budget Roundtable</w:t>
      </w:r>
    </w:p>
    <w:p w14:paraId="0F0944AC" w14:textId="77777777" w:rsidR="00026477" w:rsidRPr="00013F71" w:rsidRDefault="00026477" w:rsidP="00C26571">
      <w:pPr>
        <w:pStyle w:val="Title"/>
        <w:spacing w:line="240" w:lineRule="auto"/>
        <w:rPr>
          <w:b/>
          <w:bCs/>
          <w:sz w:val="28"/>
          <w:szCs w:val="28"/>
        </w:rPr>
      </w:pPr>
    </w:p>
    <w:p w14:paraId="719C25B7" w14:textId="77777777" w:rsidR="00026477" w:rsidRPr="00013F71" w:rsidRDefault="00026477" w:rsidP="00C26571">
      <w:pPr>
        <w:pStyle w:val="Title"/>
        <w:spacing w:line="240" w:lineRule="auto"/>
        <w:rPr>
          <w:b/>
          <w:bCs/>
          <w:sz w:val="28"/>
          <w:szCs w:val="28"/>
        </w:rPr>
      </w:pPr>
    </w:p>
    <w:p w14:paraId="74A67E5F" w14:textId="77777777" w:rsidR="00026477" w:rsidRPr="00013F71" w:rsidRDefault="00026477" w:rsidP="00C26571">
      <w:pPr>
        <w:pStyle w:val="Title"/>
        <w:spacing w:line="240" w:lineRule="auto"/>
        <w:rPr>
          <w:b/>
          <w:bCs/>
          <w:sz w:val="28"/>
          <w:szCs w:val="28"/>
        </w:rPr>
      </w:pPr>
    </w:p>
    <w:p w14:paraId="324AF993" w14:textId="77777777" w:rsidR="00026477" w:rsidRPr="00013F71" w:rsidRDefault="00026477" w:rsidP="00C26571">
      <w:pPr>
        <w:pStyle w:val="Title"/>
        <w:spacing w:line="240" w:lineRule="auto"/>
        <w:rPr>
          <w:b/>
          <w:bCs/>
          <w:sz w:val="28"/>
          <w:szCs w:val="28"/>
        </w:rPr>
      </w:pPr>
    </w:p>
    <w:p w14:paraId="0E5FD645" w14:textId="42479804" w:rsidR="00026477" w:rsidRPr="00013F71" w:rsidRDefault="001531E3" w:rsidP="00C26571">
      <w:pPr>
        <w:pStyle w:val="Title"/>
        <w:spacing w:line="240" w:lineRule="auto"/>
        <w:rPr>
          <w:b/>
          <w:bCs/>
          <w:sz w:val="28"/>
          <w:szCs w:val="28"/>
        </w:rPr>
      </w:pPr>
      <w:r w:rsidRPr="00013F71">
        <w:rPr>
          <w:b/>
          <w:bCs/>
          <w:sz w:val="28"/>
          <w:szCs w:val="28"/>
        </w:rPr>
        <w:t>“There Is No Way To Perfume The Pig”</w:t>
      </w:r>
      <w:r w:rsidR="001A0EDA" w:rsidRPr="00013F71">
        <w:rPr>
          <w:rStyle w:val="FootnoteReference"/>
          <w:b/>
          <w:bCs/>
          <w:sz w:val="28"/>
          <w:szCs w:val="28"/>
        </w:rPr>
        <w:footnoteReference w:id="1"/>
      </w:r>
    </w:p>
    <w:p w14:paraId="01554802" w14:textId="77777777" w:rsidR="00026477" w:rsidRPr="00013F71" w:rsidRDefault="00026477" w:rsidP="00C26571">
      <w:pPr>
        <w:pStyle w:val="Title"/>
        <w:spacing w:line="240" w:lineRule="auto"/>
        <w:rPr>
          <w:b/>
          <w:bCs/>
          <w:sz w:val="28"/>
          <w:szCs w:val="28"/>
        </w:rPr>
      </w:pPr>
    </w:p>
    <w:p w14:paraId="3FB832C4" w14:textId="77777777" w:rsidR="00026477" w:rsidRPr="00013F71" w:rsidRDefault="00026477" w:rsidP="00C26571">
      <w:pPr>
        <w:pStyle w:val="Title"/>
        <w:spacing w:line="240" w:lineRule="auto"/>
        <w:rPr>
          <w:b/>
          <w:bCs/>
          <w:sz w:val="28"/>
          <w:szCs w:val="28"/>
        </w:rPr>
      </w:pPr>
    </w:p>
    <w:p w14:paraId="206AFC26" w14:textId="77777777" w:rsidR="0038003E" w:rsidRPr="00013F71" w:rsidRDefault="0038003E" w:rsidP="00C26571">
      <w:pPr>
        <w:pStyle w:val="Title"/>
        <w:spacing w:line="240" w:lineRule="auto"/>
        <w:rPr>
          <w:b/>
          <w:bCs/>
          <w:sz w:val="28"/>
          <w:szCs w:val="28"/>
        </w:rPr>
      </w:pPr>
    </w:p>
    <w:p w14:paraId="435811B9" w14:textId="77777777" w:rsidR="0038003E" w:rsidRPr="00013F71" w:rsidRDefault="0038003E" w:rsidP="00C26571">
      <w:pPr>
        <w:pStyle w:val="Title"/>
        <w:spacing w:line="240" w:lineRule="auto"/>
        <w:rPr>
          <w:b/>
          <w:bCs/>
          <w:sz w:val="28"/>
          <w:szCs w:val="28"/>
        </w:rPr>
      </w:pPr>
    </w:p>
    <w:p w14:paraId="24ACD0D5" w14:textId="77777777" w:rsidR="0038003E" w:rsidRPr="00013F71" w:rsidRDefault="0038003E" w:rsidP="00C26571">
      <w:pPr>
        <w:pStyle w:val="Title"/>
        <w:spacing w:line="240" w:lineRule="auto"/>
        <w:rPr>
          <w:b/>
          <w:bCs/>
          <w:sz w:val="28"/>
          <w:szCs w:val="28"/>
        </w:rPr>
      </w:pPr>
    </w:p>
    <w:p w14:paraId="18807255" w14:textId="77777777" w:rsidR="00026477" w:rsidRPr="00013F71" w:rsidRDefault="00026477" w:rsidP="00C26571">
      <w:pPr>
        <w:pStyle w:val="Title"/>
        <w:spacing w:line="240" w:lineRule="auto"/>
        <w:rPr>
          <w:b/>
          <w:bCs/>
          <w:sz w:val="28"/>
          <w:szCs w:val="28"/>
        </w:rPr>
      </w:pPr>
    </w:p>
    <w:p w14:paraId="12AEDFC1" w14:textId="77777777" w:rsidR="00026477" w:rsidRPr="00013F71" w:rsidRDefault="00026477" w:rsidP="00C26571">
      <w:pPr>
        <w:pStyle w:val="Title"/>
        <w:spacing w:line="240" w:lineRule="auto"/>
        <w:rPr>
          <w:b/>
          <w:bCs/>
          <w:sz w:val="28"/>
          <w:szCs w:val="28"/>
        </w:rPr>
      </w:pPr>
    </w:p>
    <w:p w14:paraId="59CA9D6B" w14:textId="77777777" w:rsidR="00026477" w:rsidRPr="00013F71" w:rsidRDefault="00026477" w:rsidP="00C26571">
      <w:pPr>
        <w:pStyle w:val="Title"/>
        <w:spacing w:line="240" w:lineRule="auto"/>
        <w:rPr>
          <w:b/>
          <w:bCs/>
          <w:sz w:val="28"/>
          <w:szCs w:val="28"/>
        </w:rPr>
      </w:pPr>
    </w:p>
    <w:p w14:paraId="4D05F573" w14:textId="77777777" w:rsidR="00026477" w:rsidRPr="00013F71" w:rsidRDefault="00026477" w:rsidP="00C26571">
      <w:pPr>
        <w:pStyle w:val="Title"/>
        <w:spacing w:line="240" w:lineRule="auto"/>
        <w:rPr>
          <w:b/>
          <w:bCs/>
          <w:sz w:val="28"/>
          <w:szCs w:val="28"/>
        </w:rPr>
      </w:pPr>
    </w:p>
    <w:p w14:paraId="78A625F9" w14:textId="77777777" w:rsidR="00026477" w:rsidRPr="00013F71" w:rsidRDefault="00026477" w:rsidP="00C26571">
      <w:pPr>
        <w:pStyle w:val="Title"/>
        <w:spacing w:line="240" w:lineRule="auto"/>
        <w:rPr>
          <w:b/>
          <w:bCs/>
          <w:sz w:val="28"/>
          <w:szCs w:val="28"/>
        </w:rPr>
      </w:pPr>
    </w:p>
    <w:p w14:paraId="190BC290" w14:textId="23703620" w:rsidR="00026477" w:rsidRPr="00013F71" w:rsidRDefault="00026477" w:rsidP="00C26571">
      <w:pPr>
        <w:pStyle w:val="Title"/>
        <w:spacing w:line="240" w:lineRule="auto"/>
        <w:rPr>
          <w:b/>
          <w:bCs/>
          <w:sz w:val="28"/>
          <w:szCs w:val="28"/>
        </w:rPr>
      </w:pPr>
      <w:r w:rsidRPr="00013F71">
        <w:rPr>
          <w:b/>
          <w:bCs/>
          <w:sz w:val="28"/>
          <w:szCs w:val="28"/>
        </w:rPr>
        <w:t>Robert A. Schuhmann</w:t>
      </w:r>
    </w:p>
    <w:p w14:paraId="7333C096" w14:textId="0254910C" w:rsidR="00026477" w:rsidRPr="00013F71" w:rsidRDefault="00026477" w:rsidP="00C26571">
      <w:pPr>
        <w:pStyle w:val="Title"/>
        <w:spacing w:line="240" w:lineRule="auto"/>
        <w:rPr>
          <w:b/>
          <w:bCs/>
          <w:sz w:val="28"/>
          <w:szCs w:val="28"/>
        </w:rPr>
      </w:pPr>
      <w:r w:rsidRPr="00013F71">
        <w:rPr>
          <w:b/>
          <w:bCs/>
          <w:sz w:val="28"/>
          <w:szCs w:val="28"/>
        </w:rPr>
        <w:t>Department of Political Science</w:t>
      </w:r>
    </w:p>
    <w:p w14:paraId="22D93860" w14:textId="081726EC" w:rsidR="00026477" w:rsidRPr="00013F71" w:rsidRDefault="00026477" w:rsidP="00C26571">
      <w:pPr>
        <w:pStyle w:val="Title"/>
        <w:spacing w:line="240" w:lineRule="auto"/>
        <w:rPr>
          <w:b/>
          <w:bCs/>
          <w:sz w:val="28"/>
          <w:szCs w:val="28"/>
        </w:rPr>
      </w:pPr>
      <w:r w:rsidRPr="00013F71">
        <w:rPr>
          <w:b/>
          <w:bCs/>
          <w:sz w:val="28"/>
          <w:szCs w:val="28"/>
        </w:rPr>
        <w:t>University of Wyoming</w:t>
      </w:r>
    </w:p>
    <w:p w14:paraId="014D287E" w14:textId="68405ED3" w:rsidR="00026477" w:rsidRPr="00013F71" w:rsidRDefault="00026477" w:rsidP="00C26571">
      <w:pPr>
        <w:pStyle w:val="Title"/>
        <w:spacing w:line="240" w:lineRule="auto"/>
        <w:rPr>
          <w:b/>
          <w:bCs/>
          <w:sz w:val="28"/>
          <w:szCs w:val="28"/>
        </w:rPr>
      </w:pPr>
      <w:r w:rsidRPr="00013F71">
        <w:rPr>
          <w:b/>
          <w:bCs/>
          <w:sz w:val="28"/>
          <w:szCs w:val="28"/>
        </w:rPr>
        <w:t>Laramie, WY  82071</w:t>
      </w:r>
    </w:p>
    <w:p w14:paraId="7B3CD83C" w14:textId="1B036007" w:rsidR="00026477" w:rsidRPr="00013F71" w:rsidRDefault="00026477" w:rsidP="00C26571">
      <w:pPr>
        <w:pStyle w:val="Title"/>
        <w:spacing w:line="240" w:lineRule="auto"/>
        <w:rPr>
          <w:b/>
          <w:bCs/>
          <w:sz w:val="28"/>
          <w:szCs w:val="28"/>
        </w:rPr>
      </w:pPr>
      <w:r w:rsidRPr="00013F71">
        <w:rPr>
          <w:b/>
          <w:bCs/>
          <w:sz w:val="28"/>
          <w:szCs w:val="28"/>
        </w:rPr>
        <w:t>307.766.6494</w:t>
      </w:r>
    </w:p>
    <w:p w14:paraId="0882BFC3" w14:textId="4A0E449C" w:rsidR="00026477" w:rsidRPr="00013F71" w:rsidRDefault="00026477" w:rsidP="00C26571">
      <w:pPr>
        <w:pStyle w:val="Title"/>
        <w:spacing w:line="240" w:lineRule="auto"/>
        <w:rPr>
          <w:b/>
          <w:bCs/>
          <w:sz w:val="28"/>
          <w:szCs w:val="28"/>
        </w:rPr>
      </w:pPr>
      <w:r w:rsidRPr="00013F71">
        <w:rPr>
          <w:b/>
          <w:bCs/>
          <w:sz w:val="28"/>
          <w:szCs w:val="28"/>
        </w:rPr>
        <w:t>schuhman@uwyo.edu</w:t>
      </w:r>
    </w:p>
    <w:p w14:paraId="6AE70E60" w14:textId="77777777" w:rsidR="00026477" w:rsidRPr="00013F71" w:rsidRDefault="00026477" w:rsidP="00C26571">
      <w:pPr>
        <w:pStyle w:val="Title"/>
        <w:spacing w:line="240" w:lineRule="auto"/>
        <w:rPr>
          <w:b/>
          <w:bCs/>
          <w:sz w:val="28"/>
          <w:szCs w:val="28"/>
        </w:rPr>
      </w:pPr>
    </w:p>
    <w:p w14:paraId="4F14DBBB" w14:textId="77777777" w:rsidR="00026477" w:rsidRPr="00013F71" w:rsidRDefault="00026477" w:rsidP="00C26571">
      <w:pPr>
        <w:pStyle w:val="Title"/>
        <w:spacing w:line="240" w:lineRule="auto"/>
        <w:rPr>
          <w:b/>
          <w:bCs/>
          <w:sz w:val="28"/>
          <w:szCs w:val="28"/>
        </w:rPr>
      </w:pPr>
    </w:p>
    <w:p w14:paraId="6E3E7CB5" w14:textId="77777777" w:rsidR="00026477" w:rsidRPr="00013F71" w:rsidRDefault="00026477" w:rsidP="00C26571">
      <w:pPr>
        <w:pStyle w:val="Title"/>
        <w:spacing w:line="240" w:lineRule="auto"/>
        <w:rPr>
          <w:b/>
          <w:bCs/>
          <w:sz w:val="28"/>
          <w:szCs w:val="28"/>
        </w:rPr>
      </w:pPr>
    </w:p>
    <w:p w14:paraId="6E431B8B" w14:textId="77777777" w:rsidR="00026477" w:rsidRPr="00013F71" w:rsidRDefault="00026477" w:rsidP="00C26571">
      <w:pPr>
        <w:pStyle w:val="Title"/>
        <w:spacing w:line="240" w:lineRule="auto"/>
        <w:rPr>
          <w:b/>
          <w:bCs/>
          <w:sz w:val="28"/>
          <w:szCs w:val="28"/>
        </w:rPr>
      </w:pPr>
    </w:p>
    <w:p w14:paraId="1F84A400" w14:textId="77777777" w:rsidR="00026477" w:rsidRPr="00013F71" w:rsidRDefault="00026477" w:rsidP="00C26571">
      <w:pPr>
        <w:pStyle w:val="Title"/>
        <w:spacing w:line="240" w:lineRule="auto"/>
        <w:rPr>
          <w:b/>
          <w:bCs/>
          <w:sz w:val="28"/>
          <w:szCs w:val="28"/>
        </w:rPr>
      </w:pPr>
    </w:p>
    <w:p w14:paraId="5C7DC2D9" w14:textId="77777777" w:rsidR="00026477" w:rsidRPr="00013F71" w:rsidRDefault="00026477" w:rsidP="00C26571">
      <w:pPr>
        <w:pStyle w:val="Title"/>
        <w:spacing w:line="240" w:lineRule="auto"/>
        <w:rPr>
          <w:b/>
          <w:bCs/>
          <w:sz w:val="28"/>
          <w:szCs w:val="28"/>
        </w:rPr>
      </w:pPr>
    </w:p>
    <w:p w14:paraId="1FFF6020" w14:textId="77777777" w:rsidR="00026477" w:rsidRPr="00013F71" w:rsidRDefault="00026477" w:rsidP="00C26571">
      <w:pPr>
        <w:pStyle w:val="Title"/>
        <w:spacing w:line="240" w:lineRule="auto"/>
        <w:rPr>
          <w:b/>
          <w:bCs/>
          <w:sz w:val="28"/>
          <w:szCs w:val="28"/>
        </w:rPr>
      </w:pPr>
    </w:p>
    <w:p w14:paraId="53633440" w14:textId="77777777" w:rsidR="001A0EDA" w:rsidRPr="00013F71" w:rsidRDefault="001A0EDA" w:rsidP="00C26571">
      <w:pPr>
        <w:pStyle w:val="Title"/>
        <w:spacing w:line="240" w:lineRule="auto"/>
        <w:rPr>
          <w:b/>
          <w:bCs/>
          <w:sz w:val="28"/>
          <w:szCs w:val="28"/>
        </w:rPr>
      </w:pPr>
    </w:p>
    <w:p w14:paraId="23177668" w14:textId="77777777" w:rsidR="00026477" w:rsidRPr="00013F71" w:rsidRDefault="00026477" w:rsidP="00C26571">
      <w:pPr>
        <w:pStyle w:val="Title"/>
        <w:spacing w:line="240" w:lineRule="auto"/>
        <w:rPr>
          <w:b/>
          <w:bCs/>
          <w:sz w:val="28"/>
          <w:szCs w:val="28"/>
        </w:rPr>
      </w:pPr>
    </w:p>
    <w:p w14:paraId="562631E5" w14:textId="77777777" w:rsidR="00026477" w:rsidRPr="00013F71" w:rsidRDefault="00026477" w:rsidP="00C26571">
      <w:pPr>
        <w:pStyle w:val="Title"/>
        <w:spacing w:line="240" w:lineRule="auto"/>
        <w:rPr>
          <w:b/>
          <w:bCs/>
          <w:sz w:val="28"/>
          <w:szCs w:val="28"/>
        </w:rPr>
      </w:pPr>
    </w:p>
    <w:p w14:paraId="12550E4A" w14:textId="77777777" w:rsidR="00026477" w:rsidRPr="00013F71" w:rsidRDefault="00026477" w:rsidP="00C26571">
      <w:pPr>
        <w:pStyle w:val="Title"/>
        <w:spacing w:line="240" w:lineRule="auto"/>
        <w:rPr>
          <w:b/>
          <w:bCs/>
          <w:sz w:val="28"/>
          <w:szCs w:val="28"/>
        </w:rPr>
      </w:pPr>
    </w:p>
    <w:p w14:paraId="6411D62B" w14:textId="77777777" w:rsidR="00026477" w:rsidRPr="00013F71" w:rsidRDefault="00026477" w:rsidP="00C26571">
      <w:pPr>
        <w:pStyle w:val="Title"/>
        <w:spacing w:line="240" w:lineRule="auto"/>
        <w:rPr>
          <w:b/>
          <w:bCs/>
          <w:sz w:val="28"/>
          <w:szCs w:val="28"/>
        </w:rPr>
      </w:pPr>
    </w:p>
    <w:p w14:paraId="1B520CAF" w14:textId="29B604EC" w:rsidR="00026477" w:rsidRPr="00013F71" w:rsidRDefault="00026477" w:rsidP="00C26571">
      <w:pPr>
        <w:pStyle w:val="Title"/>
        <w:spacing w:line="240" w:lineRule="auto"/>
        <w:rPr>
          <w:bCs/>
          <w:sz w:val="28"/>
          <w:szCs w:val="28"/>
        </w:rPr>
      </w:pPr>
      <w:r w:rsidRPr="00013F71">
        <w:rPr>
          <w:bCs/>
          <w:sz w:val="28"/>
          <w:szCs w:val="28"/>
        </w:rPr>
        <w:t>Prepared for the Annual 13 Western States Budget Roundtable</w:t>
      </w:r>
      <w:r w:rsidR="00EC19E9" w:rsidRPr="00013F71">
        <w:rPr>
          <w:bCs/>
          <w:sz w:val="28"/>
          <w:szCs w:val="28"/>
        </w:rPr>
        <w:t>,</w:t>
      </w:r>
    </w:p>
    <w:p w14:paraId="35BD5FFB" w14:textId="77412D6A" w:rsidR="00026477" w:rsidRPr="00013F71" w:rsidRDefault="00026477" w:rsidP="00C26571">
      <w:pPr>
        <w:pStyle w:val="Title"/>
        <w:spacing w:line="240" w:lineRule="auto"/>
        <w:rPr>
          <w:bCs/>
          <w:sz w:val="28"/>
          <w:szCs w:val="28"/>
        </w:rPr>
      </w:pPr>
      <w:r w:rsidRPr="00013F71">
        <w:rPr>
          <w:bCs/>
          <w:sz w:val="28"/>
          <w:szCs w:val="28"/>
        </w:rPr>
        <w:t>Western Political Science Association 201</w:t>
      </w:r>
      <w:r w:rsidR="00EC19E9" w:rsidRPr="00013F71">
        <w:rPr>
          <w:bCs/>
          <w:sz w:val="28"/>
          <w:szCs w:val="28"/>
        </w:rPr>
        <w:t>6</w:t>
      </w:r>
      <w:r w:rsidRPr="00013F71">
        <w:rPr>
          <w:bCs/>
          <w:sz w:val="28"/>
          <w:szCs w:val="28"/>
        </w:rPr>
        <w:t xml:space="preserve">, </w:t>
      </w:r>
      <w:r w:rsidR="00EC19E9" w:rsidRPr="00013F71">
        <w:rPr>
          <w:bCs/>
          <w:sz w:val="28"/>
          <w:szCs w:val="28"/>
        </w:rPr>
        <w:t>San Diego, California</w:t>
      </w:r>
    </w:p>
    <w:p w14:paraId="58ACA183" w14:textId="66684A0D" w:rsidR="00C26571" w:rsidRPr="00013F71" w:rsidRDefault="001A0EDA" w:rsidP="001A0EDA">
      <w:pPr>
        <w:jc w:val="center"/>
        <w:rPr>
          <w:b/>
          <w:bCs/>
          <w:sz w:val="28"/>
          <w:szCs w:val="28"/>
        </w:rPr>
      </w:pPr>
      <w:r w:rsidRPr="00013F71">
        <w:rPr>
          <w:b/>
          <w:bCs/>
          <w:sz w:val="28"/>
          <w:szCs w:val="28"/>
        </w:rPr>
        <w:br w:type="page"/>
      </w:r>
      <w:r w:rsidRPr="00013F71">
        <w:rPr>
          <w:b/>
          <w:bCs/>
          <w:sz w:val="28"/>
          <w:szCs w:val="28"/>
        </w:rPr>
        <w:lastRenderedPageBreak/>
        <w:t>There Is No Way To Perfume The Pig</w:t>
      </w:r>
    </w:p>
    <w:p w14:paraId="71BD02C4" w14:textId="77777777" w:rsidR="00C26571" w:rsidRPr="00013F71" w:rsidRDefault="00C26571" w:rsidP="00C26571">
      <w:pPr>
        <w:jc w:val="center"/>
        <w:rPr>
          <w:b/>
          <w:bCs/>
          <w:i/>
          <w:iCs/>
          <w:sz w:val="24"/>
          <w:szCs w:val="24"/>
        </w:rPr>
      </w:pPr>
    </w:p>
    <w:p w14:paraId="72D07277" w14:textId="77777777" w:rsidR="00D131C7" w:rsidRPr="00013F71" w:rsidRDefault="00D131C7" w:rsidP="00C26571">
      <w:pPr>
        <w:jc w:val="center"/>
        <w:rPr>
          <w:b/>
          <w:bCs/>
          <w:sz w:val="24"/>
          <w:szCs w:val="24"/>
        </w:rPr>
      </w:pPr>
    </w:p>
    <w:p w14:paraId="41C42AC1" w14:textId="77777777" w:rsidR="00D131C7" w:rsidRPr="00013F71" w:rsidRDefault="00D131C7" w:rsidP="00C26571">
      <w:pPr>
        <w:jc w:val="center"/>
        <w:rPr>
          <w:b/>
          <w:bCs/>
          <w:sz w:val="24"/>
          <w:szCs w:val="24"/>
        </w:rPr>
      </w:pPr>
    </w:p>
    <w:p w14:paraId="512E8F30" w14:textId="77777777" w:rsidR="00C26571" w:rsidRPr="00013F71" w:rsidRDefault="00C26571" w:rsidP="00C26571">
      <w:pPr>
        <w:jc w:val="center"/>
        <w:rPr>
          <w:b/>
          <w:bCs/>
        </w:rPr>
      </w:pPr>
    </w:p>
    <w:p w14:paraId="4B29F725" w14:textId="77777777" w:rsidR="00F25558" w:rsidRPr="00013F71" w:rsidRDefault="00F25558" w:rsidP="00C26571">
      <w:pPr>
        <w:jc w:val="center"/>
        <w:rPr>
          <w:b/>
          <w:bCs/>
        </w:rPr>
      </w:pPr>
    </w:p>
    <w:p w14:paraId="0237F49D" w14:textId="77777777" w:rsidR="00C26571" w:rsidRPr="00013F71" w:rsidRDefault="00C26571" w:rsidP="00C26571">
      <w:pPr>
        <w:jc w:val="center"/>
        <w:rPr>
          <w:b/>
          <w:bCs/>
        </w:rPr>
      </w:pPr>
    </w:p>
    <w:p w14:paraId="37AFEC26" w14:textId="77777777" w:rsidR="00C26571" w:rsidRPr="00013F71" w:rsidRDefault="00C26571" w:rsidP="00C26571">
      <w:pPr>
        <w:jc w:val="center"/>
        <w:rPr>
          <w:sz w:val="24"/>
          <w:szCs w:val="24"/>
        </w:rPr>
      </w:pPr>
    </w:p>
    <w:p w14:paraId="730341B9" w14:textId="77777777" w:rsidR="00C26571" w:rsidRPr="00013F71" w:rsidRDefault="00C26571" w:rsidP="00C26571">
      <w:pPr>
        <w:rPr>
          <w:sz w:val="24"/>
          <w:szCs w:val="24"/>
        </w:rPr>
      </w:pPr>
      <w:r w:rsidRPr="00013F71">
        <w:rPr>
          <w:b/>
          <w:bCs/>
          <w:sz w:val="24"/>
          <w:szCs w:val="24"/>
        </w:rPr>
        <w:t>INTRODUCTION</w:t>
      </w:r>
    </w:p>
    <w:p w14:paraId="5EFD57D5" w14:textId="77777777" w:rsidR="00C26571" w:rsidRPr="00013F71" w:rsidRDefault="00C26571" w:rsidP="00C26571">
      <w:pPr>
        <w:rPr>
          <w:sz w:val="24"/>
          <w:szCs w:val="24"/>
        </w:rPr>
      </w:pPr>
    </w:p>
    <w:p w14:paraId="03D17251" w14:textId="6E5CF8D3" w:rsidR="001531E3" w:rsidRPr="00013F71" w:rsidRDefault="001531E3" w:rsidP="00EA1D80">
      <w:pPr>
        <w:ind w:firstLine="720"/>
        <w:rPr>
          <w:sz w:val="24"/>
          <w:szCs w:val="24"/>
        </w:rPr>
      </w:pPr>
      <w:r w:rsidRPr="00013F71">
        <w:rPr>
          <w:sz w:val="24"/>
          <w:szCs w:val="24"/>
        </w:rPr>
        <w:t xml:space="preserve">The Wyoming Legislature completed its 2016 twenty-day budget session on March 4, 2016 after passing a $3 billion biennial budget.  </w:t>
      </w:r>
      <w:r w:rsidR="001A0EDA" w:rsidRPr="00013F71">
        <w:rPr>
          <w:sz w:val="24"/>
          <w:szCs w:val="24"/>
        </w:rPr>
        <w:t xml:space="preserve">Facing an almost $500 million drop in revenues over the next biennium, Wyoming lawmakers cut funding to almost all state agencies, while completely eliminating others (Hancock, 3/4/16).  The downturn in oil, natural gas, and coal prices </w:t>
      </w:r>
      <w:r w:rsidR="00CC2550" w:rsidRPr="00013F71">
        <w:rPr>
          <w:sz w:val="24"/>
          <w:szCs w:val="24"/>
        </w:rPr>
        <w:t xml:space="preserve">are expected to </w:t>
      </w:r>
      <w:r w:rsidR="001A0EDA" w:rsidRPr="00013F71">
        <w:rPr>
          <w:sz w:val="24"/>
          <w:szCs w:val="24"/>
        </w:rPr>
        <w:t xml:space="preserve">have a severe impact on the state’s financial future.   </w:t>
      </w:r>
    </w:p>
    <w:p w14:paraId="7FC2B79A" w14:textId="77777777" w:rsidR="00CC2550" w:rsidRPr="00013F71" w:rsidRDefault="00CC2550" w:rsidP="00EA1D80">
      <w:pPr>
        <w:ind w:firstLine="720"/>
        <w:rPr>
          <w:sz w:val="24"/>
          <w:szCs w:val="24"/>
        </w:rPr>
      </w:pPr>
    </w:p>
    <w:p w14:paraId="6C0A96F0" w14:textId="4C176FC4" w:rsidR="00CC2550" w:rsidRPr="00013F71" w:rsidRDefault="008562AD" w:rsidP="00EA1D80">
      <w:pPr>
        <w:ind w:firstLine="720"/>
        <w:rPr>
          <w:sz w:val="24"/>
          <w:szCs w:val="24"/>
        </w:rPr>
      </w:pPr>
      <w:r w:rsidRPr="00013F71">
        <w:rPr>
          <w:sz w:val="24"/>
          <w:szCs w:val="24"/>
        </w:rPr>
        <w:t>Beyond the ground level budget cuts, a</w:t>
      </w:r>
      <w:r w:rsidR="00CC2550" w:rsidRPr="00013F71">
        <w:rPr>
          <w:sz w:val="24"/>
          <w:szCs w:val="24"/>
        </w:rPr>
        <w:t xml:space="preserve">t a more general political level, as Benjamin </w:t>
      </w:r>
      <w:proofErr w:type="spellStart"/>
      <w:r w:rsidR="00CC2550" w:rsidRPr="00013F71">
        <w:rPr>
          <w:sz w:val="24"/>
          <w:szCs w:val="24"/>
        </w:rPr>
        <w:t>Storrow</w:t>
      </w:r>
      <w:proofErr w:type="spellEnd"/>
      <w:r w:rsidR="00CC2550" w:rsidRPr="00013F71">
        <w:rPr>
          <w:sz w:val="24"/>
          <w:szCs w:val="24"/>
        </w:rPr>
        <w:t xml:space="preserve"> notes, the “Budget shortfall could prompt [a] shift in [the] political landscape in Wyoming (10/7/16).</w:t>
      </w:r>
      <w:r w:rsidRPr="00013F71">
        <w:rPr>
          <w:sz w:val="24"/>
          <w:szCs w:val="24"/>
        </w:rPr>
        <w:t xml:space="preserve">  Two primary issues reflect this sentiment:</w:t>
      </w:r>
      <w:r w:rsidR="00795A44">
        <w:rPr>
          <w:sz w:val="24"/>
          <w:szCs w:val="24"/>
        </w:rPr>
        <w:t xml:space="preserve"> 1)</w:t>
      </w:r>
      <w:r w:rsidRPr="00013F71">
        <w:rPr>
          <w:sz w:val="24"/>
          <w:szCs w:val="24"/>
        </w:rPr>
        <w:t xml:space="preserve"> the governor’s call for health care expansion to over 17,000 Wyomingites without insurance</w:t>
      </w:r>
      <w:r w:rsidR="00795A44">
        <w:rPr>
          <w:sz w:val="24"/>
          <w:szCs w:val="24"/>
        </w:rPr>
        <w:t xml:space="preserve">, </w:t>
      </w:r>
      <w:r w:rsidRPr="00013F71">
        <w:rPr>
          <w:sz w:val="24"/>
          <w:szCs w:val="24"/>
        </w:rPr>
        <w:t>and</w:t>
      </w:r>
      <w:r w:rsidR="00795A44">
        <w:rPr>
          <w:sz w:val="24"/>
          <w:szCs w:val="24"/>
        </w:rPr>
        <w:t xml:space="preserve"> 2)</w:t>
      </w:r>
      <w:r w:rsidRPr="00013F71">
        <w:rPr>
          <w:sz w:val="24"/>
          <w:szCs w:val="24"/>
        </w:rPr>
        <w:t xml:space="preserve"> guidelines for tapping into the state’s $1.8 billion rainy day account – also known as the Legislative Stabilization and Reserve Account (LSRA).  With a skeptical and re</w:t>
      </w:r>
      <w:r w:rsidR="00795A44">
        <w:rPr>
          <w:sz w:val="24"/>
          <w:szCs w:val="24"/>
        </w:rPr>
        <w:t xml:space="preserve">luctant House as </w:t>
      </w:r>
      <w:proofErr w:type="gramStart"/>
      <w:r w:rsidR="00795A44">
        <w:rPr>
          <w:sz w:val="24"/>
          <w:szCs w:val="24"/>
        </w:rPr>
        <w:t>a</w:t>
      </w:r>
      <w:proofErr w:type="gramEnd"/>
      <w:r w:rsidR="00795A44">
        <w:rPr>
          <w:sz w:val="24"/>
          <w:szCs w:val="24"/>
        </w:rPr>
        <w:t xml:space="preserve"> ideological backdrop for dipping into the LSRA</w:t>
      </w:r>
      <w:r w:rsidRPr="00013F71">
        <w:rPr>
          <w:sz w:val="24"/>
          <w:szCs w:val="24"/>
        </w:rPr>
        <w:t>, the Senate President Phil Nicholas commented that “everything is on the table, but it doesn’t make the discussion any easier” (Ibid.).</w:t>
      </w:r>
      <w:r w:rsidR="001D51F3" w:rsidRPr="00013F71">
        <w:rPr>
          <w:sz w:val="24"/>
          <w:szCs w:val="24"/>
        </w:rPr>
        <w:t xml:space="preserve">  In many ways, this year’s budget session continues two major themes from last year’s general legislative session where lawmakers became sensitized to falling oil prices ($222 million at the end of last year’s legislative session) and the (at least for the state’s democrats) disappointment caused by the failure to pass a Medicaid expansion plan.</w:t>
      </w:r>
    </w:p>
    <w:p w14:paraId="529B43D2" w14:textId="77777777" w:rsidR="001531E3" w:rsidRPr="00013F71" w:rsidRDefault="001531E3" w:rsidP="00EA1D80">
      <w:pPr>
        <w:ind w:firstLine="720"/>
        <w:rPr>
          <w:sz w:val="24"/>
          <w:szCs w:val="24"/>
        </w:rPr>
      </w:pPr>
    </w:p>
    <w:p w14:paraId="6657704F" w14:textId="77777777" w:rsidR="004A2E23" w:rsidRPr="00013F71" w:rsidRDefault="004A2E23" w:rsidP="00EA1D80">
      <w:pPr>
        <w:ind w:firstLine="720"/>
        <w:rPr>
          <w:sz w:val="24"/>
          <w:szCs w:val="24"/>
        </w:rPr>
      </w:pPr>
    </w:p>
    <w:p w14:paraId="3C5CF498" w14:textId="77777777" w:rsidR="00077BBD" w:rsidRPr="00013F71" w:rsidRDefault="00077BBD" w:rsidP="001A76E5">
      <w:pPr>
        <w:tabs>
          <w:tab w:val="left" w:pos="3536"/>
        </w:tabs>
        <w:rPr>
          <w:b/>
          <w:bCs/>
          <w:sz w:val="24"/>
          <w:szCs w:val="24"/>
        </w:rPr>
      </w:pPr>
    </w:p>
    <w:p w14:paraId="6038E0BC" w14:textId="7EE1D0CB" w:rsidR="00C26571" w:rsidRPr="00013F71" w:rsidRDefault="00C26571" w:rsidP="001A76E5">
      <w:pPr>
        <w:tabs>
          <w:tab w:val="left" w:pos="3536"/>
        </w:tabs>
        <w:rPr>
          <w:b/>
          <w:bCs/>
          <w:sz w:val="24"/>
          <w:szCs w:val="24"/>
        </w:rPr>
      </w:pPr>
      <w:r w:rsidRPr="00013F71">
        <w:rPr>
          <w:b/>
          <w:bCs/>
          <w:sz w:val="24"/>
          <w:szCs w:val="24"/>
        </w:rPr>
        <w:t>STATE OF THE ECONOMY</w:t>
      </w:r>
      <w:r w:rsidR="001A76E5" w:rsidRPr="00013F71">
        <w:rPr>
          <w:b/>
          <w:bCs/>
          <w:sz w:val="24"/>
          <w:szCs w:val="24"/>
        </w:rPr>
        <w:tab/>
      </w:r>
    </w:p>
    <w:p w14:paraId="3813E579" w14:textId="77777777" w:rsidR="001A76E5" w:rsidRPr="00013F71" w:rsidRDefault="001A76E5" w:rsidP="001A76E5">
      <w:pPr>
        <w:tabs>
          <w:tab w:val="left" w:pos="3536"/>
        </w:tabs>
        <w:rPr>
          <w:b/>
          <w:bCs/>
          <w:sz w:val="24"/>
          <w:szCs w:val="24"/>
        </w:rPr>
      </w:pPr>
    </w:p>
    <w:p w14:paraId="29886C8F" w14:textId="4278850F" w:rsidR="001A76E5" w:rsidRPr="00013F71" w:rsidRDefault="00892EC2" w:rsidP="001A76E5">
      <w:pPr>
        <w:widowControl w:val="0"/>
        <w:autoSpaceDE w:val="0"/>
        <w:autoSpaceDN w:val="0"/>
        <w:adjustRightInd w:val="0"/>
        <w:rPr>
          <w:rFonts w:eastAsia="Cambria"/>
          <w:sz w:val="24"/>
          <w:szCs w:val="24"/>
        </w:rPr>
      </w:pPr>
      <w:r w:rsidRPr="00013F71">
        <w:rPr>
          <w:rFonts w:eastAsia="Cambria"/>
          <w:b/>
          <w:sz w:val="24"/>
          <w:szCs w:val="24"/>
        </w:rPr>
        <w:t>Budget Health of the State</w:t>
      </w:r>
      <w:r w:rsidR="001A76E5" w:rsidRPr="00013F71">
        <w:rPr>
          <w:rFonts w:eastAsia="Cambria"/>
          <w:sz w:val="24"/>
          <w:szCs w:val="24"/>
        </w:rPr>
        <w:t xml:space="preserve"> </w:t>
      </w:r>
    </w:p>
    <w:p w14:paraId="7118AFA8" w14:textId="77777777" w:rsidR="001F4EA1" w:rsidRPr="00013F71" w:rsidRDefault="001F4EA1" w:rsidP="001A76E5">
      <w:pPr>
        <w:widowControl w:val="0"/>
        <w:autoSpaceDE w:val="0"/>
        <w:autoSpaceDN w:val="0"/>
        <w:adjustRightInd w:val="0"/>
        <w:rPr>
          <w:rFonts w:eastAsia="Cambria"/>
          <w:sz w:val="24"/>
          <w:szCs w:val="24"/>
        </w:rPr>
      </w:pPr>
    </w:p>
    <w:p w14:paraId="7398DCBC" w14:textId="7A6BC84E" w:rsidR="00215E22" w:rsidRPr="00013F71" w:rsidRDefault="008A2ED9" w:rsidP="0027208B">
      <w:pPr>
        <w:ind w:firstLine="720"/>
        <w:rPr>
          <w:rFonts w:eastAsia="Cambria"/>
          <w:sz w:val="24"/>
          <w:szCs w:val="24"/>
        </w:rPr>
      </w:pPr>
      <w:r w:rsidRPr="00013F71">
        <w:rPr>
          <w:rFonts w:eastAsia="Cambria"/>
          <w:sz w:val="24"/>
          <w:szCs w:val="24"/>
        </w:rPr>
        <w:t>The January 2016</w:t>
      </w:r>
      <w:r w:rsidR="001A76E5" w:rsidRPr="00013F71">
        <w:rPr>
          <w:rFonts w:eastAsia="Cambria"/>
          <w:sz w:val="24"/>
          <w:szCs w:val="24"/>
        </w:rPr>
        <w:t xml:space="preserve"> Consensus Revenue Est</w:t>
      </w:r>
      <w:r w:rsidR="00163581" w:rsidRPr="00013F71">
        <w:rPr>
          <w:rFonts w:eastAsia="Cambria"/>
          <w:sz w:val="24"/>
          <w:szCs w:val="24"/>
        </w:rPr>
        <w:t>imating Group</w:t>
      </w:r>
      <w:r w:rsidR="00E155C9" w:rsidRPr="00013F71">
        <w:rPr>
          <w:rFonts w:eastAsia="Cambria"/>
          <w:sz w:val="24"/>
          <w:szCs w:val="24"/>
        </w:rPr>
        <w:t>’s Revenue Forecast</w:t>
      </w:r>
      <w:r w:rsidR="00163581" w:rsidRPr="00013F71">
        <w:rPr>
          <w:rFonts w:eastAsia="Cambria"/>
          <w:sz w:val="24"/>
          <w:szCs w:val="24"/>
        </w:rPr>
        <w:t xml:space="preserve"> (CREG)</w:t>
      </w:r>
      <w:r w:rsidRPr="00013F71">
        <w:rPr>
          <w:rFonts w:eastAsia="Cambria"/>
          <w:sz w:val="24"/>
          <w:szCs w:val="24"/>
        </w:rPr>
        <w:t xml:space="preserve"> strikes an ominous, cautionary tone.  Because of falling oil and natural gas prices, Wyoming’s recent</w:t>
      </w:r>
      <w:r w:rsidR="00795A44">
        <w:rPr>
          <w:rFonts w:eastAsia="Cambria"/>
          <w:sz w:val="24"/>
          <w:szCs w:val="24"/>
        </w:rPr>
        <w:t xml:space="preserve"> and</w:t>
      </w:r>
      <w:r w:rsidRPr="00013F71">
        <w:rPr>
          <w:rFonts w:eastAsia="Cambria"/>
          <w:sz w:val="24"/>
          <w:szCs w:val="24"/>
        </w:rPr>
        <w:t xml:space="preserve"> relatively stable (and in many ways increasing) revenue stream has been dealt a powerful blow.  So much so that at the beginning of </w:t>
      </w:r>
      <w:r w:rsidR="00795A44">
        <w:rPr>
          <w:rFonts w:eastAsia="Cambria"/>
          <w:sz w:val="24"/>
          <w:szCs w:val="24"/>
        </w:rPr>
        <w:t>the January 2016 R</w:t>
      </w:r>
      <w:r w:rsidR="00215E22" w:rsidRPr="00013F71">
        <w:rPr>
          <w:rFonts w:eastAsia="Cambria"/>
          <w:sz w:val="24"/>
          <w:szCs w:val="24"/>
        </w:rPr>
        <w:t>eport</w:t>
      </w:r>
      <w:r w:rsidR="004A6E37" w:rsidRPr="00013F71">
        <w:rPr>
          <w:rFonts w:eastAsia="Cambria"/>
          <w:sz w:val="24"/>
          <w:szCs w:val="24"/>
        </w:rPr>
        <w:t>,</w:t>
      </w:r>
      <w:r w:rsidR="00215E22" w:rsidRPr="00013F71">
        <w:rPr>
          <w:rFonts w:eastAsia="Cambria"/>
          <w:sz w:val="24"/>
          <w:szCs w:val="24"/>
        </w:rPr>
        <w:t xml:space="preserve"> CREG’s co-chair</w:t>
      </w:r>
      <w:r w:rsidR="00795A44">
        <w:rPr>
          <w:rFonts w:eastAsia="Cambria"/>
          <w:sz w:val="24"/>
          <w:szCs w:val="24"/>
        </w:rPr>
        <w:t>s</w:t>
      </w:r>
      <w:r w:rsidR="00215E22" w:rsidRPr="00013F71">
        <w:rPr>
          <w:rFonts w:eastAsia="Cambria"/>
          <w:sz w:val="24"/>
          <w:szCs w:val="24"/>
        </w:rPr>
        <w:t xml:space="preserve"> issued</w:t>
      </w:r>
      <w:r w:rsidRPr="00013F71">
        <w:rPr>
          <w:rFonts w:eastAsia="Cambria"/>
          <w:sz w:val="24"/>
          <w:szCs w:val="24"/>
        </w:rPr>
        <w:t xml:space="preserve"> a caution</w:t>
      </w:r>
      <w:r w:rsidR="004A6E37" w:rsidRPr="00013F71">
        <w:rPr>
          <w:rFonts w:eastAsia="Cambria"/>
          <w:sz w:val="24"/>
          <w:szCs w:val="24"/>
        </w:rPr>
        <w:t>ary note:</w:t>
      </w:r>
    </w:p>
    <w:p w14:paraId="5544ACBC" w14:textId="77777777" w:rsidR="00215E22" w:rsidRPr="00013F71" w:rsidRDefault="00215E22" w:rsidP="00215E22">
      <w:pPr>
        <w:rPr>
          <w:rFonts w:eastAsia="Cambria"/>
          <w:sz w:val="24"/>
          <w:szCs w:val="24"/>
        </w:rPr>
      </w:pPr>
    </w:p>
    <w:p w14:paraId="0EEC82C9" w14:textId="05004937" w:rsidR="00215E22" w:rsidRPr="00013F71" w:rsidRDefault="0027208B" w:rsidP="00215E22">
      <w:pPr>
        <w:ind w:left="720" w:right="1440"/>
        <w:rPr>
          <w:sz w:val="24"/>
          <w:szCs w:val="24"/>
        </w:rPr>
      </w:pPr>
      <w:r w:rsidRPr="00013F71">
        <w:rPr>
          <w:rFonts w:eastAsia="Cambria"/>
          <w:sz w:val="24"/>
          <w:szCs w:val="24"/>
        </w:rPr>
        <w:t xml:space="preserve">The </w:t>
      </w:r>
      <w:r w:rsidR="00215E22" w:rsidRPr="00013F71">
        <w:rPr>
          <w:rFonts w:eastAsia="Cambria"/>
          <w:sz w:val="24"/>
          <w:szCs w:val="24"/>
        </w:rPr>
        <w:t xml:space="preserve">state’s short-term revenue-generating ability is more pessimistic than this FY 2015-16 bottom-line implies.  </w:t>
      </w:r>
      <w:r w:rsidR="00215E22" w:rsidRPr="00013F71">
        <w:rPr>
          <w:sz w:val="24"/>
          <w:szCs w:val="24"/>
        </w:rPr>
        <w:t>For example, between the time CREG members gathered oil price data for purposes of the forecasts in this report and finalization and publication of the report, the price of oil has declined approximatel</w:t>
      </w:r>
      <w:r w:rsidR="00795A44">
        <w:rPr>
          <w:sz w:val="24"/>
          <w:szCs w:val="24"/>
        </w:rPr>
        <w:t xml:space="preserve">y another 18 percent (CREG, </w:t>
      </w:r>
      <w:r w:rsidR="00215E22" w:rsidRPr="00013F71">
        <w:rPr>
          <w:sz w:val="24"/>
          <w:szCs w:val="24"/>
        </w:rPr>
        <w:t>1, January 2016).</w:t>
      </w:r>
    </w:p>
    <w:p w14:paraId="115F2B0C" w14:textId="045AC495" w:rsidR="008A2ED9" w:rsidRPr="00013F71" w:rsidRDefault="008A2ED9" w:rsidP="001F4EA1">
      <w:pPr>
        <w:ind w:firstLine="720"/>
        <w:rPr>
          <w:rFonts w:eastAsia="Cambria"/>
          <w:sz w:val="24"/>
          <w:szCs w:val="24"/>
        </w:rPr>
      </w:pPr>
    </w:p>
    <w:p w14:paraId="63DA4B37" w14:textId="4884608F" w:rsidR="00832732" w:rsidRPr="00013F71" w:rsidRDefault="00BE353F" w:rsidP="00832732">
      <w:pPr>
        <w:ind w:firstLine="720"/>
        <w:rPr>
          <w:rFonts w:eastAsia="Cambria"/>
          <w:sz w:val="24"/>
          <w:szCs w:val="24"/>
        </w:rPr>
      </w:pPr>
      <w:r w:rsidRPr="00013F71">
        <w:rPr>
          <w:rFonts w:eastAsia="Cambria"/>
          <w:sz w:val="24"/>
          <w:szCs w:val="24"/>
        </w:rPr>
        <w:lastRenderedPageBreak/>
        <w:t xml:space="preserve">Specifically, </w:t>
      </w:r>
      <w:r w:rsidR="004A6E37" w:rsidRPr="00013F71">
        <w:rPr>
          <w:rFonts w:eastAsia="Cambria"/>
          <w:sz w:val="24"/>
          <w:szCs w:val="24"/>
        </w:rPr>
        <w:t xml:space="preserve">in the January Report, </w:t>
      </w:r>
      <w:r w:rsidRPr="00013F71">
        <w:rPr>
          <w:rFonts w:eastAsia="Cambria"/>
          <w:sz w:val="24"/>
          <w:szCs w:val="24"/>
        </w:rPr>
        <w:t xml:space="preserve">sales and use tax forecasts were projected </w:t>
      </w:r>
      <w:r w:rsidR="00193FB3" w:rsidRPr="00013F71">
        <w:rPr>
          <w:rFonts w:eastAsia="Cambria"/>
          <w:sz w:val="24"/>
          <w:szCs w:val="24"/>
        </w:rPr>
        <w:t xml:space="preserve">to decline in FY16 by </w:t>
      </w:r>
      <w:r w:rsidR="003B5D38" w:rsidRPr="00013F71">
        <w:rPr>
          <w:rFonts w:eastAsia="Cambria"/>
          <w:sz w:val="24"/>
          <w:szCs w:val="24"/>
        </w:rPr>
        <w:t xml:space="preserve">14.2% year-over-year, while severance taxes deposited into the state’s general fund are expected to decline by 15.4% over the same period.  </w:t>
      </w:r>
      <w:r w:rsidR="00314A0C" w:rsidRPr="00013F71">
        <w:rPr>
          <w:rFonts w:eastAsia="Cambria"/>
          <w:sz w:val="24"/>
          <w:szCs w:val="24"/>
        </w:rPr>
        <w:t xml:space="preserve">Not surprisingly, Wyoming’s major revenue malfunction is connected to the rapid drop in oil and gas prices.  </w:t>
      </w:r>
      <w:r w:rsidR="00832732" w:rsidRPr="00013F71">
        <w:rPr>
          <w:rFonts w:eastAsia="Cambria"/>
          <w:sz w:val="24"/>
          <w:szCs w:val="24"/>
        </w:rPr>
        <w:t>CREG reduced the estimates for Federal Mineral Royalty receipts for the same reasons that severance tax estimates were cut.</w:t>
      </w:r>
    </w:p>
    <w:p w14:paraId="7B81D2F7" w14:textId="489B8F12" w:rsidR="00B1039E" w:rsidRPr="00013F71" w:rsidRDefault="00B1039E" w:rsidP="001F4EA1">
      <w:pPr>
        <w:ind w:firstLine="720"/>
        <w:rPr>
          <w:rFonts w:eastAsia="Cambria"/>
          <w:sz w:val="24"/>
          <w:szCs w:val="24"/>
        </w:rPr>
      </w:pPr>
    </w:p>
    <w:p w14:paraId="673E38CF" w14:textId="1FB40D16" w:rsidR="00193FB3" w:rsidRPr="00013F71" w:rsidRDefault="00B1039E" w:rsidP="001F4EA1">
      <w:pPr>
        <w:ind w:firstLine="720"/>
        <w:rPr>
          <w:rFonts w:eastAsia="Cambria"/>
          <w:sz w:val="24"/>
          <w:szCs w:val="24"/>
        </w:rPr>
      </w:pPr>
      <w:r w:rsidRPr="00013F71">
        <w:rPr>
          <w:rFonts w:eastAsia="Cambria"/>
          <w:sz w:val="24"/>
          <w:szCs w:val="24"/>
        </w:rPr>
        <w:t>According to CREG, the most significant change to this year’s quarterly forecast (from the October 2015 forecast</w:t>
      </w:r>
      <w:r w:rsidR="00795A44">
        <w:rPr>
          <w:rFonts w:eastAsia="Cambria"/>
          <w:sz w:val="24"/>
          <w:szCs w:val="24"/>
        </w:rPr>
        <w:t xml:space="preserve"> to the January 2016 forecast</w:t>
      </w:r>
      <w:r w:rsidRPr="00013F71">
        <w:rPr>
          <w:rFonts w:eastAsia="Cambria"/>
          <w:sz w:val="24"/>
          <w:szCs w:val="24"/>
        </w:rPr>
        <w:t>) is the “significant change to natural gas prices (</w:t>
      </w:r>
      <w:r w:rsidR="00795A44">
        <w:rPr>
          <w:rFonts w:eastAsia="Cambria"/>
          <w:sz w:val="24"/>
          <w:szCs w:val="24"/>
        </w:rPr>
        <w:t xml:space="preserve">January 2016, </w:t>
      </w:r>
      <w:r w:rsidRPr="00013F71">
        <w:rPr>
          <w:rFonts w:eastAsia="Cambria"/>
          <w:sz w:val="24"/>
          <w:szCs w:val="24"/>
        </w:rPr>
        <w:t>5).  In addition, CREG notes that the “supply/demand imbalance prominent in both natural gas and oil has been magnified in natural gas due to the unusually mild w</w:t>
      </w:r>
      <w:r w:rsidR="00795A44">
        <w:rPr>
          <w:rFonts w:eastAsia="Cambria"/>
          <w:sz w:val="24"/>
          <w:szCs w:val="24"/>
        </w:rPr>
        <w:t>eather to this point in the heat</w:t>
      </w:r>
      <w:r w:rsidRPr="00013F71">
        <w:rPr>
          <w:rFonts w:eastAsia="Cambria"/>
          <w:sz w:val="24"/>
          <w:szCs w:val="24"/>
        </w:rPr>
        <w:t xml:space="preserve">ing season” (2).  </w:t>
      </w:r>
      <w:r w:rsidR="00795A44">
        <w:rPr>
          <w:rFonts w:eastAsia="Cambria"/>
          <w:sz w:val="24"/>
          <w:szCs w:val="24"/>
        </w:rPr>
        <w:t>Specifically, the amount of n</w:t>
      </w:r>
      <w:r w:rsidRPr="00013F71">
        <w:rPr>
          <w:rFonts w:eastAsia="Cambria"/>
          <w:sz w:val="24"/>
          <w:szCs w:val="24"/>
        </w:rPr>
        <w:t>atural gas</w:t>
      </w:r>
      <w:r w:rsidR="00795A44">
        <w:rPr>
          <w:rFonts w:eastAsia="Cambria"/>
          <w:sz w:val="24"/>
          <w:szCs w:val="24"/>
        </w:rPr>
        <w:t xml:space="preserve"> in storage around the country</w:t>
      </w:r>
      <w:r w:rsidRPr="00013F71">
        <w:rPr>
          <w:rFonts w:eastAsia="Cambria"/>
          <w:sz w:val="24"/>
          <w:szCs w:val="24"/>
        </w:rPr>
        <w:t xml:space="preserve"> was 17.2% above last </w:t>
      </w:r>
      <w:r w:rsidR="005A05C8" w:rsidRPr="00013F71">
        <w:rPr>
          <w:rFonts w:eastAsia="Cambria"/>
          <w:sz w:val="24"/>
          <w:szCs w:val="24"/>
        </w:rPr>
        <w:t>year</w:t>
      </w:r>
      <w:r w:rsidRPr="00013F71">
        <w:rPr>
          <w:rFonts w:eastAsia="Cambria"/>
          <w:sz w:val="24"/>
          <w:szCs w:val="24"/>
        </w:rPr>
        <w:t xml:space="preserve"> and 14.6% above the </w:t>
      </w:r>
      <w:r w:rsidR="00795A44" w:rsidRPr="00013F71">
        <w:rPr>
          <w:rFonts w:eastAsia="Cambria"/>
          <w:sz w:val="24"/>
          <w:szCs w:val="24"/>
        </w:rPr>
        <w:t>five-year</w:t>
      </w:r>
      <w:r w:rsidRPr="00013F71">
        <w:rPr>
          <w:rFonts w:eastAsia="Cambria"/>
          <w:sz w:val="24"/>
          <w:szCs w:val="24"/>
        </w:rPr>
        <w:t xml:space="preserve"> average</w:t>
      </w:r>
      <w:r w:rsidR="005A05C8" w:rsidRPr="00013F71">
        <w:rPr>
          <w:rFonts w:eastAsia="Cambria"/>
          <w:sz w:val="24"/>
          <w:szCs w:val="24"/>
        </w:rPr>
        <w:t xml:space="preserve"> (Ibid.).</w:t>
      </w:r>
    </w:p>
    <w:p w14:paraId="62637614" w14:textId="77777777" w:rsidR="00B1039E" w:rsidRPr="00013F71" w:rsidRDefault="00B1039E" w:rsidP="005A05C8">
      <w:pPr>
        <w:rPr>
          <w:rFonts w:eastAsia="Cambria"/>
          <w:sz w:val="24"/>
          <w:szCs w:val="24"/>
        </w:rPr>
      </w:pPr>
    </w:p>
    <w:p w14:paraId="5916394A" w14:textId="66300185" w:rsidR="00193FB3" w:rsidRPr="00013F71" w:rsidRDefault="005A05C8" w:rsidP="001F4EA1">
      <w:pPr>
        <w:ind w:firstLine="720"/>
        <w:rPr>
          <w:rFonts w:eastAsia="Cambria"/>
          <w:sz w:val="24"/>
          <w:szCs w:val="24"/>
        </w:rPr>
      </w:pPr>
      <w:r w:rsidRPr="00013F71">
        <w:rPr>
          <w:rFonts w:eastAsia="Cambria"/>
          <w:sz w:val="24"/>
          <w:szCs w:val="24"/>
        </w:rPr>
        <w:t>Further adding to Wyoming’s financial woes, d</w:t>
      </w:r>
      <w:r w:rsidR="00B1039E" w:rsidRPr="00013F71">
        <w:rPr>
          <w:rFonts w:eastAsia="Cambria"/>
          <w:sz w:val="24"/>
          <w:szCs w:val="24"/>
        </w:rPr>
        <w:t>emand for coal has decreased through the fall of 2015.  In part, this is due to the abundance of inexpensive natural gas available to power producers and the concomitant basket of increasingly costly environmental regulations placed on coal users.</w:t>
      </w:r>
    </w:p>
    <w:p w14:paraId="07AEB467" w14:textId="77777777" w:rsidR="00314A0C" w:rsidRPr="00013F71" w:rsidRDefault="00314A0C" w:rsidP="001F4EA1">
      <w:pPr>
        <w:ind w:firstLine="720"/>
        <w:rPr>
          <w:rFonts w:eastAsia="Cambria"/>
          <w:sz w:val="24"/>
          <w:szCs w:val="24"/>
        </w:rPr>
      </w:pPr>
    </w:p>
    <w:p w14:paraId="12CC89A6" w14:textId="559D95EC" w:rsidR="004A6E37" w:rsidRPr="00013F71" w:rsidRDefault="004A6E37" w:rsidP="001F4EA1">
      <w:pPr>
        <w:ind w:firstLine="720"/>
        <w:rPr>
          <w:rFonts w:eastAsia="Cambria"/>
          <w:sz w:val="24"/>
          <w:szCs w:val="24"/>
        </w:rPr>
      </w:pPr>
      <w:r w:rsidRPr="00013F71">
        <w:rPr>
          <w:rFonts w:eastAsia="Cambria"/>
          <w:sz w:val="24"/>
          <w:szCs w:val="24"/>
        </w:rPr>
        <w:t>Total general fund revenues (all sources) are expected to decline over the next two biennium</w:t>
      </w:r>
      <w:r w:rsidR="008B6360" w:rsidRPr="00013F71">
        <w:rPr>
          <w:rFonts w:eastAsia="Cambria"/>
          <w:sz w:val="24"/>
          <w:szCs w:val="24"/>
        </w:rPr>
        <w:t xml:space="preserve"> relative to current amounts</w:t>
      </w:r>
      <w:r w:rsidRPr="00013F71">
        <w:rPr>
          <w:rFonts w:eastAsia="Cambria"/>
          <w:sz w:val="24"/>
          <w:szCs w:val="24"/>
        </w:rPr>
        <w:t xml:space="preserve">.  Here, using FY16 as </w:t>
      </w:r>
      <w:r w:rsidR="00795A44">
        <w:rPr>
          <w:rFonts w:eastAsia="Cambria"/>
          <w:sz w:val="24"/>
          <w:szCs w:val="24"/>
        </w:rPr>
        <w:t>the</w:t>
      </w:r>
      <w:r w:rsidRPr="00013F71">
        <w:rPr>
          <w:rFonts w:eastAsia="Cambria"/>
          <w:sz w:val="24"/>
          <w:szCs w:val="24"/>
        </w:rPr>
        <w:t xml:space="preserve"> baseline, FY18 will show a decline of 17.3% and FY20 will show </w:t>
      </w:r>
      <w:r w:rsidRPr="00084139">
        <w:rPr>
          <w:rFonts w:eastAsia="Cambria"/>
          <w:sz w:val="24"/>
          <w:szCs w:val="24"/>
        </w:rPr>
        <w:t>an</w:t>
      </w:r>
      <w:r w:rsidRPr="00013F71">
        <w:rPr>
          <w:rFonts w:eastAsia="Cambria"/>
          <w:sz w:val="24"/>
          <w:szCs w:val="24"/>
        </w:rPr>
        <w:t xml:space="preserve"> increase of 3.4% from FY18, but a decline of 14.5% from current (FY16) levels.</w:t>
      </w:r>
    </w:p>
    <w:p w14:paraId="4BC95A94" w14:textId="77777777" w:rsidR="004A6E37" w:rsidRPr="00013F71" w:rsidRDefault="004A6E37" w:rsidP="001F4EA1">
      <w:pPr>
        <w:ind w:firstLine="720"/>
        <w:rPr>
          <w:rFonts w:eastAsia="Cambria"/>
          <w:sz w:val="24"/>
          <w:szCs w:val="24"/>
        </w:rPr>
      </w:pPr>
    </w:p>
    <w:p w14:paraId="34F57339" w14:textId="3EEBED0B" w:rsidR="00A91845" w:rsidRPr="00013F71" w:rsidRDefault="00C26571" w:rsidP="00C26571">
      <w:pPr>
        <w:rPr>
          <w:snapToGrid w:val="0"/>
          <w:sz w:val="24"/>
          <w:szCs w:val="24"/>
        </w:rPr>
      </w:pPr>
      <w:r w:rsidRPr="00013F71">
        <w:rPr>
          <w:sz w:val="24"/>
          <w:szCs w:val="24"/>
        </w:rPr>
        <w:tab/>
      </w:r>
      <w:r w:rsidRPr="00013F71">
        <w:rPr>
          <w:snapToGrid w:val="0"/>
          <w:sz w:val="24"/>
          <w:szCs w:val="24"/>
        </w:rPr>
        <w:t xml:space="preserve">Wyoming’s economy tends to run counter to the economic trends experienced by the national economy.  As the nation booms, Wyoming’s economy lags behind.  As the nation’s economy cools, Wyoming’s fiscal situation often improves. Currently, Wyoming's economy remains supported by three primary industries: </w:t>
      </w:r>
      <w:r w:rsidR="00942325" w:rsidRPr="00013F71">
        <w:rPr>
          <w:snapToGrid w:val="0"/>
          <w:sz w:val="24"/>
          <w:szCs w:val="24"/>
        </w:rPr>
        <w:t xml:space="preserve">extractive industries such as </w:t>
      </w:r>
      <w:r w:rsidRPr="00013F71">
        <w:rPr>
          <w:snapToGrid w:val="0"/>
          <w:sz w:val="24"/>
          <w:szCs w:val="24"/>
        </w:rPr>
        <w:t>minerals</w:t>
      </w:r>
      <w:r w:rsidR="00A673DE" w:rsidRPr="00013F71">
        <w:rPr>
          <w:snapToGrid w:val="0"/>
          <w:sz w:val="24"/>
          <w:szCs w:val="24"/>
        </w:rPr>
        <w:t>/oil/gas</w:t>
      </w:r>
      <w:r w:rsidRPr="00013F71">
        <w:rPr>
          <w:snapToGrid w:val="0"/>
          <w:sz w:val="24"/>
          <w:szCs w:val="24"/>
        </w:rPr>
        <w:t xml:space="preserve">, agriculture, and tourism. Projections indicate that </w:t>
      </w:r>
      <w:r w:rsidR="00746A88" w:rsidRPr="00013F71">
        <w:rPr>
          <w:snapToGrid w:val="0"/>
          <w:sz w:val="24"/>
          <w:szCs w:val="24"/>
        </w:rPr>
        <w:t xml:space="preserve">despite lower prices </w:t>
      </w:r>
      <w:r w:rsidRPr="00013F71">
        <w:rPr>
          <w:snapToGrid w:val="0"/>
          <w:sz w:val="24"/>
          <w:szCs w:val="24"/>
        </w:rPr>
        <w:t>the mining sector will continue to be an important contributor to the Wyoming economy</w:t>
      </w:r>
      <w:r w:rsidR="00795A44">
        <w:rPr>
          <w:snapToGrid w:val="0"/>
          <w:sz w:val="24"/>
          <w:szCs w:val="24"/>
        </w:rPr>
        <w:t>, with few other sources of income available.</w:t>
      </w:r>
    </w:p>
    <w:p w14:paraId="32AE95F4" w14:textId="77777777" w:rsidR="00A91845" w:rsidRPr="00013F71" w:rsidRDefault="00A91845" w:rsidP="00C26571">
      <w:pPr>
        <w:rPr>
          <w:snapToGrid w:val="0"/>
          <w:sz w:val="24"/>
          <w:szCs w:val="24"/>
        </w:rPr>
      </w:pPr>
    </w:p>
    <w:p w14:paraId="7FE2BA3A" w14:textId="1AACC449" w:rsidR="00DD0D6F" w:rsidRPr="00013F71" w:rsidRDefault="000D4DBB" w:rsidP="008B6360">
      <w:pPr>
        <w:ind w:firstLine="720"/>
        <w:rPr>
          <w:snapToGrid w:val="0"/>
          <w:sz w:val="24"/>
          <w:szCs w:val="24"/>
        </w:rPr>
      </w:pPr>
      <w:r w:rsidRPr="00013F71">
        <w:rPr>
          <w:snapToGrid w:val="0"/>
          <w:sz w:val="24"/>
          <w:szCs w:val="24"/>
        </w:rPr>
        <w:t>Luckily, much of Wyoming was</w:t>
      </w:r>
      <w:r w:rsidR="00C26571" w:rsidRPr="00013F71">
        <w:rPr>
          <w:snapToGrid w:val="0"/>
          <w:sz w:val="24"/>
          <w:szCs w:val="24"/>
        </w:rPr>
        <w:t xml:space="preserve"> spared from the s</w:t>
      </w:r>
      <w:r w:rsidRPr="00013F71">
        <w:rPr>
          <w:snapToGrid w:val="0"/>
          <w:sz w:val="24"/>
          <w:szCs w:val="24"/>
        </w:rPr>
        <w:t xml:space="preserve">ub-prime mortgage woes that </w:t>
      </w:r>
      <w:r w:rsidR="00C26571" w:rsidRPr="00013F71">
        <w:rPr>
          <w:snapToGrid w:val="0"/>
          <w:sz w:val="24"/>
          <w:szCs w:val="24"/>
        </w:rPr>
        <w:t>impact</w:t>
      </w:r>
      <w:r w:rsidRPr="00013F71">
        <w:rPr>
          <w:snapToGrid w:val="0"/>
          <w:sz w:val="24"/>
          <w:szCs w:val="24"/>
        </w:rPr>
        <w:t>ed</w:t>
      </w:r>
      <w:r w:rsidR="00C26571" w:rsidRPr="00013F71">
        <w:rPr>
          <w:snapToGrid w:val="0"/>
          <w:sz w:val="24"/>
          <w:szCs w:val="24"/>
        </w:rPr>
        <w:t xml:space="preserve"> many other parts of the country</w:t>
      </w:r>
      <w:r w:rsidR="00767EFA" w:rsidRPr="00013F71">
        <w:rPr>
          <w:snapToGrid w:val="0"/>
          <w:sz w:val="24"/>
          <w:szCs w:val="24"/>
        </w:rPr>
        <w:t xml:space="preserve"> over </w:t>
      </w:r>
      <w:r w:rsidR="00795A44">
        <w:rPr>
          <w:snapToGrid w:val="0"/>
          <w:sz w:val="24"/>
          <w:szCs w:val="24"/>
        </w:rPr>
        <w:t xml:space="preserve">portions of </w:t>
      </w:r>
      <w:r w:rsidR="00767EFA" w:rsidRPr="00013F71">
        <w:rPr>
          <w:snapToGrid w:val="0"/>
          <w:sz w:val="24"/>
          <w:szCs w:val="24"/>
        </w:rPr>
        <w:t>the previous decade</w:t>
      </w:r>
      <w:r w:rsidR="00C26571" w:rsidRPr="00013F71">
        <w:rPr>
          <w:snapToGrid w:val="0"/>
          <w:sz w:val="24"/>
          <w:szCs w:val="24"/>
        </w:rPr>
        <w:t>.  Wyoming never exp</w:t>
      </w:r>
      <w:r w:rsidR="00942325" w:rsidRPr="00013F71">
        <w:rPr>
          <w:snapToGrid w:val="0"/>
          <w:sz w:val="24"/>
          <w:szCs w:val="24"/>
        </w:rPr>
        <w:t>erienced the housing “boom” and</w:t>
      </w:r>
      <w:r w:rsidR="00795A44">
        <w:rPr>
          <w:snapToGrid w:val="0"/>
          <w:sz w:val="24"/>
          <w:szCs w:val="24"/>
        </w:rPr>
        <w:t>,</w:t>
      </w:r>
      <w:r w:rsidR="00942325" w:rsidRPr="00013F71">
        <w:rPr>
          <w:snapToGrid w:val="0"/>
          <w:sz w:val="24"/>
          <w:szCs w:val="24"/>
        </w:rPr>
        <w:t xml:space="preserve"> therefore</w:t>
      </w:r>
      <w:r w:rsidR="00795A44">
        <w:rPr>
          <w:snapToGrid w:val="0"/>
          <w:sz w:val="24"/>
          <w:szCs w:val="24"/>
        </w:rPr>
        <w:t>,</w:t>
      </w:r>
      <w:r w:rsidR="00C26571" w:rsidRPr="00013F71">
        <w:rPr>
          <w:snapToGrid w:val="0"/>
          <w:sz w:val="24"/>
          <w:szCs w:val="24"/>
        </w:rPr>
        <w:t xml:space="preserve"> never experienced the full force of the housing “bust.”</w:t>
      </w:r>
      <w:r w:rsidR="00A673DE" w:rsidRPr="00013F71">
        <w:rPr>
          <w:snapToGrid w:val="0"/>
          <w:sz w:val="24"/>
          <w:szCs w:val="24"/>
        </w:rPr>
        <w:t xml:space="preserve">  Unfortunately, the </w:t>
      </w:r>
      <w:r w:rsidR="00767EFA" w:rsidRPr="00013F71">
        <w:rPr>
          <w:snapToGrid w:val="0"/>
          <w:sz w:val="24"/>
          <w:szCs w:val="24"/>
        </w:rPr>
        <w:t>instability of</w:t>
      </w:r>
      <w:r w:rsidR="00A673DE" w:rsidRPr="00013F71">
        <w:rPr>
          <w:snapToGrid w:val="0"/>
          <w:sz w:val="24"/>
          <w:szCs w:val="24"/>
        </w:rPr>
        <w:t xml:space="preserve"> </w:t>
      </w:r>
      <w:r w:rsidR="00892EC2" w:rsidRPr="00013F71">
        <w:rPr>
          <w:snapToGrid w:val="0"/>
          <w:sz w:val="24"/>
          <w:szCs w:val="24"/>
        </w:rPr>
        <w:t xml:space="preserve">oil and </w:t>
      </w:r>
      <w:r w:rsidR="00A673DE" w:rsidRPr="00013F71">
        <w:rPr>
          <w:snapToGrid w:val="0"/>
          <w:sz w:val="24"/>
          <w:szCs w:val="24"/>
        </w:rPr>
        <w:t xml:space="preserve">natural gas prices </w:t>
      </w:r>
      <w:r w:rsidR="00892EC2" w:rsidRPr="00013F71">
        <w:rPr>
          <w:snapToGrid w:val="0"/>
          <w:sz w:val="24"/>
          <w:szCs w:val="24"/>
        </w:rPr>
        <w:t>continue to cloud Wyoming’s budgetary landscape.</w:t>
      </w:r>
      <w:r w:rsidR="00A673DE" w:rsidRPr="00013F71">
        <w:rPr>
          <w:snapToGrid w:val="0"/>
          <w:sz w:val="24"/>
          <w:szCs w:val="24"/>
        </w:rPr>
        <w:t xml:space="preserve">  </w:t>
      </w:r>
      <w:r w:rsidR="004C4DE2">
        <w:rPr>
          <w:snapToGrid w:val="0"/>
          <w:sz w:val="24"/>
          <w:szCs w:val="24"/>
        </w:rPr>
        <w:t>O</w:t>
      </w:r>
      <w:r w:rsidR="00DD0D6F" w:rsidRPr="00013F71">
        <w:rPr>
          <w:snapToGrid w:val="0"/>
          <w:sz w:val="24"/>
          <w:szCs w:val="24"/>
        </w:rPr>
        <w:t xml:space="preserve">il production is forecast </w:t>
      </w:r>
      <w:r w:rsidR="00A076A5" w:rsidRPr="00013F71">
        <w:rPr>
          <w:snapToGrid w:val="0"/>
          <w:sz w:val="24"/>
          <w:szCs w:val="24"/>
        </w:rPr>
        <w:t>to be steady in the very near term</w:t>
      </w:r>
      <w:r w:rsidR="00DD0D6F" w:rsidRPr="00013F71">
        <w:rPr>
          <w:snapToGrid w:val="0"/>
          <w:sz w:val="24"/>
          <w:szCs w:val="24"/>
        </w:rPr>
        <w:t xml:space="preserve">, natural gas production slightly down, with coal and </w:t>
      </w:r>
      <w:proofErr w:type="spellStart"/>
      <w:r w:rsidR="00DD0D6F" w:rsidRPr="00013F71">
        <w:rPr>
          <w:snapToGrid w:val="0"/>
          <w:sz w:val="24"/>
          <w:szCs w:val="24"/>
        </w:rPr>
        <w:t>trona</w:t>
      </w:r>
      <w:proofErr w:type="spellEnd"/>
      <w:r w:rsidR="00DD0D6F" w:rsidRPr="00013F71">
        <w:rPr>
          <w:snapToGrid w:val="0"/>
          <w:sz w:val="24"/>
          <w:szCs w:val="24"/>
        </w:rPr>
        <w:t xml:space="preserve"> production predicted to be steady.  </w:t>
      </w:r>
    </w:p>
    <w:p w14:paraId="60117257" w14:textId="5FD94212" w:rsidR="0016571A" w:rsidRPr="00013F71" w:rsidRDefault="00DD0D6F" w:rsidP="0016571A">
      <w:pPr>
        <w:spacing w:before="100" w:beforeAutospacing="1" w:after="100" w:afterAutospacing="1"/>
        <w:ind w:firstLine="720"/>
        <w:rPr>
          <w:sz w:val="24"/>
          <w:szCs w:val="24"/>
        </w:rPr>
      </w:pPr>
      <w:r w:rsidRPr="00013F71">
        <w:rPr>
          <w:snapToGrid w:val="0"/>
          <w:sz w:val="24"/>
          <w:szCs w:val="24"/>
        </w:rPr>
        <w:t>O</w:t>
      </w:r>
      <w:r w:rsidR="000D4DBB" w:rsidRPr="00013F71">
        <w:rPr>
          <w:snapToGrid w:val="0"/>
          <w:sz w:val="24"/>
          <w:szCs w:val="24"/>
        </w:rPr>
        <w:t xml:space="preserve">ne of the </w:t>
      </w:r>
      <w:r w:rsidR="00E21568" w:rsidRPr="00013F71">
        <w:rPr>
          <w:snapToGrid w:val="0"/>
          <w:sz w:val="24"/>
          <w:szCs w:val="24"/>
        </w:rPr>
        <w:t xml:space="preserve">most important sources of income for </w:t>
      </w:r>
      <w:r w:rsidR="000D4DBB" w:rsidRPr="00013F71">
        <w:rPr>
          <w:snapToGrid w:val="0"/>
          <w:sz w:val="24"/>
          <w:szCs w:val="24"/>
        </w:rPr>
        <w:t xml:space="preserve">the Wyoming budget is the Permanent Wyoming </w:t>
      </w:r>
      <w:r w:rsidR="000C4B6D" w:rsidRPr="00013F71">
        <w:rPr>
          <w:snapToGrid w:val="0"/>
          <w:sz w:val="24"/>
          <w:szCs w:val="24"/>
        </w:rPr>
        <w:t>Mineral</w:t>
      </w:r>
      <w:r w:rsidR="000D4DBB" w:rsidRPr="00013F71">
        <w:rPr>
          <w:snapToGrid w:val="0"/>
          <w:sz w:val="24"/>
          <w:szCs w:val="24"/>
        </w:rPr>
        <w:t xml:space="preserve"> Trust Fund (PWMTF).  I</w:t>
      </w:r>
      <w:r w:rsidR="008A122B" w:rsidRPr="00013F71">
        <w:rPr>
          <w:snapToGrid w:val="0"/>
          <w:sz w:val="24"/>
          <w:szCs w:val="24"/>
        </w:rPr>
        <w:t>n 1975</w:t>
      </w:r>
      <w:r w:rsidR="0072146E" w:rsidRPr="00013F71">
        <w:rPr>
          <w:snapToGrid w:val="0"/>
          <w:sz w:val="24"/>
          <w:szCs w:val="24"/>
        </w:rPr>
        <w:t xml:space="preserve">, </w:t>
      </w:r>
      <w:r w:rsidR="003175EA" w:rsidRPr="00013F71">
        <w:rPr>
          <w:snapToGrid w:val="0"/>
          <w:sz w:val="24"/>
          <w:szCs w:val="24"/>
        </w:rPr>
        <w:t xml:space="preserve">when the Trust Fund was </w:t>
      </w:r>
      <w:r w:rsidR="000C4B6D" w:rsidRPr="00013F71">
        <w:rPr>
          <w:snapToGrid w:val="0"/>
          <w:sz w:val="24"/>
          <w:szCs w:val="24"/>
        </w:rPr>
        <w:t xml:space="preserve">first </w:t>
      </w:r>
      <w:r w:rsidR="003175EA" w:rsidRPr="00013F71">
        <w:rPr>
          <w:snapToGrid w:val="0"/>
          <w:sz w:val="24"/>
          <w:szCs w:val="24"/>
        </w:rPr>
        <w:t xml:space="preserve">established, </w:t>
      </w:r>
      <w:r w:rsidR="0072146E" w:rsidRPr="00013F71">
        <w:rPr>
          <w:snapToGrid w:val="0"/>
          <w:sz w:val="24"/>
          <w:szCs w:val="24"/>
        </w:rPr>
        <w:t xml:space="preserve">the intent was to provide a </w:t>
      </w:r>
      <w:r w:rsidR="00E21568" w:rsidRPr="00013F71">
        <w:rPr>
          <w:snapToGrid w:val="0"/>
          <w:sz w:val="24"/>
          <w:szCs w:val="24"/>
        </w:rPr>
        <w:t xml:space="preserve">much-needed </w:t>
      </w:r>
      <w:r w:rsidR="0072146E" w:rsidRPr="00013F71">
        <w:rPr>
          <w:snapToGrid w:val="0"/>
          <w:sz w:val="24"/>
          <w:szCs w:val="24"/>
        </w:rPr>
        <w:t xml:space="preserve">stabilizing force </w:t>
      </w:r>
      <w:r w:rsidR="00BF6D29" w:rsidRPr="00013F71">
        <w:rPr>
          <w:snapToGrid w:val="0"/>
          <w:sz w:val="24"/>
          <w:szCs w:val="24"/>
        </w:rPr>
        <w:t>during</w:t>
      </w:r>
      <w:r w:rsidR="0072146E" w:rsidRPr="00013F71">
        <w:rPr>
          <w:snapToGrid w:val="0"/>
          <w:sz w:val="24"/>
          <w:szCs w:val="24"/>
        </w:rPr>
        <w:t xml:space="preserve"> the creation of the biennial budget</w:t>
      </w:r>
      <w:r w:rsidR="008A122B" w:rsidRPr="00013F71">
        <w:rPr>
          <w:snapToGrid w:val="0"/>
          <w:sz w:val="24"/>
          <w:szCs w:val="24"/>
        </w:rPr>
        <w:t xml:space="preserve"> (the PWMTF was created by a constitutional amendment passed in 1974)</w:t>
      </w:r>
      <w:r w:rsidR="0072146E" w:rsidRPr="00013F71">
        <w:rPr>
          <w:snapToGrid w:val="0"/>
          <w:sz w:val="24"/>
          <w:szCs w:val="24"/>
        </w:rPr>
        <w:t xml:space="preserve">. Interest from the Fund was to be utilized as a relatively </w:t>
      </w:r>
      <w:r w:rsidR="00E21568" w:rsidRPr="00013F71">
        <w:rPr>
          <w:snapToGrid w:val="0"/>
          <w:sz w:val="24"/>
          <w:szCs w:val="24"/>
        </w:rPr>
        <w:t>consistent and predictable</w:t>
      </w:r>
      <w:r w:rsidR="0072146E" w:rsidRPr="00013F71">
        <w:rPr>
          <w:snapToGrid w:val="0"/>
          <w:sz w:val="24"/>
          <w:szCs w:val="24"/>
        </w:rPr>
        <w:t xml:space="preserve"> revenue source for the General Fund, the state’s main operating account. Legislators viewed this as something vitally </w:t>
      </w:r>
      <w:r w:rsidR="0072146E" w:rsidRPr="00013F71">
        <w:rPr>
          <w:snapToGrid w:val="0"/>
          <w:sz w:val="24"/>
          <w:szCs w:val="24"/>
        </w:rPr>
        <w:lastRenderedPageBreak/>
        <w:t>necessary for the boom and bust cycles inherent in an economy built largely on mineral extraction (</w:t>
      </w:r>
      <w:r w:rsidR="003505A6" w:rsidRPr="00013F71">
        <w:rPr>
          <w:snapToGrid w:val="0"/>
          <w:sz w:val="24"/>
          <w:szCs w:val="24"/>
        </w:rPr>
        <w:t>Western, 2012)</w:t>
      </w:r>
      <w:r w:rsidR="0072146E" w:rsidRPr="00013F71">
        <w:rPr>
          <w:snapToGrid w:val="0"/>
          <w:sz w:val="24"/>
          <w:szCs w:val="24"/>
        </w:rPr>
        <w:t>.</w:t>
      </w:r>
      <w:r w:rsidR="00F27324" w:rsidRPr="00013F71">
        <w:rPr>
          <w:snapToGrid w:val="0"/>
          <w:sz w:val="24"/>
          <w:szCs w:val="24"/>
        </w:rPr>
        <w:t xml:space="preserve"> </w:t>
      </w:r>
      <w:r w:rsidR="003505A6" w:rsidRPr="00013F71">
        <w:rPr>
          <w:snapToGrid w:val="0"/>
          <w:sz w:val="24"/>
          <w:szCs w:val="24"/>
        </w:rPr>
        <w:t xml:space="preserve"> </w:t>
      </w:r>
      <w:r w:rsidR="00F27324" w:rsidRPr="00013F71">
        <w:rPr>
          <w:snapToGrid w:val="0"/>
          <w:sz w:val="24"/>
          <w:szCs w:val="24"/>
        </w:rPr>
        <w:t xml:space="preserve">As of </w:t>
      </w:r>
      <w:r w:rsidR="00050C5D" w:rsidRPr="00013F71">
        <w:rPr>
          <w:snapToGrid w:val="0"/>
          <w:sz w:val="24"/>
          <w:szCs w:val="24"/>
        </w:rPr>
        <w:t>December 31, 2015</w:t>
      </w:r>
      <w:r w:rsidR="008A122B" w:rsidRPr="00013F71">
        <w:rPr>
          <w:snapToGrid w:val="0"/>
          <w:sz w:val="24"/>
          <w:szCs w:val="24"/>
        </w:rPr>
        <w:t>,</w:t>
      </w:r>
      <w:r w:rsidR="00F27324" w:rsidRPr="00013F71">
        <w:rPr>
          <w:snapToGrid w:val="0"/>
          <w:sz w:val="24"/>
          <w:szCs w:val="24"/>
        </w:rPr>
        <w:t xml:space="preserve"> the </w:t>
      </w:r>
      <w:r w:rsidR="008A122B" w:rsidRPr="00013F71">
        <w:rPr>
          <w:snapToGrid w:val="0"/>
          <w:sz w:val="24"/>
          <w:szCs w:val="24"/>
        </w:rPr>
        <w:t xml:space="preserve">market value of the </w:t>
      </w:r>
      <w:r w:rsidR="00F27324" w:rsidRPr="00013F71">
        <w:rPr>
          <w:snapToGrid w:val="0"/>
          <w:sz w:val="24"/>
          <w:szCs w:val="24"/>
        </w:rPr>
        <w:t>Fund sits at $</w:t>
      </w:r>
      <w:r w:rsidR="00050C5D" w:rsidRPr="00013F71">
        <w:rPr>
          <w:snapToGrid w:val="0"/>
          <w:sz w:val="24"/>
          <w:szCs w:val="24"/>
        </w:rPr>
        <w:t>7</w:t>
      </w:r>
      <w:r w:rsidR="00F27324" w:rsidRPr="00013F71">
        <w:rPr>
          <w:snapToGrid w:val="0"/>
          <w:sz w:val="24"/>
          <w:szCs w:val="24"/>
        </w:rPr>
        <w:t>.</w:t>
      </w:r>
      <w:r w:rsidR="00050C5D" w:rsidRPr="00013F71">
        <w:rPr>
          <w:snapToGrid w:val="0"/>
          <w:sz w:val="24"/>
          <w:szCs w:val="24"/>
        </w:rPr>
        <w:t>03</w:t>
      </w:r>
      <w:r w:rsidR="0072146E" w:rsidRPr="00013F71">
        <w:rPr>
          <w:snapToGrid w:val="0"/>
          <w:sz w:val="24"/>
          <w:szCs w:val="24"/>
        </w:rPr>
        <w:t xml:space="preserve"> billio</w:t>
      </w:r>
      <w:r w:rsidR="008A122B" w:rsidRPr="00013F71">
        <w:rPr>
          <w:snapToGrid w:val="0"/>
          <w:sz w:val="24"/>
          <w:szCs w:val="24"/>
        </w:rPr>
        <w:t>n</w:t>
      </w:r>
      <w:r w:rsidR="00050C5D" w:rsidRPr="00013F71">
        <w:rPr>
          <w:snapToGrid w:val="0"/>
          <w:sz w:val="24"/>
          <w:szCs w:val="24"/>
        </w:rPr>
        <w:t xml:space="preserve"> (Wyoming State Treasurer, 2015, 1</w:t>
      </w:r>
      <w:r w:rsidR="00B373B3" w:rsidRPr="00013F71">
        <w:rPr>
          <w:snapToGrid w:val="0"/>
          <w:sz w:val="24"/>
          <w:szCs w:val="24"/>
        </w:rPr>
        <w:t>)</w:t>
      </w:r>
      <w:r w:rsidR="007F2325" w:rsidRPr="00013F71">
        <w:rPr>
          <w:snapToGrid w:val="0"/>
          <w:sz w:val="24"/>
          <w:szCs w:val="24"/>
        </w:rPr>
        <w:t>.</w:t>
      </w:r>
      <w:r w:rsidR="00D51C47" w:rsidRPr="00013F71">
        <w:rPr>
          <w:snapToGrid w:val="0"/>
          <w:sz w:val="24"/>
          <w:szCs w:val="24"/>
        </w:rPr>
        <w:t xml:space="preserve">  </w:t>
      </w:r>
      <w:r w:rsidR="0072146E" w:rsidRPr="00013F71">
        <w:rPr>
          <w:snapToGrid w:val="0"/>
          <w:sz w:val="24"/>
          <w:szCs w:val="24"/>
        </w:rPr>
        <w:t xml:space="preserve">Significant revenue in </w:t>
      </w:r>
      <w:r w:rsidR="00DD3D13" w:rsidRPr="00013F71">
        <w:rPr>
          <w:snapToGrid w:val="0"/>
          <w:sz w:val="24"/>
          <w:szCs w:val="24"/>
        </w:rPr>
        <w:t xml:space="preserve">the </w:t>
      </w:r>
      <w:r w:rsidR="0072146E" w:rsidRPr="00013F71">
        <w:rPr>
          <w:snapToGrid w:val="0"/>
          <w:sz w:val="24"/>
          <w:szCs w:val="24"/>
        </w:rPr>
        <w:t>recent years of the boom cycle</w:t>
      </w:r>
      <w:r w:rsidR="00DD3D13" w:rsidRPr="00013F71">
        <w:rPr>
          <w:snapToGrid w:val="0"/>
          <w:sz w:val="24"/>
          <w:szCs w:val="24"/>
        </w:rPr>
        <w:t>,</w:t>
      </w:r>
      <w:r w:rsidR="0072146E" w:rsidRPr="00013F71">
        <w:rPr>
          <w:snapToGrid w:val="0"/>
          <w:sz w:val="24"/>
          <w:szCs w:val="24"/>
        </w:rPr>
        <w:t xml:space="preserve"> when natural gas prices reached an all-time high</w:t>
      </w:r>
      <w:r w:rsidR="00DD3D13" w:rsidRPr="00013F71">
        <w:rPr>
          <w:snapToGrid w:val="0"/>
          <w:sz w:val="24"/>
          <w:szCs w:val="24"/>
        </w:rPr>
        <w:t>,</w:t>
      </w:r>
      <w:r w:rsidR="0072146E" w:rsidRPr="00013F71">
        <w:rPr>
          <w:snapToGrid w:val="0"/>
          <w:sz w:val="24"/>
          <w:szCs w:val="24"/>
        </w:rPr>
        <w:t xml:space="preserve"> was diverted to the Fund in an effort to increase its corpus and hedge off the effects of the bust cycle. </w:t>
      </w:r>
      <w:r w:rsidR="00CA05FD" w:rsidRPr="00013F71">
        <w:rPr>
          <w:snapToGrid w:val="0"/>
          <w:sz w:val="24"/>
          <w:szCs w:val="24"/>
        </w:rPr>
        <w:t>Article 15, Sec. 19 of t</w:t>
      </w:r>
      <w:r w:rsidR="00996C6B" w:rsidRPr="00013F71">
        <w:rPr>
          <w:snapToGrid w:val="0"/>
          <w:sz w:val="24"/>
          <w:szCs w:val="24"/>
        </w:rPr>
        <w:t>he Wyoming C</w:t>
      </w:r>
      <w:r w:rsidR="007E6825" w:rsidRPr="00013F71">
        <w:rPr>
          <w:snapToGrid w:val="0"/>
          <w:sz w:val="24"/>
          <w:szCs w:val="24"/>
        </w:rPr>
        <w:t>onstitution guarantees that</w:t>
      </w:r>
      <w:r w:rsidR="00CA05FD" w:rsidRPr="00013F71">
        <w:rPr>
          <w:snapToGrid w:val="0"/>
          <w:sz w:val="24"/>
          <w:szCs w:val="24"/>
        </w:rPr>
        <w:t xml:space="preserve"> a tax of</w:t>
      </w:r>
      <w:r w:rsidR="007E6825" w:rsidRPr="00013F71">
        <w:rPr>
          <w:snapToGrid w:val="0"/>
          <w:sz w:val="24"/>
          <w:szCs w:val="24"/>
        </w:rPr>
        <w:t xml:space="preserve"> 1.5 percent</w:t>
      </w:r>
      <w:r w:rsidR="00CA05FD" w:rsidRPr="00013F71">
        <w:rPr>
          <w:snapToGrid w:val="0"/>
          <w:sz w:val="24"/>
          <w:szCs w:val="24"/>
        </w:rPr>
        <w:t xml:space="preserve"> </w:t>
      </w:r>
      <w:proofErr w:type="gramStart"/>
      <w:r w:rsidR="00CA05FD" w:rsidRPr="00013F71">
        <w:rPr>
          <w:snapToGrid w:val="0"/>
          <w:sz w:val="24"/>
          <w:szCs w:val="24"/>
        </w:rPr>
        <w:t>be</w:t>
      </w:r>
      <w:proofErr w:type="gramEnd"/>
      <w:r w:rsidR="00CA05FD" w:rsidRPr="00013F71">
        <w:rPr>
          <w:snapToGrid w:val="0"/>
          <w:sz w:val="24"/>
          <w:szCs w:val="24"/>
        </w:rPr>
        <w:t xml:space="preserve"> imposed on the value of all minerals extracted and that this tax flow automatically</w:t>
      </w:r>
      <w:r w:rsidR="00794EAC" w:rsidRPr="00013F71">
        <w:rPr>
          <w:snapToGrid w:val="0"/>
          <w:sz w:val="24"/>
          <w:szCs w:val="24"/>
        </w:rPr>
        <w:t xml:space="preserve"> into the Fund</w:t>
      </w:r>
      <w:r w:rsidR="00996C6B" w:rsidRPr="00013F71">
        <w:rPr>
          <w:snapToGrid w:val="0"/>
          <w:sz w:val="24"/>
          <w:szCs w:val="24"/>
        </w:rPr>
        <w:t xml:space="preserve">, but an additional </w:t>
      </w:r>
      <w:r w:rsidR="00996C6B" w:rsidRPr="00084139">
        <w:rPr>
          <w:snapToGrid w:val="0"/>
          <w:sz w:val="24"/>
          <w:szCs w:val="24"/>
        </w:rPr>
        <w:t>1</w:t>
      </w:r>
      <w:r w:rsidR="00084139">
        <w:rPr>
          <w:snapToGrid w:val="0"/>
          <w:sz w:val="24"/>
          <w:szCs w:val="24"/>
        </w:rPr>
        <w:t>%</w:t>
      </w:r>
      <w:r w:rsidR="00996C6B" w:rsidRPr="00013F71">
        <w:rPr>
          <w:snapToGrid w:val="0"/>
          <w:sz w:val="24"/>
          <w:szCs w:val="24"/>
        </w:rPr>
        <w:t xml:space="preserve"> </w:t>
      </w:r>
      <w:r w:rsidR="00CA05FD" w:rsidRPr="00013F71">
        <w:rPr>
          <w:snapToGrid w:val="0"/>
          <w:sz w:val="24"/>
          <w:szCs w:val="24"/>
        </w:rPr>
        <w:t xml:space="preserve">tax is currently deposited there at lawmakers discretion (Wyoming Constitution).  In terms of the value of all severance tax dollars collected each year, of those, roughly 40 percent are deposited </w:t>
      </w:r>
      <w:r w:rsidR="004C4DE2">
        <w:rPr>
          <w:snapToGrid w:val="0"/>
          <w:sz w:val="24"/>
          <w:szCs w:val="24"/>
        </w:rPr>
        <w:t xml:space="preserve">directly </w:t>
      </w:r>
      <w:r w:rsidR="00CA05FD" w:rsidRPr="00013F71">
        <w:rPr>
          <w:snapToGrid w:val="0"/>
          <w:sz w:val="24"/>
          <w:szCs w:val="24"/>
        </w:rPr>
        <w:t xml:space="preserve">into the PWMTF, the remainder are directly allocated to the general fund budget </w:t>
      </w:r>
      <w:r w:rsidR="00BF6D29" w:rsidRPr="00013F71">
        <w:rPr>
          <w:sz w:val="24"/>
          <w:szCs w:val="24"/>
        </w:rPr>
        <w:t>(s</w:t>
      </w:r>
      <w:r w:rsidR="000B45BD" w:rsidRPr="00013F71">
        <w:rPr>
          <w:sz w:val="24"/>
          <w:szCs w:val="24"/>
        </w:rPr>
        <w:t>ee, for example, Graph 1)</w:t>
      </w:r>
      <w:r w:rsidR="00B373B3" w:rsidRPr="00013F71">
        <w:rPr>
          <w:sz w:val="24"/>
          <w:szCs w:val="24"/>
        </w:rPr>
        <w:t xml:space="preserve"> (CREG 2015)</w:t>
      </w:r>
      <w:r w:rsidR="007F2325" w:rsidRPr="00013F71">
        <w:rPr>
          <w:sz w:val="24"/>
          <w:szCs w:val="24"/>
        </w:rPr>
        <w:t>.</w:t>
      </w:r>
    </w:p>
    <w:p w14:paraId="185C54F1" w14:textId="77777777" w:rsidR="004C43AC" w:rsidRPr="00013F71" w:rsidRDefault="004C43AC" w:rsidP="0016571A">
      <w:pPr>
        <w:spacing w:before="100" w:beforeAutospacing="1" w:after="100" w:afterAutospacing="1"/>
        <w:ind w:firstLine="720"/>
        <w:rPr>
          <w:sz w:val="24"/>
          <w:szCs w:val="24"/>
        </w:rPr>
      </w:pPr>
    </w:p>
    <w:p w14:paraId="111D8231" w14:textId="77777777" w:rsidR="00DD3D13" w:rsidRPr="00013F71" w:rsidRDefault="00A76C34" w:rsidP="00A76C34">
      <w:pPr>
        <w:jc w:val="center"/>
        <w:rPr>
          <w:b/>
          <w:snapToGrid w:val="0"/>
          <w:sz w:val="24"/>
          <w:szCs w:val="24"/>
        </w:rPr>
      </w:pPr>
      <w:r w:rsidRPr="00013F71">
        <w:rPr>
          <w:b/>
          <w:snapToGrid w:val="0"/>
          <w:sz w:val="24"/>
          <w:szCs w:val="24"/>
        </w:rPr>
        <w:t>Graph 1</w:t>
      </w:r>
    </w:p>
    <w:p w14:paraId="341847D3" w14:textId="77777777" w:rsidR="00DD6057" w:rsidRPr="00013F71" w:rsidRDefault="00DD6057" w:rsidP="00A76C34">
      <w:pPr>
        <w:jc w:val="center"/>
        <w:rPr>
          <w:snapToGrid w:val="0"/>
          <w:sz w:val="24"/>
          <w:szCs w:val="24"/>
        </w:rPr>
      </w:pPr>
    </w:p>
    <w:p w14:paraId="22884212" w14:textId="4263A1AC" w:rsidR="00DD3D13" w:rsidRPr="00013F71" w:rsidRDefault="00FF4982" w:rsidP="00C26571">
      <w:pPr>
        <w:rPr>
          <w:snapToGrid w:val="0"/>
        </w:rPr>
      </w:pPr>
      <w:r w:rsidRPr="00013F71">
        <w:rPr>
          <w:noProof/>
        </w:rPr>
        <w:drawing>
          <wp:inline distT="0" distB="0" distL="0" distR="0" wp14:anchorId="0C1B9351" wp14:editId="21BF3C6F">
            <wp:extent cx="5715000" cy="3318510"/>
            <wp:effectExtent l="0" t="0" r="25400" b="3429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5B6CE7" w14:textId="58020664" w:rsidR="00D76EAF" w:rsidRPr="00013F71" w:rsidRDefault="005F5F23" w:rsidP="00C26571">
      <w:pPr>
        <w:rPr>
          <w:snapToGrid w:val="0"/>
        </w:rPr>
      </w:pPr>
      <w:r w:rsidRPr="00013F71">
        <w:rPr>
          <w:snapToGrid w:val="0"/>
        </w:rPr>
        <w:t>(</w:t>
      </w:r>
      <w:proofErr w:type="gramStart"/>
      <w:r w:rsidRPr="00013F71">
        <w:rPr>
          <w:snapToGrid w:val="0"/>
        </w:rPr>
        <w:t>source</w:t>
      </w:r>
      <w:proofErr w:type="gramEnd"/>
      <w:r w:rsidRPr="00013F71">
        <w:rPr>
          <w:snapToGrid w:val="0"/>
        </w:rPr>
        <w:t>: CREG January 2016</w:t>
      </w:r>
      <w:r w:rsidR="00EB571C" w:rsidRPr="00013F71">
        <w:rPr>
          <w:snapToGrid w:val="0"/>
        </w:rPr>
        <w:t xml:space="preserve">, Table 4). </w:t>
      </w:r>
    </w:p>
    <w:p w14:paraId="36A953E9" w14:textId="77777777" w:rsidR="00EB571C" w:rsidRPr="00013F71" w:rsidRDefault="00EB571C" w:rsidP="00D76EAF">
      <w:pPr>
        <w:jc w:val="center"/>
        <w:rPr>
          <w:b/>
          <w:snapToGrid w:val="0"/>
          <w:sz w:val="24"/>
          <w:szCs w:val="24"/>
        </w:rPr>
      </w:pPr>
    </w:p>
    <w:p w14:paraId="1904DB87" w14:textId="77777777" w:rsidR="00EB571C" w:rsidRPr="00013F71" w:rsidRDefault="00EB571C" w:rsidP="00D76EAF">
      <w:pPr>
        <w:jc w:val="center"/>
        <w:rPr>
          <w:b/>
          <w:snapToGrid w:val="0"/>
          <w:sz w:val="24"/>
          <w:szCs w:val="24"/>
        </w:rPr>
      </w:pPr>
    </w:p>
    <w:p w14:paraId="3AC4E7E7" w14:textId="77777777" w:rsidR="00A076A5" w:rsidRPr="00013F71" w:rsidRDefault="00A076A5" w:rsidP="00D76EAF">
      <w:pPr>
        <w:jc w:val="center"/>
        <w:rPr>
          <w:b/>
          <w:snapToGrid w:val="0"/>
          <w:sz w:val="24"/>
          <w:szCs w:val="24"/>
        </w:rPr>
      </w:pPr>
    </w:p>
    <w:p w14:paraId="2F016767" w14:textId="77777777" w:rsidR="00A076A5" w:rsidRPr="00013F71" w:rsidRDefault="00A076A5" w:rsidP="00D76EAF">
      <w:pPr>
        <w:jc w:val="center"/>
        <w:rPr>
          <w:b/>
          <w:snapToGrid w:val="0"/>
          <w:sz w:val="24"/>
          <w:szCs w:val="24"/>
        </w:rPr>
      </w:pPr>
    </w:p>
    <w:p w14:paraId="63E8B621" w14:textId="77777777" w:rsidR="00A076A5" w:rsidRPr="00013F71" w:rsidRDefault="00A076A5" w:rsidP="00D76EAF">
      <w:pPr>
        <w:jc w:val="center"/>
        <w:rPr>
          <w:b/>
          <w:snapToGrid w:val="0"/>
          <w:sz w:val="24"/>
          <w:szCs w:val="24"/>
        </w:rPr>
      </w:pPr>
    </w:p>
    <w:p w14:paraId="719FF66A" w14:textId="77777777" w:rsidR="00A076A5" w:rsidRPr="00013F71" w:rsidRDefault="00A076A5" w:rsidP="00D76EAF">
      <w:pPr>
        <w:jc w:val="center"/>
        <w:rPr>
          <w:b/>
          <w:snapToGrid w:val="0"/>
          <w:sz w:val="24"/>
          <w:szCs w:val="24"/>
        </w:rPr>
      </w:pPr>
    </w:p>
    <w:p w14:paraId="20BD25F7" w14:textId="77777777" w:rsidR="00A076A5" w:rsidRPr="00013F71" w:rsidRDefault="00A076A5" w:rsidP="00D76EAF">
      <w:pPr>
        <w:jc w:val="center"/>
        <w:rPr>
          <w:b/>
          <w:snapToGrid w:val="0"/>
          <w:sz w:val="24"/>
          <w:szCs w:val="24"/>
        </w:rPr>
      </w:pPr>
    </w:p>
    <w:p w14:paraId="1366261C" w14:textId="77777777" w:rsidR="00A076A5" w:rsidRPr="00013F71" w:rsidRDefault="00A076A5" w:rsidP="00D76EAF">
      <w:pPr>
        <w:jc w:val="center"/>
        <w:rPr>
          <w:b/>
          <w:snapToGrid w:val="0"/>
          <w:sz w:val="24"/>
          <w:szCs w:val="24"/>
        </w:rPr>
      </w:pPr>
    </w:p>
    <w:p w14:paraId="50D0CE8C" w14:textId="77777777" w:rsidR="00A076A5" w:rsidRPr="00013F71" w:rsidRDefault="00A076A5" w:rsidP="00D76EAF">
      <w:pPr>
        <w:jc w:val="center"/>
        <w:rPr>
          <w:b/>
          <w:snapToGrid w:val="0"/>
          <w:sz w:val="24"/>
          <w:szCs w:val="24"/>
        </w:rPr>
      </w:pPr>
    </w:p>
    <w:p w14:paraId="7590AA8C" w14:textId="77777777" w:rsidR="00A076A5" w:rsidRPr="00013F71" w:rsidRDefault="00A076A5" w:rsidP="00D76EAF">
      <w:pPr>
        <w:jc w:val="center"/>
        <w:rPr>
          <w:b/>
          <w:snapToGrid w:val="0"/>
          <w:sz w:val="24"/>
          <w:szCs w:val="24"/>
        </w:rPr>
      </w:pPr>
    </w:p>
    <w:p w14:paraId="49EBA6F5" w14:textId="77777777" w:rsidR="00A076A5" w:rsidRPr="00013F71" w:rsidRDefault="00A076A5" w:rsidP="00D76EAF">
      <w:pPr>
        <w:jc w:val="center"/>
        <w:rPr>
          <w:b/>
          <w:snapToGrid w:val="0"/>
          <w:sz w:val="24"/>
          <w:szCs w:val="24"/>
        </w:rPr>
      </w:pPr>
    </w:p>
    <w:p w14:paraId="258B1E8E" w14:textId="77777777" w:rsidR="00D76EAF" w:rsidRPr="00013F71" w:rsidRDefault="00D76EAF" w:rsidP="00D76EAF">
      <w:pPr>
        <w:jc w:val="center"/>
        <w:rPr>
          <w:b/>
          <w:snapToGrid w:val="0"/>
          <w:sz w:val="24"/>
          <w:szCs w:val="24"/>
        </w:rPr>
      </w:pPr>
      <w:r w:rsidRPr="00013F71">
        <w:rPr>
          <w:b/>
          <w:snapToGrid w:val="0"/>
          <w:sz w:val="24"/>
          <w:szCs w:val="24"/>
        </w:rPr>
        <w:t>Graph 2</w:t>
      </w:r>
    </w:p>
    <w:p w14:paraId="6520016E" w14:textId="77777777" w:rsidR="00D76EAF" w:rsidRPr="00013F71" w:rsidRDefault="00D76EAF" w:rsidP="00C26571">
      <w:pPr>
        <w:rPr>
          <w:snapToGrid w:val="0"/>
        </w:rPr>
      </w:pPr>
    </w:p>
    <w:p w14:paraId="17E3BC9E" w14:textId="2F5E61C8" w:rsidR="00FF4982" w:rsidRPr="00013F71" w:rsidRDefault="005E2702" w:rsidP="00C26571">
      <w:pPr>
        <w:rPr>
          <w:snapToGrid w:val="0"/>
        </w:rPr>
      </w:pPr>
      <w:r w:rsidRPr="00013F71">
        <w:rPr>
          <w:noProof/>
          <w:sz w:val="16"/>
          <w:szCs w:val="16"/>
        </w:rPr>
        <w:drawing>
          <wp:inline distT="0" distB="0" distL="0" distR="0" wp14:anchorId="2E266D15" wp14:editId="7B58E5A9">
            <wp:extent cx="5486400" cy="3200400"/>
            <wp:effectExtent l="0" t="0" r="25400" b="254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C7C335" w14:textId="2933082B" w:rsidR="00424756" w:rsidRPr="00013F71" w:rsidRDefault="00EB571C" w:rsidP="00EB571C">
      <w:pPr>
        <w:rPr>
          <w:snapToGrid w:val="0"/>
          <w:sz w:val="24"/>
          <w:szCs w:val="24"/>
        </w:rPr>
      </w:pPr>
      <w:r w:rsidRPr="00013F71">
        <w:rPr>
          <w:snapToGrid w:val="0"/>
          <w:sz w:val="24"/>
          <w:szCs w:val="24"/>
        </w:rPr>
        <w:t>(</w:t>
      </w:r>
      <w:proofErr w:type="gramStart"/>
      <w:r w:rsidRPr="00013F71">
        <w:rPr>
          <w:snapToGrid w:val="0"/>
        </w:rPr>
        <w:t>source</w:t>
      </w:r>
      <w:proofErr w:type="gramEnd"/>
      <w:r w:rsidRPr="00013F71">
        <w:rPr>
          <w:snapToGrid w:val="0"/>
        </w:rPr>
        <w:t>: Source: CREG January</w:t>
      </w:r>
      <w:r w:rsidR="000D4631" w:rsidRPr="00013F71">
        <w:rPr>
          <w:snapToGrid w:val="0"/>
        </w:rPr>
        <w:t xml:space="preserve"> 2016, Table 2</w:t>
      </w:r>
      <w:r w:rsidRPr="00013F71">
        <w:rPr>
          <w:snapToGrid w:val="0"/>
        </w:rPr>
        <w:t>)</w:t>
      </w:r>
    </w:p>
    <w:p w14:paraId="08987883" w14:textId="77777777" w:rsidR="00424756" w:rsidRPr="00013F71" w:rsidRDefault="00424756" w:rsidP="00FF7CDD">
      <w:pPr>
        <w:ind w:firstLine="720"/>
        <w:rPr>
          <w:snapToGrid w:val="0"/>
          <w:sz w:val="24"/>
          <w:szCs w:val="24"/>
        </w:rPr>
      </w:pPr>
    </w:p>
    <w:p w14:paraId="77BAC78B" w14:textId="77777777" w:rsidR="0038003E" w:rsidRPr="00013F71" w:rsidRDefault="0038003E" w:rsidP="00FF7CDD">
      <w:pPr>
        <w:ind w:firstLine="720"/>
        <w:rPr>
          <w:snapToGrid w:val="0"/>
          <w:sz w:val="24"/>
          <w:szCs w:val="24"/>
        </w:rPr>
      </w:pPr>
    </w:p>
    <w:p w14:paraId="5386186E" w14:textId="77777777" w:rsidR="0038003E" w:rsidRPr="00013F71" w:rsidRDefault="0038003E" w:rsidP="00FF7CDD">
      <w:pPr>
        <w:ind w:firstLine="720"/>
        <w:rPr>
          <w:snapToGrid w:val="0"/>
          <w:sz w:val="24"/>
          <w:szCs w:val="24"/>
        </w:rPr>
      </w:pPr>
    </w:p>
    <w:p w14:paraId="74990499" w14:textId="00B2EE9D" w:rsidR="00930D13" w:rsidRPr="00013F71" w:rsidRDefault="00E21568" w:rsidP="00FF7CDD">
      <w:pPr>
        <w:ind w:firstLine="720"/>
        <w:rPr>
          <w:snapToGrid w:val="0"/>
          <w:sz w:val="24"/>
          <w:szCs w:val="24"/>
        </w:rPr>
      </w:pPr>
      <w:r w:rsidRPr="00013F71">
        <w:rPr>
          <w:snapToGrid w:val="0"/>
          <w:sz w:val="24"/>
          <w:szCs w:val="24"/>
        </w:rPr>
        <w:t xml:space="preserve">A number of </w:t>
      </w:r>
      <w:r w:rsidR="000B45BD" w:rsidRPr="00013F71">
        <w:rPr>
          <w:snapToGrid w:val="0"/>
          <w:sz w:val="24"/>
          <w:szCs w:val="24"/>
        </w:rPr>
        <w:t>economists</w:t>
      </w:r>
      <w:r w:rsidR="00DD3D13" w:rsidRPr="00013F71">
        <w:rPr>
          <w:snapToGrid w:val="0"/>
          <w:sz w:val="24"/>
          <w:szCs w:val="24"/>
        </w:rPr>
        <w:t xml:space="preserve"> indicate that the percentage of revenues </w:t>
      </w:r>
      <w:r w:rsidR="00F61B2E" w:rsidRPr="00013F71">
        <w:rPr>
          <w:snapToGrid w:val="0"/>
          <w:sz w:val="24"/>
          <w:szCs w:val="24"/>
        </w:rPr>
        <w:t>earned from the PWMTF, going to the General Fund, i</w:t>
      </w:r>
      <w:r w:rsidR="00DD3D13" w:rsidRPr="00013F71">
        <w:rPr>
          <w:snapToGrid w:val="0"/>
          <w:sz w:val="24"/>
          <w:szCs w:val="24"/>
        </w:rPr>
        <w:t>s relatively high</w:t>
      </w:r>
      <w:r w:rsidR="008D3760" w:rsidRPr="00013F71">
        <w:rPr>
          <w:snapToGrid w:val="0"/>
          <w:sz w:val="24"/>
          <w:szCs w:val="24"/>
        </w:rPr>
        <w:t xml:space="preserve">.  Here, </w:t>
      </w:r>
      <w:r w:rsidR="00EB571C" w:rsidRPr="00013F71">
        <w:rPr>
          <w:snapToGrid w:val="0"/>
          <w:sz w:val="24"/>
          <w:szCs w:val="24"/>
        </w:rPr>
        <w:t xml:space="preserve">according to </w:t>
      </w:r>
      <w:proofErr w:type="spellStart"/>
      <w:r w:rsidR="00EB571C" w:rsidRPr="00013F71">
        <w:rPr>
          <w:snapToGrid w:val="0"/>
          <w:sz w:val="24"/>
          <w:szCs w:val="24"/>
        </w:rPr>
        <w:t>Boettner</w:t>
      </w:r>
      <w:proofErr w:type="spellEnd"/>
      <w:r w:rsidR="00EB571C" w:rsidRPr="00013F71">
        <w:rPr>
          <w:snapToGrid w:val="0"/>
          <w:sz w:val="24"/>
          <w:szCs w:val="24"/>
        </w:rPr>
        <w:t xml:space="preserve">, </w:t>
      </w:r>
      <w:proofErr w:type="spellStart"/>
      <w:r w:rsidR="00EB571C" w:rsidRPr="00013F71">
        <w:rPr>
          <w:snapToGrid w:val="0"/>
          <w:sz w:val="24"/>
          <w:szCs w:val="24"/>
        </w:rPr>
        <w:t>Kriesky</w:t>
      </w:r>
      <w:proofErr w:type="spellEnd"/>
      <w:r w:rsidR="00EB571C" w:rsidRPr="00013F71">
        <w:rPr>
          <w:snapToGrid w:val="0"/>
          <w:sz w:val="24"/>
          <w:szCs w:val="24"/>
        </w:rPr>
        <w:t xml:space="preserve">, </w:t>
      </w:r>
      <w:proofErr w:type="spellStart"/>
      <w:r w:rsidR="00EB571C" w:rsidRPr="00013F71">
        <w:rPr>
          <w:snapToGrid w:val="0"/>
          <w:sz w:val="24"/>
          <w:szCs w:val="24"/>
        </w:rPr>
        <w:t>McIlmoil</w:t>
      </w:r>
      <w:proofErr w:type="spellEnd"/>
      <w:r w:rsidR="00EB571C" w:rsidRPr="00013F71">
        <w:rPr>
          <w:snapToGrid w:val="0"/>
          <w:sz w:val="24"/>
          <w:szCs w:val="24"/>
        </w:rPr>
        <w:t xml:space="preserve">, and </w:t>
      </w:r>
      <w:proofErr w:type="spellStart"/>
      <w:r w:rsidR="00EB571C" w:rsidRPr="00013F71">
        <w:rPr>
          <w:snapToGrid w:val="0"/>
          <w:sz w:val="24"/>
          <w:szCs w:val="24"/>
        </w:rPr>
        <w:t>Paulhus</w:t>
      </w:r>
      <w:proofErr w:type="spellEnd"/>
      <w:r w:rsidR="00EB571C" w:rsidRPr="00013F71">
        <w:rPr>
          <w:snapToGrid w:val="0"/>
          <w:sz w:val="24"/>
          <w:szCs w:val="24"/>
        </w:rPr>
        <w:t xml:space="preserve"> (2012), only </w:t>
      </w:r>
      <w:r w:rsidR="008D3760" w:rsidRPr="00013F71">
        <w:rPr>
          <w:snapToGrid w:val="0"/>
          <w:sz w:val="24"/>
          <w:szCs w:val="24"/>
        </w:rPr>
        <w:t>Wyoming and North Dakota deposit all fund earnings into their general fund</w:t>
      </w:r>
      <w:r w:rsidR="00EB571C" w:rsidRPr="00013F71">
        <w:rPr>
          <w:snapToGrid w:val="0"/>
          <w:sz w:val="24"/>
          <w:szCs w:val="24"/>
        </w:rPr>
        <w:t xml:space="preserve"> (11)</w:t>
      </w:r>
      <w:r w:rsidR="00F61B2E" w:rsidRPr="00013F71">
        <w:rPr>
          <w:snapToGrid w:val="0"/>
          <w:sz w:val="24"/>
          <w:szCs w:val="24"/>
        </w:rPr>
        <w:t>.</w:t>
      </w:r>
      <w:r w:rsidR="00B15BE6" w:rsidRPr="00013F71">
        <w:rPr>
          <w:snapToGrid w:val="0"/>
          <w:sz w:val="24"/>
          <w:szCs w:val="24"/>
        </w:rPr>
        <w:t xml:space="preserve"> </w:t>
      </w:r>
      <w:r w:rsidR="00924302" w:rsidRPr="00013F71">
        <w:rPr>
          <w:snapToGrid w:val="0"/>
          <w:sz w:val="24"/>
          <w:szCs w:val="24"/>
        </w:rPr>
        <w:t xml:space="preserve">Current sentiment is that </w:t>
      </w:r>
      <w:r w:rsidR="00DD3D13" w:rsidRPr="00013F71">
        <w:rPr>
          <w:snapToGrid w:val="0"/>
          <w:sz w:val="24"/>
          <w:szCs w:val="24"/>
        </w:rPr>
        <w:t xml:space="preserve">Wyoming simply has no other stable revenue stream available at this time. </w:t>
      </w:r>
      <w:r w:rsidR="00D0158A" w:rsidRPr="00013F71">
        <w:rPr>
          <w:snapToGrid w:val="0"/>
          <w:sz w:val="24"/>
          <w:szCs w:val="24"/>
        </w:rPr>
        <w:t>Samuel Western’s</w:t>
      </w:r>
      <w:r w:rsidR="00DD3D13" w:rsidRPr="00013F71">
        <w:rPr>
          <w:snapToGrid w:val="0"/>
          <w:sz w:val="24"/>
          <w:szCs w:val="24"/>
        </w:rPr>
        <w:t xml:space="preserve"> analysis “shows that from</w:t>
      </w:r>
      <w:r w:rsidR="008A122B" w:rsidRPr="00013F71">
        <w:rPr>
          <w:snapToGrid w:val="0"/>
          <w:sz w:val="24"/>
          <w:szCs w:val="24"/>
        </w:rPr>
        <w:t xml:space="preserve"> 1987-2011, interest from the PW</w:t>
      </w:r>
      <w:r w:rsidR="00DD3D13" w:rsidRPr="00013F71">
        <w:rPr>
          <w:snapToGrid w:val="0"/>
          <w:sz w:val="24"/>
          <w:szCs w:val="24"/>
        </w:rPr>
        <w:t xml:space="preserve">MTF </w:t>
      </w:r>
      <w:r w:rsidR="00486074" w:rsidRPr="00013F71">
        <w:rPr>
          <w:snapToGrid w:val="0"/>
          <w:sz w:val="24"/>
          <w:szCs w:val="24"/>
        </w:rPr>
        <w:t>has supplied an average of 18.6</w:t>
      </w:r>
      <w:r w:rsidR="00084139">
        <w:rPr>
          <w:snapToGrid w:val="0"/>
          <w:sz w:val="24"/>
          <w:szCs w:val="24"/>
        </w:rPr>
        <w:t>%</w:t>
      </w:r>
      <w:r w:rsidR="00DD3D13" w:rsidRPr="00013F71">
        <w:rPr>
          <w:snapToGrid w:val="0"/>
          <w:sz w:val="24"/>
          <w:szCs w:val="24"/>
        </w:rPr>
        <w:t xml:space="preserve"> of the general fund revenue</w:t>
      </w:r>
      <w:r w:rsidR="000B45BD" w:rsidRPr="00013F71">
        <w:rPr>
          <w:snapToGrid w:val="0"/>
          <w:sz w:val="24"/>
          <w:szCs w:val="24"/>
        </w:rPr>
        <w:t>”</w:t>
      </w:r>
      <w:r w:rsidR="00DD3D13" w:rsidRPr="00013F71">
        <w:rPr>
          <w:snapToGrid w:val="0"/>
          <w:sz w:val="24"/>
          <w:szCs w:val="24"/>
        </w:rPr>
        <w:t xml:space="preserve"> (</w:t>
      </w:r>
      <w:r w:rsidR="00D0158A" w:rsidRPr="00013F71">
        <w:rPr>
          <w:snapToGrid w:val="0"/>
          <w:sz w:val="24"/>
          <w:szCs w:val="24"/>
        </w:rPr>
        <w:t>Western</w:t>
      </w:r>
      <w:r w:rsidR="00DD3D13" w:rsidRPr="00013F71">
        <w:rPr>
          <w:snapToGrid w:val="0"/>
          <w:sz w:val="24"/>
          <w:szCs w:val="24"/>
        </w:rPr>
        <w:t>, 2012)</w:t>
      </w:r>
      <w:r w:rsidR="00F27324" w:rsidRPr="00013F71">
        <w:rPr>
          <w:snapToGrid w:val="0"/>
          <w:sz w:val="24"/>
          <w:szCs w:val="24"/>
        </w:rPr>
        <w:t xml:space="preserve">, </w:t>
      </w:r>
      <w:r w:rsidR="00FA0E52" w:rsidRPr="00013F71">
        <w:rPr>
          <w:snapToGrid w:val="0"/>
          <w:sz w:val="24"/>
          <w:szCs w:val="24"/>
        </w:rPr>
        <w:t>with that figure</w:t>
      </w:r>
      <w:r w:rsidR="007525C9" w:rsidRPr="00013F71">
        <w:rPr>
          <w:snapToGrid w:val="0"/>
          <w:sz w:val="24"/>
          <w:szCs w:val="24"/>
        </w:rPr>
        <w:t xml:space="preserve"> climbing to 27</w:t>
      </w:r>
      <w:r w:rsidR="00FA0E52" w:rsidRPr="00013F71">
        <w:rPr>
          <w:snapToGrid w:val="0"/>
          <w:sz w:val="24"/>
          <w:szCs w:val="24"/>
        </w:rPr>
        <w:t>.6% in 2014</w:t>
      </w:r>
      <w:r w:rsidR="007525C9" w:rsidRPr="00013F71">
        <w:rPr>
          <w:snapToGrid w:val="0"/>
          <w:sz w:val="24"/>
          <w:szCs w:val="24"/>
        </w:rPr>
        <w:t>, 25.</w:t>
      </w:r>
      <w:r w:rsidR="00BD3AC3" w:rsidRPr="00013F71">
        <w:rPr>
          <w:snapToGrid w:val="0"/>
          <w:sz w:val="24"/>
          <w:szCs w:val="24"/>
        </w:rPr>
        <w:t>3% in 2016, and dropping back to 16.5% by 2018</w:t>
      </w:r>
      <w:r w:rsidR="00FA0E52" w:rsidRPr="00013F71">
        <w:rPr>
          <w:snapToGrid w:val="0"/>
          <w:sz w:val="24"/>
          <w:szCs w:val="24"/>
        </w:rPr>
        <w:t xml:space="preserve"> (</w:t>
      </w:r>
      <w:r w:rsidR="00BD3AC3" w:rsidRPr="00013F71">
        <w:rPr>
          <w:snapToGrid w:val="0"/>
          <w:sz w:val="24"/>
          <w:szCs w:val="24"/>
        </w:rPr>
        <w:t xml:space="preserve">CREG, January 2016).  Related, </w:t>
      </w:r>
      <w:r w:rsidR="00F27324" w:rsidRPr="00013F71">
        <w:rPr>
          <w:snapToGrid w:val="0"/>
          <w:sz w:val="24"/>
          <w:szCs w:val="24"/>
        </w:rPr>
        <w:t xml:space="preserve">direct severance tax collections </w:t>
      </w:r>
      <w:r w:rsidR="00930D13" w:rsidRPr="00013F71">
        <w:rPr>
          <w:snapToGrid w:val="0"/>
          <w:sz w:val="24"/>
          <w:szCs w:val="24"/>
        </w:rPr>
        <w:t>accounted for an additional</w:t>
      </w:r>
      <w:r w:rsidR="00084139">
        <w:rPr>
          <w:snapToGrid w:val="0"/>
          <w:sz w:val="24"/>
          <w:szCs w:val="24"/>
        </w:rPr>
        <w:t xml:space="preserve"> 20%</w:t>
      </w:r>
      <w:r w:rsidR="00930D13" w:rsidRPr="00013F71">
        <w:rPr>
          <w:snapToGrid w:val="0"/>
          <w:sz w:val="24"/>
          <w:szCs w:val="24"/>
        </w:rPr>
        <w:t xml:space="preserve"> during Western’s analysis</w:t>
      </w:r>
      <w:r w:rsidR="00FA0E52" w:rsidRPr="00013F71">
        <w:rPr>
          <w:snapToGrid w:val="0"/>
          <w:sz w:val="24"/>
          <w:szCs w:val="24"/>
        </w:rPr>
        <w:t>,</w:t>
      </w:r>
      <w:r w:rsidR="00BD3AC3" w:rsidRPr="00013F71">
        <w:rPr>
          <w:snapToGrid w:val="0"/>
          <w:sz w:val="24"/>
          <w:szCs w:val="24"/>
        </w:rPr>
        <w:t xml:space="preserve"> with a slight dip to 16% in 2014, 14.7% in 2016, and 16.7% in the 2018 biennium</w:t>
      </w:r>
      <w:r w:rsidR="00FA0E52" w:rsidRPr="00013F71">
        <w:rPr>
          <w:snapToGrid w:val="0"/>
          <w:sz w:val="24"/>
          <w:szCs w:val="24"/>
        </w:rPr>
        <w:t>.</w:t>
      </w:r>
      <w:r w:rsidR="00C340AB" w:rsidRPr="00013F71">
        <w:rPr>
          <w:snapToGrid w:val="0"/>
          <w:sz w:val="24"/>
          <w:szCs w:val="24"/>
        </w:rPr>
        <w:t xml:space="preserve">  </w:t>
      </w:r>
    </w:p>
    <w:p w14:paraId="402A102F" w14:textId="77777777" w:rsidR="000C4A61" w:rsidRPr="00013F71" w:rsidRDefault="000C4A61" w:rsidP="00FF7CDD">
      <w:pPr>
        <w:ind w:firstLine="720"/>
        <w:rPr>
          <w:snapToGrid w:val="0"/>
          <w:sz w:val="24"/>
          <w:szCs w:val="24"/>
        </w:rPr>
      </w:pPr>
    </w:p>
    <w:p w14:paraId="5C53EC2A" w14:textId="262AC2E2" w:rsidR="00DD3D13" w:rsidRPr="00013F71" w:rsidRDefault="00FA0E52" w:rsidP="00FF7CDD">
      <w:pPr>
        <w:ind w:firstLine="720"/>
        <w:rPr>
          <w:snapToGrid w:val="0"/>
          <w:sz w:val="24"/>
          <w:szCs w:val="24"/>
        </w:rPr>
      </w:pPr>
      <w:r w:rsidRPr="00013F71">
        <w:rPr>
          <w:snapToGrid w:val="0"/>
          <w:sz w:val="24"/>
          <w:szCs w:val="24"/>
        </w:rPr>
        <w:t xml:space="preserve">As Gregory Nickerson notes, “the Permanent Mineral Trust fund </w:t>
      </w:r>
      <w:r w:rsidR="004C4DE2">
        <w:rPr>
          <w:snapToGrid w:val="0"/>
          <w:sz w:val="24"/>
          <w:szCs w:val="24"/>
        </w:rPr>
        <w:t>h</w:t>
      </w:r>
      <w:r w:rsidRPr="00013F71">
        <w:rPr>
          <w:snapToGrid w:val="0"/>
          <w:sz w:val="24"/>
          <w:szCs w:val="24"/>
        </w:rPr>
        <w:t>as grown by 55 percent over the past four years” (</w:t>
      </w:r>
      <w:r w:rsidR="00D0158A" w:rsidRPr="00013F71">
        <w:rPr>
          <w:snapToGrid w:val="0"/>
          <w:sz w:val="24"/>
          <w:szCs w:val="24"/>
        </w:rPr>
        <w:t>12/2/14</w:t>
      </w:r>
      <w:r w:rsidRPr="00013F71">
        <w:rPr>
          <w:snapToGrid w:val="0"/>
          <w:sz w:val="24"/>
          <w:szCs w:val="24"/>
        </w:rPr>
        <w:t xml:space="preserve">).  </w:t>
      </w:r>
      <w:r w:rsidR="00DD3D13" w:rsidRPr="00013F71">
        <w:rPr>
          <w:snapToGrid w:val="0"/>
          <w:sz w:val="24"/>
          <w:szCs w:val="24"/>
        </w:rPr>
        <w:t>Some argue this has created a</w:t>
      </w:r>
      <w:r w:rsidR="003C1C13" w:rsidRPr="00013F71">
        <w:rPr>
          <w:snapToGrid w:val="0"/>
          <w:sz w:val="24"/>
          <w:szCs w:val="24"/>
        </w:rPr>
        <w:t>n</w:t>
      </w:r>
      <w:r w:rsidR="00DD3D13" w:rsidRPr="00013F71">
        <w:rPr>
          <w:snapToGrid w:val="0"/>
          <w:sz w:val="24"/>
          <w:szCs w:val="24"/>
        </w:rPr>
        <w:t xml:space="preserve"> attitude of complacency within the state in t</w:t>
      </w:r>
      <w:r w:rsidR="004C4DE2">
        <w:rPr>
          <w:snapToGrid w:val="0"/>
          <w:sz w:val="24"/>
          <w:szCs w:val="24"/>
        </w:rPr>
        <w:t xml:space="preserve">erms of economic </w:t>
      </w:r>
      <w:r w:rsidR="000B45BD" w:rsidRPr="00013F71">
        <w:rPr>
          <w:snapToGrid w:val="0"/>
          <w:sz w:val="24"/>
          <w:szCs w:val="24"/>
        </w:rPr>
        <w:t>and tax diversification</w:t>
      </w:r>
      <w:r w:rsidR="00DD3D13" w:rsidRPr="00013F71">
        <w:rPr>
          <w:snapToGrid w:val="0"/>
          <w:sz w:val="24"/>
          <w:szCs w:val="24"/>
        </w:rPr>
        <w:t xml:space="preserve">. </w:t>
      </w:r>
      <w:r w:rsidR="003C1C13" w:rsidRPr="00013F71">
        <w:rPr>
          <w:snapToGrid w:val="0"/>
          <w:sz w:val="24"/>
          <w:szCs w:val="24"/>
        </w:rPr>
        <w:t>There seems little incentive to diversify the economy more with the relatively high percentage of interest from the WPMTF used for the General Fund.</w:t>
      </w:r>
      <w:r w:rsidR="00AD1911" w:rsidRPr="00013F71">
        <w:rPr>
          <w:snapToGrid w:val="0"/>
          <w:sz w:val="24"/>
          <w:szCs w:val="24"/>
        </w:rPr>
        <w:t xml:space="preserve"> Indeed, when measuring economic diversity using the </w:t>
      </w:r>
      <w:proofErr w:type="spellStart"/>
      <w:r w:rsidR="00AD1911" w:rsidRPr="00013F71">
        <w:rPr>
          <w:snapToGrid w:val="0"/>
          <w:sz w:val="24"/>
          <w:szCs w:val="24"/>
        </w:rPr>
        <w:t>Hachman</w:t>
      </w:r>
      <w:proofErr w:type="spellEnd"/>
      <w:r w:rsidR="00AD1911" w:rsidRPr="00013F71">
        <w:rPr>
          <w:snapToGrid w:val="0"/>
          <w:sz w:val="24"/>
          <w:szCs w:val="24"/>
        </w:rPr>
        <w:t xml:space="preserve"> Index (HI), compared to the United States as a whole, Wyoming has the least economically diverse economy in the nation</w:t>
      </w:r>
      <w:r w:rsidR="00190235" w:rsidRPr="00013F71">
        <w:rPr>
          <w:snapToGrid w:val="0"/>
          <w:sz w:val="24"/>
          <w:szCs w:val="24"/>
        </w:rPr>
        <w:t xml:space="preserve"> (with Alaska</w:t>
      </w:r>
      <w:r w:rsidR="00353F97" w:rsidRPr="00013F71">
        <w:rPr>
          <w:snapToGrid w:val="0"/>
          <w:sz w:val="24"/>
          <w:szCs w:val="24"/>
        </w:rPr>
        <w:t xml:space="preserve"> – energy</w:t>
      </w:r>
      <w:r w:rsidR="00190235" w:rsidRPr="00013F71">
        <w:rPr>
          <w:snapToGrid w:val="0"/>
          <w:sz w:val="24"/>
          <w:szCs w:val="24"/>
        </w:rPr>
        <w:t>, Nevada</w:t>
      </w:r>
      <w:r w:rsidR="00353F97" w:rsidRPr="00013F71">
        <w:rPr>
          <w:snapToGrid w:val="0"/>
          <w:sz w:val="24"/>
          <w:szCs w:val="24"/>
        </w:rPr>
        <w:t xml:space="preserve"> – tourism</w:t>
      </w:r>
      <w:r w:rsidR="00190235" w:rsidRPr="00013F71">
        <w:rPr>
          <w:snapToGrid w:val="0"/>
          <w:sz w:val="24"/>
          <w:szCs w:val="24"/>
        </w:rPr>
        <w:t xml:space="preserve">, West Virginia, and Oklahoma </w:t>
      </w:r>
      <w:r w:rsidR="00EB571C" w:rsidRPr="00013F71">
        <w:rPr>
          <w:snapToGrid w:val="0"/>
          <w:sz w:val="24"/>
          <w:szCs w:val="24"/>
        </w:rPr>
        <w:t>finishing the top five (</w:t>
      </w:r>
      <w:proofErr w:type="spellStart"/>
      <w:r w:rsidR="00EB571C" w:rsidRPr="00013F71">
        <w:rPr>
          <w:snapToGrid w:val="0"/>
          <w:sz w:val="24"/>
          <w:szCs w:val="24"/>
        </w:rPr>
        <w:t>Boettner</w:t>
      </w:r>
      <w:proofErr w:type="spellEnd"/>
      <w:r w:rsidR="00EB571C" w:rsidRPr="00013F71">
        <w:rPr>
          <w:snapToGrid w:val="0"/>
          <w:sz w:val="24"/>
          <w:szCs w:val="24"/>
        </w:rPr>
        <w:t>, et al., 2012, 4)</w:t>
      </w:r>
      <w:r w:rsidR="00AD1911" w:rsidRPr="00013F71">
        <w:rPr>
          <w:snapToGrid w:val="0"/>
          <w:sz w:val="24"/>
          <w:szCs w:val="24"/>
        </w:rPr>
        <w:t>.</w:t>
      </w:r>
    </w:p>
    <w:p w14:paraId="1A97F867" w14:textId="77777777" w:rsidR="004419EB" w:rsidRPr="00013F71" w:rsidRDefault="004419EB" w:rsidP="00FF7CDD">
      <w:pPr>
        <w:ind w:firstLine="720"/>
        <w:rPr>
          <w:snapToGrid w:val="0"/>
          <w:sz w:val="24"/>
          <w:szCs w:val="24"/>
        </w:rPr>
      </w:pPr>
    </w:p>
    <w:p w14:paraId="53214588" w14:textId="6E8BD9BA" w:rsidR="004419EB" w:rsidRPr="00013F71" w:rsidRDefault="004419EB" w:rsidP="00FF7CDD">
      <w:pPr>
        <w:ind w:firstLine="720"/>
        <w:rPr>
          <w:snapToGrid w:val="0"/>
          <w:sz w:val="24"/>
          <w:szCs w:val="24"/>
        </w:rPr>
      </w:pPr>
      <w:r w:rsidRPr="00013F71">
        <w:rPr>
          <w:snapToGrid w:val="0"/>
          <w:sz w:val="24"/>
          <w:szCs w:val="24"/>
        </w:rPr>
        <w:lastRenderedPageBreak/>
        <w:t>In addition to the PWMTF, the state has a Legislative Stabilization and Reserve Account (LSRA).  The so-called “rainy-day” a</w:t>
      </w:r>
      <w:r w:rsidR="00930D13" w:rsidRPr="00013F71">
        <w:rPr>
          <w:snapToGrid w:val="0"/>
          <w:sz w:val="24"/>
          <w:szCs w:val="24"/>
        </w:rPr>
        <w:t xml:space="preserve">ccount is projected to have a balance of </w:t>
      </w:r>
      <w:r w:rsidR="00176EA9" w:rsidRPr="00013F71">
        <w:rPr>
          <w:snapToGrid w:val="0"/>
          <w:sz w:val="24"/>
          <w:szCs w:val="24"/>
        </w:rPr>
        <w:t>$1.8 billion as of June 2016 (CREG, October 2015, iv)</w:t>
      </w:r>
      <w:r w:rsidRPr="00013F71">
        <w:rPr>
          <w:snapToGrid w:val="0"/>
          <w:sz w:val="24"/>
          <w:szCs w:val="24"/>
        </w:rPr>
        <w:t xml:space="preserve">, with </w:t>
      </w:r>
      <w:r w:rsidR="00551EE7" w:rsidRPr="00013F71">
        <w:rPr>
          <w:snapToGrid w:val="0"/>
          <w:sz w:val="24"/>
          <w:szCs w:val="24"/>
        </w:rPr>
        <w:t xml:space="preserve">an informal proposed savings goal of $2.5 billion by 2018 (Nickerson, 12/02/2014).  </w:t>
      </w:r>
      <w:r w:rsidRPr="00013F71">
        <w:rPr>
          <w:snapToGrid w:val="0"/>
          <w:sz w:val="24"/>
          <w:szCs w:val="24"/>
        </w:rPr>
        <w:t>One</w:t>
      </w:r>
      <w:r w:rsidR="00F10082" w:rsidRPr="00013F71">
        <w:rPr>
          <w:snapToGrid w:val="0"/>
          <w:sz w:val="24"/>
          <w:szCs w:val="24"/>
        </w:rPr>
        <w:t xml:space="preserve"> continuing</w:t>
      </w:r>
      <w:r w:rsidRPr="00013F71">
        <w:rPr>
          <w:snapToGrid w:val="0"/>
          <w:sz w:val="24"/>
          <w:szCs w:val="24"/>
        </w:rPr>
        <w:t xml:space="preserve"> </w:t>
      </w:r>
      <w:r w:rsidR="00F10082" w:rsidRPr="00013F71">
        <w:rPr>
          <w:snapToGrid w:val="0"/>
          <w:sz w:val="24"/>
          <w:szCs w:val="24"/>
        </w:rPr>
        <w:t xml:space="preserve">concern over this fund is </w:t>
      </w:r>
      <w:r w:rsidR="00D65140" w:rsidRPr="00013F71">
        <w:rPr>
          <w:snapToGrid w:val="0"/>
          <w:sz w:val="24"/>
          <w:szCs w:val="24"/>
        </w:rPr>
        <w:t>its “appropriate size”</w:t>
      </w:r>
      <w:r w:rsidR="009F6735" w:rsidRPr="00013F71">
        <w:rPr>
          <w:snapToGrid w:val="0"/>
          <w:sz w:val="24"/>
          <w:szCs w:val="24"/>
        </w:rPr>
        <w:t xml:space="preserve"> (Brown, </w:t>
      </w:r>
      <w:r w:rsidR="00D65140" w:rsidRPr="00013F71">
        <w:rPr>
          <w:snapToGrid w:val="0"/>
          <w:sz w:val="24"/>
          <w:szCs w:val="24"/>
        </w:rPr>
        <w:t>3/7/15)</w:t>
      </w:r>
      <w:r w:rsidRPr="00013F71">
        <w:rPr>
          <w:snapToGrid w:val="0"/>
          <w:sz w:val="24"/>
          <w:szCs w:val="24"/>
        </w:rPr>
        <w:t xml:space="preserve">.  </w:t>
      </w:r>
      <w:r w:rsidR="00D65140" w:rsidRPr="00013F71">
        <w:rPr>
          <w:snapToGrid w:val="0"/>
          <w:sz w:val="24"/>
          <w:szCs w:val="24"/>
        </w:rPr>
        <w:t xml:space="preserve">Some legislators maintain that this fund should amount to a full biennium’s expenses, which would put the target size at $3.3 billion (Brown, 3/16/14).  </w:t>
      </w:r>
      <w:r w:rsidRPr="00013F71">
        <w:rPr>
          <w:snapToGrid w:val="0"/>
          <w:sz w:val="24"/>
          <w:szCs w:val="24"/>
        </w:rPr>
        <w:t xml:space="preserve">Mary Throne, the House Minority Floor Leader, worried about the growing size of the savings account </w:t>
      </w:r>
      <w:r w:rsidR="00D65140" w:rsidRPr="00013F71">
        <w:rPr>
          <w:snapToGrid w:val="0"/>
          <w:sz w:val="24"/>
          <w:szCs w:val="24"/>
        </w:rPr>
        <w:t>and suggests that the state could “use the money for immediate needs”</w:t>
      </w:r>
      <w:r w:rsidRPr="00013F71">
        <w:rPr>
          <w:snapToGrid w:val="0"/>
          <w:sz w:val="24"/>
          <w:szCs w:val="24"/>
        </w:rPr>
        <w:t xml:space="preserve"> </w:t>
      </w:r>
      <w:r w:rsidR="00633D49" w:rsidRPr="00013F71">
        <w:rPr>
          <w:snapToGrid w:val="0"/>
          <w:sz w:val="24"/>
          <w:szCs w:val="24"/>
        </w:rPr>
        <w:t xml:space="preserve">rather than plow it into this type of savings </w:t>
      </w:r>
      <w:r w:rsidRPr="00013F71">
        <w:rPr>
          <w:snapToGrid w:val="0"/>
          <w:sz w:val="24"/>
          <w:szCs w:val="24"/>
        </w:rPr>
        <w:t xml:space="preserve">(Ibid.).  The hope is that over the next </w:t>
      </w:r>
      <w:r w:rsidR="00B7363A" w:rsidRPr="00013F71">
        <w:rPr>
          <w:snapToGrid w:val="0"/>
          <w:sz w:val="24"/>
          <w:szCs w:val="24"/>
        </w:rPr>
        <w:t>few years</w:t>
      </w:r>
      <w:r w:rsidRPr="00013F71">
        <w:rPr>
          <w:snapToGrid w:val="0"/>
          <w:sz w:val="24"/>
          <w:szCs w:val="24"/>
        </w:rPr>
        <w:t xml:space="preserve"> the state will take a look at how much this savings account should hold and what is needed to stabilize short-term revenue requirements.</w:t>
      </w:r>
    </w:p>
    <w:p w14:paraId="7B614C93" w14:textId="77777777" w:rsidR="000A67AC" w:rsidRPr="00013F71" w:rsidRDefault="000A67AC" w:rsidP="00463BAD">
      <w:pPr>
        <w:jc w:val="center"/>
        <w:rPr>
          <w:b/>
          <w:snapToGrid w:val="0"/>
          <w:sz w:val="24"/>
          <w:szCs w:val="24"/>
        </w:rPr>
      </w:pPr>
    </w:p>
    <w:p w14:paraId="0131E1DE" w14:textId="77777777" w:rsidR="000A67AC" w:rsidRPr="00013F71" w:rsidRDefault="000A67AC" w:rsidP="00463BAD">
      <w:pPr>
        <w:jc w:val="center"/>
        <w:rPr>
          <w:b/>
          <w:snapToGrid w:val="0"/>
          <w:sz w:val="24"/>
          <w:szCs w:val="24"/>
        </w:rPr>
      </w:pPr>
    </w:p>
    <w:p w14:paraId="71B2B4C0" w14:textId="77777777" w:rsidR="000A67AC" w:rsidRPr="00013F71" w:rsidRDefault="000A67AC" w:rsidP="00463BAD">
      <w:pPr>
        <w:jc w:val="center"/>
        <w:rPr>
          <w:b/>
          <w:snapToGrid w:val="0"/>
          <w:sz w:val="24"/>
          <w:szCs w:val="24"/>
        </w:rPr>
      </w:pPr>
    </w:p>
    <w:p w14:paraId="628F95E0" w14:textId="77777777" w:rsidR="00463BAD" w:rsidRPr="00013F71" w:rsidRDefault="00463BAD" w:rsidP="00463BAD">
      <w:pPr>
        <w:jc w:val="center"/>
        <w:rPr>
          <w:b/>
          <w:snapToGrid w:val="0"/>
          <w:sz w:val="24"/>
          <w:szCs w:val="24"/>
        </w:rPr>
      </w:pPr>
      <w:r w:rsidRPr="00013F71">
        <w:rPr>
          <w:b/>
          <w:snapToGrid w:val="0"/>
          <w:sz w:val="24"/>
          <w:szCs w:val="24"/>
        </w:rPr>
        <w:t>Graph 3</w:t>
      </w:r>
    </w:p>
    <w:p w14:paraId="6FCD15F0" w14:textId="77777777" w:rsidR="000A67AC" w:rsidRPr="00013F71" w:rsidRDefault="000A67AC" w:rsidP="00463BAD">
      <w:pPr>
        <w:jc w:val="center"/>
        <w:rPr>
          <w:b/>
          <w:snapToGrid w:val="0"/>
          <w:sz w:val="24"/>
          <w:szCs w:val="24"/>
        </w:rPr>
      </w:pPr>
    </w:p>
    <w:p w14:paraId="6F8AD4E3" w14:textId="68F81874" w:rsidR="00463BAD" w:rsidRPr="00013F71" w:rsidRDefault="00463BAD" w:rsidP="00C26571">
      <w:pPr>
        <w:rPr>
          <w:snapToGrid w:val="0"/>
          <w:sz w:val="24"/>
          <w:szCs w:val="24"/>
        </w:rPr>
      </w:pPr>
      <w:r w:rsidRPr="00013F71">
        <w:rPr>
          <w:noProof/>
          <w:sz w:val="16"/>
          <w:szCs w:val="16"/>
        </w:rPr>
        <w:drawing>
          <wp:inline distT="0" distB="0" distL="0" distR="0" wp14:anchorId="3A22CB29" wp14:editId="61F9C7ED">
            <wp:extent cx="5715000" cy="3657600"/>
            <wp:effectExtent l="0" t="0" r="25400" b="254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160BD1" w14:textId="6C6163CE" w:rsidR="00463BAD" w:rsidRPr="00013F71" w:rsidRDefault="00EB571C" w:rsidP="00C26571">
      <w:pPr>
        <w:rPr>
          <w:snapToGrid w:val="0"/>
          <w:sz w:val="24"/>
          <w:szCs w:val="24"/>
        </w:rPr>
      </w:pPr>
      <w:r w:rsidRPr="00013F71">
        <w:rPr>
          <w:snapToGrid w:val="0"/>
          <w:sz w:val="24"/>
          <w:szCs w:val="24"/>
        </w:rPr>
        <w:t>(</w:t>
      </w:r>
      <w:proofErr w:type="gramStart"/>
      <w:r w:rsidR="00F25558" w:rsidRPr="00013F71">
        <w:rPr>
          <w:snapToGrid w:val="0"/>
        </w:rPr>
        <w:t>s</w:t>
      </w:r>
      <w:r w:rsidR="005F5F23" w:rsidRPr="00013F71">
        <w:rPr>
          <w:snapToGrid w:val="0"/>
        </w:rPr>
        <w:t>ource</w:t>
      </w:r>
      <w:proofErr w:type="gramEnd"/>
      <w:r w:rsidR="005F5F23" w:rsidRPr="00013F71">
        <w:rPr>
          <w:snapToGrid w:val="0"/>
        </w:rPr>
        <w:t>: CREG January 2016, Table 2</w:t>
      </w:r>
      <w:r w:rsidRPr="00013F71">
        <w:rPr>
          <w:snapToGrid w:val="0"/>
        </w:rPr>
        <w:t>)</w:t>
      </w:r>
    </w:p>
    <w:p w14:paraId="34D01470" w14:textId="77777777" w:rsidR="00463BAD" w:rsidRPr="00013F71" w:rsidRDefault="00463BAD" w:rsidP="00C26571">
      <w:pPr>
        <w:rPr>
          <w:snapToGrid w:val="0"/>
          <w:sz w:val="24"/>
          <w:szCs w:val="24"/>
        </w:rPr>
      </w:pPr>
    </w:p>
    <w:p w14:paraId="25E73215" w14:textId="77777777" w:rsidR="009B5052" w:rsidRPr="00013F71" w:rsidRDefault="009B5052" w:rsidP="00C26571">
      <w:pPr>
        <w:rPr>
          <w:snapToGrid w:val="0"/>
          <w:sz w:val="24"/>
          <w:szCs w:val="24"/>
        </w:rPr>
      </w:pPr>
    </w:p>
    <w:p w14:paraId="3179062E" w14:textId="77777777" w:rsidR="009B5052" w:rsidRPr="00013F71" w:rsidRDefault="009B5052" w:rsidP="00C26571">
      <w:pPr>
        <w:rPr>
          <w:snapToGrid w:val="0"/>
          <w:sz w:val="24"/>
          <w:szCs w:val="24"/>
        </w:rPr>
      </w:pPr>
    </w:p>
    <w:p w14:paraId="2DACD96A" w14:textId="0D66A844" w:rsidR="001D5799" w:rsidRPr="00013F71" w:rsidRDefault="00C26571" w:rsidP="00C26571">
      <w:pPr>
        <w:rPr>
          <w:snapToGrid w:val="0"/>
          <w:sz w:val="24"/>
          <w:szCs w:val="24"/>
        </w:rPr>
      </w:pPr>
      <w:r w:rsidRPr="00013F71">
        <w:rPr>
          <w:snapToGrid w:val="0"/>
          <w:sz w:val="24"/>
          <w:szCs w:val="24"/>
        </w:rPr>
        <w:tab/>
        <w:t xml:space="preserve">In terms of the Wyoming tax structure, much of the state appears to be "business-friendly" and continues to have a supportive business environment.  </w:t>
      </w:r>
      <w:r w:rsidR="000A67AC" w:rsidRPr="00013F71">
        <w:rPr>
          <w:snapToGrid w:val="0"/>
          <w:sz w:val="24"/>
          <w:szCs w:val="24"/>
        </w:rPr>
        <w:t>According to the Tax Foundation, t</w:t>
      </w:r>
      <w:r w:rsidRPr="00013F71">
        <w:rPr>
          <w:snapToGrid w:val="0"/>
          <w:sz w:val="24"/>
          <w:szCs w:val="24"/>
        </w:rPr>
        <w:t xml:space="preserve">he State </w:t>
      </w:r>
      <w:r w:rsidR="00A673DE" w:rsidRPr="00013F71">
        <w:rPr>
          <w:snapToGrid w:val="0"/>
          <w:sz w:val="24"/>
          <w:szCs w:val="24"/>
        </w:rPr>
        <w:t>Busi</w:t>
      </w:r>
      <w:r w:rsidR="001D5799" w:rsidRPr="00013F71">
        <w:rPr>
          <w:snapToGrid w:val="0"/>
          <w:sz w:val="24"/>
          <w:szCs w:val="24"/>
        </w:rPr>
        <w:t>ness Tax C</w:t>
      </w:r>
      <w:r w:rsidR="00FC06AE" w:rsidRPr="00013F71">
        <w:rPr>
          <w:snapToGrid w:val="0"/>
          <w:sz w:val="24"/>
          <w:szCs w:val="24"/>
        </w:rPr>
        <w:t>limate Index (2016</w:t>
      </w:r>
      <w:r w:rsidRPr="00013F71">
        <w:rPr>
          <w:snapToGrid w:val="0"/>
          <w:sz w:val="24"/>
          <w:szCs w:val="24"/>
        </w:rPr>
        <w:t xml:space="preserve">) </w:t>
      </w:r>
      <w:r w:rsidR="00B248DD" w:rsidRPr="00013F71">
        <w:rPr>
          <w:snapToGrid w:val="0"/>
          <w:sz w:val="24"/>
          <w:szCs w:val="24"/>
        </w:rPr>
        <w:t xml:space="preserve">continues to </w:t>
      </w:r>
      <w:r w:rsidRPr="00013F71">
        <w:rPr>
          <w:snapToGrid w:val="0"/>
          <w:sz w:val="24"/>
          <w:szCs w:val="24"/>
        </w:rPr>
        <w:t xml:space="preserve">rank </w:t>
      </w:r>
      <w:r w:rsidR="001D5799" w:rsidRPr="00013F71">
        <w:rPr>
          <w:snapToGrid w:val="0"/>
          <w:sz w:val="24"/>
          <w:szCs w:val="24"/>
        </w:rPr>
        <w:t>Wyoming</w:t>
      </w:r>
      <w:r w:rsidR="00084139">
        <w:rPr>
          <w:snapToGrid w:val="0"/>
          <w:sz w:val="24"/>
          <w:szCs w:val="24"/>
        </w:rPr>
        <w:t xml:space="preserve"> first </w:t>
      </w:r>
      <w:r w:rsidR="001D5799" w:rsidRPr="00013F71">
        <w:rPr>
          <w:snapToGrid w:val="0"/>
          <w:sz w:val="24"/>
          <w:szCs w:val="24"/>
        </w:rPr>
        <w:t>overall for its State Business Tax Climate (ranking South Dakota 2</w:t>
      </w:r>
      <w:r w:rsidR="001D5799" w:rsidRPr="00013F71">
        <w:rPr>
          <w:snapToGrid w:val="0"/>
          <w:sz w:val="24"/>
          <w:szCs w:val="24"/>
          <w:vertAlign w:val="superscript"/>
        </w:rPr>
        <w:t>nd</w:t>
      </w:r>
      <w:r w:rsidR="001D5799" w:rsidRPr="00013F71">
        <w:rPr>
          <w:snapToGrid w:val="0"/>
          <w:sz w:val="24"/>
          <w:szCs w:val="24"/>
        </w:rPr>
        <w:t xml:space="preserve">, </w:t>
      </w:r>
      <w:r w:rsidR="00FC06AE" w:rsidRPr="00013F71">
        <w:rPr>
          <w:snapToGrid w:val="0"/>
          <w:sz w:val="24"/>
          <w:szCs w:val="24"/>
        </w:rPr>
        <w:t>Alaska</w:t>
      </w:r>
      <w:r w:rsidR="001D5799" w:rsidRPr="00013F71">
        <w:rPr>
          <w:snapToGrid w:val="0"/>
          <w:sz w:val="24"/>
          <w:szCs w:val="24"/>
        </w:rPr>
        <w:t xml:space="preserve"> 3</w:t>
      </w:r>
      <w:r w:rsidR="001D5799" w:rsidRPr="00013F71">
        <w:rPr>
          <w:snapToGrid w:val="0"/>
          <w:sz w:val="24"/>
          <w:szCs w:val="24"/>
          <w:vertAlign w:val="superscript"/>
        </w:rPr>
        <w:t>rd</w:t>
      </w:r>
      <w:r w:rsidR="001D5799" w:rsidRPr="00013F71">
        <w:rPr>
          <w:snapToGrid w:val="0"/>
          <w:sz w:val="24"/>
          <w:szCs w:val="24"/>
        </w:rPr>
        <w:t xml:space="preserve">, and </w:t>
      </w:r>
      <w:r w:rsidR="00FC06AE" w:rsidRPr="00013F71">
        <w:rPr>
          <w:snapToGrid w:val="0"/>
          <w:sz w:val="24"/>
          <w:szCs w:val="24"/>
        </w:rPr>
        <w:t>Florida</w:t>
      </w:r>
      <w:r w:rsidR="001D5799" w:rsidRPr="00013F71">
        <w:rPr>
          <w:snapToGrid w:val="0"/>
          <w:sz w:val="24"/>
          <w:szCs w:val="24"/>
        </w:rPr>
        <w:t xml:space="preserve"> 4</w:t>
      </w:r>
      <w:r w:rsidR="001D5799" w:rsidRPr="00013F71">
        <w:rPr>
          <w:snapToGrid w:val="0"/>
          <w:sz w:val="24"/>
          <w:szCs w:val="24"/>
          <w:vertAlign w:val="superscript"/>
        </w:rPr>
        <w:t>th</w:t>
      </w:r>
      <w:r w:rsidR="001D5799" w:rsidRPr="00013F71">
        <w:rPr>
          <w:snapToGrid w:val="0"/>
          <w:sz w:val="24"/>
          <w:szCs w:val="24"/>
        </w:rPr>
        <w:t xml:space="preserve">, Montana </w:t>
      </w:r>
      <w:r w:rsidR="00FC06AE" w:rsidRPr="00013F71">
        <w:rPr>
          <w:snapToGrid w:val="0"/>
          <w:sz w:val="24"/>
          <w:szCs w:val="24"/>
        </w:rPr>
        <w:t>6</w:t>
      </w:r>
      <w:r w:rsidR="001D5799" w:rsidRPr="00013F71">
        <w:rPr>
          <w:snapToGrid w:val="0"/>
          <w:sz w:val="24"/>
          <w:szCs w:val="24"/>
          <w:vertAlign w:val="superscript"/>
        </w:rPr>
        <w:t>th</w:t>
      </w:r>
      <w:r w:rsidR="00B248DD" w:rsidRPr="00013F71">
        <w:rPr>
          <w:snapToGrid w:val="0"/>
          <w:sz w:val="24"/>
          <w:szCs w:val="24"/>
        </w:rPr>
        <w:t>, and Utah 9</w:t>
      </w:r>
      <w:r w:rsidR="001D5799" w:rsidRPr="00013F71">
        <w:rPr>
          <w:snapToGrid w:val="0"/>
          <w:sz w:val="24"/>
          <w:szCs w:val="24"/>
          <w:vertAlign w:val="superscript"/>
        </w:rPr>
        <w:t>th</w:t>
      </w:r>
      <w:r w:rsidR="001D5799" w:rsidRPr="00013F71">
        <w:rPr>
          <w:snapToGrid w:val="0"/>
          <w:sz w:val="24"/>
          <w:szCs w:val="24"/>
        </w:rPr>
        <w:t>).</w:t>
      </w:r>
      <w:r w:rsidR="00CB3162" w:rsidRPr="00013F71">
        <w:t xml:space="preserve"> </w:t>
      </w:r>
      <w:r w:rsidR="00035DCE" w:rsidRPr="00013F71">
        <w:rPr>
          <w:snapToGrid w:val="0"/>
          <w:sz w:val="24"/>
          <w:szCs w:val="24"/>
        </w:rPr>
        <w:t xml:space="preserve"> The Small Business and Entrepr</w:t>
      </w:r>
      <w:r w:rsidR="00163231" w:rsidRPr="00013F71">
        <w:rPr>
          <w:snapToGrid w:val="0"/>
          <w:sz w:val="24"/>
          <w:szCs w:val="24"/>
        </w:rPr>
        <w:t>eneurship Council’s latest (2014</w:t>
      </w:r>
      <w:r w:rsidR="00035DCE" w:rsidRPr="00013F71">
        <w:rPr>
          <w:snapToGrid w:val="0"/>
          <w:sz w:val="24"/>
          <w:szCs w:val="24"/>
        </w:rPr>
        <w:t xml:space="preserve">) </w:t>
      </w:r>
      <w:r w:rsidR="00035DCE" w:rsidRPr="00013F71">
        <w:rPr>
          <w:snapToGrid w:val="0"/>
          <w:sz w:val="24"/>
          <w:szCs w:val="24"/>
        </w:rPr>
        <w:lastRenderedPageBreak/>
        <w:t>Business Tax Index shows Wyoming ranks</w:t>
      </w:r>
      <w:r w:rsidR="00084139">
        <w:rPr>
          <w:snapToGrid w:val="0"/>
          <w:sz w:val="24"/>
          <w:szCs w:val="24"/>
        </w:rPr>
        <w:t xml:space="preserve"> fourth</w:t>
      </w:r>
      <w:r w:rsidR="00035DCE" w:rsidRPr="00013F71">
        <w:rPr>
          <w:snapToGrid w:val="0"/>
          <w:sz w:val="24"/>
          <w:szCs w:val="24"/>
        </w:rPr>
        <w:t xml:space="preserve">, behind </w:t>
      </w:r>
      <w:r w:rsidR="00DD063F" w:rsidRPr="00013F71">
        <w:rPr>
          <w:snapToGrid w:val="0"/>
          <w:sz w:val="24"/>
          <w:szCs w:val="24"/>
        </w:rPr>
        <w:t>South Dakota</w:t>
      </w:r>
      <w:r w:rsidR="00B248DD" w:rsidRPr="00013F71">
        <w:rPr>
          <w:snapToGrid w:val="0"/>
          <w:sz w:val="24"/>
          <w:szCs w:val="24"/>
        </w:rPr>
        <w:t xml:space="preserve"> (1</w:t>
      </w:r>
      <w:r w:rsidR="00B248DD" w:rsidRPr="00013F71">
        <w:rPr>
          <w:snapToGrid w:val="0"/>
          <w:sz w:val="24"/>
          <w:szCs w:val="24"/>
          <w:vertAlign w:val="superscript"/>
        </w:rPr>
        <w:t>st</w:t>
      </w:r>
      <w:r w:rsidR="00B248DD" w:rsidRPr="00013F71">
        <w:rPr>
          <w:snapToGrid w:val="0"/>
          <w:sz w:val="24"/>
          <w:szCs w:val="24"/>
        </w:rPr>
        <w:t xml:space="preserve">), </w:t>
      </w:r>
      <w:r w:rsidR="00DD063F" w:rsidRPr="00013F71">
        <w:rPr>
          <w:snapToGrid w:val="0"/>
          <w:sz w:val="24"/>
          <w:szCs w:val="24"/>
        </w:rPr>
        <w:t>Nevada</w:t>
      </w:r>
      <w:r w:rsidR="00177113" w:rsidRPr="00013F71">
        <w:rPr>
          <w:snapToGrid w:val="0"/>
          <w:sz w:val="24"/>
          <w:szCs w:val="24"/>
        </w:rPr>
        <w:t xml:space="preserve"> (</w:t>
      </w:r>
      <w:r w:rsidR="00B248DD" w:rsidRPr="00013F71">
        <w:rPr>
          <w:snapToGrid w:val="0"/>
          <w:sz w:val="24"/>
          <w:szCs w:val="24"/>
        </w:rPr>
        <w:t>2</w:t>
      </w:r>
      <w:r w:rsidR="00B248DD" w:rsidRPr="00013F71">
        <w:rPr>
          <w:snapToGrid w:val="0"/>
          <w:sz w:val="24"/>
          <w:szCs w:val="24"/>
          <w:vertAlign w:val="superscript"/>
        </w:rPr>
        <w:t>nd</w:t>
      </w:r>
      <w:r w:rsidR="00B248DD" w:rsidRPr="00013F71">
        <w:rPr>
          <w:snapToGrid w:val="0"/>
          <w:sz w:val="24"/>
          <w:szCs w:val="24"/>
        </w:rPr>
        <w:t>)</w:t>
      </w:r>
      <w:r w:rsidR="00177113" w:rsidRPr="00013F71">
        <w:rPr>
          <w:snapToGrid w:val="0"/>
          <w:sz w:val="24"/>
          <w:szCs w:val="24"/>
        </w:rPr>
        <w:t xml:space="preserve">, and </w:t>
      </w:r>
      <w:r w:rsidR="00163231" w:rsidRPr="00013F71">
        <w:rPr>
          <w:snapToGrid w:val="0"/>
          <w:sz w:val="24"/>
          <w:szCs w:val="24"/>
        </w:rPr>
        <w:t>Texas</w:t>
      </w:r>
      <w:r w:rsidR="00035DCE" w:rsidRPr="00013F71">
        <w:rPr>
          <w:snapToGrid w:val="0"/>
          <w:sz w:val="24"/>
          <w:szCs w:val="24"/>
        </w:rPr>
        <w:t xml:space="preserve"> (3</w:t>
      </w:r>
      <w:r w:rsidR="00035DCE" w:rsidRPr="00013F71">
        <w:rPr>
          <w:snapToGrid w:val="0"/>
          <w:sz w:val="24"/>
          <w:szCs w:val="24"/>
          <w:vertAlign w:val="superscript"/>
        </w:rPr>
        <w:t>rd</w:t>
      </w:r>
      <w:r w:rsidR="00035DCE" w:rsidRPr="00013F71">
        <w:rPr>
          <w:snapToGrid w:val="0"/>
          <w:sz w:val="24"/>
          <w:szCs w:val="24"/>
        </w:rPr>
        <w:t>)</w:t>
      </w:r>
      <w:r w:rsidR="00DD063F" w:rsidRPr="00013F71">
        <w:rPr>
          <w:snapToGrid w:val="0"/>
          <w:sz w:val="24"/>
          <w:szCs w:val="24"/>
        </w:rPr>
        <w:t xml:space="preserve"> (SBE Council, 2015</w:t>
      </w:r>
      <w:r w:rsidR="00CB3162" w:rsidRPr="00013F71">
        <w:rPr>
          <w:snapToGrid w:val="0"/>
          <w:sz w:val="24"/>
          <w:szCs w:val="24"/>
        </w:rPr>
        <w:t>)</w:t>
      </w:r>
      <w:r w:rsidR="00035DCE" w:rsidRPr="00013F71">
        <w:rPr>
          <w:snapToGrid w:val="0"/>
          <w:sz w:val="24"/>
          <w:szCs w:val="24"/>
        </w:rPr>
        <w:t>.</w:t>
      </w:r>
    </w:p>
    <w:p w14:paraId="5B1D9158" w14:textId="77777777" w:rsidR="0072285D" w:rsidRPr="00013F71" w:rsidRDefault="0072285D" w:rsidP="00C26571">
      <w:pPr>
        <w:rPr>
          <w:sz w:val="24"/>
          <w:szCs w:val="24"/>
        </w:rPr>
      </w:pPr>
    </w:p>
    <w:p w14:paraId="185DD502" w14:textId="7FB9140F" w:rsidR="00C26571" w:rsidRPr="00013F71" w:rsidRDefault="00C26571" w:rsidP="0072285D">
      <w:pPr>
        <w:ind w:firstLine="720"/>
        <w:rPr>
          <w:snapToGrid w:val="0"/>
          <w:sz w:val="24"/>
          <w:szCs w:val="24"/>
        </w:rPr>
      </w:pPr>
      <w:r w:rsidRPr="00013F71">
        <w:rPr>
          <w:snapToGrid w:val="0"/>
          <w:sz w:val="24"/>
          <w:szCs w:val="24"/>
        </w:rPr>
        <w:t xml:space="preserve">Currently, </w:t>
      </w:r>
      <w:r w:rsidR="00177113" w:rsidRPr="00013F71">
        <w:rPr>
          <w:snapToGrid w:val="0"/>
          <w:sz w:val="24"/>
          <w:szCs w:val="24"/>
        </w:rPr>
        <w:t xml:space="preserve">Wyoming collects </w:t>
      </w:r>
      <w:r w:rsidRPr="00013F71">
        <w:rPr>
          <w:snapToGrid w:val="0"/>
          <w:sz w:val="24"/>
          <w:szCs w:val="24"/>
        </w:rPr>
        <w:t xml:space="preserve">no tax on intangible assets (bank accounts, stocks, or bonds), no tax on retirement income earned and received from other states, and the state collects no personal income tax, corporate income tax, or business inventory tax.  </w:t>
      </w:r>
      <w:r w:rsidR="0072285D" w:rsidRPr="00013F71">
        <w:rPr>
          <w:snapToGrid w:val="0"/>
          <w:sz w:val="24"/>
          <w:szCs w:val="24"/>
        </w:rPr>
        <w:t xml:space="preserve">According to the Business Tax </w:t>
      </w:r>
      <w:r w:rsidR="00D12B44" w:rsidRPr="00013F71">
        <w:rPr>
          <w:snapToGrid w:val="0"/>
          <w:sz w:val="24"/>
          <w:szCs w:val="24"/>
        </w:rPr>
        <w:t>Index</w:t>
      </w:r>
      <w:r w:rsidR="00A076A5" w:rsidRPr="00013F71">
        <w:rPr>
          <w:snapToGrid w:val="0"/>
          <w:sz w:val="24"/>
          <w:szCs w:val="24"/>
        </w:rPr>
        <w:t xml:space="preserve">, until 2014 </w:t>
      </w:r>
      <w:r w:rsidR="00D12B44" w:rsidRPr="00013F71">
        <w:rPr>
          <w:snapToGrid w:val="0"/>
          <w:sz w:val="24"/>
          <w:szCs w:val="24"/>
        </w:rPr>
        <w:t xml:space="preserve">Wyoming </w:t>
      </w:r>
      <w:r w:rsidR="00A076A5" w:rsidRPr="00013F71">
        <w:rPr>
          <w:snapToGrid w:val="0"/>
          <w:sz w:val="24"/>
          <w:szCs w:val="24"/>
        </w:rPr>
        <w:t>had</w:t>
      </w:r>
      <w:r w:rsidR="00D12B44" w:rsidRPr="00013F71">
        <w:rPr>
          <w:snapToGrid w:val="0"/>
          <w:sz w:val="24"/>
          <w:szCs w:val="24"/>
        </w:rPr>
        <w:t xml:space="preserve"> the second lowest state gas tax of </w:t>
      </w:r>
      <w:r w:rsidR="005C6065" w:rsidRPr="00013F71">
        <w:rPr>
          <w:snapToGrid w:val="0"/>
          <w:sz w:val="24"/>
          <w:szCs w:val="24"/>
        </w:rPr>
        <w:t>$0</w:t>
      </w:r>
      <w:r w:rsidR="00D12B44" w:rsidRPr="00013F71">
        <w:rPr>
          <w:snapToGrid w:val="0"/>
          <w:sz w:val="24"/>
          <w:szCs w:val="24"/>
        </w:rPr>
        <w:t>.14, just behind Alaska (</w:t>
      </w:r>
      <w:r w:rsidR="005C6065" w:rsidRPr="00013F71">
        <w:rPr>
          <w:snapToGrid w:val="0"/>
          <w:sz w:val="24"/>
          <w:szCs w:val="24"/>
        </w:rPr>
        <w:t>$0</w:t>
      </w:r>
      <w:r w:rsidR="00D12B44" w:rsidRPr="00013F71">
        <w:rPr>
          <w:snapToGrid w:val="0"/>
          <w:sz w:val="24"/>
          <w:szCs w:val="24"/>
        </w:rPr>
        <w:t xml:space="preserve">.08), </w:t>
      </w:r>
      <w:r w:rsidR="00B248DD" w:rsidRPr="00013F71">
        <w:rPr>
          <w:snapToGrid w:val="0"/>
          <w:sz w:val="24"/>
          <w:szCs w:val="24"/>
        </w:rPr>
        <w:t xml:space="preserve">but is now mid-pack </w:t>
      </w:r>
      <w:r w:rsidR="008715C3" w:rsidRPr="00013F71">
        <w:rPr>
          <w:snapToGrid w:val="0"/>
          <w:sz w:val="24"/>
          <w:szCs w:val="24"/>
        </w:rPr>
        <w:t>(21</w:t>
      </w:r>
      <w:r w:rsidR="008715C3" w:rsidRPr="00013F71">
        <w:rPr>
          <w:snapToGrid w:val="0"/>
          <w:sz w:val="24"/>
          <w:szCs w:val="24"/>
          <w:vertAlign w:val="superscript"/>
        </w:rPr>
        <w:t>st</w:t>
      </w:r>
      <w:r w:rsidR="008715C3" w:rsidRPr="00013F71">
        <w:rPr>
          <w:snapToGrid w:val="0"/>
          <w:sz w:val="24"/>
          <w:szCs w:val="24"/>
        </w:rPr>
        <w:t xml:space="preserve">) </w:t>
      </w:r>
      <w:r w:rsidR="00B248DD" w:rsidRPr="00013F71">
        <w:rPr>
          <w:snapToGrid w:val="0"/>
          <w:sz w:val="24"/>
          <w:szCs w:val="24"/>
        </w:rPr>
        <w:t xml:space="preserve">with an additional ten cents on top of the fourteen.  </w:t>
      </w:r>
      <w:r w:rsidR="00D12B44" w:rsidRPr="00013F71">
        <w:rPr>
          <w:snapToGrid w:val="0"/>
          <w:sz w:val="24"/>
          <w:szCs w:val="24"/>
        </w:rPr>
        <w:t xml:space="preserve">In addition, Wyoming is </w:t>
      </w:r>
      <w:r w:rsidR="008715C3" w:rsidRPr="00013F71">
        <w:rPr>
          <w:snapToGrid w:val="0"/>
          <w:sz w:val="24"/>
          <w:szCs w:val="24"/>
        </w:rPr>
        <w:t>4</w:t>
      </w:r>
      <w:r w:rsidR="00A076A5" w:rsidRPr="00013F71">
        <w:rPr>
          <w:snapToGrid w:val="0"/>
          <w:sz w:val="24"/>
          <w:szCs w:val="24"/>
        </w:rPr>
        <w:t>6</w:t>
      </w:r>
      <w:r w:rsidR="008715C3" w:rsidRPr="00013F71">
        <w:rPr>
          <w:snapToGrid w:val="0"/>
          <w:sz w:val="24"/>
          <w:szCs w:val="24"/>
          <w:vertAlign w:val="superscript"/>
        </w:rPr>
        <w:t>th</w:t>
      </w:r>
      <w:r w:rsidR="008715C3" w:rsidRPr="00013F71">
        <w:rPr>
          <w:snapToGrid w:val="0"/>
          <w:sz w:val="24"/>
          <w:szCs w:val="24"/>
        </w:rPr>
        <w:t xml:space="preserve"> for unemployment taxes</w:t>
      </w:r>
      <w:r w:rsidR="00C325C9" w:rsidRPr="00013F71">
        <w:rPr>
          <w:snapToGrid w:val="0"/>
          <w:sz w:val="24"/>
          <w:szCs w:val="24"/>
        </w:rPr>
        <w:t>, 4</w:t>
      </w:r>
      <w:r w:rsidR="008715C3" w:rsidRPr="00013F71">
        <w:rPr>
          <w:snapToGrid w:val="0"/>
          <w:sz w:val="24"/>
          <w:szCs w:val="24"/>
        </w:rPr>
        <w:t>4</w:t>
      </w:r>
      <w:r w:rsidR="00C325C9" w:rsidRPr="00013F71">
        <w:rPr>
          <w:snapToGrid w:val="0"/>
          <w:sz w:val="24"/>
          <w:szCs w:val="24"/>
          <w:vertAlign w:val="superscript"/>
        </w:rPr>
        <w:t>th</w:t>
      </w:r>
      <w:r w:rsidR="00C325C9" w:rsidRPr="00013F71">
        <w:rPr>
          <w:snapToGrid w:val="0"/>
          <w:sz w:val="24"/>
          <w:szCs w:val="24"/>
        </w:rPr>
        <w:t xml:space="preserve"> for property taxes as a</w:t>
      </w:r>
      <w:r w:rsidR="008715C3" w:rsidRPr="00013F71">
        <w:rPr>
          <w:snapToGrid w:val="0"/>
          <w:sz w:val="24"/>
          <w:szCs w:val="24"/>
        </w:rPr>
        <w:t xml:space="preserve"> share of personal income, and 43</w:t>
      </w:r>
      <w:r w:rsidR="008715C3" w:rsidRPr="00013F71">
        <w:rPr>
          <w:snapToGrid w:val="0"/>
          <w:sz w:val="24"/>
          <w:szCs w:val="24"/>
          <w:vertAlign w:val="superscript"/>
        </w:rPr>
        <w:t>rd</w:t>
      </w:r>
      <w:r w:rsidR="00C325C9" w:rsidRPr="00013F71">
        <w:rPr>
          <w:snapToGrid w:val="0"/>
          <w:sz w:val="24"/>
          <w:szCs w:val="24"/>
        </w:rPr>
        <w:t xml:space="preserve"> for sales and excise taxes as sha</w:t>
      </w:r>
      <w:r w:rsidR="00177113" w:rsidRPr="00013F71">
        <w:rPr>
          <w:snapToGrid w:val="0"/>
          <w:sz w:val="24"/>
          <w:szCs w:val="24"/>
        </w:rPr>
        <w:t>re of personal income</w:t>
      </w:r>
      <w:r w:rsidR="00CB3162" w:rsidRPr="00013F71">
        <w:rPr>
          <w:snapToGrid w:val="0"/>
          <w:sz w:val="24"/>
          <w:szCs w:val="24"/>
        </w:rPr>
        <w:t xml:space="preserve"> (</w:t>
      </w:r>
      <w:r w:rsidR="00A076A5" w:rsidRPr="00013F71">
        <w:rPr>
          <w:snapToGrid w:val="0"/>
          <w:sz w:val="24"/>
          <w:szCs w:val="24"/>
        </w:rPr>
        <w:t>SBE Council, 2015)</w:t>
      </w:r>
      <w:r w:rsidR="00C325C9" w:rsidRPr="00013F71">
        <w:rPr>
          <w:snapToGrid w:val="0"/>
          <w:sz w:val="24"/>
          <w:szCs w:val="24"/>
        </w:rPr>
        <w:t>. According to the Beacon Hill Institute</w:t>
      </w:r>
      <w:r w:rsidR="00177113" w:rsidRPr="00013F71">
        <w:rPr>
          <w:snapToGrid w:val="0"/>
          <w:sz w:val="24"/>
          <w:szCs w:val="24"/>
        </w:rPr>
        <w:t>,</w:t>
      </w:r>
      <w:r w:rsidR="00C325C9" w:rsidRPr="00013F71">
        <w:rPr>
          <w:snapToGrid w:val="0"/>
          <w:sz w:val="24"/>
          <w:szCs w:val="24"/>
        </w:rPr>
        <w:t xml:space="preserve"> Wyoming has the lowest electrical prices per million </w:t>
      </w:r>
      <w:r w:rsidR="00280CE0" w:rsidRPr="00013F71">
        <w:rPr>
          <w:snapToGrid w:val="0"/>
          <w:sz w:val="24"/>
          <w:szCs w:val="24"/>
        </w:rPr>
        <w:t>BTU</w:t>
      </w:r>
      <w:r w:rsidR="00C325C9" w:rsidRPr="00013F71">
        <w:rPr>
          <w:snapToGrid w:val="0"/>
          <w:sz w:val="24"/>
          <w:szCs w:val="24"/>
        </w:rPr>
        <w:t xml:space="preserve"> and according to Dun and Bradstreet, the </w:t>
      </w:r>
      <w:r w:rsidR="00084139" w:rsidRPr="00084139">
        <w:rPr>
          <w:snapToGrid w:val="0"/>
          <w:sz w:val="24"/>
          <w:szCs w:val="24"/>
        </w:rPr>
        <w:t>second</w:t>
      </w:r>
      <w:r w:rsidR="00C325C9" w:rsidRPr="00013F71">
        <w:rPr>
          <w:snapToGrid w:val="0"/>
          <w:sz w:val="24"/>
          <w:szCs w:val="24"/>
        </w:rPr>
        <w:t xml:space="preserve"> lowest business failure rate</w:t>
      </w:r>
      <w:r w:rsidR="00CB3162" w:rsidRPr="00013F71">
        <w:rPr>
          <w:snapToGrid w:val="0"/>
          <w:sz w:val="24"/>
          <w:szCs w:val="24"/>
        </w:rPr>
        <w:t xml:space="preserve"> (WY Sheridan Works, 2013)</w:t>
      </w:r>
      <w:r w:rsidR="00C325C9" w:rsidRPr="00013F71">
        <w:rPr>
          <w:snapToGrid w:val="0"/>
          <w:sz w:val="24"/>
          <w:szCs w:val="24"/>
        </w:rPr>
        <w:t>.</w:t>
      </w:r>
      <w:r w:rsidRPr="00013F71">
        <w:rPr>
          <w:snapToGrid w:val="0"/>
          <w:sz w:val="24"/>
          <w:szCs w:val="24"/>
        </w:rPr>
        <w:t xml:space="preserve"> Furthermore, the state only began taxing the mineral industry</w:t>
      </w:r>
      <w:r w:rsidR="00B8222B" w:rsidRPr="00013F71">
        <w:rPr>
          <w:snapToGrid w:val="0"/>
          <w:sz w:val="24"/>
          <w:szCs w:val="24"/>
        </w:rPr>
        <w:t xml:space="preserve"> </w:t>
      </w:r>
      <w:r w:rsidRPr="00013F71">
        <w:rPr>
          <w:snapToGrid w:val="0"/>
          <w:sz w:val="24"/>
          <w:szCs w:val="24"/>
        </w:rPr>
        <w:t>in 1969.</w:t>
      </w:r>
      <w:r w:rsidR="005C6065" w:rsidRPr="00013F71">
        <w:rPr>
          <w:snapToGrid w:val="0"/>
          <w:sz w:val="24"/>
          <w:szCs w:val="24"/>
        </w:rPr>
        <w:t xml:space="preserve">  W</w:t>
      </w:r>
      <w:r w:rsidR="00A47C3B" w:rsidRPr="00013F71">
        <w:rPr>
          <w:snapToGrid w:val="0"/>
          <w:sz w:val="24"/>
          <w:szCs w:val="24"/>
        </w:rPr>
        <w:t xml:space="preserve">ith no personal or corporate income tax and </w:t>
      </w:r>
      <w:r w:rsidR="00B66D14" w:rsidRPr="00013F71">
        <w:rPr>
          <w:snapToGrid w:val="0"/>
          <w:sz w:val="24"/>
          <w:szCs w:val="24"/>
        </w:rPr>
        <w:t xml:space="preserve">relatively </w:t>
      </w:r>
      <w:r w:rsidR="00A47C3B" w:rsidRPr="00013F71">
        <w:rPr>
          <w:snapToGrid w:val="0"/>
          <w:sz w:val="24"/>
          <w:szCs w:val="24"/>
        </w:rPr>
        <w:t>low fuel taxes</w:t>
      </w:r>
      <w:r w:rsidR="005C6065" w:rsidRPr="00013F71">
        <w:rPr>
          <w:snapToGrid w:val="0"/>
          <w:sz w:val="24"/>
          <w:szCs w:val="24"/>
        </w:rPr>
        <w:t>, however,</w:t>
      </w:r>
      <w:r w:rsidR="00A47C3B" w:rsidRPr="00013F71">
        <w:rPr>
          <w:snapToGrid w:val="0"/>
          <w:sz w:val="24"/>
          <w:szCs w:val="24"/>
        </w:rPr>
        <w:t xml:space="preserve"> Wyoming </w:t>
      </w:r>
      <w:r w:rsidR="00CB3162" w:rsidRPr="00013F71">
        <w:rPr>
          <w:snapToGrid w:val="0"/>
          <w:sz w:val="24"/>
          <w:szCs w:val="24"/>
        </w:rPr>
        <w:t>is</w:t>
      </w:r>
      <w:r w:rsidR="00A47C3B" w:rsidRPr="00013F71">
        <w:rPr>
          <w:snapToGrid w:val="0"/>
          <w:sz w:val="24"/>
          <w:szCs w:val="24"/>
        </w:rPr>
        <w:t xml:space="preserve"> more reliant on the few taxes it </w:t>
      </w:r>
      <w:r w:rsidR="00177113" w:rsidRPr="00013F71">
        <w:rPr>
          <w:snapToGrid w:val="0"/>
          <w:sz w:val="24"/>
          <w:szCs w:val="24"/>
        </w:rPr>
        <w:t>does have</w:t>
      </w:r>
      <w:r w:rsidR="00A47C3B" w:rsidRPr="00013F71">
        <w:rPr>
          <w:snapToGrid w:val="0"/>
          <w:sz w:val="24"/>
          <w:szCs w:val="24"/>
        </w:rPr>
        <w:t xml:space="preserve"> and becomes more susceptible to price fluctuations for those commodities that it does tax.</w:t>
      </w:r>
      <w:r w:rsidR="00BC28CF" w:rsidRPr="00013F71">
        <w:rPr>
          <w:snapToGrid w:val="0"/>
          <w:sz w:val="24"/>
          <w:szCs w:val="24"/>
        </w:rPr>
        <w:t xml:space="preserve">  In addition, the state becomes more reliant on property and sales taxes to fund the costs of state and local government</w:t>
      </w:r>
      <w:r w:rsidR="00C325C9" w:rsidRPr="00013F71">
        <w:rPr>
          <w:snapToGrid w:val="0"/>
          <w:sz w:val="24"/>
          <w:szCs w:val="24"/>
        </w:rPr>
        <w:t xml:space="preserve"> (and these taxes tend, therefore, to be higher as noted above)</w:t>
      </w:r>
      <w:r w:rsidR="00BC28CF" w:rsidRPr="00013F71">
        <w:rPr>
          <w:snapToGrid w:val="0"/>
          <w:sz w:val="24"/>
          <w:szCs w:val="24"/>
        </w:rPr>
        <w:t>.</w:t>
      </w:r>
    </w:p>
    <w:p w14:paraId="62C160C0" w14:textId="77777777" w:rsidR="0072285D" w:rsidRPr="00013F71" w:rsidRDefault="0072285D" w:rsidP="00C26571">
      <w:pPr>
        <w:rPr>
          <w:snapToGrid w:val="0"/>
          <w:sz w:val="24"/>
          <w:szCs w:val="24"/>
        </w:rPr>
      </w:pPr>
    </w:p>
    <w:p w14:paraId="2FA99A57" w14:textId="75E150F0" w:rsidR="0016571A" w:rsidRPr="00013F71" w:rsidRDefault="0072285D" w:rsidP="009277F5">
      <w:pPr>
        <w:rPr>
          <w:sz w:val="24"/>
          <w:szCs w:val="24"/>
        </w:rPr>
      </w:pPr>
      <w:r w:rsidRPr="00013F71">
        <w:rPr>
          <w:snapToGrid w:val="0"/>
          <w:sz w:val="24"/>
          <w:szCs w:val="24"/>
        </w:rPr>
        <w:tab/>
      </w:r>
      <w:r w:rsidR="00842B16" w:rsidRPr="00013F71">
        <w:rPr>
          <w:snapToGrid w:val="0"/>
          <w:sz w:val="24"/>
          <w:szCs w:val="24"/>
        </w:rPr>
        <w:t xml:space="preserve">Because Wyoming’s economy is only loosely tethered to the rest of the country’s economic condition, </w:t>
      </w:r>
      <w:r w:rsidR="00280CE0" w:rsidRPr="00013F71">
        <w:rPr>
          <w:snapToGrid w:val="0"/>
          <w:sz w:val="24"/>
          <w:szCs w:val="24"/>
        </w:rPr>
        <w:t xml:space="preserve">the state </w:t>
      </w:r>
      <w:r w:rsidR="00842B16" w:rsidRPr="00013F71">
        <w:rPr>
          <w:snapToGrid w:val="0"/>
          <w:sz w:val="24"/>
          <w:szCs w:val="24"/>
        </w:rPr>
        <w:t xml:space="preserve">missed most of the </w:t>
      </w:r>
      <w:r w:rsidR="00CB3162" w:rsidRPr="00013F71">
        <w:rPr>
          <w:snapToGrid w:val="0"/>
          <w:sz w:val="24"/>
          <w:szCs w:val="24"/>
        </w:rPr>
        <w:t xml:space="preserve">recent </w:t>
      </w:r>
      <w:r w:rsidR="00842B16" w:rsidRPr="00013F71">
        <w:rPr>
          <w:snapToGrid w:val="0"/>
          <w:sz w:val="24"/>
          <w:szCs w:val="24"/>
        </w:rPr>
        <w:t xml:space="preserve">recession.  </w:t>
      </w:r>
      <w:r w:rsidR="00C26571" w:rsidRPr="00013F71">
        <w:rPr>
          <w:sz w:val="24"/>
          <w:szCs w:val="24"/>
        </w:rPr>
        <w:t>Historically, Wyoming lags behind the nation in entering recession, as well as in pulling out of it</w:t>
      </w:r>
      <w:r w:rsidR="009277F5" w:rsidRPr="00013F71">
        <w:rPr>
          <w:sz w:val="24"/>
          <w:szCs w:val="24"/>
        </w:rPr>
        <w:t xml:space="preserve"> and</w:t>
      </w:r>
      <w:r w:rsidR="00084139">
        <w:rPr>
          <w:sz w:val="24"/>
          <w:szCs w:val="24"/>
        </w:rPr>
        <w:t xml:space="preserve"> the state’s</w:t>
      </w:r>
      <w:r w:rsidR="009277F5" w:rsidRPr="00013F71">
        <w:rPr>
          <w:sz w:val="24"/>
          <w:szCs w:val="24"/>
        </w:rPr>
        <w:t xml:space="preserve"> economy has not been as negatively affected here as it has been elsewhere</w:t>
      </w:r>
      <w:r w:rsidR="00C26571" w:rsidRPr="00013F71">
        <w:rPr>
          <w:sz w:val="24"/>
          <w:szCs w:val="24"/>
        </w:rPr>
        <w:t xml:space="preserve">.  The past decade has been a period </w:t>
      </w:r>
      <w:r w:rsidR="00781FAF" w:rsidRPr="00013F71">
        <w:rPr>
          <w:sz w:val="24"/>
          <w:szCs w:val="24"/>
        </w:rPr>
        <w:t>of incredible growth in Wyoming, with job growth close to 30 percent since 2001 and state government revenue doubling.</w:t>
      </w:r>
      <w:r w:rsidR="00B8222B" w:rsidRPr="00013F71">
        <w:rPr>
          <w:sz w:val="24"/>
          <w:szCs w:val="24"/>
        </w:rPr>
        <w:t xml:space="preserve">  </w:t>
      </w:r>
      <w:r w:rsidR="0016571A" w:rsidRPr="00013F71">
        <w:rPr>
          <w:sz w:val="24"/>
          <w:szCs w:val="24"/>
        </w:rPr>
        <w:t xml:space="preserve">Indicative of some continued economic growth, </w:t>
      </w:r>
      <w:r w:rsidR="00781FAF" w:rsidRPr="00013F71">
        <w:rPr>
          <w:sz w:val="24"/>
          <w:szCs w:val="24"/>
        </w:rPr>
        <w:t>in 201</w:t>
      </w:r>
      <w:r w:rsidR="00CB3162" w:rsidRPr="00013F71">
        <w:rPr>
          <w:sz w:val="24"/>
          <w:szCs w:val="24"/>
        </w:rPr>
        <w:t>4</w:t>
      </w:r>
      <w:r w:rsidR="00781FAF" w:rsidRPr="00013F71">
        <w:rPr>
          <w:sz w:val="24"/>
          <w:szCs w:val="24"/>
        </w:rPr>
        <w:t xml:space="preserve"> </w:t>
      </w:r>
      <w:r w:rsidR="0016571A" w:rsidRPr="00013F71">
        <w:rPr>
          <w:sz w:val="24"/>
          <w:szCs w:val="24"/>
        </w:rPr>
        <w:t>the Goss Institute for Economic Re</w:t>
      </w:r>
      <w:r w:rsidR="005F1110" w:rsidRPr="00013F71">
        <w:rPr>
          <w:sz w:val="24"/>
          <w:szCs w:val="24"/>
        </w:rPr>
        <w:t>sea</w:t>
      </w:r>
      <w:r w:rsidR="0016571A" w:rsidRPr="00013F71">
        <w:rPr>
          <w:sz w:val="24"/>
          <w:szCs w:val="24"/>
        </w:rPr>
        <w:t>rch published the state’s “business conditions index.”  Wyoming registered a</w:t>
      </w:r>
      <w:r w:rsidR="00B66D14" w:rsidRPr="00013F71">
        <w:rPr>
          <w:sz w:val="24"/>
          <w:szCs w:val="24"/>
        </w:rPr>
        <w:t xml:space="preserve"> 55.8 (down from last year’s</w:t>
      </w:r>
      <w:r w:rsidR="0016571A" w:rsidRPr="00013F71">
        <w:rPr>
          <w:sz w:val="24"/>
          <w:szCs w:val="24"/>
        </w:rPr>
        <w:t xml:space="preserve"> </w:t>
      </w:r>
      <w:r w:rsidR="00F30F9D" w:rsidRPr="00013F71">
        <w:rPr>
          <w:sz w:val="24"/>
          <w:szCs w:val="24"/>
        </w:rPr>
        <w:t>59</w:t>
      </w:r>
      <w:r w:rsidR="00B66D14" w:rsidRPr="00013F71">
        <w:rPr>
          <w:sz w:val="24"/>
          <w:szCs w:val="24"/>
        </w:rPr>
        <w:t>.4</w:t>
      </w:r>
      <w:r w:rsidR="00F30F9D" w:rsidRPr="00013F71">
        <w:rPr>
          <w:sz w:val="24"/>
          <w:szCs w:val="24"/>
        </w:rPr>
        <w:t>)</w:t>
      </w:r>
      <w:r w:rsidR="0016571A" w:rsidRPr="00013F71">
        <w:rPr>
          <w:sz w:val="24"/>
          <w:szCs w:val="24"/>
        </w:rPr>
        <w:t>.  According to the publishers, a number greater than 50 still points to an expanding economy over the next three to six months</w:t>
      </w:r>
      <w:r w:rsidR="000D3AF5" w:rsidRPr="00013F71">
        <w:rPr>
          <w:sz w:val="24"/>
          <w:szCs w:val="24"/>
        </w:rPr>
        <w:t>.</w:t>
      </w:r>
      <w:r w:rsidR="00F30F9D" w:rsidRPr="00013F71">
        <w:rPr>
          <w:sz w:val="24"/>
          <w:szCs w:val="24"/>
        </w:rPr>
        <w:t xml:space="preserve">  By way of comparison</w:t>
      </w:r>
      <w:r w:rsidR="000D3AF5" w:rsidRPr="00013F71">
        <w:rPr>
          <w:sz w:val="24"/>
          <w:szCs w:val="24"/>
        </w:rPr>
        <w:t>, Utah</w:t>
      </w:r>
      <w:r w:rsidR="00F30F9D" w:rsidRPr="00013F71">
        <w:rPr>
          <w:sz w:val="24"/>
          <w:szCs w:val="24"/>
        </w:rPr>
        <w:t xml:space="preserve">’s </w:t>
      </w:r>
      <w:r w:rsidR="00B66D14" w:rsidRPr="00013F71">
        <w:rPr>
          <w:sz w:val="24"/>
          <w:szCs w:val="24"/>
        </w:rPr>
        <w:t>October</w:t>
      </w:r>
      <w:r w:rsidR="00F30F9D" w:rsidRPr="00013F71">
        <w:rPr>
          <w:sz w:val="24"/>
          <w:szCs w:val="24"/>
        </w:rPr>
        <w:t xml:space="preserve"> 201</w:t>
      </w:r>
      <w:r w:rsidR="00CB3162" w:rsidRPr="00013F71">
        <w:rPr>
          <w:sz w:val="24"/>
          <w:szCs w:val="24"/>
        </w:rPr>
        <w:t>4</w:t>
      </w:r>
      <w:r w:rsidR="00F30F9D" w:rsidRPr="00013F71">
        <w:rPr>
          <w:sz w:val="24"/>
          <w:szCs w:val="24"/>
        </w:rPr>
        <w:t xml:space="preserve"> number was 5</w:t>
      </w:r>
      <w:r w:rsidR="00B66D14" w:rsidRPr="00013F71">
        <w:rPr>
          <w:sz w:val="24"/>
          <w:szCs w:val="24"/>
        </w:rPr>
        <w:t>0.9</w:t>
      </w:r>
      <w:r w:rsidR="00F30F9D" w:rsidRPr="00013F71">
        <w:rPr>
          <w:sz w:val="24"/>
          <w:szCs w:val="24"/>
        </w:rPr>
        <w:t xml:space="preserve"> and Colorado’s number for </w:t>
      </w:r>
      <w:r w:rsidR="00B66D14" w:rsidRPr="00013F71">
        <w:rPr>
          <w:sz w:val="24"/>
          <w:szCs w:val="24"/>
        </w:rPr>
        <w:t>the same month</w:t>
      </w:r>
      <w:r w:rsidR="00F30F9D" w:rsidRPr="00013F71">
        <w:rPr>
          <w:sz w:val="24"/>
          <w:szCs w:val="24"/>
        </w:rPr>
        <w:t xml:space="preserve"> was </w:t>
      </w:r>
      <w:r w:rsidR="00B66D14" w:rsidRPr="00013F71">
        <w:rPr>
          <w:sz w:val="24"/>
          <w:szCs w:val="24"/>
        </w:rPr>
        <w:t>44.9</w:t>
      </w:r>
      <w:r w:rsidR="00CB3162" w:rsidRPr="00013F71">
        <w:rPr>
          <w:sz w:val="24"/>
          <w:szCs w:val="24"/>
        </w:rPr>
        <w:t xml:space="preserve"> (Goss Institute 2014)</w:t>
      </w:r>
      <w:r w:rsidR="00F30F9D" w:rsidRPr="00013F71">
        <w:rPr>
          <w:sz w:val="24"/>
          <w:szCs w:val="24"/>
        </w:rPr>
        <w:t>.</w:t>
      </w:r>
    </w:p>
    <w:p w14:paraId="1892C75C" w14:textId="77777777" w:rsidR="005F1110" w:rsidRPr="00013F71" w:rsidRDefault="005F1110" w:rsidP="002873C0">
      <w:pPr>
        <w:rPr>
          <w:b/>
          <w:bCs/>
          <w:sz w:val="24"/>
          <w:szCs w:val="24"/>
        </w:rPr>
      </w:pPr>
    </w:p>
    <w:p w14:paraId="4D3B158C" w14:textId="77777777" w:rsidR="00F25558" w:rsidRPr="00013F71" w:rsidRDefault="00F25558" w:rsidP="002873C0">
      <w:pPr>
        <w:rPr>
          <w:b/>
          <w:bCs/>
          <w:sz w:val="24"/>
          <w:szCs w:val="24"/>
        </w:rPr>
      </w:pPr>
    </w:p>
    <w:p w14:paraId="51F6E066" w14:textId="77777777" w:rsidR="00C26571" w:rsidRPr="00013F71" w:rsidRDefault="000B03EA" w:rsidP="00C26571">
      <w:pPr>
        <w:ind w:firstLine="720"/>
        <w:rPr>
          <w:b/>
          <w:bCs/>
          <w:sz w:val="24"/>
          <w:szCs w:val="24"/>
        </w:rPr>
      </w:pPr>
      <w:r w:rsidRPr="00013F71">
        <w:rPr>
          <w:b/>
          <w:bCs/>
          <w:sz w:val="24"/>
          <w:szCs w:val="24"/>
        </w:rPr>
        <w:t>ENERGY</w:t>
      </w:r>
    </w:p>
    <w:p w14:paraId="070B89F1" w14:textId="77777777" w:rsidR="00C26571" w:rsidRPr="00013F71" w:rsidRDefault="00C26571" w:rsidP="00C26571">
      <w:pPr>
        <w:ind w:firstLine="720"/>
        <w:rPr>
          <w:b/>
          <w:bCs/>
          <w:sz w:val="24"/>
          <w:szCs w:val="24"/>
        </w:rPr>
      </w:pPr>
    </w:p>
    <w:p w14:paraId="299BDA7B" w14:textId="76B5AF71" w:rsidR="00CB21F3" w:rsidRPr="00013F71" w:rsidRDefault="00CB21F3" w:rsidP="00C26571">
      <w:pPr>
        <w:ind w:firstLine="720"/>
        <w:rPr>
          <w:b/>
          <w:bCs/>
          <w:sz w:val="24"/>
          <w:szCs w:val="24"/>
        </w:rPr>
      </w:pPr>
      <w:r w:rsidRPr="00013F71">
        <w:rPr>
          <w:b/>
          <w:bCs/>
          <w:sz w:val="24"/>
          <w:szCs w:val="24"/>
        </w:rPr>
        <w:t>Natural Gas</w:t>
      </w:r>
    </w:p>
    <w:p w14:paraId="60B790B4" w14:textId="74C83238" w:rsidR="00C40786" w:rsidRPr="00013F71" w:rsidRDefault="005A7570" w:rsidP="00C26571">
      <w:pPr>
        <w:ind w:firstLine="720"/>
        <w:rPr>
          <w:bCs/>
          <w:sz w:val="24"/>
          <w:szCs w:val="24"/>
        </w:rPr>
      </w:pPr>
      <w:r w:rsidRPr="00013F71">
        <w:rPr>
          <w:bCs/>
          <w:sz w:val="24"/>
          <w:szCs w:val="24"/>
        </w:rPr>
        <w:t xml:space="preserve">According to </w:t>
      </w:r>
      <w:r w:rsidR="00C71F53" w:rsidRPr="00013F71">
        <w:rPr>
          <w:bCs/>
          <w:sz w:val="24"/>
          <w:szCs w:val="24"/>
        </w:rPr>
        <w:t xml:space="preserve">the </w:t>
      </w:r>
      <w:r w:rsidR="00CB21F3" w:rsidRPr="00013F71">
        <w:rPr>
          <w:bCs/>
          <w:sz w:val="24"/>
          <w:szCs w:val="24"/>
        </w:rPr>
        <w:t>October 2015 CREG Report</w:t>
      </w:r>
      <w:r w:rsidRPr="00013F71">
        <w:rPr>
          <w:bCs/>
          <w:sz w:val="24"/>
          <w:szCs w:val="24"/>
        </w:rPr>
        <w:t xml:space="preserve">, </w:t>
      </w:r>
      <w:r w:rsidR="00D93EC6" w:rsidRPr="00013F71">
        <w:rPr>
          <w:bCs/>
          <w:sz w:val="24"/>
          <w:szCs w:val="24"/>
        </w:rPr>
        <w:t xml:space="preserve">natural gas </w:t>
      </w:r>
      <w:r w:rsidR="00CB21F3" w:rsidRPr="00013F71">
        <w:rPr>
          <w:bCs/>
          <w:sz w:val="24"/>
          <w:szCs w:val="24"/>
        </w:rPr>
        <w:t xml:space="preserve">will continue to be a </w:t>
      </w:r>
      <w:r w:rsidR="00D93EC6" w:rsidRPr="00013F71">
        <w:rPr>
          <w:bCs/>
          <w:sz w:val="24"/>
          <w:szCs w:val="24"/>
        </w:rPr>
        <w:t xml:space="preserve">significant </w:t>
      </w:r>
      <w:r w:rsidR="00CB21F3" w:rsidRPr="00013F71">
        <w:rPr>
          <w:bCs/>
          <w:sz w:val="24"/>
          <w:szCs w:val="24"/>
        </w:rPr>
        <w:t>contributor</w:t>
      </w:r>
      <w:r w:rsidR="00D93EC6" w:rsidRPr="00013F71">
        <w:rPr>
          <w:bCs/>
          <w:sz w:val="24"/>
          <w:szCs w:val="24"/>
        </w:rPr>
        <w:t xml:space="preserve"> to Wyoming’s mineral revenue stream, accounting for </w:t>
      </w:r>
      <w:r w:rsidR="00CB21F3" w:rsidRPr="00013F71">
        <w:rPr>
          <w:bCs/>
          <w:sz w:val="24"/>
          <w:szCs w:val="24"/>
        </w:rPr>
        <w:t>30</w:t>
      </w:r>
      <w:r w:rsidR="00D93EC6" w:rsidRPr="00013F71">
        <w:rPr>
          <w:bCs/>
          <w:sz w:val="24"/>
          <w:szCs w:val="24"/>
        </w:rPr>
        <w:t xml:space="preserve"> percent of the state</w:t>
      </w:r>
      <w:r w:rsidR="0035475F" w:rsidRPr="00013F71">
        <w:rPr>
          <w:bCs/>
          <w:sz w:val="24"/>
          <w:szCs w:val="24"/>
        </w:rPr>
        <w:t>’</w:t>
      </w:r>
      <w:r w:rsidR="00D93EC6" w:rsidRPr="00013F71">
        <w:rPr>
          <w:bCs/>
          <w:sz w:val="24"/>
          <w:szCs w:val="24"/>
        </w:rPr>
        <w:t>s</w:t>
      </w:r>
      <w:r w:rsidR="0035475F" w:rsidRPr="00013F71">
        <w:rPr>
          <w:bCs/>
          <w:sz w:val="24"/>
          <w:szCs w:val="24"/>
        </w:rPr>
        <w:t xml:space="preserve"> total seve</w:t>
      </w:r>
      <w:r w:rsidR="00CB21F3" w:rsidRPr="00013F71">
        <w:rPr>
          <w:bCs/>
          <w:sz w:val="24"/>
          <w:szCs w:val="24"/>
        </w:rPr>
        <w:t>rance tax distribution in 2015</w:t>
      </w:r>
      <w:r w:rsidR="00C71F53" w:rsidRPr="00013F71">
        <w:rPr>
          <w:bCs/>
          <w:sz w:val="24"/>
          <w:szCs w:val="24"/>
        </w:rPr>
        <w:t xml:space="preserve"> </w:t>
      </w:r>
      <w:r w:rsidR="00C71F53" w:rsidRPr="00013F71">
        <w:rPr>
          <w:snapToGrid w:val="0"/>
          <w:sz w:val="24"/>
          <w:szCs w:val="24"/>
        </w:rPr>
        <w:t>(Table 6)</w:t>
      </w:r>
      <w:r w:rsidR="00D93EC6" w:rsidRPr="00013F71">
        <w:rPr>
          <w:bCs/>
          <w:sz w:val="24"/>
          <w:szCs w:val="24"/>
        </w:rPr>
        <w:t>.</w:t>
      </w:r>
      <w:r w:rsidR="00532B4F" w:rsidRPr="00013F71">
        <w:rPr>
          <w:bCs/>
          <w:sz w:val="24"/>
          <w:szCs w:val="24"/>
        </w:rPr>
        <w:t xml:space="preserve"> </w:t>
      </w:r>
      <w:r w:rsidR="00CB21F3" w:rsidRPr="00013F71">
        <w:rPr>
          <w:bCs/>
          <w:sz w:val="24"/>
          <w:szCs w:val="24"/>
        </w:rPr>
        <w:t xml:space="preserve">This places natural gas as the third largest income producer among the top three (oil, coal, and natural gas).  </w:t>
      </w:r>
      <w:r w:rsidR="008D2C85" w:rsidRPr="00013F71">
        <w:rPr>
          <w:bCs/>
          <w:sz w:val="24"/>
          <w:szCs w:val="24"/>
        </w:rPr>
        <w:t>The price for natural gas in</w:t>
      </w:r>
      <w:r w:rsidR="00CB21F3" w:rsidRPr="00013F71">
        <w:rPr>
          <w:bCs/>
          <w:sz w:val="24"/>
          <w:szCs w:val="24"/>
        </w:rPr>
        <w:t xml:space="preserve"> 2015</w:t>
      </w:r>
      <w:r w:rsidR="0035475F" w:rsidRPr="00013F71">
        <w:rPr>
          <w:bCs/>
          <w:sz w:val="24"/>
          <w:szCs w:val="24"/>
        </w:rPr>
        <w:t xml:space="preserve"> landed at $</w:t>
      </w:r>
      <w:r w:rsidR="00CB21F3" w:rsidRPr="00013F71">
        <w:rPr>
          <w:bCs/>
          <w:sz w:val="24"/>
          <w:szCs w:val="24"/>
        </w:rPr>
        <w:t>3.8</w:t>
      </w:r>
      <w:r w:rsidR="0035475F" w:rsidRPr="00013F71">
        <w:rPr>
          <w:bCs/>
          <w:sz w:val="24"/>
          <w:szCs w:val="24"/>
        </w:rPr>
        <w:t>0</w:t>
      </w:r>
      <w:r w:rsidR="00CB21F3" w:rsidRPr="00013F71">
        <w:rPr>
          <w:bCs/>
          <w:sz w:val="24"/>
          <w:szCs w:val="24"/>
        </w:rPr>
        <w:t>/</w:t>
      </w:r>
      <w:proofErr w:type="spellStart"/>
      <w:r w:rsidR="00CB21F3" w:rsidRPr="00013F71">
        <w:rPr>
          <w:bCs/>
          <w:sz w:val="24"/>
          <w:szCs w:val="24"/>
        </w:rPr>
        <w:t>mcf</w:t>
      </w:r>
      <w:proofErr w:type="spellEnd"/>
      <w:r w:rsidR="0035475F" w:rsidRPr="00013F71">
        <w:rPr>
          <w:bCs/>
          <w:sz w:val="24"/>
          <w:szCs w:val="24"/>
        </w:rPr>
        <w:t xml:space="preserve"> and is expected to </w:t>
      </w:r>
      <w:r w:rsidR="00CB21F3" w:rsidRPr="00013F71">
        <w:rPr>
          <w:bCs/>
          <w:sz w:val="24"/>
          <w:szCs w:val="24"/>
        </w:rPr>
        <w:t>stabilize</w:t>
      </w:r>
      <w:r w:rsidR="0035475F" w:rsidRPr="00013F71">
        <w:rPr>
          <w:bCs/>
          <w:sz w:val="24"/>
          <w:szCs w:val="24"/>
        </w:rPr>
        <w:t xml:space="preserve"> </w:t>
      </w:r>
      <w:r w:rsidR="00CB21F3" w:rsidRPr="00013F71">
        <w:rPr>
          <w:bCs/>
          <w:sz w:val="24"/>
          <w:szCs w:val="24"/>
        </w:rPr>
        <w:t>at 4.00/</w:t>
      </w:r>
      <w:proofErr w:type="spellStart"/>
      <w:r w:rsidR="00CB21F3" w:rsidRPr="00013F71">
        <w:rPr>
          <w:bCs/>
          <w:sz w:val="24"/>
          <w:szCs w:val="24"/>
        </w:rPr>
        <w:t>mcf</w:t>
      </w:r>
      <w:proofErr w:type="spellEnd"/>
      <w:r w:rsidR="00CB21F3" w:rsidRPr="00013F71">
        <w:rPr>
          <w:bCs/>
          <w:sz w:val="24"/>
          <w:szCs w:val="24"/>
        </w:rPr>
        <w:t xml:space="preserve"> by the end of 2016</w:t>
      </w:r>
      <w:r w:rsidR="0035475F" w:rsidRPr="00013F71">
        <w:rPr>
          <w:bCs/>
          <w:sz w:val="24"/>
          <w:szCs w:val="24"/>
        </w:rPr>
        <w:t>.  Production, too, is projected to decline slightly year-over-year</w:t>
      </w:r>
      <w:r w:rsidR="00CB21F3" w:rsidRPr="00013F71">
        <w:rPr>
          <w:bCs/>
          <w:sz w:val="24"/>
          <w:szCs w:val="24"/>
        </w:rPr>
        <w:t xml:space="preserve">, but </w:t>
      </w:r>
      <w:r w:rsidR="001475B8">
        <w:rPr>
          <w:bCs/>
          <w:sz w:val="24"/>
          <w:szCs w:val="24"/>
        </w:rPr>
        <w:t xml:space="preserve">should </w:t>
      </w:r>
      <w:r w:rsidR="00CB21F3" w:rsidRPr="00013F71">
        <w:rPr>
          <w:bCs/>
          <w:sz w:val="24"/>
          <w:szCs w:val="24"/>
        </w:rPr>
        <w:t>stabilize again in 2016 in the area of 1.</w:t>
      </w:r>
      <w:r w:rsidR="00713FD2" w:rsidRPr="00013F71">
        <w:rPr>
          <w:bCs/>
          <w:sz w:val="24"/>
          <w:szCs w:val="24"/>
        </w:rPr>
        <w:t xml:space="preserve">7 </w:t>
      </w:r>
      <w:proofErr w:type="spellStart"/>
      <w:r w:rsidR="00713FD2" w:rsidRPr="00013F71">
        <w:rPr>
          <w:bCs/>
          <w:sz w:val="24"/>
          <w:szCs w:val="24"/>
        </w:rPr>
        <w:t>Tcf</w:t>
      </w:r>
      <w:proofErr w:type="spellEnd"/>
      <w:r w:rsidR="00713FD2" w:rsidRPr="00013F71">
        <w:rPr>
          <w:bCs/>
          <w:sz w:val="24"/>
          <w:szCs w:val="24"/>
        </w:rPr>
        <w:t xml:space="preserve"> for the next five years</w:t>
      </w:r>
      <w:r w:rsidR="0035475F" w:rsidRPr="00013F71">
        <w:rPr>
          <w:bCs/>
          <w:sz w:val="24"/>
          <w:szCs w:val="24"/>
        </w:rPr>
        <w:t>.</w:t>
      </w:r>
      <w:r w:rsidR="008D2C85" w:rsidRPr="00013F71">
        <w:rPr>
          <w:bCs/>
          <w:sz w:val="24"/>
          <w:szCs w:val="24"/>
        </w:rPr>
        <w:t xml:space="preserve"> </w:t>
      </w:r>
      <w:r w:rsidR="0035475F" w:rsidRPr="00013F71">
        <w:rPr>
          <w:bCs/>
          <w:sz w:val="24"/>
          <w:szCs w:val="24"/>
        </w:rPr>
        <w:t xml:space="preserve"> </w:t>
      </w:r>
      <w:r w:rsidR="0016571A" w:rsidRPr="00013F71">
        <w:rPr>
          <w:bCs/>
          <w:sz w:val="24"/>
          <w:szCs w:val="24"/>
        </w:rPr>
        <w:t xml:space="preserve">Each $1 </w:t>
      </w:r>
      <w:r w:rsidR="00907356" w:rsidRPr="00013F71">
        <w:rPr>
          <w:bCs/>
          <w:sz w:val="24"/>
          <w:szCs w:val="24"/>
        </w:rPr>
        <w:t>change</w:t>
      </w:r>
      <w:r w:rsidR="0016571A" w:rsidRPr="00013F71">
        <w:rPr>
          <w:bCs/>
          <w:sz w:val="24"/>
          <w:szCs w:val="24"/>
        </w:rPr>
        <w:t xml:space="preserve"> in the price per </w:t>
      </w:r>
      <w:proofErr w:type="spellStart"/>
      <w:r w:rsidR="0016571A" w:rsidRPr="00013F71">
        <w:rPr>
          <w:bCs/>
          <w:sz w:val="24"/>
          <w:szCs w:val="24"/>
        </w:rPr>
        <w:t>mcf</w:t>
      </w:r>
      <w:proofErr w:type="spellEnd"/>
      <w:r w:rsidR="0016571A" w:rsidRPr="00013F71">
        <w:rPr>
          <w:bCs/>
          <w:sz w:val="24"/>
          <w:szCs w:val="24"/>
        </w:rPr>
        <w:t xml:space="preserve"> of </w:t>
      </w:r>
      <w:r w:rsidR="00907356" w:rsidRPr="00013F71">
        <w:rPr>
          <w:bCs/>
          <w:sz w:val="24"/>
          <w:szCs w:val="24"/>
        </w:rPr>
        <w:t xml:space="preserve">natural </w:t>
      </w:r>
      <w:r w:rsidR="0016571A" w:rsidRPr="00013F71">
        <w:rPr>
          <w:bCs/>
          <w:sz w:val="24"/>
          <w:szCs w:val="24"/>
        </w:rPr>
        <w:t xml:space="preserve">gas </w:t>
      </w:r>
      <w:r w:rsidR="00907356" w:rsidRPr="00013F71">
        <w:rPr>
          <w:bCs/>
          <w:sz w:val="24"/>
          <w:szCs w:val="24"/>
        </w:rPr>
        <w:t>equals approximately $120 million (up or down) in</w:t>
      </w:r>
      <w:r w:rsidR="0016571A" w:rsidRPr="00013F71">
        <w:rPr>
          <w:bCs/>
          <w:sz w:val="24"/>
          <w:szCs w:val="24"/>
        </w:rPr>
        <w:t xml:space="preserve"> the state general fund</w:t>
      </w:r>
      <w:r w:rsidR="00907356" w:rsidRPr="00013F71">
        <w:rPr>
          <w:bCs/>
          <w:sz w:val="24"/>
          <w:szCs w:val="24"/>
        </w:rPr>
        <w:t xml:space="preserve">. </w:t>
      </w:r>
      <w:r w:rsidR="00265EBC" w:rsidRPr="00013F71">
        <w:rPr>
          <w:bCs/>
          <w:sz w:val="24"/>
          <w:szCs w:val="24"/>
        </w:rPr>
        <w:t xml:space="preserve"> </w:t>
      </w:r>
      <w:r w:rsidR="00E5760C" w:rsidRPr="00013F71">
        <w:rPr>
          <w:bCs/>
          <w:sz w:val="24"/>
          <w:szCs w:val="24"/>
        </w:rPr>
        <w:t>According to one analysis</w:t>
      </w:r>
      <w:r w:rsidR="00B61B65" w:rsidRPr="00013F71">
        <w:rPr>
          <w:bCs/>
          <w:sz w:val="24"/>
          <w:szCs w:val="24"/>
        </w:rPr>
        <w:t>, natural gas prices are</w:t>
      </w:r>
      <w:r w:rsidR="00E5760C" w:rsidRPr="00013F71">
        <w:rPr>
          <w:bCs/>
          <w:sz w:val="24"/>
          <w:szCs w:val="24"/>
        </w:rPr>
        <w:t xml:space="preserve"> the manic-depressive of the </w:t>
      </w:r>
      <w:r w:rsidR="001475B8">
        <w:rPr>
          <w:bCs/>
          <w:sz w:val="24"/>
          <w:szCs w:val="24"/>
        </w:rPr>
        <w:t xml:space="preserve">state’s </w:t>
      </w:r>
      <w:r w:rsidR="00E5760C" w:rsidRPr="00013F71">
        <w:rPr>
          <w:bCs/>
          <w:sz w:val="24"/>
          <w:szCs w:val="24"/>
        </w:rPr>
        <w:t>commodities</w:t>
      </w:r>
      <w:r w:rsidR="00C71F53" w:rsidRPr="00013F71">
        <w:rPr>
          <w:bCs/>
          <w:sz w:val="24"/>
          <w:szCs w:val="24"/>
        </w:rPr>
        <w:t xml:space="preserve"> (</w:t>
      </w:r>
      <w:r w:rsidR="00F85746" w:rsidRPr="00013F71">
        <w:rPr>
          <w:bCs/>
          <w:sz w:val="24"/>
          <w:szCs w:val="24"/>
        </w:rPr>
        <w:t>Western</w:t>
      </w:r>
      <w:r w:rsidR="00C71F53" w:rsidRPr="00013F71">
        <w:rPr>
          <w:bCs/>
          <w:sz w:val="24"/>
          <w:szCs w:val="24"/>
        </w:rPr>
        <w:t>, 2012)</w:t>
      </w:r>
      <w:r w:rsidR="00DA3F38" w:rsidRPr="00013F71">
        <w:rPr>
          <w:bCs/>
          <w:sz w:val="24"/>
          <w:szCs w:val="24"/>
        </w:rPr>
        <w:t>.</w:t>
      </w:r>
      <w:r w:rsidR="001475B8">
        <w:rPr>
          <w:bCs/>
          <w:sz w:val="24"/>
          <w:szCs w:val="24"/>
        </w:rPr>
        <w:t xml:space="preserve">  U</w:t>
      </w:r>
      <w:r w:rsidR="00DA3F38" w:rsidRPr="00013F71">
        <w:rPr>
          <w:bCs/>
          <w:sz w:val="24"/>
          <w:szCs w:val="24"/>
        </w:rPr>
        <w:t xml:space="preserve">nfortunately for Wyoming, </w:t>
      </w:r>
      <w:r w:rsidR="00794EAC" w:rsidRPr="00013F71">
        <w:rPr>
          <w:bCs/>
          <w:sz w:val="24"/>
          <w:szCs w:val="24"/>
        </w:rPr>
        <w:t>changing</w:t>
      </w:r>
      <w:r w:rsidR="00EC013A" w:rsidRPr="00013F71">
        <w:rPr>
          <w:bCs/>
          <w:sz w:val="24"/>
          <w:szCs w:val="24"/>
        </w:rPr>
        <w:t xml:space="preserve"> </w:t>
      </w:r>
      <w:r w:rsidR="001475B8">
        <w:rPr>
          <w:bCs/>
          <w:sz w:val="24"/>
          <w:szCs w:val="24"/>
        </w:rPr>
        <w:t xml:space="preserve">natural gas </w:t>
      </w:r>
      <w:r w:rsidR="00EC013A" w:rsidRPr="00013F71">
        <w:rPr>
          <w:bCs/>
          <w:sz w:val="24"/>
          <w:szCs w:val="24"/>
        </w:rPr>
        <w:t xml:space="preserve">prices coupled with variable demand keeps the legislature on pins and needles. </w:t>
      </w:r>
    </w:p>
    <w:p w14:paraId="7D374565" w14:textId="77777777" w:rsidR="00A35E34" w:rsidRPr="00013F71" w:rsidRDefault="00A35E34" w:rsidP="00B61B65">
      <w:pPr>
        <w:ind w:firstLine="720"/>
        <w:rPr>
          <w:sz w:val="24"/>
          <w:szCs w:val="24"/>
        </w:rPr>
      </w:pPr>
    </w:p>
    <w:p w14:paraId="4F22E04A" w14:textId="01148834" w:rsidR="00E723B3" w:rsidRPr="00013F71" w:rsidRDefault="00E723B3" w:rsidP="00B61B65">
      <w:pPr>
        <w:ind w:firstLine="720"/>
        <w:rPr>
          <w:b/>
          <w:sz w:val="24"/>
          <w:szCs w:val="24"/>
        </w:rPr>
      </w:pPr>
      <w:r w:rsidRPr="00013F71">
        <w:rPr>
          <w:b/>
          <w:sz w:val="24"/>
          <w:szCs w:val="24"/>
        </w:rPr>
        <w:t>Oil</w:t>
      </w:r>
    </w:p>
    <w:p w14:paraId="5AB73F61" w14:textId="69CFEE80" w:rsidR="005A05C8" w:rsidRPr="00013F71" w:rsidRDefault="00E723B3" w:rsidP="00B61B65">
      <w:pPr>
        <w:ind w:firstLine="720"/>
        <w:rPr>
          <w:sz w:val="24"/>
          <w:szCs w:val="24"/>
        </w:rPr>
      </w:pPr>
      <w:r w:rsidRPr="00013F71">
        <w:rPr>
          <w:sz w:val="24"/>
          <w:szCs w:val="24"/>
        </w:rPr>
        <w:t xml:space="preserve">Crude oil is the second largest contributor to the state’s mineral taxes, accounting for 32.5% of the total severance tax distribution in 2015.  </w:t>
      </w:r>
      <w:r w:rsidR="00CF0E69" w:rsidRPr="00013F71">
        <w:rPr>
          <w:sz w:val="24"/>
          <w:szCs w:val="24"/>
        </w:rPr>
        <w:t xml:space="preserve">Oil production increased in 2014 nearly 20% and increased again in the first half of 2015 by </w:t>
      </w:r>
      <w:r w:rsidR="001475B8">
        <w:rPr>
          <w:sz w:val="24"/>
          <w:szCs w:val="24"/>
        </w:rPr>
        <w:t xml:space="preserve">another </w:t>
      </w:r>
      <w:r w:rsidR="00CF0E69" w:rsidRPr="00013F71">
        <w:rPr>
          <w:sz w:val="24"/>
          <w:szCs w:val="24"/>
        </w:rPr>
        <w:t xml:space="preserve">19%.  </w:t>
      </w:r>
      <w:r w:rsidR="005A05C8" w:rsidRPr="00013F71">
        <w:rPr>
          <w:sz w:val="24"/>
          <w:szCs w:val="24"/>
        </w:rPr>
        <w:t xml:space="preserve">Although CREG reduced the projected price of oil, Wyoming oil production to date has been stronger than levels projected in October </w:t>
      </w:r>
      <w:r w:rsidR="001475B8">
        <w:rPr>
          <w:sz w:val="24"/>
          <w:szCs w:val="24"/>
        </w:rPr>
        <w:t xml:space="preserve">2015 </w:t>
      </w:r>
      <w:r w:rsidR="005A05C8" w:rsidRPr="00013F71">
        <w:rPr>
          <w:sz w:val="24"/>
          <w:szCs w:val="24"/>
        </w:rPr>
        <w:t>(CREG</w:t>
      </w:r>
      <w:r w:rsidR="00CB21F3" w:rsidRPr="00013F71">
        <w:rPr>
          <w:sz w:val="24"/>
          <w:szCs w:val="24"/>
        </w:rPr>
        <w:t>, January 2016</w:t>
      </w:r>
      <w:r w:rsidR="005A05C8" w:rsidRPr="00013F71">
        <w:rPr>
          <w:sz w:val="24"/>
          <w:szCs w:val="24"/>
        </w:rPr>
        <w:t>, 3).</w:t>
      </w:r>
      <w:r w:rsidR="00CF0E69" w:rsidRPr="00013F71">
        <w:rPr>
          <w:sz w:val="24"/>
          <w:szCs w:val="24"/>
        </w:rPr>
        <w:t xml:space="preserve">   Further, oil rigs in the state have declined from a high of 36 in September 2014 to 11 in September 2015.  </w:t>
      </w:r>
      <w:r w:rsidR="00A97682" w:rsidRPr="00013F71">
        <w:rPr>
          <w:sz w:val="24"/>
          <w:szCs w:val="24"/>
        </w:rPr>
        <w:t>Wyoming monthly oil production peaked in March 2015 (250,000 barrels/day).  Important for Wyoming oil development, prices for Wyoming crude are between $7 and $10 lower than West Texas Intermediate prices.  Regardless, production rates are expected to decline in 2016 by 14.5%, and another decline of 6% in 2017, and yet another 3% in 2018 (CREG, October 2015).</w:t>
      </w:r>
    </w:p>
    <w:p w14:paraId="430753F0" w14:textId="77777777" w:rsidR="005A05C8" w:rsidRPr="00013F71" w:rsidRDefault="005A05C8" w:rsidP="00B61B65">
      <w:pPr>
        <w:ind w:firstLine="720"/>
        <w:rPr>
          <w:sz w:val="24"/>
          <w:szCs w:val="24"/>
        </w:rPr>
      </w:pPr>
    </w:p>
    <w:p w14:paraId="43B59CB9" w14:textId="1F1CAFA6" w:rsidR="00E723B3" w:rsidRPr="00013F71" w:rsidRDefault="00E723B3" w:rsidP="00B61B65">
      <w:pPr>
        <w:ind w:firstLine="720"/>
        <w:rPr>
          <w:b/>
          <w:sz w:val="24"/>
          <w:szCs w:val="24"/>
        </w:rPr>
      </w:pPr>
      <w:r w:rsidRPr="00013F71">
        <w:rPr>
          <w:b/>
          <w:sz w:val="24"/>
          <w:szCs w:val="24"/>
        </w:rPr>
        <w:t>Coal</w:t>
      </w:r>
    </w:p>
    <w:p w14:paraId="4C6E2522" w14:textId="68E56050" w:rsidR="006E5BEC" w:rsidRPr="00013F71" w:rsidRDefault="00C26571" w:rsidP="00396A28">
      <w:pPr>
        <w:ind w:firstLine="720"/>
        <w:rPr>
          <w:color w:val="000000" w:themeColor="text1"/>
          <w:sz w:val="24"/>
          <w:szCs w:val="24"/>
        </w:rPr>
      </w:pPr>
      <w:r w:rsidRPr="00013F71">
        <w:rPr>
          <w:color w:val="000000" w:themeColor="text1"/>
          <w:sz w:val="24"/>
          <w:szCs w:val="24"/>
        </w:rPr>
        <w:t xml:space="preserve">After seeing its production decline in 2009 for the first time in a decade, Wyoming’s coal industry bounced back </w:t>
      </w:r>
      <w:r w:rsidR="00CB206C" w:rsidRPr="00013F71">
        <w:rPr>
          <w:color w:val="000000" w:themeColor="text1"/>
          <w:sz w:val="24"/>
          <w:szCs w:val="24"/>
        </w:rPr>
        <w:t>starting in</w:t>
      </w:r>
      <w:r w:rsidR="00416B5F" w:rsidRPr="00013F71">
        <w:rPr>
          <w:color w:val="000000" w:themeColor="text1"/>
          <w:sz w:val="24"/>
          <w:szCs w:val="24"/>
        </w:rPr>
        <w:t xml:space="preserve"> 2010 and 2011</w:t>
      </w:r>
      <w:r w:rsidRPr="00013F71">
        <w:rPr>
          <w:color w:val="000000" w:themeColor="text1"/>
          <w:sz w:val="24"/>
          <w:szCs w:val="24"/>
        </w:rPr>
        <w:t xml:space="preserve"> as prices and demand regained strength along with the national economy.  </w:t>
      </w:r>
      <w:r w:rsidR="00CB206C" w:rsidRPr="00013F71">
        <w:rPr>
          <w:color w:val="000000" w:themeColor="text1"/>
          <w:sz w:val="24"/>
          <w:szCs w:val="24"/>
        </w:rPr>
        <w:t xml:space="preserve">Since then, </w:t>
      </w:r>
      <w:r w:rsidR="00D61DDF" w:rsidRPr="00013F71">
        <w:rPr>
          <w:color w:val="000000" w:themeColor="text1"/>
          <w:sz w:val="24"/>
          <w:szCs w:val="24"/>
        </w:rPr>
        <w:t xml:space="preserve">Wyoming coal production </w:t>
      </w:r>
      <w:r w:rsidR="00CB206C" w:rsidRPr="00013F71">
        <w:rPr>
          <w:color w:val="000000" w:themeColor="text1"/>
          <w:sz w:val="24"/>
          <w:szCs w:val="24"/>
        </w:rPr>
        <w:t>has remained relatively steady</w:t>
      </w:r>
      <w:r w:rsidR="00396A28" w:rsidRPr="00013F71">
        <w:rPr>
          <w:color w:val="000000" w:themeColor="text1"/>
          <w:sz w:val="24"/>
          <w:szCs w:val="24"/>
        </w:rPr>
        <w:t xml:space="preserve"> over the last few years with 2015 production levels near 375 M tons </w:t>
      </w:r>
      <w:r w:rsidR="001475B8">
        <w:rPr>
          <w:color w:val="000000" w:themeColor="text1"/>
          <w:sz w:val="24"/>
          <w:szCs w:val="24"/>
        </w:rPr>
        <w:t xml:space="preserve">and </w:t>
      </w:r>
      <w:r w:rsidR="00396A28" w:rsidRPr="00013F71">
        <w:rPr>
          <w:color w:val="000000" w:themeColor="text1"/>
          <w:sz w:val="24"/>
          <w:szCs w:val="24"/>
        </w:rPr>
        <w:t>with prices expected to also stabilize near $13.50/ton in 2015 and beyond.  This predictability in both price and production is being attributed to the idea that as natural gas prices begin to climb, power generation plants will switch back to coal from natural gas</w:t>
      </w:r>
      <w:r w:rsidR="00B83F49" w:rsidRPr="00013F71">
        <w:rPr>
          <w:color w:val="000000" w:themeColor="text1"/>
          <w:sz w:val="24"/>
          <w:szCs w:val="24"/>
        </w:rPr>
        <w:t xml:space="preserve"> (see Table 1)</w:t>
      </w:r>
      <w:r w:rsidR="00F10F4C">
        <w:rPr>
          <w:color w:val="000000" w:themeColor="text1"/>
          <w:sz w:val="24"/>
          <w:szCs w:val="24"/>
        </w:rPr>
        <w:t xml:space="preserve">.  The expectation is that coal will remain the largest contributor of mineral severance taxes to the Wyoming budget throughout the next decade (see </w:t>
      </w:r>
      <w:r w:rsidR="006E7F92">
        <w:rPr>
          <w:color w:val="000000" w:themeColor="text1"/>
          <w:sz w:val="24"/>
          <w:szCs w:val="24"/>
        </w:rPr>
        <w:t xml:space="preserve">Appendix </w:t>
      </w:r>
      <w:r w:rsidR="00F10F4C">
        <w:rPr>
          <w:color w:val="000000" w:themeColor="text1"/>
          <w:sz w:val="24"/>
          <w:szCs w:val="24"/>
        </w:rPr>
        <w:t xml:space="preserve">Table </w:t>
      </w:r>
      <w:r w:rsidR="006E7F92">
        <w:rPr>
          <w:color w:val="000000" w:themeColor="text1"/>
          <w:sz w:val="24"/>
          <w:szCs w:val="24"/>
        </w:rPr>
        <w:t>2)</w:t>
      </w:r>
      <w:r w:rsidR="00F10F4C">
        <w:rPr>
          <w:color w:val="000000" w:themeColor="text1"/>
          <w:sz w:val="24"/>
          <w:szCs w:val="24"/>
        </w:rPr>
        <w:t>.</w:t>
      </w:r>
    </w:p>
    <w:p w14:paraId="3893637E" w14:textId="77777777" w:rsidR="006E5BEC" w:rsidRPr="00013F71" w:rsidRDefault="006E5BEC" w:rsidP="00B61B65">
      <w:pPr>
        <w:ind w:firstLine="720"/>
        <w:rPr>
          <w:color w:val="000000" w:themeColor="text1"/>
          <w:sz w:val="24"/>
          <w:szCs w:val="24"/>
        </w:rPr>
      </w:pPr>
    </w:p>
    <w:p w14:paraId="585FF830" w14:textId="34CB9A6B" w:rsidR="00396A28" w:rsidRPr="00013F71" w:rsidRDefault="00396A28" w:rsidP="00B61B65">
      <w:pPr>
        <w:ind w:firstLine="720"/>
        <w:rPr>
          <w:b/>
          <w:color w:val="000000" w:themeColor="text1"/>
          <w:sz w:val="24"/>
          <w:szCs w:val="24"/>
        </w:rPr>
      </w:pPr>
      <w:proofErr w:type="spellStart"/>
      <w:r w:rsidRPr="00013F71">
        <w:rPr>
          <w:b/>
          <w:color w:val="000000" w:themeColor="text1"/>
          <w:sz w:val="24"/>
          <w:szCs w:val="24"/>
        </w:rPr>
        <w:t>Trona</w:t>
      </w:r>
      <w:proofErr w:type="spellEnd"/>
    </w:p>
    <w:p w14:paraId="095C9FF5" w14:textId="169B24EF" w:rsidR="00185F84" w:rsidRPr="00013F71" w:rsidRDefault="00EF6566" w:rsidP="00B61B65">
      <w:pPr>
        <w:ind w:firstLine="720"/>
        <w:rPr>
          <w:color w:val="000000" w:themeColor="text1"/>
          <w:sz w:val="24"/>
          <w:szCs w:val="24"/>
        </w:rPr>
      </w:pPr>
      <w:r w:rsidRPr="00013F71">
        <w:rPr>
          <w:color w:val="000000" w:themeColor="text1"/>
          <w:sz w:val="24"/>
          <w:szCs w:val="24"/>
        </w:rPr>
        <w:t xml:space="preserve">Little known, Wyoming has the largest deposit of </w:t>
      </w:r>
      <w:proofErr w:type="spellStart"/>
      <w:r w:rsidRPr="00013F71">
        <w:rPr>
          <w:color w:val="000000" w:themeColor="text1"/>
          <w:sz w:val="24"/>
          <w:szCs w:val="24"/>
        </w:rPr>
        <w:t>trona</w:t>
      </w:r>
      <w:proofErr w:type="spellEnd"/>
      <w:r w:rsidRPr="00013F71">
        <w:rPr>
          <w:color w:val="000000" w:themeColor="text1"/>
          <w:sz w:val="24"/>
          <w:szCs w:val="24"/>
        </w:rPr>
        <w:t xml:space="preserve"> in</w:t>
      </w:r>
      <w:r w:rsidR="00E61097" w:rsidRPr="00013F71">
        <w:rPr>
          <w:color w:val="000000" w:themeColor="text1"/>
          <w:sz w:val="24"/>
          <w:szCs w:val="24"/>
        </w:rPr>
        <w:t xml:space="preserve"> the world (</w:t>
      </w:r>
      <w:proofErr w:type="spellStart"/>
      <w:r w:rsidR="00E61097" w:rsidRPr="00013F71">
        <w:rPr>
          <w:color w:val="000000" w:themeColor="text1"/>
          <w:sz w:val="24"/>
          <w:szCs w:val="24"/>
        </w:rPr>
        <w:t>trona</w:t>
      </w:r>
      <w:proofErr w:type="spellEnd"/>
      <w:r w:rsidR="00E61097" w:rsidRPr="00013F71">
        <w:rPr>
          <w:color w:val="000000" w:themeColor="text1"/>
          <w:sz w:val="24"/>
          <w:szCs w:val="24"/>
        </w:rPr>
        <w:t xml:space="preserve"> is a compound</w:t>
      </w:r>
      <w:r w:rsidRPr="00013F71">
        <w:rPr>
          <w:color w:val="000000" w:themeColor="text1"/>
          <w:sz w:val="24"/>
          <w:szCs w:val="24"/>
        </w:rPr>
        <w:t xml:space="preserve"> processed into soda ash or baking soda).  Making up approximately 2.4% of the state’s severance taxes, </w:t>
      </w:r>
      <w:proofErr w:type="spellStart"/>
      <w:r w:rsidRPr="00013F71">
        <w:rPr>
          <w:color w:val="000000" w:themeColor="text1"/>
          <w:sz w:val="24"/>
          <w:szCs w:val="24"/>
        </w:rPr>
        <w:t>trona</w:t>
      </w:r>
      <w:proofErr w:type="spellEnd"/>
      <w:r w:rsidRPr="00013F71">
        <w:rPr>
          <w:color w:val="000000" w:themeColor="text1"/>
          <w:sz w:val="24"/>
          <w:szCs w:val="24"/>
        </w:rPr>
        <w:t xml:space="preserve"> production levels are </w:t>
      </w:r>
      <w:r w:rsidR="00B61B65" w:rsidRPr="00013F71">
        <w:rPr>
          <w:color w:val="000000" w:themeColor="text1"/>
          <w:sz w:val="24"/>
          <w:szCs w:val="24"/>
        </w:rPr>
        <w:t xml:space="preserve">expected to </w:t>
      </w:r>
      <w:r w:rsidR="00416B5F" w:rsidRPr="00013F71">
        <w:rPr>
          <w:color w:val="000000" w:themeColor="text1"/>
          <w:sz w:val="24"/>
          <w:szCs w:val="24"/>
        </w:rPr>
        <w:t xml:space="preserve">be relatively stable </w:t>
      </w:r>
      <w:r w:rsidR="005121AE" w:rsidRPr="00013F71">
        <w:rPr>
          <w:color w:val="000000" w:themeColor="text1"/>
          <w:sz w:val="24"/>
          <w:szCs w:val="24"/>
        </w:rPr>
        <w:t xml:space="preserve">for at least </w:t>
      </w:r>
      <w:r w:rsidRPr="00013F71">
        <w:rPr>
          <w:color w:val="000000" w:themeColor="text1"/>
          <w:sz w:val="24"/>
          <w:szCs w:val="24"/>
        </w:rPr>
        <w:t>four more</w:t>
      </w:r>
      <w:r w:rsidR="00B61B65" w:rsidRPr="00013F71">
        <w:rPr>
          <w:color w:val="000000" w:themeColor="text1"/>
          <w:sz w:val="24"/>
          <w:szCs w:val="24"/>
        </w:rPr>
        <w:t xml:space="preserve"> years. </w:t>
      </w:r>
      <w:r w:rsidR="008932AA" w:rsidRPr="00013F71">
        <w:rPr>
          <w:color w:val="000000" w:themeColor="text1"/>
          <w:sz w:val="24"/>
          <w:szCs w:val="24"/>
        </w:rPr>
        <w:t xml:space="preserve">Prices are expected to </w:t>
      </w:r>
      <w:r w:rsidR="005121AE" w:rsidRPr="00013F71">
        <w:rPr>
          <w:color w:val="000000" w:themeColor="text1"/>
          <w:sz w:val="24"/>
          <w:szCs w:val="24"/>
        </w:rPr>
        <w:t>stabilize at $75</w:t>
      </w:r>
      <w:r w:rsidR="001463E1" w:rsidRPr="00013F71">
        <w:rPr>
          <w:color w:val="000000" w:themeColor="text1"/>
          <w:sz w:val="24"/>
          <w:szCs w:val="24"/>
        </w:rPr>
        <w:t xml:space="preserve"> per ton </w:t>
      </w:r>
      <w:r w:rsidR="00416B5F" w:rsidRPr="00013F71">
        <w:rPr>
          <w:color w:val="000000" w:themeColor="text1"/>
          <w:sz w:val="24"/>
          <w:szCs w:val="24"/>
        </w:rPr>
        <w:t xml:space="preserve">generating </w:t>
      </w:r>
      <w:r w:rsidR="00E61097" w:rsidRPr="00013F71">
        <w:rPr>
          <w:color w:val="000000" w:themeColor="text1"/>
          <w:sz w:val="24"/>
          <w:szCs w:val="24"/>
        </w:rPr>
        <w:t xml:space="preserve">a smaller portion, but yet </w:t>
      </w:r>
      <w:r w:rsidR="00416B5F" w:rsidRPr="00013F71">
        <w:rPr>
          <w:color w:val="000000" w:themeColor="text1"/>
          <w:sz w:val="24"/>
          <w:szCs w:val="24"/>
        </w:rPr>
        <w:t>much needed</w:t>
      </w:r>
      <w:r w:rsidR="00DA3F38" w:rsidRPr="00013F71">
        <w:rPr>
          <w:color w:val="000000" w:themeColor="text1"/>
          <w:sz w:val="24"/>
          <w:szCs w:val="24"/>
        </w:rPr>
        <w:t xml:space="preserve"> </w:t>
      </w:r>
      <w:r w:rsidR="00E61097" w:rsidRPr="00013F71">
        <w:rPr>
          <w:color w:val="000000" w:themeColor="text1"/>
          <w:sz w:val="24"/>
          <w:szCs w:val="24"/>
        </w:rPr>
        <w:t xml:space="preserve">severance </w:t>
      </w:r>
      <w:r w:rsidR="00DA3F38" w:rsidRPr="00013F71">
        <w:rPr>
          <w:color w:val="000000" w:themeColor="text1"/>
          <w:sz w:val="24"/>
          <w:szCs w:val="24"/>
        </w:rPr>
        <w:t>tax</w:t>
      </w:r>
      <w:r w:rsidR="00416B5F" w:rsidRPr="00013F71">
        <w:rPr>
          <w:color w:val="000000" w:themeColor="text1"/>
          <w:sz w:val="24"/>
          <w:szCs w:val="24"/>
        </w:rPr>
        <w:t xml:space="preserve"> revenu</w:t>
      </w:r>
      <w:r w:rsidR="005121AE" w:rsidRPr="00013F71">
        <w:rPr>
          <w:color w:val="000000" w:themeColor="text1"/>
          <w:sz w:val="24"/>
          <w:szCs w:val="24"/>
        </w:rPr>
        <w:t>e (</w:t>
      </w:r>
      <w:r w:rsidR="00F85746" w:rsidRPr="00013F71">
        <w:rPr>
          <w:color w:val="000000" w:themeColor="text1"/>
          <w:sz w:val="24"/>
          <w:szCs w:val="24"/>
        </w:rPr>
        <w:t>CREG</w:t>
      </w:r>
      <w:r w:rsidR="005121AE" w:rsidRPr="00013F71">
        <w:rPr>
          <w:color w:val="000000" w:themeColor="text1"/>
          <w:sz w:val="24"/>
          <w:szCs w:val="24"/>
        </w:rPr>
        <w:t xml:space="preserve"> January 2015</w:t>
      </w:r>
      <w:r w:rsidR="00416B5F" w:rsidRPr="00013F71">
        <w:rPr>
          <w:color w:val="000000" w:themeColor="text1"/>
          <w:sz w:val="24"/>
          <w:szCs w:val="24"/>
        </w:rPr>
        <w:t>)</w:t>
      </w:r>
      <w:r w:rsidR="0016571A" w:rsidRPr="00013F71">
        <w:rPr>
          <w:color w:val="000000" w:themeColor="text1"/>
          <w:sz w:val="24"/>
          <w:szCs w:val="24"/>
        </w:rPr>
        <w:t xml:space="preserve"> (see also Table 1 for mineral production estimates)</w:t>
      </w:r>
      <w:r w:rsidR="008932AA" w:rsidRPr="00013F71">
        <w:rPr>
          <w:color w:val="000000" w:themeColor="text1"/>
          <w:sz w:val="24"/>
          <w:szCs w:val="24"/>
        </w:rPr>
        <w:t xml:space="preserve">. </w:t>
      </w:r>
    </w:p>
    <w:p w14:paraId="417142E9" w14:textId="77777777" w:rsidR="00185F84" w:rsidRPr="00013F71" w:rsidRDefault="00185F84" w:rsidP="00B61B65">
      <w:pPr>
        <w:ind w:firstLine="720"/>
        <w:rPr>
          <w:color w:val="000000" w:themeColor="text1"/>
          <w:sz w:val="24"/>
          <w:szCs w:val="24"/>
        </w:rPr>
      </w:pPr>
    </w:p>
    <w:p w14:paraId="76F3483A" w14:textId="77777777" w:rsidR="005E02ED" w:rsidRDefault="005E02ED" w:rsidP="00185F84">
      <w:pPr>
        <w:ind w:firstLine="720"/>
        <w:jc w:val="center"/>
        <w:rPr>
          <w:b/>
          <w:sz w:val="24"/>
          <w:szCs w:val="24"/>
        </w:rPr>
      </w:pPr>
    </w:p>
    <w:p w14:paraId="3120B45F" w14:textId="77777777" w:rsidR="00C26571" w:rsidRPr="00013F71" w:rsidRDefault="00A76C34" w:rsidP="00185F84">
      <w:pPr>
        <w:ind w:firstLine="720"/>
        <w:jc w:val="center"/>
        <w:rPr>
          <w:b/>
          <w:sz w:val="24"/>
          <w:szCs w:val="24"/>
        </w:rPr>
      </w:pPr>
      <w:r w:rsidRPr="00013F71">
        <w:rPr>
          <w:b/>
          <w:sz w:val="24"/>
          <w:szCs w:val="24"/>
        </w:rPr>
        <w:t>Table 1</w:t>
      </w:r>
    </w:p>
    <w:p w14:paraId="4EB45E2D" w14:textId="77777777" w:rsidR="00185F84" w:rsidRPr="00013F71" w:rsidRDefault="00185F84" w:rsidP="00185F84">
      <w:pPr>
        <w:ind w:firstLine="720"/>
        <w:jc w:val="center"/>
        <w:rPr>
          <w:sz w:val="24"/>
          <w:szCs w:val="24"/>
        </w:rPr>
      </w:pPr>
      <w:r w:rsidRPr="00013F71">
        <w:rPr>
          <w:b/>
          <w:sz w:val="24"/>
          <w:szCs w:val="24"/>
        </w:rPr>
        <w:t xml:space="preserve">Price and Production Level </w:t>
      </w:r>
      <w:r w:rsidR="00A76C34" w:rsidRPr="00013F71">
        <w:rPr>
          <w:b/>
          <w:sz w:val="24"/>
          <w:szCs w:val="24"/>
        </w:rPr>
        <w:t xml:space="preserve">Assumptions </w:t>
      </w:r>
      <w:r w:rsidRPr="00013F71">
        <w:rPr>
          <w:b/>
          <w:sz w:val="24"/>
          <w:szCs w:val="24"/>
        </w:rPr>
        <w:t>for Major Mineral Commodities</w:t>
      </w:r>
    </w:p>
    <w:p w14:paraId="788DD0FE" w14:textId="77777777" w:rsidR="00185F84" w:rsidRPr="00013F71" w:rsidRDefault="00185F84" w:rsidP="00185F84">
      <w:pPr>
        <w:ind w:firstLine="720"/>
        <w:jc w:val="center"/>
        <w:rPr>
          <w:sz w:val="24"/>
          <w:szCs w:val="24"/>
        </w:rPr>
      </w:pPr>
    </w:p>
    <w:p w14:paraId="739788A5" w14:textId="77777777" w:rsidR="008D19BF" w:rsidRPr="00013F71" w:rsidRDefault="00185F84" w:rsidP="00B61B65">
      <w:pPr>
        <w:ind w:firstLine="720"/>
        <w:rPr>
          <w:sz w:val="24"/>
          <w:szCs w:val="24"/>
        </w:rPr>
      </w:pPr>
      <w:r w:rsidRPr="00013F71">
        <w:rPr>
          <w:sz w:val="24"/>
          <w:szCs w:val="24"/>
          <w:u w:val="single"/>
        </w:rPr>
        <w:t>Crude Oil</w:t>
      </w:r>
      <w:r w:rsidRPr="00013F71">
        <w:rPr>
          <w:sz w:val="24"/>
          <w:szCs w:val="24"/>
        </w:rPr>
        <w:tab/>
      </w:r>
      <w:r w:rsidRPr="00013F71">
        <w:rPr>
          <w:sz w:val="24"/>
          <w:szCs w:val="24"/>
        </w:rPr>
        <w:tab/>
      </w:r>
      <w:r w:rsidRPr="00013F71">
        <w:rPr>
          <w:sz w:val="24"/>
          <w:szCs w:val="24"/>
          <w:u w:val="single"/>
        </w:rPr>
        <w:t>Natural Gas</w:t>
      </w:r>
      <w:r w:rsidRPr="00013F71">
        <w:rPr>
          <w:sz w:val="24"/>
          <w:szCs w:val="24"/>
        </w:rPr>
        <w:tab/>
      </w:r>
      <w:r w:rsidRPr="00013F71">
        <w:rPr>
          <w:sz w:val="24"/>
          <w:szCs w:val="24"/>
        </w:rPr>
        <w:tab/>
      </w:r>
      <w:r w:rsidRPr="00013F71">
        <w:rPr>
          <w:sz w:val="24"/>
          <w:szCs w:val="24"/>
        </w:rPr>
        <w:tab/>
      </w:r>
      <w:r w:rsidRPr="00013F71">
        <w:rPr>
          <w:sz w:val="24"/>
          <w:szCs w:val="24"/>
          <w:u w:val="single"/>
        </w:rPr>
        <w:t>Coal</w:t>
      </w:r>
      <w:r w:rsidRPr="00013F71">
        <w:rPr>
          <w:sz w:val="24"/>
          <w:szCs w:val="24"/>
        </w:rPr>
        <w:tab/>
      </w:r>
      <w:r w:rsidRPr="00013F71">
        <w:rPr>
          <w:sz w:val="24"/>
          <w:szCs w:val="24"/>
        </w:rPr>
        <w:tab/>
      </w:r>
      <w:r w:rsidRPr="00013F71">
        <w:rPr>
          <w:sz w:val="24"/>
          <w:szCs w:val="24"/>
        </w:rPr>
        <w:tab/>
      </w:r>
      <w:proofErr w:type="spellStart"/>
      <w:r w:rsidRPr="00013F71">
        <w:rPr>
          <w:sz w:val="24"/>
          <w:szCs w:val="24"/>
          <w:u w:val="single"/>
        </w:rPr>
        <w:t>Trona</w:t>
      </w:r>
      <w:proofErr w:type="spellEnd"/>
    </w:p>
    <w:p w14:paraId="17622332" w14:textId="77777777" w:rsidR="00185F84" w:rsidRPr="00013F71" w:rsidRDefault="00185F84" w:rsidP="00B61B65">
      <w:pPr>
        <w:ind w:firstLine="720"/>
        <w:rPr>
          <w:sz w:val="24"/>
          <w:szCs w:val="24"/>
        </w:rPr>
      </w:pPr>
    </w:p>
    <w:tbl>
      <w:tblPr>
        <w:tblStyle w:val="TableGrid"/>
        <w:tblW w:w="9378" w:type="dxa"/>
        <w:tblLook w:val="04A0" w:firstRow="1" w:lastRow="0" w:firstColumn="1" w:lastColumn="0" w:noHBand="0" w:noVBand="1"/>
      </w:tblPr>
      <w:tblGrid>
        <w:gridCol w:w="738"/>
        <w:gridCol w:w="802"/>
        <w:gridCol w:w="1286"/>
        <w:gridCol w:w="812"/>
        <w:gridCol w:w="1438"/>
        <w:gridCol w:w="768"/>
        <w:gridCol w:w="1284"/>
        <w:gridCol w:w="810"/>
        <w:gridCol w:w="1440"/>
      </w:tblGrid>
      <w:tr w:rsidR="00B83F49" w:rsidRPr="00013F71" w14:paraId="1B04E53A" w14:textId="77777777" w:rsidTr="00B83F49">
        <w:tc>
          <w:tcPr>
            <w:tcW w:w="738" w:type="dxa"/>
          </w:tcPr>
          <w:p w14:paraId="2AECF561" w14:textId="77777777" w:rsidR="008D19BF" w:rsidRPr="00013F71" w:rsidRDefault="008D19BF" w:rsidP="00B61B65">
            <w:pPr>
              <w:rPr>
                <w:color w:val="000000" w:themeColor="text1"/>
                <w:sz w:val="24"/>
                <w:szCs w:val="24"/>
              </w:rPr>
            </w:pPr>
            <w:r w:rsidRPr="00013F71">
              <w:rPr>
                <w:color w:val="000000" w:themeColor="text1"/>
                <w:sz w:val="24"/>
                <w:szCs w:val="24"/>
              </w:rPr>
              <w:t>Year</w:t>
            </w:r>
          </w:p>
        </w:tc>
        <w:tc>
          <w:tcPr>
            <w:tcW w:w="802" w:type="dxa"/>
          </w:tcPr>
          <w:p w14:paraId="5F8E5743" w14:textId="77777777" w:rsidR="008D19BF" w:rsidRPr="00013F71" w:rsidRDefault="008D19BF" w:rsidP="00B61B65">
            <w:pPr>
              <w:rPr>
                <w:color w:val="000000" w:themeColor="text1"/>
                <w:sz w:val="24"/>
                <w:szCs w:val="24"/>
              </w:rPr>
            </w:pPr>
            <w:r w:rsidRPr="00013F71">
              <w:rPr>
                <w:color w:val="000000" w:themeColor="text1"/>
                <w:sz w:val="24"/>
                <w:szCs w:val="24"/>
              </w:rPr>
              <w:t xml:space="preserve">Price </w:t>
            </w:r>
          </w:p>
        </w:tc>
        <w:tc>
          <w:tcPr>
            <w:tcW w:w="1286" w:type="dxa"/>
          </w:tcPr>
          <w:p w14:paraId="72B69B0D" w14:textId="77777777" w:rsidR="008D19BF" w:rsidRPr="00013F71" w:rsidRDefault="008D19BF" w:rsidP="00B61B65">
            <w:pPr>
              <w:rPr>
                <w:color w:val="000000" w:themeColor="text1"/>
                <w:sz w:val="24"/>
                <w:szCs w:val="24"/>
              </w:rPr>
            </w:pPr>
            <w:r w:rsidRPr="00013F71">
              <w:rPr>
                <w:color w:val="000000" w:themeColor="text1"/>
                <w:sz w:val="24"/>
                <w:szCs w:val="24"/>
              </w:rPr>
              <w:t>Production</w:t>
            </w:r>
          </w:p>
        </w:tc>
        <w:tc>
          <w:tcPr>
            <w:tcW w:w="812" w:type="dxa"/>
          </w:tcPr>
          <w:p w14:paraId="62672946" w14:textId="77777777" w:rsidR="008D19BF" w:rsidRPr="00013F71" w:rsidRDefault="008D19BF" w:rsidP="00B61B65">
            <w:pPr>
              <w:rPr>
                <w:color w:val="000000" w:themeColor="text1"/>
                <w:sz w:val="24"/>
                <w:szCs w:val="24"/>
              </w:rPr>
            </w:pPr>
            <w:r w:rsidRPr="00013F71">
              <w:rPr>
                <w:color w:val="000000" w:themeColor="text1"/>
                <w:sz w:val="24"/>
                <w:szCs w:val="24"/>
              </w:rPr>
              <w:t>Price</w:t>
            </w:r>
          </w:p>
        </w:tc>
        <w:tc>
          <w:tcPr>
            <w:tcW w:w="1438" w:type="dxa"/>
          </w:tcPr>
          <w:p w14:paraId="2AA73D78" w14:textId="77777777" w:rsidR="008D19BF" w:rsidRPr="00013F71" w:rsidRDefault="008D19BF" w:rsidP="00B61B65">
            <w:pPr>
              <w:rPr>
                <w:color w:val="000000" w:themeColor="text1"/>
                <w:sz w:val="24"/>
                <w:szCs w:val="24"/>
              </w:rPr>
            </w:pPr>
            <w:r w:rsidRPr="00013F71">
              <w:rPr>
                <w:color w:val="000000" w:themeColor="text1"/>
                <w:sz w:val="24"/>
                <w:szCs w:val="24"/>
              </w:rPr>
              <w:t>Production</w:t>
            </w:r>
          </w:p>
        </w:tc>
        <w:tc>
          <w:tcPr>
            <w:tcW w:w="768" w:type="dxa"/>
          </w:tcPr>
          <w:p w14:paraId="6CEDF2AB" w14:textId="77777777" w:rsidR="008D19BF" w:rsidRPr="00013F71" w:rsidRDefault="008D19BF" w:rsidP="00B61B65">
            <w:pPr>
              <w:rPr>
                <w:color w:val="000000" w:themeColor="text1"/>
                <w:sz w:val="24"/>
                <w:szCs w:val="24"/>
              </w:rPr>
            </w:pPr>
            <w:r w:rsidRPr="00013F71">
              <w:rPr>
                <w:color w:val="000000" w:themeColor="text1"/>
                <w:sz w:val="24"/>
                <w:szCs w:val="24"/>
              </w:rPr>
              <w:t>Price</w:t>
            </w:r>
          </w:p>
        </w:tc>
        <w:tc>
          <w:tcPr>
            <w:tcW w:w="1284" w:type="dxa"/>
          </w:tcPr>
          <w:p w14:paraId="7F836E4C" w14:textId="77777777" w:rsidR="008D19BF" w:rsidRPr="00013F71" w:rsidRDefault="008D19BF" w:rsidP="00B61B65">
            <w:pPr>
              <w:rPr>
                <w:color w:val="000000" w:themeColor="text1"/>
                <w:sz w:val="24"/>
                <w:szCs w:val="24"/>
              </w:rPr>
            </w:pPr>
            <w:r w:rsidRPr="00013F71">
              <w:rPr>
                <w:color w:val="000000" w:themeColor="text1"/>
                <w:sz w:val="24"/>
                <w:szCs w:val="24"/>
              </w:rPr>
              <w:t>Production</w:t>
            </w:r>
          </w:p>
        </w:tc>
        <w:tc>
          <w:tcPr>
            <w:tcW w:w="810" w:type="dxa"/>
          </w:tcPr>
          <w:p w14:paraId="702B5444" w14:textId="77777777" w:rsidR="008D19BF" w:rsidRPr="00013F71" w:rsidRDefault="008D19BF" w:rsidP="00B61B65">
            <w:pPr>
              <w:rPr>
                <w:color w:val="000000" w:themeColor="text1"/>
                <w:sz w:val="24"/>
                <w:szCs w:val="24"/>
              </w:rPr>
            </w:pPr>
            <w:r w:rsidRPr="00013F71">
              <w:rPr>
                <w:color w:val="000000" w:themeColor="text1"/>
                <w:sz w:val="24"/>
                <w:szCs w:val="24"/>
              </w:rPr>
              <w:t>Price</w:t>
            </w:r>
          </w:p>
        </w:tc>
        <w:tc>
          <w:tcPr>
            <w:tcW w:w="1440" w:type="dxa"/>
          </w:tcPr>
          <w:p w14:paraId="494C9BE1" w14:textId="77777777" w:rsidR="008D19BF" w:rsidRPr="00013F71" w:rsidRDefault="008D19BF" w:rsidP="00B61B65">
            <w:pPr>
              <w:rPr>
                <w:color w:val="000000" w:themeColor="text1"/>
                <w:sz w:val="24"/>
                <w:szCs w:val="24"/>
              </w:rPr>
            </w:pPr>
            <w:r w:rsidRPr="00013F71">
              <w:rPr>
                <w:color w:val="000000" w:themeColor="text1"/>
                <w:sz w:val="24"/>
                <w:szCs w:val="24"/>
              </w:rPr>
              <w:t>Produ</w:t>
            </w:r>
            <w:r w:rsidR="00185F84" w:rsidRPr="00013F71">
              <w:rPr>
                <w:color w:val="000000" w:themeColor="text1"/>
                <w:sz w:val="24"/>
                <w:szCs w:val="24"/>
              </w:rPr>
              <w:t>c</w:t>
            </w:r>
            <w:r w:rsidRPr="00013F71">
              <w:rPr>
                <w:color w:val="000000" w:themeColor="text1"/>
                <w:sz w:val="24"/>
                <w:szCs w:val="24"/>
              </w:rPr>
              <w:t>tion</w:t>
            </w:r>
          </w:p>
        </w:tc>
      </w:tr>
      <w:tr w:rsidR="00A32967" w:rsidRPr="00013F71" w14:paraId="2EA28F93" w14:textId="77777777" w:rsidTr="00B83F49">
        <w:tc>
          <w:tcPr>
            <w:tcW w:w="738" w:type="dxa"/>
          </w:tcPr>
          <w:p w14:paraId="25DA976C" w14:textId="15A9B399" w:rsidR="00A32967" w:rsidRPr="00013F71" w:rsidRDefault="00A32967" w:rsidP="00B61B65">
            <w:pPr>
              <w:rPr>
                <w:color w:val="000000" w:themeColor="text1"/>
              </w:rPr>
            </w:pPr>
            <w:r w:rsidRPr="00013F71">
              <w:rPr>
                <w:color w:val="000000" w:themeColor="text1"/>
              </w:rPr>
              <w:t>2014</w:t>
            </w:r>
          </w:p>
        </w:tc>
        <w:tc>
          <w:tcPr>
            <w:tcW w:w="802" w:type="dxa"/>
          </w:tcPr>
          <w:p w14:paraId="4DEFCA4C" w14:textId="065949B9" w:rsidR="00A32967" w:rsidRPr="00013F71" w:rsidRDefault="00A32967" w:rsidP="00A76C34">
            <w:pPr>
              <w:rPr>
                <w:color w:val="000000" w:themeColor="text1"/>
              </w:rPr>
            </w:pPr>
            <w:r w:rsidRPr="00013F71">
              <w:rPr>
                <w:color w:val="000000" w:themeColor="text1"/>
              </w:rPr>
              <w:t>$80.00</w:t>
            </w:r>
          </w:p>
        </w:tc>
        <w:tc>
          <w:tcPr>
            <w:tcW w:w="1286" w:type="dxa"/>
          </w:tcPr>
          <w:p w14:paraId="0330AB11" w14:textId="47A4C32E" w:rsidR="00A32967" w:rsidRPr="00013F71" w:rsidRDefault="00A32967" w:rsidP="00A76C34">
            <w:pPr>
              <w:rPr>
                <w:color w:val="000000" w:themeColor="text1"/>
              </w:rPr>
            </w:pPr>
            <w:r w:rsidRPr="00013F71">
              <w:rPr>
                <w:color w:val="000000" w:themeColor="text1"/>
              </w:rPr>
              <w:t>74,900,000</w:t>
            </w:r>
          </w:p>
        </w:tc>
        <w:tc>
          <w:tcPr>
            <w:tcW w:w="812" w:type="dxa"/>
          </w:tcPr>
          <w:p w14:paraId="7D1F5C66" w14:textId="74ED9435" w:rsidR="00A32967" w:rsidRPr="00013F71" w:rsidRDefault="00A32967" w:rsidP="00A76C34">
            <w:pPr>
              <w:jc w:val="right"/>
              <w:rPr>
                <w:color w:val="000000" w:themeColor="text1"/>
              </w:rPr>
            </w:pPr>
            <w:r w:rsidRPr="00013F71">
              <w:rPr>
                <w:color w:val="000000" w:themeColor="text1"/>
              </w:rPr>
              <w:t>$4.70</w:t>
            </w:r>
          </w:p>
        </w:tc>
        <w:tc>
          <w:tcPr>
            <w:tcW w:w="1438" w:type="dxa"/>
          </w:tcPr>
          <w:p w14:paraId="3728C239" w14:textId="634CFB10" w:rsidR="00A32967" w:rsidRPr="00013F71" w:rsidRDefault="00AE3024" w:rsidP="00A76C34">
            <w:pPr>
              <w:rPr>
                <w:color w:val="000000" w:themeColor="text1"/>
              </w:rPr>
            </w:pPr>
            <w:r w:rsidRPr="00013F71">
              <w:rPr>
                <w:color w:val="000000" w:themeColor="text1"/>
              </w:rPr>
              <w:t>1,925</w:t>
            </w:r>
            <w:r w:rsidR="00A32967" w:rsidRPr="00013F71">
              <w:rPr>
                <w:color w:val="000000" w:themeColor="text1"/>
              </w:rPr>
              <w:t>,000,000</w:t>
            </w:r>
          </w:p>
        </w:tc>
        <w:tc>
          <w:tcPr>
            <w:tcW w:w="768" w:type="dxa"/>
          </w:tcPr>
          <w:p w14:paraId="31AFD75B" w14:textId="4E2FEC78" w:rsidR="00A32967" w:rsidRPr="00013F71" w:rsidRDefault="00A32967" w:rsidP="00A76C34">
            <w:pPr>
              <w:jc w:val="right"/>
              <w:rPr>
                <w:color w:val="000000" w:themeColor="text1"/>
              </w:rPr>
            </w:pPr>
            <w:r w:rsidRPr="00013F71">
              <w:rPr>
                <w:color w:val="000000" w:themeColor="text1"/>
              </w:rPr>
              <w:t>$13.50</w:t>
            </w:r>
          </w:p>
        </w:tc>
        <w:tc>
          <w:tcPr>
            <w:tcW w:w="1284" w:type="dxa"/>
          </w:tcPr>
          <w:p w14:paraId="41E57EF2" w14:textId="68390030" w:rsidR="00A32967" w:rsidRPr="00013F71" w:rsidRDefault="00AE3024" w:rsidP="00A76C34">
            <w:pPr>
              <w:jc w:val="both"/>
              <w:rPr>
                <w:color w:val="000000" w:themeColor="text1"/>
              </w:rPr>
            </w:pPr>
            <w:r w:rsidRPr="00013F71">
              <w:rPr>
                <w:color w:val="000000" w:themeColor="text1"/>
              </w:rPr>
              <w:t>385</w:t>
            </w:r>
            <w:r w:rsidR="00A32967" w:rsidRPr="00013F71">
              <w:rPr>
                <w:color w:val="000000" w:themeColor="text1"/>
              </w:rPr>
              <w:t>,000,000</w:t>
            </w:r>
          </w:p>
        </w:tc>
        <w:tc>
          <w:tcPr>
            <w:tcW w:w="810" w:type="dxa"/>
          </w:tcPr>
          <w:p w14:paraId="1C43EF4B" w14:textId="4742EFBF" w:rsidR="00A32967" w:rsidRPr="00013F71" w:rsidRDefault="00AE3024" w:rsidP="00A76C34">
            <w:pPr>
              <w:jc w:val="right"/>
              <w:rPr>
                <w:color w:val="000000" w:themeColor="text1"/>
              </w:rPr>
            </w:pPr>
            <w:r w:rsidRPr="00013F71">
              <w:rPr>
                <w:color w:val="000000" w:themeColor="text1"/>
              </w:rPr>
              <w:t>$75</w:t>
            </w:r>
            <w:r w:rsidR="00A32967" w:rsidRPr="00013F71">
              <w:rPr>
                <w:color w:val="000000" w:themeColor="text1"/>
              </w:rPr>
              <w:t>.00</w:t>
            </w:r>
          </w:p>
        </w:tc>
        <w:tc>
          <w:tcPr>
            <w:tcW w:w="1440" w:type="dxa"/>
          </w:tcPr>
          <w:p w14:paraId="753FE0DE" w14:textId="6FC06A28" w:rsidR="00A32967" w:rsidRPr="00013F71" w:rsidRDefault="00A32967" w:rsidP="00A76C34">
            <w:pPr>
              <w:jc w:val="both"/>
              <w:rPr>
                <w:color w:val="000000" w:themeColor="text1"/>
              </w:rPr>
            </w:pPr>
            <w:r w:rsidRPr="00013F71">
              <w:rPr>
                <w:color w:val="000000" w:themeColor="text1"/>
              </w:rPr>
              <w:t>20,000,000</w:t>
            </w:r>
          </w:p>
        </w:tc>
      </w:tr>
      <w:tr w:rsidR="00AE3024" w:rsidRPr="00013F71" w14:paraId="39408515" w14:textId="77777777" w:rsidTr="00B83F49">
        <w:tc>
          <w:tcPr>
            <w:tcW w:w="738" w:type="dxa"/>
          </w:tcPr>
          <w:p w14:paraId="2D6AB5AC" w14:textId="1D8108A0" w:rsidR="00AE3024" w:rsidRPr="00013F71" w:rsidRDefault="00AE3024" w:rsidP="00AE3024">
            <w:pPr>
              <w:rPr>
                <w:color w:val="000000" w:themeColor="text1"/>
              </w:rPr>
            </w:pPr>
            <w:r w:rsidRPr="00013F71">
              <w:rPr>
                <w:color w:val="000000" w:themeColor="text1"/>
              </w:rPr>
              <w:t>2015</w:t>
            </w:r>
          </w:p>
        </w:tc>
        <w:tc>
          <w:tcPr>
            <w:tcW w:w="802" w:type="dxa"/>
          </w:tcPr>
          <w:p w14:paraId="71C854F5" w14:textId="3A320285" w:rsidR="00AE3024" w:rsidRPr="00013F71" w:rsidRDefault="008847D4" w:rsidP="00AE3024">
            <w:pPr>
              <w:rPr>
                <w:color w:val="000000" w:themeColor="text1"/>
              </w:rPr>
            </w:pPr>
            <w:r w:rsidRPr="00013F71">
              <w:rPr>
                <w:color w:val="000000" w:themeColor="text1"/>
              </w:rPr>
              <w:t>$40</w:t>
            </w:r>
            <w:r w:rsidR="00AE3024" w:rsidRPr="00013F71">
              <w:rPr>
                <w:color w:val="000000" w:themeColor="text1"/>
              </w:rPr>
              <w:t>.00</w:t>
            </w:r>
          </w:p>
        </w:tc>
        <w:tc>
          <w:tcPr>
            <w:tcW w:w="1286" w:type="dxa"/>
          </w:tcPr>
          <w:p w14:paraId="2D70342A" w14:textId="151153BD" w:rsidR="00AE3024" w:rsidRPr="00013F71" w:rsidRDefault="008847D4" w:rsidP="00AE3024">
            <w:pPr>
              <w:rPr>
                <w:color w:val="000000" w:themeColor="text1"/>
              </w:rPr>
            </w:pPr>
            <w:r w:rsidRPr="00013F71">
              <w:rPr>
                <w:color w:val="000000" w:themeColor="text1"/>
              </w:rPr>
              <w:t>85,0</w:t>
            </w:r>
            <w:r w:rsidR="00AE3024" w:rsidRPr="00013F71">
              <w:rPr>
                <w:color w:val="000000" w:themeColor="text1"/>
              </w:rPr>
              <w:t>00,000</w:t>
            </w:r>
          </w:p>
        </w:tc>
        <w:tc>
          <w:tcPr>
            <w:tcW w:w="812" w:type="dxa"/>
          </w:tcPr>
          <w:p w14:paraId="448DFE28" w14:textId="7CDC5240" w:rsidR="00AE3024" w:rsidRPr="00013F71" w:rsidRDefault="008847D4" w:rsidP="00AE3024">
            <w:pPr>
              <w:jc w:val="right"/>
              <w:rPr>
                <w:color w:val="000000" w:themeColor="text1"/>
              </w:rPr>
            </w:pPr>
            <w:r w:rsidRPr="00013F71">
              <w:rPr>
                <w:color w:val="000000" w:themeColor="text1"/>
              </w:rPr>
              <w:t>$2.75</w:t>
            </w:r>
          </w:p>
        </w:tc>
        <w:tc>
          <w:tcPr>
            <w:tcW w:w="1438" w:type="dxa"/>
          </w:tcPr>
          <w:p w14:paraId="165C28A3" w14:textId="5878E287" w:rsidR="00AE3024" w:rsidRPr="00013F71" w:rsidRDefault="008847D4" w:rsidP="00AE3024">
            <w:pPr>
              <w:rPr>
                <w:color w:val="000000" w:themeColor="text1"/>
              </w:rPr>
            </w:pPr>
            <w:r w:rsidRPr="00013F71">
              <w:rPr>
                <w:color w:val="000000" w:themeColor="text1"/>
              </w:rPr>
              <w:t>1,976</w:t>
            </w:r>
            <w:r w:rsidR="00AE3024" w:rsidRPr="00013F71">
              <w:rPr>
                <w:color w:val="000000" w:themeColor="text1"/>
              </w:rPr>
              <w:t>,000,000</w:t>
            </w:r>
          </w:p>
        </w:tc>
        <w:tc>
          <w:tcPr>
            <w:tcW w:w="768" w:type="dxa"/>
          </w:tcPr>
          <w:p w14:paraId="688FC277" w14:textId="3D1EAB28" w:rsidR="00AE3024" w:rsidRPr="00013F71" w:rsidRDefault="00AE3024" w:rsidP="00AE3024">
            <w:pPr>
              <w:jc w:val="right"/>
              <w:rPr>
                <w:color w:val="000000" w:themeColor="text1"/>
              </w:rPr>
            </w:pPr>
            <w:r w:rsidRPr="00013F71">
              <w:rPr>
                <w:color w:val="000000" w:themeColor="text1"/>
              </w:rPr>
              <w:t>$13.50</w:t>
            </w:r>
          </w:p>
        </w:tc>
        <w:tc>
          <w:tcPr>
            <w:tcW w:w="1284" w:type="dxa"/>
          </w:tcPr>
          <w:p w14:paraId="6E24337B" w14:textId="737F54FD" w:rsidR="00AE3024" w:rsidRPr="00013F71" w:rsidRDefault="008847D4" w:rsidP="00AE3024">
            <w:pPr>
              <w:jc w:val="both"/>
              <w:rPr>
                <w:color w:val="000000" w:themeColor="text1"/>
              </w:rPr>
            </w:pPr>
            <w:r w:rsidRPr="00013F71">
              <w:rPr>
                <w:color w:val="000000" w:themeColor="text1"/>
              </w:rPr>
              <w:t>375</w:t>
            </w:r>
            <w:r w:rsidR="00AE3024" w:rsidRPr="00013F71">
              <w:rPr>
                <w:color w:val="000000" w:themeColor="text1"/>
              </w:rPr>
              <w:t>,000,000</w:t>
            </w:r>
          </w:p>
        </w:tc>
        <w:tc>
          <w:tcPr>
            <w:tcW w:w="810" w:type="dxa"/>
          </w:tcPr>
          <w:p w14:paraId="7DD7F73B" w14:textId="5D441638" w:rsidR="00AE3024" w:rsidRPr="00013F71" w:rsidRDefault="00AE3024" w:rsidP="00AE3024">
            <w:pPr>
              <w:jc w:val="right"/>
              <w:rPr>
                <w:color w:val="000000" w:themeColor="text1"/>
              </w:rPr>
            </w:pPr>
            <w:r w:rsidRPr="00013F71">
              <w:rPr>
                <w:color w:val="000000" w:themeColor="text1"/>
              </w:rPr>
              <w:t>$75.00</w:t>
            </w:r>
          </w:p>
        </w:tc>
        <w:tc>
          <w:tcPr>
            <w:tcW w:w="1440" w:type="dxa"/>
          </w:tcPr>
          <w:p w14:paraId="613494E2" w14:textId="2CD19B7F" w:rsidR="00AE3024" w:rsidRPr="00013F71" w:rsidRDefault="00AE3024" w:rsidP="00AE3024">
            <w:pPr>
              <w:jc w:val="both"/>
              <w:rPr>
                <w:color w:val="000000" w:themeColor="text1"/>
              </w:rPr>
            </w:pPr>
            <w:r w:rsidRPr="00013F71">
              <w:rPr>
                <w:color w:val="000000" w:themeColor="text1"/>
              </w:rPr>
              <w:t>20,000,000</w:t>
            </w:r>
          </w:p>
        </w:tc>
      </w:tr>
      <w:tr w:rsidR="00AE3024" w:rsidRPr="00013F71" w14:paraId="655BFB5B" w14:textId="77777777" w:rsidTr="00B83F49">
        <w:tc>
          <w:tcPr>
            <w:tcW w:w="738" w:type="dxa"/>
          </w:tcPr>
          <w:p w14:paraId="7B3E4E71" w14:textId="5269B7EE" w:rsidR="00AE3024" w:rsidRPr="00013F71" w:rsidRDefault="00AE3024" w:rsidP="00AE3024">
            <w:pPr>
              <w:rPr>
                <w:color w:val="000000" w:themeColor="text1"/>
              </w:rPr>
            </w:pPr>
            <w:r w:rsidRPr="00013F71">
              <w:rPr>
                <w:color w:val="000000" w:themeColor="text1"/>
              </w:rPr>
              <w:t>2016</w:t>
            </w:r>
          </w:p>
        </w:tc>
        <w:tc>
          <w:tcPr>
            <w:tcW w:w="802" w:type="dxa"/>
          </w:tcPr>
          <w:p w14:paraId="205440C2" w14:textId="3B86AE06" w:rsidR="00AE3024" w:rsidRPr="00013F71" w:rsidRDefault="008847D4" w:rsidP="00AE3024">
            <w:pPr>
              <w:rPr>
                <w:color w:val="000000" w:themeColor="text1"/>
              </w:rPr>
            </w:pPr>
            <w:r w:rsidRPr="00013F71">
              <w:rPr>
                <w:color w:val="000000" w:themeColor="text1"/>
              </w:rPr>
              <w:t>$42</w:t>
            </w:r>
            <w:r w:rsidR="00AE3024" w:rsidRPr="00013F71">
              <w:rPr>
                <w:color w:val="000000" w:themeColor="text1"/>
              </w:rPr>
              <w:t>.00</w:t>
            </w:r>
          </w:p>
        </w:tc>
        <w:tc>
          <w:tcPr>
            <w:tcW w:w="1286" w:type="dxa"/>
          </w:tcPr>
          <w:p w14:paraId="5B45281E" w14:textId="531D199C" w:rsidR="00AE3024" w:rsidRPr="00013F71" w:rsidRDefault="008847D4" w:rsidP="008847D4">
            <w:pPr>
              <w:rPr>
                <w:color w:val="000000" w:themeColor="text1"/>
              </w:rPr>
            </w:pPr>
            <w:r w:rsidRPr="00013F71">
              <w:rPr>
                <w:color w:val="000000" w:themeColor="text1"/>
              </w:rPr>
              <w:t>75</w:t>
            </w:r>
            <w:r w:rsidR="00AE3024" w:rsidRPr="00013F71">
              <w:rPr>
                <w:color w:val="000000" w:themeColor="text1"/>
              </w:rPr>
              <w:t>,</w:t>
            </w:r>
            <w:r w:rsidRPr="00013F71">
              <w:rPr>
                <w:color w:val="000000" w:themeColor="text1"/>
              </w:rPr>
              <w:t>0</w:t>
            </w:r>
            <w:r w:rsidR="00AE3024" w:rsidRPr="00013F71">
              <w:rPr>
                <w:color w:val="000000" w:themeColor="text1"/>
              </w:rPr>
              <w:t>00,000</w:t>
            </w:r>
          </w:p>
        </w:tc>
        <w:tc>
          <w:tcPr>
            <w:tcW w:w="812" w:type="dxa"/>
          </w:tcPr>
          <w:p w14:paraId="0720F858" w14:textId="652D36C1" w:rsidR="00AE3024" w:rsidRPr="00013F71" w:rsidRDefault="008847D4" w:rsidP="00AE3024">
            <w:pPr>
              <w:jc w:val="right"/>
              <w:rPr>
                <w:color w:val="000000" w:themeColor="text1"/>
              </w:rPr>
            </w:pPr>
            <w:r w:rsidRPr="00013F71">
              <w:rPr>
                <w:color w:val="000000" w:themeColor="text1"/>
              </w:rPr>
              <w:t>$2.85</w:t>
            </w:r>
          </w:p>
        </w:tc>
        <w:tc>
          <w:tcPr>
            <w:tcW w:w="1438" w:type="dxa"/>
          </w:tcPr>
          <w:p w14:paraId="16E3FB99" w14:textId="66B18572" w:rsidR="00AE3024" w:rsidRPr="00013F71" w:rsidRDefault="008847D4" w:rsidP="00AE3024">
            <w:pPr>
              <w:rPr>
                <w:color w:val="000000" w:themeColor="text1"/>
              </w:rPr>
            </w:pPr>
            <w:r w:rsidRPr="00013F71">
              <w:rPr>
                <w:color w:val="000000" w:themeColor="text1"/>
              </w:rPr>
              <w:t>1,929</w:t>
            </w:r>
            <w:r w:rsidR="00AE3024" w:rsidRPr="00013F71">
              <w:rPr>
                <w:color w:val="000000" w:themeColor="text1"/>
              </w:rPr>
              <w:t>,000,000</w:t>
            </w:r>
          </w:p>
        </w:tc>
        <w:tc>
          <w:tcPr>
            <w:tcW w:w="768" w:type="dxa"/>
          </w:tcPr>
          <w:p w14:paraId="4337D5D4" w14:textId="527BA5EB" w:rsidR="00AE3024" w:rsidRPr="00013F71" w:rsidRDefault="00B1039E" w:rsidP="00AE3024">
            <w:pPr>
              <w:jc w:val="right"/>
              <w:rPr>
                <w:color w:val="000000" w:themeColor="text1"/>
              </w:rPr>
            </w:pPr>
            <w:r w:rsidRPr="00013F71">
              <w:rPr>
                <w:color w:val="000000" w:themeColor="text1"/>
              </w:rPr>
              <w:t>$13.50</w:t>
            </w:r>
          </w:p>
        </w:tc>
        <w:tc>
          <w:tcPr>
            <w:tcW w:w="1284" w:type="dxa"/>
          </w:tcPr>
          <w:p w14:paraId="5012F72A" w14:textId="681816F8" w:rsidR="00AE3024" w:rsidRPr="00013F71" w:rsidRDefault="008847D4" w:rsidP="00AE3024">
            <w:pPr>
              <w:jc w:val="both"/>
              <w:rPr>
                <w:color w:val="000000" w:themeColor="text1"/>
              </w:rPr>
            </w:pPr>
            <w:r w:rsidRPr="00013F71">
              <w:rPr>
                <w:color w:val="000000" w:themeColor="text1"/>
              </w:rPr>
              <w:t>36</w:t>
            </w:r>
            <w:r w:rsidR="00AE3024" w:rsidRPr="00013F71">
              <w:rPr>
                <w:color w:val="000000" w:themeColor="text1"/>
              </w:rPr>
              <w:t>5,000,000</w:t>
            </w:r>
          </w:p>
        </w:tc>
        <w:tc>
          <w:tcPr>
            <w:tcW w:w="810" w:type="dxa"/>
          </w:tcPr>
          <w:p w14:paraId="02A0D53C" w14:textId="1DFBAE83" w:rsidR="00AE3024" w:rsidRPr="00013F71" w:rsidRDefault="00AE3024" w:rsidP="00AE3024">
            <w:pPr>
              <w:jc w:val="right"/>
              <w:rPr>
                <w:color w:val="000000" w:themeColor="text1"/>
              </w:rPr>
            </w:pPr>
            <w:r w:rsidRPr="00013F71">
              <w:rPr>
                <w:color w:val="000000" w:themeColor="text1"/>
              </w:rPr>
              <w:t>$75.00</w:t>
            </w:r>
          </w:p>
        </w:tc>
        <w:tc>
          <w:tcPr>
            <w:tcW w:w="1440" w:type="dxa"/>
          </w:tcPr>
          <w:p w14:paraId="6F212381" w14:textId="3EC44228" w:rsidR="00AE3024" w:rsidRPr="00013F71" w:rsidRDefault="00AE3024" w:rsidP="00AE3024">
            <w:pPr>
              <w:jc w:val="both"/>
              <w:rPr>
                <w:color w:val="000000" w:themeColor="text1"/>
              </w:rPr>
            </w:pPr>
            <w:r w:rsidRPr="00013F71">
              <w:rPr>
                <w:color w:val="000000" w:themeColor="text1"/>
              </w:rPr>
              <w:t>20,500,000</w:t>
            </w:r>
          </w:p>
        </w:tc>
      </w:tr>
      <w:tr w:rsidR="00AE3024" w:rsidRPr="00013F71" w14:paraId="1EA7DADE" w14:textId="77777777" w:rsidTr="00B83F49">
        <w:tc>
          <w:tcPr>
            <w:tcW w:w="738" w:type="dxa"/>
          </w:tcPr>
          <w:p w14:paraId="14C6CDC5" w14:textId="7AA270AD" w:rsidR="00AE3024" w:rsidRPr="00013F71" w:rsidRDefault="00AE3024" w:rsidP="00AE3024">
            <w:pPr>
              <w:rPr>
                <w:color w:val="000000" w:themeColor="text1"/>
              </w:rPr>
            </w:pPr>
            <w:r w:rsidRPr="00013F71">
              <w:rPr>
                <w:color w:val="000000" w:themeColor="text1"/>
              </w:rPr>
              <w:t>2017</w:t>
            </w:r>
          </w:p>
        </w:tc>
        <w:tc>
          <w:tcPr>
            <w:tcW w:w="802" w:type="dxa"/>
          </w:tcPr>
          <w:p w14:paraId="29D0ADC6" w14:textId="3486B2DD" w:rsidR="00AE3024" w:rsidRPr="00013F71" w:rsidRDefault="008847D4" w:rsidP="00AE3024">
            <w:pPr>
              <w:rPr>
                <w:color w:val="000000" w:themeColor="text1"/>
              </w:rPr>
            </w:pPr>
            <w:r w:rsidRPr="00013F71">
              <w:rPr>
                <w:color w:val="000000" w:themeColor="text1"/>
              </w:rPr>
              <w:t>$50</w:t>
            </w:r>
            <w:r w:rsidR="00AE3024" w:rsidRPr="00013F71">
              <w:rPr>
                <w:color w:val="000000" w:themeColor="text1"/>
              </w:rPr>
              <w:t>.00</w:t>
            </w:r>
          </w:p>
        </w:tc>
        <w:tc>
          <w:tcPr>
            <w:tcW w:w="1286" w:type="dxa"/>
          </w:tcPr>
          <w:p w14:paraId="45A7490A" w14:textId="1954A636" w:rsidR="00AE3024" w:rsidRPr="00013F71" w:rsidRDefault="008847D4" w:rsidP="00AE3024">
            <w:pPr>
              <w:rPr>
                <w:color w:val="000000" w:themeColor="text1"/>
              </w:rPr>
            </w:pPr>
            <w:r w:rsidRPr="00013F71">
              <w:rPr>
                <w:color w:val="000000" w:themeColor="text1"/>
              </w:rPr>
              <w:t>67</w:t>
            </w:r>
            <w:r w:rsidR="00AE3024" w:rsidRPr="00013F71">
              <w:rPr>
                <w:color w:val="000000" w:themeColor="text1"/>
              </w:rPr>
              <w:t>,000,000</w:t>
            </w:r>
          </w:p>
        </w:tc>
        <w:tc>
          <w:tcPr>
            <w:tcW w:w="812" w:type="dxa"/>
          </w:tcPr>
          <w:p w14:paraId="3DA9E2BE" w14:textId="0E5A11CE" w:rsidR="00AE3024" w:rsidRPr="00013F71" w:rsidRDefault="008847D4" w:rsidP="00AE3024">
            <w:pPr>
              <w:jc w:val="right"/>
              <w:rPr>
                <w:color w:val="000000" w:themeColor="text1"/>
              </w:rPr>
            </w:pPr>
            <w:r w:rsidRPr="00013F71">
              <w:rPr>
                <w:color w:val="000000" w:themeColor="text1"/>
              </w:rPr>
              <w:t>$3.00</w:t>
            </w:r>
          </w:p>
        </w:tc>
        <w:tc>
          <w:tcPr>
            <w:tcW w:w="1438" w:type="dxa"/>
          </w:tcPr>
          <w:p w14:paraId="396C7242" w14:textId="528CC914" w:rsidR="00AE3024" w:rsidRPr="00013F71" w:rsidRDefault="008847D4" w:rsidP="00AE3024">
            <w:pPr>
              <w:rPr>
                <w:color w:val="000000" w:themeColor="text1"/>
              </w:rPr>
            </w:pPr>
            <w:r w:rsidRPr="00013F71">
              <w:rPr>
                <w:color w:val="000000" w:themeColor="text1"/>
              </w:rPr>
              <w:t>1,891</w:t>
            </w:r>
            <w:r w:rsidR="00AE3024" w:rsidRPr="00013F71">
              <w:rPr>
                <w:color w:val="000000" w:themeColor="text1"/>
              </w:rPr>
              <w:t>,000,000</w:t>
            </w:r>
          </w:p>
        </w:tc>
        <w:tc>
          <w:tcPr>
            <w:tcW w:w="768" w:type="dxa"/>
          </w:tcPr>
          <w:p w14:paraId="106822A6" w14:textId="3F1D7C98" w:rsidR="00AE3024" w:rsidRPr="00013F71" w:rsidRDefault="00AE3024" w:rsidP="00AE3024">
            <w:pPr>
              <w:jc w:val="right"/>
              <w:rPr>
                <w:color w:val="000000" w:themeColor="text1"/>
              </w:rPr>
            </w:pPr>
            <w:r w:rsidRPr="00013F71">
              <w:rPr>
                <w:color w:val="000000" w:themeColor="text1"/>
              </w:rPr>
              <w:t>$13.</w:t>
            </w:r>
            <w:r w:rsidR="00B1039E" w:rsidRPr="00013F71">
              <w:rPr>
                <w:color w:val="000000" w:themeColor="text1"/>
              </w:rPr>
              <w:t>50</w:t>
            </w:r>
          </w:p>
        </w:tc>
        <w:tc>
          <w:tcPr>
            <w:tcW w:w="1284" w:type="dxa"/>
          </w:tcPr>
          <w:p w14:paraId="0605F786" w14:textId="54B7A141" w:rsidR="00AE3024" w:rsidRPr="00013F71" w:rsidRDefault="008847D4" w:rsidP="00AE3024">
            <w:pPr>
              <w:jc w:val="both"/>
              <w:rPr>
                <w:color w:val="000000" w:themeColor="text1"/>
              </w:rPr>
            </w:pPr>
            <w:r w:rsidRPr="00013F71">
              <w:rPr>
                <w:color w:val="000000" w:themeColor="text1"/>
              </w:rPr>
              <w:t>360</w:t>
            </w:r>
            <w:r w:rsidR="00AE3024" w:rsidRPr="00013F71">
              <w:rPr>
                <w:color w:val="000000" w:themeColor="text1"/>
              </w:rPr>
              <w:t>,000,000</w:t>
            </w:r>
          </w:p>
        </w:tc>
        <w:tc>
          <w:tcPr>
            <w:tcW w:w="810" w:type="dxa"/>
          </w:tcPr>
          <w:p w14:paraId="2DF59284" w14:textId="008E6F02" w:rsidR="00AE3024" w:rsidRPr="00013F71" w:rsidRDefault="00AE3024" w:rsidP="00AE3024">
            <w:pPr>
              <w:jc w:val="right"/>
              <w:rPr>
                <w:color w:val="000000" w:themeColor="text1"/>
              </w:rPr>
            </w:pPr>
            <w:r w:rsidRPr="00013F71">
              <w:rPr>
                <w:color w:val="000000" w:themeColor="text1"/>
              </w:rPr>
              <w:t>$75.00</w:t>
            </w:r>
          </w:p>
        </w:tc>
        <w:tc>
          <w:tcPr>
            <w:tcW w:w="1440" w:type="dxa"/>
          </w:tcPr>
          <w:p w14:paraId="4102ACB1" w14:textId="0B3442C0" w:rsidR="00AE3024" w:rsidRPr="00013F71" w:rsidRDefault="00AE3024" w:rsidP="00AE3024">
            <w:pPr>
              <w:jc w:val="both"/>
              <w:rPr>
                <w:color w:val="000000" w:themeColor="text1"/>
              </w:rPr>
            </w:pPr>
            <w:r w:rsidRPr="00013F71">
              <w:rPr>
                <w:color w:val="000000" w:themeColor="text1"/>
              </w:rPr>
              <w:t>20,500,000</w:t>
            </w:r>
          </w:p>
        </w:tc>
      </w:tr>
      <w:tr w:rsidR="00AE3024" w:rsidRPr="00013F71" w14:paraId="66833BB4" w14:textId="77777777" w:rsidTr="00B83F49">
        <w:tc>
          <w:tcPr>
            <w:tcW w:w="738" w:type="dxa"/>
          </w:tcPr>
          <w:p w14:paraId="288444F3" w14:textId="02143615" w:rsidR="00AE3024" w:rsidRPr="00013F71" w:rsidRDefault="00AE3024" w:rsidP="00AE3024">
            <w:pPr>
              <w:rPr>
                <w:color w:val="000000" w:themeColor="text1"/>
              </w:rPr>
            </w:pPr>
            <w:r w:rsidRPr="00013F71">
              <w:rPr>
                <w:color w:val="000000" w:themeColor="text1"/>
              </w:rPr>
              <w:t>2018</w:t>
            </w:r>
          </w:p>
        </w:tc>
        <w:tc>
          <w:tcPr>
            <w:tcW w:w="802" w:type="dxa"/>
          </w:tcPr>
          <w:p w14:paraId="7555F0FF" w14:textId="431AE705" w:rsidR="00AE3024" w:rsidRPr="00013F71" w:rsidRDefault="008847D4" w:rsidP="00AE3024">
            <w:pPr>
              <w:rPr>
                <w:color w:val="000000" w:themeColor="text1"/>
              </w:rPr>
            </w:pPr>
            <w:r w:rsidRPr="00013F71">
              <w:rPr>
                <w:color w:val="000000" w:themeColor="text1"/>
              </w:rPr>
              <w:t>$55</w:t>
            </w:r>
            <w:r w:rsidR="00AE3024" w:rsidRPr="00013F71">
              <w:rPr>
                <w:color w:val="000000" w:themeColor="text1"/>
              </w:rPr>
              <w:t>.00</w:t>
            </w:r>
          </w:p>
        </w:tc>
        <w:tc>
          <w:tcPr>
            <w:tcW w:w="1286" w:type="dxa"/>
          </w:tcPr>
          <w:p w14:paraId="7D0B54DA" w14:textId="5B56FD1B" w:rsidR="00AE3024" w:rsidRPr="00013F71" w:rsidRDefault="008847D4" w:rsidP="00AE3024">
            <w:pPr>
              <w:rPr>
                <w:color w:val="000000" w:themeColor="text1"/>
              </w:rPr>
            </w:pPr>
            <w:r w:rsidRPr="00013F71">
              <w:rPr>
                <w:color w:val="000000" w:themeColor="text1"/>
              </w:rPr>
              <w:t>65</w:t>
            </w:r>
            <w:r w:rsidR="00AE3024" w:rsidRPr="00013F71">
              <w:rPr>
                <w:color w:val="000000" w:themeColor="text1"/>
              </w:rPr>
              <w:t>,000,000</w:t>
            </w:r>
          </w:p>
        </w:tc>
        <w:tc>
          <w:tcPr>
            <w:tcW w:w="812" w:type="dxa"/>
          </w:tcPr>
          <w:p w14:paraId="36C336E4" w14:textId="5AA16D5F" w:rsidR="00AE3024" w:rsidRPr="00013F71" w:rsidRDefault="008847D4" w:rsidP="00AE3024">
            <w:pPr>
              <w:jc w:val="right"/>
              <w:rPr>
                <w:color w:val="000000" w:themeColor="text1"/>
              </w:rPr>
            </w:pPr>
            <w:r w:rsidRPr="00013F71">
              <w:rPr>
                <w:color w:val="000000" w:themeColor="text1"/>
              </w:rPr>
              <w:t>$3.30</w:t>
            </w:r>
          </w:p>
        </w:tc>
        <w:tc>
          <w:tcPr>
            <w:tcW w:w="1438" w:type="dxa"/>
          </w:tcPr>
          <w:p w14:paraId="7A1DA0DE" w14:textId="01004E9B" w:rsidR="00AE3024" w:rsidRPr="00013F71" w:rsidRDefault="008847D4" w:rsidP="00AE3024">
            <w:pPr>
              <w:rPr>
                <w:color w:val="000000" w:themeColor="text1"/>
              </w:rPr>
            </w:pPr>
            <w:r w:rsidRPr="00013F71">
              <w:rPr>
                <w:color w:val="000000" w:themeColor="text1"/>
              </w:rPr>
              <w:t>1,853</w:t>
            </w:r>
            <w:r w:rsidR="00AE3024" w:rsidRPr="00013F71">
              <w:rPr>
                <w:color w:val="000000" w:themeColor="text1"/>
              </w:rPr>
              <w:t>,000,000</w:t>
            </w:r>
          </w:p>
        </w:tc>
        <w:tc>
          <w:tcPr>
            <w:tcW w:w="768" w:type="dxa"/>
          </w:tcPr>
          <w:p w14:paraId="5DB14EE5" w14:textId="1DDD81E1" w:rsidR="00AE3024" w:rsidRPr="00013F71" w:rsidRDefault="00AE3024" w:rsidP="00AE3024">
            <w:pPr>
              <w:jc w:val="right"/>
              <w:rPr>
                <w:color w:val="000000" w:themeColor="text1"/>
              </w:rPr>
            </w:pPr>
            <w:r w:rsidRPr="00013F71">
              <w:rPr>
                <w:color w:val="000000" w:themeColor="text1"/>
              </w:rPr>
              <w:t>$13.</w:t>
            </w:r>
            <w:r w:rsidR="00B1039E" w:rsidRPr="00013F71">
              <w:rPr>
                <w:color w:val="000000" w:themeColor="text1"/>
              </w:rPr>
              <w:t>50</w:t>
            </w:r>
          </w:p>
        </w:tc>
        <w:tc>
          <w:tcPr>
            <w:tcW w:w="1284" w:type="dxa"/>
          </w:tcPr>
          <w:p w14:paraId="762C96E8" w14:textId="2D05542F" w:rsidR="00AE3024" w:rsidRPr="00013F71" w:rsidRDefault="008847D4" w:rsidP="00AE3024">
            <w:pPr>
              <w:jc w:val="both"/>
              <w:rPr>
                <w:color w:val="000000" w:themeColor="text1"/>
              </w:rPr>
            </w:pPr>
            <w:r w:rsidRPr="00013F71">
              <w:rPr>
                <w:color w:val="000000" w:themeColor="text1"/>
              </w:rPr>
              <w:t>360</w:t>
            </w:r>
            <w:r w:rsidR="00AE3024" w:rsidRPr="00013F71">
              <w:rPr>
                <w:color w:val="000000" w:themeColor="text1"/>
              </w:rPr>
              <w:t>,000,000</w:t>
            </w:r>
          </w:p>
        </w:tc>
        <w:tc>
          <w:tcPr>
            <w:tcW w:w="810" w:type="dxa"/>
          </w:tcPr>
          <w:p w14:paraId="27A63BD1" w14:textId="2F7C7936" w:rsidR="00AE3024" w:rsidRPr="00013F71" w:rsidRDefault="00AE3024" w:rsidP="00AE3024">
            <w:pPr>
              <w:jc w:val="right"/>
              <w:rPr>
                <w:color w:val="000000" w:themeColor="text1"/>
              </w:rPr>
            </w:pPr>
            <w:r w:rsidRPr="00013F71">
              <w:rPr>
                <w:color w:val="000000" w:themeColor="text1"/>
              </w:rPr>
              <w:t>$75.00</w:t>
            </w:r>
          </w:p>
        </w:tc>
        <w:tc>
          <w:tcPr>
            <w:tcW w:w="1440" w:type="dxa"/>
          </w:tcPr>
          <w:p w14:paraId="2F518C61" w14:textId="5926F932" w:rsidR="00AE3024" w:rsidRPr="00013F71" w:rsidRDefault="00AE3024" w:rsidP="00AE3024">
            <w:pPr>
              <w:jc w:val="both"/>
              <w:rPr>
                <w:color w:val="000000" w:themeColor="text1"/>
              </w:rPr>
            </w:pPr>
            <w:r w:rsidRPr="00013F71">
              <w:rPr>
                <w:color w:val="000000" w:themeColor="text1"/>
              </w:rPr>
              <w:t>21,000,000</w:t>
            </w:r>
          </w:p>
        </w:tc>
      </w:tr>
      <w:tr w:rsidR="00AE3024" w:rsidRPr="00013F71" w14:paraId="593180C3" w14:textId="77777777" w:rsidTr="00B83F49">
        <w:tc>
          <w:tcPr>
            <w:tcW w:w="738" w:type="dxa"/>
          </w:tcPr>
          <w:p w14:paraId="539659C2" w14:textId="6D74D813" w:rsidR="00AE3024" w:rsidRPr="00013F71" w:rsidRDefault="00AE3024" w:rsidP="00AE3024">
            <w:pPr>
              <w:rPr>
                <w:color w:val="000000" w:themeColor="text1"/>
              </w:rPr>
            </w:pPr>
            <w:r w:rsidRPr="00013F71">
              <w:rPr>
                <w:color w:val="000000" w:themeColor="text1"/>
              </w:rPr>
              <w:t>2019</w:t>
            </w:r>
          </w:p>
        </w:tc>
        <w:tc>
          <w:tcPr>
            <w:tcW w:w="802" w:type="dxa"/>
          </w:tcPr>
          <w:p w14:paraId="49FE3A7F" w14:textId="25A7449E" w:rsidR="00AE3024" w:rsidRPr="00013F71" w:rsidRDefault="008847D4" w:rsidP="00AE3024">
            <w:pPr>
              <w:rPr>
                <w:color w:val="000000" w:themeColor="text1"/>
              </w:rPr>
            </w:pPr>
            <w:r w:rsidRPr="00013F71">
              <w:rPr>
                <w:color w:val="000000" w:themeColor="text1"/>
              </w:rPr>
              <w:t>$55</w:t>
            </w:r>
            <w:r w:rsidR="00AE3024" w:rsidRPr="00013F71">
              <w:rPr>
                <w:color w:val="000000" w:themeColor="text1"/>
              </w:rPr>
              <w:t>.00</w:t>
            </w:r>
          </w:p>
        </w:tc>
        <w:tc>
          <w:tcPr>
            <w:tcW w:w="1286" w:type="dxa"/>
          </w:tcPr>
          <w:p w14:paraId="3916FDDE" w14:textId="75EBF840" w:rsidR="00AE3024" w:rsidRPr="00013F71" w:rsidRDefault="008847D4" w:rsidP="00AE3024">
            <w:pPr>
              <w:rPr>
                <w:color w:val="000000" w:themeColor="text1"/>
              </w:rPr>
            </w:pPr>
            <w:r w:rsidRPr="00013F71">
              <w:rPr>
                <w:color w:val="000000" w:themeColor="text1"/>
              </w:rPr>
              <w:t>65,0</w:t>
            </w:r>
            <w:r w:rsidR="00AE3024" w:rsidRPr="00013F71">
              <w:rPr>
                <w:color w:val="000000" w:themeColor="text1"/>
              </w:rPr>
              <w:t>00,000</w:t>
            </w:r>
          </w:p>
        </w:tc>
        <w:tc>
          <w:tcPr>
            <w:tcW w:w="812" w:type="dxa"/>
          </w:tcPr>
          <w:p w14:paraId="4215FE6C" w14:textId="09273D00" w:rsidR="00AE3024" w:rsidRPr="00013F71" w:rsidRDefault="008847D4" w:rsidP="00AE3024">
            <w:pPr>
              <w:jc w:val="right"/>
              <w:rPr>
                <w:color w:val="000000" w:themeColor="text1"/>
              </w:rPr>
            </w:pPr>
            <w:r w:rsidRPr="00013F71">
              <w:rPr>
                <w:color w:val="000000" w:themeColor="text1"/>
              </w:rPr>
              <w:t>$3.35</w:t>
            </w:r>
          </w:p>
        </w:tc>
        <w:tc>
          <w:tcPr>
            <w:tcW w:w="1438" w:type="dxa"/>
          </w:tcPr>
          <w:p w14:paraId="60CE47BB" w14:textId="0286B8B2" w:rsidR="00AE3024" w:rsidRPr="00013F71" w:rsidRDefault="008847D4" w:rsidP="00AE3024">
            <w:pPr>
              <w:rPr>
                <w:color w:val="000000" w:themeColor="text1"/>
              </w:rPr>
            </w:pPr>
            <w:r w:rsidRPr="00013F71">
              <w:rPr>
                <w:color w:val="000000" w:themeColor="text1"/>
              </w:rPr>
              <w:t>1,816</w:t>
            </w:r>
            <w:r w:rsidR="00AE3024" w:rsidRPr="00013F71">
              <w:rPr>
                <w:color w:val="000000" w:themeColor="text1"/>
              </w:rPr>
              <w:t>,000,000</w:t>
            </w:r>
          </w:p>
        </w:tc>
        <w:tc>
          <w:tcPr>
            <w:tcW w:w="768" w:type="dxa"/>
          </w:tcPr>
          <w:p w14:paraId="64A2AA3F" w14:textId="0DFB1C31" w:rsidR="00AE3024" w:rsidRPr="00013F71" w:rsidRDefault="00B1039E" w:rsidP="00AE3024">
            <w:pPr>
              <w:jc w:val="right"/>
              <w:rPr>
                <w:color w:val="000000" w:themeColor="text1"/>
              </w:rPr>
            </w:pPr>
            <w:r w:rsidRPr="00013F71">
              <w:rPr>
                <w:color w:val="000000" w:themeColor="text1"/>
              </w:rPr>
              <w:t>$13.50</w:t>
            </w:r>
          </w:p>
        </w:tc>
        <w:tc>
          <w:tcPr>
            <w:tcW w:w="1284" w:type="dxa"/>
          </w:tcPr>
          <w:p w14:paraId="4F6A2082" w14:textId="64FC7E05" w:rsidR="00AE3024" w:rsidRPr="00013F71" w:rsidRDefault="008847D4" w:rsidP="00AE3024">
            <w:pPr>
              <w:jc w:val="both"/>
              <w:rPr>
                <w:color w:val="000000" w:themeColor="text1"/>
              </w:rPr>
            </w:pPr>
            <w:r w:rsidRPr="00013F71">
              <w:rPr>
                <w:color w:val="000000" w:themeColor="text1"/>
              </w:rPr>
              <w:t>360</w:t>
            </w:r>
            <w:r w:rsidR="00AE3024" w:rsidRPr="00013F71">
              <w:rPr>
                <w:color w:val="000000" w:themeColor="text1"/>
              </w:rPr>
              <w:t>,000,000</w:t>
            </w:r>
          </w:p>
        </w:tc>
        <w:tc>
          <w:tcPr>
            <w:tcW w:w="810" w:type="dxa"/>
          </w:tcPr>
          <w:p w14:paraId="356DEB1A" w14:textId="421A0473" w:rsidR="00AE3024" w:rsidRPr="00013F71" w:rsidRDefault="00AE3024" w:rsidP="00AE3024">
            <w:pPr>
              <w:jc w:val="right"/>
              <w:rPr>
                <w:color w:val="000000" w:themeColor="text1"/>
              </w:rPr>
            </w:pPr>
            <w:r w:rsidRPr="00013F71">
              <w:rPr>
                <w:color w:val="000000" w:themeColor="text1"/>
              </w:rPr>
              <w:t>$75.00</w:t>
            </w:r>
          </w:p>
        </w:tc>
        <w:tc>
          <w:tcPr>
            <w:tcW w:w="1440" w:type="dxa"/>
          </w:tcPr>
          <w:p w14:paraId="54E1100C" w14:textId="21020C52" w:rsidR="00AE3024" w:rsidRPr="00013F71" w:rsidRDefault="00AE3024" w:rsidP="00AE3024">
            <w:pPr>
              <w:jc w:val="both"/>
              <w:rPr>
                <w:color w:val="000000" w:themeColor="text1"/>
              </w:rPr>
            </w:pPr>
            <w:r w:rsidRPr="00013F71">
              <w:rPr>
                <w:color w:val="000000" w:themeColor="text1"/>
              </w:rPr>
              <w:t>21,000,000</w:t>
            </w:r>
          </w:p>
        </w:tc>
      </w:tr>
      <w:tr w:rsidR="00AE3024" w:rsidRPr="00013F71" w14:paraId="3A3063E3" w14:textId="77777777" w:rsidTr="00B83F49">
        <w:tc>
          <w:tcPr>
            <w:tcW w:w="738" w:type="dxa"/>
          </w:tcPr>
          <w:p w14:paraId="42CD8B44" w14:textId="316ECD7F" w:rsidR="00AE3024" w:rsidRPr="00013F71" w:rsidRDefault="00AE3024" w:rsidP="00AE3024">
            <w:pPr>
              <w:rPr>
                <w:color w:val="000000" w:themeColor="text1"/>
              </w:rPr>
            </w:pPr>
            <w:r w:rsidRPr="00013F71">
              <w:rPr>
                <w:color w:val="000000" w:themeColor="text1"/>
              </w:rPr>
              <w:t>2020</w:t>
            </w:r>
          </w:p>
        </w:tc>
        <w:tc>
          <w:tcPr>
            <w:tcW w:w="802" w:type="dxa"/>
          </w:tcPr>
          <w:p w14:paraId="62648006" w14:textId="5CFC4CE7" w:rsidR="00AE3024" w:rsidRPr="00013F71" w:rsidRDefault="008847D4" w:rsidP="00AE3024">
            <w:pPr>
              <w:rPr>
                <w:color w:val="000000" w:themeColor="text1"/>
              </w:rPr>
            </w:pPr>
            <w:r w:rsidRPr="00013F71">
              <w:rPr>
                <w:color w:val="000000" w:themeColor="text1"/>
              </w:rPr>
              <w:t>$55</w:t>
            </w:r>
            <w:r w:rsidR="00AE3024" w:rsidRPr="00013F71">
              <w:rPr>
                <w:color w:val="000000" w:themeColor="text1"/>
              </w:rPr>
              <w:t>.00</w:t>
            </w:r>
          </w:p>
        </w:tc>
        <w:tc>
          <w:tcPr>
            <w:tcW w:w="1286" w:type="dxa"/>
          </w:tcPr>
          <w:p w14:paraId="44905B98" w14:textId="51CBD9DA" w:rsidR="00AE3024" w:rsidRPr="00013F71" w:rsidRDefault="008847D4" w:rsidP="00AE3024">
            <w:pPr>
              <w:rPr>
                <w:color w:val="000000" w:themeColor="text1"/>
              </w:rPr>
            </w:pPr>
            <w:r w:rsidRPr="00013F71">
              <w:rPr>
                <w:color w:val="000000" w:themeColor="text1"/>
              </w:rPr>
              <w:t>65,0</w:t>
            </w:r>
            <w:r w:rsidR="00AE3024" w:rsidRPr="00013F71">
              <w:rPr>
                <w:color w:val="000000" w:themeColor="text1"/>
              </w:rPr>
              <w:t>00,000</w:t>
            </w:r>
          </w:p>
        </w:tc>
        <w:tc>
          <w:tcPr>
            <w:tcW w:w="812" w:type="dxa"/>
          </w:tcPr>
          <w:p w14:paraId="7116A1E5" w14:textId="109626D8" w:rsidR="00AE3024" w:rsidRPr="00013F71" w:rsidRDefault="008847D4" w:rsidP="00AE3024">
            <w:pPr>
              <w:jc w:val="right"/>
              <w:rPr>
                <w:color w:val="000000" w:themeColor="text1"/>
              </w:rPr>
            </w:pPr>
            <w:r w:rsidRPr="00013F71">
              <w:rPr>
                <w:color w:val="000000" w:themeColor="text1"/>
              </w:rPr>
              <w:t>$3.40</w:t>
            </w:r>
          </w:p>
        </w:tc>
        <w:tc>
          <w:tcPr>
            <w:tcW w:w="1438" w:type="dxa"/>
          </w:tcPr>
          <w:p w14:paraId="0C4DB991" w14:textId="093FFC36" w:rsidR="00AE3024" w:rsidRPr="00013F71" w:rsidRDefault="008847D4" w:rsidP="00AE3024">
            <w:pPr>
              <w:rPr>
                <w:color w:val="000000" w:themeColor="text1"/>
              </w:rPr>
            </w:pPr>
            <w:r w:rsidRPr="00013F71">
              <w:rPr>
                <w:color w:val="000000" w:themeColor="text1"/>
              </w:rPr>
              <w:t>1,779</w:t>
            </w:r>
            <w:r w:rsidR="00AE3024" w:rsidRPr="00013F71">
              <w:rPr>
                <w:color w:val="000000" w:themeColor="text1"/>
              </w:rPr>
              <w:t>,000,000</w:t>
            </w:r>
          </w:p>
        </w:tc>
        <w:tc>
          <w:tcPr>
            <w:tcW w:w="768" w:type="dxa"/>
          </w:tcPr>
          <w:p w14:paraId="1CD4AE65" w14:textId="27155A5A" w:rsidR="00AE3024" w:rsidRPr="00013F71" w:rsidRDefault="00B1039E" w:rsidP="00AE3024">
            <w:pPr>
              <w:jc w:val="right"/>
              <w:rPr>
                <w:color w:val="000000" w:themeColor="text1"/>
              </w:rPr>
            </w:pPr>
            <w:r w:rsidRPr="00013F71">
              <w:rPr>
                <w:color w:val="000000" w:themeColor="text1"/>
              </w:rPr>
              <w:t>$</w:t>
            </w:r>
            <w:r w:rsidR="00AE3024" w:rsidRPr="00013F71">
              <w:rPr>
                <w:color w:val="000000" w:themeColor="text1"/>
              </w:rPr>
              <w:t>13.</w:t>
            </w:r>
            <w:r w:rsidRPr="00013F71">
              <w:rPr>
                <w:color w:val="000000" w:themeColor="text1"/>
              </w:rPr>
              <w:t>50</w:t>
            </w:r>
          </w:p>
        </w:tc>
        <w:tc>
          <w:tcPr>
            <w:tcW w:w="1284" w:type="dxa"/>
          </w:tcPr>
          <w:p w14:paraId="26330D71" w14:textId="0A1A3FA8" w:rsidR="00AE3024" w:rsidRPr="00013F71" w:rsidRDefault="008847D4" w:rsidP="00AE3024">
            <w:pPr>
              <w:jc w:val="both"/>
              <w:rPr>
                <w:color w:val="000000" w:themeColor="text1"/>
              </w:rPr>
            </w:pPr>
            <w:r w:rsidRPr="00013F71">
              <w:rPr>
                <w:color w:val="000000" w:themeColor="text1"/>
              </w:rPr>
              <w:t>360</w:t>
            </w:r>
            <w:r w:rsidR="00AE3024" w:rsidRPr="00013F71">
              <w:rPr>
                <w:color w:val="000000" w:themeColor="text1"/>
              </w:rPr>
              <w:t>,000,000</w:t>
            </w:r>
          </w:p>
        </w:tc>
        <w:tc>
          <w:tcPr>
            <w:tcW w:w="810" w:type="dxa"/>
          </w:tcPr>
          <w:p w14:paraId="0F977D19" w14:textId="7B024445" w:rsidR="00AE3024" w:rsidRPr="00013F71" w:rsidRDefault="00AE3024" w:rsidP="00AE3024">
            <w:pPr>
              <w:jc w:val="right"/>
              <w:rPr>
                <w:color w:val="000000" w:themeColor="text1"/>
              </w:rPr>
            </w:pPr>
            <w:r w:rsidRPr="00013F71">
              <w:rPr>
                <w:color w:val="000000" w:themeColor="text1"/>
              </w:rPr>
              <w:t>$75.00</w:t>
            </w:r>
          </w:p>
        </w:tc>
        <w:tc>
          <w:tcPr>
            <w:tcW w:w="1440" w:type="dxa"/>
          </w:tcPr>
          <w:p w14:paraId="41A6E1C7" w14:textId="669F6600" w:rsidR="00AE3024" w:rsidRPr="00013F71" w:rsidRDefault="00AE3024" w:rsidP="00AE3024">
            <w:pPr>
              <w:jc w:val="both"/>
              <w:rPr>
                <w:color w:val="000000" w:themeColor="text1"/>
              </w:rPr>
            </w:pPr>
            <w:r w:rsidRPr="00013F71">
              <w:rPr>
                <w:color w:val="000000" w:themeColor="text1"/>
              </w:rPr>
              <w:t>21,000,000</w:t>
            </w:r>
          </w:p>
        </w:tc>
      </w:tr>
    </w:tbl>
    <w:p w14:paraId="5B25A1F7" w14:textId="051CDEEC" w:rsidR="008D19BF" w:rsidRPr="00013F71" w:rsidRDefault="00742485" w:rsidP="00A76C34">
      <w:pPr>
        <w:rPr>
          <w:color w:val="000000" w:themeColor="text1"/>
        </w:rPr>
      </w:pPr>
      <w:r w:rsidRPr="00013F71">
        <w:rPr>
          <w:color w:val="000000" w:themeColor="text1"/>
        </w:rPr>
        <w:t>(</w:t>
      </w:r>
      <w:proofErr w:type="gramStart"/>
      <w:r w:rsidRPr="00013F71">
        <w:rPr>
          <w:color w:val="000000" w:themeColor="text1"/>
        </w:rPr>
        <w:t>source</w:t>
      </w:r>
      <w:proofErr w:type="gramEnd"/>
      <w:r w:rsidRPr="00013F71">
        <w:rPr>
          <w:color w:val="000000" w:themeColor="text1"/>
        </w:rPr>
        <w:t xml:space="preserve">: </w:t>
      </w:r>
      <w:r w:rsidR="00E90660" w:rsidRPr="00013F71">
        <w:rPr>
          <w:color w:val="000000" w:themeColor="text1"/>
        </w:rPr>
        <w:t xml:space="preserve">CREG </w:t>
      </w:r>
      <w:r w:rsidRPr="00013F71">
        <w:rPr>
          <w:color w:val="000000" w:themeColor="text1"/>
        </w:rPr>
        <w:t>January 201</w:t>
      </w:r>
      <w:r w:rsidR="008847D4" w:rsidRPr="00013F71">
        <w:rPr>
          <w:color w:val="000000" w:themeColor="text1"/>
        </w:rPr>
        <w:t>6</w:t>
      </w:r>
      <w:r w:rsidR="00A76C34" w:rsidRPr="00013F71">
        <w:rPr>
          <w:color w:val="000000" w:themeColor="text1"/>
        </w:rPr>
        <w:t>)</w:t>
      </w:r>
    </w:p>
    <w:p w14:paraId="4DC35480" w14:textId="77777777" w:rsidR="00C26571" w:rsidRPr="00013F71" w:rsidRDefault="00C26571" w:rsidP="00C26571">
      <w:pPr>
        <w:ind w:firstLine="720"/>
      </w:pPr>
    </w:p>
    <w:p w14:paraId="10B6E379" w14:textId="77777777" w:rsidR="005E02ED" w:rsidRPr="00013F71" w:rsidRDefault="005E02ED" w:rsidP="00C26571">
      <w:pPr>
        <w:ind w:firstLine="720"/>
      </w:pPr>
    </w:p>
    <w:p w14:paraId="26BAF25D" w14:textId="77777777" w:rsidR="00A35E34" w:rsidRPr="00013F71" w:rsidRDefault="00A35E34" w:rsidP="00C26571">
      <w:pPr>
        <w:ind w:firstLine="720"/>
        <w:rPr>
          <w:sz w:val="24"/>
          <w:szCs w:val="24"/>
        </w:rPr>
      </w:pPr>
    </w:p>
    <w:p w14:paraId="42E7F774" w14:textId="52892306" w:rsidR="00EF6566" w:rsidRPr="00013F71" w:rsidRDefault="0016571A" w:rsidP="00C26571">
      <w:pPr>
        <w:ind w:firstLine="720"/>
        <w:rPr>
          <w:sz w:val="24"/>
          <w:szCs w:val="24"/>
        </w:rPr>
      </w:pPr>
      <w:r w:rsidRPr="00013F71">
        <w:rPr>
          <w:sz w:val="24"/>
          <w:szCs w:val="24"/>
        </w:rPr>
        <w:t>Related</w:t>
      </w:r>
      <w:r w:rsidR="00B26721" w:rsidRPr="00013F71">
        <w:rPr>
          <w:sz w:val="24"/>
          <w:szCs w:val="24"/>
        </w:rPr>
        <w:t xml:space="preserve"> to</w:t>
      </w:r>
      <w:r w:rsidR="00EF6566" w:rsidRPr="00013F71">
        <w:rPr>
          <w:sz w:val="24"/>
          <w:szCs w:val="24"/>
        </w:rPr>
        <w:t xml:space="preserve"> the extractive industries, 2016</w:t>
      </w:r>
      <w:r w:rsidR="00B26721" w:rsidRPr="00013F71">
        <w:rPr>
          <w:sz w:val="24"/>
          <w:szCs w:val="24"/>
        </w:rPr>
        <w:t xml:space="preserve"> sales</w:t>
      </w:r>
      <w:r w:rsidR="00EF6566" w:rsidRPr="00013F71">
        <w:rPr>
          <w:sz w:val="24"/>
          <w:szCs w:val="24"/>
        </w:rPr>
        <w:t xml:space="preserve"> and use taxes were up from 2014</w:t>
      </w:r>
      <w:r w:rsidR="00B26721" w:rsidRPr="00013F71">
        <w:rPr>
          <w:sz w:val="24"/>
          <w:szCs w:val="24"/>
        </w:rPr>
        <w:t xml:space="preserve"> by </w:t>
      </w:r>
      <w:r w:rsidR="00EF6566" w:rsidRPr="00013F71">
        <w:rPr>
          <w:sz w:val="24"/>
          <w:szCs w:val="24"/>
        </w:rPr>
        <w:t>slightly less than 1%</w:t>
      </w:r>
      <w:r w:rsidR="00B26721" w:rsidRPr="00013F71">
        <w:rPr>
          <w:sz w:val="24"/>
          <w:szCs w:val="24"/>
        </w:rPr>
        <w:t>, with a</w:t>
      </w:r>
      <w:r w:rsidR="00EF6566" w:rsidRPr="00013F71">
        <w:rPr>
          <w:sz w:val="24"/>
          <w:szCs w:val="24"/>
        </w:rPr>
        <w:t xml:space="preserve"> decrease expected for 2018 of 6% biennium-to-biennium</w:t>
      </w:r>
      <w:r w:rsidR="00EB4DCC" w:rsidRPr="00013F71">
        <w:rPr>
          <w:sz w:val="24"/>
          <w:szCs w:val="24"/>
        </w:rPr>
        <w:t xml:space="preserve"> (it is important to note that from 2010 to 2014 sales and use taxes, having grown along with the oil and gas industry, increased by 11% for that period)</w:t>
      </w:r>
      <w:r w:rsidR="00EF6566" w:rsidRPr="00013F71">
        <w:rPr>
          <w:sz w:val="24"/>
          <w:szCs w:val="24"/>
        </w:rPr>
        <w:t xml:space="preserve">.  Spending associated with the mining industry was the main driver of both the </w:t>
      </w:r>
      <w:r w:rsidR="00EB4DCC" w:rsidRPr="00013F71">
        <w:rPr>
          <w:sz w:val="24"/>
          <w:szCs w:val="24"/>
        </w:rPr>
        <w:t xml:space="preserve">previous </w:t>
      </w:r>
      <w:r w:rsidR="00EF6566" w:rsidRPr="00013F71">
        <w:rPr>
          <w:sz w:val="24"/>
          <w:szCs w:val="24"/>
        </w:rPr>
        <w:t xml:space="preserve">increases and the expected decreases over the next </w:t>
      </w:r>
      <w:r w:rsidR="006E7F92">
        <w:rPr>
          <w:sz w:val="24"/>
          <w:szCs w:val="24"/>
        </w:rPr>
        <w:t>decade</w:t>
      </w:r>
      <w:r w:rsidR="00EF6566" w:rsidRPr="00013F71">
        <w:rPr>
          <w:sz w:val="24"/>
          <w:szCs w:val="24"/>
        </w:rPr>
        <w:t>.</w:t>
      </w:r>
    </w:p>
    <w:p w14:paraId="0204A889" w14:textId="77777777" w:rsidR="00EF6566" w:rsidRPr="00013F71" w:rsidRDefault="00EF6566" w:rsidP="00C26571">
      <w:pPr>
        <w:ind w:firstLine="720"/>
        <w:rPr>
          <w:sz w:val="24"/>
          <w:szCs w:val="24"/>
        </w:rPr>
      </w:pPr>
    </w:p>
    <w:p w14:paraId="71CC73BB" w14:textId="77777777" w:rsidR="00C0324C" w:rsidRPr="00013F71" w:rsidRDefault="00C0324C" w:rsidP="000B03EA">
      <w:pPr>
        <w:ind w:firstLine="720"/>
        <w:rPr>
          <w:sz w:val="24"/>
          <w:szCs w:val="24"/>
        </w:rPr>
      </w:pPr>
    </w:p>
    <w:p w14:paraId="6D3FCCEC" w14:textId="77777777" w:rsidR="00C26571" w:rsidRPr="00013F71" w:rsidRDefault="00B677AC" w:rsidP="00C26571">
      <w:pPr>
        <w:ind w:firstLine="720"/>
        <w:rPr>
          <w:b/>
          <w:bCs/>
          <w:sz w:val="24"/>
          <w:szCs w:val="24"/>
        </w:rPr>
      </w:pPr>
      <w:r w:rsidRPr="00013F71">
        <w:rPr>
          <w:b/>
          <w:bCs/>
          <w:sz w:val="24"/>
          <w:szCs w:val="24"/>
        </w:rPr>
        <w:t>EMPLOYMENT</w:t>
      </w:r>
    </w:p>
    <w:p w14:paraId="43A57644" w14:textId="77777777" w:rsidR="00475707" w:rsidRPr="00013F71" w:rsidRDefault="00475707" w:rsidP="00C26571">
      <w:pPr>
        <w:ind w:firstLine="720"/>
        <w:rPr>
          <w:b/>
          <w:bCs/>
          <w:sz w:val="24"/>
          <w:szCs w:val="24"/>
        </w:rPr>
      </w:pPr>
    </w:p>
    <w:p w14:paraId="61533C61" w14:textId="20AB3A3A" w:rsidR="00D47878" w:rsidRPr="00013F71" w:rsidRDefault="00EA1D80" w:rsidP="00D47878">
      <w:pPr>
        <w:ind w:firstLine="720"/>
        <w:rPr>
          <w:sz w:val="24"/>
          <w:szCs w:val="24"/>
        </w:rPr>
      </w:pPr>
      <w:r w:rsidRPr="00013F71">
        <w:rPr>
          <w:sz w:val="24"/>
          <w:szCs w:val="24"/>
        </w:rPr>
        <w:t xml:space="preserve">According to the </w:t>
      </w:r>
      <w:r w:rsidR="00403995" w:rsidRPr="00013F71">
        <w:rPr>
          <w:sz w:val="24"/>
          <w:szCs w:val="24"/>
        </w:rPr>
        <w:t xml:space="preserve">Wyoming Department of Workforce Services, Wyoming’s </w:t>
      </w:r>
      <w:r w:rsidR="00FB5B30" w:rsidRPr="00013F71">
        <w:rPr>
          <w:sz w:val="24"/>
          <w:szCs w:val="24"/>
        </w:rPr>
        <w:t xml:space="preserve">2015 </w:t>
      </w:r>
      <w:r w:rsidR="00403995" w:rsidRPr="00013F71">
        <w:rPr>
          <w:sz w:val="24"/>
          <w:szCs w:val="24"/>
        </w:rPr>
        <w:t>unemployment rate increased from 4.1 percent in November to 4.3% in December (1/26/2016).</w:t>
      </w:r>
      <w:r w:rsidR="00FB5B30" w:rsidRPr="00013F71">
        <w:rPr>
          <w:sz w:val="24"/>
          <w:szCs w:val="24"/>
        </w:rPr>
        <w:t xml:space="preserve">  These numbers are slightly higher than a year ago, and still remain</w:t>
      </w:r>
      <w:r w:rsidR="00403995" w:rsidRPr="00013F71">
        <w:rPr>
          <w:sz w:val="24"/>
          <w:szCs w:val="24"/>
        </w:rPr>
        <w:t xml:space="preserve"> below the national average, according to the </w:t>
      </w:r>
      <w:r w:rsidRPr="00013F71">
        <w:rPr>
          <w:sz w:val="24"/>
          <w:szCs w:val="24"/>
        </w:rPr>
        <w:t>US</w:t>
      </w:r>
      <w:r w:rsidR="00A87DE9">
        <w:rPr>
          <w:sz w:val="24"/>
          <w:szCs w:val="24"/>
        </w:rPr>
        <w:t xml:space="preserve"> </w:t>
      </w:r>
      <w:r w:rsidRPr="00013F71">
        <w:rPr>
          <w:sz w:val="24"/>
          <w:szCs w:val="24"/>
        </w:rPr>
        <w:t>Bureau of Labor Statistics</w:t>
      </w:r>
      <w:r w:rsidR="00403995" w:rsidRPr="00013F71">
        <w:rPr>
          <w:sz w:val="24"/>
          <w:szCs w:val="24"/>
        </w:rPr>
        <w:t>, of 4.9 percent.</w:t>
      </w:r>
      <w:r w:rsidR="00A47DC5" w:rsidRPr="00013F71">
        <w:rPr>
          <w:sz w:val="24"/>
          <w:szCs w:val="24"/>
        </w:rPr>
        <w:t xml:space="preserve">  </w:t>
      </w:r>
      <w:r w:rsidR="00D47878" w:rsidRPr="00013F71">
        <w:rPr>
          <w:sz w:val="24"/>
          <w:szCs w:val="24"/>
        </w:rPr>
        <w:t xml:space="preserve">In Wyoming, during a typical year, almost all county unemployment rates peak in January, and then decline through the spring and summer months, reaching their lowest point in August or September. </w:t>
      </w:r>
      <w:r w:rsidR="00FB5B30" w:rsidRPr="00013F71">
        <w:rPr>
          <w:sz w:val="24"/>
          <w:szCs w:val="24"/>
        </w:rPr>
        <w:t xml:space="preserve"> The seasonal decline is expected each year due to the change in weather and associated job losses seen in the construction industry. </w:t>
      </w:r>
    </w:p>
    <w:p w14:paraId="28BBB3B7" w14:textId="77777777" w:rsidR="000C4A61" w:rsidRPr="00013F71" w:rsidRDefault="000C4A61" w:rsidP="00D47878">
      <w:pPr>
        <w:ind w:firstLine="720"/>
        <w:rPr>
          <w:sz w:val="24"/>
          <w:szCs w:val="24"/>
        </w:rPr>
      </w:pPr>
    </w:p>
    <w:p w14:paraId="4A374684" w14:textId="0C592704" w:rsidR="00FA1646" w:rsidRPr="00013F71" w:rsidRDefault="00FA1646" w:rsidP="00EA1D80">
      <w:pPr>
        <w:ind w:firstLine="720"/>
        <w:rPr>
          <w:sz w:val="24"/>
          <w:szCs w:val="24"/>
        </w:rPr>
      </w:pPr>
      <w:r w:rsidRPr="00013F71">
        <w:rPr>
          <w:sz w:val="24"/>
          <w:szCs w:val="24"/>
        </w:rPr>
        <w:t>Until very recently, a</w:t>
      </w:r>
      <w:r w:rsidR="004C43AC" w:rsidRPr="00013F71">
        <w:rPr>
          <w:sz w:val="24"/>
          <w:szCs w:val="24"/>
        </w:rPr>
        <w:t>s the U.S. economy has slowly</w:t>
      </w:r>
      <w:r w:rsidR="00EA1D80" w:rsidRPr="00013F71">
        <w:rPr>
          <w:sz w:val="24"/>
          <w:szCs w:val="24"/>
        </w:rPr>
        <w:t xml:space="preserve"> been improving, unemploymen</w:t>
      </w:r>
      <w:r w:rsidRPr="00013F71">
        <w:rPr>
          <w:sz w:val="24"/>
          <w:szCs w:val="24"/>
        </w:rPr>
        <w:t>t in Wyoming continued</w:t>
      </w:r>
      <w:r w:rsidR="00C81A32" w:rsidRPr="00013F71">
        <w:rPr>
          <w:sz w:val="24"/>
          <w:szCs w:val="24"/>
        </w:rPr>
        <w:t xml:space="preserve"> to fall</w:t>
      </w:r>
      <w:r w:rsidR="00A47DC5" w:rsidRPr="00013F71">
        <w:rPr>
          <w:sz w:val="24"/>
          <w:szCs w:val="24"/>
        </w:rPr>
        <w:t xml:space="preserve"> due, in large part, to the “continuing growth in the state’s mineral and energy extraction industries, particularly in oil extraction endeavors across the state” (Chilton, 12/26/14)</w:t>
      </w:r>
      <w:r w:rsidR="00C81A32" w:rsidRPr="00013F71">
        <w:rPr>
          <w:sz w:val="24"/>
          <w:szCs w:val="24"/>
        </w:rPr>
        <w:t xml:space="preserve">.  </w:t>
      </w:r>
      <w:r w:rsidRPr="00013F71">
        <w:rPr>
          <w:sz w:val="24"/>
          <w:szCs w:val="24"/>
        </w:rPr>
        <w:t xml:space="preserve">Even under the current environment, </w:t>
      </w:r>
      <w:r w:rsidR="007E4E24" w:rsidRPr="00013F71">
        <w:rPr>
          <w:sz w:val="24"/>
          <w:szCs w:val="24"/>
        </w:rPr>
        <w:t>the extractive industry has been reticent to lay off workers because “in general, folks like to hang onto their workers because it’s hard to get them back” (</w:t>
      </w:r>
      <w:proofErr w:type="spellStart"/>
      <w:r w:rsidR="007E4E24" w:rsidRPr="00013F71">
        <w:rPr>
          <w:sz w:val="24"/>
          <w:szCs w:val="24"/>
        </w:rPr>
        <w:t>Storrow</w:t>
      </w:r>
      <w:proofErr w:type="spellEnd"/>
      <w:r w:rsidR="007E4E24" w:rsidRPr="00013F71">
        <w:rPr>
          <w:sz w:val="24"/>
          <w:szCs w:val="24"/>
        </w:rPr>
        <w:t>, 1/7/16).  By way of example, while output from Wyoming coal mi</w:t>
      </w:r>
      <w:r w:rsidR="001B6560">
        <w:rPr>
          <w:sz w:val="24"/>
          <w:szCs w:val="24"/>
        </w:rPr>
        <w:t>nes has fallen by 14% since 201</w:t>
      </w:r>
      <w:r w:rsidR="007E4E24" w:rsidRPr="00013F71">
        <w:rPr>
          <w:sz w:val="24"/>
          <w:szCs w:val="24"/>
        </w:rPr>
        <w:t>1, employment in the industry has decreased by only half that amount, according to the U.S. Mine Safety and Health Administration (Ibid.).  This is possible, in part, because the “low labor costs help make Wyoming coal more economically competitive with natural gas than its Appalachian and Illinois Basin competitors” (Ibid.)</w:t>
      </w:r>
      <w:r w:rsidR="00190E0F" w:rsidRPr="00013F71">
        <w:rPr>
          <w:sz w:val="24"/>
          <w:szCs w:val="24"/>
        </w:rPr>
        <w:t>.</w:t>
      </w:r>
    </w:p>
    <w:p w14:paraId="43EA48C0" w14:textId="77777777" w:rsidR="000C4A61" w:rsidRPr="00013F71" w:rsidRDefault="000C4A61" w:rsidP="00EA1D80">
      <w:pPr>
        <w:ind w:firstLine="720"/>
        <w:rPr>
          <w:sz w:val="24"/>
          <w:szCs w:val="24"/>
        </w:rPr>
      </w:pPr>
    </w:p>
    <w:p w14:paraId="7CEEE05D" w14:textId="398A75F8" w:rsidR="00190E0F" w:rsidRPr="00013F71" w:rsidRDefault="00190E0F" w:rsidP="00EA1D80">
      <w:pPr>
        <w:ind w:firstLine="720"/>
        <w:rPr>
          <w:sz w:val="24"/>
          <w:szCs w:val="24"/>
        </w:rPr>
      </w:pPr>
      <w:r w:rsidRPr="00013F71">
        <w:rPr>
          <w:sz w:val="24"/>
          <w:szCs w:val="24"/>
        </w:rPr>
        <w:t xml:space="preserve">A slightly different story exists, however, in the petroleum industry.  Anadarko Petroleum announced in early </w:t>
      </w:r>
      <w:r w:rsidR="001B6560" w:rsidRPr="00013F71">
        <w:rPr>
          <w:sz w:val="24"/>
          <w:szCs w:val="24"/>
        </w:rPr>
        <w:t>March</w:t>
      </w:r>
      <w:r w:rsidRPr="00013F71">
        <w:rPr>
          <w:sz w:val="24"/>
          <w:szCs w:val="24"/>
        </w:rPr>
        <w:t xml:space="preserve"> </w:t>
      </w:r>
      <w:r w:rsidR="001B6560">
        <w:rPr>
          <w:sz w:val="24"/>
          <w:szCs w:val="24"/>
        </w:rPr>
        <w:t xml:space="preserve">that </w:t>
      </w:r>
      <w:r w:rsidRPr="00013F71">
        <w:rPr>
          <w:sz w:val="24"/>
          <w:szCs w:val="24"/>
        </w:rPr>
        <w:t>“it will cut 17% of its corporate workforce (approximately 1000 employees across its operations) in an effort to navigate a prolonged drop in crude prices” (</w:t>
      </w:r>
      <w:proofErr w:type="spellStart"/>
      <w:r w:rsidRPr="00013F71">
        <w:rPr>
          <w:sz w:val="24"/>
          <w:szCs w:val="24"/>
        </w:rPr>
        <w:t>Storrow</w:t>
      </w:r>
      <w:proofErr w:type="spellEnd"/>
      <w:r w:rsidRPr="00013F71">
        <w:rPr>
          <w:sz w:val="24"/>
          <w:szCs w:val="24"/>
        </w:rPr>
        <w:t xml:space="preserve">, 3/10/16).  Anadarko is one of the most influential oil companies in Wyoming, and serves as a </w:t>
      </w:r>
      <w:r w:rsidR="001B6560" w:rsidRPr="00013F71">
        <w:rPr>
          <w:sz w:val="24"/>
          <w:szCs w:val="24"/>
        </w:rPr>
        <w:t>bellwether</w:t>
      </w:r>
      <w:r w:rsidRPr="00013F71">
        <w:rPr>
          <w:sz w:val="24"/>
          <w:szCs w:val="24"/>
        </w:rPr>
        <w:t xml:space="preserve"> for understanding industry employment in the state.  Indeed, Anadarko </w:t>
      </w:r>
      <w:r w:rsidR="00050CCE" w:rsidRPr="00013F71">
        <w:rPr>
          <w:sz w:val="24"/>
          <w:szCs w:val="24"/>
        </w:rPr>
        <w:t>has “all but halted” its oil drilling program in Wyoming and sold off many of its assets in Salt Creek and Powder River Basin (Ibid.).</w:t>
      </w:r>
    </w:p>
    <w:p w14:paraId="1EEB0ECC" w14:textId="77777777" w:rsidR="00FA1646" w:rsidRPr="00013F71" w:rsidRDefault="00FA1646" w:rsidP="00EA1D80">
      <w:pPr>
        <w:ind w:firstLine="720"/>
        <w:rPr>
          <w:sz w:val="24"/>
          <w:szCs w:val="24"/>
        </w:rPr>
      </w:pPr>
    </w:p>
    <w:p w14:paraId="3AA35DD5" w14:textId="16190236" w:rsidR="00FA1646" w:rsidRPr="00013F71" w:rsidRDefault="00050CCE" w:rsidP="00EA1D80">
      <w:pPr>
        <w:ind w:firstLine="720"/>
        <w:rPr>
          <w:sz w:val="24"/>
          <w:szCs w:val="24"/>
        </w:rPr>
      </w:pPr>
      <w:r w:rsidRPr="00013F71">
        <w:rPr>
          <w:sz w:val="24"/>
          <w:szCs w:val="24"/>
        </w:rPr>
        <w:t xml:space="preserve">As noted in Table 2 (below), </w:t>
      </w:r>
      <w:r w:rsidR="001B6560">
        <w:rPr>
          <w:sz w:val="24"/>
          <w:szCs w:val="24"/>
        </w:rPr>
        <w:t xml:space="preserve">overall </w:t>
      </w:r>
      <w:r w:rsidRPr="00013F71">
        <w:rPr>
          <w:sz w:val="24"/>
          <w:szCs w:val="24"/>
        </w:rPr>
        <w:t>employment across the state is down 2.2%, with the major contributor</w:t>
      </w:r>
      <w:r w:rsidR="001B6560">
        <w:rPr>
          <w:sz w:val="24"/>
          <w:szCs w:val="24"/>
        </w:rPr>
        <w:t xml:space="preserve"> being</w:t>
      </w:r>
      <w:r w:rsidRPr="00013F71">
        <w:rPr>
          <w:sz w:val="24"/>
          <w:szCs w:val="24"/>
        </w:rPr>
        <w:t xml:space="preserve"> the mining and logging sector.  The construction industry shows a decline due to the seasonal nature of that sector’s employment.  Indeed, unemployment has risen across 8 of 12 employment categories.</w:t>
      </w:r>
    </w:p>
    <w:p w14:paraId="28539749" w14:textId="77777777" w:rsidR="00FA1646" w:rsidRPr="00013F71" w:rsidRDefault="00FA1646" w:rsidP="00EA1D80">
      <w:pPr>
        <w:ind w:firstLine="720"/>
        <w:rPr>
          <w:sz w:val="24"/>
          <w:szCs w:val="24"/>
        </w:rPr>
      </w:pPr>
    </w:p>
    <w:p w14:paraId="3DB6E459" w14:textId="57DA8614" w:rsidR="00EA1D80" w:rsidRPr="00013F71" w:rsidRDefault="00557ACA" w:rsidP="00EA1D80">
      <w:pPr>
        <w:ind w:firstLine="720"/>
        <w:rPr>
          <w:sz w:val="24"/>
          <w:szCs w:val="24"/>
        </w:rPr>
      </w:pPr>
      <w:r w:rsidRPr="00013F71">
        <w:rPr>
          <w:sz w:val="24"/>
          <w:szCs w:val="24"/>
        </w:rPr>
        <w:t xml:space="preserve">Unemployment, despite </w:t>
      </w:r>
      <w:r w:rsidR="001B6560">
        <w:rPr>
          <w:sz w:val="24"/>
          <w:szCs w:val="24"/>
        </w:rPr>
        <w:t xml:space="preserve">remaining </w:t>
      </w:r>
      <w:r w:rsidRPr="00013F71">
        <w:rPr>
          <w:sz w:val="24"/>
          <w:szCs w:val="24"/>
        </w:rPr>
        <w:t>below the national average, did increase slightly from last year due to factors like students a</w:t>
      </w:r>
      <w:r w:rsidR="00D47878" w:rsidRPr="00013F71">
        <w:rPr>
          <w:sz w:val="24"/>
          <w:szCs w:val="24"/>
        </w:rPr>
        <w:t xml:space="preserve">ging into the workforce (Ibid.).  </w:t>
      </w:r>
      <w:r w:rsidR="00B052E3" w:rsidRPr="00013F71">
        <w:rPr>
          <w:sz w:val="24"/>
          <w:szCs w:val="24"/>
        </w:rPr>
        <w:t xml:space="preserve">Despite recent employment </w:t>
      </w:r>
      <w:r w:rsidR="00B052E3" w:rsidRPr="00013F71">
        <w:rPr>
          <w:sz w:val="24"/>
          <w:szCs w:val="24"/>
        </w:rPr>
        <w:lastRenderedPageBreak/>
        <w:t>growth, overall unemployment remains high compared to the period of 2005-2008 where</w:t>
      </w:r>
      <w:r w:rsidR="001B6560">
        <w:rPr>
          <w:sz w:val="24"/>
          <w:szCs w:val="24"/>
        </w:rPr>
        <w:t xml:space="preserve"> total</w:t>
      </w:r>
      <w:r w:rsidR="00B052E3" w:rsidRPr="00013F71">
        <w:rPr>
          <w:sz w:val="24"/>
          <w:szCs w:val="24"/>
        </w:rPr>
        <w:t xml:space="preserve"> unemployment rates were in the 2-3 </w:t>
      </w:r>
      <w:r w:rsidR="001B6560">
        <w:rPr>
          <w:sz w:val="24"/>
          <w:szCs w:val="24"/>
        </w:rPr>
        <w:t>%</w:t>
      </w:r>
      <w:r w:rsidR="00B052E3" w:rsidRPr="00013F71">
        <w:rPr>
          <w:sz w:val="24"/>
          <w:szCs w:val="24"/>
        </w:rPr>
        <w:t xml:space="preserve"> range.</w:t>
      </w:r>
      <w:r w:rsidR="00EA1D80" w:rsidRPr="00013F71">
        <w:rPr>
          <w:sz w:val="24"/>
          <w:szCs w:val="24"/>
        </w:rPr>
        <w:t xml:space="preserve"> This means that while </w:t>
      </w:r>
      <w:r w:rsidR="001B6560">
        <w:rPr>
          <w:sz w:val="24"/>
          <w:szCs w:val="24"/>
        </w:rPr>
        <w:t xml:space="preserve">employment </w:t>
      </w:r>
      <w:r w:rsidR="00EA1D80" w:rsidRPr="00013F71">
        <w:rPr>
          <w:sz w:val="24"/>
          <w:szCs w:val="24"/>
        </w:rPr>
        <w:t xml:space="preserve">growth has occurred in Wyoming, the state has yet to recoup the </w:t>
      </w:r>
      <w:r w:rsidR="004C43AC" w:rsidRPr="00013F71">
        <w:rPr>
          <w:sz w:val="24"/>
          <w:szCs w:val="24"/>
        </w:rPr>
        <w:t xml:space="preserve">total </w:t>
      </w:r>
      <w:r w:rsidR="00EA1D80" w:rsidRPr="00013F71">
        <w:rPr>
          <w:sz w:val="24"/>
          <w:szCs w:val="24"/>
        </w:rPr>
        <w:t>job loss that occurred as a result of the recession in 2009 and 2010</w:t>
      </w:r>
      <w:r w:rsidR="00B052E3" w:rsidRPr="00013F71">
        <w:rPr>
          <w:sz w:val="24"/>
          <w:szCs w:val="24"/>
        </w:rPr>
        <w:t>.</w:t>
      </w:r>
      <w:r w:rsidR="00EA1D80" w:rsidRPr="00013F71">
        <w:rPr>
          <w:sz w:val="24"/>
          <w:szCs w:val="24"/>
        </w:rPr>
        <w:t xml:space="preserve"> </w:t>
      </w:r>
      <w:r w:rsidR="00EA1D80" w:rsidRPr="00013F71">
        <w:rPr>
          <w:sz w:val="24"/>
          <w:szCs w:val="24"/>
        </w:rPr>
        <w:br/>
      </w:r>
      <w:r w:rsidR="00EA1D80" w:rsidRPr="00013F71">
        <w:rPr>
          <w:sz w:val="24"/>
          <w:szCs w:val="24"/>
        </w:rPr>
        <w:tab/>
      </w:r>
    </w:p>
    <w:p w14:paraId="21E1EC43" w14:textId="77777777" w:rsidR="00B052E3" w:rsidRPr="00013F71" w:rsidRDefault="00B052E3" w:rsidP="001463E1">
      <w:pPr>
        <w:ind w:firstLine="720"/>
        <w:rPr>
          <w:sz w:val="24"/>
          <w:szCs w:val="24"/>
        </w:rPr>
      </w:pPr>
    </w:p>
    <w:p w14:paraId="664BD2F5" w14:textId="77777777" w:rsidR="00C26571" w:rsidRPr="00013F71" w:rsidRDefault="00A76C34" w:rsidP="001463E1">
      <w:pPr>
        <w:ind w:firstLine="720"/>
        <w:jc w:val="center"/>
        <w:rPr>
          <w:sz w:val="24"/>
          <w:szCs w:val="24"/>
        </w:rPr>
      </w:pPr>
      <w:r w:rsidRPr="00013F71">
        <w:rPr>
          <w:sz w:val="24"/>
          <w:szCs w:val="24"/>
        </w:rPr>
        <w:t>Table 2</w:t>
      </w:r>
    </w:p>
    <w:p w14:paraId="05E8F885" w14:textId="7F6F05F3" w:rsidR="00C26571" w:rsidRPr="00013F71" w:rsidRDefault="00A721F4" w:rsidP="00C26571">
      <w:pPr>
        <w:pStyle w:val="NormalWeb"/>
        <w:spacing w:before="2" w:after="2" w:line="360" w:lineRule="auto"/>
        <w:jc w:val="center"/>
        <w:rPr>
          <w:rFonts w:ascii="Times New Roman" w:hAnsi="Times New Roman"/>
          <w:sz w:val="24"/>
          <w:szCs w:val="24"/>
        </w:rPr>
      </w:pPr>
      <w:r w:rsidRPr="00013F71">
        <w:rPr>
          <w:rFonts w:ascii="Times New Roman" w:hAnsi="Times New Roman"/>
          <w:sz w:val="24"/>
          <w:szCs w:val="24"/>
        </w:rPr>
        <w:t>December 2015</w:t>
      </w:r>
      <w:r w:rsidR="00C81A32" w:rsidRPr="00013F71">
        <w:rPr>
          <w:rFonts w:ascii="Times New Roman" w:hAnsi="Times New Roman"/>
          <w:sz w:val="24"/>
          <w:szCs w:val="24"/>
        </w:rPr>
        <w:t xml:space="preserve"> </w:t>
      </w:r>
      <w:r w:rsidR="00C26571" w:rsidRPr="00013F71">
        <w:rPr>
          <w:rFonts w:ascii="Times New Roman" w:hAnsi="Times New Roman"/>
          <w:sz w:val="24"/>
          <w:szCs w:val="24"/>
        </w:rPr>
        <w:t xml:space="preserve">Wyoming </w:t>
      </w:r>
      <w:r w:rsidR="00B42737" w:rsidRPr="00013F71">
        <w:rPr>
          <w:rFonts w:ascii="Times New Roman" w:hAnsi="Times New Roman"/>
          <w:sz w:val="24"/>
          <w:szCs w:val="24"/>
        </w:rPr>
        <w:t>Nonfarm Employment</w:t>
      </w:r>
      <w:r w:rsidR="00AE3024" w:rsidRPr="00013F71">
        <w:rPr>
          <w:rFonts w:ascii="Times New Roman" w:hAnsi="Times New Roman"/>
          <w:sz w:val="24"/>
          <w:szCs w:val="24"/>
        </w:rPr>
        <w:t xml:space="preserve"> (Preliminary)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3241"/>
        <w:gridCol w:w="3174"/>
        <w:gridCol w:w="2520"/>
      </w:tblGrid>
      <w:tr w:rsidR="00C26571" w:rsidRPr="00013F71" w14:paraId="6B490729" w14:textId="77777777" w:rsidTr="00C81A32">
        <w:tc>
          <w:tcPr>
            <w:tcW w:w="3241" w:type="dxa"/>
          </w:tcPr>
          <w:p w14:paraId="5592AEED" w14:textId="77777777" w:rsidR="00C26571" w:rsidRPr="00013F71" w:rsidRDefault="00C26571" w:rsidP="00C26571">
            <w:pPr>
              <w:pStyle w:val="NormalWeb"/>
              <w:spacing w:before="2" w:after="2" w:line="360" w:lineRule="auto"/>
              <w:rPr>
                <w:rFonts w:ascii="Times New Roman" w:hAnsi="Times New Roman"/>
                <w:sz w:val="24"/>
                <w:szCs w:val="24"/>
              </w:rPr>
            </w:pPr>
            <w:r w:rsidRPr="00013F71">
              <w:rPr>
                <w:rFonts w:ascii="Times New Roman" w:hAnsi="Times New Roman"/>
                <w:sz w:val="24"/>
                <w:szCs w:val="24"/>
              </w:rPr>
              <w:t>Category</w:t>
            </w:r>
          </w:p>
        </w:tc>
        <w:tc>
          <w:tcPr>
            <w:tcW w:w="3174" w:type="dxa"/>
          </w:tcPr>
          <w:p w14:paraId="774DA52B" w14:textId="77777777" w:rsidR="00C26571" w:rsidRPr="00013F71" w:rsidRDefault="00C26571" w:rsidP="00C81A32">
            <w:pPr>
              <w:pStyle w:val="NormalWeb"/>
              <w:spacing w:before="2" w:after="2" w:line="360" w:lineRule="auto"/>
              <w:jc w:val="center"/>
              <w:rPr>
                <w:rFonts w:ascii="Times New Roman" w:hAnsi="Times New Roman"/>
                <w:sz w:val="24"/>
                <w:szCs w:val="24"/>
              </w:rPr>
            </w:pPr>
            <w:r w:rsidRPr="00013F71">
              <w:rPr>
                <w:rFonts w:ascii="Times New Roman" w:hAnsi="Times New Roman"/>
                <w:sz w:val="24"/>
                <w:szCs w:val="24"/>
              </w:rPr>
              <w:t>Number of Jobs</w:t>
            </w:r>
          </w:p>
        </w:tc>
        <w:tc>
          <w:tcPr>
            <w:tcW w:w="2520" w:type="dxa"/>
          </w:tcPr>
          <w:p w14:paraId="78C6521C" w14:textId="77777777" w:rsidR="00C26571" w:rsidRPr="00013F71" w:rsidRDefault="00B459A3" w:rsidP="00B459A3">
            <w:pPr>
              <w:pStyle w:val="NormalWeb"/>
              <w:spacing w:before="2" w:after="2" w:line="360" w:lineRule="auto"/>
              <w:rPr>
                <w:rFonts w:ascii="Times New Roman" w:hAnsi="Times New Roman"/>
                <w:sz w:val="24"/>
                <w:szCs w:val="24"/>
              </w:rPr>
            </w:pPr>
            <w:r w:rsidRPr="00013F71">
              <w:rPr>
                <w:rFonts w:ascii="Times New Roman" w:hAnsi="Times New Roman"/>
                <w:sz w:val="24"/>
                <w:szCs w:val="24"/>
              </w:rPr>
              <w:t>12-month % c</w:t>
            </w:r>
            <w:r w:rsidR="001463E1" w:rsidRPr="00013F71">
              <w:rPr>
                <w:rFonts w:ascii="Times New Roman" w:hAnsi="Times New Roman"/>
                <w:sz w:val="24"/>
                <w:szCs w:val="24"/>
              </w:rPr>
              <w:t>hange</w:t>
            </w:r>
          </w:p>
        </w:tc>
      </w:tr>
      <w:tr w:rsidR="00C26571" w:rsidRPr="00013F71" w14:paraId="7C83B82B" w14:textId="77777777" w:rsidTr="00C81A32">
        <w:tc>
          <w:tcPr>
            <w:tcW w:w="3241" w:type="dxa"/>
          </w:tcPr>
          <w:p w14:paraId="6BA4ADFF" w14:textId="77777777" w:rsidR="00C26571" w:rsidRPr="00013F71" w:rsidRDefault="00C26571" w:rsidP="00C26571">
            <w:pPr>
              <w:pStyle w:val="NormalWeb"/>
              <w:spacing w:before="2" w:after="2" w:line="360" w:lineRule="auto"/>
              <w:rPr>
                <w:rFonts w:ascii="Times New Roman" w:hAnsi="Times New Roman"/>
                <w:sz w:val="24"/>
                <w:szCs w:val="24"/>
              </w:rPr>
            </w:pPr>
            <w:r w:rsidRPr="00013F71">
              <w:rPr>
                <w:rFonts w:ascii="Times New Roman" w:hAnsi="Times New Roman"/>
                <w:sz w:val="24"/>
                <w:szCs w:val="24"/>
              </w:rPr>
              <w:t>Statewide</w:t>
            </w:r>
          </w:p>
        </w:tc>
        <w:tc>
          <w:tcPr>
            <w:tcW w:w="3174" w:type="dxa"/>
          </w:tcPr>
          <w:p w14:paraId="27B40474" w14:textId="78E13C2E" w:rsidR="00C26571" w:rsidRPr="00013F71" w:rsidRDefault="00FB5B30" w:rsidP="00C81A32">
            <w:pPr>
              <w:pStyle w:val="NormalWeb"/>
              <w:spacing w:before="2" w:after="2" w:line="360" w:lineRule="auto"/>
              <w:jc w:val="center"/>
              <w:rPr>
                <w:rFonts w:ascii="Times New Roman" w:hAnsi="Times New Roman"/>
                <w:sz w:val="24"/>
                <w:szCs w:val="24"/>
              </w:rPr>
            </w:pPr>
            <w:r w:rsidRPr="00013F71">
              <w:rPr>
                <w:rFonts w:ascii="Times New Roman" w:hAnsi="Times New Roman"/>
                <w:sz w:val="24"/>
                <w:szCs w:val="24"/>
              </w:rPr>
              <w:t>288,600</w:t>
            </w:r>
          </w:p>
        </w:tc>
        <w:tc>
          <w:tcPr>
            <w:tcW w:w="2520" w:type="dxa"/>
          </w:tcPr>
          <w:p w14:paraId="401B9083" w14:textId="6432FF70" w:rsidR="00C26571" w:rsidRPr="00013F71" w:rsidRDefault="00FB5B30" w:rsidP="00C81A32">
            <w:pPr>
              <w:pStyle w:val="NormalWeb"/>
              <w:spacing w:before="2" w:after="2" w:line="360" w:lineRule="auto"/>
              <w:jc w:val="center"/>
              <w:rPr>
                <w:rFonts w:ascii="Times New Roman" w:hAnsi="Times New Roman"/>
                <w:sz w:val="24"/>
                <w:szCs w:val="24"/>
              </w:rPr>
            </w:pPr>
            <w:r w:rsidRPr="00013F71">
              <w:rPr>
                <w:rFonts w:ascii="Times New Roman" w:hAnsi="Times New Roman"/>
                <w:sz w:val="24"/>
                <w:szCs w:val="24"/>
              </w:rPr>
              <w:t>-2.2</w:t>
            </w:r>
          </w:p>
        </w:tc>
      </w:tr>
      <w:tr w:rsidR="00C26571" w:rsidRPr="00013F71" w14:paraId="0A54D991" w14:textId="77777777" w:rsidTr="00C81A32">
        <w:tc>
          <w:tcPr>
            <w:tcW w:w="3241" w:type="dxa"/>
          </w:tcPr>
          <w:p w14:paraId="643D4DDE" w14:textId="77777777" w:rsidR="00C26571" w:rsidRPr="00013F71" w:rsidRDefault="00C26571" w:rsidP="00C26571">
            <w:pPr>
              <w:pStyle w:val="NormalWeb"/>
              <w:spacing w:before="2" w:after="2" w:line="360" w:lineRule="auto"/>
              <w:rPr>
                <w:rFonts w:ascii="Times New Roman" w:hAnsi="Times New Roman"/>
                <w:sz w:val="24"/>
                <w:szCs w:val="24"/>
              </w:rPr>
            </w:pPr>
            <w:r w:rsidRPr="00013F71">
              <w:rPr>
                <w:rFonts w:ascii="Times New Roman" w:hAnsi="Times New Roman"/>
                <w:sz w:val="24"/>
                <w:szCs w:val="24"/>
              </w:rPr>
              <w:t>Mining</w:t>
            </w:r>
            <w:r w:rsidR="00890064" w:rsidRPr="00013F71">
              <w:rPr>
                <w:rFonts w:ascii="Times New Roman" w:hAnsi="Times New Roman"/>
                <w:sz w:val="24"/>
                <w:szCs w:val="24"/>
              </w:rPr>
              <w:t xml:space="preserve"> and Logging</w:t>
            </w:r>
          </w:p>
        </w:tc>
        <w:tc>
          <w:tcPr>
            <w:tcW w:w="3174" w:type="dxa"/>
          </w:tcPr>
          <w:p w14:paraId="1EE12E6B" w14:textId="57720047" w:rsidR="00C26571" w:rsidRPr="00013F71" w:rsidRDefault="00FB5B30" w:rsidP="00C81A32">
            <w:pPr>
              <w:pStyle w:val="NormalWeb"/>
              <w:spacing w:before="2" w:after="2" w:line="360" w:lineRule="auto"/>
              <w:jc w:val="center"/>
              <w:rPr>
                <w:rFonts w:ascii="Times New Roman" w:hAnsi="Times New Roman"/>
                <w:sz w:val="24"/>
                <w:szCs w:val="24"/>
              </w:rPr>
            </w:pPr>
            <w:r w:rsidRPr="00013F71">
              <w:rPr>
                <w:rFonts w:ascii="Times New Roman" w:hAnsi="Times New Roman"/>
                <w:sz w:val="24"/>
                <w:szCs w:val="24"/>
              </w:rPr>
              <w:t>21,800</w:t>
            </w:r>
          </w:p>
        </w:tc>
        <w:tc>
          <w:tcPr>
            <w:tcW w:w="2520" w:type="dxa"/>
          </w:tcPr>
          <w:p w14:paraId="3FBE8082" w14:textId="7279CCF5" w:rsidR="00C26571" w:rsidRPr="00013F71" w:rsidRDefault="00FB5B30" w:rsidP="00C81A32">
            <w:pPr>
              <w:pStyle w:val="NormalWeb"/>
              <w:spacing w:before="2" w:after="2" w:line="360" w:lineRule="auto"/>
              <w:jc w:val="center"/>
              <w:rPr>
                <w:rFonts w:ascii="Times New Roman" w:hAnsi="Times New Roman"/>
                <w:sz w:val="24"/>
                <w:szCs w:val="24"/>
              </w:rPr>
            </w:pPr>
            <w:r w:rsidRPr="00013F71">
              <w:rPr>
                <w:rFonts w:ascii="Times New Roman" w:hAnsi="Times New Roman"/>
                <w:sz w:val="24"/>
                <w:szCs w:val="24"/>
              </w:rPr>
              <w:t>-19.9</w:t>
            </w:r>
          </w:p>
        </w:tc>
      </w:tr>
      <w:tr w:rsidR="00C26571" w:rsidRPr="00013F71" w14:paraId="01A57297" w14:textId="77777777" w:rsidTr="00C81A32">
        <w:tc>
          <w:tcPr>
            <w:tcW w:w="3241" w:type="dxa"/>
          </w:tcPr>
          <w:p w14:paraId="742B3716" w14:textId="77777777" w:rsidR="00C26571" w:rsidRPr="00013F71" w:rsidRDefault="00C26571" w:rsidP="00C26571">
            <w:pPr>
              <w:pStyle w:val="NormalWeb"/>
              <w:spacing w:before="2" w:after="2" w:line="360" w:lineRule="auto"/>
              <w:rPr>
                <w:rFonts w:ascii="Times New Roman" w:hAnsi="Times New Roman"/>
                <w:sz w:val="24"/>
                <w:szCs w:val="24"/>
              </w:rPr>
            </w:pPr>
            <w:r w:rsidRPr="00013F71">
              <w:rPr>
                <w:rFonts w:ascii="Times New Roman" w:hAnsi="Times New Roman"/>
                <w:sz w:val="24"/>
                <w:szCs w:val="24"/>
              </w:rPr>
              <w:t>Construction</w:t>
            </w:r>
          </w:p>
        </w:tc>
        <w:tc>
          <w:tcPr>
            <w:tcW w:w="3174" w:type="dxa"/>
          </w:tcPr>
          <w:p w14:paraId="38ED35A9" w14:textId="41A6828F" w:rsidR="00C26571" w:rsidRPr="00013F71" w:rsidRDefault="00FB5B30" w:rsidP="00C81A32">
            <w:pPr>
              <w:pStyle w:val="NormalWeb"/>
              <w:spacing w:before="2" w:after="2" w:line="360" w:lineRule="auto"/>
              <w:jc w:val="center"/>
              <w:rPr>
                <w:rFonts w:ascii="Times New Roman" w:hAnsi="Times New Roman"/>
                <w:sz w:val="24"/>
                <w:szCs w:val="24"/>
              </w:rPr>
            </w:pPr>
            <w:r w:rsidRPr="00013F71">
              <w:rPr>
                <w:rFonts w:ascii="Times New Roman" w:hAnsi="Times New Roman"/>
                <w:sz w:val="24"/>
                <w:szCs w:val="24"/>
              </w:rPr>
              <w:t>23,400</w:t>
            </w:r>
          </w:p>
        </w:tc>
        <w:tc>
          <w:tcPr>
            <w:tcW w:w="2520" w:type="dxa"/>
          </w:tcPr>
          <w:p w14:paraId="7F30792B" w14:textId="5B9D2BD4" w:rsidR="00C26571" w:rsidRPr="00013F71" w:rsidRDefault="00FB5B30" w:rsidP="00C81A32">
            <w:pPr>
              <w:pStyle w:val="NormalWeb"/>
              <w:spacing w:before="2" w:after="2" w:line="360" w:lineRule="auto"/>
              <w:jc w:val="center"/>
              <w:rPr>
                <w:rFonts w:ascii="Times New Roman" w:hAnsi="Times New Roman"/>
                <w:sz w:val="24"/>
                <w:szCs w:val="24"/>
              </w:rPr>
            </w:pPr>
            <w:r w:rsidRPr="00013F71">
              <w:rPr>
                <w:rFonts w:ascii="Times New Roman" w:hAnsi="Times New Roman"/>
                <w:sz w:val="24"/>
                <w:szCs w:val="24"/>
              </w:rPr>
              <w:t>-1.7</w:t>
            </w:r>
          </w:p>
        </w:tc>
      </w:tr>
      <w:tr w:rsidR="00C26571" w:rsidRPr="00013F71" w14:paraId="22F8071B" w14:textId="77777777" w:rsidTr="00C81A32">
        <w:tc>
          <w:tcPr>
            <w:tcW w:w="3241" w:type="dxa"/>
          </w:tcPr>
          <w:p w14:paraId="4329CA05" w14:textId="77777777" w:rsidR="00C26571" w:rsidRPr="00013F71" w:rsidRDefault="00C26571" w:rsidP="00C26571">
            <w:pPr>
              <w:pStyle w:val="NormalWeb"/>
              <w:spacing w:before="2" w:after="2" w:line="360" w:lineRule="auto"/>
              <w:rPr>
                <w:rFonts w:ascii="Times New Roman" w:hAnsi="Times New Roman"/>
                <w:sz w:val="24"/>
                <w:szCs w:val="24"/>
              </w:rPr>
            </w:pPr>
            <w:r w:rsidRPr="00013F71">
              <w:rPr>
                <w:rFonts w:ascii="Times New Roman" w:hAnsi="Times New Roman"/>
                <w:sz w:val="24"/>
                <w:szCs w:val="24"/>
              </w:rPr>
              <w:t>Leisure and Hospitality</w:t>
            </w:r>
          </w:p>
        </w:tc>
        <w:tc>
          <w:tcPr>
            <w:tcW w:w="3174" w:type="dxa"/>
          </w:tcPr>
          <w:p w14:paraId="35380061" w14:textId="1BFE3786" w:rsidR="00C26571" w:rsidRPr="00013F71" w:rsidRDefault="000D4DED" w:rsidP="00C81A32">
            <w:pPr>
              <w:pStyle w:val="NormalWeb"/>
              <w:spacing w:before="2" w:after="2" w:line="360" w:lineRule="auto"/>
              <w:jc w:val="center"/>
              <w:rPr>
                <w:rFonts w:ascii="Times New Roman" w:hAnsi="Times New Roman"/>
                <w:sz w:val="24"/>
                <w:szCs w:val="24"/>
              </w:rPr>
            </w:pPr>
            <w:r w:rsidRPr="00013F71">
              <w:rPr>
                <w:rFonts w:ascii="Times New Roman" w:hAnsi="Times New Roman"/>
                <w:sz w:val="24"/>
                <w:szCs w:val="24"/>
              </w:rPr>
              <w:t>35,600</w:t>
            </w:r>
          </w:p>
        </w:tc>
        <w:tc>
          <w:tcPr>
            <w:tcW w:w="2520" w:type="dxa"/>
          </w:tcPr>
          <w:p w14:paraId="40735105" w14:textId="2838D27F" w:rsidR="00C26571" w:rsidRPr="00013F71" w:rsidRDefault="00FB5B30" w:rsidP="00C81A32">
            <w:pPr>
              <w:pStyle w:val="NormalWeb"/>
              <w:spacing w:before="2" w:after="2" w:line="360" w:lineRule="auto"/>
              <w:jc w:val="center"/>
              <w:rPr>
                <w:rFonts w:ascii="Times New Roman" w:hAnsi="Times New Roman"/>
                <w:sz w:val="24"/>
                <w:szCs w:val="24"/>
              </w:rPr>
            </w:pPr>
            <w:r w:rsidRPr="00013F71">
              <w:rPr>
                <w:rFonts w:ascii="Times New Roman" w:hAnsi="Times New Roman"/>
                <w:sz w:val="24"/>
                <w:szCs w:val="24"/>
              </w:rPr>
              <w:t>-1.1</w:t>
            </w:r>
          </w:p>
        </w:tc>
      </w:tr>
      <w:tr w:rsidR="00C26571" w:rsidRPr="00013F71" w14:paraId="08446212" w14:textId="77777777" w:rsidTr="00C81A32">
        <w:tc>
          <w:tcPr>
            <w:tcW w:w="3241" w:type="dxa"/>
          </w:tcPr>
          <w:p w14:paraId="20356BEE" w14:textId="77777777" w:rsidR="00C26571" w:rsidRPr="00013F71" w:rsidRDefault="00C26571" w:rsidP="00C26571">
            <w:pPr>
              <w:pStyle w:val="NormalWeb"/>
              <w:spacing w:before="2" w:after="2" w:line="360" w:lineRule="auto"/>
              <w:rPr>
                <w:rFonts w:ascii="Times New Roman" w:hAnsi="Times New Roman"/>
                <w:sz w:val="24"/>
                <w:szCs w:val="24"/>
              </w:rPr>
            </w:pPr>
            <w:r w:rsidRPr="00013F71">
              <w:rPr>
                <w:rFonts w:ascii="Times New Roman" w:hAnsi="Times New Roman"/>
                <w:sz w:val="24"/>
                <w:szCs w:val="24"/>
              </w:rPr>
              <w:t>Professional/Business Services</w:t>
            </w:r>
          </w:p>
        </w:tc>
        <w:tc>
          <w:tcPr>
            <w:tcW w:w="3174" w:type="dxa"/>
          </w:tcPr>
          <w:p w14:paraId="3C7A4A20" w14:textId="03FEBE25" w:rsidR="00C26571" w:rsidRPr="00013F71" w:rsidRDefault="00FB5B30" w:rsidP="00C81A32">
            <w:pPr>
              <w:pStyle w:val="NormalWeb"/>
              <w:spacing w:before="2" w:after="2" w:line="360" w:lineRule="auto"/>
              <w:jc w:val="center"/>
              <w:rPr>
                <w:rFonts w:ascii="Times New Roman" w:hAnsi="Times New Roman"/>
                <w:sz w:val="24"/>
                <w:szCs w:val="24"/>
              </w:rPr>
            </w:pPr>
            <w:r w:rsidRPr="00013F71">
              <w:rPr>
                <w:rFonts w:ascii="Times New Roman" w:hAnsi="Times New Roman"/>
                <w:sz w:val="24"/>
                <w:szCs w:val="24"/>
              </w:rPr>
              <w:t>19,1</w:t>
            </w:r>
            <w:r w:rsidR="002522B8" w:rsidRPr="00013F71">
              <w:rPr>
                <w:rFonts w:ascii="Times New Roman" w:hAnsi="Times New Roman"/>
                <w:sz w:val="24"/>
                <w:szCs w:val="24"/>
              </w:rPr>
              <w:t>00</w:t>
            </w:r>
          </w:p>
        </w:tc>
        <w:tc>
          <w:tcPr>
            <w:tcW w:w="2520" w:type="dxa"/>
          </w:tcPr>
          <w:p w14:paraId="3A7A7E19" w14:textId="6497E13A" w:rsidR="00C26571" w:rsidRPr="00013F71" w:rsidRDefault="00FB5B30" w:rsidP="00C81A32">
            <w:pPr>
              <w:pStyle w:val="NormalWeb"/>
              <w:spacing w:before="2" w:after="2" w:line="360" w:lineRule="auto"/>
              <w:jc w:val="center"/>
              <w:rPr>
                <w:rFonts w:ascii="Times New Roman" w:hAnsi="Times New Roman"/>
                <w:sz w:val="24"/>
                <w:szCs w:val="24"/>
              </w:rPr>
            </w:pPr>
            <w:r w:rsidRPr="00013F71">
              <w:rPr>
                <w:rFonts w:ascii="Times New Roman" w:hAnsi="Times New Roman"/>
                <w:sz w:val="24"/>
                <w:szCs w:val="24"/>
              </w:rPr>
              <w:t>0</w:t>
            </w:r>
          </w:p>
        </w:tc>
      </w:tr>
      <w:tr w:rsidR="00C26571" w:rsidRPr="00013F71" w14:paraId="6C3A16DD" w14:textId="77777777" w:rsidTr="00C81A32">
        <w:tc>
          <w:tcPr>
            <w:tcW w:w="3241" w:type="dxa"/>
          </w:tcPr>
          <w:p w14:paraId="42730FFA" w14:textId="77777777" w:rsidR="00C26571" w:rsidRPr="00013F71" w:rsidRDefault="00890064" w:rsidP="00C26571">
            <w:pPr>
              <w:pStyle w:val="NormalWeb"/>
              <w:spacing w:before="2" w:after="2" w:line="360" w:lineRule="auto"/>
              <w:rPr>
                <w:rFonts w:ascii="Times New Roman" w:hAnsi="Times New Roman"/>
                <w:sz w:val="24"/>
                <w:szCs w:val="24"/>
              </w:rPr>
            </w:pPr>
            <w:r w:rsidRPr="00013F71">
              <w:rPr>
                <w:rFonts w:ascii="Times New Roman" w:hAnsi="Times New Roman"/>
                <w:sz w:val="24"/>
                <w:szCs w:val="24"/>
              </w:rPr>
              <w:t>Government</w:t>
            </w:r>
          </w:p>
        </w:tc>
        <w:tc>
          <w:tcPr>
            <w:tcW w:w="3174" w:type="dxa"/>
          </w:tcPr>
          <w:p w14:paraId="5338AF94" w14:textId="1F6A24BB" w:rsidR="00C26571" w:rsidRPr="00013F71" w:rsidRDefault="000D4DED" w:rsidP="00FB5B30">
            <w:pPr>
              <w:pStyle w:val="NormalWeb"/>
              <w:spacing w:before="2" w:after="2" w:line="360" w:lineRule="auto"/>
              <w:jc w:val="center"/>
              <w:rPr>
                <w:rFonts w:ascii="Times New Roman" w:hAnsi="Times New Roman"/>
                <w:sz w:val="24"/>
                <w:szCs w:val="24"/>
              </w:rPr>
            </w:pPr>
            <w:r w:rsidRPr="00013F71">
              <w:rPr>
                <w:rFonts w:ascii="Times New Roman" w:hAnsi="Times New Roman"/>
                <w:sz w:val="24"/>
                <w:szCs w:val="24"/>
              </w:rPr>
              <w:t>7</w:t>
            </w:r>
            <w:r w:rsidR="00FB5B30" w:rsidRPr="00013F71">
              <w:rPr>
                <w:rFonts w:ascii="Times New Roman" w:hAnsi="Times New Roman"/>
                <w:sz w:val="24"/>
                <w:szCs w:val="24"/>
              </w:rPr>
              <w:t>2,400</w:t>
            </w:r>
          </w:p>
        </w:tc>
        <w:tc>
          <w:tcPr>
            <w:tcW w:w="2520" w:type="dxa"/>
          </w:tcPr>
          <w:p w14:paraId="40B49EBA" w14:textId="606E4111" w:rsidR="00C26571" w:rsidRPr="00013F71" w:rsidRDefault="00A721F4" w:rsidP="00C81A32">
            <w:pPr>
              <w:pStyle w:val="NormalWeb"/>
              <w:spacing w:before="2" w:after="2" w:line="360" w:lineRule="auto"/>
              <w:jc w:val="center"/>
              <w:rPr>
                <w:rFonts w:ascii="Times New Roman" w:hAnsi="Times New Roman"/>
                <w:sz w:val="24"/>
                <w:szCs w:val="24"/>
              </w:rPr>
            </w:pPr>
            <w:r w:rsidRPr="00013F71">
              <w:rPr>
                <w:rFonts w:ascii="Times New Roman" w:hAnsi="Times New Roman"/>
                <w:sz w:val="24"/>
                <w:szCs w:val="24"/>
              </w:rPr>
              <w:t>1.5</w:t>
            </w:r>
          </w:p>
        </w:tc>
      </w:tr>
      <w:tr w:rsidR="00C26571" w:rsidRPr="00013F71" w14:paraId="646B4A5A" w14:textId="77777777" w:rsidTr="00C81A32">
        <w:tc>
          <w:tcPr>
            <w:tcW w:w="3241" w:type="dxa"/>
          </w:tcPr>
          <w:p w14:paraId="0B8C1F90" w14:textId="77777777" w:rsidR="00C26571" w:rsidRPr="00013F71" w:rsidRDefault="00890064" w:rsidP="00C26571">
            <w:pPr>
              <w:pStyle w:val="NormalWeb"/>
              <w:spacing w:before="2" w:after="2" w:line="360" w:lineRule="auto"/>
              <w:rPr>
                <w:rFonts w:ascii="Times New Roman" w:hAnsi="Times New Roman"/>
                <w:sz w:val="24"/>
                <w:szCs w:val="24"/>
              </w:rPr>
            </w:pPr>
            <w:r w:rsidRPr="00013F71">
              <w:rPr>
                <w:rFonts w:ascii="Times New Roman" w:hAnsi="Times New Roman"/>
                <w:sz w:val="24"/>
                <w:szCs w:val="24"/>
              </w:rPr>
              <w:t xml:space="preserve">Trade, </w:t>
            </w:r>
            <w:r w:rsidR="00C26571" w:rsidRPr="00013F71">
              <w:rPr>
                <w:rFonts w:ascii="Times New Roman" w:hAnsi="Times New Roman"/>
                <w:sz w:val="24"/>
                <w:szCs w:val="24"/>
              </w:rPr>
              <w:t>Transportation and Utilities</w:t>
            </w:r>
          </w:p>
        </w:tc>
        <w:tc>
          <w:tcPr>
            <w:tcW w:w="3174" w:type="dxa"/>
          </w:tcPr>
          <w:p w14:paraId="19A393C8" w14:textId="6BD7124F" w:rsidR="00C26571" w:rsidRPr="00013F71" w:rsidRDefault="00FB5B30" w:rsidP="00C81A32">
            <w:pPr>
              <w:pStyle w:val="NormalWeb"/>
              <w:spacing w:before="2" w:after="2" w:line="360" w:lineRule="auto"/>
              <w:jc w:val="center"/>
              <w:rPr>
                <w:rFonts w:ascii="Times New Roman" w:hAnsi="Times New Roman"/>
                <w:sz w:val="24"/>
                <w:szCs w:val="24"/>
              </w:rPr>
            </w:pPr>
            <w:r w:rsidRPr="00013F71">
              <w:rPr>
                <w:rFonts w:ascii="Times New Roman" w:hAnsi="Times New Roman"/>
                <w:sz w:val="24"/>
                <w:szCs w:val="24"/>
              </w:rPr>
              <w:t>53,800</w:t>
            </w:r>
          </w:p>
        </w:tc>
        <w:tc>
          <w:tcPr>
            <w:tcW w:w="2520" w:type="dxa"/>
          </w:tcPr>
          <w:p w14:paraId="33692989" w14:textId="57068337" w:rsidR="00C26571" w:rsidRPr="00013F71" w:rsidRDefault="00A721F4" w:rsidP="00C81A32">
            <w:pPr>
              <w:pStyle w:val="NormalWeb"/>
              <w:spacing w:before="2" w:after="2" w:line="360" w:lineRule="auto"/>
              <w:jc w:val="center"/>
              <w:rPr>
                <w:rFonts w:ascii="Times New Roman" w:hAnsi="Times New Roman"/>
                <w:sz w:val="24"/>
                <w:szCs w:val="24"/>
              </w:rPr>
            </w:pPr>
            <w:r w:rsidRPr="00013F71">
              <w:rPr>
                <w:rFonts w:ascii="Times New Roman" w:hAnsi="Times New Roman"/>
                <w:sz w:val="24"/>
                <w:szCs w:val="24"/>
              </w:rPr>
              <w:t>-3.1</w:t>
            </w:r>
          </w:p>
        </w:tc>
      </w:tr>
      <w:tr w:rsidR="00C26571" w:rsidRPr="00013F71" w14:paraId="523BDF82" w14:textId="77777777" w:rsidTr="00C81A32">
        <w:tc>
          <w:tcPr>
            <w:tcW w:w="3241" w:type="dxa"/>
          </w:tcPr>
          <w:p w14:paraId="031059E2" w14:textId="77777777" w:rsidR="00C26571" w:rsidRPr="00013F71" w:rsidRDefault="00890064" w:rsidP="00C26571">
            <w:pPr>
              <w:pStyle w:val="NormalWeb"/>
              <w:spacing w:before="2" w:after="2" w:line="360" w:lineRule="auto"/>
              <w:rPr>
                <w:rFonts w:ascii="Times New Roman" w:hAnsi="Times New Roman"/>
                <w:sz w:val="24"/>
                <w:szCs w:val="24"/>
              </w:rPr>
            </w:pPr>
            <w:r w:rsidRPr="00013F71">
              <w:rPr>
                <w:rFonts w:ascii="Times New Roman" w:hAnsi="Times New Roman"/>
                <w:sz w:val="24"/>
                <w:szCs w:val="24"/>
              </w:rPr>
              <w:t>Manufacturing</w:t>
            </w:r>
          </w:p>
        </w:tc>
        <w:tc>
          <w:tcPr>
            <w:tcW w:w="3174" w:type="dxa"/>
          </w:tcPr>
          <w:p w14:paraId="2554D7E5" w14:textId="0188790E" w:rsidR="00C26571" w:rsidRPr="00013F71" w:rsidRDefault="00FB5B30" w:rsidP="00C81A32">
            <w:pPr>
              <w:pStyle w:val="NormalWeb"/>
              <w:spacing w:before="2" w:after="2" w:line="360" w:lineRule="auto"/>
              <w:jc w:val="center"/>
              <w:rPr>
                <w:rFonts w:ascii="Times New Roman" w:hAnsi="Times New Roman"/>
                <w:sz w:val="24"/>
                <w:szCs w:val="24"/>
              </w:rPr>
            </w:pPr>
            <w:r w:rsidRPr="00013F71">
              <w:rPr>
                <w:rFonts w:ascii="Times New Roman" w:hAnsi="Times New Roman"/>
                <w:sz w:val="24"/>
                <w:szCs w:val="24"/>
              </w:rPr>
              <w:t>9,7</w:t>
            </w:r>
            <w:r w:rsidR="002522B8" w:rsidRPr="00013F71">
              <w:rPr>
                <w:rFonts w:ascii="Times New Roman" w:hAnsi="Times New Roman"/>
                <w:sz w:val="24"/>
                <w:szCs w:val="24"/>
              </w:rPr>
              <w:t>00</w:t>
            </w:r>
          </w:p>
        </w:tc>
        <w:tc>
          <w:tcPr>
            <w:tcW w:w="2520" w:type="dxa"/>
          </w:tcPr>
          <w:p w14:paraId="42EB26CA" w14:textId="74E2569A" w:rsidR="00890064" w:rsidRPr="00013F71" w:rsidRDefault="00A721F4" w:rsidP="00C81A32">
            <w:pPr>
              <w:pStyle w:val="NormalWeb"/>
              <w:spacing w:before="2" w:after="2" w:line="360" w:lineRule="auto"/>
              <w:jc w:val="center"/>
              <w:rPr>
                <w:rFonts w:ascii="Times New Roman" w:hAnsi="Times New Roman"/>
                <w:sz w:val="24"/>
                <w:szCs w:val="24"/>
              </w:rPr>
            </w:pPr>
            <w:r w:rsidRPr="00013F71">
              <w:rPr>
                <w:rFonts w:ascii="Times New Roman" w:hAnsi="Times New Roman"/>
                <w:sz w:val="24"/>
                <w:szCs w:val="24"/>
              </w:rPr>
              <w:t>-2.0</w:t>
            </w:r>
          </w:p>
        </w:tc>
      </w:tr>
      <w:tr w:rsidR="0012179C" w:rsidRPr="00013F71" w14:paraId="3E58F4C8" w14:textId="77777777" w:rsidTr="00C81A32">
        <w:tc>
          <w:tcPr>
            <w:tcW w:w="3241" w:type="dxa"/>
          </w:tcPr>
          <w:p w14:paraId="5DFA6D0B" w14:textId="77777777" w:rsidR="0012179C" w:rsidRPr="00013F71" w:rsidRDefault="009F1C81" w:rsidP="00C26571">
            <w:pPr>
              <w:pStyle w:val="NormalWeb"/>
              <w:spacing w:before="2" w:after="2" w:line="360" w:lineRule="auto"/>
              <w:rPr>
                <w:rFonts w:ascii="Times New Roman" w:hAnsi="Times New Roman"/>
                <w:sz w:val="24"/>
                <w:szCs w:val="24"/>
              </w:rPr>
            </w:pPr>
            <w:r w:rsidRPr="00013F71">
              <w:rPr>
                <w:rFonts w:ascii="Times New Roman" w:hAnsi="Times New Roman"/>
                <w:sz w:val="24"/>
                <w:szCs w:val="24"/>
              </w:rPr>
              <w:t>Information</w:t>
            </w:r>
          </w:p>
        </w:tc>
        <w:tc>
          <w:tcPr>
            <w:tcW w:w="3174" w:type="dxa"/>
          </w:tcPr>
          <w:p w14:paraId="6B3631A2" w14:textId="5BA8C11E" w:rsidR="0012179C" w:rsidRPr="00013F71" w:rsidRDefault="00FB5B30" w:rsidP="00C81A32">
            <w:pPr>
              <w:pStyle w:val="NormalWeb"/>
              <w:spacing w:before="2" w:after="2" w:line="360" w:lineRule="auto"/>
              <w:jc w:val="center"/>
              <w:rPr>
                <w:rFonts w:ascii="Times New Roman" w:hAnsi="Times New Roman"/>
                <w:sz w:val="24"/>
                <w:szCs w:val="24"/>
              </w:rPr>
            </w:pPr>
            <w:r w:rsidRPr="00013F71">
              <w:rPr>
                <w:rFonts w:ascii="Times New Roman" w:hAnsi="Times New Roman"/>
                <w:sz w:val="24"/>
                <w:szCs w:val="24"/>
              </w:rPr>
              <w:t>3,7</w:t>
            </w:r>
            <w:r w:rsidR="009F1C81" w:rsidRPr="00013F71">
              <w:rPr>
                <w:rFonts w:ascii="Times New Roman" w:hAnsi="Times New Roman"/>
                <w:sz w:val="24"/>
                <w:szCs w:val="24"/>
              </w:rPr>
              <w:t>00</w:t>
            </w:r>
          </w:p>
        </w:tc>
        <w:tc>
          <w:tcPr>
            <w:tcW w:w="2520" w:type="dxa"/>
          </w:tcPr>
          <w:p w14:paraId="191B109C" w14:textId="58626FB1" w:rsidR="0012179C" w:rsidRPr="00013F71" w:rsidRDefault="00A721F4" w:rsidP="00C81A32">
            <w:pPr>
              <w:pStyle w:val="NormalWeb"/>
              <w:spacing w:before="2" w:after="2" w:line="360" w:lineRule="auto"/>
              <w:jc w:val="center"/>
              <w:rPr>
                <w:rFonts w:ascii="Times New Roman" w:hAnsi="Times New Roman"/>
                <w:sz w:val="24"/>
                <w:szCs w:val="24"/>
              </w:rPr>
            </w:pPr>
            <w:r w:rsidRPr="00013F71">
              <w:rPr>
                <w:rFonts w:ascii="Times New Roman" w:hAnsi="Times New Roman"/>
                <w:sz w:val="24"/>
                <w:szCs w:val="24"/>
              </w:rPr>
              <w:t>-2.6</w:t>
            </w:r>
          </w:p>
        </w:tc>
      </w:tr>
      <w:tr w:rsidR="0012179C" w:rsidRPr="00013F71" w14:paraId="31EF7F83" w14:textId="77777777" w:rsidTr="00C81A32">
        <w:tc>
          <w:tcPr>
            <w:tcW w:w="3241" w:type="dxa"/>
          </w:tcPr>
          <w:p w14:paraId="75B37AC3" w14:textId="77777777" w:rsidR="0012179C" w:rsidRPr="00013F71" w:rsidRDefault="009F1C81" w:rsidP="00C26571">
            <w:pPr>
              <w:pStyle w:val="NormalWeb"/>
              <w:spacing w:before="2" w:after="2" w:line="360" w:lineRule="auto"/>
              <w:rPr>
                <w:rFonts w:ascii="Times New Roman" w:hAnsi="Times New Roman"/>
                <w:sz w:val="24"/>
                <w:szCs w:val="24"/>
              </w:rPr>
            </w:pPr>
            <w:r w:rsidRPr="00013F71">
              <w:rPr>
                <w:rFonts w:ascii="Times New Roman" w:hAnsi="Times New Roman"/>
                <w:sz w:val="24"/>
                <w:szCs w:val="24"/>
              </w:rPr>
              <w:t>Financial Activities</w:t>
            </w:r>
          </w:p>
        </w:tc>
        <w:tc>
          <w:tcPr>
            <w:tcW w:w="3174" w:type="dxa"/>
          </w:tcPr>
          <w:p w14:paraId="01799071" w14:textId="125A1020" w:rsidR="0012179C" w:rsidRPr="00013F71" w:rsidRDefault="00C81A32" w:rsidP="00C81A32">
            <w:pPr>
              <w:pStyle w:val="NormalWeb"/>
              <w:spacing w:before="2" w:after="2" w:line="360" w:lineRule="auto"/>
              <w:jc w:val="center"/>
              <w:rPr>
                <w:rFonts w:ascii="Times New Roman" w:hAnsi="Times New Roman"/>
                <w:sz w:val="24"/>
                <w:szCs w:val="24"/>
              </w:rPr>
            </w:pPr>
            <w:r w:rsidRPr="00013F71">
              <w:rPr>
                <w:rFonts w:ascii="Times New Roman" w:hAnsi="Times New Roman"/>
                <w:sz w:val="24"/>
                <w:szCs w:val="24"/>
              </w:rPr>
              <w:t>11</w:t>
            </w:r>
            <w:r w:rsidR="00B459A3" w:rsidRPr="00013F71">
              <w:rPr>
                <w:rFonts w:ascii="Times New Roman" w:hAnsi="Times New Roman"/>
                <w:sz w:val="24"/>
                <w:szCs w:val="24"/>
              </w:rPr>
              <w:t>,</w:t>
            </w:r>
            <w:r w:rsidR="00FB5B30" w:rsidRPr="00013F71">
              <w:rPr>
                <w:rFonts w:ascii="Times New Roman" w:hAnsi="Times New Roman"/>
                <w:sz w:val="24"/>
                <w:szCs w:val="24"/>
              </w:rPr>
              <w:t>7</w:t>
            </w:r>
            <w:r w:rsidR="002522B8" w:rsidRPr="00013F71">
              <w:rPr>
                <w:rFonts w:ascii="Times New Roman" w:hAnsi="Times New Roman"/>
                <w:sz w:val="24"/>
                <w:szCs w:val="24"/>
              </w:rPr>
              <w:t>00</w:t>
            </w:r>
          </w:p>
        </w:tc>
        <w:tc>
          <w:tcPr>
            <w:tcW w:w="2520" w:type="dxa"/>
          </w:tcPr>
          <w:p w14:paraId="2FA6ED6F" w14:textId="35E73AB4" w:rsidR="0012179C" w:rsidRPr="00013F71" w:rsidRDefault="00A721F4" w:rsidP="00C81A32">
            <w:pPr>
              <w:pStyle w:val="NormalWeb"/>
              <w:spacing w:before="2" w:after="2" w:line="360" w:lineRule="auto"/>
              <w:jc w:val="center"/>
              <w:rPr>
                <w:rFonts w:ascii="Times New Roman" w:hAnsi="Times New Roman"/>
                <w:sz w:val="24"/>
                <w:szCs w:val="24"/>
              </w:rPr>
            </w:pPr>
            <w:r w:rsidRPr="00013F71">
              <w:rPr>
                <w:rFonts w:ascii="Times New Roman" w:hAnsi="Times New Roman"/>
                <w:sz w:val="24"/>
                <w:szCs w:val="24"/>
              </w:rPr>
              <w:t>3.5</w:t>
            </w:r>
          </w:p>
        </w:tc>
      </w:tr>
      <w:tr w:rsidR="0012179C" w:rsidRPr="00013F71" w14:paraId="32DE818A" w14:textId="77777777" w:rsidTr="00C81A32">
        <w:tc>
          <w:tcPr>
            <w:tcW w:w="3241" w:type="dxa"/>
          </w:tcPr>
          <w:p w14:paraId="4BFB8ECE" w14:textId="77777777" w:rsidR="0012179C" w:rsidRPr="00013F71" w:rsidRDefault="009F1C81" w:rsidP="00C26571">
            <w:pPr>
              <w:pStyle w:val="NormalWeb"/>
              <w:spacing w:before="2" w:after="2" w:line="360" w:lineRule="auto"/>
              <w:rPr>
                <w:rFonts w:ascii="Times New Roman" w:hAnsi="Times New Roman"/>
                <w:sz w:val="24"/>
                <w:szCs w:val="24"/>
              </w:rPr>
            </w:pPr>
            <w:r w:rsidRPr="00013F71">
              <w:rPr>
                <w:rFonts w:ascii="Times New Roman" w:hAnsi="Times New Roman"/>
                <w:sz w:val="24"/>
                <w:szCs w:val="24"/>
              </w:rPr>
              <w:t>Education and Health</w:t>
            </w:r>
          </w:p>
        </w:tc>
        <w:tc>
          <w:tcPr>
            <w:tcW w:w="3174" w:type="dxa"/>
          </w:tcPr>
          <w:p w14:paraId="0CA25E9A" w14:textId="61F45149" w:rsidR="0012179C" w:rsidRPr="00013F71" w:rsidRDefault="00FB5B30" w:rsidP="00C81A32">
            <w:pPr>
              <w:pStyle w:val="NormalWeb"/>
              <w:spacing w:before="2" w:after="2" w:line="360" w:lineRule="auto"/>
              <w:jc w:val="center"/>
              <w:rPr>
                <w:rFonts w:ascii="Times New Roman" w:hAnsi="Times New Roman"/>
                <w:sz w:val="24"/>
                <w:szCs w:val="24"/>
              </w:rPr>
            </w:pPr>
            <w:r w:rsidRPr="00013F71">
              <w:rPr>
                <w:rFonts w:ascii="Times New Roman" w:hAnsi="Times New Roman"/>
                <w:sz w:val="24"/>
                <w:szCs w:val="24"/>
              </w:rPr>
              <w:t>27,7</w:t>
            </w:r>
            <w:r w:rsidR="000D4DED" w:rsidRPr="00013F71">
              <w:rPr>
                <w:rFonts w:ascii="Times New Roman" w:hAnsi="Times New Roman"/>
                <w:sz w:val="24"/>
                <w:szCs w:val="24"/>
              </w:rPr>
              <w:t>00</w:t>
            </w:r>
          </w:p>
        </w:tc>
        <w:tc>
          <w:tcPr>
            <w:tcW w:w="2520" w:type="dxa"/>
          </w:tcPr>
          <w:p w14:paraId="4C13E900" w14:textId="2F88C241" w:rsidR="0012179C" w:rsidRPr="00013F71" w:rsidRDefault="00A721F4" w:rsidP="00C81A32">
            <w:pPr>
              <w:pStyle w:val="NormalWeb"/>
              <w:spacing w:before="2" w:after="2" w:line="360" w:lineRule="auto"/>
              <w:jc w:val="center"/>
              <w:rPr>
                <w:rFonts w:ascii="Times New Roman" w:hAnsi="Times New Roman"/>
                <w:sz w:val="24"/>
                <w:szCs w:val="24"/>
              </w:rPr>
            </w:pPr>
            <w:r w:rsidRPr="00013F71">
              <w:rPr>
                <w:rFonts w:ascii="Times New Roman" w:hAnsi="Times New Roman"/>
                <w:sz w:val="24"/>
                <w:szCs w:val="24"/>
              </w:rPr>
              <w:t>1.8</w:t>
            </w:r>
          </w:p>
        </w:tc>
      </w:tr>
      <w:tr w:rsidR="0012179C" w:rsidRPr="00013F71" w14:paraId="0A00A683" w14:textId="77777777" w:rsidTr="00C81A32">
        <w:tc>
          <w:tcPr>
            <w:tcW w:w="3241" w:type="dxa"/>
          </w:tcPr>
          <w:p w14:paraId="1D1C4B20" w14:textId="77777777" w:rsidR="0012179C" w:rsidRPr="00013F71" w:rsidRDefault="009F1C81" w:rsidP="00C26571">
            <w:pPr>
              <w:pStyle w:val="NormalWeb"/>
              <w:spacing w:before="2" w:after="2" w:line="360" w:lineRule="auto"/>
              <w:rPr>
                <w:rFonts w:ascii="Times New Roman" w:hAnsi="Times New Roman"/>
                <w:sz w:val="24"/>
                <w:szCs w:val="24"/>
              </w:rPr>
            </w:pPr>
            <w:r w:rsidRPr="00013F71">
              <w:rPr>
                <w:rFonts w:ascii="Times New Roman" w:hAnsi="Times New Roman"/>
                <w:sz w:val="24"/>
                <w:szCs w:val="24"/>
              </w:rPr>
              <w:t>Other</w:t>
            </w:r>
          </w:p>
        </w:tc>
        <w:tc>
          <w:tcPr>
            <w:tcW w:w="3174" w:type="dxa"/>
          </w:tcPr>
          <w:p w14:paraId="617AC2BF" w14:textId="34723E0A" w:rsidR="0012179C" w:rsidRPr="00013F71" w:rsidRDefault="00FB5B30" w:rsidP="00C81A32">
            <w:pPr>
              <w:pStyle w:val="NormalWeb"/>
              <w:spacing w:before="2" w:after="2" w:line="360" w:lineRule="auto"/>
              <w:jc w:val="center"/>
              <w:rPr>
                <w:rFonts w:ascii="Times New Roman" w:hAnsi="Times New Roman"/>
                <w:sz w:val="24"/>
                <w:szCs w:val="24"/>
              </w:rPr>
            </w:pPr>
            <w:r w:rsidRPr="00013F71">
              <w:rPr>
                <w:rFonts w:ascii="Times New Roman" w:hAnsi="Times New Roman"/>
                <w:sz w:val="24"/>
                <w:szCs w:val="24"/>
              </w:rPr>
              <w:t>9,700</w:t>
            </w:r>
          </w:p>
        </w:tc>
        <w:tc>
          <w:tcPr>
            <w:tcW w:w="2520" w:type="dxa"/>
          </w:tcPr>
          <w:p w14:paraId="3D8DF519" w14:textId="52F027FB" w:rsidR="0012179C" w:rsidRPr="00013F71" w:rsidRDefault="00A721F4" w:rsidP="00C81A32">
            <w:pPr>
              <w:pStyle w:val="NormalWeb"/>
              <w:spacing w:before="2" w:after="2" w:line="360" w:lineRule="auto"/>
              <w:jc w:val="center"/>
              <w:rPr>
                <w:rFonts w:ascii="Times New Roman" w:hAnsi="Times New Roman"/>
                <w:sz w:val="24"/>
                <w:szCs w:val="24"/>
              </w:rPr>
            </w:pPr>
            <w:r w:rsidRPr="00013F71">
              <w:rPr>
                <w:rFonts w:ascii="Times New Roman" w:hAnsi="Times New Roman"/>
                <w:sz w:val="24"/>
                <w:szCs w:val="24"/>
              </w:rPr>
              <w:t>-2.0</w:t>
            </w:r>
          </w:p>
        </w:tc>
      </w:tr>
    </w:tbl>
    <w:p w14:paraId="5600AEAE" w14:textId="789F7384" w:rsidR="00C26571" w:rsidRPr="00013F71" w:rsidRDefault="00890064" w:rsidP="001463E1">
      <w:pPr>
        <w:pStyle w:val="NormalWeb"/>
        <w:spacing w:before="2" w:after="2" w:line="480" w:lineRule="auto"/>
        <w:rPr>
          <w:b/>
          <w:bCs/>
        </w:rPr>
      </w:pPr>
      <w:r w:rsidRPr="00013F71">
        <w:rPr>
          <w:rFonts w:ascii="Times New Roman" w:hAnsi="Times New Roman"/>
        </w:rPr>
        <w:t>(</w:t>
      </w:r>
      <w:proofErr w:type="gramStart"/>
      <w:r w:rsidRPr="00013F71">
        <w:rPr>
          <w:rFonts w:ascii="Times New Roman" w:hAnsi="Times New Roman"/>
        </w:rPr>
        <w:t>source</w:t>
      </w:r>
      <w:proofErr w:type="gramEnd"/>
      <w:r w:rsidRPr="00013F71">
        <w:rPr>
          <w:rFonts w:ascii="Times New Roman" w:hAnsi="Times New Roman"/>
        </w:rPr>
        <w:t xml:space="preserve">: Bureau of Labor Statistics, </w:t>
      </w:r>
      <w:r w:rsidR="002522B8" w:rsidRPr="00013F71">
        <w:rPr>
          <w:rFonts w:ascii="Times New Roman" w:hAnsi="Times New Roman"/>
        </w:rPr>
        <w:t>http://www.bls.gov/eag/eag.wy.htm</w:t>
      </w:r>
      <w:r w:rsidRPr="00013F71">
        <w:rPr>
          <w:rFonts w:ascii="Times New Roman" w:hAnsi="Times New Roman"/>
        </w:rPr>
        <w:t>)</w:t>
      </w:r>
    </w:p>
    <w:p w14:paraId="73318D72" w14:textId="77777777" w:rsidR="00B052E3" w:rsidRPr="00013F71" w:rsidRDefault="00B052E3" w:rsidP="00C26571">
      <w:pPr>
        <w:rPr>
          <w:b/>
          <w:bCs/>
          <w:sz w:val="24"/>
          <w:szCs w:val="24"/>
        </w:rPr>
      </w:pPr>
    </w:p>
    <w:p w14:paraId="4F0C36B7" w14:textId="77777777" w:rsidR="00B052E3" w:rsidRPr="00013F71" w:rsidRDefault="00B052E3" w:rsidP="00C26571">
      <w:pPr>
        <w:rPr>
          <w:b/>
          <w:bCs/>
          <w:sz w:val="24"/>
          <w:szCs w:val="24"/>
        </w:rPr>
      </w:pPr>
    </w:p>
    <w:p w14:paraId="733A20CD" w14:textId="77777777" w:rsidR="00C26571" w:rsidRPr="00013F71" w:rsidRDefault="00C26571" w:rsidP="00C26571">
      <w:pPr>
        <w:rPr>
          <w:sz w:val="24"/>
          <w:szCs w:val="24"/>
        </w:rPr>
      </w:pPr>
      <w:r w:rsidRPr="00013F71">
        <w:rPr>
          <w:b/>
          <w:bCs/>
          <w:sz w:val="24"/>
          <w:szCs w:val="24"/>
        </w:rPr>
        <w:t>DEMOGRAPHICS</w:t>
      </w:r>
    </w:p>
    <w:p w14:paraId="18093F47" w14:textId="77777777" w:rsidR="00C26571" w:rsidRPr="00013F71" w:rsidRDefault="00C26571" w:rsidP="00C26571">
      <w:pPr>
        <w:rPr>
          <w:sz w:val="24"/>
          <w:szCs w:val="24"/>
        </w:rPr>
      </w:pPr>
    </w:p>
    <w:p w14:paraId="35CD425D" w14:textId="3284F780" w:rsidR="006E1EDA" w:rsidRPr="00013F71" w:rsidRDefault="006E1EDA" w:rsidP="00413414">
      <w:pPr>
        <w:ind w:firstLine="720"/>
        <w:rPr>
          <w:sz w:val="24"/>
          <w:szCs w:val="24"/>
        </w:rPr>
      </w:pPr>
      <w:r w:rsidRPr="00013F71">
        <w:rPr>
          <w:sz w:val="24"/>
          <w:szCs w:val="24"/>
        </w:rPr>
        <w:t>Wyoming, while still the le</w:t>
      </w:r>
      <w:r w:rsidR="00FA6314" w:rsidRPr="00013F71">
        <w:rPr>
          <w:sz w:val="24"/>
          <w:szCs w:val="24"/>
        </w:rPr>
        <w:t>ast populated state in the nation</w:t>
      </w:r>
      <w:r w:rsidRPr="00013F71">
        <w:rPr>
          <w:sz w:val="24"/>
          <w:szCs w:val="24"/>
        </w:rPr>
        <w:t xml:space="preserve">, had the </w:t>
      </w:r>
      <w:r w:rsidR="00DE79AE" w:rsidRPr="00013F71">
        <w:rPr>
          <w:sz w:val="24"/>
          <w:szCs w:val="24"/>
        </w:rPr>
        <w:t>14th</w:t>
      </w:r>
      <w:r w:rsidRPr="00013F71">
        <w:rPr>
          <w:sz w:val="24"/>
          <w:szCs w:val="24"/>
        </w:rPr>
        <w:t xml:space="preserve"> fastest p</w:t>
      </w:r>
      <w:r w:rsidR="00FA6314" w:rsidRPr="00013F71">
        <w:rPr>
          <w:sz w:val="24"/>
          <w:szCs w:val="24"/>
        </w:rPr>
        <w:t>opulation growth from 2000 to 2010</w:t>
      </w:r>
      <w:r w:rsidR="00677054" w:rsidRPr="00013F71">
        <w:rPr>
          <w:sz w:val="24"/>
          <w:szCs w:val="24"/>
        </w:rPr>
        <w:t xml:space="preserve">, but has now slowed considerably relative to the rest of the nation </w:t>
      </w:r>
      <w:r w:rsidR="00AD722F">
        <w:rPr>
          <w:sz w:val="24"/>
          <w:szCs w:val="24"/>
        </w:rPr>
        <w:t xml:space="preserve">and is </w:t>
      </w:r>
      <w:r w:rsidR="00677054" w:rsidRPr="00013F71">
        <w:rPr>
          <w:sz w:val="24"/>
          <w:szCs w:val="24"/>
        </w:rPr>
        <w:t>tied for 21</w:t>
      </w:r>
      <w:r w:rsidR="00677054" w:rsidRPr="00013F71">
        <w:rPr>
          <w:sz w:val="24"/>
          <w:szCs w:val="24"/>
          <w:vertAlign w:val="superscript"/>
        </w:rPr>
        <w:t>st</w:t>
      </w:r>
      <w:r w:rsidR="00F52747" w:rsidRPr="00013F71">
        <w:rPr>
          <w:sz w:val="24"/>
          <w:szCs w:val="24"/>
        </w:rPr>
        <w:t xml:space="preserve"> fastest </w:t>
      </w:r>
      <w:r w:rsidR="00677054" w:rsidRPr="00013F71">
        <w:rPr>
          <w:sz w:val="24"/>
          <w:szCs w:val="24"/>
        </w:rPr>
        <w:t>with Tennessee, Maryland, and Alaska</w:t>
      </w:r>
      <w:r w:rsidR="00FA6314" w:rsidRPr="00013F71">
        <w:rPr>
          <w:sz w:val="24"/>
          <w:szCs w:val="24"/>
        </w:rPr>
        <w:t xml:space="preserve"> </w:t>
      </w:r>
      <w:r w:rsidRPr="00013F71">
        <w:rPr>
          <w:sz w:val="24"/>
          <w:szCs w:val="24"/>
        </w:rPr>
        <w:t>(U.S. Census Bureau,</w:t>
      </w:r>
      <w:r w:rsidR="00677054" w:rsidRPr="00013F71">
        <w:rPr>
          <w:sz w:val="24"/>
          <w:szCs w:val="24"/>
        </w:rPr>
        <w:t xml:space="preserve"> 2016</w:t>
      </w:r>
      <w:r w:rsidR="00FA6314" w:rsidRPr="00013F71">
        <w:rPr>
          <w:sz w:val="24"/>
          <w:szCs w:val="24"/>
        </w:rPr>
        <w:t xml:space="preserve">). </w:t>
      </w:r>
      <w:r w:rsidR="00677054" w:rsidRPr="00013F71">
        <w:rPr>
          <w:sz w:val="24"/>
          <w:szCs w:val="24"/>
        </w:rPr>
        <w:t xml:space="preserve"> </w:t>
      </w:r>
      <w:r w:rsidR="00EA18F0" w:rsidRPr="00013F71">
        <w:rPr>
          <w:sz w:val="24"/>
          <w:szCs w:val="24"/>
        </w:rPr>
        <w:t>2015</w:t>
      </w:r>
      <w:r w:rsidR="00677054" w:rsidRPr="00013F71">
        <w:rPr>
          <w:sz w:val="24"/>
          <w:szCs w:val="24"/>
        </w:rPr>
        <w:t xml:space="preserve"> Census numbers show</w:t>
      </w:r>
      <w:r w:rsidRPr="00013F71">
        <w:rPr>
          <w:sz w:val="24"/>
          <w:szCs w:val="24"/>
        </w:rPr>
        <w:t xml:space="preserve"> an </w:t>
      </w:r>
      <w:r w:rsidR="00BB0433" w:rsidRPr="00013F71">
        <w:rPr>
          <w:sz w:val="24"/>
          <w:szCs w:val="24"/>
        </w:rPr>
        <w:t xml:space="preserve">overall </w:t>
      </w:r>
      <w:r w:rsidRPr="00013F71">
        <w:rPr>
          <w:sz w:val="24"/>
          <w:szCs w:val="24"/>
        </w:rPr>
        <w:t>increase in the state’s population from</w:t>
      </w:r>
      <w:r w:rsidR="00873FFE" w:rsidRPr="00013F71">
        <w:rPr>
          <w:sz w:val="24"/>
          <w:szCs w:val="24"/>
        </w:rPr>
        <w:t xml:space="preserve"> </w:t>
      </w:r>
      <w:r w:rsidR="00D527CE" w:rsidRPr="00013F71">
        <w:rPr>
          <w:sz w:val="24"/>
          <w:szCs w:val="24"/>
        </w:rPr>
        <w:t>April</w:t>
      </w:r>
      <w:r w:rsidR="00873FFE" w:rsidRPr="00013F71">
        <w:rPr>
          <w:sz w:val="24"/>
          <w:szCs w:val="24"/>
        </w:rPr>
        <w:t xml:space="preserve"> 1,</w:t>
      </w:r>
      <w:r w:rsidRPr="00013F71">
        <w:rPr>
          <w:sz w:val="24"/>
          <w:szCs w:val="24"/>
        </w:rPr>
        <w:t xml:space="preserve"> </w:t>
      </w:r>
      <w:r w:rsidR="00486074" w:rsidRPr="00013F71">
        <w:rPr>
          <w:sz w:val="24"/>
          <w:szCs w:val="24"/>
        </w:rPr>
        <w:t>2010 to</w:t>
      </w:r>
      <w:r w:rsidR="00873FFE" w:rsidRPr="00013F71">
        <w:rPr>
          <w:sz w:val="24"/>
          <w:szCs w:val="24"/>
        </w:rPr>
        <w:t xml:space="preserve"> July 1,</w:t>
      </w:r>
      <w:r w:rsidR="00486074" w:rsidRPr="00013F71">
        <w:rPr>
          <w:sz w:val="24"/>
          <w:szCs w:val="24"/>
        </w:rPr>
        <w:t xml:space="preserve"> 201</w:t>
      </w:r>
      <w:r w:rsidR="00EA18F0" w:rsidRPr="00013F71">
        <w:rPr>
          <w:sz w:val="24"/>
          <w:szCs w:val="24"/>
        </w:rPr>
        <w:t>5</w:t>
      </w:r>
      <w:r w:rsidR="00486074" w:rsidRPr="00013F71">
        <w:rPr>
          <w:sz w:val="24"/>
          <w:szCs w:val="24"/>
        </w:rPr>
        <w:t xml:space="preserve"> of </w:t>
      </w:r>
      <w:r w:rsidR="00EA18F0" w:rsidRPr="00013F71">
        <w:rPr>
          <w:sz w:val="24"/>
          <w:szCs w:val="24"/>
        </w:rPr>
        <w:t>4.0</w:t>
      </w:r>
      <w:r w:rsidR="00486074" w:rsidRPr="00013F71">
        <w:rPr>
          <w:sz w:val="24"/>
          <w:szCs w:val="24"/>
        </w:rPr>
        <w:t xml:space="preserve"> percent</w:t>
      </w:r>
      <w:r w:rsidRPr="00013F71">
        <w:rPr>
          <w:sz w:val="24"/>
          <w:szCs w:val="24"/>
        </w:rPr>
        <w:t xml:space="preserve"> with a total population of </w:t>
      </w:r>
      <w:r w:rsidR="00EA18F0" w:rsidRPr="00013F71">
        <w:rPr>
          <w:sz w:val="24"/>
          <w:szCs w:val="24"/>
        </w:rPr>
        <w:t xml:space="preserve">586,107 (Census Bureau </w:t>
      </w:r>
      <w:proofErr w:type="spellStart"/>
      <w:r w:rsidR="00EA18F0" w:rsidRPr="00013F71">
        <w:rPr>
          <w:sz w:val="24"/>
          <w:szCs w:val="24"/>
        </w:rPr>
        <w:t>Quickfacts</w:t>
      </w:r>
      <w:proofErr w:type="spellEnd"/>
      <w:r w:rsidR="00EA18F0" w:rsidRPr="00013F71">
        <w:rPr>
          <w:sz w:val="24"/>
          <w:szCs w:val="24"/>
        </w:rPr>
        <w:t xml:space="preserve"> 2016</w:t>
      </w:r>
      <w:r w:rsidR="00413414" w:rsidRPr="00013F71">
        <w:rPr>
          <w:sz w:val="24"/>
          <w:szCs w:val="24"/>
        </w:rPr>
        <w:t>)</w:t>
      </w:r>
      <w:r w:rsidRPr="00013F71">
        <w:rPr>
          <w:sz w:val="24"/>
          <w:szCs w:val="24"/>
        </w:rPr>
        <w:t xml:space="preserve">. </w:t>
      </w:r>
      <w:r w:rsidR="00677054" w:rsidRPr="00013F71">
        <w:rPr>
          <w:sz w:val="24"/>
          <w:szCs w:val="24"/>
        </w:rPr>
        <w:t xml:space="preserve"> M</w:t>
      </w:r>
      <w:r w:rsidRPr="00013F71">
        <w:rPr>
          <w:sz w:val="24"/>
          <w:szCs w:val="24"/>
        </w:rPr>
        <w:t xml:space="preserve">uch of the state’s population increase </w:t>
      </w:r>
      <w:r w:rsidR="00677054" w:rsidRPr="00013F71">
        <w:rPr>
          <w:sz w:val="24"/>
          <w:szCs w:val="24"/>
        </w:rPr>
        <w:t xml:space="preserve">over the last few years </w:t>
      </w:r>
      <w:r w:rsidRPr="00013F71">
        <w:rPr>
          <w:sz w:val="24"/>
          <w:szCs w:val="24"/>
        </w:rPr>
        <w:t>can be attributed to the recent job growth, the bulk of which has taken place in th</w:t>
      </w:r>
      <w:r w:rsidR="00D51BF9">
        <w:rPr>
          <w:sz w:val="24"/>
          <w:szCs w:val="24"/>
        </w:rPr>
        <w:t xml:space="preserve">e oil and natural gas industry.  </w:t>
      </w:r>
      <w:r w:rsidR="00BB0433" w:rsidRPr="00013F71">
        <w:rPr>
          <w:sz w:val="24"/>
          <w:szCs w:val="24"/>
        </w:rPr>
        <w:t>However, for the first time since 2001, between July 2013</w:t>
      </w:r>
      <w:r w:rsidR="00F52747" w:rsidRPr="00013F71">
        <w:rPr>
          <w:sz w:val="24"/>
          <w:szCs w:val="24"/>
        </w:rPr>
        <w:t xml:space="preserve"> and July 2014, Wyoming’s net </w:t>
      </w:r>
      <w:r w:rsidR="00BB0433" w:rsidRPr="00013F71">
        <w:rPr>
          <w:sz w:val="24"/>
          <w:szCs w:val="24"/>
        </w:rPr>
        <w:t xml:space="preserve">migration was nearly 2,200 people outward – but the state’s total population grew by just 930 when accounting for natural births and deaths.  This recent outmigration is tied to the energy sector – namely, the drop in natural gas prices and subsequent loss of jobs in that portion of the </w:t>
      </w:r>
      <w:r w:rsidR="00BB0433" w:rsidRPr="00013F71">
        <w:rPr>
          <w:sz w:val="24"/>
          <w:szCs w:val="24"/>
        </w:rPr>
        <w:lastRenderedPageBreak/>
        <w:t xml:space="preserve">state’s energy sector” (Chilton, 12/27/14).  Adding to this trajectory is the fact that </w:t>
      </w:r>
      <w:r w:rsidR="009E2480" w:rsidRPr="00013F71">
        <w:rPr>
          <w:sz w:val="24"/>
          <w:szCs w:val="24"/>
        </w:rPr>
        <w:t>“</w:t>
      </w:r>
      <w:r w:rsidR="00BB0433" w:rsidRPr="00013F71">
        <w:rPr>
          <w:sz w:val="24"/>
          <w:szCs w:val="24"/>
        </w:rPr>
        <w:t>other states with lots of mineral extraction industries like Colorado, North Dakota and Texas were really expanding fast during that period</w:t>
      </w:r>
      <w:r w:rsidR="009E2480" w:rsidRPr="00013F71">
        <w:rPr>
          <w:sz w:val="24"/>
          <w:szCs w:val="24"/>
        </w:rPr>
        <w:t>” (Ibid.).</w:t>
      </w:r>
      <w:r w:rsidR="00F52747" w:rsidRPr="00013F71">
        <w:rPr>
          <w:sz w:val="24"/>
          <w:szCs w:val="24"/>
        </w:rPr>
        <w:t xml:space="preserve">  However, </w:t>
      </w:r>
      <w:r w:rsidR="005D5E9A" w:rsidRPr="00013F71">
        <w:rPr>
          <w:sz w:val="24"/>
          <w:szCs w:val="24"/>
        </w:rPr>
        <w:t xml:space="preserve">as Sweetwater’s County Board of Commissioners Wally J. Johnson noted </w:t>
      </w:r>
      <w:r w:rsidR="00F52747" w:rsidRPr="00013F71">
        <w:rPr>
          <w:sz w:val="24"/>
          <w:szCs w:val="24"/>
        </w:rPr>
        <w:t>“people who don’t have jobs, they have to go wherever those jobs might be” (Woodall, 12/19/15).</w:t>
      </w:r>
    </w:p>
    <w:p w14:paraId="1E77ACC6" w14:textId="77777777" w:rsidR="006E1EDA" w:rsidRPr="00013F71" w:rsidRDefault="006E1EDA" w:rsidP="006E1EDA">
      <w:pPr>
        <w:ind w:firstLine="720"/>
        <w:rPr>
          <w:sz w:val="24"/>
          <w:szCs w:val="24"/>
        </w:rPr>
      </w:pPr>
    </w:p>
    <w:p w14:paraId="702BEA3D" w14:textId="0844AA4B" w:rsidR="006E1EDA" w:rsidRDefault="003F692A" w:rsidP="006E1EDA">
      <w:pPr>
        <w:ind w:firstLine="720"/>
        <w:rPr>
          <w:color w:val="000000" w:themeColor="text1"/>
          <w:sz w:val="24"/>
          <w:szCs w:val="24"/>
        </w:rPr>
      </w:pPr>
      <w:r w:rsidRPr="00013F71">
        <w:rPr>
          <w:color w:val="000000" w:themeColor="text1"/>
          <w:sz w:val="24"/>
          <w:szCs w:val="24"/>
        </w:rPr>
        <w:t xml:space="preserve">The median age in Wyoming </w:t>
      </w:r>
      <w:r w:rsidR="009B50AC" w:rsidRPr="00013F71">
        <w:rPr>
          <w:color w:val="000000" w:themeColor="text1"/>
          <w:sz w:val="24"/>
          <w:szCs w:val="24"/>
        </w:rPr>
        <w:t xml:space="preserve">has climbed over the last three decades from 32.1 (1990) to </w:t>
      </w:r>
      <w:r w:rsidR="00BB0433" w:rsidRPr="00013F71">
        <w:rPr>
          <w:color w:val="000000" w:themeColor="text1"/>
          <w:sz w:val="24"/>
          <w:szCs w:val="24"/>
        </w:rPr>
        <w:t xml:space="preserve">36.2 (2000) and then </w:t>
      </w:r>
      <w:r w:rsidR="006E1EDA" w:rsidRPr="00013F71">
        <w:rPr>
          <w:color w:val="000000" w:themeColor="text1"/>
          <w:sz w:val="24"/>
          <w:szCs w:val="24"/>
        </w:rPr>
        <w:t>36.8 in 2010</w:t>
      </w:r>
      <w:r w:rsidR="00BB0433" w:rsidRPr="00013F71">
        <w:rPr>
          <w:color w:val="000000" w:themeColor="text1"/>
          <w:sz w:val="24"/>
          <w:szCs w:val="24"/>
        </w:rPr>
        <w:t xml:space="preserve">, </w:t>
      </w:r>
      <w:r w:rsidR="006E1EDA" w:rsidRPr="00013F71">
        <w:rPr>
          <w:color w:val="000000" w:themeColor="text1"/>
          <w:sz w:val="24"/>
          <w:szCs w:val="24"/>
        </w:rPr>
        <w:t>according to the U.S Census Bureau</w:t>
      </w:r>
      <w:r w:rsidR="001D0FBC" w:rsidRPr="00013F71">
        <w:rPr>
          <w:color w:val="000000" w:themeColor="text1"/>
          <w:sz w:val="24"/>
          <w:szCs w:val="24"/>
        </w:rPr>
        <w:t xml:space="preserve"> 2012)</w:t>
      </w:r>
      <w:r w:rsidR="006E1EDA" w:rsidRPr="00013F71">
        <w:rPr>
          <w:color w:val="000000" w:themeColor="text1"/>
          <w:sz w:val="24"/>
          <w:szCs w:val="24"/>
        </w:rPr>
        <w:t>.  The “graying of Wyoming” has slowed</w:t>
      </w:r>
      <w:r w:rsidR="00D527CE" w:rsidRPr="00013F71">
        <w:rPr>
          <w:color w:val="000000" w:themeColor="text1"/>
          <w:sz w:val="24"/>
          <w:szCs w:val="24"/>
        </w:rPr>
        <w:t>,</w:t>
      </w:r>
      <w:r w:rsidR="006E1EDA" w:rsidRPr="00013F71">
        <w:rPr>
          <w:color w:val="000000" w:themeColor="text1"/>
          <w:sz w:val="24"/>
          <w:szCs w:val="24"/>
        </w:rPr>
        <w:t xml:space="preserve"> but this trend is not expected to last.  The population of person’s over the age of 65 continues to increase slowly but steadily, showing a</w:t>
      </w:r>
      <w:r w:rsidR="007141FF" w:rsidRPr="00013F71">
        <w:rPr>
          <w:color w:val="000000" w:themeColor="text1"/>
          <w:sz w:val="24"/>
          <w:szCs w:val="24"/>
        </w:rPr>
        <w:t>n</w:t>
      </w:r>
      <w:r w:rsidR="006E1EDA" w:rsidRPr="00013F71">
        <w:rPr>
          <w:color w:val="000000" w:themeColor="text1"/>
          <w:sz w:val="24"/>
          <w:szCs w:val="24"/>
        </w:rPr>
        <w:t xml:space="preserve"> </w:t>
      </w:r>
      <w:r w:rsidR="007141FF" w:rsidRPr="00013F71">
        <w:rPr>
          <w:color w:val="000000" w:themeColor="text1"/>
          <w:sz w:val="24"/>
          <w:szCs w:val="24"/>
        </w:rPr>
        <w:t xml:space="preserve">increase </w:t>
      </w:r>
      <w:r w:rsidR="00486074" w:rsidRPr="00013F71">
        <w:rPr>
          <w:color w:val="000000" w:themeColor="text1"/>
          <w:sz w:val="24"/>
          <w:szCs w:val="24"/>
        </w:rPr>
        <w:t>from 12.</w:t>
      </w:r>
      <w:r w:rsidR="007141FF" w:rsidRPr="00013F71">
        <w:rPr>
          <w:color w:val="000000" w:themeColor="text1"/>
          <w:sz w:val="24"/>
          <w:szCs w:val="24"/>
        </w:rPr>
        <w:t>7</w:t>
      </w:r>
      <w:r w:rsidR="00486074" w:rsidRPr="00013F71">
        <w:rPr>
          <w:color w:val="000000" w:themeColor="text1"/>
          <w:sz w:val="24"/>
          <w:szCs w:val="24"/>
        </w:rPr>
        <w:t xml:space="preserve"> percent</w:t>
      </w:r>
      <w:r w:rsidR="006E1EDA" w:rsidRPr="00013F71">
        <w:rPr>
          <w:color w:val="000000" w:themeColor="text1"/>
          <w:sz w:val="24"/>
          <w:szCs w:val="24"/>
        </w:rPr>
        <w:t xml:space="preserve"> in 201</w:t>
      </w:r>
      <w:r w:rsidR="007141FF" w:rsidRPr="00013F71">
        <w:rPr>
          <w:color w:val="000000" w:themeColor="text1"/>
          <w:sz w:val="24"/>
          <w:szCs w:val="24"/>
        </w:rPr>
        <w:t>1</w:t>
      </w:r>
      <w:r w:rsidR="006E1EDA" w:rsidRPr="00013F71">
        <w:rPr>
          <w:color w:val="000000" w:themeColor="text1"/>
          <w:sz w:val="24"/>
          <w:szCs w:val="24"/>
        </w:rPr>
        <w:t xml:space="preserve"> to 1</w:t>
      </w:r>
      <w:r w:rsidR="007141FF" w:rsidRPr="00013F71">
        <w:rPr>
          <w:color w:val="000000" w:themeColor="text1"/>
          <w:sz w:val="24"/>
          <w:szCs w:val="24"/>
        </w:rPr>
        <w:t>3.1</w:t>
      </w:r>
      <w:r w:rsidR="00486074" w:rsidRPr="00013F71">
        <w:rPr>
          <w:color w:val="000000" w:themeColor="text1"/>
          <w:sz w:val="24"/>
          <w:szCs w:val="24"/>
        </w:rPr>
        <w:t xml:space="preserve"> percent</w:t>
      </w:r>
      <w:r w:rsidR="006E1EDA" w:rsidRPr="00013F71">
        <w:rPr>
          <w:color w:val="000000" w:themeColor="text1"/>
          <w:sz w:val="24"/>
          <w:szCs w:val="24"/>
        </w:rPr>
        <w:t xml:space="preserve"> in 201</w:t>
      </w:r>
      <w:r w:rsidR="007141FF" w:rsidRPr="00013F71">
        <w:rPr>
          <w:color w:val="000000" w:themeColor="text1"/>
          <w:sz w:val="24"/>
          <w:szCs w:val="24"/>
        </w:rPr>
        <w:t>2</w:t>
      </w:r>
      <w:r w:rsidRPr="00013F71">
        <w:rPr>
          <w:color w:val="000000" w:themeColor="text1"/>
          <w:sz w:val="24"/>
          <w:szCs w:val="24"/>
        </w:rPr>
        <w:t>, and another increase to 13.5 percent in 2013</w:t>
      </w:r>
      <w:r w:rsidR="00037B76" w:rsidRPr="00013F71">
        <w:rPr>
          <w:color w:val="000000" w:themeColor="text1"/>
          <w:sz w:val="24"/>
          <w:szCs w:val="24"/>
        </w:rPr>
        <w:t>, and yet another increase to 14.0 percent in 2014</w:t>
      </w:r>
      <w:r w:rsidR="00EF17E6">
        <w:rPr>
          <w:color w:val="000000" w:themeColor="text1"/>
          <w:sz w:val="24"/>
          <w:szCs w:val="24"/>
        </w:rPr>
        <w:t xml:space="preserve"> (see Graph 4)</w:t>
      </w:r>
      <w:r w:rsidR="006E1EDA" w:rsidRPr="00013F71">
        <w:rPr>
          <w:color w:val="000000" w:themeColor="text1"/>
          <w:sz w:val="24"/>
          <w:szCs w:val="24"/>
        </w:rPr>
        <w:t xml:space="preserve">. </w:t>
      </w:r>
      <w:r w:rsidR="00BB0433" w:rsidRPr="00013F71">
        <w:rPr>
          <w:color w:val="000000" w:themeColor="text1"/>
          <w:sz w:val="24"/>
          <w:szCs w:val="24"/>
        </w:rPr>
        <w:t xml:space="preserve"> </w:t>
      </w:r>
      <w:r w:rsidR="006E1EDA" w:rsidRPr="00013F71">
        <w:rPr>
          <w:color w:val="000000" w:themeColor="text1"/>
          <w:sz w:val="24"/>
          <w:szCs w:val="24"/>
        </w:rPr>
        <w:t xml:space="preserve">The </w:t>
      </w:r>
      <w:r w:rsidR="00EA5B14" w:rsidRPr="00013F71">
        <w:rPr>
          <w:color w:val="000000" w:themeColor="text1"/>
          <w:sz w:val="24"/>
          <w:szCs w:val="24"/>
        </w:rPr>
        <w:t>rise</w:t>
      </w:r>
      <w:r w:rsidR="006E1EDA" w:rsidRPr="00013F71">
        <w:rPr>
          <w:sz w:val="24"/>
          <w:szCs w:val="24"/>
        </w:rPr>
        <w:t xml:space="preserve"> in</w:t>
      </w:r>
      <w:r w:rsidRPr="00013F71">
        <w:rPr>
          <w:sz w:val="24"/>
          <w:szCs w:val="24"/>
        </w:rPr>
        <w:t xml:space="preserve"> the overall</w:t>
      </w:r>
      <w:r w:rsidR="006E1EDA" w:rsidRPr="00013F71">
        <w:rPr>
          <w:sz w:val="24"/>
          <w:szCs w:val="24"/>
        </w:rPr>
        <w:t xml:space="preserve"> median age</w:t>
      </w:r>
      <w:r w:rsidR="006E1EDA" w:rsidRPr="00013F71">
        <w:rPr>
          <w:color w:val="000000" w:themeColor="text1"/>
          <w:sz w:val="24"/>
          <w:szCs w:val="24"/>
        </w:rPr>
        <w:t xml:space="preserve"> </w:t>
      </w:r>
      <w:r w:rsidR="00EA5B14" w:rsidRPr="00013F71">
        <w:rPr>
          <w:color w:val="000000" w:themeColor="text1"/>
          <w:sz w:val="24"/>
          <w:szCs w:val="24"/>
        </w:rPr>
        <w:t>is kept in check</w:t>
      </w:r>
      <w:r w:rsidR="006E1EDA" w:rsidRPr="00013F71">
        <w:rPr>
          <w:color w:val="000000" w:themeColor="text1"/>
          <w:sz w:val="24"/>
          <w:szCs w:val="24"/>
        </w:rPr>
        <w:t xml:space="preserve"> by increased employment in the oil and gas industry</w:t>
      </w:r>
      <w:r w:rsidR="00037B76" w:rsidRPr="00013F71">
        <w:rPr>
          <w:color w:val="000000" w:themeColor="text1"/>
          <w:sz w:val="24"/>
          <w:szCs w:val="24"/>
        </w:rPr>
        <w:t>, which is now on the decline</w:t>
      </w:r>
      <w:r w:rsidR="006E1EDA" w:rsidRPr="00013F71">
        <w:rPr>
          <w:color w:val="000000" w:themeColor="text1"/>
          <w:sz w:val="24"/>
          <w:szCs w:val="24"/>
        </w:rPr>
        <w:t>.  As this employment sector slows (and overall employment growth slows), Wyoming is expected to return to previous trends where younger populations out-migrate, leaving behind older workers</w:t>
      </w:r>
      <w:r w:rsidR="00037B76" w:rsidRPr="00013F71">
        <w:rPr>
          <w:color w:val="000000" w:themeColor="text1"/>
          <w:sz w:val="24"/>
          <w:szCs w:val="24"/>
        </w:rPr>
        <w:t xml:space="preserve"> (U.S. Census Bureau 2016</w:t>
      </w:r>
      <w:r w:rsidR="001D0FBC" w:rsidRPr="00013F71">
        <w:rPr>
          <w:color w:val="000000" w:themeColor="text1"/>
          <w:sz w:val="24"/>
          <w:szCs w:val="24"/>
        </w:rPr>
        <w:t>)</w:t>
      </w:r>
      <w:r w:rsidR="006E1EDA" w:rsidRPr="00013F71">
        <w:rPr>
          <w:color w:val="000000" w:themeColor="text1"/>
          <w:sz w:val="24"/>
          <w:szCs w:val="24"/>
        </w:rPr>
        <w:t>.</w:t>
      </w:r>
      <w:r w:rsidR="00DB60C9" w:rsidRPr="00013F71">
        <w:rPr>
          <w:color w:val="000000" w:themeColor="text1"/>
          <w:sz w:val="24"/>
          <w:szCs w:val="24"/>
        </w:rPr>
        <w:t xml:space="preserve">  And another category of population growth is the number of uninsured.  According to Kerry Drake, </w:t>
      </w:r>
      <w:r w:rsidR="00816B59" w:rsidRPr="00013F71">
        <w:rPr>
          <w:color w:val="000000" w:themeColor="text1"/>
          <w:sz w:val="24"/>
          <w:szCs w:val="24"/>
        </w:rPr>
        <w:t>“</w:t>
      </w:r>
      <w:r w:rsidR="00DB60C9" w:rsidRPr="00013F71">
        <w:rPr>
          <w:color w:val="000000" w:themeColor="text1"/>
          <w:sz w:val="24"/>
          <w:szCs w:val="24"/>
        </w:rPr>
        <w:t>Wyoming is the only state that has seen an increase in its uninsured population from 2013 to 2015</w:t>
      </w:r>
      <w:r w:rsidR="00816B59" w:rsidRPr="00013F71">
        <w:rPr>
          <w:color w:val="000000" w:themeColor="text1"/>
          <w:sz w:val="24"/>
          <w:szCs w:val="24"/>
        </w:rPr>
        <w:t>” (Drake, 9/1/15).</w:t>
      </w:r>
      <w:r w:rsidR="00DB60C9" w:rsidRPr="00013F71">
        <w:rPr>
          <w:color w:val="000000" w:themeColor="text1"/>
          <w:sz w:val="24"/>
          <w:szCs w:val="24"/>
        </w:rPr>
        <w:t xml:space="preserve">  A new Gallup survey found that Wyoming’s uninsured rate has gone up 1.6% since the Affordable Care Act went into effect </w:t>
      </w:r>
      <w:r w:rsidR="00816B59" w:rsidRPr="00013F71">
        <w:rPr>
          <w:color w:val="000000" w:themeColor="text1"/>
          <w:sz w:val="24"/>
          <w:szCs w:val="24"/>
        </w:rPr>
        <w:t>(Ibid.).</w:t>
      </w:r>
    </w:p>
    <w:p w14:paraId="20975F0A" w14:textId="77777777" w:rsidR="009B6E1B" w:rsidRDefault="009B6E1B" w:rsidP="006E1EDA">
      <w:pPr>
        <w:ind w:firstLine="720"/>
        <w:rPr>
          <w:color w:val="000000" w:themeColor="text1"/>
          <w:sz w:val="24"/>
          <w:szCs w:val="24"/>
        </w:rPr>
      </w:pPr>
    </w:p>
    <w:p w14:paraId="6A25B342" w14:textId="435AE6C2" w:rsidR="009B6E1B" w:rsidRPr="00EF17E6" w:rsidRDefault="009B6E1B" w:rsidP="00EF17E6">
      <w:pPr>
        <w:ind w:firstLine="720"/>
        <w:jc w:val="center"/>
        <w:rPr>
          <w:b/>
          <w:color w:val="000000" w:themeColor="text1"/>
          <w:sz w:val="24"/>
          <w:szCs w:val="24"/>
        </w:rPr>
      </w:pPr>
      <w:r w:rsidRPr="00EF17E6">
        <w:rPr>
          <w:b/>
          <w:color w:val="000000" w:themeColor="text1"/>
          <w:sz w:val="24"/>
          <w:szCs w:val="24"/>
        </w:rPr>
        <w:t>Graph 4: The Graying of Wyoming</w:t>
      </w:r>
    </w:p>
    <w:p w14:paraId="5FC61CD8" w14:textId="77777777" w:rsidR="006E1EDA" w:rsidRPr="00013F71" w:rsidRDefault="006E1EDA" w:rsidP="006E1EDA">
      <w:pPr>
        <w:ind w:firstLine="720"/>
        <w:rPr>
          <w:color w:val="000000" w:themeColor="text1"/>
          <w:sz w:val="24"/>
          <w:szCs w:val="24"/>
        </w:rPr>
      </w:pPr>
    </w:p>
    <w:p w14:paraId="6EB6709A" w14:textId="6CFCC81B" w:rsidR="00F25558" w:rsidRPr="00013F71" w:rsidRDefault="009B6E1B" w:rsidP="006E1EDA">
      <w:pPr>
        <w:ind w:firstLine="720"/>
        <w:rPr>
          <w:color w:val="000000" w:themeColor="text1"/>
          <w:sz w:val="24"/>
          <w:szCs w:val="24"/>
        </w:rPr>
      </w:pPr>
      <w:r>
        <w:rPr>
          <w:noProof/>
          <w:color w:val="000000" w:themeColor="text1"/>
          <w:sz w:val="24"/>
          <w:szCs w:val="24"/>
        </w:rPr>
        <w:drawing>
          <wp:inline distT="0" distB="0" distL="0" distR="0" wp14:anchorId="38959F42" wp14:editId="0BECE52E">
            <wp:extent cx="5486400" cy="3200400"/>
            <wp:effectExtent l="0" t="0" r="254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CFD9AA" w14:textId="77777777" w:rsidR="00C26571" w:rsidRPr="00013F71" w:rsidRDefault="00C26571" w:rsidP="00C26571">
      <w:pPr>
        <w:rPr>
          <w:b/>
          <w:bCs/>
          <w:sz w:val="24"/>
          <w:szCs w:val="24"/>
        </w:rPr>
      </w:pPr>
    </w:p>
    <w:p w14:paraId="4D45BEB6" w14:textId="77777777" w:rsidR="00EF17E6" w:rsidRDefault="00EF17E6" w:rsidP="00C26571">
      <w:pPr>
        <w:rPr>
          <w:b/>
          <w:bCs/>
          <w:sz w:val="24"/>
          <w:szCs w:val="24"/>
        </w:rPr>
      </w:pPr>
    </w:p>
    <w:p w14:paraId="72DE33C2" w14:textId="77777777" w:rsidR="00C26571" w:rsidRPr="00013F71" w:rsidRDefault="00C26571" w:rsidP="00C26571">
      <w:pPr>
        <w:rPr>
          <w:sz w:val="24"/>
          <w:szCs w:val="24"/>
        </w:rPr>
      </w:pPr>
      <w:r w:rsidRPr="00013F71">
        <w:rPr>
          <w:b/>
          <w:bCs/>
          <w:sz w:val="24"/>
          <w:szCs w:val="24"/>
        </w:rPr>
        <w:t>POLITICAL COMPOSITION OF STATE GOVERNMENT</w:t>
      </w:r>
    </w:p>
    <w:p w14:paraId="517493FC" w14:textId="77777777" w:rsidR="00C26571" w:rsidRPr="00013F71" w:rsidRDefault="00C26571" w:rsidP="00C26571">
      <w:pPr>
        <w:rPr>
          <w:sz w:val="24"/>
          <w:szCs w:val="24"/>
        </w:rPr>
      </w:pPr>
    </w:p>
    <w:p w14:paraId="005E03CA" w14:textId="09DE60B7" w:rsidR="008932AA" w:rsidRPr="00013F71" w:rsidRDefault="00C26571" w:rsidP="008932AA">
      <w:pPr>
        <w:widowControl w:val="0"/>
        <w:ind w:firstLine="720"/>
        <w:rPr>
          <w:snapToGrid w:val="0"/>
          <w:sz w:val="24"/>
          <w:szCs w:val="24"/>
        </w:rPr>
      </w:pPr>
      <w:r w:rsidRPr="00013F71">
        <w:rPr>
          <w:snapToGrid w:val="0"/>
          <w:sz w:val="24"/>
          <w:szCs w:val="24"/>
        </w:rPr>
        <w:t xml:space="preserve">Wyoming has a strong conservative history.  Eight of the ten territorial governors were </w:t>
      </w:r>
      <w:r w:rsidR="00C52DF8" w:rsidRPr="00013F71">
        <w:rPr>
          <w:snapToGrid w:val="0"/>
          <w:sz w:val="24"/>
          <w:szCs w:val="24"/>
        </w:rPr>
        <w:lastRenderedPageBreak/>
        <w:t>Republican and of the thirty-one</w:t>
      </w:r>
      <w:r w:rsidRPr="00013F71">
        <w:rPr>
          <w:snapToGrid w:val="0"/>
          <w:sz w:val="24"/>
          <w:szCs w:val="24"/>
        </w:rPr>
        <w:t xml:space="preserve"> governors the state has seen, </w:t>
      </w:r>
      <w:r w:rsidR="00C52DF8" w:rsidRPr="00013F71">
        <w:rPr>
          <w:snapToGrid w:val="0"/>
          <w:sz w:val="24"/>
          <w:szCs w:val="24"/>
        </w:rPr>
        <w:t>eighteen</w:t>
      </w:r>
      <w:r w:rsidRPr="00013F71">
        <w:rPr>
          <w:snapToGrid w:val="0"/>
          <w:sz w:val="24"/>
          <w:szCs w:val="24"/>
        </w:rPr>
        <w:t xml:space="preserve"> have represented the GOP</w:t>
      </w:r>
      <w:r w:rsidR="00444BE5" w:rsidRPr="00013F71">
        <w:rPr>
          <w:snapToGrid w:val="0"/>
          <w:sz w:val="24"/>
          <w:szCs w:val="24"/>
        </w:rPr>
        <w:t xml:space="preserve"> (National Governors Association, 2014)</w:t>
      </w:r>
      <w:r w:rsidRPr="00013F71">
        <w:rPr>
          <w:snapToGrid w:val="0"/>
          <w:sz w:val="24"/>
          <w:szCs w:val="24"/>
        </w:rPr>
        <w:t>.  For the last two decades Republican state legislators have outnu</w:t>
      </w:r>
      <w:r w:rsidR="00CF7F9B" w:rsidRPr="00013F71">
        <w:rPr>
          <w:snapToGrid w:val="0"/>
          <w:sz w:val="24"/>
          <w:szCs w:val="24"/>
        </w:rPr>
        <w:t>mbered Democrats by at least six</w:t>
      </w:r>
      <w:r w:rsidRPr="00013F71">
        <w:rPr>
          <w:snapToGrid w:val="0"/>
          <w:sz w:val="24"/>
          <w:szCs w:val="24"/>
        </w:rPr>
        <w:t xml:space="preserve"> to one—as of today (the 6</w:t>
      </w:r>
      <w:r w:rsidR="002B02EE" w:rsidRPr="00013F71">
        <w:rPr>
          <w:snapToGrid w:val="0"/>
          <w:sz w:val="24"/>
          <w:szCs w:val="24"/>
        </w:rPr>
        <w:t>3rd Legislature) there are 51</w:t>
      </w:r>
      <w:r w:rsidR="00CF7F9B" w:rsidRPr="00013F71">
        <w:rPr>
          <w:snapToGrid w:val="0"/>
          <w:sz w:val="24"/>
          <w:szCs w:val="24"/>
        </w:rPr>
        <w:t xml:space="preserve"> Republicans and </w:t>
      </w:r>
      <w:r w:rsidR="002B02EE" w:rsidRPr="00013F71">
        <w:rPr>
          <w:snapToGrid w:val="0"/>
          <w:sz w:val="24"/>
          <w:szCs w:val="24"/>
        </w:rPr>
        <w:t>9</w:t>
      </w:r>
      <w:r w:rsidRPr="00013F71">
        <w:rPr>
          <w:snapToGrid w:val="0"/>
          <w:sz w:val="24"/>
          <w:szCs w:val="24"/>
        </w:rPr>
        <w:t xml:space="preserve"> Dem</w:t>
      </w:r>
      <w:r w:rsidR="00CF7F9B" w:rsidRPr="00013F71">
        <w:rPr>
          <w:snapToGrid w:val="0"/>
          <w:sz w:val="24"/>
          <w:szCs w:val="24"/>
        </w:rPr>
        <w:t xml:space="preserve">ocrats in the state House and 26 Republicans and </w:t>
      </w:r>
      <w:r w:rsidR="00280CE0" w:rsidRPr="00013F71">
        <w:rPr>
          <w:snapToGrid w:val="0"/>
          <w:sz w:val="24"/>
          <w:szCs w:val="24"/>
        </w:rPr>
        <w:t>four</w:t>
      </w:r>
      <w:r w:rsidRPr="00013F71">
        <w:rPr>
          <w:snapToGrid w:val="0"/>
          <w:sz w:val="24"/>
          <w:szCs w:val="24"/>
        </w:rPr>
        <w:t xml:space="preserve"> Democrats in the Senate.  This partisan distribu</w:t>
      </w:r>
      <w:r w:rsidR="00E15F1A" w:rsidRPr="00013F71">
        <w:rPr>
          <w:snapToGrid w:val="0"/>
          <w:sz w:val="24"/>
          <w:szCs w:val="24"/>
        </w:rPr>
        <w:t xml:space="preserve">tion is not surprising.  </w:t>
      </w:r>
      <w:r w:rsidR="0036596A" w:rsidRPr="00013F71">
        <w:rPr>
          <w:snapToGrid w:val="0"/>
          <w:sz w:val="24"/>
          <w:szCs w:val="24"/>
        </w:rPr>
        <w:t>According to the S</w:t>
      </w:r>
      <w:r w:rsidR="00EC19E9" w:rsidRPr="00013F71">
        <w:rPr>
          <w:snapToGrid w:val="0"/>
          <w:sz w:val="24"/>
          <w:szCs w:val="24"/>
        </w:rPr>
        <w:t>ecretary of State’s Office (2016</w:t>
      </w:r>
      <w:r w:rsidR="0036596A" w:rsidRPr="00013F71">
        <w:rPr>
          <w:snapToGrid w:val="0"/>
          <w:sz w:val="24"/>
          <w:szCs w:val="24"/>
        </w:rPr>
        <w:t xml:space="preserve">), </w:t>
      </w:r>
      <w:r w:rsidR="00EC19E9" w:rsidRPr="00013F71">
        <w:rPr>
          <w:snapToGrid w:val="0"/>
          <w:sz w:val="24"/>
          <w:szCs w:val="24"/>
        </w:rPr>
        <w:t xml:space="preserve">as of </w:t>
      </w:r>
      <w:r w:rsidR="00567149">
        <w:rPr>
          <w:snapToGrid w:val="0"/>
          <w:sz w:val="24"/>
          <w:szCs w:val="24"/>
        </w:rPr>
        <w:t>March</w:t>
      </w:r>
      <w:r w:rsidR="00EC19E9" w:rsidRPr="00013F71">
        <w:rPr>
          <w:snapToGrid w:val="0"/>
          <w:sz w:val="24"/>
          <w:szCs w:val="24"/>
        </w:rPr>
        <w:t xml:space="preserve"> 1, 2016</w:t>
      </w:r>
      <w:r w:rsidRPr="00013F71">
        <w:rPr>
          <w:snapToGrid w:val="0"/>
          <w:sz w:val="24"/>
          <w:szCs w:val="24"/>
        </w:rPr>
        <w:t xml:space="preserve">, of the state's </w:t>
      </w:r>
      <w:r w:rsidR="00567149">
        <w:rPr>
          <w:snapToGrid w:val="0"/>
          <w:sz w:val="24"/>
          <w:szCs w:val="24"/>
        </w:rPr>
        <w:t>201,637</w:t>
      </w:r>
      <w:r w:rsidR="00E15F1A" w:rsidRPr="00013F71">
        <w:rPr>
          <w:snapToGrid w:val="0"/>
          <w:sz w:val="24"/>
          <w:szCs w:val="24"/>
        </w:rPr>
        <w:t xml:space="preserve"> </w:t>
      </w:r>
      <w:r w:rsidRPr="00013F71">
        <w:rPr>
          <w:snapToGrid w:val="0"/>
          <w:sz w:val="24"/>
          <w:szCs w:val="24"/>
        </w:rPr>
        <w:t xml:space="preserve">registered voters, </w:t>
      </w:r>
      <w:r w:rsidR="00567149">
        <w:rPr>
          <w:snapToGrid w:val="0"/>
          <w:sz w:val="24"/>
          <w:szCs w:val="24"/>
        </w:rPr>
        <w:t>139,955</w:t>
      </w:r>
      <w:r w:rsidR="00E15F1A" w:rsidRPr="00013F71">
        <w:rPr>
          <w:snapToGrid w:val="0"/>
          <w:sz w:val="24"/>
          <w:szCs w:val="24"/>
        </w:rPr>
        <w:t xml:space="preserve"> (</w:t>
      </w:r>
      <w:r w:rsidR="00B67E28">
        <w:rPr>
          <w:snapToGrid w:val="0"/>
          <w:sz w:val="24"/>
          <w:szCs w:val="24"/>
        </w:rPr>
        <w:t>69.4</w:t>
      </w:r>
      <w:r w:rsidR="00486074" w:rsidRPr="00013F71">
        <w:rPr>
          <w:snapToGrid w:val="0"/>
          <w:sz w:val="24"/>
          <w:szCs w:val="24"/>
        </w:rPr>
        <w:t xml:space="preserve"> percent</w:t>
      </w:r>
      <w:r w:rsidR="00E15F1A" w:rsidRPr="00013F71">
        <w:rPr>
          <w:snapToGrid w:val="0"/>
          <w:sz w:val="24"/>
          <w:szCs w:val="24"/>
        </w:rPr>
        <w:t>)</w:t>
      </w:r>
      <w:r w:rsidRPr="00013F71">
        <w:rPr>
          <w:snapToGrid w:val="0"/>
          <w:sz w:val="24"/>
          <w:szCs w:val="24"/>
        </w:rPr>
        <w:t xml:space="preserve"> were Republican, and </w:t>
      </w:r>
      <w:r w:rsidR="00567149">
        <w:rPr>
          <w:snapToGrid w:val="0"/>
          <w:sz w:val="24"/>
          <w:szCs w:val="24"/>
        </w:rPr>
        <w:t>39,050</w:t>
      </w:r>
      <w:r w:rsidR="00E15F1A" w:rsidRPr="00013F71">
        <w:rPr>
          <w:snapToGrid w:val="0"/>
          <w:sz w:val="24"/>
          <w:szCs w:val="24"/>
        </w:rPr>
        <w:t xml:space="preserve"> (</w:t>
      </w:r>
      <w:r w:rsidR="00B67E28">
        <w:rPr>
          <w:snapToGrid w:val="0"/>
          <w:sz w:val="24"/>
          <w:szCs w:val="24"/>
        </w:rPr>
        <w:t>19.4</w:t>
      </w:r>
      <w:r w:rsidR="00486074" w:rsidRPr="00013F71">
        <w:rPr>
          <w:snapToGrid w:val="0"/>
          <w:sz w:val="24"/>
          <w:szCs w:val="24"/>
        </w:rPr>
        <w:t xml:space="preserve"> percent</w:t>
      </w:r>
      <w:r w:rsidR="00E15F1A" w:rsidRPr="00013F71">
        <w:rPr>
          <w:snapToGrid w:val="0"/>
          <w:sz w:val="24"/>
          <w:szCs w:val="24"/>
        </w:rPr>
        <w:t>)</w:t>
      </w:r>
      <w:r w:rsidRPr="00013F71">
        <w:rPr>
          <w:snapToGrid w:val="0"/>
          <w:sz w:val="24"/>
          <w:szCs w:val="24"/>
        </w:rPr>
        <w:t xml:space="preserve"> were Democrat, with the remainder classified as </w:t>
      </w:r>
      <w:r w:rsidR="005F0B98" w:rsidRPr="00013F71">
        <w:rPr>
          <w:snapToGrid w:val="0"/>
          <w:sz w:val="24"/>
          <w:szCs w:val="24"/>
        </w:rPr>
        <w:t xml:space="preserve">Constitution, </w:t>
      </w:r>
      <w:r w:rsidR="00EC19E9" w:rsidRPr="00013F71">
        <w:rPr>
          <w:snapToGrid w:val="0"/>
          <w:sz w:val="24"/>
          <w:szCs w:val="24"/>
        </w:rPr>
        <w:t xml:space="preserve">Libertarian, </w:t>
      </w:r>
      <w:r w:rsidRPr="00013F71">
        <w:rPr>
          <w:snapToGrid w:val="0"/>
          <w:sz w:val="24"/>
          <w:szCs w:val="24"/>
        </w:rPr>
        <w:t>unaffiliated</w:t>
      </w:r>
      <w:r w:rsidR="00EC19E9" w:rsidRPr="00013F71">
        <w:rPr>
          <w:snapToGrid w:val="0"/>
          <w:sz w:val="24"/>
          <w:szCs w:val="24"/>
        </w:rPr>
        <w:t>, or “other”</w:t>
      </w:r>
      <w:r w:rsidR="00B67E28">
        <w:rPr>
          <w:snapToGrid w:val="0"/>
          <w:sz w:val="24"/>
          <w:szCs w:val="24"/>
        </w:rPr>
        <w:t xml:space="preserve"> </w:t>
      </w:r>
      <w:r w:rsidR="00E813DA">
        <w:rPr>
          <w:snapToGrid w:val="0"/>
          <w:sz w:val="24"/>
          <w:szCs w:val="24"/>
        </w:rPr>
        <w:t>(Secretary of State</w:t>
      </w:r>
      <w:r w:rsidR="00B67E28">
        <w:rPr>
          <w:snapToGrid w:val="0"/>
          <w:sz w:val="24"/>
          <w:szCs w:val="24"/>
        </w:rPr>
        <w:t>).</w:t>
      </w:r>
      <w:r w:rsidR="0081481F" w:rsidRPr="00013F71">
        <w:rPr>
          <w:snapToGrid w:val="0"/>
          <w:sz w:val="24"/>
          <w:szCs w:val="24"/>
        </w:rPr>
        <w:t xml:space="preserve"> </w:t>
      </w:r>
      <w:r w:rsidR="002B02EE" w:rsidRPr="00013F71">
        <w:rPr>
          <w:snapToGrid w:val="0"/>
          <w:sz w:val="24"/>
          <w:szCs w:val="24"/>
        </w:rPr>
        <w:t xml:space="preserve"> </w:t>
      </w:r>
      <w:r w:rsidR="00E15F1A" w:rsidRPr="00013F71">
        <w:rPr>
          <w:snapToGrid w:val="0"/>
          <w:sz w:val="24"/>
          <w:szCs w:val="24"/>
        </w:rPr>
        <w:t>In addition, the state has a</w:t>
      </w:r>
      <w:r w:rsidRPr="00013F71">
        <w:rPr>
          <w:snapToGrid w:val="0"/>
          <w:sz w:val="24"/>
          <w:szCs w:val="24"/>
        </w:rPr>
        <w:t xml:space="preserve"> Republican governor, replacing a Democrat who was term limited.</w:t>
      </w:r>
      <w:r w:rsidR="00B8222B" w:rsidRPr="00013F71">
        <w:rPr>
          <w:snapToGrid w:val="0"/>
          <w:sz w:val="24"/>
          <w:szCs w:val="24"/>
        </w:rPr>
        <w:t xml:space="preserve">  </w:t>
      </w:r>
      <w:r w:rsidR="008932AA" w:rsidRPr="00013F71">
        <w:rPr>
          <w:snapToGrid w:val="0"/>
          <w:sz w:val="24"/>
          <w:szCs w:val="24"/>
        </w:rPr>
        <w:t>In t</w:t>
      </w:r>
      <w:r w:rsidR="00E15F1A" w:rsidRPr="00013F71">
        <w:rPr>
          <w:snapToGrid w:val="0"/>
          <w:sz w:val="24"/>
          <w:szCs w:val="24"/>
        </w:rPr>
        <w:t>he last g</w:t>
      </w:r>
      <w:r w:rsidR="005F0B98" w:rsidRPr="00013F71">
        <w:rPr>
          <w:snapToGrid w:val="0"/>
          <w:sz w:val="24"/>
          <w:szCs w:val="24"/>
        </w:rPr>
        <w:t>eneral election in 2014</w:t>
      </w:r>
      <w:r w:rsidR="00E15F1A" w:rsidRPr="00013F71">
        <w:rPr>
          <w:snapToGrid w:val="0"/>
          <w:sz w:val="24"/>
          <w:szCs w:val="24"/>
        </w:rPr>
        <w:t>, Republicans maintained</w:t>
      </w:r>
      <w:r w:rsidR="008932AA" w:rsidRPr="00013F71">
        <w:rPr>
          <w:snapToGrid w:val="0"/>
          <w:sz w:val="24"/>
          <w:szCs w:val="24"/>
        </w:rPr>
        <w:t xml:space="preserve"> all </w:t>
      </w:r>
      <w:r w:rsidR="00280CE0" w:rsidRPr="00013F71">
        <w:rPr>
          <w:snapToGrid w:val="0"/>
          <w:sz w:val="24"/>
          <w:szCs w:val="24"/>
        </w:rPr>
        <w:t>five</w:t>
      </w:r>
      <w:r w:rsidR="008932AA" w:rsidRPr="00013F71">
        <w:rPr>
          <w:snapToGrid w:val="0"/>
          <w:sz w:val="24"/>
          <w:szCs w:val="24"/>
        </w:rPr>
        <w:t xml:space="preserve"> of the top state e</w:t>
      </w:r>
      <w:r w:rsidR="00E15F1A" w:rsidRPr="00013F71">
        <w:rPr>
          <w:snapToGrid w:val="0"/>
          <w:sz w:val="24"/>
          <w:szCs w:val="24"/>
        </w:rPr>
        <w:t xml:space="preserve">lected positions and control </w:t>
      </w:r>
      <w:r w:rsidR="008932AA" w:rsidRPr="00013F71">
        <w:rPr>
          <w:snapToGrid w:val="0"/>
          <w:sz w:val="24"/>
          <w:szCs w:val="24"/>
        </w:rPr>
        <w:t>both Houses with an overwhe</w:t>
      </w:r>
      <w:r w:rsidR="005F0B98" w:rsidRPr="00013F71">
        <w:rPr>
          <w:snapToGrid w:val="0"/>
          <w:sz w:val="24"/>
          <w:szCs w:val="24"/>
        </w:rPr>
        <w:t>lming majority</w:t>
      </w:r>
      <w:r w:rsidR="008932AA" w:rsidRPr="00013F71">
        <w:rPr>
          <w:snapToGrid w:val="0"/>
          <w:sz w:val="24"/>
          <w:szCs w:val="24"/>
        </w:rPr>
        <w:t xml:space="preserve">. </w:t>
      </w:r>
      <w:r w:rsidR="0074350B" w:rsidRPr="00013F71">
        <w:rPr>
          <w:snapToGrid w:val="0"/>
          <w:sz w:val="24"/>
          <w:szCs w:val="24"/>
        </w:rPr>
        <w:t xml:space="preserve">With the November 2016 election on the horizon, all Wyoming House members will be up for reelection along with Senators from even-numbered districts (4-year term).  </w:t>
      </w:r>
      <w:r w:rsidR="00E15F1A" w:rsidRPr="00013F71">
        <w:rPr>
          <w:snapToGrid w:val="0"/>
          <w:sz w:val="24"/>
          <w:szCs w:val="24"/>
        </w:rPr>
        <w:t xml:space="preserve">Indeed, Republicans hold </w:t>
      </w:r>
      <w:r w:rsidR="0074350B" w:rsidRPr="00013F71">
        <w:rPr>
          <w:snapToGrid w:val="0"/>
          <w:sz w:val="24"/>
          <w:szCs w:val="24"/>
        </w:rPr>
        <w:t xml:space="preserve">(and are expected to maintain) </w:t>
      </w:r>
      <w:r w:rsidR="00E15F1A" w:rsidRPr="00013F71">
        <w:rPr>
          <w:snapToGrid w:val="0"/>
          <w:sz w:val="24"/>
          <w:szCs w:val="24"/>
        </w:rPr>
        <w:t>every statewide office.</w:t>
      </w:r>
    </w:p>
    <w:p w14:paraId="4974EDD0" w14:textId="77777777" w:rsidR="0061218C" w:rsidRPr="00013F71" w:rsidRDefault="0061218C" w:rsidP="008932AA">
      <w:pPr>
        <w:widowControl w:val="0"/>
        <w:ind w:firstLine="720"/>
        <w:rPr>
          <w:snapToGrid w:val="0"/>
          <w:sz w:val="24"/>
          <w:szCs w:val="24"/>
        </w:rPr>
      </w:pPr>
    </w:p>
    <w:p w14:paraId="25D41629" w14:textId="67674BCF" w:rsidR="0061218C" w:rsidRPr="00013F71" w:rsidRDefault="0061218C" w:rsidP="008932AA">
      <w:pPr>
        <w:widowControl w:val="0"/>
        <w:ind w:firstLine="720"/>
        <w:rPr>
          <w:sz w:val="24"/>
          <w:szCs w:val="24"/>
        </w:rPr>
      </w:pPr>
      <w:r w:rsidRPr="00013F71">
        <w:rPr>
          <w:snapToGrid w:val="0"/>
          <w:sz w:val="24"/>
          <w:szCs w:val="24"/>
        </w:rPr>
        <w:t xml:space="preserve">In terms of gender balance, according to a new report from the National Conference of State Legislators and the </w:t>
      </w:r>
      <w:r w:rsidR="00E813DA">
        <w:rPr>
          <w:snapToGrid w:val="0"/>
          <w:sz w:val="24"/>
          <w:szCs w:val="24"/>
        </w:rPr>
        <w:t>Pew Charitable Trusts, “only 13%</w:t>
      </w:r>
      <w:r w:rsidRPr="00013F71">
        <w:rPr>
          <w:snapToGrid w:val="0"/>
          <w:sz w:val="24"/>
          <w:szCs w:val="24"/>
        </w:rPr>
        <w:t xml:space="preserve"> of Wyoming lawmakers are women, with just one woman </w:t>
      </w:r>
      <w:r w:rsidR="008167DC" w:rsidRPr="00013F71">
        <w:rPr>
          <w:snapToGrid w:val="0"/>
          <w:sz w:val="24"/>
          <w:szCs w:val="24"/>
        </w:rPr>
        <w:t>serving in the Senate” (Woodall, 12/10</w:t>
      </w:r>
      <w:r w:rsidRPr="00013F71">
        <w:rPr>
          <w:snapToGrid w:val="0"/>
          <w:sz w:val="24"/>
          <w:szCs w:val="24"/>
        </w:rPr>
        <w:t>15).</w:t>
      </w:r>
      <w:r w:rsidR="00E813DA">
        <w:rPr>
          <w:snapToGrid w:val="0"/>
          <w:sz w:val="24"/>
          <w:szCs w:val="24"/>
        </w:rPr>
        <w:t xml:space="preserve">  Nationally, 24%</w:t>
      </w:r>
      <w:r w:rsidR="0069654E" w:rsidRPr="00013F71">
        <w:rPr>
          <w:snapToGrid w:val="0"/>
          <w:sz w:val="24"/>
          <w:szCs w:val="24"/>
        </w:rPr>
        <w:t xml:space="preserve"> of state lawmakers are women (Ibid.).</w:t>
      </w:r>
    </w:p>
    <w:p w14:paraId="31C41CAC" w14:textId="77777777" w:rsidR="00C26571" w:rsidRPr="00013F71" w:rsidRDefault="00C26571" w:rsidP="00C26571">
      <w:pPr>
        <w:widowControl w:val="0"/>
        <w:ind w:firstLine="720"/>
        <w:rPr>
          <w:sz w:val="24"/>
          <w:szCs w:val="24"/>
        </w:rPr>
      </w:pPr>
    </w:p>
    <w:p w14:paraId="45FBFAA5" w14:textId="77777777" w:rsidR="00444BE5" w:rsidRPr="00013F71" w:rsidRDefault="00444BE5" w:rsidP="00444BE5">
      <w:pPr>
        <w:jc w:val="center"/>
        <w:rPr>
          <w:b/>
          <w:sz w:val="24"/>
          <w:szCs w:val="24"/>
        </w:rPr>
      </w:pPr>
      <w:r w:rsidRPr="00013F71">
        <w:rPr>
          <w:b/>
          <w:sz w:val="24"/>
          <w:szCs w:val="24"/>
        </w:rPr>
        <w:t>Table 3:  Political Composition of State Government</w:t>
      </w:r>
    </w:p>
    <w:p w14:paraId="6ECB6B3F" w14:textId="77777777" w:rsidR="00444BE5" w:rsidRPr="00013F71" w:rsidRDefault="00444BE5" w:rsidP="00444BE5">
      <w:pPr>
        <w:rPr>
          <w:sz w:val="24"/>
          <w:szCs w:val="24"/>
        </w:rPr>
      </w:pPr>
    </w:p>
    <w:p w14:paraId="0CDE51E4" w14:textId="543FD265" w:rsidR="00444BE5" w:rsidRPr="00013F71" w:rsidRDefault="00444BE5" w:rsidP="00444BE5">
      <w:pPr>
        <w:ind w:firstLine="720"/>
        <w:rPr>
          <w:sz w:val="24"/>
          <w:szCs w:val="24"/>
        </w:rPr>
      </w:pPr>
      <w:r w:rsidRPr="00013F71">
        <w:rPr>
          <w:sz w:val="24"/>
          <w:szCs w:val="24"/>
        </w:rPr>
        <w:t>Session                       6</w:t>
      </w:r>
      <w:r w:rsidR="002B02EE" w:rsidRPr="00013F71">
        <w:rPr>
          <w:sz w:val="24"/>
          <w:szCs w:val="24"/>
        </w:rPr>
        <w:t>3</w:t>
      </w:r>
      <w:r w:rsidR="002B02EE" w:rsidRPr="00013F71">
        <w:rPr>
          <w:sz w:val="24"/>
          <w:szCs w:val="24"/>
          <w:vertAlign w:val="superscript"/>
        </w:rPr>
        <w:t>rd</w:t>
      </w:r>
      <w:r w:rsidR="002B02EE" w:rsidRPr="00013F71">
        <w:rPr>
          <w:sz w:val="24"/>
          <w:szCs w:val="24"/>
        </w:rPr>
        <w:t xml:space="preserve"> </w:t>
      </w:r>
      <w:r w:rsidRPr="00013F71">
        <w:rPr>
          <w:sz w:val="24"/>
          <w:szCs w:val="24"/>
        </w:rPr>
        <w:tab/>
      </w:r>
      <w:r w:rsidRPr="00013F71">
        <w:rPr>
          <w:sz w:val="24"/>
          <w:szCs w:val="24"/>
        </w:rPr>
        <w:tab/>
        <w:t xml:space="preserve">            6</w:t>
      </w:r>
      <w:r w:rsidR="002B02EE" w:rsidRPr="00013F71">
        <w:rPr>
          <w:sz w:val="24"/>
          <w:szCs w:val="24"/>
        </w:rPr>
        <w:t>2</w:t>
      </w:r>
      <w:r w:rsidR="002B02EE" w:rsidRPr="00013F71">
        <w:rPr>
          <w:sz w:val="24"/>
          <w:szCs w:val="24"/>
          <w:vertAlign w:val="superscript"/>
        </w:rPr>
        <w:t>nd</w:t>
      </w:r>
      <w:r w:rsidR="002B02EE" w:rsidRPr="00013F71">
        <w:rPr>
          <w:sz w:val="24"/>
          <w:szCs w:val="24"/>
        </w:rPr>
        <w:t xml:space="preserve"> </w:t>
      </w:r>
      <w:r w:rsidRPr="00013F71">
        <w:rPr>
          <w:sz w:val="24"/>
          <w:szCs w:val="24"/>
        </w:rPr>
        <w:tab/>
      </w:r>
      <w:r w:rsidRPr="00013F71">
        <w:rPr>
          <w:sz w:val="24"/>
          <w:szCs w:val="24"/>
        </w:rPr>
        <w:tab/>
        <w:t xml:space="preserve">       </w:t>
      </w:r>
      <w:r w:rsidR="002B02EE" w:rsidRPr="00013F71">
        <w:rPr>
          <w:sz w:val="24"/>
          <w:szCs w:val="24"/>
        </w:rPr>
        <w:t xml:space="preserve">          61</w:t>
      </w:r>
      <w:r w:rsidR="002B02EE" w:rsidRPr="00013F71">
        <w:rPr>
          <w:sz w:val="24"/>
          <w:szCs w:val="24"/>
          <w:vertAlign w:val="superscript"/>
        </w:rPr>
        <w:t>st</w:t>
      </w:r>
      <w:r w:rsidR="002B02EE" w:rsidRPr="00013F71">
        <w:rPr>
          <w:sz w:val="24"/>
          <w:szCs w:val="24"/>
        </w:rPr>
        <w:t xml:space="preserve"> </w:t>
      </w:r>
    </w:p>
    <w:p w14:paraId="47F85100" w14:textId="0F6EEED9" w:rsidR="00444BE5" w:rsidRPr="00013F71" w:rsidRDefault="002B02EE" w:rsidP="00444BE5">
      <w:pPr>
        <w:ind w:firstLine="720"/>
        <w:rPr>
          <w:sz w:val="24"/>
          <w:szCs w:val="24"/>
        </w:rPr>
      </w:pPr>
      <w:r w:rsidRPr="00013F71">
        <w:rPr>
          <w:sz w:val="24"/>
          <w:szCs w:val="24"/>
        </w:rPr>
        <w:t>Year</w:t>
      </w:r>
      <w:r w:rsidRPr="00013F71">
        <w:rPr>
          <w:sz w:val="24"/>
          <w:szCs w:val="24"/>
        </w:rPr>
        <w:tab/>
      </w:r>
      <w:r w:rsidRPr="00013F71">
        <w:rPr>
          <w:sz w:val="24"/>
          <w:szCs w:val="24"/>
        </w:rPr>
        <w:tab/>
        <w:t xml:space="preserve">    2015-2016</w:t>
      </w:r>
      <w:r w:rsidR="00444BE5" w:rsidRPr="00013F71">
        <w:rPr>
          <w:sz w:val="24"/>
          <w:szCs w:val="24"/>
        </w:rPr>
        <w:tab/>
      </w:r>
      <w:r w:rsidR="00444BE5" w:rsidRPr="00013F71">
        <w:rPr>
          <w:sz w:val="24"/>
          <w:szCs w:val="24"/>
        </w:rPr>
        <w:tab/>
        <w:t xml:space="preserve">  </w:t>
      </w:r>
      <w:r w:rsidRPr="00013F71">
        <w:rPr>
          <w:sz w:val="24"/>
          <w:szCs w:val="24"/>
        </w:rPr>
        <w:t xml:space="preserve">    2013-14</w:t>
      </w:r>
      <w:r w:rsidRPr="00013F71">
        <w:rPr>
          <w:sz w:val="24"/>
          <w:szCs w:val="24"/>
        </w:rPr>
        <w:tab/>
      </w:r>
      <w:r w:rsidRPr="00013F71">
        <w:rPr>
          <w:sz w:val="24"/>
          <w:szCs w:val="24"/>
        </w:rPr>
        <w:tab/>
        <w:t xml:space="preserve">             2011-2012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5"/>
        <w:gridCol w:w="1093"/>
        <w:gridCol w:w="1260"/>
        <w:gridCol w:w="1260"/>
        <w:gridCol w:w="1350"/>
        <w:gridCol w:w="1170"/>
        <w:gridCol w:w="1260"/>
      </w:tblGrid>
      <w:tr w:rsidR="00444BE5" w:rsidRPr="00013F71" w14:paraId="0FBA7952" w14:textId="77777777" w:rsidTr="00444BE5">
        <w:trPr>
          <w:jc w:val="center"/>
        </w:trPr>
        <w:tc>
          <w:tcPr>
            <w:tcW w:w="1265" w:type="dxa"/>
          </w:tcPr>
          <w:p w14:paraId="1C48372E" w14:textId="77777777" w:rsidR="00444BE5" w:rsidRPr="00013F71" w:rsidRDefault="00444BE5" w:rsidP="00444BE5">
            <w:pPr>
              <w:rPr>
                <w:sz w:val="24"/>
                <w:szCs w:val="24"/>
              </w:rPr>
            </w:pPr>
          </w:p>
        </w:tc>
        <w:tc>
          <w:tcPr>
            <w:tcW w:w="1093" w:type="dxa"/>
          </w:tcPr>
          <w:p w14:paraId="1979B2CF" w14:textId="77777777" w:rsidR="00444BE5" w:rsidRPr="00013F71" w:rsidRDefault="00444BE5" w:rsidP="00444BE5">
            <w:pPr>
              <w:jc w:val="center"/>
              <w:rPr>
                <w:sz w:val="24"/>
                <w:szCs w:val="24"/>
              </w:rPr>
            </w:pPr>
            <w:r w:rsidRPr="00013F71">
              <w:rPr>
                <w:sz w:val="24"/>
                <w:szCs w:val="24"/>
              </w:rPr>
              <w:t>Dem</w:t>
            </w:r>
          </w:p>
        </w:tc>
        <w:tc>
          <w:tcPr>
            <w:tcW w:w="1260" w:type="dxa"/>
          </w:tcPr>
          <w:p w14:paraId="6CCD7388" w14:textId="77777777" w:rsidR="00444BE5" w:rsidRPr="00013F71" w:rsidRDefault="00444BE5" w:rsidP="00444BE5">
            <w:pPr>
              <w:jc w:val="center"/>
              <w:rPr>
                <w:sz w:val="24"/>
                <w:szCs w:val="24"/>
              </w:rPr>
            </w:pPr>
            <w:r w:rsidRPr="00013F71">
              <w:rPr>
                <w:sz w:val="24"/>
                <w:szCs w:val="24"/>
              </w:rPr>
              <w:t>Rep</w:t>
            </w:r>
          </w:p>
        </w:tc>
        <w:tc>
          <w:tcPr>
            <w:tcW w:w="1260" w:type="dxa"/>
          </w:tcPr>
          <w:p w14:paraId="20D61B6C" w14:textId="77777777" w:rsidR="00444BE5" w:rsidRPr="00013F71" w:rsidRDefault="00444BE5" w:rsidP="00444BE5">
            <w:pPr>
              <w:jc w:val="center"/>
              <w:rPr>
                <w:sz w:val="24"/>
                <w:szCs w:val="24"/>
              </w:rPr>
            </w:pPr>
            <w:r w:rsidRPr="00013F71">
              <w:rPr>
                <w:sz w:val="24"/>
                <w:szCs w:val="24"/>
              </w:rPr>
              <w:t>Dem</w:t>
            </w:r>
          </w:p>
        </w:tc>
        <w:tc>
          <w:tcPr>
            <w:tcW w:w="1350" w:type="dxa"/>
          </w:tcPr>
          <w:p w14:paraId="50E6D12E" w14:textId="77777777" w:rsidR="00444BE5" w:rsidRPr="00013F71" w:rsidRDefault="00444BE5" w:rsidP="00444BE5">
            <w:pPr>
              <w:jc w:val="center"/>
              <w:rPr>
                <w:sz w:val="24"/>
                <w:szCs w:val="24"/>
              </w:rPr>
            </w:pPr>
            <w:r w:rsidRPr="00013F71">
              <w:rPr>
                <w:sz w:val="24"/>
                <w:szCs w:val="24"/>
              </w:rPr>
              <w:t>Rep</w:t>
            </w:r>
          </w:p>
        </w:tc>
        <w:tc>
          <w:tcPr>
            <w:tcW w:w="1170" w:type="dxa"/>
          </w:tcPr>
          <w:p w14:paraId="41F3AE79" w14:textId="77777777" w:rsidR="00444BE5" w:rsidRPr="00013F71" w:rsidRDefault="00444BE5" w:rsidP="00444BE5">
            <w:pPr>
              <w:jc w:val="center"/>
              <w:rPr>
                <w:sz w:val="24"/>
                <w:szCs w:val="24"/>
              </w:rPr>
            </w:pPr>
            <w:r w:rsidRPr="00013F71">
              <w:rPr>
                <w:sz w:val="24"/>
                <w:szCs w:val="24"/>
              </w:rPr>
              <w:t>Dem</w:t>
            </w:r>
          </w:p>
        </w:tc>
        <w:tc>
          <w:tcPr>
            <w:tcW w:w="1260" w:type="dxa"/>
          </w:tcPr>
          <w:p w14:paraId="3C792CDA" w14:textId="77777777" w:rsidR="00444BE5" w:rsidRPr="00013F71" w:rsidRDefault="00444BE5" w:rsidP="00444BE5">
            <w:pPr>
              <w:jc w:val="center"/>
              <w:rPr>
                <w:sz w:val="24"/>
                <w:szCs w:val="24"/>
              </w:rPr>
            </w:pPr>
            <w:r w:rsidRPr="00013F71">
              <w:rPr>
                <w:sz w:val="24"/>
                <w:szCs w:val="24"/>
              </w:rPr>
              <w:t>Rep</w:t>
            </w:r>
          </w:p>
        </w:tc>
      </w:tr>
      <w:tr w:rsidR="00444BE5" w:rsidRPr="00013F71" w14:paraId="6C636B16" w14:textId="77777777" w:rsidTr="00444BE5">
        <w:trPr>
          <w:jc w:val="center"/>
        </w:trPr>
        <w:tc>
          <w:tcPr>
            <w:tcW w:w="1265" w:type="dxa"/>
          </w:tcPr>
          <w:p w14:paraId="7FCCF542" w14:textId="77777777" w:rsidR="00444BE5" w:rsidRPr="00013F71" w:rsidRDefault="00444BE5" w:rsidP="00444BE5">
            <w:pPr>
              <w:rPr>
                <w:sz w:val="24"/>
                <w:szCs w:val="24"/>
              </w:rPr>
            </w:pPr>
            <w:r w:rsidRPr="00013F71">
              <w:rPr>
                <w:sz w:val="24"/>
                <w:szCs w:val="24"/>
              </w:rPr>
              <w:t>Governor</w:t>
            </w:r>
          </w:p>
        </w:tc>
        <w:tc>
          <w:tcPr>
            <w:tcW w:w="1093" w:type="dxa"/>
          </w:tcPr>
          <w:p w14:paraId="74E9E733" w14:textId="77777777" w:rsidR="00444BE5" w:rsidRPr="00013F71" w:rsidRDefault="00444BE5" w:rsidP="00444BE5">
            <w:pPr>
              <w:jc w:val="center"/>
              <w:rPr>
                <w:sz w:val="24"/>
                <w:szCs w:val="24"/>
              </w:rPr>
            </w:pPr>
          </w:p>
        </w:tc>
        <w:tc>
          <w:tcPr>
            <w:tcW w:w="1260" w:type="dxa"/>
          </w:tcPr>
          <w:p w14:paraId="4C57840A" w14:textId="77777777" w:rsidR="00444BE5" w:rsidRPr="00013F71" w:rsidRDefault="00444BE5" w:rsidP="00444BE5">
            <w:pPr>
              <w:jc w:val="center"/>
              <w:rPr>
                <w:sz w:val="24"/>
                <w:szCs w:val="24"/>
              </w:rPr>
            </w:pPr>
            <w:r w:rsidRPr="00013F71">
              <w:rPr>
                <w:sz w:val="24"/>
                <w:szCs w:val="24"/>
              </w:rPr>
              <w:t>*</w:t>
            </w:r>
          </w:p>
        </w:tc>
        <w:tc>
          <w:tcPr>
            <w:tcW w:w="1260" w:type="dxa"/>
          </w:tcPr>
          <w:p w14:paraId="54715EDB" w14:textId="32146F25" w:rsidR="00444BE5" w:rsidRPr="00013F71" w:rsidRDefault="00444BE5" w:rsidP="00444BE5">
            <w:pPr>
              <w:jc w:val="center"/>
              <w:rPr>
                <w:sz w:val="24"/>
                <w:szCs w:val="24"/>
              </w:rPr>
            </w:pPr>
          </w:p>
        </w:tc>
        <w:tc>
          <w:tcPr>
            <w:tcW w:w="1350" w:type="dxa"/>
          </w:tcPr>
          <w:p w14:paraId="1C50CEA1" w14:textId="3007B0BF" w:rsidR="00444BE5" w:rsidRPr="00013F71" w:rsidRDefault="002B02EE" w:rsidP="00444BE5">
            <w:pPr>
              <w:jc w:val="center"/>
              <w:rPr>
                <w:sz w:val="24"/>
                <w:szCs w:val="24"/>
              </w:rPr>
            </w:pPr>
            <w:r w:rsidRPr="00013F71">
              <w:rPr>
                <w:sz w:val="24"/>
                <w:szCs w:val="24"/>
              </w:rPr>
              <w:t>*</w:t>
            </w:r>
          </w:p>
        </w:tc>
        <w:tc>
          <w:tcPr>
            <w:tcW w:w="1170" w:type="dxa"/>
          </w:tcPr>
          <w:p w14:paraId="6313AC83" w14:textId="77777777" w:rsidR="00444BE5" w:rsidRPr="00013F71" w:rsidRDefault="00444BE5" w:rsidP="00444BE5">
            <w:pPr>
              <w:jc w:val="center"/>
              <w:rPr>
                <w:sz w:val="24"/>
                <w:szCs w:val="24"/>
              </w:rPr>
            </w:pPr>
            <w:r w:rsidRPr="00013F71">
              <w:rPr>
                <w:sz w:val="24"/>
                <w:szCs w:val="24"/>
              </w:rPr>
              <w:t>*</w:t>
            </w:r>
          </w:p>
        </w:tc>
        <w:tc>
          <w:tcPr>
            <w:tcW w:w="1260" w:type="dxa"/>
          </w:tcPr>
          <w:p w14:paraId="04CDF602" w14:textId="77777777" w:rsidR="00444BE5" w:rsidRPr="00013F71" w:rsidRDefault="00444BE5" w:rsidP="00444BE5">
            <w:pPr>
              <w:jc w:val="center"/>
              <w:rPr>
                <w:sz w:val="24"/>
                <w:szCs w:val="24"/>
              </w:rPr>
            </w:pPr>
          </w:p>
        </w:tc>
      </w:tr>
      <w:tr w:rsidR="00444BE5" w:rsidRPr="00013F71" w14:paraId="50ACC8AA" w14:textId="77777777" w:rsidTr="00444BE5">
        <w:trPr>
          <w:jc w:val="center"/>
        </w:trPr>
        <w:tc>
          <w:tcPr>
            <w:tcW w:w="1265" w:type="dxa"/>
          </w:tcPr>
          <w:p w14:paraId="3D102C52" w14:textId="77777777" w:rsidR="00444BE5" w:rsidRPr="00013F71" w:rsidRDefault="00444BE5" w:rsidP="00444BE5">
            <w:pPr>
              <w:rPr>
                <w:sz w:val="24"/>
                <w:szCs w:val="24"/>
              </w:rPr>
            </w:pPr>
            <w:r w:rsidRPr="00013F71">
              <w:rPr>
                <w:sz w:val="24"/>
                <w:szCs w:val="24"/>
              </w:rPr>
              <w:t>House</w:t>
            </w:r>
          </w:p>
        </w:tc>
        <w:tc>
          <w:tcPr>
            <w:tcW w:w="1093" w:type="dxa"/>
          </w:tcPr>
          <w:p w14:paraId="30810D0C" w14:textId="4A680893" w:rsidR="00444BE5" w:rsidRPr="00013F71" w:rsidRDefault="002B02EE" w:rsidP="00444BE5">
            <w:pPr>
              <w:jc w:val="center"/>
              <w:rPr>
                <w:sz w:val="24"/>
                <w:szCs w:val="24"/>
              </w:rPr>
            </w:pPr>
            <w:r w:rsidRPr="00013F71">
              <w:rPr>
                <w:sz w:val="24"/>
                <w:szCs w:val="24"/>
              </w:rPr>
              <w:t>9</w:t>
            </w:r>
          </w:p>
        </w:tc>
        <w:tc>
          <w:tcPr>
            <w:tcW w:w="1260" w:type="dxa"/>
          </w:tcPr>
          <w:p w14:paraId="61DE553B" w14:textId="5D7AA3C4" w:rsidR="00444BE5" w:rsidRPr="00013F71" w:rsidRDefault="00444BE5" w:rsidP="00444BE5">
            <w:pPr>
              <w:jc w:val="center"/>
              <w:rPr>
                <w:sz w:val="24"/>
                <w:szCs w:val="24"/>
              </w:rPr>
            </w:pPr>
            <w:r w:rsidRPr="00013F71">
              <w:rPr>
                <w:sz w:val="24"/>
                <w:szCs w:val="24"/>
              </w:rPr>
              <w:t>5</w:t>
            </w:r>
            <w:r w:rsidR="002B02EE" w:rsidRPr="00013F71">
              <w:rPr>
                <w:sz w:val="24"/>
                <w:szCs w:val="24"/>
              </w:rPr>
              <w:t>1</w:t>
            </w:r>
          </w:p>
        </w:tc>
        <w:tc>
          <w:tcPr>
            <w:tcW w:w="1260" w:type="dxa"/>
          </w:tcPr>
          <w:p w14:paraId="2978AA67" w14:textId="3A2359C1" w:rsidR="00444BE5" w:rsidRPr="00013F71" w:rsidRDefault="002B02EE" w:rsidP="00444BE5">
            <w:pPr>
              <w:jc w:val="center"/>
              <w:rPr>
                <w:sz w:val="24"/>
                <w:szCs w:val="24"/>
              </w:rPr>
            </w:pPr>
            <w:r w:rsidRPr="00013F71">
              <w:rPr>
                <w:sz w:val="24"/>
                <w:szCs w:val="24"/>
              </w:rPr>
              <w:t>8</w:t>
            </w:r>
          </w:p>
        </w:tc>
        <w:tc>
          <w:tcPr>
            <w:tcW w:w="1350" w:type="dxa"/>
          </w:tcPr>
          <w:p w14:paraId="152DEF76" w14:textId="4E829D4F" w:rsidR="00444BE5" w:rsidRPr="00013F71" w:rsidRDefault="00444BE5" w:rsidP="00444BE5">
            <w:pPr>
              <w:jc w:val="center"/>
              <w:rPr>
                <w:sz w:val="24"/>
                <w:szCs w:val="24"/>
              </w:rPr>
            </w:pPr>
            <w:r w:rsidRPr="00013F71">
              <w:rPr>
                <w:sz w:val="24"/>
                <w:szCs w:val="24"/>
              </w:rPr>
              <w:t>5</w:t>
            </w:r>
            <w:r w:rsidR="002B02EE" w:rsidRPr="00013F71">
              <w:rPr>
                <w:sz w:val="24"/>
                <w:szCs w:val="24"/>
              </w:rPr>
              <w:t>2</w:t>
            </w:r>
          </w:p>
        </w:tc>
        <w:tc>
          <w:tcPr>
            <w:tcW w:w="1170" w:type="dxa"/>
          </w:tcPr>
          <w:p w14:paraId="1E4844A1" w14:textId="73CE9F71" w:rsidR="00444BE5" w:rsidRPr="00013F71" w:rsidRDefault="00444BE5" w:rsidP="00444BE5">
            <w:pPr>
              <w:jc w:val="center"/>
              <w:rPr>
                <w:sz w:val="24"/>
                <w:szCs w:val="24"/>
              </w:rPr>
            </w:pPr>
            <w:r w:rsidRPr="00013F71">
              <w:rPr>
                <w:sz w:val="24"/>
                <w:szCs w:val="24"/>
              </w:rPr>
              <w:t>1</w:t>
            </w:r>
            <w:r w:rsidR="002B02EE" w:rsidRPr="00013F71">
              <w:rPr>
                <w:sz w:val="24"/>
                <w:szCs w:val="24"/>
              </w:rPr>
              <w:t>0</w:t>
            </w:r>
          </w:p>
        </w:tc>
        <w:tc>
          <w:tcPr>
            <w:tcW w:w="1260" w:type="dxa"/>
          </w:tcPr>
          <w:p w14:paraId="557DA842" w14:textId="2994792A" w:rsidR="00444BE5" w:rsidRPr="00013F71" w:rsidRDefault="002B02EE" w:rsidP="00444BE5">
            <w:pPr>
              <w:jc w:val="center"/>
              <w:rPr>
                <w:sz w:val="24"/>
                <w:szCs w:val="24"/>
              </w:rPr>
            </w:pPr>
            <w:r w:rsidRPr="00013F71">
              <w:rPr>
                <w:sz w:val="24"/>
                <w:szCs w:val="24"/>
              </w:rPr>
              <w:t>50</w:t>
            </w:r>
          </w:p>
        </w:tc>
      </w:tr>
      <w:tr w:rsidR="00444BE5" w:rsidRPr="00013F71" w14:paraId="240EA12F" w14:textId="77777777" w:rsidTr="00444BE5">
        <w:trPr>
          <w:jc w:val="center"/>
        </w:trPr>
        <w:tc>
          <w:tcPr>
            <w:tcW w:w="1265" w:type="dxa"/>
          </w:tcPr>
          <w:p w14:paraId="0F9AEFB0" w14:textId="77777777" w:rsidR="00444BE5" w:rsidRPr="00013F71" w:rsidRDefault="00444BE5" w:rsidP="00444BE5">
            <w:pPr>
              <w:rPr>
                <w:sz w:val="24"/>
                <w:szCs w:val="24"/>
              </w:rPr>
            </w:pPr>
            <w:r w:rsidRPr="00013F71">
              <w:rPr>
                <w:sz w:val="24"/>
                <w:szCs w:val="24"/>
              </w:rPr>
              <w:t>Senate</w:t>
            </w:r>
          </w:p>
        </w:tc>
        <w:tc>
          <w:tcPr>
            <w:tcW w:w="1093" w:type="dxa"/>
          </w:tcPr>
          <w:p w14:paraId="45E9E2D1" w14:textId="77777777" w:rsidR="00444BE5" w:rsidRPr="00013F71" w:rsidRDefault="00444BE5" w:rsidP="00444BE5">
            <w:pPr>
              <w:jc w:val="center"/>
              <w:rPr>
                <w:sz w:val="24"/>
                <w:szCs w:val="24"/>
              </w:rPr>
            </w:pPr>
            <w:r w:rsidRPr="00013F71">
              <w:rPr>
                <w:sz w:val="24"/>
                <w:szCs w:val="24"/>
              </w:rPr>
              <w:t>4</w:t>
            </w:r>
          </w:p>
        </w:tc>
        <w:tc>
          <w:tcPr>
            <w:tcW w:w="1260" w:type="dxa"/>
          </w:tcPr>
          <w:p w14:paraId="38AF4863" w14:textId="77777777" w:rsidR="00444BE5" w:rsidRPr="00013F71" w:rsidRDefault="00444BE5" w:rsidP="00444BE5">
            <w:pPr>
              <w:jc w:val="center"/>
              <w:rPr>
                <w:sz w:val="24"/>
                <w:szCs w:val="24"/>
              </w:rPr>
            </w:pPr>
            <w:r w:rsidRPr="00013F71">
              <w:rPr>
                <w:sz w:val="24"/>
                <w:szCs w:val="24"/>
              </w:rPr>
              <w:t>26</w:t>
            </w:r>
          </w:p>
        </w:tc>
        <w:tc>
          <w:tcPr>
            <w:tcW w:w="1260" w:type="dxa"/>
          </w:tcPr>
          <w:p w14:paraId="3778DD59" w14:textId="77777777" w:rsidR="00444BE5" w:rsidRPr="00013F71" w:rsidRDefault="00444BE5" w:rsidP="00444BE5">
            <w:pPr>
              <w:jc w:val="center"/>
              <w:rPr>
                <w:sz w:val="24"/>
                <w:szCs w:val="24"/>
              </w:rPr>
            </w:pPr>
            <w:r w:rsidRPr="00013F71">
              <w:rPr>
                <w:sz w:val="24"/>
                <w:szCs w:val="24"/>
              </w:rPr>
              <w:t>4</w:t>
            </w:r>
          </w:p>
        </w:tc>
        <w:tc>
          <w:tcPr>
            <w:tcW w:w="1350" w:type="dxa"/>
          </w:tcPr>
          <w:p w14:paraId="32D081F0" w14:textId="77777777" w:rsidR="00444BE5" w:rsidRPr="00013F71" w:rsidRDefault="00444BE5" w:rsidP="00444BE5">
            <w:pPr>
              <w:jc w:val="center"/>
              <w:rPr>
                <w:sz w:val="24"/>
                <w:szCs w:val="24"/>
              </w:rPr>
            </w:pPr>
            <w:r w:rsidRPr="00013F71">
              <w:rPr>
                <w:sz w:val="24"/>
                <w:szCs w:val="24"/>
              </w:rPr>
              <w:t>26</w:t>
            </w:r>
          </w:p>
        </w:tc>
        <w:tc>
          <w:tcPr>
            <w:tcW w:w="1170" w:type="dxa"/>
          </w:tcPr>
          <w:p w14:paraId="0415AF87" w14:textId="77777777" w:rsidR="00444BE5" w:rsidRPr="00013F71" w:rsidRDefault="00444BE5" w:rsidP="00444BE5">
            <w:pPr>
              <w:jc w:val="center"/>
              <w:rPr>
                <w:sz w:val="24"/>
                <w:szCs w:val="24"/>
              </w:rPr>
            </w:pPr>
            <w:r w:rsidRPr="00013F71">
              <w:rPr>
                <w:sz w:val="24"/>
                <w:szCs w:val="24"/>
              </w:rPr>
              <w:t>7</w:t>
            </w:r>
          </w:p>
        </w:tc>
        <w:tc>
          <w:tcPr>
            <w:tcW w:w="1260" w:type="dxa"/>
          </w:tcPr>
          <w:p w14:paraId="4EFB91A1" w14:textId="77777777" w:rsidR="00444BE5" w:rsidRPr="00013F71" w:rsidRDefault="00444BE5" w:rsidP="00444BE5">
            <w:pPr>
              <w:jc w:val="center"/>
              <w:rPr>
                <w:sz w:val="24"/>
                <w:szCs w:val="24"/>
              </w:rPr>
            </w:pPr>
            <w:r w:rsidRPr="00013F71">
              <w:rPr>
                <w:sz w:val="24"/>
                <w:szCs w:val="24"/>
              </w:rPr>
              <w:t>23</w:t>
            </w:r>
          </w:p>
        </w:tc>
      </w:tr>
    </w:tbl>
    <w:p w14:paraId="507FA58F" w14:textId="77777777" w:rsidR="0023222C" w:rsidRDefault="0023222C" w:rsidP="00C26571">
      <w:pPr>
        <w:widowControl w:val="0"/>
        <w:ind w:firstLine="720"/>
        <w:rPr>
          <w:snapToGrid w:val="0"/>
          <w:sz w:val="24"/>
          <w:szCs w:val="24"/>
        </w:rPr>
      </w:pPr>
    </w:p>
    <w:p w14:paraId="16D95F07" w14:textId="77777777" w:rsidR="00C06432" w:rsidRPr="00013F71" w:rsidRDefault="00C06432" w:rsidP="00C26571">
      <w:pPr>
        <w:widowControl w:val="0"/>
        <w:ind w:firstLine="720"/>
        <w:rPr>
          <w:snapToGrid w:val="0"/>
          <w:sz w:val="24"/>
          <w:szCs w:val="24"/>
        </w:rPr>
      </w:pPr>
    </w:p>
    <w:p w14:paraId="4BFF3C29" w14:textId="17871C1A" w:rsidR="00C26571" w:rsidRPr="00013F71" w:rsidRDefault="00C26571" w:rsidP="00C26571">
      <w:pPr>
        <w:widowControl w:val="0"/>
        <w:ind w:firstLine="720"/>
        <w:rPr>
          <w:snapToGrid w:val="0"/>
          <w:sz w:val="24"/>
          <w:szCs w:val="24"/>
        </w:rPr>
      </w:pPr>
      <w:r w:rsidRPr="00013F71">
        <w:rPr>
          <w:snapToGrid w:val="0"/>
          <w:sz w:val="24"/>
          <w:szCs w:val="24"/>
        </w:rPr>
        <w:t xml:space="preserve">In the spirit of Wyoming's part-time "citizen legislature," Wyoming legislators may meet for </w:t>
      </w:r>
      <w:r w:rsidRPr="00013F71">
        <w:rPr>
          <w:i/>
          <w:iCs/>
          <w:snapToGrid w:val="0"/>
          <w:sz w:val="24"/>
          <w:szCs w:val="24"/>
        </w:rPr>
        <w:t>not more than</w:t>
      </w:r>
      <w:r w:rsidR="00C52DF8" w:rsidRPr="00013F71">
        <w:rPr>
          <w:snapToGrid w:val="0"/>
          <w:sz w:val="24"/>
          <w:szCs w:val="24"/>
        </w:rPr>
        <w:t xml:space="preserve"> sixty days in odd number</w:t>
      </w:r>
      <w:r w:rsidR="00DE79AE" w:rsidRPr="00013F71">
        <w:rPr>
          <w:snapToGrid w:val="0"/>
          <w:sz w:val="24"/>
          <w:szCs w:val="24"/>
        </w:rPr>
        <w:t>ed</w:t>
      </w:r>
      <w:r w:rsidR="00C52DF8" w:rsidRPr="00013F71">
        <w:rPr>
          <w:snapToGrid w:val="0"/>
          <w:sz w:val="24"/>
          <w:szCs w:val="24"/>
        </w:rPr>
        <w:t xml:space="preserve"> </w:t>
      </w:r>
      <w:r w:rsidRPr="00013F71">
        <w:rPr>
          <w:snapToGrid w:val="0"/>
          <w:sz w:val="24"/>
          <w:szCs w:val="24"/>
        </w:rPr>
        <w:t xml:space="preserve">years, although the governor may convene additional days for special sessions.  </w:t>
      </w:r>
      <w:r w:rsidR="00C52DF8" w:rsidRPr="00013F71">
        <w:rPr>
          <w:snapToGrid w:val="0"/>
          <w:sz w:val="24"/>
          <w:szCs w:val="24"/>
        </w:rPr>
        <w:t>Every other year, twen</w:t>
      </w:r>
      <w:r w:rsidRPr="00013F71">
        <w:rPr>
          <w:snapToGrid w:val="0"/>
          <w:sz w:val="24"/>
          <w:szCs w:val="24"/>
        </w:rPr>
        <w:t xml:space="preserve">ty days are reserved for the budget session (occurring in even numbered years).  Furthermore, Wyoming legislators do not maintain offices in the Capitol, and rarely do so in their home districts.  Instead, they have a desk on the chamber floor and possibly a file cabinet in a committee meeting room.  Legislators also lack the resources of a personal staff.  The Legislative Services Office (LSO)—a non-partisan central office—and temporary session staff are used in lieu of individual professional support personnel.  The LSO staff evaluates executive branch programs, provides technical support, and audits school finances.  The Legal Services Division of the LSO provides general and legal research in addition to drafting bills for committees and individual legislators. The LSO’s Budget and Fiscal Section provides support to the Joint Appropriations Committee (JAC) and to the rest of the legislature on budget matters and general state expenditures.  The manager of this section also serves as co-chair of the state’s Consensus Revenue Estimating Group (CREG).  CREG is responsible for projecting state revenues from the general fund, mineral severance tax, federal mineral royalties, and the Common School Land Income Account, and for the state’s assessed </w:t>
      </w:r>
      <w:r w:rsidRPr="00013F71">
        <w:rPr>
          <w:snapToGrid w:val="0"/>
          <w:sz w:val="24"/>
          <w:szCs w:val="24"/>
        </w:rPr>
        <w:lastRenderedPageBreak/>
        <w:t xml:space="preserve">property valuations. </w:t>
      </w:r>
    </w:p>
    <w:p w14:paraId="19B3C93D" w14:textId="77777777" w:rsidR="00C26571" w:rsidRPr="00013F71" w:rsidRDefault="00C26571" w:rsidP="00C26571">
      <w:pPr>
        <w:widowControl w:val="0"/>
        <w:rPr>
          <w:b/>
          <w:bCs/>
          <w:snapToGrid w:val="0"/>
          <w:sz w:val="24"/>
          <w:szCs w:val="24"/>
        </w:rPr>
      </w:pPr>
    </w:p>
    <w:p w14:paraId="213BE28F" w14:textId="77777777" w:rsidR="005F1110" w:rsidRPr="00013F71" w:rsidRDefault="005F1110" w:rsidP="00C26571">
      <w:pPr>
        <w:widowControl w:val="0"/>
        <w:rPr>
          <w:b/>
          <w:bCs/>
          <w:snapToGrid w:val="0"/>
          <w:sz w:val="24"/>
          <w:szCs w:val="24"/>
        </w:rPr>
      </w:pPr>
    </w:p>
    <w:p w14:paraId="116F40AC" w14:textId="77777777" w:rsidR="00C26571" w:rsidRPr="00013F71" w:rsidRDefault="00C26571" w:rsidP="00C26571">
      <w:pPr>
        <w:widowControl w:val="0"/>
        <w:rPr>
          <w:b/>
          <w:bCs/>
          <w:snapToGrid w:val="0"/>
          <w:sz w:val="24"/>
          <w:szCs w:val="24"/>
        </w:rPr>
      </w:pPr>
      <w:r w:rsidRPr="00013F71">
        <w:rPr>
          <w:b/>
          <w:bCs/>
          <w:snapToGrid w:val="0"/>
          <w:sz w:val="24"/>
          <w:szCs w:val="24"/>
        </w:rPr>
        <w:t>THE BUDGET AND MAJOR CURRENT ISSUES</w:t>
      </w:r>
    </w:p>
    <w:p w14:paraId="7410CD37" w14:textId="77777777" w:rsidR="006E1EDA" w:rsidRPr="00013F71" w:rsidRDefault="006E1EDA" w:rsidP="006E1EDA">
      <w:pPr>
        <w:widowControl w:val="0"/>
        <w:rPr>
          <w:bCs/>
          <w:snapToGrid w:val="0"/>
          <w:sz w:val="24"/>
          <w:szCs w:val="24"/>
        </w:rPr>
      </w:pPr>
    </w:p>
    <w:p w14:paraId="3EAA46ED" w14:textId="485D7157" w:rsidR="00AF6734" w:rsidRPr="00013F71" w:rsidRDefault="00D47878" w:rsidP="006E1EDA">
      <w:pPr>
        <w:widowControl w:val="0"/>
        <w:rPr>
          <w:bCs/>
          <w:snapToGrid w:val="0"/>
          <w:sz w:val="24"/>
          <w:szCs w:val="24"/>
        </w:rPr>
      </w:pPr>
      <w:r w:rsidRPr="00013F71">
        <w:rPr>
          <w:bCs/>
          <w:snapToGrid w:val="0"/>
          <w:sz w:val="24"/>
          <w:szCs w:val="24"/>
        </w:rPr>
        <w:tab/>
        <w:t xml:space="preserve">During this year’s </w:t>
      </w:r>
      <w:r w:rsidR="00AF6734" w:rsidRPr="00013F71">
        <w:rPr>
          <w:bCs/>
          <w:snapToGrid w:val="0"/>
          <w:sz w:val="24"/>
          <w:szCs w:val="24"/>
        </w:rPr>
        <w:t>budget</w:t>
      </w:r>
      <w:r w:rsidR="00730018" w:rsidRPr="00013F71">
        <w:rPr>
          <w:bCs/>
          <w:snapToGrid w:val="0"/>
          <w:sz w:val="24"/>
          <w:szCs w:val="24"/>
        </w:rPr>
        <w:t xml:space="preserve"> session,</w:t>
      </w:r>
      <w:r w:rsidR="00503956" w:rsidRPr="00013F71">
        <w:rPr>
          <w:bCs/>
          <w:snapToGrid w:val="0"/>
          <w:sz w:val="24"/>
          <w:szCs w:val="24"/>
        </w:rPr>
        <w:t xml:space="preserve"> elected officials approved a </w:t>
      </w:r>
      <w:r w:rsidR="00AF6734" w:rsidRPr="00013F71">
        <w:rPr>
          <w:bCs/>
          <w:snapToGrid w:val="0"/>
          <w:sz w:val="24"/>
          <w:szCs w:val="24"/>
        </w:rPr>
        <w:t>$3 billion, two-year budget</w:t>
      </w:r>
      <w:r w:rsidR="00261DA8" w:rsidRPr="00013F71">
        <w:rPr>
          <w:bCs/>
          <w:snapToGrid w:val="0"/>
          <w:sz w:val="24"/>
          <w:szCs w:val="24"/>
        </w:rPr>
        <w:t xml:space="preserve"> (down from the $3.5 billion budget two years ago)</w:t>
      </w:r>
      <w:r w:rsidR="00AF6734" w:rsidRPr="00013F71">
        <w:rPr>
          <w:bCs/>
          <w:snapToGrid w:val="0"/>
          <w:sz w:val="24"/>
          <w:szCs w:val="24"/>
        </w:rPr>
        <w:t xml:space="preserve">.  </w:t>
      </w:r>
      <w:r w:rsidR="00E74DDE" w:rsidRPr="00013F71">
        <w:rPr>
          <w:bCs/>
          <w:snapToGrid w:val="0"/>
          <w:sz w:val="24"/>
          <w:szCs w:val="24"/>
        </w:rPr>
        <w:t xml:space="preserve">Prior to signing the budget bill, Governor Matt Mead vetoed more parts than he has in past spending measures, and although still finding fault, signed the bill into law.  </w:t>
      </w:r>
      <w:r w:rsidR="00AF6734" w:rsidRPr="00013F71">
        <w:rPr>
          <w:bCs/>
          <w:snapToGrid w:val="0"/>
          <w:sz w:val="24"/>
          <w:szCs w:val="24"/>
        </w:rPr>
        <w:t xml:space="preserve">As Hancock noted, “facing a projected revenue decline of about $477 million over the next two years, lawmakers reduced state agency budgets and slashed some programs.  They did not lay off state employees or raise taxes during the 20-day session” (3/5/16).  In reducing state agency budgets, the legislature </w:t>
      </w:r>
      <w:r w:rsidR="00261DA8" w:rsidRPr="00013F71">
        <w:rPr>
          <w:bCs/>
          <w:snapToGrid w:val="0"/>
          <w:sz w:val="24"/>
          <w:szCs w:val="24"/>
        </w:rPr>
        <w:t>cut most agencies’ budgets by 1.5% over the next two years and spe</w:t>
      </w:r>
      <w:r w:rsidR="00C06432">
        <w:rPr>
          <w:bCs/>
          <w:snapToGrid w:val="0"/>
          <w:sz w:val="24"/>
          <w:szCs w:val="24"/>
        </w:rPr>
        <w:t>nt</w:t>
      </w:r>
      <w:r w:rsidR="00261DA8" w:rsidRPr="00013F71">
        <w:rPr>
          <w:bCs/>
          <w:snapToGrid w:val="0"/>
          <w:sz w:val="24"/>
          <w:szCs w:val="24"/>
        </w:rPr>
        <w:t xml:space="preserve"> $221 million from the state’s $1.8 billion rainy day account to balance the remainder.  Importantly, Steve </w:t>
      </w:r>
      <w:proofErr w:type="spellStart"/>
      <w:r w:rsidR="00261DA8" w:rsidRPr="00013F71">
        <w:rPr>
          <w:bCs/>
          <w:snapToGrid w:val="0"/>
          <w:sz w:val="24"/>
          <w:szCs w:val="24"/>
        </w:rPr>
        <w:t>Harshman</w:t>
      </w:r>
      <w:proofErr w:type="spellEnd"/>
      <w:r w:rsidR="00261DA8" w:rsidRPr="00013F71">
        <w:rPr>
          <w:bCs/>
          <w:snapToGrid w:val="0"/>
          <w:sz w:val="24"/>
          <w:szCs w:val="24"/>
        </w:rPr>
        <w:t xml:space="preserve"> (chairman of the Joint Appropriations Committee) notes that this budget is still $70 million more than it was two years ago” (Ibid.).</w:t>
      </w:r>
    </w:p>
    <w:p w14:paraId="4E1A7A69" w14:textId="77777777" w:rsidR="00AF6734" w:rsidRPr="00013F71" w:rsidRDefault="00AF6734" w:rsidP="006E1EDA">
      <w:pPr>
        <w:widowControl w:val="0"/>
        <w:rPr>
          <w:bCs/>
          <w:snapToGrid w:val="0"/>
          <w:sz w:val="24"/>
          <w:szCs w:val="24"/>
        </w:rPr>
      </w:pPr>
    </w:p>
    <w:p w14:paraId="0DF9C993" w14:textId="43D1E73A" w:rsidR="00E74DDE" w:rsidRPr="00013F71" w:rsidRDefault="00E74DDE" w:rsidP="006E1EDA">
      <w:pPr>
        <w:widowControl w:val="0"/>
        <w:rPr>
          <w:bCs/>
          <w:snapToGrid w:val="0"/>
          <w:sz w:val="24"/>
          <w:szCs w:val="24"/>
        </w:rPr>
      </w:pPr>
      <w:r w:rsidRPr="00013F71">
        <w:rPr>
          <w:bCs/>
          <w:snapToGrid w:val="0"/>
          <w:sz w:val="24"/>
          <w:szCs w:val="24"/>
        </w:rPr>
        <w:tab/>
        <w:t xml:space="preserve"> Perhaps the most hotly contested budget-related issue this year was the idea of Medicaid expansion and the failure to secure enough votes for passage.  Even the governor (a conservative Republican) was disappointed that these efforts failed.  Here, Mead </w:t>
      </w:r>
      <w:r w:rsidR="003B637E" w:rsidRPr="00013F71">
        <w:rPr>
          <w:bCs/>
          <w:snapToGrid w:val="0"/>
          <w:sz w:val="24"/>
          <w:szCs w:val="24"/>
        </w:rPr>
        <w:t>notes,</w:t>
      </w:r>
      <w:r w:rsidRPr="00013F71">
        <w:rPr>
          <w:bCs/>
          <w:snapToGrid w:val="0"/>
          <w:sz w:val="24"/>
          <w:szCs w:val="24"/>
        </w:rPr>
        <w:t xml:space="preserve"> “it’s no secret that I don’t like the budget as it is because it starts out with not accepting Medicaid.  And when we failed to accept Medicaid, you immediately have to take off the top about $30 million dollars” (Hancock, 3/3/16).  Having originally opposed Medicaid expansion in previous years, Mead realized that ac</w:t>
      </w:r>
      <w:r w:rsidR="003B637E" w:rsidRPr="00013F71">
        <w:rPr>
          <w:bCs/>
          <w:snapToGrid w:val="0"/>
          <w:sz w:val="24"/>
          <w:szCs w:val="24"/>
        </w:rPr>
        <w:t xml:space="preserve">cepting </w:t>
      </w:r>
      <w:r w:rsidR="008405A1" w:rsidRPr="00013F71">
        <w:rPr>
          <w:bCs/>
          <w:snapToGrid w:val="0"/>
          <w:sz w:val="24"/>
          <w:szCs w:val="24"/>
        </w:rPr>
        <w:t xml:space="preserve">$270 million in </w:t>
      </w:r>
      <w:r w:rsidR="003B637E" w:rsidRPr="00013F71">
        <w:rPr>
          <w:bCs/>
          <w:snapToGrid w:val="0"/>
          <w:sz w:val="24"/>
          <w:szCs w:val="24"/>
        </w:rPr>
        <w:t>federal dollars would have helped the Department of Health save money on programs that it already provides</w:t>
      </w:r>
      <w:r w:rsidR="00C06432">
        <w:rPr>
          <w:bCs/>
          <w:snapToGrid w:val="0"/>
          <w:sz w:val="24"/>
          <w:szCs w:val="24"/>
        </w:rPr>
        <w:t xml:space="preserve"> (i.e., saving the $30 million that the governor references earlier)</w:t>
      </w:r>
      <w:r w:rsidR="003B637E" w:rsidRPr="00013F71">
        <w:rPr>
          <w:bCs/>
          <w:snapToGrid w:val="0"/>
          <w:sz w:val="24"/>
          <w:szCs w:val="24"/>
        </w:rPr>
        <w:t xml:space="preserve">.  In addition, this expansion would have offered health care to an additional 20,000 low-income adults in the state.  State Republicans remain opposed to the Affordable Care Act and have let Washington know by limiting Medicaid expansion (Ibid.).  </w:t>
      </w:r>
    </w:p>
    <w:p w14:paraId="45532895" w14:textId="77777777" w:rsidR="00AF6734" w:rsidRPr="00013F71" w:rsidRDefault="00AF6734" w:rsidP="006E1EDA">
      <w:pPr>
        <w:widowControl w:val="0"/>
        <w:rPr>
          <w:bCs/>
          <w:snapToGrid w:val="0"/>
          <w:sz w:val="24"/>
          <w:szCs w:val="24"/>
        </w:rPr>
      </w:pPr>
    </w:p>
    <w:p w14:paraId="2F10C266" w14:textId="766CBD01" w:rsidR="008405A1" w:rsidRPr="00013F71" w:rsidRDefault="008405A1" w:rsidP="006E1EDA">
      <w:pPr>
        <w:widowControl w:val="0"/>
        <w:rPr>
          <w:bCs/>
          <w:snapToGrid w:val="0"/>
          <w:sz w:val="24"/>
          <w:szCs w:val="24"/>
        </w:rPr>
      </w:pPr>
      <w:r w:rsidRPr="00013F71">
        <w:rPr>
          <w:bCs/>
          <w:snapToGrid w:val="0"/>
          <w:sz w:val="24"/>
          <w:szCs w:val="24"/>
        </w:rPr>
        <w:t>A few spending highlights from this year’s budget bill include:</w:t>
      </w:r>
    </w:p>
    <w:p w14:paraId="33664B8A" w14:textId="77777777" w:rsidR="008405A1" w:rsidRPr="00013F71" w:rsidRDefault="008405A1" w:rsidP="006E1EDA">
      <w:pPr>
        <w:widowControl w:val="0"/>
        <w:rPr>
          <w:bCs/>
          <w:snapToGrid w:val="0"/>
          <w:sz w:val="24"/>
          <w:szCs w:val="24"/>
        </w:rPr>
      </w:pPr>
    </w:p>
    <w:p w14:paraId="449BC154" w14:textId="7E52C962" w:rsidR="008405A1" w:rsidRPr="00013F71" w:rsidRDefault="008405A1" w:rsidP="008405A1">
      <w:pPr>
        <w:pStyle w:val="ListParagraph"/>
        <w:widowControl w:val="0"/>
        <w:numPr>
          <w:ilvl w:val="0"/>
          <w:numId w:val="7"/>
        </w:numPr>
        <w:rPr>
          <w:bCs/>
          <w:snapToGrid w:val="0"/>
          <w:sz w:val="24"/>
          <w:szCs w:val="24"/>
        </w:rPr>
      </w:pPr>
      <w:r w:rsidRPr="00013F71">
        <w:rPr>
          <w:bCs/>
          <w:snapToGrid w:val="0"/>
          <w:sz w:val="24"/>
          <w:szCs w:val="24"/>
        </w:rPr>
        <w:t>$150 million for improvements to the Wyoming State Hospital and Wyoming Life Resource Center in Lander.</w:t>
      </w:r>
    </w:p>
    <w:p w14:paraId="3E98932C" w14:textId="56B85C10" w:rsidR="008405A1" w:rsidRPr="00013F71" w:rsidRDefault="008405A1" w:rsidP="008405A1">
      <w:pPr>
        <w:pStyle w:val="ListParagraph"/>
        <w:widowControl w:val="0"/>
        <w:numPr>
          <w:ilvl w:val="0"/>
          <w:numId w:val="7"/>
        </w:numPr>
        <w:rPr>
          <w:bCs/>
          <w:snapToGrid w:val="0"/>
          <w:sz w:val="24"/>
          <w:szCs w:val="24"/>
        </w:rPr>
      </w:pPr>
      <w:r w:rsidRPr="00013F71">
        <w:rPr>
          <w:bCs/>
          <w:snapToGrid w:val="0"/>
          <w:sz w:val="24"/>
          <w:szCs w:val="24"/>
        </w:rPr>
        <w:t>$40 million (over three years) for a future state office building in Casper.</w:t>
      </w:r>
    </w:p>
    <w:p w14:paraId="4904C2F7" w14:textId="0DA6E9F3" w:rsidR="008405A1" w:rsidRPr="00013F71" w:rsidRDefault="008405A1" w:rsidP="008405A1">
      <w:pPr>
        <w:pStyle w:val="ListParagraph"/>
        <w:widowControl w:val="0"/>
        <w:numPr>
          <w:ilvl w:val="0"/>
          <w:numId w:val="7"/>
        </w:numPr>
        <w:rPr>
          <w:bCs/>
          <w:snapToGrid w:val="0"/>
          <w:sz w:val="24"/>
          <w:szCs w:val="24"/>
        </w:rPr>
      </w:pPr>
      <w:r w:rsidRPr="00013F71">
        <w:rPr>
          <w:bCs/>
          <w:snapToGrid w:val="0"/>
          <w:sz w:val="24"/>
          <w:szCs w:val="24"/>
        </w:rPr>
        <w:t>$100 million (over three years) for a new biological sciences building at UW.</w:t>
      </w:r>
    </w:p>
    <w:p w14:paraId="79B0C5F3" w14:textId="1104E4E8" w:rsidR="008405A1" w:rsidRPr="00013F71" w:rsidRDefault="008405A1" w:rsidP="008405A1">
      <w:pPr>
        <w:pStyle w:val="ListParagraph"/>
        <w:widowControl w:val="0"/>
        <w:numPr>
          <w:ilvl w:val="0"/>
          <w:numId w:val="7"/>
        </w:numPr>
        <w:rPr>
          <w:bCs/>
          <w:snapToGrid w:val="0"/>
          <w:sz w:val="24"/>
          <w:szCs w:val="24"/>
        </w:rPr>
      </w:pPr>
      <w:r w:rsidRPr="00013F71">
        <w:rPr>
          <w:bCs/>
          <w:snapToGrid w:val="0"/>
          <w:sz w:val="24"/>
          <w:szCs w:val="24"/>
        </w:rPr>
        <w:t>$12 million for penitentiary expansion</w:t>
      </w:r>
    </w:p>
    <w:p w14:paraId="5769CDB1" w14:textId="1DFD8EFA" w:rsidR="008405A1" w:rsidRPr="00013F71" w:rsidRDefault="008405A1" w:rsidP="008405A1">
      <w:pPr>
        <w:pStyle w:val="ListParagraph"/>
        <w:widowControl w:val="0"/>
        <w:numPr>
          <w:ilvl w:val="0"/>
          <w:numId w:val="7"/>
        </w:numPr>
        <w:rPr>
          <w:bCs/>
          <w:snapToGrid w:val="0"/>
          <w:sz w:val="24"/>
          <w:szCs w:val="24"/>
        </w:rPr>
      </w:pPr>
      <w:r w:rsidRPr="00013F71">
        <w:rPr>
          <w:bCs/>
          <w:snapToGrid w:val="0"/>
          <w:sz w:val="24"/>
          <w:szCs w:val="24"/>
        </w:rPr>
        <w:t>$7.5 million for state prison repairs</w:t>
      </w:r>
    </w:p>
    <w:p w14:paraId="03CE5773" w14:textId="03CAA254" w:rsidR="008405A1" w:rsidRPr="00013F71" w:rsidRDefault="008405A1" w:rsidP="008405A1">
      <w:pPr>
        <w:pStyle w:val="ListParagraph"/>
        <w:widowControl w:val="0"/>
        <w:numPr>
          <w:ilvl w:val="0"/>
          <w:numId w:val="7"/>
        </w:numPr>
        <w:rPr>
          <w:bCs/>
          <w:snapToGrid w:val="0"/>
          <w:sz w:val="24"/>
          <w:szCs w:val="24"/>
        </w:rPr>
      </w:pPr>
      <w:r w:rsidRPr="00013F71">
        <w:rPr>
          <w:bCs/>
          <w:snapToGrid w:val="0"/>
          <w:sz w:val="24"/>
          <w:szCs w:val="24"/>
        </w:rPr>
        <w:t>$240 million in federal abandoned mine land money for highway construction and mine reclamation</w:t>
      </w:r>
    </w:p>
    <w:p w14:paraId="1CF5264A" w14:textId="4477C1E0" w:rsidR="008405A1" w:rsidRPr="00013F71" w:rsidRDefault="008405A1" w:rsidP="008405A1">
      <w:pPr>
        <w:pStyle w:val="ListParagraph"/>
        <w:widowControl w:val="0"/>
        <w:numPr>
          <w:ilvl w:val="0"/>
          <w:numId w:val="7"/>
        </w:numPr>
        <w:rPr>
          <w:bCs/>
          <w:snapToGrid w:val="0"/>
          <w:sz w:val="24"/>
          <w:szCs w:val="24"/>
        </w:rPr>
      </w:pPr>
      <w:r w:rsidRPr="00013F71">
        <w:rPr>
          <w:bCs/>
          <w:snapToGrid w:val="0"/>
          <w:sz w:val="24"/>
          <w:szCs w:val="24"/>
        </w:rPr>
        <w:t>$8 million match for UW</w:t>
      </w:r>
      <w:r w:rsidR="003552E0" w:rsidRPr="00013F71">
        <w:rPr>
          <w:bCs/>
          <w:snapToGrid w:val="0"/>
          <w:sz w:val="24"/>
          <w:szCs w:val="24"/>
        </w:rPr>
        <w:t xml:space="preserve"> “athletic competitiveness”</w:t>
      </w:r>
    </w:p>
    <w:p w14:paraId="0FC221E6" w14:textId="77777777" w:rsidR="008405A1" w:rsidRPr="00013F71" w:rsidRDefault="008405A1" w:rsidP="006E1EDA">
      <w:pPr>
        <w:widowControl w:val="0"/>
        <w:rPr>
          <w:bCs/>
          <w:snapToGrid w:val="0"/>
          <w:sz w:val="24"/>
          <w:szCs w:val="24"/>
        </w:rPr>
      </w:pPr>
    </w:p>
    <w:p w14:paraId="408A43C7" w14:textId="6676E7C4" w:rsidR="00AD4BCD" w:rsidRPr="00013F71" w:rsidRDefault="00AD4BCD" w:rsidP="00C023E0">
      <w:pPr>
        <w:widowControl w:val="0"/>
        <w:ind w:firstLine="360"/>
        <w:rPr>
          <w:bCs/>
          <w:snapToGrid w:val="0"/>
          <w:sz w:val="24"/>
          <w:szCs w:val="24"/>
        </w:rPr>
      </w:pPr>
      <w:r w:rsidRPr="00013F71">
        <w:rPr>
          <w:bCs/>
          <w:snapToGrid w:val="0"/>
          <w:sz w:val="24"/>
          <w:szCs w:val="24"/>
        </w:rPr>
        <w:t xml:space="preserve">And in </w:t>
      </w:r>
      <w:r w:rsidR="006325E5" w:rsidRPr="00013F71">
        <w:rPr>
          <w:bCs/>
          <w:snapToGrid w:val="0"/>
          <w:sz w:val="24"/>
          <w:szCs w:val="24"/>
        </w:rPr>
        <w:t>a new form of revenue</w:t>
      </w:r>
      <w:r w:rsidRPr="00013F71">
        <w:rPr>
          <w:bCs/>
          <w:snapToGrid w:val="0"/>
          <w:sz w:val="24"/>
          <w:szCs w:val="24"/>
        </w:rPr>
        <w:t>, which was</w:t>
      </w:r>
      <w:r w:rsidR="006325E5" w:rsidRPr="00013F71">
        <w:rPr>
          <w:bCs/>
          <w:snapToGrid w:val="0"/>
          <w:sz w:val="24"/>
          <w:szCs w:val="24"/>
        </w:rPr>
        <w:t xml:space="preserve"> approved </w:t>
      </w:r>
      <w:r w:rsidR="00C023E0" w:rsidRPr="00013F71">
        <w:rPr>
          <w:bCs/>
          <w:snapToGrid w:val="0"/>
          <w:sz w:val="24"/>
          <w:szCs w:val="24"/>
        </w:rPr>
        <w:t xml:space="preserve">during </w:t>
      </w:r>
      <w:r w:rsidR="008405A1" w:rsidRPr="00013F71">
        <w:rPr>
          <w:bCs/>
          <w:snapToGrid w:val="0"/>
          <w:sz w:val="24"/>
          <w:szCs w:val="24"/>
        </w:rPr>
        <w:t xml:space="preserve">the </w:t>
      </w:r>
      <w:r w:rsidR="00C023E0" w:rsidRPr="00013F71">
        <w:rPr>
          <w:bCs/>
          <w:snapToGrid w:val="0"/>
          <w:sz w:val="24"/>
          <w:szCs w:val="24"/>
        </w:rPr>
        <w:t xml:space="preserve">last </w:t>
      </w:r>
      <w:r w:rsidR="008405A1" w:rsidRPr="00013F71">
        <w:rPr>
          <w:bCs/>
          <w:snapToGrid w:val="0"/>
          <w:sz w:val="24"/>
          <w:szCs w:val="24"/>
        </w:rPr>
        <w:t xml:space="preserve">legislative </w:t>
      </w:r>
      <w:r w:rsidR="00C023E0" w:rsidRPr="00013F71">
        <w:rPr>
          <w:bCs/>
          <w:snapToGrid w:val="0"/>
          <w:sz w:val="24"/>
          <w:szCs w:val="24"/>
        </w:rPr>
        <w:t>budget session</w:t>
      </w:r>
      <w:r w:rsidR="008405A1" w:rsidRPr="00013F71">
        <w:rPr>
          <w:bCs/>
          <w:snapToGrid w:val="0"/>
          <w:sz w:val="24"/>
          <w:szCs w:val="24"/>
        </w:rPr>
        <w:t xml:space="preserve"> (2014)</w:t>
      </w:r>
      <w:r w:rsidR="006325E5" w:rsidRPr="00013F71">
        <w:rPr>
          <w:bCs/>
          <w:snapToGrid w:val="0"/>
          <w:sz w:val="24"/>
          <w:szCs w:val="24"/>
        </w:rPr>
        <w:t xml:space="preserve">, </w:t>
      </w:r>
      <w:r w:rsidRPr="00013F71">
        <w:rPr>
          <w:bCs/>
          <w:snapToGrid w:val="0"/>
          <w:sz w:val="24"/>
          <w:szCs w:val="24"/>
        </w:rPr>
        <w:t xml:space="preserve">the new </w:t>
      </w:r>
      <w:r w:rsidR="006325E5" w:rsidRPr="00013F71">
        <w:rPr>
          <w:bCs/>
          <w:snapToGrid w:val="0"/>
          <w:sz w:val="24"/>
          <w:szCs w:val="24"/>
        </w:rPr>
        <w:t>Wyoming l</w:t>
      </w:r>
      <w:r w:rsidR="00D20A69" w:rsidRPr="00013F71">
        <w:rPr>
          <w:bCs/>
          <w:snapToGrid w:val="0"/>
          <w:sz w:val="24"/>
          <w:szCs w:val="24"/>
        </w:rPr>
        <w:t>ottery</w:t>
      </w:r>
      <w:r w:rsidRPr="00013F71">
        <w:rPr>
          <w:bCs/>
          <w:snapToGrid w:val="0"/>
          <w:sz w:val="24"/>
          <w:szCs w:val="24"/>
        </w:rPr>
        <w:t>’s</w:t>
      </w:r>
      <w:r w:rsidR="00E92E38" w:rsidRPr="00013F71">
        <w:rPr>
          <w:bCs/>
          <w:snapToGrid w:val="0"/>
          <w:sz w:val="24"/>
          <w:szCs w:val="24"/>
        </w:rPr>
        <w:t xml:space="preserve"> </w:t>
      </w:r>
      <w:r w:rsidR="00A93A56" w:rsidRPr="00013F71">
        <w:rPr>
          <w:bCs/>
          <w:snapToGrid w:val="0"/>
          <w:sz w:val="24"/>
          <w:szCs w:val="24"/>
        </w:rPr>
        <w:t>ticket sales have been brisk since its August 2014</w:t>
      </w:r>
      <w:r w:rsidR="00C023E0" w:rsidRPr="00013F71">
        <w:rPr>
          <w:bCs/>
          <w:snapToGrid w:val="0"/>
          <w:sz w:val="24"/>
          <w:szCs w:val="24"/>
        </w:rPr>
        <w:t xml:space="preserve"> start date</w:t>
      </w:r>
      <w:r w:rsidR="00A93A56" w:rsidRPr="00013F71">
        <w:rPr>
          <w:bCs/>
          <w:snapToGrid w:val="0"/>
          <w:sz w:val="24"/>
          <w:szCs w:val="24"/>
        </w:rPr>
        <w:t xml:space="preserve">.  Over the last six months the lottery has sold more than $6.5 million worth of tickets, with individual players winning more than $843,000.  Until mid-January 2015 </w:t>
      </w:r>
      <w:r w:rsidR="00D30360" w:rsidRPr="00013F71">
        <w:rPr>
          <w:bCs/>
          <w:snapToGrid w:val="0"/>
          <w:sz w:val="24"/>
          <w:szCs w:val="24"/>
        </w:rPr>
        <w:t xml:space="preserve">players have had access to only the two largest multi-state lotteries (Powerball and Mega Millions).  Now, players have access to state-level games where Wyomingites </w:t>
      </w:r>
      <w:r w:rsidRPr="00013F71">
        <w:rPr>
          <w:bCs/>
          <w:snapToGrid w:val="0"/>
          <w:sz w:val="24"/>
          <w:szCs w:val="24"/>
        </w:rPr>
        <w:t xml:space="preserve">will </w:t>
      </w:r>
      <w:r w:rsidR="00D30360" w:rsidRPr="00013F71">
        <w:rPr>
          <w:bCs/>
          <w:snapToGrid w:val="0"/>
          <w:sz w:val="24"/>
          <w:szCs w:val="24"/>
        </w:rPr>
        <w:t xml:space="preserve">compete against other Wyoming </w:t>
      </w:r>
      <w:r w:rsidR="00D30360" w:rsidRPr="00013F71">
        <w:rPr>
          <w:bCs/>
          <w:snapToGrid w:val="0"/>
          <w:sz w:val="24"/>
          <w:szCs w:val="24"/>
        </w:rPr>
        <w:lastRenderedPageBreak/>
        <w:t>lottery players (which, apparently, is something that consumers have asked for)</w:t>
      </w:r>
      <w:r w:rsidR="00EC15FB" w:rsidRPr="00013F71">
        <w:rPr>
          <w:bCs/>
          <w:snapToGrid w:val="0"/>
          <w:sz w:val="24"/>
          <w:szCs w:val="24"/>
        </w:rPr>
        <w:t xml:space="preserve"> (Chilton 2015)</w:t>
      </w:r>
      <w:r w:rsidR="00D30360" w:rsidRPr="00013F71">
        <w:rPr>
          <w:bCs/>
          <w:snapToGrid w:val="0"/>
          <w:sz w:val="24"/>
          <w:szCs w:val="24"/>
        </w:rPr>
        <w:t xml:space="preserve">.  </w:t>
      </w:r>
    </w:p>
    <w:p w14:paraId="0B4E4179" w14:textId="77777777" w:rsidR="00AD4BCD" w:rsidRPr="00013F71" w:rsidRDefault="00AD4BCD" w:rsidP="00C023E0">
      <w:pPr>
        <w:widowControl w:val="0"/>
        <w:ind w:firstLine="360"/>
        <w:rPr>
          <w:bCs/>
          <w:snapToGrid w:val="0"/>
          <w:sz w:val="24"/>
          <w:szCs w:val="24"/>
        </w:rPr>
      </w:pPr>
    </w:p>
    <w:p w14:paraId="402396E7" w14:textId="1173061C" w:rsidR="00E35105" w:rsidRPr="00013F71" w:rsidRDefault="00C023E0" w:rsidP="00C023E0">
      <w:pPr>
        <w:widowControl w:val="0"/>
        <w:ind w:firstLine="360"/>
        <w:rPr>
          <w:bCs/>
          <w:snapToGrid w:val="0"/>
          <w:sz w:val="24"/>
          <w:szCs w:val="24"/>
        </w:rPr>
      </w:pPr>
      <w:r w:rsidRPr="00013F71">
        <w:rPr>
          <w:bCs/>
          <w:snapToGrid w:val="0"/>
          <w:sz w:val="24"/>
          <w:szCs w:val="24"/>
        </w:rPr>
        <w:t>T</w:t>
      </w:r>
      <w:r w:rsidR="006325E5" w:rsidRPr="00013F71">
        <w:rPr>
          <w:bCs/>
          <w:snapToGrid w:val="0"/>
          <w:sz w:val="24"/>
          <w:szCs w:val="24"/>
        </w:rPr>
        <w:t xml:space="preserve">he new lottery began with a $2.6 million private loan to get it up and running.  By </w:t>
      </w:r>
      <w:r w:rsidR="00E35105" w:rsidRPr="00013F71">
        <w:rPr>
          <w:bCs/>
          <w:snapToGrid w:val="0"/>
          <w:sz w:val="24"/>
          <w:szCs w:val="24"/>
        </w:rPr>
        <w:t>January 30, 2016 the Wyoming Lottery Corporation had made its final star</w:t>
      </w:r>
      <w:r w:rsidR="007F5E55" w:rsidRPr="00013F71">
        <w:rPr>
          <w:bCs/>
          <w:snapToGrid w:val="0"/>
          <w:sz w:val="24"/>
          <w:szCs w:val="24"/>
        </w:rPr>
        <w:t>tup loan payment and has announc</w:t>
      </w:r>
      <w:r w:rsidR="00E35105" w:rsidRPr="00013F71">
        <w:rPr>
          <w:bCs/>
          <w:snapToGrid w:val="0"/>
          <w:sz w:val="24"/>
          <w:szCs w:val="24"/>
        </w:rPr>
        <w:t xml:space="preserve">ed that its first revenue transfer to the state coffers will be $1 million in April 2016 (WyoLotto, 2016).  </w:t>
      </w:r>
      <w:r w:rsidR="007F5E55" w:rsidRPr="00013F71">
        <w:rPr>
          <w:bCs/>
          <w:snapToGrid w:val="0"/>
          <w:sz w:val="24"/>
          <w:szCs w:val="24"/>
        </w:rPr>
        <w:t xml:space="preserve">Once the private loan is paid off, according to lottery CEO Jean </w:t>
      </w:r>
      <w:proofErr w:type="spellStart"/>
      <w:r w:rsidR="007F5E55" w:rsidRPr="00013F71">
        <w:rPr>
          <w:bCs/>
          <w:snapToGrid w:val="0"/>
          <w:sz w:val="24"/>
          <w:szCs w:val="24"/>
        </w:rPr>
        <w:t>Clontz</w:t>
      </w:r>
      <w:proofErr w:type="spellEnd"/>
      <w:r w:rsidR="007F5E55" w:rsidRPr="00013F71">
        <w:rPr>
          <w:bCs/>
          <w:snapToGrid w:val="0"/>
          <w:sz w:val="24"/>
          <w:szCs w:val="24"/>
        </w:rPr>
        <w:t xml:space="preserve">, the law requires [the lottery] to pay up to 50 percent of the revenue back to the players in prizes, then we pay operational costs” (Chilton 2015).  </w:t>
      </w:r>
      <w:r w:rsidR="00E35105" w:rsidRPr="00013F71">
        <w:rPr>
          <w:bCs/>
          <w:snapToGrid w:val="0"/>
          <w:sz w:val="24"/>
          <w:szCs w:val="24"/>
        </w:rPr>
        <w:t xml:space="preserve">According to WyoLotto, the first revenue transfer to the Wyoming Treasurer’s Office came faster than expected.  In part, this was due to the increased ticket sales for the huge 1.6 billion Powerball </w:t>
      </w:r>
      <w:proofErr w:type="gramStart"/>
      <w:r w:rsidR="00E35105" w:rsidRPr="00013F71">
        <w:rPr>
          <w:bCs/>
          <w:snapToGrid w:val="0"/>
          <w:sz w:val="24"/>
          <w:szCs w:val="24"/>
        </w:rPr>
        <w:t>jackpot</w:t>
      </w:r>
      <w:proofErr w:type="gramEnd"/>
      <w:r w:rsidR="00E35105" w:rsidRPr="00013F71">
        <w:rPr>
          <w:bCs/>
          <w:snapToGrid w:val="0"/>
          <w:sz w:val="24"/>
          <w:szCs w:val="24"/>
        </w:rPr>
        <w:t xml:space="preserve"> in late 2015.  The $1 million will be distributed to the 99 cities and towns and 23 counties across Wyoming based on the formula developed in state statute.  Additional payments will follow once each quarter, up to a maximum of $6 million per year.  Anything above that amount will be placed into the Wyoming Permanent Land Fund’s Common School Account (Ibid.).  So far, Wyoming lottery players have won $11 million and commissions have been paid to retailers in the amount of $2.38 million.  Each retailer receives 6 percent commission on ticket sales and a 1 percent commission on validated winning tickets (Ibid.). </w:t>
      </w:r>
    </w:p>
    <w:p w14:paraId="1489F097" w14:textId="77777777" w:rsidR="00E35105" w:rsidRPr="00013F71" w:rsidRDefault="00E35105" w:rsidP="00C023E0">
      <w:pPr>
        <w:widowControl w:val="0"/>
        <w:ind w:firstLine="360"/>
        <w:rPr>
          <w:bCs/>
          <w:snapToGrid w:val="0"/>
          <w:sz w:val="24"/>
          <w:szCs w:val="24"/>
        </w:rPr>
      </w:pPr>
    </w:p>
    <w:p w14:paraId="13AE4779" w14:textId="77777777" w:rsidR="00FD6E84" w:rsidRPr="00013F71" w:rsidRDefault="00FD6E84" w:rsidP="00C26571">
      <w:pPr>
        <w:widowControl w:val="0"/>
        <w:rPr>
          <w:bCs/>
          <w:snapToGrid w:val="0"/>
          <w:sz w:val="24"/>
          <w:szCs w:val="24"/>
        </w:rPr>
      </w:pPr>
    </w:p>
    <w:p w14:paraId="2185A49C" w14:textId="77777777" w:rsidR="00C26571" w:rsidRPr="00013F71" w:rsidRDefault="00C26571" w:rsidP="00C265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4"/>
          <w:szCs w:val="24"/>
        </w:rPr>
      </w:pPr>
      <w:r w:rsidRPr="00013F71">
        <w:rPr>
          <w:b/>
          <w:bCs/>
          <w:sz w:val="24"/>
          <w:szCs w:val="24"/>
        </w:rPr>
        <w:t xml:space="preserve">THE BUDGETING PROCESS </w:t>
      </w:r>
    </w:p>
    <w:p w14:paraId="1F08B004" w14:textId="77777777" w:rsidR="00C26571" w:rsidRPr="00013F71" w:rsidRDefault="00C26571" w:rsidP="00C265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
    <w:p w14:paraId="2B555DE6" w14:textId="77777777" w:rsidR="00C26571" w:rsidRPr="00013F71" w:rsidRDefault="00C26571" w:rsidP="00C265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4"/>
          <w:szCs w:val="24"/>
        </w:rPr>
      </w:pPr>
      <w:r w:rsidRPr="00013F71">
        <w:rPr>
          <w:sz w:val="24"/>
          <w:szCs w:val="24"/>
        </w:rPr>
        <w:tab/>
        <w:t xml:space="preserve">Appropriating public funds is one of the greatest challenges faced by the Wyoming State Legislature.  Budget requests are prepared by agencies in conjunction with the Budget Division of the Department of Administration and Information.  Each summer prior to a budget session, the Budget Division prepares a standard request for each agency to submit to the governor. This template contains budget figures that are roughly equivalent to the amount the agency received in the prior biennium with adjustments made for fund transfers and changing revenue streams. After the agency reviews this standard outline they may make “exception” or “expanded” requests if changes in funding are necessary to: 1) maintain current levels of service, 2) transfer funds from intra-agency programs, or 3) expand services. </w:t>
      </w:r>
    </w:p>
    <w:p w14:paraId="05000F3C" w14:textId="77777777" w:rsidR="00C26571" w:rsidRPr="00013F71" w:rsidRDefault="00C26571" w:rsidP="00C265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
    <w:p w14:paraId="6E5519A1" w14:textId="77777777" w:rsidR="00C26571" w:rsidRPr="00013F71" w:rsidRDefault="00C26571" w:rsidP="00C265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4"/>
          <w:szCs w:val="24"/>
        </w:rPr>
      </w:pPr>
      <w:r w:rsidRPr="00013F71">
        <w:rPr>
          <w:sz w:val="24"/>
          <w:szCs w:val="24"/>
        </w:rPr>
        <w:tab/>
        <w:t xml:space="preserve">Once the requests are completed, agency budget requests are returned to the Budget Division in the fall (September or October).  A package of agency requests is then presented to the governor.  The governor compares the agency request with revenue forecasts developed by CREG.  Next, the governor, in conjunction with the Budget Division, prepares his budget recommendations to give to the legislature. This can take place no later than the first of December, prior to the beginning of the budgeting session. It is interesting to note that the budget requests for the legislative and judicial branches are not included in this package – they are submitted separately. </w:t>
      </w:r>
    </w:p>
    <w:p w14:paraId="51C53577" w14:textId="77777777" w:rsidR="00C26571" w:rsidRPr="00013F71" w:rsidRDefault="00C26571" w:rsidP="00C265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
    <w:p w14:paraId="15A0F95D" w14:textId="77777777" w:rsidR="00C26571" w:rsidRPr="00013F71" w:rsidRDefault="00C26571" w:rsidP="00C265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4"/>
          <w:szCs w:val="24"/>
        </w:rPr>
      </w:pPr>
      <w:r w:rsidRPr="00013F71">
        <w:rPr>
          <w:sz w:val="24"/>
          <w:szCs w:val="24"/>
        </w:rPr>
        <w:tab/>
        <w:t xml:space="preserve">The governor’s budget request is analyzed by the LSO.  The LSO’s “detailed reports” help the Joint Appropriations Committee (JAC) review agency requests while its “summary reports” provide the committee with an overview of the administration's total request, taking into account forecasted revenues.  The JAC—a bipartisan committee made up of members of both chambers—meets in December or January prior to the budget session to hold agency budget hearings.  During these hearings, agency heads present their department's achievements, goals, </w:t>
      </w:r>
      <w:r w:rsidRPr="00013F71">
        <w:rPr>
          <w:sz w:val="24"/>
          <w:szCs w:val="24"/>
        </w:rPr>
        <w:lastRenderedPageBreak/>
        <w:t xml:space="preserve">and action plans, along with detailed explanations of their budgets.  Although the JAC will ask questions during this time, formal action is not taken.  After hearings with all of the agencies, the JAC examines each budget, </w:t>
      </w:r>
      <w:r w:rsidR="00227EB0" w:rsidRPr="00013F71">
        <w:rPr>
          <w:sz w:val="24"/>
          <w:szCs w:val="24"/>
        </w:rPr>
        <w:t>program-by-program</w:t>
      </w:r>
      <w:r w:rsidRPr="00013F71">
        <w:rPr>
          <w:sz w:val="24"/>
          <w:szCs w:val="24"/>
        </w:rPr>
        <w:t xml:space="preserve">, resulting in a recommendation to approve, deny, or adjust the agency’s funding request.  Although this hearing/recommendation process takes four or five weeks, this procedure expedites the short legislative budget session.  After the JAC finishes its preliminary budget work, the LSO’s budget staff writes two identical general appropriations bills for concurrent introduction into both the Senate and the House.  Sections of each bill are then assigned to JAC members for explanation on the floor of each chamber. </w:t>
      </w:r>
    </w:p>
    <w:p w14:paraId="5B8B242C" w14:textId="77777777" w:rsidR="00C26571" w:rsidRPr="00013F71" w:rsidRDefault="00C26571" w:rsidP="00C265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
    <w:p w14:paraId="03F79F74" w14:textId="77777777" w:rsidR="00C26571" w:rsidRPr="00013F71" w:rsidRDefault="00C26571" w:rsidP="00C265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4"/>
          <w:szCs w:val="24"/>
        </w:rPr>
      </w:pPr>
      <w:r w:rsidRPr="00013F71">
        <w:rPr>
          <w:sz w:val="24"/>
          <w:szCs w:val="24"/>
        </w:rPr>
        <w:tab/>
        <w:t xml:space="preserve">The budgeting process in Wyoming makes it difficult for ordinary citizens to learn about how the state handles its finances.  Like other states, it must balance its budget every year.  Yet the money available to the legislature in a given year is difficult to determine in advance, and can be manipulated by the legislature itself.  Having billions of dollars in a trust fund is a boon to the state budget each year, but it also means that the amount of money the fund earns varies based on larger, national market forces.  Wyoming legislatures can have increased revenue to spend, while cutting taxes, if the trust fund’s returns are high. Conversely, lawmakers can find themselves pinched, despite their efforts to raise revenue, if the markets cause a drop in the trust fund’s return. </w:t>
      </w:r>
    </w:p>
    <w:p w14:paraId="4DACD518" w14:textId="77777777" w:rsidR="00C26571" w:rsidRPr="00013F71" w:rsidRDefault="00C26571" w:rsidP="00C265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
    <w:p w14:paraId="7A77DD25" w14:textId="77777777" w:rsidR="00C26571" w:rsidRPr="00013F71" w:rsidRDefault="00C26571" w:rsidP="00C265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4"/>
          <w:szCs w:val="24"/>
        </w:rPr>
      </w:pPr>
      <w:r w:rsidRPr="00013F71">
        <w:rPr>
          <w:sz w:val="24"/>
          <w:szCs w:val="24"/>
        </w:rPr>
        <w:tab/>
        <w:t>The complexity of these budgeting factors is illustrated almost every year when the legislature seems to “find” money in the multitude of state accounts.  This state of affairs is perhaps exacerbated by Wyoming’s tradition of having citizen legislatures, who are perhaps unable to devote the time or resources to investigating the budget in as much detail as they would like.</w:t>
      </w:r>
    </w:p>
    <w:p w14:paraId="636BD611" w14:textId="77777777" w:rsidR="00C26571" w:rsidRPr="00013F71" w:rsidRDefault="00C26571" w:rsidP="00C26571">
      <w:pPr>
        <w:rPr>
          <w:b/>
          <w:bCs/>
          <w:sz w:val="24"/>
          <w:szCs w:val="24"/>
        </w:rPr>
      </w:pPr>
    </w:p>
    <w:p w14:paraId="3B002D4E" w14:textId="77777777" w:rsidR="00E252BB" w:rsidRPr="00013F71" w:rsidRDefault="00E252BB" w:rsidP="00C26571">
      <w:pPr>
        <w:rPr>
          <w:b/>
          <w:bCs/>
          <w:sz w:val="24"/>
          <w:szCs w:val="24"/>
        </w:rPr>
      </w:pPr>
    </w:p>
    <w:p w14:paraId="10D6EF17" w14:textId="77777777" w:rsidR="00C26571" w:rsidRPr="00013F71" w:rsidRDefault="00C26571" w:rsidP="00C26571">
      <w:pPr>
        <w:rPr>
          <w:b/>
          <w:bCs/>
          <w:sz w:val="24"/>
          <w:szCs w:val="24"/>
        </w:rPr>
      </w:pPr>
      <w:r w:rsidRPr="00013F71">
        <w:rPr>
          <w:b/>
          <w:bCs/>
          <w:sz w:val="24"/>
          <w:szCs w:val="24"/>
        </w:rPr>
        <w:t>SUMMARY AND CONCLUSION</w:t>
      </w:r>
    </w:p>
    <w:p w14:paraId="209F1275" w14:textId="77777777" w:rsidR="00E36D14" w:rsidRDefault="00E36D14" w:rsidP="00C26571">
      <w:pPr>
        <w:rPr>
          <w:b/>
          <w:bCs/>
          <w:sz w:val="24"/>
          <w:szCs w:val="24"/>
        </w:rPr>
      </w:pPr>
    </w:p>
    <w:p w14:paraId="7BA0ED22" w14:textId="77777777" w:rsidR="007C0269" w:rsidRDefault="00084139" w:rsidP="00C26571">
      <w:pPr>
        <w:rPr>
          <w:rFonts w:eastAsia="Cambria"/>
          <w:sz w:val="24"/>
          <w:szCs w:val="24"/>
        </w:rPr>
      </w:pPr>
      <w:r>
        <w:rPr>
          <w:b/>
          <w:bCs/>
          <w:sz w:val="24"/>
          <w:szCs w:val="24"/>
        </w:rPr>
        <w:tab/>
      </w:r>
      <w:r w:rsidR="00C90A0D">
        <w:rPr>
          <w:bCs/>
          <w:sz w:val="24"/>
          <w:szCs w:val="24"/>
        </w:rPr>
        <w:t>This year’s twenty-day legislative budget session was completed on time and clearly anchored to the precipitous decline in crude oil and natural gas prices.</w:t>
      </w:r>
      <w:r w:rsidR="005F5941">
        <w:rPr>
          <w:bCs/>
          <w:sz w:val="24"/>
          <w:szCs w:val="24"/>
        </w:rPr>
        <w:t xml:space="preserve">  As a result, the state placed into law a budget that was almost 14% lower than the last biennium.  With a price slide expected throughout the near- and mid-term future, Wyoming’s revenue estimating group was more pessimistic than usual.  The most recent quarter-over-quarter projections p</w:t>
      </w:r>
      <w:r w:rsidR="007C0269">
        <w:rPr>
          <w:bCs/>
          <w:sz w:val="24"/>
          <w:szCs w:val="24"/>
        </w:rPr>
        <w:t xml:space="preserve">rompted the co-chairs to </w:t>
      </w:r>
      <w:proofErr w:type="gramStart"/>
      <w:r w:rsidR="007C0269">
        <w:rPr>
          <w:bCs/>
          <w:sz w:val="24"/>
          <w:szCs w:val="24"/>
        </w:rPr>
        <w:t>write</w:t>
      </w:r>
      <w:proofErr w:type="gramEnd"/>
      <w:r w:rsidR="007C0269">
        <w:rPr>
          <w:bCs/>
          <w:sz w:val="24"/>
          <w:szCs w:val="24"/>
        </w:rPr>
        <w:t xml:space="preserve"> “t</w:t>
      </w:r>
      <w:r w:rsidR="007C0269" w:rsidRPr="00013F71">
        <w:rPr>
          <w:rFonts w:eastAsia="Cambria"/>
          <w:sz w:val="24"/>
          <w:szCs w:val="24"/>
        </w:rPr>
        <w:t>he state’s short-term revenue-generating ability is more pessimistic than this</w:t>
      </w:r>
      <w:r w:rsidR="007C0269">
        <w:rPr>
          <w:rFonts w:eastAsia="Cambria"/>
          <w:sz w:val="24"/>
          <w:szCs w:val="24"/>
        </w:rPr>
        <w:t xml:space="preserve"> FY 2015-16 bottom-line implies” (CREG, January 2016, 1).  The state’s rainy-day fund was tapped for $180 million to get revenues in line with spending this year, but much </w:t>
      </w:r>
      <w:proofErr w:type="gramStart"/>
      <w:r w:rsidR="007C0269">
        <w:rPr>
          <w:rFonts w:eastAsia="Cambria"/>
          <w:sz w:val="24"/>
          <w:szCs w:val="24"/>
        </w:rPr>
        <w:t>hand-wringing</w:t>
      </w:r>
      <w:proofErr w:type="gramEnd"/>
      <w:r w:rsidR="007C0269">
        <w:rPr>
          <w:rFonts w:eastAsia="Cambria"/>
          <w:sz w:val="24"/>
          <w:szCs w:val="24"/>
        </w:rPr>
        <w:t xml:space="preserve"> remains over how to best utilize this fund and what constitutes a day of rain.  In essence, what are the conditions under which this fund can be tapped?  What is the appropriate size?  And shouldn’t Wyoming have a policy to guide these decisions?  The general idea that the size of the LSRA should match one biennium of spending is a start, but which biennium?  If it were the FY16 biennium that amount would equal $3.5 billion.  If it were the FY18 biennium that amount would equal $3 billion.</w:t>
      </w:r>
    </w:p>
    <w:p w14:paraId="03F7D79D" w14:textId="77777777" w:rsidR="007C0269" w:rsidRDefault="007C0269" w:rsidP="00C26571">
      <w:pPr>
        <w:rPr>
          <w:rFonts w:eastAsia="Cambria"/>
          <w:sz w:val="24"/>
          <w:szCs w:val="24"/>
        </w:rPr>
      </w:pPr>
    </w:p>
    <w:p w14:paraId="5D9AEFE5" w14:textId="17697FD8" w:rsidR="00176EA9" w:rsidRPr="00013F71" w:rsidRDefault="007C0269" w:rsidP="00C26571">
      <w:pPr>
        <w:rPr>
          <w:bCs/>
          <w:sz w:val="24"/>
          <w:szCs w:val="24"/>
        </w:rPr>
      </w:pPr>
      <w:r>
        <w:rPr>
          <w:rFonts w:eastAsia="Cambria"/>
          <w:sz w:val="24"/>
          <w:szCs w:val="24"/>
        </w:rPr>
        <w:tab/>
      </w:r>
      <w:r w:rsidRPr="00013F71">
        <w:rPr>
          <w:sz w:val="24"/>
          <w:szCs w:val="24"/>
        </w:rPr>
        <w:t xml:space="preserve">Others argue that there is “no justification for getting the fund up to that level. We have no justification for one full biennium’s worth of savings” said House Minority Floor Leader Rep. Mary Throne (Brown, 3/16/14).  In part, the reason for the concern is that the LSRA earns lower </w:t>
      </w:r>
      <w:r w:rsidRPr="00013F71">
        <w:rPr>
          <w:sz w:val="24"/>
          <w:szCs w:val="24"/>
        </w:rPr>
        <w:lastRenderedPageBreak/>
        <w:t>interest than the PMTF, which itself earns approximately 5%.  To this last point, during th</w:t>
      </w:r>
      <w:r w:rsidR="005207FF">
        <w:rPr>
          <w:sz w:val="24"/>
          <w:szCs w:val="24"/>
        </w:rPr>
        <w:t>e most recent 2105</w:t>
      </w:r>
      <w:r w:rsidRPr="00013F71">
        <w:rPr>
          <w:sz w:val="24"/>
          <w:szCs w:val="24"/>
        </w:rPr>
        <w:t xml:space="preserve"> legislative session, elected officials passed a bill that would allow a potential constitutional amendment be placed on the 2016 ballot allowing for the state to invest this rainy-day fund (and other accounts) in stocks and equities in the same way that the PWMTF can.  The idea is that millions are lost each year to the strict investment practices currently allowed by law (Brown, 12/19/14).</w:t>
      </w:r>
      <w:r>
        <w:rPr>
          <w:sz w:val="24"/>
          <w:szCs w:val="24"/>
        </w:rPr>
        <w:t xml:space="preserve">  In the end, Benjamin </w:t>
      </w:r>
      <w:proofErr w:type="spellStart"/>
      <w:r>
        <w:rPr>
          <w:sz w:val="24"/>
          <w:szCs w:val="24"/>
        </w:rPr>
        <w:t>Storrow</w:t>
      </w:r>
      <w:proofErr w:type="spellEnd"/>
      <w:r>
        <w:rPr>
          <w:sz w:val="24"/>
          <w:szCs w:val="24"/>
        </w:rPr>
        <w:t xml:space="preserve"> is right that  </w:t>
      </w:r>
      <w:r w:rsidR="00176EA9" w:rsidRPr="00013F71">
        <w:rPr>
          <w:bCs/>
          <w:sz w:val="24"/>
          <w:szCs w:val="24"/>
        </w:rPr>
        <w:t>“Wyoming lacks a plan that outlines when and how to spend money from the rainy day fund (LSRA). The state needs a policy that outlines how th</w:t>
      </w:r>
      <w:r w:rsidR="00913522">
        <w:rPr>
          <w:bCs/>
          <w:sz w:val="24"/>
          <w:szCs w:val="24"/>
        </w:rPr>
        <w:t>e reserves are spent” (</w:t>
      </w:r>
      <w:bookmarkStart w:id="0" w:name="_GoBack"/>
      <w:bookmarkEnd w:id="0"/>
      <w:r w:rsidR="00176EA9" w:rsidRPr="00013F71">
        <w:rPr>
          <w:bCs/>
          <w:sz w:val="24"/>
          <w:szCs w:val="24"/>
        </w:rPr>
        <w:t>10/7/15).</w:t>
      </w:r>
    </w:p>
    <w:p w14:paraId="1BF212A3" w14:textId="77777777" w:rsidR="00176EA9" w:rsidRPr="00013F71" w:rsidRDefault="00176EA9" w:rsidP="00C26571">
      <w:pPr>
        <w:rPr>
          <w:b/>
          <w:bCs/>
          <w:sz w:val="24"/>
          <w:szCs w:val="24"/>
        </w:rPr>
      </w:pPr>
    </w:p>
    <w:p w14:paraId="3044E9AA" w14:textId="068EE198" w:rsidR="009B3CDF" w:rsidRPr="00013F71" w:rsidRDefault="009B3CDF" w:rsidP="009B3CDF">
      <w:pPr>
        <w:rPr>
          <w:sz w:val="24"/>
          <w:szCs w:val="24"/>
        </w:rPr>
      </w:pPr>
    </w:p>
    <w:p w14:paraId="05001133" w14:textId="77777777" w:rsidR="005F7EA6" w:rsidRPr="00013F71" w:rsidRDefault="005F7EA6" w:rsidP="002879A6">
      <w:pPr>
        <w:ind w:firstLine="720"/>
        <w:rPr>
          <w:bCs/>
          <w:sz w:val="24"/>
          <w:szCs w:val="24"/>
        </w:rPr>
      </w:pPr>
    </w:p>
    <w:p w14:paraId="5274EDA7" w14:textId="77777777" w:rsidR="00D240A3" w:rsidRPr="00013F71" w:rsidRDefault="00D240A3" w:rsidP="002879A6">
      <w:pPr>
        <w:ind w:firstLine="720"/>
        <w:rPr>
          <w:bCs/>
          <w:sz w:val="24"/>
          <w:szCs w:val="24"/>
        </w:rPr>
      </w:pPr>
    </w:p>
    <w:p w14:paraId="7A46D18D" w14:textId="77777777" w:rsidR="002879A6" w:rsidRPr="00013F71" w:rsidRDefault="002879A6" w:rsidP="00C26571">
      <w:pPr>
        <w:rPr>
          <w:bCs/>
          <w:sz w:val="24"/>
          <w:szCs w:val="24"/>
        </w:rPr>
      </w:pPr>
    </w:p>
    <w:p w14:paraId="55259141" w14:textId="7D91E306" w:rsidR="00CE50F3" w:rsidRPr="00013F71" w:rsidRDefault="00227EB0" w:rsidP="008F3FDD">
      <w:pPr>
        <w:widowControl w:val="0"/>
        <w:autoSpaceDE w:val="0"/>
        <w:autoSpaceDN w:val="0"/>
        <w:adjustRightInd w:val="0"/>
        <w:rPr>
          <w:rFonts w:eastAsia="Cambria"/>
          <w:sz w:val="24"/>
          <w:szCs w:val="24"/>
        </w:rPr>
      </w:pPr>
      <w:r w:rsidRPr="00013F71">
        <w:rPr>
          <w:bCs/>
          <w:sz w:val="24"/>
          <w:szCs w:val="24"/>
        </w:rPr>
        <w:br w:type="page"/>
      </w:r>
    </w:p>
    <w:p w14:paraId="09E20F41" w14:textId="77777777" w:rsidR="00227EB0" w:rsidRPr="00013F71" w:rsidRDefault="00227EB0">
      <w:pPr>
        <w:rPr>
          <w:bCs/>
          <w:sz w:val="24"/>
          <w:szCs w:val="24"/>
        </w:rPr>
      </w:pPr>
    </w:p>
    <w:p w14:paraId="406FDBFF" w14:textId="77777777" w:rsidR="0036596A" w:rsidRPr="00013F71" w:rsidRDefault="00C26571" w:rsidP="004967A0">
      <w:pPr>
        <w:jc w:val="center"/>
        <w:rPr>
          <w:b/>
          <w:bCs/>
          <w:sz w:val="24"/>
          <w:szCs w:val="24"/>
        </w:rPr>
      </w:pPr>
      <w:r w:rsidRPr="00013F71">
        <w:rPr>
          <w:b/>
          <w:bCs/>
          <w:sz w:val="24"/>
          <w:szCs w:val="24"/>
        </w:rPr>
        <w:t>REFERENCES</w:t>
      </w:r>
    </w:p>
    <w:p w14:paraId="1E57A5FF" w14:textId="77777777" w:rsidR="0036596A" w:rsidRPr="00013F71" w:rsidRDefault="0036596A" w:rsidP="0081637F">
      <w:pPr>
        <w:rPr>
          <w:bCs/>
          <w:sz w:val="24"/>
          <w:szCs w:val="24"/>
        </w:rPr>
      </w:pPr>
    </w:p>
    <w:p w14:paraId="2387F1BE" w14:textId="77777777" w:rsidR="0036596A" w:rsidRPr="00013F71" w:rsidRDefault="0036596A" w:rsidP="0081637F">
      <w:pPr>
        <w:rPr>
          <w:bCs/>
          <w:sz w:val="24"/>
          <w:szCs w:val="24"/>
        </w:rPr>
      </w:pPr>
    </w:p>
    <w:p w14:paraId="244A7326" w14:textId="77777777" w:rsidR="003756D9" w:rsidRPr="00013F71" w:rsidRDefault="003756D9" w:rsidP="00011866">
      <w:pPr>
        <w:ind w:left="720" w:hanging="720"/>
        <w:rPr>
          <w:bCs/>
          <w:sz w:val="24"/>
          <w:szCs w:val="24"/>
        </w:rPr>
      </w:pPr>
      <w:proofErr w:type="spellStart"/>
      <w:r w:rsidRPr="00013F71">
        <w:rPr>
          <w:bCs/>
          <w:sz w:val="24"/>
          <w:szCs w:val="24"/>
        </w:rPr>
        <w:t>Boettner</w:t>
      </w:r>
      <w:proofErr w:type="spellEnd"/>
      <w:r w:rsidRPr="00013F71">
        <w:rPr>
          <w:bCs/>
          <w:sz w:val="24"/>
          <w:szCs w:val="24"/>
        </w:rPr>
        <w:t xml:space="preserve">, Ted, </w:t>
      </w:r>
      <w:proofErr w:type="spellStart"/>
      <w:r w:rsidRPr="00013F71">
        <w:rPr>
          <w:bCs/>
          <w:sz w:val="24"/>
          <w:szCs w:val="24"/>
        </w:rPr>
        <w:t>Kriesky</w:t>
      </w:r>
      <w:proofErr w:type="spellEnd"/>
      <w:r w:rsidRPr="00013F71">
        <w:rPr>
          <w:bCs/>
          <w:sz w:val="24"/>
          <w:szCs w:val="24"/>
        </w:rPr>
        <w:t xml:space="preserve">, Jill, </w:t>
      </w:r>
      <w:proofErr w:type="spellStart"/>
      <w:r w:rsidRPr="00013F71">
        <w:rPr>
          <w:bCs/>
          <w:sz w:val="24"/>
          <w:szCs w:val="24"/>
        </w:rPr>
        <w:t>McIlmoil</w:t>
      </w:r>
      <w:proofErr w:type="spellEnd"/>
      <w:r w:rsidRPr="00013F71">
        <w:rPr>
          <w:bCs/>
          <w:sz w:val="24"/>
          <w:szCs w:val="24"/>
        </w:rPr>
        <w:t xml:space="preserve">, Rory, &amp; </w:t>
      </w:r>
      <w:proofErr w:type="spellStart"/>
      <w:r w:rsidRPr="00013F71">
        <w:rPr>
          <w:bCs/>
          <w:sz w:val="24"/>
          <w:szCs w:val="24"/>
        </w:rPr>
        <w:t>Paulhus</w:t>
      </w:r>
      <w:proofErr w:type="spellEnd"/>
      <w:r w:rsidRPr="00013F71">
        <w:rPr>
          <w:bCs/>
          <w:sz w:val="24"/>
          <w:szCs w:val="24"/>
        </w:rPr>
        <w:t>, Elizabeth (2012).  Creating an Economic Diversification Trust Fund.  http://www.downstreamstrategies.com/documents/reports_publication/ds_economic_diversification_trust_fund.pdf</w:t>
      </w:r>
    </w:p>
    <w:p w14:paraId="141DFF48" w14:textId="77777777" w:rsidR="003756D9" w:rsidRPr="00013F71" w:rsidRDefault="003756D9" w:rsidP="00E021AE">
      <w:pPr>
        <w:ind w:left="720" w:hanging="720"/>
        <w:rPr>
          <w:bCs/>
          <w:sz w:val="24"/>
          <w:szCs w:val="24"/>
        </w:rPr>
      </w:pPr>
    </w:p>
    <w:p w14:paraId="300F066D" w14:textId="01A803FA" w:rsidR="00E65BA9" w:rsidRPr="00013F71" w:rsidRDefault="00E65BA9" w:rsidP="00E021AE">
      <w:pPr>
        <w:ind w:left="720" w:hanging="720"/>
        <w:rPr>
          <w:bCs/>
          <w:sz w:val="24"/>
          <w:szCs w:val="24"/>
        </w:rPr>
      </w:pPr>
      <w:r w:rsidRPr="00013F71">
        <w:rPr>
          <w:bCs/>
          <w:sz w:val="24"/>
          <w:szCs w:val="24"/>
        </w:rPr>
        <w:t>Brown, Trevor.  2014, December 19</w:t>
      </w:r>
      <w:r w:rsidRPr="00013F71">
        <w:rPr>
          <w:bCs/>
          <w:sz w:val="24"/>
          <w:szCs w:val="24"/>
          <w:vertAlign w:val="superscript"/>
        </w:rPr>
        <w:t>th</w:t>
      </w:r>
      <w:r w:rsidRPr="00013F71">
        <w:rPr>
          <w:bCs/>
          <w:sz w:val="24"/>
          <w:szCs w:val="24"/>
        </w:rPr>
        <w:t xml:space="preserve">.  “Proposed amendment to the constitution could net more money.”  </w:t>
      </w:r>
      <w:r w:rsidRPr="00013F71">
        <w:rPr>
          <w:bCs/>
          <w:i/>
          <w:sz w:val="24"/>
          <w:szCs w:val="24"/>
        </w:rPr>
        <w:t>Tribune-Eagle</w:t>
      </w:r>
      <w:r w:rsidRPr="00013F71">
        <w:rPr>
          <w:bCs/>
          <w:sz w:val="24"/>
          <w:szCs w:val="24"/>
        </w:rPr>
        <w:t>.</w:t>
      </w:r>
    </w:p>
    <w:p w14:paraId="3CF9B4F2" w14:textId="77777777" w:rsidR="003D3552" w:rsidRPr="00013F71" w:rsidRDefault="003D3552" w:rsidP="00E021AE">
      <w:pPr>
        <w:ind w:left="720" w:hanging="720"/>
        <w:rPr>
          <w:bCs/>
          <w:i/>
          <w:sz w:val="24"/>
          <w:szCs w:val="24"/>
        </w:rPr>
      </w:pPr>
    </w:p>
    <w:p w14:paraId="3ED98206" w14:textId="42C80D3F" w:rsidR="009B3CDF" w:rsidRPr="00013F71" w:rsidRDefault="009B3CDF" w:rsidP="00E021AE">
      <w:pPr>
        <w:ind w:left="720" w:hanging="720"/>
        <w:rPr>
          <w:bCs/>
          <w:i/>
          <w:sz w:val="24"/>
          <w:szCs w:val="24"/>
        </w:rPr>
      </w:pPr>
      <w:r w:rsidRPr="00013F71">
        <w:rPr>
          <w:sz w:val="24"/>
          <w:szCs w:val="24"/>
        </w:rPr>
        <w:t xml:space="preserve">Brown, </w:t>
      </w:r>
      <w:r w:rsidR="003D3552" w:rsidRPr="00013F71">
        <w:rPr>
          <w:sz w:val="24"/>
          <w:szCs w:val="24"/>
        </w:rPr>
        <w:t>Trevor.</w:t>
      </w:r>
      <w:r w:rsidR="00E65BA9" w:rsidRPr="00013F71">
        <w:rPr>
          <w:sz w:val="24"/>
          <w:szCs w:val="24"/>
        </w:rPr>
        <w:t xml:space="preserve"> 2014, March 16</w:t>
      </w:r>
      <w:r w:rsidR="00E65BA9" w:rsidRPr="00013F71">
        <w:rPr>
          <w:sz w:val="24"/>
          <w:szCs w:val="24"/>
          <w:vertAlign w:val="superscript"/>
        </w:rPr>
        <w:t>th</w:t>
      </w:r>
      <w:r w:rsidR="00E65BA9" w:rsidRPr="00013F71">
        <w:rPr>
          <w:sz w:val="24"/>
          <w:szCs w:val="24"/>
        </w:rPr>
        <w:t xml:space="preserve">. </w:t>
      </w:r>
      <w:r w:rsidR="003D3552" w:rsidRPr="00013F71">
        <w:rPr>
          <w:sz w:val="24"/>
          <w:szCs w:val="24"/>
        </w:rPr>
        <w:t xml:space="preserve"> </w:t>
      </w:r>
      <w:r w:rsidRPr="00013F71">
        <w:rPr>
          <w:sz w:val="24"/>
          <w:szCs w:val="24"/>
        </w:rPr>
        <w:t xml:space="preserve">“How much should Wyoming save?”  </w:t>
      </w:r>
      <w:r w:rsidR="00E65BA9" w:rsidRPr="00013F71">
        <w:rPr>
          <w:i/>
          <w:sz w:val="24"/>
          <w:szCs w:val="24"/>
        </w:rPr>
        <w:t>Tribune-Eagle</w:t>
      </w:r>
      <w:r w:rsidR="00E65BA9" w:rsidRPr="00013F71">
        <w:rPr>
          <w:sz w:val="24"/>
          <w:szCs w:val="24"/>
        </w:rPr>
        <w:t>.</w:t>
      </w:r>
    </w:p>
    <w:p w14:paraId="77269074" w14:textId="77777777" w:rsidR="0081637F" w:rsidRPr="00013F71" w:rsidRDefault="0081637F" w:rsidP="00E021AE">
      <w:pPr>
        <w:ind w:left="720" w:hanging="720"/>
        <w:rPr>
          <w:bCs/>
          <w:sz w:val="24"/>
          <w:szCs w:val="24"/>
        </w:rPr>
      </w:pPr>
    </w:p>
    <w:p w14:paraId="1D9674E4" w14:textId="77777777" w:rsidR="00E65BA9" w:rsidRPr="00013F71" w:rsidRDefault="00E65BA9" w:rsidP="00E65BA9">
      <w:pPr>
        <w:ind w:left="720" w:hanging="720"/>
        <w:rPr>
          <w:bCs/>
          <w:sz w:val="24"/>
          <w:szCs w:val="24"/>
        </w:rPr>
      </w:pPr>
      <w:r w:rsidRPr="00013F71">
        <w:rPr>
          <w:bCs/>
          <w:sz w:val="24"/>
          <w:szCs w:val="24"/>
        </w:rPr>
        <w:t>Brown, Trevor. 2015, March 6</w:t>
      </w:r>
      <w:r w:rsidRPr="00013F71">
        <w:rPr>
          <w:bCs/>
          <w:sz w:val="24"/>
          <w:szCs w:val="24"/>
          <w:vertAlign w:val="superscript"/>
        </w:rPr>
        <w:t>th</w:t>
      </w:r>
      <w:r w:rsidRPr="00013F71">
        <w:rPr>
          <w:bCs/>
          <w:sz w:val="24"/>
          <w:szCs w:val="24"/>
        </w:rPr>
        <w:t xml:space="preserve">.  “Wyoming lawmakers talk pros, cons of 2015 legislative session.” </w:t>
      </w:r>
      <w:r w:rsidRPr="00013F71">
        <w:rPr>
          <w:bCs/>
          <w:i/>
          <w:sz w:val="24"/>
          <w:szCs w:val="24"/>
        </w:rPr>
        <w:t>Tribune Eagle</w:t>
      </w:r>
      <w:r w:rsidRPr="00013F71">
        <w:rPr>
          <w:bCs/>
          <w:sz w:val="24"/>
          <w:szCs w:val="24"/>
        </w:rPr>
        <w:t>.</w:t>
      </w:r>
    </w:p>
    <w:p w14:paraId="68F51794" w14:textId="77777777" w:rsidR="00E65BA9" w:rsidRPr="00013F71" w:rsidRDefault="00E65BA9" w:rsidP="00E021AE">
      <w:pPr>
        <w:ind w:left="720" w:hanging="720"/>
        <w:rPr>
          <w:bCs/>
          <w:sz w:val="24"/>
          <w:szCs w:val="24"/>
        </w:rPr>
      </w:pPr>
    </w:p>
    <w:p w14:paraId="00824B47" w14:textId="38E13C6D" w:rsidR="008136BB" w:rsidRPr="00013F71" w:rsidRDefault="008136BB" w:rsidP="00E021AE">
      <w:pPr>
        <w:ind w:left="720" w:hanging="720"/>
        <w:rPr>
          <w:sz w:val="24"/>
          <w:szCs w:val="24"/>
        </w:rPr>
      </w:pPr>
      <w:proofErr w:type="gramStart"/>
      <w:r w:rsidRPr="00013F71">
        <w:rPr>
          <w:sz w:val="24"/>
          <w:szCs w:val="24"/>
        </w:rPr>
        <w:t>B</w:t>
      </w:r>
      <w:r w:rsidR="00A721F4" w:rsidRPr="00013F71">
        <w:rPr>
          <w:sz w:val="24"/>
          <w:szCs w:val="24"/>
        </w:rPr>
        <w:t>ureau of Labor Statistics.</w:t>
      </w:r>
      <w:proofErr w:type="gramEnd"/>
      <w:r w:rsidR="00A721F4" w:rsidRPr="00013F71">
        <w:rPr>
          <w:sz w:val="24"/>
          <w:szCs w:val="24"/>
        </w:rPr>
        <w:t xml:space="preserve">  2015</w:t>
      </w:r>
      <w:r w:rsidRPr="00013F71">
        <w:rPr>
          <w:sz w:val="24"/>
          <w:szCs w:val="24"/>
        </w:rPr>
        <w:t xml:space="preserve">.  “Economy at a Glance.” </w:t>
      </w:r>
      <w:r w:rsidR="001A3CC3" w:rsidRPr="007C0269">
        <w:rPr>
          <w:sz w:val="24"/>
          <w:szCs w:val="24"/>
        </w:rPr>
        <w:t>www.bls.gov/eag/eag.wy.htm</w:t>
      </w:r>
    </w:p>
    <w:p w14:paraId="082B5184" w14:textId="77777777" w:rsidR="001A3CC3" w:rsidRPr="00013F71" w:rsidRDefault="001A3CC3" w:rsidP="00E021AE">
      <w:pPr>
        <w:ind w:left="720" w:hanging="720"/>
        <w:rPr>
          <w:sz w:val="24"/>
          <w:szCs w:val="24"/>
        </w:rPr>
      </w:pPr>
    </w:p>
    <w:p w14:paraId="08D2F6D9" w14:textId="78EC2569" w:rsidR="00690FDA" w:rsidRPr="00013F71" w:rsidRDefault="00690FDA" w:rsidP="00E021AE">
      <w:pPr>
        <w:ind w:left="720" w:hanging="720"/>
        <w:rPr>
          <w:sz w:val="24"/>
          <w:szCs w:val="24"/>
        </w:rPr>
      </w:pPr>
      <w:proofErr w:type="gramStart"/>
      <w:r w:rsidRPr="00013F71">
        <w:rPr>
          <w:sz w:val="24"/>
          <w:szCs w:val="24"/>
        </w:rPr>
        <w:t>Bureau of Labor Statistics.</w:t>
      </w:r>
      <w:proofErr w:type="gramEnd"/>
      <w:r w:rsidRPr="00013F71">
        <w:rPr>
          <w:sz w:val="24"/>
          <w:szCs w:val="24"/>
        </w:rPr>
        <w:t xml:space="preserve">  2016.  “Economic News Release.” March 4, 2016.  http://www.bls.gov/news.release/empsit.nr0.htm</w:t>
      </w:r>
    </w:p>
    <w:p w14:paraId="205489DF" w14:textId="77777777" w:rsidR="00690FDA" w:rsidRPr="00013F71" w:rsidRDefault="00690FDA" w:rsidP="00E021AE">
      <w:pPr>
        <w:ind w:left="720" w:hanging="720"/>
        <w:rPr>
          <w:sz w:val="24"/>
          <w:szCs w:val="24"/>
        </w:rPr>
      </w:pPr>
    </w:p>
    <w:p w14:paraId="42EDBF2C" w14:textId="24473707" w:rsidR="00454B91" w:rsidRPr="00013F71" w:rsidRDefault="00454B91" w:rsidP="00E021AE">
      <w:pPr>
        <w:ind w:left="720" w:hanging="720"/>
        <w:rPr>
          <w:bCs/>
          <w:sz w:val="24"/>
          <w:szCs w:val="24"/>
        </w:rPr>
      </w:pPr>
      <w:r w:rsidRPr="00013F71">
        <w:rPr>
          <w:bCs/>
          <w:sz w:val="24"/>
          <w:szCs w:val="24"/>
        </w:rPr>
        <w:t>Chilton, J.  2014, December 26</w:t>
      </w:r>
      <w:r w:rsidRPr="00013F71">
        <w:rPr>
          <w:bCs/>
          <w:sz w:val="24"/>
          <w:szCs w:val="24"/>
          <w:vertAlign w:val="superscript"/>
        </w:rPr>
        <w:t>th</w:t>
      </w:r>
      <w:r w:rsidRPr="00013F71">
        <w:rPr>
          <w:bCs/>
          <w:sz w:val="24"/>
          <w:szCs w:val="24"/>
        </w:rPr>
        <w:t xml:space="preserve">.  “Wyoming job performance best in years.”  </w:t>
      </w:r>
      <w:proofErr w:type="gramStart"/>
      <w:r w:rsidRPr="00013F71">
        <w:rPr>
          <w:bCs/>
          <w:i/>
          <w:sz w:val="24"/>
          <w:szCs w:val="24"/>
        </w:rPr>
        <w:t>Wyoming Tribune Eagle</w:t>
      </w:r>
      <w:r w:rsidRPr="00013F71">
        <w:rPr>
          <w:bCs/>
          <w:sz w:val="24"/>
          <w:szCs w:val="24"/>
        </w:rPr>
        <w:t>.</w:t>
      </w:r>
      <w:proofErr w:type="gramEnd"/>
    </w:p>
    <w:p w14:paraId="40293B5C" w14:textId="77777777" w:rsidR="006325E5" w:rsidRPr="00013F71" w:rsidRDefault="006325E5" w:rsidP="00E021AE">
      <w:pPr>
        <w:ind w:left="720" w:hanging="720"/>
        <w:rPr>
          <w:bCs/>
          <w:sz w:val="24"/>
          <w:szCs w:val="24"/>
        </w:rPr>
      </w:pPr>
    </w:p>
    <w:p w14:paraId="37A7B5F5" w14:textId="64D42909" w:rsidR="00517913" w:rsidRPr="00013F71" w:rsidRDefault="00517913" w:rsidP="00517913">
      <w:pPr>
        <w:ind w:left="720" w:hanging="720"/>
        <w:rPr>
          <w:bCs/>
          <w:i/>
          <w:sz w:val="24"/>
          <w:szCs w:val="24"/>
        </w:rPr>
      </w:pPr>
      <w:r w:rsidRPr="00013F71">
        <w:rPr>
          <w:bCs/>
          <w:sz w:val="24"/>
          <w:szCs w:val="24"/>
        </w:rPr>
        <w:t>Chilton, J.  2014.  December 27</w:t>
      </w:r>
      <w:r w:rsidRPr="00013F71">
        <w:rPr>
          <w:bCs/>
          <w:sz w:val="24"/>
          <w:szCs w:val="24"/>
          <w:vertAlign w:val="superscript"/>
        </w:rPr>
        <w:t>th</w:t>
      </w:r>
      <w:r w:rsidRPr="00013F71">
        <w:rPr>
          <w:bCs/>
          <w:sz w:val="24"/>
          <w:szCs w:val="24"/>
        </w:rPr>
        <w:t xml:space="preserve">.  “More people leaving Wyo. than moving in.”  </w:t>
      </w:r>
      <w:proofErr w:type="gramStart"/>
      <w:r w:rsidRPr="00013F71">
        <w:rPr>
          <w:bCs/>
          <w:i/>
          <w:sz w:val="24"/>
          <w:szCs w:val="24"/>
        </w:rPr>
        <w:t>Wyoming Tribune Eagle.</w:t>
      </w:r>
      <w:proofErr w:type="gramEnd"/>
    </w:p>
    <w:p w14:paraId="664F9705" w14:textId="77777777" w:rsidR="00517913" w:rsidRPr="00013F71" w:rsidRDefault="00517913" w:rsidP="00E021AE">
      <w:pPr>
        <w:ind w:left="720" w:hanging="720"/>
        <w:rPr>
          <w:bCs/>
          <w:sz w:val="24"/>
          <w:szCs w:val="24"/>
        </w:rPr>
      </w:pPr>
    </w:p>
    <w:p w14:paraId="08D717BC" w14:textId="08B082EC" w:rsidR="006325E5" w:rsidRPr="00013F71" w:rsidRDefault="006325E5" w:rsidP="00E021AE">
      <w:pPr>
        <w:ind w:left="720" w:hanging="720"/>
        <w:rPr>
          <w:bCs/>
          <w:sz w:val="24"/>
          <w:szCs w:val="24"/>
        </w:rPr>
      </w:pPr>
      <w:r w:rsidRPr="00013F71">
        <w:rPr>
          <w:bCs/>
          <w:sz w:val="24"/>
          <w:szCs w:val="24"/>
        </w:rPr>
        <w:t>Chilton, James.  2015, January 11</w:t>
      </w:r>
      <w:r w:rsidRPr="00013F71">
        <w:rPr>
          <w:bCs/>
          <w:sz w:val="24"/>
          <w:szCs w:val="24"/>
          <w:vertAlign w:val="superscript"/>
        </w:rPr>
        <w:t>th</w:t>
      </w:r>
      <w:r w:rsidRPr="00013F71">
        <w:rPr>
          <w:bCs/>
          <w:sz w:val="24"/>
          <w:szCs w:val="24"/>
        </w:rPr>
        <w:t xml:space="preserve">.  “Wyoming lotto to get new games.”  </w:t>
      </w:r>
      <w:proofErr w:type="gramStart"/>
      <w:r w:rsidRPr="00013F71">
        <w:rPr>
          <w:bCs/>
          <w:i/>
          <w:sz w:val="24"/>
          <w:szCs w:val="24"/>
        </w:rPr>
        <w:t>Wyoming Tribune Eagle</w:t>
      </w:r>
      <w:r w:rsidRPr="00013F71">
        <w:rPr>
          <w:bCs/>
          <w:sz w:val="24"/>
          <w:szCs w:val="24"/>
        </w:rPr>
        <w:t>.</w:t>
      </w:r>
      <w:proofErr w:type="gramEnd"/>
    </w:p>
    <w:p w14:paraId="35CBDA38" w14:textId="77777777" w:rsidR="00454B91" w:rsidRPr="00013F71" w:rsidRDefault="00454B91" w:rsidP="00E021AE">
      <w:pPr>
        <w:ind w:left="720" w:hanging="720"/>
        <w:rPr>
          <w:bCs/>
          <w:sz w:val="24"/>
          <w:szCs w:val="24"/>
        </w:rPr>
      </w:pPr>
    </w:p>
    <w:p w14:paraId="3BB6236A" w14:textId="56F3BD7E" w:rsidR="00EC297D" w:rsidRPr="00013F71" w:rsidRDefault="00EC297D" w:rsidP="00EC297D">
      <w:pPr>
        <w:ind w:left="720" w:hanging="720"/>
        <w:rPr>
          <w:bCs/>
          <w:sz w:val="24"/>
          <w:szCs w:val="24"/>
        </w:rPr>
      </w:pPr>
      <w:r w:rsidRPr="00013F71">
        <w:rPr>
          <w:bCs/>
          <w:sz w:val="24"/>
          <w:szCs w:val="24"/>
        </w:rPr>
        <w:t>Consensus Estimating Revenue Group.  2015.  “Wyoming State Government Revenue Forecast: Fiscal Year 2015-Fiscal Year 2020.  January 2015.</w:t>
      </w:r>
    </w:p>
    <w:p w14:paraId="7CF85E8A" w14:textId="77777777" w:rsidR="001A3CC3" w:rsidRPr="00013F71" w:rsidRDefault="001A3CC3" w:rsidP="00FF5479">
      <w:pPr>
        <w:rPr>
          <w:bCs/>
          <w:sz w:val="24"/>
          <w:szCs w:val="24"/>
        </w:rPr>
      </w:pPr>
    </w:p>
    <w:p w14:paraId="6B9C07D1" w14:textId="21719C6E" w:rsidR="0027208B" w:rsidRPr="00013F71" w:rsidRDefault="0027208B" w:rsidP="0027208B">
      <w:pPr>
        <w:ind w:left="720" w:hanging="720"/>
        <w:rPr>
          <w:bCs/>
          <w:sz w:val="24"/>
          <w:szCs w:val="24"/>
        </w:rPr>
      </w:pPr>
      <w:r w:rsidRPr="00013F71">
        <w:rPr>
          <w:bCs/>
          <w:sz w:val="24"/>
          <w:szCs w:val="24"/>
        </w:rPr>
        <w:t>Consensus Estimating Revenue Group.  2015.  “Wyoming State Government Revenue Forecast: Fiscal Year 2016-Fiscal Year 2020.  January 2016.</w:t>
      </w:r>
    </w:p>
    <w:p w14:paraId="5BE4E00D" w14:textId="77777777" w:rsidR="0027208B" w:rsidRPr="00013F71" w:rsidRDefault="0027208B" w:rsidP="00FF5479">
      <w:pPr>
        <w:rPr>
          <w:bCs/>
          <w:sz w:val="24"/>
          <w:szCs w:val="24"/>
        </w:rPr>
      </w:pPr>
    </w:p>
    <w:p w14:paraId="238878DA" w14:textId="042CCA22" w:rsidR="00304712" w:rsidRPr="00013F71" w:rsidRDefault="009B3CDF" w:rsidP="00E021AE">
      <w:pPr>
        <w:ind w:left="720" w:hanging="720"/>
        <w:rPr>
          <w:bCs/>
          <w:sz w:val="24"/>
          <w:szCs w:val="24"/>
        </w:rPr>
      </w:pPr>
      <w:r w:rsidRPr="00013F71">
        <w:rPr>
          <w:bCs/>
          <w:sz w:val="24"/>
          <w:szCs w:val="24"/>
        </w:rPr>
        <w:t>Goss Institute.  2014.  “January 2014</w:t>
      </w:r>
      <w:r w:rsidR="00304712" w:rsidRPr="00013F71">
        <w:rPr>
          <w:bCs/>
          <w:sz w:val="24"/>
          <w:szCs w:val="24"/>
        </w:rPr>
        <w:t xml:space="preserve"> Mountain States Economy.” </w:t>
      </w:r>
      <w:r w:rsidR="008F3FDD" w:rsidRPr="00013F71">
        <w:rPr>
          <w:bCs/>
          <w:sz w:val="24"/>
          <w:szCs w:val="24"/>
        </w:rPr>
        <w:t>www.ernestgoss.com</w:t>
      </w:r>
      <w:r w:rsidR="00304712" w:rsidRPr="00013F71">
        <w:rPr>
          <w:bCs/>
          <w:sz w:val="24"/>
          <w:szCs w:val="24"/>
        </w:rPr>
        <w:t>.</w:t>
      </w:r>
    </w:p>
    <w:p w14:paraId="07E64902" w14:textId="77777777" w:rsidR="009B3CDF" w:rsidRPr="00013F71" w:rsidRDefault="009B3CDF" w:rsidP="00E021AE">
      <w:pPr>
        <w:ind w:left="720" w:hanging="720"/>
        <w:rPr>
          <w:bCs/>
          <w:sz w:val="24"/>
          <w:szCs w:val="24"/>
        </w:rPr>
      </w:pPr>
    </w:p>
    <w:p w14:paraId="670F9837" w14:textId="761B528E" w:rsidR="003B637E" w:rsidRPr="00013F71" w:rsidRDefault="003B637E" w:rsidP="00E021AE">
      <w:pPr>
        <w:ind w:left="720" w:hanging="720"/>
        <w:rPr>
          <w:bCs/>
          <w:sz w:val="24"/>
          <w:szCs w:val="24"/>
        </w:rPr>
      </w:pPr>
      <w:r w:rsidRPr="00013F71">
        <w:rPr>
          <w:bCs/>
          <w:sz w:val="24"/>
          <w:szCs w:val="24"/>
        </w:rPr>
        <w:t>Hancock, Laura.  2016.  March 3.  “Mead signs $3B budget bill while vetoing many portions of it.”  http://trib.com/news/state-and-regional/govt-and-politics/mead-signs-b-budget-bill-while-vetoing-many-portions-of/article_c41133b3-e1d5-5185-9f3d-be20d4790395.html</w:t>
      </w:r>
    </w:p>
    <w:p w14:paraId="5C4F6240" w14:textId="77777777" w:rsidR="003B637E" w:rsidRPr="00013F71" w:rsidRDefault="003B637E" w:rsidP="00E021AE">
      <w:pPr>
        <w:ind w:left="720" w:hanging="720"/>
        <w:rPr>
          <w:bCs/>
          <w:sz w:val="24"/>
          <w:szCs w:val="24"/>
        </w:rPr>
      </w:pPr>
    </w:p>
    <w:p w14:paraId="471EF2F3" w14:textId="18D4D7FC" w:rsidR="00AF6734" w:rsidRPr="00013F71" w:rsidRDefault="00AF6734" w:rsidP="00E021AE">
      <w:pPr>
        <w:ind w:left="720" w:hanging="720"/>
        <w:rPr>
          <w:bCs/>
          <w:sz w:val="24"/>
          <w:szCs w:val="24"/>
        </w:rPr>
      </w:pPr>
      <w:r w:rsidRPr="00013F71">
        <w:rPr>
          <w:bCs/>
          <w:sz w:val="24"/>
          <w:szCs w:val="24"/>
        </w:rPr>
        <w:t>Hancock, Laura.  2016.  March 5.  “State finances dominated 2016 legislative session.” http://trib.com/news/state-and-regional/govt-and-politics/state-finances-dominated-legislative-session/article_706b309f-3276-56a8-bc86-faf1fde06fe2.html</w:t>
      </w:r>
    </w:p>
    <w:p w14:paraId="57C1F69E" w14:textId="77777777" w:rsidR="00AF6734" w:rsidRPr="00013F71" w:rsidRDefault="00AF6734" w:rsidP="00E021AE">
      <w:pPr>
        <w:ind w:left="720" w:hanging="720"/>
        <w:rPr>
          <w:bCs/>
          <w:sz w:val="24"/>
          <w:szCs w:val="24"/>
        </w:rPr>
      </w:pPr>
    </w:p>
    <w:p w14:paraId="5BEA4298" w14:textId="6F5A0F78" w:rsidR="003756D9" w:rsidRPr="00013F71" w:rsidRDefault="003756D9" w:rsidP="00011866">
      <w:pPr>
        <w:ind w:left="720" w:hanging="720"/>
        <w:rPr>
          <w:bCs/>
          <w:sz w:val="24"/>
          <w:szCs w:val="24"/>
        </w:rPr>
      </w:pPr>
      <w:proofErr w:type="gramStart"/>
      <w:r w:rsidRPr="00013F71">
        <w:rPr>
          <w:bCs/>
          <w:sz w:val="24"/>
          <w:szCs w:val="24"/>
        </w:rPr>
        <w:t xml:space="preserve">National Governors </w:t>
      </w:r>
      <w:proofErr w:type="spellStart"/>
      <w:r w:rsidRPr="00013F71">
        <w:rPr>
          <w:bCs/>
          <w:sz w:val="24"/>
          <w:szCs w:val="24"/>
        </w:rPr>
        <w:t>Assocation</w:t>
      </w:r>
      <w:proofErr w:type="spellEnd"/>
      <w:r w:rsidRPr="00013F71">
        <w:rPr>
          <w:bCs/>
          <w:sz w:val="24"/>
          <w:szCs w:val="24"/>
        </w:rPr>
        <w:t>.</w:t>
      </w:r>
      <w:proofErr w:type="gramEnd"/>
      <w:r w:rsidRPr="00013F71">
        <w:rPr>
          <w:bCs/>
          <w:sz w:val="24"/>
          <w:szCs w:val="24"/>
        </w:rPr>
        <w:t xml:space="preserve"> 2014. “Former Governors’ Bios.” http://www.nga.org/cms/FormerGovBios?begincac77e09-db17-41cb-9de0-687b843338d0=0&amp;endcac77e09-db17-41cb-9de0-687b843338d0=24&amp;pagesizecac77e09-db17-41cb-9de0-687b843338d0=25&amp;birthState=Any&amp;pagesize=100&amp;sex=Any&amp;submit=Search&amp;state=139dd0dd-af18-4608-a70e-9ab235f2e508&amp;nbrterms=Any&amp;inOffice=Any&amp;race=Any&amp;begin=0&amp;</w:t>
      </w:r>
    </w:p>
    <w:p w14:paraId="671F71F4" w14:textId="77777777" w:rsidR="008F3FDD" w:rsidRPr="00013F71" w:rsidRDefault="008F3FDD" w:rsidP="00E021AE">
      <w:pPr>
        <w:ind w:left="720" w:hanging="720"/>
        <w:rPr>
          <w:bCs/>
          <w:sz w:val="24"/>
          <w:szCs w:val="24"/>
        </w:rPr>
      </w:pPr>
    </w:p>
    <w:p w14:paraId="34ED413A" w14:textId="69B3310B" w:rsidR="00FF5479" w:rsidRPr="00013F71" w:rsidRDefault="00FA0E52" w:rsidP="00FF5479">
      <w:pPr>
        <w:ind w:left="720" w:hanging="720"/>
        <w:rPr>
          <w:bCs/>
          <w:sz w:val="24"/>
          <w:szCs w:val="24"/>
        </w:rPr>
      </w:pPr>
      <w:r w:rsidRPr="00013F71">
        <w:rPr>
          <w:bCs/>
          <w:sz w:val="24"/>
          <w:szCs w:val="24"/>
        </w:rPr>
        <w:t>Nickerson, G.  2014.</w:t>
      </w:r>
      <w:r w:rsidR="00FF5479" w:rsidRPr="00013F71">
        <w:rPr>
          <w:bCs/>
          <w:sz w:val="24"/>
          <w:szCs w:val="24"/>
        </w:rPr>
        <w:t xml:space="preserve"> December 2</w:t>
      </w:r>
      <w:r w:rsidR="00FF5479" w:rsidRPr="00013F71">
        <w:rPr>
          <w:bCs/>
          <w:sz w:val="24"/>
          <w:szCs w:val="24"/>
          <w:vertAlign w:val="superscript"/>
        </w:rPr>
        <w:t>nd</w:t>
      </w:r>
      <w:r w:rsidRPr="00013F71">
        <w:rPr>
          <w:bCs/>
          <w:sz w:val="24"/>
          <w:szCs w:val="24"/>
        </w:rPr>
        <w:t xml:space="preserve">  “Wyoming stashes $793M in savings, projects $4.4M shortfall.” </w:t>
      </w:r>
      <w:r w:rsidR="00FF5479" w:rsidRPr="00013F71">
        <w:rPr>
          <w:bCs/>
          <w:sz w:val="24"/>
          <w:szCs w:val="24"/>
        </w:rPr>
        <w:t xml:space="preserve"> Retrieved from </w:t>
      </w:r>
      <w:r w:rsidR="00FF5479" w:rsidRPr="00013F71">
        <w:rPr>
          <w:bCs/>
          <w:i/>
          <w:sz w:val="24"/>
          <w:szCs w:val="24"/>
        </w:rPr>
        <w:t>Wyofile.com</w:t>
      </w:r>
      <w:r w:rsidR="00FF5479" w:rsidRPr="00013F71">
        <w:rPr>
          <w:bCs/>
          <w:sz w:val="24"/>
          <w:szCs w:val="24"/>
        </w:rPr>
        <w:t>: http://www.wyofile.com/wyoming-stashes-793m-savings-projects-4-4m-shortfall-wyoming-savings/</w:t>
      </w:r>
    </w:p>
    <w:p w14:paraId="0955886D" w14:textId="77777777" w:rsidR="00FA0E52" w:rsidRPr="00013F71" w:rsidRDefault="00FA0E52" w:rsidP="00E021AE">
      <w:pPr>
        <w:ind w:left="720" w:hanging="720"/>
        <w:rPr>
          <w:bCs/>
          <w:sz w:val="24"/>
          <w:szCs w:val="24"/>
        </w:rPr>
      </w:pPr>
    </w:p>
    <w:p w14:paraId="12E76F93" w14:textId="77777777" w:rsidR="0036596A" w:rsidRPr="00013F71" w:rsidRDefault="0036596A" w:rsidP="00E021AE">
      <w:pPr>
        <w:ind w:left="720" w:hanging="720"/>
        <w:rPr>
          <w:bCs/>
          <w:sz w:val="24"/>
          <w:szCs w:val="24"/>
        </w:rPr>
      </w:pPr>
      <w:proofErr w:type="gramStart"/>
      <w:r w:rsidRPr="00013F71">
        <w:rPr>
          <w:bCs/>
          <w:sz w:val="24"/>
          <w:szCs w:val="24"/>
        </w:rPr>
        <w:t>Secretary of State.</w:t>
      </w:r>
      <w:proofErr w:type="gramEnd"/>
      <w:r w:rsidRPr="00013F71">
        <w:rPr>
          <w:bCs/>
          <w:sz w:val="24"/>
          <w:szCs w:val="24"/>
        </w:rPr>
        <w:t xml:space="preserve">  2013.  </w:t>
      </w:r>
      <w:r w:rsidRPr="00013F71">
        <w:rPr>
          <w:sz w:val="24"/>
          <w:szCs w:val="24"/>
        </w:rPr>
        <w:t>soswy.state.wy.us/Elections/Docs/</w:t>
      </w:r>
      <w:proofErr w:type="spellStart"/>
      <w:r w:rsidRPr="00013F71">
        <w:rPr>
          <w:sz w:val="24"/>
          <w:szCs w:val="24"/>
        </w:rPr>
        <w:t>VRStats</w:t>
      </w:r>
      <w:proofErr w:type="spellEnd"/>
      <w:r w:rsidRPr="00013F71">
        <w:rPr>
          <w:sz w:val="24"/>
          <w:szCs w:val="24"/>
        </w:rPr>
        <w:t>/2012VR_stats.pdf</w:t>
      </w:r>
    </w:p>
    <w:p w14:paraId="53B00AE1" w14:textId="77777777" w:rsidR="0036596A" w:rsidRPr="00013F71" w:rsidRDefault="0036596A" w:rsidP="00E021AE">
      <w:pPr>
        <w:ind w:left="720" w:hanging="720"/>
        <w:rPr>
          <w:bCs/>
          <w:sz w:val="24"/>
          <w:szCs w:val="24"/>
        </w:rPr>
      </w:pPr>
    </w:p>
    <w:p w14:paraId="391A9C45" w14:textId="21D6E034" w:rsidR="00EC19E9" w:rsidRPr="00013F71" w:rsidRDefault="00EC19E9" w:rsidP="00E021AE">
      <w:pPr>
        <w:ind w:left="720" w:hanging="720"/>
        <w:rPr>
          <w:bCs/>
          <w:sz w:val="24"/>
          <w:szCs w:val="24"/>
        </w:rPr>
      </w:pPr>
      <w:proofErr w:type="gramStart"/>
      <w:r w:rsidRPr="00013F71">
        <w:rPr>
          <w:bCs/>
          <w:sz w:val="24"/>
          <w:szCs w:val="24"/>
        </w:rPr>
        <w:t>Secret</w:t>
      </w:r>
      <w:r w:rsidR="00B67E28">
        <w:rPr>
          <w:bCs/>
          <w:sz w:val="24"/>
          <w:szCs w:val="24"/>
        </w:rPr>
        <w:t>ary of State.</w:t>
      </w:r>
      <w:proofErr w:type="gramEnd"/>
      <w:r w:rsidR="00B67E28">
        <w:rPr>
          <w:bCs/>
          <w:sz w:val="24"/>
          <w:szCs w:val="24"/>
        </w:rPr>
        <w:t xml:space="preserve">  2016.  March 1</w:t>
      </w:r>
      <w:r w:rsidRPr="00013F71">
        <w:rPr>
          <w:bCs/>
          <w:sz w:val="24"/>
          <w:szCs w:val="24"/>
        </w:rPr>
        <w:t>. “Statewide Summery of Wyoming Voter Registration.” http://soswy.state.wy.us/Elections/Docs/VRStats/2016/1</w:t>
      </w:r>
      <w:r w:rsidR="00B67E28">
        <w:rPr>
          <w:bCs/>
          <w:sz w:val="24"/>
          <w:szCs w:val="24"/>
        </w:rPr>
        <w:t>6Mar</w:t>
      </w:r>
      <w:r w:rsidRPr="00013F71">
        <w:rPr>
          <w:bCs/>
          <w:sz w:val="24"/>
          <w:szCs w:val="24"/>
        </w:rPr>
        <w:t xml:space="preserve">VR_stats.pdf </w:t>
      </w:r>
    </w:p>
    <w:p w14:paraId="57D0332B" w14:textId="77777777" w:rsidR="00EC19E9" w:rsidRPr="00013F71" w:rsidRDefault="00EC19E9" w:rsidP="00EC19E9">
      <w:pPr>
        <w:rPr>
          <w:bCs/>
          <w:sz w:val="24"/>
          <w:szCs w:val="24"/>
        </w:rPr>
      </w:pPr>
    </w:p>
    <w:p w14:paraId="2921492C" w14:textId="097EB8D8" w:rsidR="003756D9" w:rsidRPr="00013F71" w:rsidRDefault="003756D9" w:rsidP="00E021AE">
      <w:pPr>
        <w:ind w:left="720" w:hanging="720"/>
        <w:rPr>
          <w:bCs/>
          <w:sz w:val="24"/>
          <w:szCs w:val="24"/>
        </w:rPr>
      </w:pPr>
      <w:r w:rsidRPr="00013F71">
        <w:rPr>
          <w:bCs/>
          <w:sz w:val="24"/>
          <w:szCs w:val="24"/>
        </w:rPr>
        <w:t>Small Business an</w:t>
      </w:r>
      <w:r w:rsidR="00DD063F" w:rsidRPr="00013F71">
        <w:rPr>
          <w:bCs/>
          <w:sz w:val="24"/>
          <w:szCs w:val="24"/>
        </w:rPr>
        <w:t>d Entrepreneurial Council.  2015</w:t>
      </w:r>
      <w:r w:rsidRPr="00013F71">
        <w:rPr>
          <w:bCs/>
          <w:sz w:val="24"/>
          <w:szCs w:val="24"/>
        </w:rPr>
        <w:t xml:space="preserve">. </w:t>
      </w:r>
      <w:r w:rsidR="00DD063F" w:rsidRPr="00013F71">
        <w:rPr>
          <w:bCs/>
          <w:sz w:val="24"/>
          <w:szCs w:val="24"/>
        </w:rPr>
        <w:t>http://www.sbecouncil.org/wp-content/uploads/2015/04/BTI2015SBECouncil.pdf</w:t>
      </w:r>
    </w:p>
    <w:p w14:paraId="1A4E6612" w14:textId="77777777" w:rsidR="00DD063F" w:rsidRPr="00013F71" w:rsidRDefault="00DD063F" w:rsidP="00E021AE">
      <w:pPr>
        <w:ind w:left="720" w:hanging="720"/>
        <w:rPr>
          <w:bCs/>
          <w:sz w:val="24"/>
          <w:szCs w:val="24"/>
        </w:rPr>
      </w:pPr>
    </w:p>
    <w:p w14:paraId="1E935204" w14:textId="099500AC" w:rsidR="001D51F3" w:rsidRPr="00013F71" w:rsidRDefault="001D51F3" w:rsidP="00E021AE">
      <w:pPr>
        <w:ind w:left="720" w:hanging="720"/>
        <w:rPr>
          <w:bCs/>
          <w:sz w:val="24"/>
          <w:szCs w:val="24"/>
        </w:rPr>
      </w:pPr>
      <w:proofErr w:type="spellStart"/>
      <w:r w:rsidRPr="00013F71">
        <w:rPr>
          <w:bCs/>
          <w:sz w:val="24"/>
          <w:szCs w:val="24"/>
        </w:rPr>
        <w:t>Storrow</w:t>
      </w:r>
      <w:proofErr w:type="spellEnd"/>
      <w:r w:rsidRPr="00013F71">
        <w:rPr>
          <w:bCs/>
          <w:sz w:val="24"/>
          <w:szCs w:val="24"/>
        </w:rPr>
        <w:t xml:space="preserve">, Benjamin.  2015.  October 7.  “Budget shortfall could prompt shift in political landscape in Wyoming.”  </w:t>
      </w:r>
      <w:proofErr w:type="gramStart"/>
      <w:r w:rsidRPr="00013F71">
        <w:rPr>
          <w:bCs/>
          <w:i/>
          <w:sz w:val="24"/>
          <w:szCs w:val="24"/>
        </w:rPr>
        <w:t>Casper Star Tribune</w:t>
      </w:r>
      <w:r w:rsidRPr="00013F71">
        <w:rPr>
          <w:bCs/>
          <w:sz w:val="24"/>
          <w:szCs w:val="24"/>
        </w:rPr>
        <w:t>.</w:t>
      </w:r>
      <w:proofErr w:type="gramEnd"/>
    </w:p>
    <w:p w14:paraId="14BE3607" w14:textId="77777777" w:rsidR="001D51F3" w:rsidRPr="00013F71" w:rsidRDefault="001D51F3" w:rsidP="00E021AE">
      <w:pPr>
        <w:ind w:left="720" w:hanging="720"/>
        <w:rPr>
          <w:bCs/>
          <w:sz w:val="24"/>
          <w:szCs w:val="24"/>
        </w:rPr>
      </w:pPr>
    </w:p>
    <w:p w14:paraId="0E6B2149" w14:textId="2B4EF10E" w:rsidR="007E4E24" w:rsidRPr="00013F71" w:rsidRDefault="007E4E24" w:rsidP="00E021AE">
      <w:pPr>
        <w:ind w:left="720" w:hanging="720"/>
        <w:rPr>
          <w:bCs/>
          <w:sz w:val="24"/>
          <w:szCs w:val="24"/>
        </w:rPr>
      </w:pPr>
      <w:proofErr w:type="spellStart"/>
      <w:r w:rsidRPr="00013F71">
        <w:rPr>
          <w:bCs/>
          <w:sz w:val="24"/>
          <w:szCs w:val="24"/>
        </w:rPr>
        <w:t>Storrow</w:t>
      </w:r>
      <w:proofErr w:type="spellEnd"/>
      <w:r w:rsidRPr="00013F71">
        <w:rPr>
          <w:bCs/>
          <w:sz w:val="24"/>
          <w:szCs w:val="24"/>
        </w:rPr>
        <w:t xml:space="preserve">, Benjamin.  2016.  March 7.  “Wyoming coal mines have largely resisted layoffs.  But how long will that last?”  </w:t>
      </w:r>
      <w:proofErr w:type="gramStart"/>
      <w:r w:rsidRPr="00013F71">
        <w:rPr>
          <w:bCs/>
          <w:i/>
          <w:sz w:val="24"/>
          <w:szCs w:val="24"/>
        </w:rPr>
        <w:t>Casper Star Tribune</w:t>
      </w:r>
      <w:r w:rsidRPr="00013F71">
        <w:rPr>
          <w:bCs/>
          <w:sz w:val="24"/>
          <w:szCs w:val="24"/>
        </w:rPr>
        <w:t>.</w:t>
      </w:r>
      <w:proofErr w:type="gramEnd"/>
    </w:p>
    <w:p w14:paraId="217F4A37" w14:textId="77777777" w:rsidR="007E4E24" w:rsidRPr="00013F71" w:rsidRDefault="007E4E24" w:rsidP="00E021AE">
      <w:pPr>
        <w:ind w:left="720" w:hanging="720"/>
        <w:rPr>
          <w:bCs/>
          <w:sz w:val="24"/>
          <w:szCs w:val="24"/>
        </w:rPr>
      </w:pPr>
    </w:p>
    <w:p w14:paraId="627ACFAF" w14:textId="3C3EE4E9" w:rsidR="00190E0F" w:rsidRPr="00013F71" w:rsidRDefault="00190E0F" w:rsidP="00E021AE">
      <w:pPr>
        <w:ind w:left="720" w:hanging="720"/>
        <w:rPr>
          <w:bCs/>
          <w:sz w:val="24"/>
          <w:szCs w:val="24"/>
        </w:rPr>
      </w:pPr>
      <w:proofErr w:type="spellStart"/>
      <w:r w:rsidRPr="00013F71">
        <w:rPr>
          <w:bCs/>
          <w:sz w:val="24"/>
          <w:szCs w:val="24"/>
        </w:rPr>
        <w:t>Storrow</w:t>
      </w:r>
      <w:proofErr w:type="spellEnd"/>
      <w:r w:rsidRPr="00013F71">
        <w:rPr>
          <w:bCs/>
          <w:sz w:val="24"/>
          <w:szCs w:val="24"/>
        </w:rPr>
        <w:t xml:space="preserve">, Benjamin.  2016.  March 10.  “Anadarko Petroleum to cut 17 percent of its workforce.” March 10.  </w:t>
      </w:r>
      <w:proofErr w:type="gramStart"/>
      <w:r w:rsidRPr="00013F71">
        <w:rPr>
          <w:bCs/>
          <w:i/>
          <w:sz w:val="24"/>
          <w:szCs w:val="24"/>
        </w:rPr>
        <w:t>Casper Star Tribune</w:t>
      </w:r>
      <w:r w:rsidRPr="00013F71">
        <w:rPr>
          <w:bCs/>
          <w:sz w:val="24"/>
          <w:szCs w:val="24"/>
        </w:rPr>
        <w:t>.</w:t>
      </w:r>
      <w:proofErr w:type="gramEnd"/>
    </w:p>
    <w:p w14:paraId="1C7E4FA2" w14:textId="77777777" w:rsidR="00190E0F" w:rsidRPr="00013F71" w:rsidRDefault="00190E0F" w:rsidP="00E021AE">
      <w:pPr>
        <w:ind w:left="720" w:hanging="720"/>
        <w:rPr>
          <w:bCs/>
          <w:sz w:val="24"/>
          <w:szCs w:val="24"/>
        </w:rPr>
      </w:pPr>
    </w:p>
    <w:p w14:paraId="7E685B1C" w14:textId="751596B3" w:rsidR="00163231" w:rsidRPr="00013F71" w:rsidRDefault="00FC06AE" w:rsidP="00E021AE">
      <w:pPr>
        <w:ind w:left="720" w:hanging="720"/>
        <w:rPr>
          <w:bCs/>
          <w:sz w:val="24"/>
          <w:szCs w:val="24"/>
        </w:rPr>
      </w:pPr>
      <w:r w:rsidRPr="00013F71">
        <w:rPr>
          <w:bCs/>
          <w:sz w:val="24"/>
          <w:szCs w:val="24"/>
        </w:rPr>
        <w:t>Tax Foundation.  2016.  “2016</w:t>
      </w:r>
      <w:r w:rsidR="00163231" w:rsidRPr="00013F71">
        <w:rPr>
          <w:bCs/>
          <w:sz w:val="24"/>
          <w:szCs w:val="24"/>
        </w:rPr>
        <w:t xml:space="preserve"> State Business Tax Climate Index.”  http:</w:t>
      </w:r>
      <w:r w:rsidRPr="00013F71">
        <w:rPr>
          <w:bCs/>
          <w:sz w:val="24"/>
          <w:szCs w:val="24"/>
        </w:rPr>
        <w:t>//taxfoundation.org/article/2016</w:t>
      </w:r>
      <w:r w:rsidR="00163231" w:rsidRPr="00013F71">
        <w:rPr>
          <w:bCs/>
          <w:sz w:val="24"/>
          <w:szCs w:val="24"/>
        </w:rPr>
        <w:t>-state-business-tax-climate-index</w:t>
      </w:r>
    </w:p>
    <w:p w14:paraId="047C4846" w14:textId="77777777" w:rsidR="00163231" w:rsidRPr="00013F71" w:rsidRDefault="00163231" w:rsidP="00E021AE">
      <w:pPr>
        <w:ind w:left="720" w:hanging="720"/>
        <w:rPr>
          <w:bCs/>
          <w:sz w:val="24"/>
          <w:szCs w:val="24"/>
        </w:rPr>
      </w:pPr>
    </w:p>
    <w:p w14:paraId="1E1FE189" w14:textId="6AAD6E6D" w:rsidR="003505A6" w:rsidRPr="00013F71" w:rsidRDefault="003505A6" w:rsidP="00E021AE">
      <w:pPr>
        <w:ind w:left="720" w:hanging="720"/>
        <w:rPr>
          <w:bCs/>
          <w:sz w:val="24"/>
          <w:szCs w:val="24"/>
        </w:rPr>
      </w:pPr>
      <w:r w:rsidRPr="00013F71">
        <w:rPr>
          <w:bCs/>
          <w:sz w:val="24"/>
          <w:szCs w:val="24"/>
        </w:rPr>
        <w:t xml:space="preserve">Western, Samuel.  2012, February 2012.  “Wyoming’s Permanent Mineral Trust Fund can’t entirely protect the budget from volatile commodity prices.”  </w:t>
      </w:r>
      <w:proofErr w:type="spellStart"/>
      <w:r w:rsidR="0058252E" w:rsidRPr="00013F71">
        <w:rPr>
          <w:bCs/>
          <w:i/>
          <w:sz w:val="24"/>
          <w:szCs w:val="24"/>
        </w:rPr>
        <w:t>WyoFile</w:t>
      </w:r>
      <w:proofErr w:type="spellEnd"/>
      <w:r w:rsidR="0058252E" w:rsidRPr="00013F71">
        <w:rPr>
          <w:bCs/>
          <w:i/>
          <w:sz w:val="24"/>
          <w:szCs w:val="24"/>
        </w:rPr>
        <w:t>: People, Places &amp; Policy</w:t>
      </w:r>
      <w:r w:rsidR="0058252E" w:rsidRPr="00013F71">
        <w:rPr>
          <w:bCs/>
          <w:sz w:val="24"/>
          <w:szCs w:val="24"/>
        </w:rPr>
        <w:t>.  http://www.wyofile.com/wyomings-permanent-mineral-trust-fund-cant-entirely-protect-the-budget-from-volatile-commodity-prices/</w:t>
      </w:r>
    </w:p>
    <w:p w14:paraId="424220FB" w14:textId="77777777" w:rsidR="00355CE0" w:rsidRPr="00013F71" w:rsidRDefault="00355CE0" w:rsidP="00E021AE">
      <w:pPr>
        <w:ind w:left="720" w:hanging="720"/>
        <w:rPr>
          <w:rStyle w:val="Hyperlink"/>
          <w:bCs/>
          <w:sz w:val="24"/>
          <w:szCs w:val="24"/>
        </w:rPr>
      </w:pPr>
    </w:p>
    <w:p w14:paraId="6214C7B8" w14:textId="4C1791A2" w:rsidR="0061218C" w:rsidRPr="00013F71" w:rsidRDefault="0061218C" w:rsidP="00E021AE">
      <w:pPr>
        <w:ind w:left="720" w:hanging="720"/>
        <w:rPr>
          <w:rStyle w:val="Hyperlink"/>
          <w:bCs/>
          <w:color w:val="auto"/>
          <w:sz w:val="24"/>
          <w:szCs w:val="24"/>
          <w:u w:val="none"/>
        </w:rPr>
      </w:pPr>
      <w:r w:rsidRPr="00013F71">
        <w:rPr>
          <w:rStyle w:val="Hyperlink"/>
          <w:bCs/>
          <w:color w:val="auto"/>
          <w:sz w:val="24"/>
          <w:szCs w:val="24"/>
          <w:u w:val="none"/>
        </w:rPr>
        <w:t xml:space="preserve">Woodall, Hunter. 2015, December 10.  “New report shows Wyoming lags nation in women lawmakers.” </w:t>
      </w:r>
      <w:proofErr w:type="gramStart"/>
      <w:r w:rsidRPr="00013F71">
        <w:rPr>
          <w:rStyle w:val="Hyperlink"/>
          <w:bCs/>
          <w:i/>
          <w:color w:val="auto"/>
          <w:sz w:val="24"/>
          <w:szCs w:val="24"/>
          <w:u w:val="none"/>
        </w:rPr>
        <w:t>Casper Star Tribune</w:t>
      </w:r>
      <w:r w:rsidRPr="00013F71">
        <w:rPr>
          <w:rStyle w:val="Hyperlink"/>
          <w:bCs/>
          <w:color w:val="auto"/>
          <w:sz w:val="24"/>
          <w:szCs w:val="24"/>
          <w:u w:val="none"/>
        </w:rPr>
        <w:t>.</w:t>
      </w:r>
      <w:proofErr w:type="gramEnd"/>
      <w:r w:rsidRPr="00013F71">
        <w:rPr>
          <w:rStyle w:val="Hyperlink"/>
          <w:bCs/>
          <w:color w:val="auto"/>
          <w:sz w:val="24"/>
          <w:szCs w:val="24"/>
          <w:u w:val="none"/>
        </w:rPr>
        <w:t xml:space="preserve">  </w:t>
      </w:r>
      <w:r w:rsidR="00F52747" w:rsidRPr="00013F71">
        <w:rPr>
          <w:rStyle w:val="Hyperlink"/>
          <w:bCs/>
          <w:color w:val="auto"/>
          <w:sz w:val="24"/>
          <w:szCs w:val="24"/>
          <w:u w:val="none"/>
        </w:rPr>
        <w:t>http://trib.com/news/state-and-regional/govt-and-politics/new-report-shows-wyoming-lags-nation-in-women-lawmakers/article_70c20c43-1a8a-5b81-9d33-59e3094e9a9b.html</w:t>
      </w:r>
    </w:p>
    <w:p w14:paraId="2F81E93B" w14:textId="77777777" w:rsidR="00F52747" w:rsidRPr="00013F71" w:rsidRDefault="00F52747" w:rsidP="00E021AE">
      <w:pPr>
        <w:ind w:left="720" w:hanging="720"/>
        <w:rPr>
          <w:rStyle w:val="Hyperlink"/>
          <w:bCs/>
          <w:color w:val="auto"/>
          <w:sz w:val="24"/>
          <w:szCs w:val="24"/>
          <w:u w:val="none"/>
        </w:rPr>
      </w:pPr>
    </w:p>
    <w:p w14:paraId="760AD17E" w14:textId="77777777" w:rsidR="00F52747" w:rsidRPr="00013F71" w:rsidRDefault="00F52747" w:rsidP="00E021AE">
      <w:pPr>
        <w:ind w:left="720" w:hanging="720"/>
        <w:rPr>
          <w:rStyle w:val="Hyperlink"/>
          <w:bCs/>
          <w:color w:val="auto"/>
          <w:sz w:val="24"/>
          <w:szCs w:val="24"/>
          <w:u w:val="none"/>
        </w:rPr>
      </w:pPr>
    </w:p>
    <w:p w14:paraId="6EB3E4CC" w14:textId="5000F16A" w:rsidR="00F52747" w:rsidRPr="00013F71" w:rsidRDefault="00F52747" w:rsidP="00E021AE">
      <w:pPr>
        <w:ind w:left="720" w:hanging="720"/>
        <w:rPr>
          <w:rStyle w:val="Hyperlink"/>
          <w:bCs/>
          <w:color w:val="auto"/>
          <w:sz w:val="24"/>
          <w:szCs w:val="24"/>
          <w:u w:val="none"/>
        </w:rPr>
      </w:pPr>
      <w:r w:rsidRPr="00013F71">
        <w:rPr>
          <w:rStyle w:val="Hyperlink"/>
          <w:bCs/>
          <w:color w:val="auto"/>
          <w:sz w:val="24"/>
          <w:szCs w:val="24"/>
          <w:u w:val="none"/>
        </w:rPr>
        <w:lastRenderedPageBreak/>
        <w:t xml:space="preserve">Woodall, Hunter.  2015.  December 19.  “More people are leaving Wyoming than entering it.”  </w:t>
      </w:r>
      <w:proofErr w:type="gramStart"/>
      <w:r w:rsidRPr="00013F71">
        <w:rPr>
          <w:rStyle w:val="Hyperlink"/>
          <w:bCs/>
          <w:i/>
          <w:color w:val="auto"/>
          <w:sz w:val="24"/>
          <w:szCs w:val="24"/>
          <w:u w:val="none"/>
        </w:rPr>
        <w:t>Casper Star Tribune</w:t>
      </w:r>
      <w:r w:rsidRPr="00013F71">
        <w:rPr>
          <w:rStyle w:val="Hyperlink"/>
          <w:bCs/>
          <w:color w:val="auto"/>
          <w:sz w:val="24"/>
          <w:szCs w:val="24"/>
          <w:u w:val="none"/>
        </w:rPr>
        <w:t>.</w:t>
      </w:r>
      <w:proofErr w:type="gramEnd"/>
      <w:r w:rsidRPr="00013F71">
        <w:rPr>
          <w:rStyle w:val="Hyperlink"/>
          <w:bCs/>
          <w:color w:val="auto"/>
          <w:sz w:val="24"/>
          <w:szCs w:val="24"/>
          <w:u w:val="none"/>
        </w:rPr>
        <w:t xml:space="preserve">  http://trib.com/business/energy/more-people-are-leaving-wyoming-than-entering-it/article_34e893af-7dc3-53d0-ad63-2cbc567e22d1.html</w:t>
      </w:r>
    </w:p>
    <w:p w14:paraId="523EBC2D" w14:textId="77777777" w:rsidR="0061218C" w:rsidRPr="00013F71" w:rsidRDefault="0061218C" w:rsidP="00E021AE">
      <w:pPr>
        <w:ind w:left="720" w:hanging="720"/>
        <w:rPr>
          <w:rStyle w:val="Hyperlink"/>
          <w:bCs/>
          <w:sz w:val="24"/>
          <w:szCs w:val="24"/>
        </w:rPr>
      </w:pPr>
    </w:p>
    <w:p w14:paraId="04BE1932" w14:textId="2D48FAB4" w:rsidR="007F5E55" w:rsidRPr="00013F71" w:rsidRDefault="007F5E55" w:rsidP="00E021AE">
      <w:pPr>
        <w:ind w:left="720" w:hanging="720"/>
        <w:rPr>
          <w:bCs/>
          <w:sz w:val="24"/>
          <w:szCs w:val="24"/>
        </w:rPr>
      </w:pPr>
      <w:r w:rsidRPr="00013F71">
        <w:rPr>
          <w:bCs/>
          <w:sz w:val="24"/>
          <w:szCs w:val="24"/>
        </w:rPr>
        <w:t>WyoLotto.  2016.  January 30.  “WyoLotto Pays Off Loan, Set To Transfer Revenue.”  http://wyolotto.com/wyolotto-pays-off-loan/</w:t>
      </w:r>
    </w:p>
    <w:p w14:paraId="0BD94F69" w14:textId="77777777" w:rsidR="007F5E55" w:rsidRPr="00013F71" w:rsidRDefault="007F5E55" w:rsidP="00E021AE">
      <w:pPr>
        <w:ind w:left="720" w:hanging="720"/>
        <w:rPr>
          <w:bCs/>
          <w:sz w:val="24"/>
          <w:szCs w:val="24"/>
        </w:rPr>
      </w:pPr>
    </w:p>
    <w:p w14:paraId="78F7F2F0" w14:textId="531816D7" w:rsidR="00555D60" w:rsidRPr="00013F71" w:rsidRDefault="00555D60" w:rsidP="00E021AE">
      <w:pPr>
        <w:ind w:left="720" w:hanging="720"/>
        <w:rPr>
          <w:bCs/>
          <w:sz w:val="24"/>
          <w:szCs w:val="24"/>
        </w:rPr>
      </w:pPr>
      <w:r w:rsidRPr="00013F71">
        <w:rPr>
          <w:bCs/>
          <w:sz w:val="24"/>
          <w:szCs w:val="24"/>
        </w:rPr>
        <w:t>Wyoming Constitution.</w:t>
      </w:r>
    </w:p>
    <w:p w14:paraId="5B2FC7FD" w14:textId="77777777" w:rsidR="00555D60" w:rsidRPr="00013F71" w:rsidRDefault="00555D60" w:rsidP="00E021AE">
      <w:pPr>
        <w:ind w:left="720" w:hanging="720"/>
        <w:rPr>
          <w:bCs/>
          <w:sz w:val="24"/>
          <w:szCs w:val="24"/>
        </w:rPr>
      </w:pPr>
    </w:p>
    <w:p w14:paraId="77FBBF2A" w14:textId="122DF9C0" w:rsidR="00403995" w:rsidRPr="00013F71" w:rsidRDefault="00403995" w:rsidP="00E021AE">
      <w:pPr>
        <w:ind w:left="720" w:hanging="720"/>
        <w:rPr>
          <w:bCs/>
          <w:sz w:val="24"/>
          <w:szCs w:val="24"/>
        </w:rPr>
      </w:pPr>
      <w:r w:rsidRPr="00013F71">
        <w:rPr>
          <w:bCs/>
          <w:sz w:val="24"/>
          <w:szCs w:val="24"/>
        </w:rPr>
        <w:t xml:space="preserve">Wyoming Department of Workforce Services. </w:t>
      </w:r>
      <w:r w:rsidR="00690FDA" w:rsidRPr="00013F71">
        <w:rPr>
          <w:bCs/>
          <w:sz w:val="24"/>
          <w:szCs w:val="24"/>
        </w:rPr>
        <w:t xml:space="preserve"> 2016.  “Wyoming Unemployment Rate Rises to 4.3% in December 2015. www.doe.state.wy.us/lmi/news.htm</w:t>
      </w:r>
    </w:p>
    <w:p w14:paraId="0FE1B3C9" w14:textId="77777777" w:rsidR="00403995" w:rsidRPr="00013F71" w:rsidRDefault="00403995" w:rsidP="00E021AE">
      <w:pPr>
        <w:ind w:left="720" w:hanging="720"/>
        <w:rPr>
          <w:bCs/>
          <w:sz w:val="24"/>
          <w:szCs w:val="24"/>
        </w:rPr>
      </w:pPr>
    </w:p>
    <w:p w14:paraId="5D81BBA9" w14:textId="42FAF89F" w:rsidR="00B373B3" w:rsidRPr="00013F71" w:rsidRDefault="00050C5D" w:rsidP="00B373B3">
      <w:pPr>
        <w:ind w:left="720" w:hanging="720"/>
        <w:rPr>
          <w:bCs/>
          <w:sz w:val="24"/>
          <w:szCs w:val="24"/>
        </w:rPr>
      </w:pPr>
      <w:proofErr w:type="gramStart"/>
      <w:r w:rsidRPr="00013F71">
        <w:rPr>
          <w:bCs/>
          <w:sz w:val="24"/>
          <w:szCs w:val="24"/>
        </w:rPr>
        <w:t>Wyoming State Treasurer.</w:t>
      </w:r>
      <w:proofErr w:type="gramEnd"/>
      <w:r w:rsidRPr="00013F71">
        <w:rPr>
          <w:bCs/>
          <w:sz w:val="24"/>
          <w:szCs w:val="24"/>
        </w:rPr>
        <w:t xml:space="preserve">  2015</w:t>
      </w:r>
      <w:r w:rsidR="00B373B3" w:rsidRPr="00013F71">
        <w:rPr>
          <w:bCs/>
          <w:sz w:val="24"/>
          <w:szCs w:val="24"/>
        </w:rPr>
        <w:t>.  “Wyoming Sta</w:t>
      </w:r>
      <w:r w:rsidRPr="00013F71">
        <w:rPr>
          <w:bCs/>
          <w:sz w:val="24"/>
          <w:szCs w:val="24"/>
        </w:rPr>
        <w:t>te Treasurer’s Investment Portfolio: Fiscal Year December 31, 2015</w:t>
      </w:r>
      <w:r w:rsidR="00B373B3" w:rsidRPr="00013F71">
        <w:rPr>
          <w:bCs/>
          <w:sz w:val="24"/>
          <w:szCs w:val="24"/>
        </w:rPr>
        <w:t>.”</w:t>
      </w:r>
      <w:r w:rsidRPr="00013F71">
        <w:rPr>
          <w:bCs/>
          <w:sz w:val="24"/>
          <w:szCs w:val="24"/>
        </w:rPr>
        <w:t xml:space="preserve"> https://treasurer.state.wy.us/pdf/portfoliostatus123115v2.pdf</w:t>
      </w:r>
    </w:p>
    <w:p w14:paraId="34E55885" w14:textId="77777777" w:rsidR="00B373B3" w:rsidRPr="00013F71" w:rsidRDefault="00B373B3" w:rsidP="00E021AE">
      <w:pPr>
        <w:ind w:left="720" w:hanging="720"/>
        <w:rPr>
          <w:bCs/>
          <w:sz w:val="24"/>
          <w:szCs w:val="24"/>
        </w:rPr>
      </w:pPr>
    </w:p>
    <w:p w14:paraId="396A6E8F" w14:textId="4468A9F9" w:rsidR="0081637F" w:rsidRPr="00013F71" w:rsidRDefault="00E9096B" w:rsidP="00E021AE">
      <w:pPr>
        <w:ind w:left="720" w:hanging="720"/>
        <w:rPr>
          <w:bCs/>
          <w:sz w:val="24"/>
          <w:szCs w:val="24"/>
        </w:rPr>
      </w:pPr>
      <w:proofErr w:type="gramStart"/>
      <w:r w:rsidRPr="00013F71">
        <w:rPr>
          <w:bCs/>
          <w:sz w:val="24"/>
          <w:szCs w:val="24"/>
        </w:rPr>
        <w:t>U.S. Census Bureau.</w:t>
      </w:r>
      <w:proofErr w:type="gramEnd"/>
      <w:r w:rsidRPr="00013F71">
        <w:rPr>
          <w:bCs/>
          <w:sz w:val="24"/>
          <w:szCs w:val="24"/>
        </w:rPr>
        <w:t xml:space="preserve"> 2012</w:t>
      </w:r>
      <w:r w:rsidR="0081637F" w:rsidRPr="00013F71">
        <w:rPr>
          <w:bCs/>
          <w:sz w:val="24"/>
          <w:szCs w:val="24"/>
        </w:rPr>
        <w:t xml:space="preserve">. </w:t>
      </w:r>
    </w:p>
    <w:p w14:paraId="43203625" w14:textId="77777777" w:rsidR="0081637F" w:rsidRPr="00013F71" w:rsidRDefault="0081637F" w:rsidP="00E021AE">
      <w:pPr>
        <w:ind w:left="720" w:hanging="720"/>
        <w:rPr>
          <w:bCs/>
          <w:sz w:val="24"/>
          <w:szCs w:val="24"/>
        </w:rPr>
      </w:pPr>
    </w:p>
    <w:p w14:paraId="2EEDD7E3" w14:textId="0BB22FA4" w:rsidR="00E9096B" w:rsidRPr="00013F71" w:rsidRDefault="00EC6660" w:rsidP="00E9096B">
      <w:pPr>
        <w:rPr>
          <w:bCs/>
          <w:sz w:val="24"/>
          <w:szCs w:val="24"/>
        </w:rPr>
      </w:pPr>
      <w:proofErr w:type="gramStart"/>
      <w:r w:rsidRPr="00013F71">
        <w:rPr>
          <w:bCs/>
          <w:sz w:val="24"/>
          <w:szCs w:val="24"/>
        </w:rPr>
        <w:t>U.S. Census Bureau.</w:t>
      </w:r>
      <w:proofErr w:type="gramEnd"/>
      <w:r w:rsidRPr="00013F71">
        <w:rPr>
          <w:bCs/>
          <w:sz w:val="24"/>
          <w:szCs w:val="24"/>
        </w:rPr>
        <w:t xml:space="preserve"> 2016</w:t>
      </w:r>
      <w:r w:rsidR="00E9096B" w:rsidRPr="00013F71">
        <w:rPr>
          <w:bCs/>
          <w:sz w:val="24"/>
          <w:szCs w:val="24"/>
        </w:rPr>
        <w:t>. “</w:t>
      </w:r>
      <w:proofErr w:type="spellStart"/>
      <w:r w:rsidR="00E9096B" w:rsidRPr="00013F71">
        <w:rPr>
          <w:bCs/>
          <w:sz w:val="24"/>
          <w:szCs w:val="24"/>
        </w:rPr>
        <w:t>Quickfacts</w:t>
      </w:r>
      <w:proofErr w:type="spellEnd"/>
      <w:r w:rsidR="00E9096B" w:rsidRPr="00013F71">
        <w:rPr>
          <w:bCs/>
          <w:sz w:val="24"/>
          <w:szCs w:val="24"/>
        </w:rPr>
        <w:t>.” www.quickfacts.census.gov/qfd/states/</w:t>
      </w:r>
    </w:p>
    <w:p w14:paraId="736B01A0" w14:textId="77777777" w:rsidR="0081637F" w:rsidRPr="00013F71" w:rsidRDefault="0081637F" w:rsidP="0081637F">
      <w:pPr>
        <w:rPr>
          <w:bCs/>
          <w:sz w:val="24"/>
          <w:szCs w:val="24"/>
        </w:rPr>
      </w:pPr>
    </w:p>
    <w:p w14:paraId="6B2A4BDC" w14:textId="77777777" w:rsidR="0029310E" w:rsidRPr="00013F71" w:rsidRDefault="0029310E" w:rsidP="00C26571">
      <w:pPr>
        <w:jc w:val="center"/>
        <w:rPr>
          <w:b/>
          <w:bCs/>
          <w:sz w:val="24"/>
          <w:szCs w:val="24"/>
        </w:rPr>
      </w:pPr>
    </w:p>
    <w:p w14:paraId="50AD3720" w14:textId="77777777" w:rsidR="0029310E" w:rsidRPr="00013F71" w:rsidRDefault="0029310E" w:rsidP="00C26571">
      <w:pPr>
        <w:jc w:val="center"/>
        <w:rPr>
          <w:b/>
          <w:bCs/>
          <w:sz w:val="24"/>
          <w:szCs w:val="24"/>
        </w:rPr>
      </w:pPr>
    </w:p>
    <w:p w14:paraId="20289860" w14:textId="77777777" w:rsidR="0029310E" w:rsidRPr="00013F71" w:rsidRDefault="0029310E" w:rsidP="00C26571">
      <w:pPr>
        <w:jc w:val="center"/>
        <w:rPr>
          <w:b/>
          <w:bCs/>
          <w:sz w:val="24"/>
          <w:szCs w:val="24"/>
        </w:rPr>
      </w:pPr>
    </w:p>
    <w:p w14:paraId="506A54DE" w14:textId="77777777" w:rsidR="0029310E" w:rsidRPr="00013F71" w:rsidRDefault="0029310E" w:rsidP="00C26571">
      <w:pPr>
        <w:jc w:val="center"/>
        <w:rPr>
          <w:b/>
          <w:bCs/>
          <w:sz w:val="24"/>
          <w:szCs w:val="24"/>
        </w:rPr>
      </w:pPr>
    </w:p>
    <w:p w14:paraId="1A46B91E" w14:textId="77777777" w:rsidR="00F6145B" w:rsidRPr="00013F71" w:rsidRDefault="00F6145B" w:rsidP="00C26571">
      <w:pPr>
        <w:jc w:val="center"/>
        <w:rPr>
          <w:b/>
          <w:bCs/>
          <w:sz w:val="24"/>
          <w:szCs w:val="24"/>
        </w:rPr>
      </w:pPr>
    </w:p>
    <w:p w14:paraId="26388007" w14:textId="77777777" w:rsidR="00F6145B" w:rsidRPr="00013F71" w:rsidRDefault="00F6145B" w:rsidP="00C26571">
      <w:pPr>
        <w:jc w:val="center"/>
        <w:rPr>
          <w:b/>
          <w:bCs/>
          <w:sz w:val="24"/>
          <w:szCs w:val="24"/>
        </w:rPr>
      </w:pPr>
    </w:p>
    <w:p w14:paraId="609454FF" w14:textId="77777777" w:rsidR="00F6145B" w:rsidRPr="00013F71" w:rsidRDefault="00F6145B" w:rsidP="00C26571">
      <w:pPr>
        <w:jc w:val="center"/>
        <w:rPr>
          <w:b/>
          <w:bCs/>
          <w:sz w:val="24"/>
          <w:szCs w:val="24"/>
        </w:rPr>
      </w:pPr>
    </w:p>
    <w:p w14:paraId="358DAD47" w14:textId="77777777" w:rsidR="00F6145B" w:rsidRPr="00013F71" w:rsidRDefault="00F6145B" w:rsidP="00C26571">
      <w:pPr>
        <w:jc w:val="center"/>
        <w:rPr>
          <w:b/>
          <w:bCs/>
          <w:sz w:val="24"/>
          <w:szCs w:val="24"/>
        </w:rPr>
      </w:pPr>
    </w:p>
    <w:p w14:paraId="515EC0D2" w14:textId="77777777" w:rsidR="00F25558" w:rsidRPr="00013F71" w:rsidRDefault="00F25558" w:rsidP="00C26571">
      <w:pPr>
        <w:jc w:val="center"/>
        <w:rPr>
          <w:b/>
          <w:bCs/>
          <w:sz w:val="24"/>
          <w:szCs w:val="24"/>
        </w:rPr>
      </w:pPr>
    </w:p>
    <w:p w14:paraId="3B182589" w14:textId="77777777" w:rsidR="00F25558" w:rsidRPr="00013F71" w:rsidRDefault="00F25558" w:rsidP="00C26571">
      <w:pPr>
        <w:jc w:val="center"/>
        <w:rPr>
          <w:b/>
          <w:bCs/>
          <w:sz w:val="24"/>
          <w:szCs w:val="24"/>
        </w:rPr>
      </w:pPr>
    </w:p>
    <w:p w14:paraId="2864CC2B" w14:textId="77777777" w:rsidR="00F25558" w:rsidRPr="00013F71" w:rsidRDefault="00F25558" w:rsidP="00C26571">
      <w:pPr>
        <w:jc w:val="center"/>
        <w:rPr>
          <w:b/>
          <w:bCs/>
          <w:sz w:val="24"/>
          <w:szCs w:val="24"/>
        </w:rPr>
      </w:pPr>
    </w:p>
    <w:p w14:paraId="3DF94777" w14:textId="77777777" w:rsidR="00F25558" w:rsidRPr="00013F71" w:rsidRDefault="00F25558" w:rsidP="00C26571">
      <w:pPr>
        <w:jc w:val="center"/>
        <w:rPr>
          <w:b/>
          <w:bCs/>
          <w:sz w:val="24"/>
          <w:szCs w:val="24"/>
        </w:rPr>
      </w:pPr>
    </w:p>
    <w:p w14:paraId="1F3782C3" w14:textId="77777777" w:rsidR="00F25558" w:rsidRPr="00013F71" w:rsidRDefault="00F25558" w:rsidP="00C26571">
      <w:pPr>
        <w:jc w:val="center"/>
        <w:rPr>
          <w:b/>
          <w:bCs/>
          <w:sz w:val="24"/>
          <w:szCs w:val="24"/>
        </w:rPr>
      </w:pPr>
    </w:p>
    <w:p w14:paraId="2FA04736" w14:textId="77777777" w:rsidR="00F25558" w:rsidRPr="00013F71" w:rsidRDefault="00F25558" w:rsidP="00C26571">
      <w:pPr>
        <w:jc w:val="center"/>
        <w:rPr>
          <w:b/>
          <w:bCs/>
          <w:sz w:val="24"/>
          <w:szCs w:val="24"/>
        </w:rPr>
      </w:pPr>
    </w:p>
    <w:p w14:paraId="557D31FF" w14:textId="77777777" w:rsidR="00844034" w:rsidRPr="00013F71" w:rsidRDefault="00844034" w:rsidP="00C26571">
      <w:pPr>
        <w:jc w:val="center"/>
        <w:rPr>
          <w:b/>
          <w:bCs/>
          <w:sz w:val="24"/>
          <w:szCs w:val="24"/>
        </w:rPr>
      </w:pPr>
    </w:p>
    <w:p w14:paraId="3EF3F5FA" w14:textId="77777777" w:rsidR="00844034" w:rsidRPr="00013F71" w:rsidRDefault="00844034" w:rsidP="00C26571">
      <w:pPr>
        <w:jc w:val="center"/>
        <w:rPr>
          <w:b/>
          <w:bCs/>
          <w:sz w:val="24"/>
          <w:szCs w:val="24"/>
        </w:rPr>
      </w:pPr>
    </w:p>
    <w:p w14:paraId="303058B4" w14:textId="77777777" w:rsidR="00844034" w:rsidRPr="00013F71" w:rsidRDefault="00844034" w:rsidP="00C26571">
      <w:pPr>
        <w:jc w:val="center"/>
        <w:rPr>
          <w:b/>
          <w:bCs/>
          <w:sz w:val="24"/>
          <w:szCs w:val="24"/>
        </w:rPr>
      </w:pPr>
    </w:p>
    <w:p w14:paraId="49C7C5E9" w14:textId="77777777" w:rsidR="00844034" w:rsidRPr="00013F71" w:rsidRDefault="00844034" w:rsidP="00C26571">
      <w:pPr>
        <w:jc w:val="center"/>
        <w:rPr>
          <w:b/>
          <w:bCs/>
          <w:sz w:val="24"/>
          <w:szCs w:val="24"/>
        </w:rPr>
      </w:pPr>
    </w:p>
    <w:p w14:paraId="1000514A" w14:textId="77777777" w:rsidR="00844034" w:rsidRPr="00013F71" w:rsidRDefault="00844034" w:rsidP="00C26571">
      <w:pPr>
        <w:jc w:val="center"/>
        <w:rPr>
          <w:b/>
          <w:bCs/>
          <w:sz w:val="24"/>
          <w:szCs w:val="24"/>
        </w:rPr>
      </w:pPr>
    </w:p>
    <w:p w14:paraId="773B4EF5" w14:textId="77777777" w:rsidR="00844034" w:rsidRPr="00013F71" w:rsidRDefault="00844034" w:rsidP="00C26571">
      <w:pPr>
        <w:jc w:val="center"/>
        <w:rPr>
          <w:b/>
          <w:bCs/>
          <w:sz w:val="24"/>
          <w:szCs w:val="24"/>
        </w:rPr>
      </w:pPr>
    </w:p>
    <w:p w14:paraId="39510D5B" w14:textId="77777777" w:rsidR="00844034" w:rsidRPr="00013F71" w:rsidRDefault="00844034" w:rsidP="00C26571">
      <w:pPr>
        <w:jc w:val="center"/>
        <w:rPr>
          <w:b/>
          <w:bCs/>
          <w:sz w:val="24"/>
          <w:szCs w:val="24"/>
        </w:rPr>
      </w:pPr>
    </w:p>
    <w:p w14:paraId="757A3BBD" w14:textId="77777777" w:rsidR="00844034" w:rsidRPr="00013F71" w:rsidRDefault="00844034" w:rsidP="00C26571">
      <w:pPr>
        <w:jc w:val="center"/>
        <w:rPr>
          <w:b/>
          <w:bCs/>
          <w:sz w:val="24"/>
          <w:szCs w:val="24"/>
        </w:rPr>
      </w:pPr>
    </w:p>
    <w:p w14:paraId="6D52C023" w14:textId="77777777" w:rsidR="00844034" w:rsidRPr="00013F71" w:rsidRDefault="00844034" w:rsidP="00C26571">
      <w:pPr>
        <w:jc w:val="center"/>
        <w:rPr>
          <w:b/>
          <w:bCs/>
          <w:sz w:val="24"/>
          <w:szCs w:val="24"/>
        </w:rPr>
      </w:pPr>
    </w:p>
    <w:p w14:paraId="1AA1EFEF" w14:textId="77777777" w:rsidR="00844034" w:rsidRPr="00013F71" w:rsidRDefault="00844034" w:rsidP="00C26571">
      <w:pPr>
        <w:jc w:val="center"/>
        <w:rPr>
          <w:b/>
          <w:bCs/>
          <w:sz w:val="24"/>
          <w:szCs w:val="24"/>
        </w:rPr>
      </w:pPr>
    </w:p>
    <w:p w14:paraId="517E68FB" w14:textId="77777777" w:rsidR="00844034" w:rsidRPr="00013F71" w:rsidRDefault="00844034" w:rsidP="00C26571">
      <w:pPr>
        <w:jc w:val="center"/>
        <w:rPr>
          <w:b/>
          <w:bCs/>
          <w:sz w:val="24"/>
          <w:szCs w:val="24"/>
        </w:rPr>
      </w:pPr>
    </w:p>
    <w:p w14:paraId="798E581F" w14:textId="77777777" w:rsidR="00844034" w:rsidRPr="00013F71" w:rsidRDefault="00844034" w:rsidP="00C26571">
      <w:pPr>
        <w:jc w:val="center"/>
        <w:rPr>
          <w:b/>
          <w:bCs/>
          <w:sz w:val="24"/>
          <w:szCs w:val="24"/>
        </w:rPr>
      </w:pPr>
    </w:p>
    <w:p w14:paraId="64D78F87" w14:textId="77777777" w:rsidR="00844034" w:rsidRPr="00013F71" w:rsidRDefault="00844034" w:rsidP="00C26571">
      <w:pPr>
        <w:jc w:val="center"/>
        <w:rPr>
          <w:b/>
          <w:bCs/>
          <w:sz w:val="24"/>
          <w:szCs w:val="24"/>
        </w:rPr>
      </w:pPr>
    </w:p>
    <w:p w14:paraId="3CAA0808" w14:textId="77777777" w:rsidR="00844034" w:rsidRPr="00013F71" w:rsidRDefault="00844034" w:rsidP="00C26571">
      <w:pPr>
        <w:jc w:val="center"/>
        <w:rPr>
          <w:b/>
          <w:bCs/>
          <w:sz w:val="24"/>
          <w:szCs w:val="24"/>
        </w:rPr>
      </w:pPr>
    </w:p>
    <w:p w14:paraId="6202FA83" w14:textId="77777777" w:rsidR="00844034" w:rsidRPr="00013F71" w:rsidRDefault="00844034" w:rsidP="00C26571">
      <w:pPr>
        <w:jc w:val="center"/>
        <w:rPr>
          <w:b/>
          <w:bCs/>
          <w:sz w:val="24"/>
          <w:szCs w:val="24"/>
        </w:rPr>
      </w:pPr>
    </w:p>
    <w:p w14:paraId="27516B1A" w14:textId="77777777" w:rsidR="00844034" w:rsidRPr="00013F71" w:rsidRDefault="00844034" w:rsidP="00C26571">
      <w:pPr>
        <w:jc w:val="center"/>
        <w:rPr>
          <w:b/>
          <w:bCs/>
          <w:sz w:val="24"/>
          <w:szCs w:val="24"/>
        </w:rPr>
      </w:pPr>
    </w:p>
    <w:p w14:paraId="7986936B" w14:textId="77777777" w:rsidR="00844034" w:rsidRPr="00013F71" w:rsidRDefault="00844034" w:rsidP="00C26571">
      <w:pPr>
        <w:jc w:val="center"/>
        <w:rPr>
          <w:b/>
          <w:bCs/>
          <w:sz w:val="24"/>
          <w:szCs w:val="24"/>
        </w:rPr>
      </w:pPr>
    </w:p>
    <w:p w14:paraId="3AD25AF2" w14:textId="77777777" w:rsidR="00844034" w:rsidRPr="00013F71" w:rsidRDefault="00844034" w:rsidP="00C26571">
      <w:pPr>
        <w:jc w:val="center"/>
        <w:rPr>
          <w:b/>
          <w:bCs/>
          <w:sz w:val="24"/>
          <w:szCs w:val="24"/>
        </w:rPr>
      </w:pPr>
    </w:p>
    <w:p w14:paraId="32D8AA53" w14:textId="77777777" w:rsidR="00F25558" w:rsidRPr="00013F71" w:rsidRDefault="00F25558" w:rsidP="00C26571">
      <w:pPr>
        <w:jc w:val="center"/>
        <w:rPr>
          <w:b/>
          <w:bCs/>
          <w:sz w:val="24"/>
          <w:szCs w:val="24"/>
        </w:rPr>
      </w:pPr>
    </w:p>
    <w:p w14:paraId="3D0B0579" w14:textId="77777777" w:rsidR="00F25558" w:rsidRPr="00013F71" w:rsidRDefault="00F25558" w:rsidP="00C26571">
      <w:pPr>
        <w:jc w:val="center"/>
        <w:rPr>
          <w:b/>
          <w:bCs/>
          <w:sz w:val="24"/>
          <w:szCs w:val="24"/>
        </w:rPr>
      </w:pPr>
    </w:p>
    <w:p w14:paraId="6ADDCC32" w14:textId="77777777" w:rsidR="00F25558" w:rsidRPr="00013F71" w:rsidRDefault="00F25558" w:rsidP="00C26571">
      <w:pPr>
        <w:jc w:val="center"/>
        <w:rPr>
          <w:b/>
          <w:bCs/>
          <w:sz w:val="24"/>
          <w:szCs w:val="24"/>
        </w:rPr>
      </w:pPr>
    </w:p>
    <w:p w14:paraId="59EF80D1" w14:textId="77777777" w:rsidR="00F25558" w:rsidRPr="00013F71" w:rsidRDefault="00F25558" w:rsidP="00C26571">
      <w:pPr>
        <w:jc w:val="center"/>
        <w:rPr>
          <w:b/>
          <w:bCs/>
          <w:sz w:val="24"/>
          <w:szCs w:val="24"/>
        </w:rPr>
      </w:pPr>
    </w:p>
    <w:p w14:paraId="542DA612" w14:textId="77777777" w:rsidR="00F25558" w:rsidRPr="00013F71" w:rsidRDefault="00F25558" w:rsidP="00C26571">
      <w:pPr>
        <w:jc w:val="center"/>
        <w:rPr>
          <w:b/>
          <w:bCs/>
          <w:sz w:val="24"/>
          <w:szCs w:val="24"/>
        </w:rPr>
      </w:pPr>
    </w:p>
    <w:p w14:paraId="7648D9B3" w14:textId="77777777" w:rsidR="00F25558" w:rsidRPr="00013F71" w:rsidRDefault="00F25558" w:rsidP="00C26571">
      <w:pPr>
        <w:jc w:val="center"/>
        <w:rPr>
          <w:b/>
          <w:bCs/>
          <w:sz w:val="24"/>
          <w:szCs w:val="24"/>
        </w:rPr>
      </w:pPr>
    </w:p>
    <w:p w14:paraId="63D4AE12" w14:textId="77777777" w:rsidR="00F25558" w:rsidRPr="00013F71" w:rsidRDefault="00F25558" w:rsidP="00C26571">
      <w:pPr>
        <w:jc w:val="center"/>
        <w:rPr>
          <w:b/>
          <w:bCs/>
          <w:sz w:val="24"/>
          <w:szCs w:val="24"/>
        </w:rPr>
      </w:pPr>
    </w:p>
    <w:p w14:paraId="7126E717" w14:textId="77777777" w:rsidR="00F25558" w:rsidRPr="00013F71" w:rsidRDefault="00F25558" w:rsidP="00C26571">
      <w:pPr>
        <w:jc w:val="center"/>
        <w:rPr>
          <w:b/>
          <w:bCs/>
          <w:sz w:val="24"/>
          <w:szCs w:val="24"/>
        </w:rPr>
      </w:pPr>
    </w:p>
    <w:p w14:paraId="7C7C5589" w14:textId="77777777" w:rsidR="00F25558" w:rsidRPr="00013F71" w:rsidRDefault="00F25558" w:rsidP="00C26571">
      <w:pPr>
        <w:jc w:val="center"/>
        <w:rPr>
          <w:b/>
          <w:bCs/>
          <w:sz w:val="24"/>
          <w:szCs w:val="24"/>
        </w:rPr>
      </w:pPr>
    </w:p>
    <w:p w14:paraId="48EA7675" w14:textId="77777777" w:rsidR="00F25558" w:rsidRPr="00013F71" w:rsidRDefault="00F25558" w:rsidP="00C26571">
      <w:pPr>
        <w:jc w:val="center"/>
        <w:rPr>
          <w:b/>
          <w:bCs/>
          <w:sz w:val="24"/>
          <w:szCs w:val="24"/>
        </w:rPr>
      </w:pPr>
    </w:p>
    <w:p w14:paraId="65CF52EC" w14:textId="77777777" w:rsidR="00F25558" w:rsidRPr="00013F71" w:rsidRDefault="00F25558" w:rsidP="00C26571">
      <w:pPr>
        <w:jc w:val="center"/>
        <w:rPr>
          <w:b/>
          <w:bCs/>
          <w:sz w:val="24"/>
          <w:szCs w:val="24"/>
        </w:rPr>
      </w:pPr>
    </w:p>
    <w:p w14:paraId="5DAD2191" w14:textId="77777777" w:rsidR="00F25558" w:rsidRPr="00013F71" w:rsidRDefault="00F25558" w:rsidP="00C26571">
      <w:pPr>
        <w:jc w:val="center"/>
        <w:rPr>
          <w:b/>
          <w:bCs/>
          <w:sz w:val="24"/>
          <w:szCs w:val="24"/>
        </w:rPr>
      </w:pPr>
    </w:p>
    <w:p w14:paraId="63B12D78" w14:textId="77777777" w:rsidR="00254B77" w:rsidRPr="00013F71" w:rsidRDefault="00254B77" w:rsidP="00C26571">
      <w:pPr>
        <w:jc w:val="center"/>
        <w:rPr>
          <w:b/>
          <w:bCs/>
          <w:sz w:val="24"/>
          <w:szCs w:val="24"/>
        </w:rPr>
      </w:pPr>
    </w:p>
    <w:p w14:paraId="1F2A4091" w14:textId="77777777" w:rsidR="00254B77" w:rsidRPr="00013F71" w:rsidRDefault="00254B77" w:rsidP="00C26571">
      <w:pPr>
        <w:jc w:val="center"/>
        <w:rPr>
          <w:b/>
          <w:bCs/>
          <w:sz w:val="24"/>
          <w:szCs w:val="24"/>
        </w:rPr>
      </w:pPr>
    </w:p>
    <w:p w14:paraId="32FBCAB3" w14:textId="77777777" w:rsidR="00254B77" w:rsidRPr="00013F71" w:rsidRDefault="00254B77" w:rsidP="00C26571">
      <w:pPr>
        <w:jc w:val="center"/>
        <w:rPr>
          <w:b/>
          <w:bCs/>
          <w:sz w:val="24"/>
          <w:szCs w:val="24"/>
        </w:rPr>
      </w:pPr>
    </w:p>
    <w:p w14:paraId="009C0E92" w14:textId="77777777" w:rsidR="00254B77" w:rsidRPr="00013F71" w:rsidRDefault="00254B77" w:rsidP="00C26571">
      <w:pPr>
        <w:jc w:val="center"/>
        <w:rPr>
          <w:b/>
          <w:bCs/>
          <w:sz w:val="24"/>
          <w:szCs w:val="24"/>
        </w:rPr>
      </w:pPr>
    </w:p>
    <w:p w14:paraId="7DE7ACD6" w14:textId="77777777" w:rsidR="00254B77" w:rsidRPr="00013F71" w:rsidRDefault="00254B77" w:rsidP="00C26571">
      <w:pPr>
        <w:jc w:val="center"/>
        <w:rPr>
          <w:b/>
          <w:bCs/>
          <w:sz w:val="24"/>
          <w:szCs w:val="24"/>
        </w:rPr>
      </w:pPr>
    </w:p>
    <w:p w14:paraId="3BDE779E" w14:textId="77777777" w:rsidR="00254B77" w:rsidRPr="00013F71" w:rsidRDefault="00254B77" w:rsidP="00C26571">
      <w:pPr>
        <w:jc w:val="center"/>
        <w:rPr>
          <w:b/>
          <w:bCs/>
          <w:sz w:val="24"/>
          <w:szCs w:val="24"/>
        </w:rPr>
      </w:pPr>
    </w:p>
    <w:p w14:paraId="609FC0BD" w14:textId="77777777" w:rsidR="00254B77" w:rsidRPr="00013F71" w:rsidRDefault="00254B77" w:rsidP="00C26571">
      <w:pPr>
        <w:jc w:val="center"/>
        <w:rPr>
          <w:b/>
          <w:bCs/>
          <w:sz w:val="24"/>
          <w:szCs w:val="24"/>
        </w:rPr>
      </w:pPr>
    </w:p>
    <w:p w14:paraId="6BB1F26B" w14:textId="77777777" w:rsidR="00254B77" w:rsidRPr="00013F71" w:rsidRDefault="00254B77" w:rsidP="00C26571">
      <w:pPr>
        <w:jc w:val="center"/>
        <w:rPr>
          <w:b/>
          <w:bCs/>
          <w:sz w:val="24"/>
          <w:szCs w:val="24"/>
        </w:rPr>
      </w:pPr>
    </w:p>
    <w:p w14:paraId="24ADD1F5" w14:textId="77777777" w:rsidR="00254B77" w:rsidRPr="00013F71" w:rsidRDefault="00254B77" w:rsidP="00C26571">
      <w:pPr>
        <w:jc w:val="center"/>
        <w:rPr>
          <w:b/>
          <w:bCs/>
          <w:sz w:val="24"/>
          <w:szCs w:val="24"/>
        </w:rPr>
      </w:pPr>
    </w:p>
    <w:p w14:paraId="44C5EE57" w14:textId="77777777" w:rsidR="00692F49" w:rsidRPr="00013F71" w:rsidRDefault="00692F49" w:rsidP="00C26571">
      <w:pPr>
        <w:jc w:val="center"/>
        <w:rPr>
          <w:b/>
          <w:bCs/>
          <w:sz w:val="24"/>
          <w:szCs w:val="24"/>
        </w:rPr>
      </w:pPr>
    </w:p>
    <w:p w14:paraId="78555F70" w14:textId="77777777" w:rsidR="00692F49" w:rsidRPr="00013F71" w:rsidRDefault="00692F49" w:rsidP="00C26571">
      <w:pPr>
        <w:jc w:val="center"/>
        <w:rPr>
          <w:b/>
          <w:bCs/>
          <w:sz w:val="24"/>
          <w:szCs w:val="24"/>
        </w:rPr>
      </w:pPr>
    </w:p>
    <w:p w14:paraId="7E3B31BD" w14:textId="77777777" w:rsidR="00692F49" w:rsidRPr="00013F71" w:rsidRDefault="00692F49" w:rsidP="00C26571">
      <w:pPr>
        <w:jc w:val="center"/>
        <w:rPr>
          <w:b/>
          <w:bCs/>
          <w:sz w:val="24"/>
          <w:szCs w:val="24"/>
        </w:rPr>
      </w:pPr>
    </w:p>
    <w:p w14:paraId="3FF008C9" w14:textId="77777777" w:rsidR="00692F49" w:rsidRPr="00013F71" w:rsidRDefault="00692F49" w:rsidP="00C26571">
      <w:pPr>
        <w:jc w:val="center"/>
        <w:rPr>
          <w:b/>
          <w:bCs/>
          <w:sz w:val="24"/>
          <w:szCs w:val="24"/>
        </w:rPr>
      </w:pPr>
    </w:p>
    <w:p w14:paraId="768DDADC" w14:textId="77777777" w:rsidR="00692F49" w:rsidRPr="00013F71" w:rsidRDefault="00692F49" w:rsidP="00C26571">
      <w:pPr>
        <w:jc w:val="center"/>
        <w:rPr>
          <w:b/>
          <w:bCs/>
          <w:sz w:val="24"/>
          <w:szCs w:val="24"/>
        </w:rPr>
      </w:pPr>
    </w:p>
    <w:p w14:paraId="3B1233F1" w14:textId="77777777" w:rsidR="00692F49" w:rsidRPr="00013F71" w:rsidRDefault="00692F49" w:rsidP="00C26571">
      <w:pPr>
        <w:jc w:val="center"/>
        <w:rPr>
          <w:b/>
          <w:bCs/>
          <w:sz w:val="24"/>
          <w:szCs w:val="24"/>
        </w:rPr>
      </w:pPr>
    </w:p>
    <w:p w14:paraId="445F6E81" w14:textId="77777777" w:rsidR="00692F49" w:rsidRPr="00013F71" w:rsidRDefault="00692F49" w:rsidP="00C26571">
      <w:pPr>
        <w:jc w:val="center"/>
        <w:rPr>
          <w:b/>
          <w:bCs/>
          <w:sz w:val="24"/>
          <w:szCs w:val="24"/>
        </w:rPr>
      </w:pPr>
    </w:p>
    <w:p w14:paraId="55ED9EDA" w14:textId="77777777" w:rsidR="00F25558" w:rsidRPr="00013F71" w:rsidRDefault="00F25558" w:rsidP="00C26571">
      <w:pPr>
        <w:jc w:val="center"/>
        <w:rPr>
          <w:b/>
          <w:bCs/>
          <w:sz w:val="24"/>
          <w:szCs w:val="24"/>
        </w:rPr>
      </w:pPr>
    </w:p>
    <w:p w14:paraId="17F3EF9C" w14:textId="77777777" w:rsidR="00F25558" w:rsidRPr="00013F71" w:rsidRDefault="00F25558" w:rsidP="00C26571">
      <w:pPr>
        <w:jc w:val="center"/>
        <w:rPr>
          <w:b/>
          <w:bCs/>
          <w:sz w:val="24"/>
          <w:szCs w:val="24"/>
        </w:rPr>
      </w:pPr>
    </w:p>
    <w:p w14:paraId="085BF746" w14:textId="77777777" w:rsidR="00F25558" w:rsidRPr="00013F71" w:rsidRDefault="00F25558" w:rsidP="00C26571">
      <w:pPr>
        <w:jc w:val="center"/>
        <w:rPr>
          <w:b/>
          <w:bCs/>
          <w:sz w:val="24"/>
          <w:szCs w:val="24"/>
        </w:rPr>
      </w:pPr>
    </w:p>
    <w:p w14:paraId="6B9C83FB" w14:textId="77777777" w:rsidR="00F6145B" w:rsidRPr="00013F71" w:rsidRDefault="00F6145B" w:rsidP="00C26571">
      <w:pPr>
        <w:rPr>
          <w:sz w:val="24"/>
          <w:szCs w:val="24"/>
        </w:rPr>
      </w:pPr>
    </w:p>
    <w:p w14:paraId="6E801B48" w14:textId="20AE14C0" w:rsidR="00C26571" w:rsidRPr="00013F71" w:rsidRDefault="00F25558" w:rsidP="00C26571">
      <w:pPr>
        <w:rPr>
          <w:b/>
          <w:sz w:val="24"/>
          <w:szCs w:val="24"/>
        </w:rPr>
      </w:pPr>
      <w:r w:rsidRPr="00013F71">
        <w:rPr>
          <w:b/>
          <w:sz w:val="24"/>
          <w:szCs w:val="24"/>
        </w:rPr>
        <w:t>About the Author</w:t>
      </w:r>
      <w:r w:rsidR="00C26571" w:rsidRPr="00013F71">
        <w:rPr>
          <w:b/>
          <w:sz w:val="24"/>
          <w:szCs w:val="24"/>
        </w:rPr>
        <w:t>:</w:t>
      </w:r>
    </w:p>
    <w:p w14:paraId="43A396F6" w14:textId="77777777" w:rsidR="00C26571" w:rsidRPr="00013F71" w:rsidRDefault="00C26571" w:rsidP="00C26571">
      <w:pPr>
        <w:rPr>
          <w:sz w:val="24"/>
          <w:szCs w:val="24"/>
        </w:rPr>
      </w:pPr>
    </w:p>
    <w:p w14:paraId="75E3344E" w14:textId="62C8DAA3" w:rsidR="00C26571" w:rsidRPr="00013F71" w:rsidRDefault="00C26571" w:rsidP="00C26571">
      <w:pPr>
        <w:rPr>
          <w:sz w:val="24"/>
          <w:szCs w:val="24"/>
        </w:rPr>
      </w:pPr>
      <w:r w:rsidRPr="00013F71">
        <w:rPr>
          <w:sz w:val="24"/>
          <w:szCs w:val="24"/>
        </w:rPr>
        <w:t xml:space="preserve">Robert A. Schuhmann, </w:t>
      </w:r>
      <w:r w:rsidR="00D46B31" w:rsidRPr="00013F71">
        <w:rPr>
          <w:sz w:val="24"/>
          <w:szCs w:val="24"/>
        </w:rPr>
        <w:t>Associate Dean</w:t>
      </w:r>
      <w:r w:rsidR="00E1047A" w:rsidRPr="00013F71">
        <w:rPr>
          <w:sz w:val="24"/>
          <w:szCs w:val="24"/>
        </w:rPr>
        <w:t>,</w:t>
      </w:r>
      <w:r w:rsidR="00D46B31" w:rsidRPr="00013F71">
        <w:rPr>
          <w:sz w:val="24"/>
          <w:szCs w:val="24"/>
        </w:rPr>
        <w:t xml:space="preserve"> </w:t>
      </w:r>
      <w:r w:rsidR="00E1047A" w:rsidRPr="00013F71">
        <w:rPr>
          <w:sz w:val="24"/>
          <w:szCs w:val="24"/>
        </w:rPr>
        <w:t xml:space="preserve">College of Arts and Sciences </w:t>
      </w:r>
      <w:r w:rsidR="00D46B31" w:rsidRPr="00013F71">
        <w:rPr>
          <w:sz w:val="24"/>
          <w:szCs w:val="24"/>
        </w:rPr>
        <w:t xml:space="preserve">and </w:t>
      </w:r>
      <w:r w:rsidR="00FE0D5F" w:rsidRPr="00013F71">
        <w:rPr>
          <w:sz w:val="24"/>
          <w:szCs w:val="24"/>
        </w:rPr>
        <w:t>Professor</w:t>
      </w:r>
      <w:r w:rsidRPr="00013F71">
        <w:rPr>
          <w:sz w:val="24"/>
          <w:szCs w:val="24"/>
        </w:rPr>
        <w:t>, Department of Political Science, University of Wyoming (schuhman@uwyo.edu)</w:t>
      </w:r>
    </w:p>
    <w:p w14:paraId="285A857B" w14:textId="0A404222" w:rsidR="00C26571" w:rsidRPr="00013F71" w:rsidRDefault="006D1C35" w:rsidP="00C26571">
      <w:pPr>
        <w:rPr>
          <w:sz w:val="24"/>
          <w:szCs w:val="24"/>
        </w:rPr>
      </w:pPr>
      <w:r w:rsidRPr="00013F71">
        <w:rPr>
          <w:sz w:val="24"/>
          <w:szCs w:val="24"/>
        </w:rPr>
        <w:t>*Special thanks to Ms</w:t>
      </w:r>
      <w:r w:rsidR="0038003E" w:rsidRPr="00013F71">
        <w:rPr>
          <w:sz w:val="24"/>
          <w:szCs w:val="24"/>
        </w:rPr>
        <w:t xml:space="preserve">. </w:t>
      </w:r>
      <w:r w:rsidRPr="00013F71">
        <w:rPr>
          <w:sz w:val="24"/>
          <w:szCs w:val="24"/>
        </w:rPr>
        <w:t>Melanie Vigil</w:t>
      </w:r>
      <w:r w:rsidR="0038003E" w:rsidRPr="00013F71">
        <w:rPr>
          <w:sz w:val="24"/>
          <w:szCs w:val="24"/>
        </w:rPr>
        <w:t xml:space="preserve"> who collected much of the data included in this paper.</w:t>
      </w:r>
    </w:p>
    <w:p w14:paraId="4AF63C6D" w14:textId="4C6F37C3" w:rsidR="00B46219" w:rsidRPr="00013F71" w:rsidRDefault="00B46219" w:rsidP="00C26571">
      <w:pPr>
        <w:spacing w:before="240"/>
        <w:jc w:val="center"/>
        <w:rPr>
          <w:snapToGrid w:val="0"/>
          <w:sz w:val="24"/>
          <w:szCs w:val="24"/>
        </w:rPr>
        <w:sectPr w:rsidR="00B46219" w:rsidRPr="00013F71" w:rsidSect="000D4D2E">
          <w:footerReference w:type="default" r:id="rId13"/>
          <w:pgSz w:w="12240" w:h="15840" w:code="1"/>
          <w:pgMar w:top="1440" w:right="1440" w:bottom="1440" w:left="1440" w:header="720" w:footer="720" w:gutter="0"/>
          <w:paperSrc w:first="15" w:other="15"/>
          <w:cols w:space="720"/>
          <w:titlePg/>
          <w:docGrid w:linePitch="360"/>
        </w:sectPr>
      </w:pPr>
    </w:p>
    <w:p w14:paraId="544FAAF1" w14:textId="05B34F4F" w:rsidR="00C26571" w:rsidRDefault="00C26571" w:rsidP="00C26571">
      <w:pPr>
        <w:spacing w:before="240"/>
        <w:jc w:val="center"/>
        <w:rPr>
          <w:snapToGrid w:val="0"/>
          <w:sz w:val="24"/>
          <w:szCs w:val="24"/>
        </w:rPr>
      </w:pPr>
      <w:r w:rsidRPr="00013F71">
        <w:rPr>
          <w:snapToGrid w:val="0"/>
          <w:sz w:val="24"/>
          <w:szCs w:val="24"/>
        </w:rPr>
        <w:lastRenderedPageBreak/>
        <w:t>Appendix</w:t>
      </w:r>
    </w:p>
    <w:p w14:paraId="02B01147" w14:textId="77777777" w:rsidR="00F10F4C" w:rsidRPr="00013F71" w:rsidRDefault="00F10F4C" w:rsidP="00C26571">
      <w:pPr>
        <w:spacing w:before="240"/>
        <w:jc w:val="center"/>
        <w:rPr>
          <w:snapToGrid w:val="0"/>
          <w:sz w:val="24"/>
          <w:szCs w:val="24"/>
        </w:rPr>
      </w:pPr>
    </w:p>
    <w:p w14:paraId="0F5DCD53" w14:textId="18E7763F" w:rsidR="00C26571" w:rsidRPr="00013F71" w:rsidRDefault="00F10F4C" w:rsidP="00F10F4C">
      <w:pPr>
        <w:jc w:val="center"/>
        <w:rPr>
          <w:sz w:val="24"/>
          <w:szCs w:val="24"/>
        </w:rPr>
      </w:pPr>
      <w:r>
        <w:rPr>
          <w:sz w:val="24"/>
          <w:szCs w:val="24"/>
        </w:rPr>
        <w:t>Table 1</w:t>
      </w:r>
    </w:p>
    <w:p w14:paraId="1C9AA09A" w14:textId="77777777" w:rsidR="00C26571" w:rsidRPr="00013F71" w:rsidRDefault="00C26571" w:rsidP="00C26571">
      <w:pPr>
        <w:widowControl w:val="0"/>
        <w:jc w:val="center"/>
        <w:rPr>
          <w:snapToGrid w:val="0"/>
          <w:sz w:val="24"/>
          <w:szCs w:val="24"/>
        </w:rPr>
      </w:pPr>
      <w:r w:rsidRPr="00013F71">
        <w:rPr>
          <w:snapToGrid w:val="0"/>
          <w:sz w:val="24"/>
          <w:szCs w:val="24"/>
        </w:rPr>
        <w:t>General Fund Revenues</w:t>
      </w:r>
    </w:p>
    <w:p w14:paraId="730FF74E" w14:textId="77777777" w:rsidR="00C26571" w:rsidRPr="00013F71" w:rsidRDefault="00C26571" w:rsidP="00C26571">
      <w:pPr>
        <w:widowControl w:val="0"/>
        <w:jc w:val="center"/>
        <w:rPr>
          <w:snapToGrid w:val="0"/>
          <w:sz w:val="24"/>
          <w:szCs w:val="24"/>
        </w:rPr>
      </w:pPr>
      <w:r w:rsidRPr="00013F71">
        <w:rPr>
          <w:snapToGrid w:val="0"/>
          <w:sz w:val="24"/>
          <w:szCs w:val="24"/>
        </w:rPr>
        <w:t>Fiscal Year Collections by Source</w:t>
      </w:r>
    </w:p>
    <w:p w14:paraId="3DA30434" w14:textId="31E514D6" w:rsidR="00353446" w:rsidRPr="00013F71" w:rsidRDefault="00353446" w:rsidP="00C26571">
      <w:pPr>
        <w:widowControl w:val="0"/>
        <w:jc w:val="center"/>
        <w:rPr>
          <w:snapToGrid w:val="0"/>
          <w:sz w:val="24"/>
          <w:szCs w:val="24"/>
        </w:rPr>
      </w:pPr>
      <w:r w:rsidRPr="00013F71">
        <w:rPr>
          <w:snapToGrid w:val="0"/>
          <w:sz w:val="24"/>
          <w:szCs w:val="24"/>
        </w:rPr>
        <w:t>(</w:t>
      </w:r>
      <w:proofErr w:type="gramStart"/>
      <w:r w:rsidRPr="00013F71">
        <w:rPr>
          <w:snapToGrid w:val="0"/>
          <w:sz w:val="24"/>
          <w:szCs w:val="24"/>
        </w:rPr>
        <w:t>in</w:t>
      </w:r>
      <w:proofErr w:type="gramEnd"/>
      <w:r w:rsidRPr="00013F71">
        <w:rPr>
          <w:snapToGrid w:val="0"/>
          <w:sz w:val="24"/>
          <w:szCs w:val="24"/>
        </w:rPr>
        <w:t xml:space="preserve"> thousands)</w:t>
      </w:r>
    </w:p>
    <w:p w14:paraId="0FFA7F33" w14:textId="77777777" w:rsidR="00954277" w:rsidRPr="00013F71" w:rsidRDefault="00954277" w:rsidP="00C26571">
      <w:pPr>
        <w:widowControl w:val="0"/>
        <w:jc w:val="center"/>
        <w:rPr>
          <w:snapToGrid w:val="0"/>
          <w:sz w:val="24"/>
          <w:szCs w:val="24"/>
        </w:rPr>
      </w:pPr>
    </w:p>
    <w:tbl>
      <w:tblPr>
        <w:tblStyle w:val="TableGrid"/>
        <w:tblW w:w="14040" w:type="dxa"/>
        <w:tblInd w:w="-342" w:type="dxa"/>
        <w:tblLook w:val="04A0" w:firstRow="1" w:lastRow="0" w:firstColumn="1" w:lastColumn="0" w:noHBand="0" w:noVBand="1"/>
      </w:tblPr>
      <w:tblGrid>
        <w:gridCol w:w="1307"/>
        <w:gridCol w:w="1203"/>
        <w:gridCol w:w="1116"/>
        <w:gridCol w:w="1116"/>
        <w:gridCol w:w="1116"/>
        <w:gridCol w:w="1083"/>
        <w:gridCol w:w="1150"/>
        <w:gridCol w:w="1056"/>
        <w:gridCol w:w="1083"/>
        <w:gridCol w:w="996"/>
        <w:gridCol w:w="996"/>
        <w:gridCol w:w="1818"/>
      </w:tblGrid>
      <w:tr w:rsidR="0027005F" w:rsidRPr="00013F71" w14:paraId="38FEE4AE" w14:textId="77777777" w:rsidTr="0027005F">
        <w:tc>
          <w:tcPr>
            <w:tcW w:w="1307" w:type="dxa"/>
          </w:tcPr>
          <w:p w14:paraId="04D4B7DF" w14:textId="3FB94674" w:rsidR="00954277" w:rsidRPr="00013F71" w:rsidRDefault="00954277" w:rsidP="00C26571">
            <w:pPr>
              <w:widowControl w:val="0"/>
              <w:jc w:val="center"/>
              <w:rPr>
                <w:snapToGrid w:val="0"/>
                <w:sz w:val="24"/>
                <w:szCs w:val="24"/>
              </w:rPr>
            </w:pPr>
            <w:r w:rsidRPr="00013F71">
              <w:rPr>
                <w:snapToGrid w:val="0"/>
                <w:sz w:val="24"/>
                <w:szCs w:val="24"/>
              </w:rPr>
              <w:t>Fiscal Year</w:t>
            </w:r>
          </w:p>
        </w:tc>
        <w:tc>
          <w:tcPr>
            <w:tcW w:w="1203" w:type="dxa"/>
          </w:tcPr>
          <w:p w14:paraId="6F9EA001" w14:textId="41D0B8BE" w:rsidR="00954277" w:rsidRPr="00013F71" w:rsidRDefault="00954277" w:rsidP="00C26571">
            <w:pPr>
              <w:widowControl w:val="0"/>
              <w:jc w:val="center"/>
              <w:rPr>
                <w:snapToGrid w:val="0"/>
                <w:sz w:val="24"/>
                <w:szCs w:val="24"/>
              </w:rPr>
            </w:pPr>
            <w:r w:rsidRPr="00013F71">
              <w:rPr>
                <w:snapToGrid w:val="0"/>
                <w:sz w:val="24"/>
                <w:szCs w:val="24"/>
              </w:rPr>
              <w:t>Severance Tax</w:t>
            </w:r>
          </w:p>
        </w:tc>
        <w:tc>
          <w:tcPr>
            <w:tcW w:w="1116" w:type="dxa"/>
          </w:tcPr>
          <w:p w14:paraId="336D36D5" w14:textId="7F4C1A60" w:rsidR="00954277" w:rsidRPr="00013F71" w:rsidRDefault="00954277" w:rsidP="00C26571">
            <w:pPr>
              <w:widowControl w:val="0"/>
              <w:jc w:val="center"/>
              <w:rPr>
                <w:snapToGrid w:val="0"/>
                <w:sz w:val="24"/>
                <w:szCs w:val="24"/>
              </w:rPr>
            </w:pPr>
            <w:r w:rsidRPr="00013F71">
              <w:rPr>
                <w:snapToGrid w:val="0"/>
                <w:sz w:val="24"/>
                <w:szCs w:val="24"/>
              </w:rPr>
              <w:t>Sales and Use Tax</w:t>
            </w:r>
          </w:p>
        </w:tc>
        <w:tc>
          <w:tcPr>
            <w:tcW w:w="1116" w:type="dxa"/>
          </w:tcPr>
          <w:p w14:paraId="7FDD5594" w14:textId="259CCE69" w:rsidR="00954277" w:rsidRPr="00013F71" w:rsidRDefault="00954277" w:rsidP="00C26571">
            <w:pPr>
              <w:widowControl w:val="0"/>
              <w:jc w:val="center"/>
              <w:rPr>
                <w:snapToGrid w:val="0"/>
                <w:sz w:val="24"/>
                <w:szCs w:val="24"/>
              </w:rPr>
            </w:pPr>
            <w:r w:rsidRPr="00013F71">
              <w:rPr>
                <w:snapToGrid w:val="0"/>
                <w:sz w:val="24"/>
                <w:szCs w:val="24"/>
              </w:rPr>
              <w:t>PWMTF Income</w:t>
            </w:r>
          </w:p>
        </w:tc>
        <w:tc>
          <w:tcPr>
            <w:tcW w:w="1116" w:type="dxa"/>
          </w:tcPr>
          <w:p w14:paraId="6929048D" w14:textId="0BA75D9A" w:rsidR="00954277" w:rsidRPr="00013F71" w:rsidRDefault="00954277" w:rsidP="00C26571">
            <w:pPr>
              <w:widowControl w:val="0"/>
              <w:jc w:val="center"/>
              <w:rPr>
                <w:snapToGrid w:val="0"/>
                <w:sz w:val="24"/>
                <w:szCs w:val="24"/>
              </w:rPr>
            </w:pPr>
            <w:r w:rsidRPr="00013F71">
              <w:rPr>
                <w:snapToGrid w:val="0"/>
                <w:sz w:val="24"/>
                <w:szCs w:val="24"/>
              </w:rPr>
              <w:t>Pooled Income</w:t>
            </w:r>
          </w:p>
        </w:tc>
        <w:tc>
          <w:tcPr>
            <w:tcW w:w="1083" w:type="dxa"/>
          </w:tcPr>
          <w:p w14:paraId="65A083BD" w14:textId="2EBE8D0D" w:rsidR="00954277" w:rsidRPr="00013F71" w:rsidRDefault="00954277" w:rsidP="00C26571">
            <w:pPr>
              <w:widowControl w:val="0"/>
              <w:jc w:val="center"/>
              <w:rPr>
                <w:snapToGrid w:val="0"/>
                <w:sz w:val="24"/>
                <w:szCs w:val="24"/>
              </w:rPr>
            </w:pPr>
            <w:r w:rsidRPr="00013F71">
              <w:rPr>
                <w:snapToGrid w:val="0"/>
                <w:sz w:val="24"/>
                <w:szCs w:val="24"/>
              </w:rPr>
              <w:t>Charges- Sales and Services</w:t>
            </w:r>
          </w:p>
        </w:tc>
        <w:tc>
          <w:tcPr>
            <w:tcW w:w="1150" w:type="dxa"/>
          </w:tcPr>
          <w:p w14:paraId="59EAE6CA" w14:textId="25545496" w:rsidR="00954277" w:rsidRPr="00013F71" w:rsidRDefault="00353446" w:rsidP="00C26571">
            <w:pPr>
              <w:widowControl w:val="0"/>
              <w:jc w:val="center"/>
              <w:rPr>
                <w:snapToGrid w:val="0"/>
                <w:sz w:val="24"/>
                <w:szCs w:val="24"/>
              </w:rPr>
            </w:pPr>
            <w:r w:rsidRPr="00013F71">
              <w:rPr>
                <w:snapToGrid w:val="0"/>
                <w:sz w:val="24"/>
                <w:szCs w:val="24"/>
              </w:rPr>
              <w:t>Franchise Tax</w:t>
            </w:r>
          </w:p>
        </w:tc>
        <w:tc>
          <w:tcPr>
            <w:tcW w:w="1056" w:type="dxa"/>
          </w:tcPr>
          <w:p w14:paraId="23A4BA43" w14:textId="2F3DCF44" w:rsidR="00954277" w:rsidRPr="00013F71" w:rsidRDefault="00353446" w:rsidP="00C26571">
            <w:pPr>
              <w:widowControl w:val="0"/>
              <w:jc w:val="center"/>
              <w:rPr>
                <w:snapToGrid w:val="0"/>
                <w:sz w:val="24"/>
                <w:szCs w:val="24"/>
              </w:rPr>
            </w:pPr>
            <w:r w:rsidRPr="00013F71">
              <w:rPr>
                <w:snapToGrid w:val="0"/>
                <w:sz w:val="24"/>
                <w:szCs w:val="24"/>
              </w:rPr>
              <w:t>Revenue from Others</w:t>
            </w:r>
          </w:p>
        </w:tc>
        <w:tc>
          <w:tcPr>
            <w:tcW w:w="1083" w:type="dxa"/>
          </w:tcPr>
          <w:p w14:paraId="018A5EE1" w14:textId="71453632" w:rsidR="00954277" w:rsidRPr="00013F71" w:rsidRDefault="00353446" w:rsidP="00C26571">
            <w:pPr>
              <w:widowControl w:val="0"/>
              <w:jc w:val="center"/>
              <w:rPr>
                <w:snapToGrid w:val="0"/>
                <w:sz w:val="24"/>
                <w:szCs w:val="24"/>
              </w:rPr>
            </w:pPr>
            <w:r w:rsidRPr="00013F71">
              <w:rPr>
                <w:snapToGrid w:val="0"/>
                <w:sz w:val="24"/>
                <w:szCs w:val="24"/>
              </w:rPr>
              <w:t>Penalties and Interest</w:t>
            </w:r>
          </w:p>
        </w:tc>
        <w:tc>
          <w:tcPr>
            <w:tcW w:w="996" w:type="dxa"/>
          </w:tcPr>
          <w:p w14:paraId="34669C9B" w14:textId="073D1BD8" w:rsidR="00954277" w:rsidRPr="00013F71" w:rsidRDefault="00353446" w:rsidP="00C26571">
            <w:pPr>
              <w:widowControl w:val="0"/>
              <w:jc w:val="center"/>
              <w:rPr>
                <w:snapToGrid w:val="0"/>
                <w:sz w:val="24"/>
                <w:szCs w:val="24"/>
              </w:rPr>
            </w:pPr>
            <w:r w:rsidRPr="00013F71">
              <w:rPr>
                <w:snapToGrid w:val="0"/>
                <w:sz w:val="24"/>
                <w:szCs w:val="24"/>
              </w:rPr>
              <w:t>Federal Aid and Grants</w:t>
            </w:r>
          </w:p>
        </w:tc>
        <w:tc>
          <w:tcPr>
            <w:tcW w:w="996" w:type="dxa"/>
          </w:tcPr>
          <w:p w14:paraId="5F92A8FF" w14:textId="6AEC0804" w:rsidR="00954277" w:rsidRPr="00013F71" w:rsidRDefault="00353446" w:rsidP="00C26571">
            <w:pPr>
              <w:widowControl w:val="0"/>
              <w:jc w:val="center"/>
              <w:rPr>
                <w:snapToGrid w:val="0"/>
                <w:sz w:val="24"/>
                <w:szCs w:val="24"/>
              </w:rPr>
            </w:pPr>
            <w:r w:rsidRPr="00013F71">
              <w:rPr>
                <w:snapToGrid w:val="0"/>
                <w:sz w:val="24"/>
                <w:szCs w:val="24"/>
              </w:rPr>
              <w:t>All Other</w:t>
            </w:r>
          </w:p>
        </w:tc>
        <w:tc>
          <w:tcPr>
            <w:tcW w:w="1818" w:type="dxa"/>
          </w:tcPr>
          <w:p w14:paraId="186A16F1" w14:textId="7BFC65DB" w:rsidR="00954277" w:rsidRPr="00013F71" w:rsidRDefault="00353446" w:rsidP="00C26571">
            <w:pPr>
              <w:widowControl w:val="0"/>
              <w:jc w:val="center"/>
              <w:rPr>
                <w:snapToGrid w:val="0"/>
                <w:sz w:val="24"/>
                <w:szCs w:val="24"/>
              </w:rPr>
            </w:pPr>
            <w:r w:rsidRPr="00013F71">
              <w:rPr>
                <w:snapToGrid w:val="0"/>
                <w:sz w:val="24"/>
                <w:szCs w:val="24"/>
              </w:rPr>
              <w:t>Total</w:t>
            </w:r>
          </w:p>
        </w:tc>
      </w:tr>
      <w:tr w:rsidR="0027005F" w:rsidRPr="00013F71" w14:paraId="57E678E8" w14:textId="77777777" w:rsidTr="0027005F">
        <w:tc>
          <w:tcPr>
            <w:tcW w:w="1307" w:type="dxa"/>
          </w:tcPr>
          <w:p w14:paraId="4C66DC4F" w14:textId="735C7936" w:rsidR="00954277" w:rsidRPr="00013F71" w:rsidRDefault="00353446" w:rsidP="00C26571">
            <w:pPr>
              <w:widowControl w:val="0"/>
              <w:jc w:val="center"/>
              <w:rPr>
                <w:snapToGrid w:val="0"/>
                <w:sz w:val="24"/>
                <w:szCs w:val="24"/>
              </w:rPr>
            </w:pPr>
            <w:r w:rsidRPr="00013F71">
              <w:rPr>
                <w:snapToGrid w:val="0"/>
                <w:sz w:val="24"/>
                <w:szCs w:val="24"/>
              </w:rPr>
              <w:t>2010</w:t>
            </w:r>
          </w:p>
        </w:tc>
        <w:tc>
          <w:tcPr>
            <w:tcW w:w="1203" w:type="dxa"/>
          </w:tcPr>
          <w:p w14:paraId="211EAD06" w14:textId="3BE612E1" w:rsidR="00954277" w:rsidRPr="00013F71" w:rsidRDefault="00353446" w:rsidP="00C26571">
            <w:pPr>
              <w:widowControl w:val="0"/>
              <w:jc w:val="center"/>
              <w:rPr>
                <w:snapToGrid w:val="0"/>
                <w:sz w:val="24"/>
                <w:szCs w:val="24"/>
              </w:rPr>
            </w:pPr>
            <w:r w:rsidRPr="00013F71">
              <w:rPr>
                <w:snapToGrid w:val="0"/>
                <w:sz w:val="24"/>
                <w:szCs w:val="24"/>
              </w:rPr>
              <w:t>$226,995</w:t>
            </w:r>
          </w:p>
        </w:tc>
        <w:tc>
          <w:tcPr>
            <w:tcW w:w="1116" w:type="dxa"/>
          </w:tcPr>
          <w:p w14:paraId="30E08F5B" w14:textId="2FC6F10A" w:rsidR="00954277" w:rsidRPr="00013F71" w:rsidRDefault="00353446" w:rsidP="00C26571">
            <w:pPr>
              <w:widowControl w:val="0"/>
              <w:jc w:val="center"/>
              <w:rPr>
                <w:snapToGrid w:val="0"/>
                <w:sz w:val="24"/>
                <w:szCs w:val="24"/>
              </w:rPr>
            </w:pPr>
            <w:r w:rsidRPr="00013F71">
              <w:rPr>
                <w:snapToGrid w:val="0"/>
                <w:sz w:val="24"/>
                <w:szCs w:val="24"/>
              </w:rPr>
              <w:t>$412,845</w:t>
            </w:r>
          </w:p>
        </w:tc>
        <w:tc>
          <w:tcPr>
            <w:tcW w:w="1116" w:type="dxa"/>
          </w:tcPr>
          <w:p w14:paraId="31E8572C" w14:textId="76797336" w:rsidR="00954277" w:rsidRPr="00013F71" w:rsidRDefault="0027005F" w:rsidP="00C26571">
            <w:pPr>
              <w:widowControl w:val="0"/>
              <w:jc w:val="center"/>
              <w:rPr>
                <w:snapToGrid w:val="0"/>
                <w:sz w:val="24"/>
                <w:szCs w:val="24"/>
              </w:rPr>
            </w:pPr>
            <w:r w:rsidRPr="00013F71">
              <w:rPr>
                <w:snapToGrid w:val="0"/>
                <w:sz w:val="24"/>
                <w:szCs w:val="24"/>
              </w:rPr>
              <w:t>$139,451</w:t>
            </w:r>
          </w:p>
        </w:tc>
        <w:tc>
          <w:tcPr>
            <w:tcW w:w="1116" w:type="dxa"/>
          </w:tcPr>
          <w:p w14:paraId="396506E8" w14:textId="0CEECA85" w:rsidR="00954277" w:rsidRPr="00013F71" w:rsidRDefault="0027005F" w:rsidP="00C26571">
            <w:pPr>
              <w:widowControl w:val="0"/>
              <w:jc w:val="center"/>
              <w:rPr>
                <w:snapToGrid w:val="0"/>
                <w:sz w:val="24"/>
                <w:szCs w:val="24"/>
              </w:rPr>
            </w:pPr>
            <w:r w:rsidRPr="00013F71">
              <w:rPr>
                <w:snapToGrid w:val="0"/>
                <w:sz w:val="24"/>
                <w:szCs w:val="24"/>
              </w:rPr>
              <w:t>$117,296</w:t>
            </w:r>
          </w:p>
        </w:tc>
        <w:tc>
          <w:tcPr>
            <w:tcW w:w="1083" w:type="dxa"/>
          </w:tcPr>
          <w:p w14:paraId="73C6B68A" w14:textId="4BADF893" w:rsidR="00954277" w:rsidRPr="00013F71" w:rsidRDefault="0027005F" w:rsidP="00C26571">
            <w:pPr>
              <w:widowControl w:val="0"/>
              <w:jc w:val="center"/>
              <w:rPr>
                <w:snapToGrid w:val="0"/>
                <w:sz w:val="24"/>
                <w:szCs w:val="24"/>
              </w:rPr>
            </w:pPr>
            <w:r w:rsidRPr="00013F71">
              <w:rPr>
                <w:snapToGrid w:val="0"/>
                <w:sz w:val="24"/>
                <w:szCs w:val="24"/>
              </w:rPr>
              <w:t>$33,255</w:t>
            </w:r>
          </w:p>
        </w:tc>
        <w:tc>
          <w:tcPr>
            <w:tcW w:w="1150" w:type="dxa"/>
          </w:tcPr>
          <w:p w14:paraId="2955B82E" w14:textId="43399CD2" w:rsidR="00954277" w:rsidRPr="00013F71" w:rsidRDefault="0027005F" w:rsidP="00C26571">
            <w:pPr>
              <w:widowControl w:val="0"/>
              <w:jc w:val="center"/>
              <w:rPr>
                <w:snapToGrid w:val="0"/>
                <w:sz w:val="24"/>
                <w:szCs w:val="24"/>
              </w:rPr>
            </w:pPr>
            <w:r w:rsidRPr="00013F71">
              <w:rPr>
                <w:snapToGrid w:val="0"/>
                <w:sz w:val="24"/>
                <w:szCs w:val="24"/>
              </w:rPr>
              <w:t>$23,806</w:t>
            </w:r>
          </w:p>
        </w:tc>
        <w:tc>
          <w:tcPr>
            <w:tcW w:w="1056" w:type="dxa"/>
          </w:tcPr>
          <w:p w14:paraId="588793DA" w14:textId="1C5F13C8" w:rsidR="00954277" w:rsidRPr="00013F71" w:rsidRDefault="0027005F" w:rsidP="00C26571">
            <w:pPr>
              <w:widowControl w:val="0"/>
              <w:jc w:val="center"/>
              <w:rPr>
                <w:snapToGrid w:val="0"/>
                <w:sz w:val="24"/>
                <w:szCs w:val="24"/>
              </w:rPr>
            </w:pPr>
            <w:r w:rsidRPr="00013F71">
              <w:rPr>
                <w:snapToGrid w:val="0"/>
                <w:sz w:val="24"/>
                <w:szCs w:val="24"/>
              </w:rPr>
              <w:t>$21,432</w:t>
            </w:r>
          </w:p>
        </w:tc>
        <w:tc>
          <w:tcPr>
            <w:tcW w:w="1083" w:type="dxa"/>
          </w:tcPr>
          <w:p w14:paraId="643FF58C" w14:textId="59264680" w:rsidR="00954277" w:rsidRPr="00013F71" w:rsidRDefault="0027005F" w:rsidP="00C26571">
            <w:pPr>
              <w:widowControl w:val="0"/>
              <w:jc w:val="center"/>
              <w:rPr>
                <w:snapToGrid w:val="0"/>
                <w:sz w:val="24"/>
                <w:szCs w:val="24"/>
              </w:rPr>
            </w:pPr>
            <w:r w:rsidRPr="00013F71">
              <w:rPr>
                <w:snapToGrid w:val="0"/>
                <w:sz w:val="24"/>
                <w:szCs w:val="24"/>
              </w:rPr>
              <w:t>$13,963</w:t>
            </w:r>
          </w:p>
        </w:tc>
        <w:tc>
          <w:tcPr>
            <w:tcW w:w="996" w:type="dxa"/>
          </w:tcPr>
          <w:p w14:paraId="04BBF685" w14:textId="509E0827" w:rsidR="00954277" w:rsidRPr="00013F71" w:rsidRDefault="0027005F" w:rsidP="00C26571">
            <w:pPr>
              <w:widowControl w:val="0"/>
              <w:jc w:val="center"/>
              <w:rPr>
                <w:snapToGrid w:val="0"/>
                <w:sz w:val="24"/>
                <w:szCs w:val="24"/>
              </w:rPr>
            </w:pPr>
            <w:r w:rsidRPr="00013F71">
              <w:rPr>
                <w:snapToGrid w:val="0"/>
                <w:sz w:val="24"/>
                <w:szCs w:val="24"/>
              </w:rPr>
              <w:t>$10,686</w:t>
            </w:r>
          </w:p>
        </w:tc>
        <w:tc>
          <w:tcPr>
            <w:tcW w:w="996" w:type="dxa"/>
          </w:tcPr>
          <w:p w14:paraId="39ED0D0E" w14:textId="4F642B46" w:rsidR="00954277" w:rsidRPr="00013F71" w:rsidRDefault="0027005F" w:rsidP="00C26571">
            <w:pPr>
              <w:widowControl w:val="0"/>
              <w:jc w:val="center"/>
              <w:rPr>
                <w:snapToGrid w:val="0"/>
                <w:sz w:val="24"/>
                <w:szCs w:val="24"/>
              </w:rPr>
            </w:pPr>
            <w:r w:rsidRPr="00013F71">
              <w:rPr>
                <w:snapToGrid w:val="0"/>
                <w:sz w:val="24"/>
                <w:szCs w:val="24"/>
              </w:rPr>
              <w:t>$46,344</w:t>
            </w:r>
          </w:p>
        </w:tc>
        <w:tc>
          <w:tcPr>
            <w:tcW w:w="1818" w:type="dxa"/>
          </w:tcPr>
          <w:p w14:paraId="561AA987" w14:textId="5320B47B" w:rsidR="00954277" w:rsidRPr="00013F71" w:rsidRDefault="0027005F" w:rsidP="00C26571">
            <w:pPr>
              <w:widowControl w:val="0"/>
              <w:jc w:val="center"/>
              <w:rPr>
                <w:snapToGrid w:val="0"/>
                <w:sz w:val="24"/>
                <w:szCs w:val="24"/>
              </w:rPr>
            </w:pPr>
            <w:r w:rsidRPr="00013F71">
              <w:rPr>
                <w:snapToGrid w:val="0"/>
                <w:sz w:val="24"/>
                <w:szCs w:val="24"/>
              </w:rPr>
              <w:t>$1,046,072</w:t>
            </w:r>
          </w:p>
        </w:tc>
      </w:tr>
      <w:tr w:rsidR="0027005F" w:rsidRPr="00013F71" w14:paraId="67FEE66F" w14:textId="77777777" w:rsidTr="0027005F">
        <w:tc>
          <w:tcPr>
            <w:tcW w:w="1307" w:type="dxa"/>
          </w:tcPr>
          <w:p w14:paraId="2597CBD7" w14:textId="212DC147" w:rsidR="00954277" w:rsidRPr="00013F71" w:rsidRDefault="00353446" w:rsidP="00C26571">
            <w:pPr>
              <w:widowControl w:val="0"/>
              <w:jc w:val="center"/>
              <w:rPr>
                <w:snapToGrid w:val="0"/>
                <w:sz w:val="24"/>
                <w:szCs w:val="24"/>
              </w:rPr>
            </w:pPr>
            <w:r w:rsidRPr="00013F71">
              <w:rPr>
                <w:snapToGrid w:val="0"/>
                <w:sz w:val="24"/>
                <w:szCs w:val="24"/>
              </w:rPr>
              <w:t>2011</w:t>
            </w:r>
          </w:p>
        </w:tc>
        <w:tc>
          <w:tcPr>
            <w:tcW w:w="1203" w:type="dxa"/>
          </w:tcPr>
          <w:p w14:paraId="4B73CEC5" w14:textId="2FADDC38" w:rsidR="00954277" w:rsidRPr="00013F71" w:rsidRDefault="00353446" w:rsidP="00C26571">
            <w:pPr>
              <w:widowControl w:val="0"/>
              <w:jc w:val="center"/>
              <w:rPr>
                <w:snapToGrid w:val="0"/>
                <w:sz w:val="24"/>
                <w:szCs w:val="24"/>
              </w:rPr>
            </w:pPr>
            <w:r w:rsidRPr="00013F71">
              <w:rPr>
                <w:snapToGrid w:val="0"/>
                <w:sz w:val="24"/>
                <w:szCs w:val="24"/>
              </w:rPr>
              <w:t>$230,313</w:t>
            </w:r>
          </w:p>
        </w:tc>
        <w:tc>
          <w:tcPr>
            <w:tcW w:w="1116" w:type="dxa"/>
          </w:tcPr>
          <w:p w14:paraId="34D04956" w14:textId="4A1F59DB" w:rsidR="00954277" w:rsidRPr="00013F71" w:rsidRDefault="00353446" w:rsidP="00C26571">
            <w:pPr>
              <w:widowControl w:val="0"/>
              <w:jc w:val="center"/>
              <w:rPr>
                <w:snapToGrid w:val="0"/>
                <w:sz w:val="24"/>
                <w:szCs w:val="24"/>
              </w:rPr>
            </w:pPr>
            <w:r w:rsidRPr="00013F71">
              <w:rPr>
                <w:snapToGrid w:val="0"/>
                <w:sz w:val="24"/>
                <w:szCs w:val="24"/>
              </w:rPr>
              <w:t>$470,906</w:t>
            </w:r>
          </w:p>
        </w:tc>
        <w:tc>
          <w:tcPr>
            <w:tcW w:w="1116" w:type="dxa"/>
          </w:tcPr>
          <w:p w14:paraId="359A460E" w14:textId="392FB682" w:rsidR="00954277" w:rsidRPr="00013F71" w:rsidRDefault="0027005F" w:rsidP="00C26571">
            <w:pPr>
              <w:widowControl w:val="0"/>
              <w:jc w:val="center"/>
              <w:rPr>
                <w:snapToGrid w:val="0"/>
                <w:sz w:val="24"/>
                <w:szCs w:val="24"/>
              </w:rPr>
            </w:pPr>
            <w:r w:rsidRPr="00013F71">
              <w:rPr>
                <w:snapToGrid w:val="0"/>
                <w:sz w:val="24"/>
                <w:szCs w:val="24"/>
              </w:rPr>
              <w:t>$215,756</w:t>
            </w:r>
          </w:p>
        </w:tc>
        <w:tc>
          <w:tcPr>
            <w:tcW w:w="1116" w:type="dxa"/>
          </w:tcPr>
          <w:p w14:paraId="7A7E4A71" w14:textId="042B51D3" w:rsidR="00954277" w:rsidRPr="00013F71" w:rsidRDefault="0027005F" w:rsidP="00C26571">
            <w:pPr>
              <w:widowControl w:val="0"/>
              <w:jc w:val="center"/>
              <w:rPr>
                <w:snapToGrid w:val="0"/>
                <w:sz w:val="24"/>
                <w:szCs w:val="24"/>
              </w:rPr>
            </w:pPr>
            <w:r w:rsidRPr="00013F71">
              <w:rPr>
                <w:snapToGrid w:val="0"/>
                <w:sz w:val="24"/>
                <w:szCs w:val="24"/>
              </w:rPr>
              <w:t>$90,719</w:t>
            </w:r>
          </w:p>
        </w:tc>
        <w:tc>
          <w:tcPr>
            <w:tcW w:w="1083" w:type="dxa"/>
          </w:tcPr>
          <w:p w14:paraId="59FADC91" w14:textId="30767687" w:rsidR="00954277" w:rsidRPr="00013F71" w:rsidRDefault="0027005F" w:rsidP="00C26571">
            <w:pPr>
              <w:widowControl w:val="0"/>
              <w:jc w:val="center"/>
              <w:rPr>
                <w:snapToGrid w:val="0"/>
                <w:sz w:val="24"/>
                <w:szCs w:val="24"/>
              </w:rPr>
            </w:pPr>
            <w:r w:rsidRPr="00013F71">
              <w:rPr>
                <w:snapToGrid w:val="0"/>
                <w:sz w:val="24"/>
                <w:szCs w:val="24"/>
              </w:rPr>
              <w:t>$35,503</w:t>
            </w:r>
          </w:p>
        </w:tc>
        <w:tc>
          <w:tcPr>
            <w:tcW w:w="1150" w:type="dxa"/>
          </w:tcPr>
          <w:p w14:paraId="07EC88E9" w14:textId="3D8C1CCC" w:rsidR="00954277" w:rsidRPr="00013F71" w:rsidRDefault="0027005F" w:rsidP="00C26571">
            <w:pPr>
              <w:widowControl w:val="0"/>
              <w:jc w:val="center"/>
              <w:rPr>
                <w:snapToGrid w:val="0"/>
                <w:sz w:val="24"/>
                <w:szCs w:val="24"/>
              </w:rPr>
            </w:pPr>
            <w:r w:rsidRPr="00013F71">
              <w:rPr>
                <w:snapToGrid w:val="0"/>
                <w:sz w:val="24"/>
                <w:szCs w:val="24"/>
              </w:rPr>
              <w:t>$23,211</w:t>
            </w:r>
          </w:p>
        </w:tc>
        <w:tc>
          <w:tcPr>
            <w:tcW w:w="1056" w:type="dxa"/>
          </w:tcPr>
          <w:p w14:paraId="184D0B25" w14:textId="2E15FB86" w:rsidR="00954277" w:rsidRPr="00013F71" w:rsidRDefault="0027005F" w:rsidP="00C26571">
            <w:pPr>
              <w:widowControl w:val="0"/>
              <w:jc w:val="center"/>
              <w:rPr>
                <w:snapToGrid w:val="0"/>
                <w:sz w:val="24"/>
                <w:szCs w:val="24"/>
              </w:rPr>
            </w:pPr>
            <w:r w:rsidRPr="00013F71">
              <w:rPr>
                <w:snapToGrid w:val="0"/>
                <w:sz w:val="24"/>
                <w:szCs w:val="24"/>
              </w:rPr>
              <w:t>$29,554</w:t>
            </w:r>
          </w:p>
        </w:tc>
        <w:tc>
          <w:tcPr>
            <w:tcW w:w="1083" w:type="dxa"/>
          </w:tcPr>
          <w:p w14:paraId="5EB13C44" w14:textId="305F755D" w:rsidR="00954277" w:rsidRPr="00013F71" w:rsidRDefault="0027005F" w:rsidP="00C26571">
            <w:pPr>
              <w:widowControl w:val="0"/>
              <w:jc w:val="center"/>
              <w:rPr>
                <w:snapToGrid w:val="0"/>
                <w:sz w:val="24"/>
                <w:szCs w:val="24"/>
              </w:rPr>
            </w:pPr>
            <w:r w:rsidRPr="00013F71">
              <w:rPr>
                <w:snapToGrid w:val="0"/>
                <w:sz w:val="24"/>
                <w:szCs w:val="24"/>
              </w:rPr>
              <w:t>$12,001</w:t>
            </w:r>
          </w:p>
        </w:tc>
        <w:tc>
          <w:tcPr>
            <w:tcW w:w="996" w:type="dxa"/>
          </w:tcPr>
          <w:p w14:paraId="5061F4E3" w14:textId="48431589" w:rsidR="00954277" w:rsidRPr="00013F71" w:rsidRDefault="0027005F" w:rsidP="00C26571">
            <w:pPr>
              <w:widowControl w:val="0"/>
              <w:jc w:val="center"/>
              <w:rPr>
                <w:snapToGrid w:val="0"/>
                <w:sz w:val="24"/>
                <w:szCs w:val="24"/>
              </w:rPr>
            </w:pPr>
            <w:r w:rsidRPr="00013F71">
              <w:rPr>
                <w:snapToGrid w:val="0"/>
                <w:sz w:val="24"/>
                <w:szCs w:val="24"/>
              </w:rPr>
              <w:t>$11,388</w:t>
            </w:r>
          </w:p>
        </w:tc>
        <w:tc>
          <w:tcPr>
            <w:tcW w:w="996" w:type="dxa"/>
          </w:tcPr>
          <w:p w14:paraId="58FC8FCA" w14:textId="080F5608" w:rsidR="00954277" w:rsidRPr="00013F71" w:rsidRDefault="0027005F" w:rsidP="00C26571">
            <w:pPr>
              <w:widowControl w:val="0"/>
              <w:jc w:val="center"/>
              <w:rPr>
                <w:snapToGrid w:val="0"/>
                <w:sz w:val="24"/>
                <w:szCs w:val="24"/>
              </w:rPr>
            </w:pPr>
            <w:r w:rsidRPr="00013F71">
              <w:rPr>
                <w:snapToGrid w:val="0"/>
                <w:sz w:val="24"/>
                <w:szCs w:val="24"/>
              </w:rPr>
              <w:t>$55,716</w:t>
            </w:r>
          </w:p>
        </w:tc>
        <w:tc>
          <w:tcPr>
            <w:tcW w:w="1818" w:type="dxa"/>
          </w:tcPr>
          <w:p w14:paraId="6C2524BA" w14:textId="2782771F" w:rsidR="00954277" w:rsidRPr="00013F71" w:rsidRDefault="0027005F" w:rsidP="00C26571">
            <w:pPr>
              <w:widowControl w:val="0"/>
              <w:jc w:val="center"/>
              <w:rPr>
                <w:snapToGrid w:val="0"/>
                <w:sz w:val="24"/>
                <w:szCs w:val="24"/>
              </w:rPr>
            </w:pPr>
            <w:r w:rsidRPr="00013F71">
              <w:rPr>
                <w:snapToGrid w:val="0"/>
                <w:sz w:val="24"/>
                <w:szCs w:val="24"/>
              </w:rPr>
              <w:t>$1,175,066</w:t>
            </w:r>
          </w:p>
        </w:tc>
      </w:tr>
      <w:tr w:rsidR="0027005F" w:rsidRPr="00013F71" w14:paraId="06361AC4" w14:textId="77777777" w:rsidTr="0027005F">
        <w:tc>
          <w:tcPr>
            <w:tcW w:w="1307" w:type="dxa"/>
          </w:tcPr>
          <w:p w14:paraId="38DB1BB2" w14:textId="7FC41A31" w:rsidR="00954277" w:rsidRPr="00013F71" w:rsidRDefault="00353446" w:rsidP="00C26571">
            <w:pPr>
              <w:widowControl w:val="0"/>
              <w:jc w:val="center"/>
              <w:rPr>
                <w:snapToGrid w:val="0"/>
                <w:sz w:val="24"/>
                <w:szCs w:val="24"/>
              </w:rPr>
            </w:pPr>
            <w:r w:rsidRPr="00013F71">
              <w:rPr>
                <w:snapToGrid w:val="0"/>
                <w:sz w:val="24"/>
                <w:szCs w:val="24"/>
              </w:rPr>
              <w:t>2012</w:t>
            </w:r>
          </w:p>
        </w:tc>
        <w:tc>
          <w:tcPr>
            <w:tcW w:w="1203" w:type="dxa"/>
          </w:tcPr>
          <w:p w14:paraId="48C260AB" w14:textId="084DE744" w:rsidR="00954277" w:rsidRPr="00013F71" w:rsidRDefault="00353446" w:rsidP="00C26571">
            <w:pPr>
              <w:widowControl w:val="0"/>
              <w:jc w:val="center"/>
              <w:rPr>
                <w:snapToGrid w:val="0"/>
                <w:sz w:val="24"/>
                <w:szCs w:val="24"/>
              </w:rPr>
            </w:pPr>
            <w:r w:rsidRPr="00013F71">
              <w:rPr>
                <w:snapToGrid w:val="0"/>
                <w:sz w:val="24"/>
                <w:szCs w:val="24"/>
              </w:rPr>
              <w:t>$221,153</w:t>
            </w:r>
          </w:p>
        </w:tc>
        <w:tc>
          <w:tcPr>
            <w:tcW w:w="1116" w:type="dxa"/>
          </w:tcPr>
          <w:p w14:paraId="64035444" w14:textId="25019E37" w:rsidR="00954277" w:rsidRPr="00013F71" w:rsidRDefault="00353446" w:rsidP="00C26571">
            <w:pPr>
              <w:widowControl w:val="0"/>
              <w:jc w:val="center"/>
              <w:rPr>
                <w:snapToGrid w:val="0"/>
                <w:sz w:val="24"/>
                <w:szCs w:val="24"/>
              </w:rPr>
            </w:pPr>
            <w:r w:rsidRPr="00013F71">
              <w:rPr>
                <w:snapToGrid w:val="0"/>
                <w:sz w:val="24"/>
                <w:szCs w:val="24"/>
              </w:rPr>
              <w:t>$497,684</w:t>
            </w:r>
          </w:p>
        </w:tc>
        <w:tc>
          <w:tcPr>
            <w:tcW w:w="1116" w:type="dxa"/>
          </w:tcPr>
          <w:p w14:paraId="6EC48DDE" w14:textId="6F2D5556" w:rsidR="00954277" w:rsidRPr="00013F71" w:rsidRDefault="0027005F" w:rsidP="00C26571">
            <w:pPr>
              <w:widowControl w:val="0"/>
              <w:jc w:val="center"/>
              <w:rPr>
                <w:snapToGrid w:val="0"/>
                <w:sz w:val="24"/>
                <w:szCs w:val="24"/>
              </w:rPr>
            </w:pPr>
            <w:r w:rsidRPr="00013F71">
              <w:rPr>
                <w:snapToGrid w:val="0"/>
                <w:sz w:val="24"/>
                <w:szCs w:val="24"/>
              </w:rPr>
              <w:t>$235,847</w:t>
            </w:r>
          </w:p>
        </w:tc>
        <w:tc>
          <w:tcPr>
            <w:tcW w:w="1116" w:type="dxa"/>
          </w:tcPr>
          <w:p w14:paraId="05835D56" w14:textId="72F034ED" w:rsidR="00954277" w:rsidRPr="00013F71" w:rsidRDefault="0027005F" w:rsidP="00C26571">
            <w:pPr>
              <w:widowControl w:val="0"/>
              <w:jc w:val="center"/>
              <w:rPr>
                <w:snapToGrid w:val="0"/>
                <w:sz w:val="24"/>
                <w:szCs w:val="24"/>
              </w:rPr>
            </w:pPr>
            <w:r w:rsidRPr="00013F71">
              <w:rPr>
                <w:snapToGrid w:val="0"/>
                <w:sz w:val="24"/>
                <w:szCs w:val="24"/>
              </w:rPr>
              <w:t>$112,353</w:t>
            </w:r>
          </w:p>
        </w:tc>
        <w:tc>
          <w:tcPr>
            <w:tcW w:w="1083" w:type="dxa"/>
          </w:tcPr>
          <w:p w14:paraId="1BA05E12" w14:textId="5A560123" w:rsidR="00954277" w:rsidRPr="00013F71" w:rsidRDefault="0027005F" w:rsidP="00C26571">
            <w:pPr>
              <w:widowControl w:val="0"/>
              <w:jc w:val="center"/>
              <w:rPr>
                <w:snapToGrid w:val="0"/>
                <w:sz w:val="24"/>
                <w:szCs w:val="24"/>
              </w:rPr>
            </w:pPr>
            <w:r w:rsidRPr="00013F71">
              <w:rPr>
                <w:snapToGrid w:val="0"/>
                <w:sz w:val="24"/>
                <w:szCs w:val="24"/>
              </w:rPr>
              <w:t>$38,219</w:t>
            </w:r>
          </w:p>
        </w:tc>
        <w:tc>
          <w:tcPr>
            <w:tcW w:w="1150" w:type="dxa"/>
          </w:tcPr>
          <w:p w14:paraId="7245AA5C" w14:textId="0F6F57E8" w:rsidR="00954277" w:rsidRPr="00013F71" w:rsidRDefault="0027005F" w:rsidP="00C26571">
            <w:pPr>
              <w:widowControl w:val="0"/>
              <w:jc w:val="center"/>
              <w:rPr>
                <w:snapToGrid w:val="0"/>
                <w:sz w:val="24"/>
                <w:szCs w:val="24"/>
              </w:rPr>
            </w:pPr>
            <w:r w:rsidRPr="00013F71">
              <w:rPr>
                <w:snapToGrid w:val="0"/>
                <w:sz w:val="24"/>
                <w:szCs w:val="24"/>
              </w:rPr>
              <w:t>$24,446</w:t>
            </w:r>
          </w:p>
        </w:tc>
        <w:tc>
          <w:tcPr>
            <w:tcW w:w="1056" w:type="dxa"/>
          </w:tcPr>
          <w:p w14:paraId="75A572BF" w14:textId="6C059AF1" w:rsidR="00954277" w:rsidRPr="00013F71" w:rsidRDefault="0027005F" w:rsidP="00C26571">
            <w:pPr>
              <w:widowControl w:val="0"/>
              <w:jc w:val="center"/>
              <w:rPr>
                <w:snapToGrid w:val="0"/>
                <w:sz w:val="24"/>
                <w:szCs w:val="24"/>
              </w:rPr>
            </w:pPr>
            <w:r w:rsidRPr="00013F71">
              <w:rPr>
                <w:snapToGrid w:val="0"/>
                <w:sz w:val="24"/>
                <w:szCs w:val="24"/>
              </w:rPr>
              <w:t>$7,603</w:t>
            </w:r>
          </w:p>
        </w:tc>
        <w:tc>
          <w:tcPr>
            <w:tcW w:w="1083" w:type="dxa"/>
          </w:tcPr>
          <w:p w14:paraId="672FF5CE" w14:textId="45F057A7" w:rsidR="00954277" w:rsidRPr="00013F71" w:rsidRDefault="0027005F" w:rsidP="00C26571">
            <w:pPr>
              <w:widowControl w:val="0"/>
              <w:jc w:val="center"/>
              <w:rPr>
                <w:snapToGrid w:val="0"/>
                <w:sz w:val="24"/>
                <w:szCs w:val="24"/>
              </w:rPr>
            </w:pPr>
            <w:r w:rsidRPr="00013F71">
              <w:rPr>
                <w:snapToGrid w:val="0"/>
                <w:sz w:val="24"/>
                <w:szCs w:val="24"/>
              </w:rPr>
              <w:t>$11,230</w:t>
            </w:r>
          </w:p>
        </w:tc>
        <w:tc>
          <w:tcPr>
            <w:tcW w:w="996" w:type="dxa"/>
          </w:tcPr>
          <w:p w14:paraId="35F5D9BF" w14:textId="66DD062F" w:rsidR="00954277" w:rsidRPr="00013F71" w:rsidRDefault="0027005F" w:rsidP="00C26571">
            <w:pPr>
              <w:widowControl w:val="0"/>
              <w:jc w:val="center"/>
              <w:rPr>
                <w:snapToGrid w:val="0"/>
                <w:sz w:val="24"/>
                <w:szCs w:val="24"/>
              </w:rPr>
            </w:pPr>
            <w:r w:rsidRPr="00013F71">
              <w:rPr>
                <w:snapToGrid w:val="0"/>
                <w:sz w:val="24"/>
                <w:szCs w:val="24"/>
              </w:rPr>
              <w:t>$10,066</w:t>
            </w:r>
          </w:p>
        </w:tc>
        <w:tc>
          <w:tcPr>
            <w:tcW w:w="996" w:type="dxa"/>
          </w:tcPr>
          <w:p w14:paraId="33AF3C2B" w14:textId="4AB47593" w:rsidR="00954277" w:rsidRPr="00013F71" w:rsidRDefault="0027005F" w:rsidP="00C26571">
            <w:pPr>
              <w:widowControl w:val="0"/>
              <w:jc w:val="center"/>
              <w:rPr>
                <w:snapToGrid w:val="0"/>
                <w:sz w:val="24"/>
                <w:szCs w:val="24"/>
              </w:rPr>
            </w:pPr>
            <w:r w:rsidRPr="00013F71">
              <w:rPr>
                <w:snapToGrid w:val="0"/>
                <w:sz w:val="24"/>
                <w:szCs w:val="24"/>
              </w:rPr>
              <w:t>$45,244</w:t>
            </w:r>
          </w:p>
        </w:tc>
        <w:tc>
          <w:tcPr>
            <w:tcW w:w="1818" w:type="dxa"/>
          </w:tcPr>
          <w:p w14:paraId="64A417E8" w14:textId="3530ADA6" w:rsidR="00954277" w:rsidRPr="00013F71" w:rsidRDefault="0027005F" w:rsidP="00C26571">
            <w:pPr>
              <w:widowControl w:val="0"/>
              <w:jc w:val="center"/>
              <w:rPr>
                <w:snapToGrid w:val="0"/>
                <w:sz w:val="24"/>
                <w:szCs w:val="24"/>
              </w:rPr>
            </w:pPr>
            <w:r w:rsidRPr="00013F71">
              <w:rPr>
                <w:snapToGrid w:val="0"/>
                <w:sz w:val="24"/>
                <w:szCs w:val="24"/>
              </w:rPr>
              <w:t>$1,203,844</w:t>
            </w:r>
          </w:p>
        </w:tc>
      </w:tr>
      <w:tr w:rsidR="0027005F" w:rsidRPr="00013F71" w14:paraId="4AD69B97" w14:textId="77777777" w:rsidTr="0027005F">
        <w:tc>
          <w:tcPr>
            <w:tcW w:w="1307" w:type="dxa"/>
          </w:tcPr>
          <w:p w14:paraId="64AD91DD" w14:textId="1F2F9717" w:rsidR="0027005F" w:rsidRPr="00013F71" w:rsidRDefault="0027005F" w:rsidP="0027005F">
            <w:pPr>
              <w:widowControl w:val="0"/>
              <w:jc w:val="center"/>
              <w:rPr>
                <w:snapToGrid w:val="0"/>
                <w:sz w:val="24"/>
                <w:szCs w:val="24"/>
              </w:rPr>
            </w:pPr>
            <w:r w:rsidRPr="00013F71">
              <w:rPr>
                <w:snapToGrid w:val="0"/>
                <w:sz w:val="24"/>
                <w:szCs w:val="24"/>
              </w:rPr>
              <w:t>2013</w:t>
            </w:r>
          </w:p>
        </w:tc>
        <w:tc>
          <w:tcPr>
            <w:tcW w:w="1203" w:type="dxa"/>
          </w:tcPr>
          <w:p w14:paraId="71C1C21E" w14:textId="67216C8A" w:rsidR="0027005F" w:rsidRPr="00013F71" w:rsidRDefault="0027005F" w:rsidP="0027005F">
            <w:pPr>
              <w:widowControl w:val="0"/>
              <w:jc w:val="center"/>
              <w:rPr>
                <w:snapToGrid w:val="0"/>
                <w:sz w:val="24"/>
                <w:szCs w:val="24"/>
              </w:rPr>
            </w:pPr>
            <w:r w:rsidRPr="00013F71">
              <w:rPr>
                <w:snapToGrid w:val="0"/>
                <w:sz w:val="24"/>
                <w:szCs w:val="24"/>
              </w:rPr>
              <w:t>$210,280</w:t>
            </w:r>
          </w:p>
        </w:tc>
        <w:tc>
          <w:tcPr>
            <w:tcW w:w="1116" w:type="dxa"/>
          </w:tcPr>
          <w:p w14:paraId="3140FC40" w14:textId="0FE4889A" w:rsidR="0027005F" w:rsidRPr="00013F71" w:rsidRDefault="0027005F" w:rsidP="0027005F">
            <w:pPr>
              <w:widowControl w:val="0"/>
              <w:jc w:val="center"/>
              <w:rPr>
                <w:snapToGrid w:val="0"/>
                <w:sz w:val="24"/>
                <w:szCs w:val="24"/>
              </w:rPr>
            </w:pPr>
            <w:r w:rsidRPr="00013F71">
              <w:rPr>
                <w:snapToGrid w:val="0"/>
                <w:sz w:val="24"/>
                <w:szCs w:val="24"/>
              </w:rPr>
              <w:t>$481,431</w:t>
            </w:r>
          </w:p>
        </w:tc>
        <w:tc>
          <w:tcPr>
            <w:tcW w:w="1116" w:type="dxa"/>
          </w:tcPr>
          <w:p w14:paraId="2519E6C3" w14:textId="059639A0" w:rsidR="0027005F" w:rsidRPr="00013F71" w:rsidRDefault="0027005F" w:rsidP="0027005F">
            <w:pPr>
              <w:widowControl w:val="0"/>
              <w:jc w:val="center"/>
              <w:rPr>
                <w:snapToGrid w:val="0"/>
                <w:sz w:val="24"/>
                <w:szCs w:val="24"/>
              </w:rPr>
            </w:pPr>
            <w:r w:rsidRPr="00013F71">
              <w:rPr>
                <w:snapToGrid w:val="0"/>
                <w:sz w:val="24"/>
                <w:szCs w:val="24"/>
              </w:rPr>
              <w:t>$366,636</w:t>
            </w:r>
          </w:p>
        </w:tc>
        <w:tc>
          <w:tcPr>
            <w:tcW w:w="1116" w:type="dxa"/>
          </w:tcPr>
          <w:p w14:paraId="6DB69390" w14:textId="2A2545B7" w:rsidR="0027005F" w:rsidRPr="00013F71" w:rsidRDefault="0027005F" w:rsidP="0027005F">
            <w:pPr>
              <w:widowControl w:val="0"/>
              <w:jc w:val="center"/>
              <w:rPr>
                <w:snapToGrid w:val="0"/>
                <w:sz w:val="24"/>
                <w:szCs w:val="24"/>
              </w:rPr>
            </w:pPr>
            <w:r w:rsidRPr="00013F71">
              <w:rPr>
                <w:snapToGrid w:val="0"/>
                <w:sz w:val="24"/>
                <w:szCs w:val="24"/>
              </w:rPr>
              <w:t>$189,834</w:t>
            </w:r>
          </w:p>
        </w:tc>
        <w:tc>
          <w:tcPr>
            <w:tcW w:w="1083" w:type="dxa"/>
          </w:tcPr>
          <w:p w14:paraId="1047FB85" w14:textId="7352EEE6" w:rsidR="0027005F" w:rsidRPr="00013F71" w:rsidRDefault="0027005F" w:rsidP="0027005F">
            <w:pPr>
              <w:widowControl w:val="0"/>
              <w:jc w:val="center"/>
              <w:rPr>
                <w:snapToGrid w:val="0"/>
                <w:sz w:val="24"/>
                <w:szCs w:val="24"/>
              </w:rPr>
            </w:pPr>
            <w:r w:rsidRPr="00013F71">
              <w:rPr>
                <w:snapToGrid w:val="0"/>
                <w:sz w:val="24"/>
                <w:szCs w:val="24"/>
              </w:rPr>
              <w:t>$38,868</w:t>
            </w:r>
          </w:p>
        </w:tc>
        <w:tc>
          <w:tcPr>
            <w:tcW w:w="1150" w:type="dxa"/>
          </w:tcPr>
          <w:p w14:paraId="3488C8B3" w14:textId="45F62828" w:rsidR="0027005F" w:rsidRPr="00013F71" w:rsidRDefault="0027005F" w:rsidP="0027005F">
            <w:pPr>
              <w:widowControl w:val="0"/>
              <w:jc w:val="center"/>
              <w:rPr>
                <w:snapToGrid w:val="0"/>
                <w:sz w:val="24"/>
                <w:szCs w:val="24"/>
              </w:rPr>
            </w:pPr>
            <w:r w:rsidRPr="00013F71">
              <w:rPr>
                <w:snapToGrid w:val="0"/>
                <w:sz w:val="24"/>
                <w:szCs w:val="24"/>
              </w:rPr>
              <w:t>$26,889</w:t>
            </w:r>
          </w:p>
        </w:tc>
        <w:tc>
          <w:tcPr>
            <w:tcW w:w="1056" w:type="dxa"/>
          </w:tcPr>
          <w:p w14:paraId="7E885B62" w14:textId="75F5A69C" w:rsidR="0027005F" w:rsidRPr="00013F71" w:rsidRDefault="0027005F" w:rsidP="0027005F">
            <w:pPr>
              <w:widowControl w:val="0"/>
              <w:jc w:val="center"/>
              <w:rPr>
                <w:snapToGrid w:val="0"/>
                <w:sz w:val="24"/>
                <w:szCs w:val="24"/>
              </w:rPr>
            </w:pPr>
            <w:r w:rsidRPr="00013F71">
              <w:rPr>
                <w:snapToGrid w:val="0"/>
                <w:sz w:val="24"/>
                <w:szCs w:val="24"/>
              </w:rPr>
              <w:t>$6,346</w:t>
            </w:r>
          </w:p>
        </w:tc>
        <w:tc>
          <w:tcPr>
            <w:tcW w:w="1083" w:type="dxa"/>
          </w:tcPr>
          <w:p w14:paraId="5026AF11" w14:textId="28906145" w:rsidR="0027005F" w:rsidRPr="00013F71" w:rsidRDefault="0027005F" w:rsidP="0027005F">
            <w:pPr>
              <w:widowControl w:val="0"/>
              <w:jc w:val="center"/>
              <w:rPr>
                <w:snapToGrid w:val="0"/>
                <w:sz w:val="24"/>
                <w:szCs w:val="24"/>
              </w:rPr>
            </w:pPr>
            <w:r w:rsidRPr="00013F71">
              <w:rPr>
                <w:snapToGrid w:val="0"/>
                <w:sz w:val="24"/>
                <w:szCs w:val="24"/>
              </w:rPr>
              <w:t>$9,304</w:t>
            </w:r>
          </w:p>
        </w:tc>
        <w:tc>
          <w:tcPr>
            <w:tcW w:w="996" w:type="dxa"/>
          </w:tcPr>
          <w:p w14:paraId="771711BD" w14:textId="2AAA0D95" w:rsidR="0027005F" w:rsidRPr="00013F71" w:rsidRDefault="0027005F" w:rsidP="0027005F">
            <w:pPr>
              <w:widowControl w:val="0"/>
              <w:jc w:val="center"/>
              <w:rPr>
                <w:snapToGrid w:val="0"/>
                <w:sz w:val="24"/>
                <w:szCs w:val="24"/>
              </w:rPr>
            </w:pPr>
            <w:r w:rsidRPr="00013F71">
              <w:rPr>
                <w:snapToGrid w:val="0"/>
                <w:sz w:val="24"/>
                <w:szCs w:val="24"/>
              </w:rPr>
              <w:t>$0</w:t>
            </w:r>
          </w:p>
        </w:tc>
        <w:tc>
          <w:tcPr>
            <w:tcW w:w="996" w:type="dxa"/>
          </w:tcPr>
          <w:p w14:paraId="4B107572" w14:textId="363C8483" w:rsidR="0027005F" w:rsidRPr="00013F71" w:rsidRDefault="0027005F" w:rsidP="0027005F">
            <w:pPr>
              <w:widowControl w:val="0"/>
              <w:jc w:val="center"/>
              <w:rPr>
                <w:snapToGrid w:val="0"/>
                <w:sz w:val="24"/>
                <w:szCs w:val="24"/>
              </w:rPr>
            </w:pPr>
            <w:r w:rsidRPr="00013F71">
              <w:rPr>
                <w:snapToGrid w:val="0"/>
                <w:sz w:val="24"/>
                <w:szCs w:val="24"/>
              </w:rPr>
              <w:t>$51,616</w:t>
            </w:r>
          </w:p>
        </w:tc>
        <w:tc>
          <w:tcPr>
            <w:tcW w:w="1818" w:type="dxa"/>
          </w:tcPr>
          <w:p w14:paraId="517684EF" w14:textId="51A800BA" w:rsidR="0027005F" w:rsidRPr="00013F71" w:rsidRDefault="0027005F" w:rsidP="0027005F">
            <w:pPr>
              <w:widowControl w:val="0"/>
              <w:jc w:val="center"/>
              <w:rPr>
                <w:snapToGrid w:val="0"/>
                <w:sz w:val="24"/>
                <w:szCs w:val="24"/>
              </w:rPr>
            </w:pPr>
            <w:r w:rsidRPr="00013F71">
              <w:rPr>
                <w:snapToGrid w:val="0"/>
                <w:sz w:val="24"/>
                <w:szCs w:val="24"/>
              </w:rPr>
              <w:t>$1,381,205</w:t>
            </w:r>
          </w:p>
        </w:tc>
      </w:tr>
      <w:tr w:rsidR="0027005F" w:rsidRPr="00013F71" w14:paraId="2BA75BF2" w14:textId="77777777" w:rsidTr="0027005F">
        <w:tc>
          <w:tcPr>
            <w:tcW w:w="1307" w:type="dxa"/>
          </w:tcPr>
          <w:p w14:paraId="261BD6BC" w14:textId="162832BF" w:rsidR="0027005F" w:rsidRPr="00013F71" w:rsidRDefault="0027005F" w:rsidP="0027005F">
            <w:pPr>
              <w:widowControl w:val="0"/>
              <w:jc w:val="center"/>
              <w:rPr>
                <w:snapToGrid w:val="0"/>
                <w:sz w:val="24"/>
                <w:szCs w:val="24"/>
              </w:rPr>
            </w:pPr>
            <w:r w:rsidRPr="00013F71">
              <w:rPr>
                <w:snapToGrid w:val="0"/>
                <w:sz w:val="24"/>
                <w:szCs w:val="24"/>
              </w:rPr>
              <w:t>2014</w:t>
            </w:r>
          </w:p>
        </w:tc>
        <w:tc>
          <w:tcPr>
            <w:tcW w:w="1203" w:type="dxa"/>
          </w:tcPr>
          <w:p w14:paraId="1509ACD6" w14:textId="35ADC9BF" w:rsidR="0027005F" w:rsidRPr="00013F71" w:rsidRDefault="0027005F" w:rsidP="0027005F">
            <w:pPr>
              <w:widowControl w:val="0"/>
              <w:jc w:val="center"/>
              <w:rPr>
                <w:snapToGrid w:val="0"/>
                <w:sz w:val="24"/>
                <w:szCs w:val="24"/>
              </w:rPr>
            </w:pPr>
            <w:r w:rsidRPr="00013F71">
              <w:rPr>
                <w:snapToGrid w:val="0"/>
                <w:sz w:val="24"/>
                <w:szCs w:val="24"/>
              </w:rPr>
              <w:t>$234,557</w:t>
            </w:r>
          </w:p>
        </w:tc>
        <w:tc>
          <w:tcPr>
            <w:tcW w:w="1116" w:type="dxa"/>
          </w:tcPr>
          <w:p w14:paraId="2F384C9C" w14:textId="394B1154" w:rsidR="0027005F" w:rsidRPr="00013F71" w:rsidRDefault="0027005F" w:rsidP="0027005F">
            <w:pPr>
              <w:widowControl w:val="0"/>
              <w:jc w:val="center"/>
              <w:rPr>
                <w:snapToGrid w:val="0"/>
                <w:sz w:val="24"/>
                <w:szCs w:val="24"/>
              </w:rPr>
            </w:pPr>
            <w:r w:rsidRPr="00013F71">
              <w:rPr>
                <w:snapToGrid w:val="0"/>
                <w:sz w:val="24"/>
                <w:szCs w:val="24"/>
              </w:rPr>
              <w:t>$521,103</w:t>
            </w:r>
          </w:p>
        </w:tc>
        <w:tc>
          <w:tcPr>
            <w:tcW w:w="1116" w:type="dxa"/>
          </w:tcPr>
          <w:p w14:paraId="1DDFBF5C" w14:textId="09A2921F" w:rsidR="0027005F" w:rsidRPr="00013F71" w:rsidRDefault="0027005F" w:rsidP="0027005F">
            <w:pPr>
              <w:widowControl w:val="0"/>
              <w:jc w:val="center"/>
              <w:rPr>
                <w:snapToGrid w:val="0"/>
                <w:sz w:val="24"/>
                <w:szCs w:val="24"/>
              </w:rPr>
            </w:pPr>
            <w:r w:rsidRPr="00013F71">
              <w:rPr>
                <w:snapToGrid w:val="0"/>
                <w:sz w:val="24"/>
                <w:szCs w:val="24"/>
              </w:rPr>
              <w:t>$395,337</w:t>
            </w:r>
          </w:p>
        </w:tc>
        <w:tc>
          <w:tcPr>
            <w:tcW w:w="1116" w:type="dxa"/>
          </w:tcPr>
          <w:p w14:paraId="2BBCF93A" w14:textId="640836A5" w:rsidR="0027005F" w:rsidRPr="00013F71" w:rsidRDefault="0027005F" w:rsidP="0027005F">
            <w:pPr>
              <w:widowControl w:val="0"/>
              <w:jc w:val="center"/>
              <w:rPr>
                <w:snapToGrid w:val="0"/>
                <w:sz w:val="24"/>
                <w:szCs w:val="24"/>
              </w:rPr>
            </w:pPr>
            <w:r w:rsidRPr="00013F71">
              <w:rPr>
                <w:snapToGrid w:val="0"/>
                <w:sz w:val="24"/>
                <w:szCs w:val="24"/>
              </w:rPr>
              <w:t>$86,425</w:t>
            </w:r>
          </w:p>
        </w:tc>
        <w:tc>
          <w:tcPr>
            <w:tcW w:w="1083" w:type="dxa"/>
          </w:tcPr>
          <w:p w14:paraId="0BB1E085" w14:textId="7BB1E95F" w:rsidR="0027005F" w:rsidRPr="00013F71" w:rsidRDefault="0027005F" w:rsidP="0027005F">
            <w:pPr>
              <w:widowControl w:val="0"/>
              <w:jc w:val="center"/>
              <w:rPr>
                <w:snapToGrid w:val="0"/>
                <w:sz w:val="24"/>
                <w:szCs w:val="24"/>
              </w:rPr>
            </w:pPr>
            <w:r w:rsidRPr="00013F71">
              <w:rPr>
                <w:snapToGrid w:val="0"/>
                <w:sz w:val="24"/>
                <w:szCs w:val="24"/>
              </w:rPr>
              <w:t>$41,170</w:t>
            </w:r>
          </w:p>
        </w:tc>
        <w:tc>
          <w:tcPr>
            <w:tcW w:w="1150" w:type="dxa"/>
          </w:tcPr>
          <w:p w14:paraId="41FEF581" w14:textId="056D1CCA" w:rsidR="0027005F" w:rsidRPr="00013F71" w:rsidRDefault="0027005F" w:rsidP="0027005F">
            <w:pPr>
              <w:widowControl w:val="0"/>
              <w:jc w:val="center"/>
              <w:rPr>
                <w:snapToGrid w:val="0"/>
                <w:sz w:val="24"/>
                <w:szCs w:val="24"/>
              </w:rPr>
            </w:pPr>
            <w:r w:rsidRPr="00013F71">
              <w:rPr>
                <w:snapToGrid w:val="0"/>
                <w:sz w:val="24"/>
                <w:szCs w:val="24"/>
              </w:rPr>
              <w:t>$36,257</w:t>
            </w:r>
          </w:p>
        </w:tc>
        <w:tc>
          <w:tcPr>
            <w:tcW w:w="1056" w:type="dxa"/>
          </w:tcPr>
          <w:p w14:paraId="6D1D2FA0" w14:textId="71B633FF" w:rsidR="0027005F" w:rsidRPr="00013F71" w:rsidRDefault="0027005F" w:rsidP="0027005F">
            <w:pPr>
              <w:widowControl w:val="0"/>
              <w:jc w:val="center"/>
              <w:rPr>
                <w:snapToGrid w:val="0"/>
                <w:sz w:val="24"/>
                <w:szCs w:val="24"/>
              </w:rPr>
            </w:pPr>
            <w:r w:rsidRPr="00013F71">
              <w:rPr>
                <w:snapToGrid w:val="0"/>
                <w:sz w:val="24"/>
                <w:szCs w:val="24"/>
              </w:rPr>
              <w:t>$5,865</w:t>
            </w:r>
          </w:p>
        </w:tc>
        <w:tc>
          <w:tcPr>
            <w:tcW w:w="1083" w:type="dxa"/>
          </w:tcPr>
          <w:p w14:paraId="13B8FE32" w14:textId="59ABA2C6" w:rsidR="0027005F" w:rsidRPr="00013F71" w:rsidRDefault="0027005F" w:rsidP="0027005F">
            <w:pPr>
              <w:widowControl w:val="0"/>
              <w:jc w:val="center"/>
              <w:rPr>
                <w:snapToGrid w:val="0"/>
                <w:sz w:val="24"/>
                <w:szCs w:val="24"/>
              </w:rPr>
            </w:pPr>
            <w:r w:rsidRPr="00013F71">
              <w:rPr>
                <w:snapToGrid w:val="0"/>
                <w:sz w:val="24"/>
                <w:szCs w:val="24"/>
              </w:rPr>
              <w:t>$11,536</w:t>
            </w:r>
          </w:p>
        </w:tc>
        <w:tc>
          <w:tcPr>
            <w:tcW w:w="996" w:type="dxa"/>
          </w:tcPr>
          <w:p w14:paraId="3AFC7B63" w14:textId="0D94CA06" w:rsidR="0027005F" w:rsidRPr="00013F71" w:rsidRDefault="0027005F" w:rsidP="0027005F">
            <w:pPr>
              <w:widowControl w:val="0"/>
              <w:jc w:val="center"/>
              <w:rPr>
                <w:snapToGrid w:val="0"/>
                <w:sz w:val="24"/>
                <w:szCs w:val="24"/>
              </w:rPr>
            </w:pPr>
            <w:r w:rsidRPr="00013F71">
              <w:rPr>
                <w:snapToGrid w:val="0"/>
                <w:sz w:val="24"/>
                <w:szCs w:val="24"/>
              </w:rPr>
              <w:t>$0</w:t>
            </w:r>
          </w:p>
        </w:tc>
        <w:tc>
          <w:tcPr>
            <w:tcW w:w="996" w:type="dxa"/>
          </w:tcPr>
          <w:p w14:paraId="031659CA" w14:textId="2C6B94E9" w:rsidR="0027005F" w:rsidRPr="00013F71" w:rsidRDefault="0027005F" w:rsidP="0027005F">
            <w:pPr>
              <w:widowControl w:val="0"/>
              <w:jc w:val="center"/>
              <w:rPr>
                <w:snapToGrid w:val="0"/>
                <w:sz w:val="24"/>
                <w:szCs w:val="24"/>
              </w:rPr>
            </w:pPr>
            <w:r w:rsidRPr="00013F71">
              <w:rPr>
                <w:snapToGrid w:val="0"/>
                <w:sz w:val="24"/>
                <w:szCs w:val="24"/>
              </w:rPr>
              <w:t>$50,126</w:t>
            </w:r>
          </w:p>
        </w:tc>
        <w:tc>
          <w:tcPr>
            <w:tcW w:w="1818" w:type="dxa"/>
          </w:tcPr>
          <w:p w14:paraId="0B7F3F2D" w14:textId="61B40170" w:rsidR="0027005F" w:rsidRPr="00013F71" w:rsidRDefault="0027005F" w:rsidP="0027005F">
            <w:pPr>
              <w:widowControl w:val="0"/>
              <w:jc w:val="center"/>
              <w:rPr>
                <w:snapToGrid w:val="0"/>
                <w:sz w:val="24"/>
                <w:szCs w:val="24"/>
              </w:rPr>
            </w:pPr>
            <w:r w:rsidRPr="00013F71">
              <w:rPr>
                <w:snapToGrid w:val="0"/>
                <w:sz w:val="24"/>
                <w:szCs w:val="24"/>
              </w:rPr>
              <w:t>$1,382,377</w:t>
            </w:r>
          </w:p>
        </w:tc>
      </w:tr>
      <w:tr w:rsidR="0027005F" w:rsidRPr="00013F71" w14:paraId="26E29761" w14:textId="77777777" w:rsidTr="0027005F">
        <w:tc>
          <w:tcPr>
            <w:tcW w:w="1307" w:type="dxa"/>
          </w:tcPr>
          <w:p w14:paraId="4E7F1F08" w14:textId="0B5440C4" w:rsidR="0027005F" w:rsidRPr="00013F71" w:rsidRDefault="003552E0" w:rsidP="0027005F">
            <w:pPr>
              <w:widowControl w:val="0"/>
              <w:jc w:val="center"/>
              <w:rPr>
                <w:snapToGrid w:val="0"/>
                <w:sz w:val="24"/>
                <w:szCs w:val="24"/>
              </w:rPr>
            </w:pPr>
            <w:r w:rsidRPr="00013F71">
              <w:rPr>
                <w:snapToGrid w:val="0"/>
                <w:sz w:val="24"/>
                <w:szCs w:val="24"/>
              </w:rPr>
              <w:t>2015</w:t>
            </w:r>
          </w:p>
        </w:tc>
        <w:tc>
          <w:tcPr>
            <w:tcW w:w="1203" w:type="dxa"/>
          </w:tcPr>
          <w:p w14:paraId="7DD65579" w14:textId="5F3BA944" w:rsidR="0027005F" w:rsidRPr="00013F71" w:rsidRDefault="003552E0" w:rsidP="0027005F">
            <w:pPr>
              <w:widowControl w:val="0"/>
              <w:jc w:val="center"/>
              <w:rPr>
                <w:snapToGrid w:val="0"/>
                <w:sz w:val="24"/>
                <w:szCs w:val="24"/>
              </w:rPr>
            </w:pPr>
            <w:r w:rsidRPr="00013F71">
              <w:rPr>
                <w:snapToGrid w:val="0"/>
                <w:sz w:val="24"/>
                <w:szCs w:val="24"/>
              </w:rPr>
              <w:t>$200,734</w:t>
            </w:r>
          </w:p>
        </w:tc>
        <w:tc>
          <w:tcPr>
            <w:tcW w:w="1116" w:type="dxa"/>
          </w:tcPr>
          <w:p w14:paraId="229A0A21" w14:textId="0BC6A885" w:rsidR="0027005F" w:rsidRPr="00013F71" w:rsidRDefault="003552E0" w:rsidP="0027005F">
            <w:pPr>
              <w:widowControl w:val="0"/>
              <w:jc w:val="center"/>
              <w:rPr>
                <w:snapToGrid w:val="0"/>
                <w:sz w:val="24"/>
                <w:szCs w:val="24"/>
              </w:rPr>
            </w:pPr>
            <w:r w:rsidRPr="00013F71">
              <w:rPr>
                <w:snapToGrid w:val="0"/>
                <w:sz w:val="24"/>
                <w:szCs w:val="24"/>
              </w:rPr>
              <w:t>$544,030</w:t>
            </w:r>
          </w:p>
        </w:tc>
        <w:tc>
          <w:tcPr>
            <w:tcW w:w="1116" w:type="dxa"/>
          </w:tcPr>
          <w:p w14:paraId="0A83618B" w14:textId="090123CA" w:rsidR="0027005F" w:rsidRPr="00013F71" w:rsidRDefault="003552E0" w:rsidP="0027005F">
            <w:pPr>
              <w:widowControl w:val="0"/>
              <w:jc w:val="center"/>
              <w:rPr>
                <w:snapToGrid w:val="0"/>
                <w:sz w:val="24"/>
                <w:szCs w:val="24"/>
              </w:rPr>
            </w:pPr>
            <w:r w:rsidRPr="00013F71">
              <w:rPr>
                <w:snapToGrid w:val="0"/>
                <w:sz w:val="24"/>
                <w:szCs w:val="24"/>
              </w:rPr>
              <w:t>$494,234</w:t>
            </w:r>
          </w:p>
        </w:tc>
        <w:tc>
          <w:tcPr>
            <w:tcW w:w="1116" w:type="dxa"/>
          </w:tcPr>
          <w:p w14:paraId="6D41C4E5" w14:textId="152008E0" w:rsidR="0027005F" w:rsidRPr="00013F71" w:rsidRDefault="003552E0" w:rsidP="0027005F">
            <w:pPr>
              <w:widowControl w:val="0"/>
              <w:jc w:val="center"/>
              <w:rPr>
                <w:snapToGrid w:val="0"/>
                <w:sz w:val="24"/>
                <w:szCs w:val="24"/>
              </w:rPr>
            </w:pPr>
            <w:r w:rsidRPr="00013F71">
              <w:rPr>
                <w:snapToGrid w:val="0"/>
                <w:sz w:val="24"/>
                <w:szCs w:val="24"/>
              </w:rPr>
              <w:t>$114,227</w:t>
            </w:r>
          </w:p>
        </w:tc>
        <w:tc>
          <w:tcPr>
            <w:tcW w:w="1083" w:type="dxa"/>
          </w:tcPr>
          <w:p w14:paraId="0F2B7643" w14:textId="2C069F75" w:rsidR="0027005F" w:rsidRPr="00013F71" w:rsidRDefault="003552E0" w:rsidP="0027005F">
            <w:pPr>
              <w:widowControl w:val="0"/>
              <w:jc w:val="center"/>
              <w:rPr>
                <w:snapToGrid w:val="0"/>
                <w:sz w:val="24"/>
                <w:szCs w:val="24"/>
              </w:rPr>
            </w:pPr>
            <w:r w:rsidRPr="00013F71">
              <w:rPr>
                <w:snapToGrid w:val="0"/>
                <w:sz w:val="24"/>
                <w:szCs w:val="24"/>
              </w:rPr>
              <w:t>$43,580</w:t>
            </w:r>
          </w:p>
        </w:tc>
        <w:tc>
          <w:tcPr>
            <w:tcW w:w="1150" w:type="dxa"/>
          </w:tcPr>
          <w:p w14:paraId="11649F91" w14:textId="6BF1884B" w:rsidR="0027005F" w:rsidRPr="00013F71" w:rsidRDefault="003552E0" w:rsidP="0027005F">
            <w:pPr>
              <w:widowControl w:val="0"/>
              <w:jc w:val="center"/>
              <w:rPr>
                <w:snapToGrid w:val="0"/>
                <w:sz w:val="24"/>
                <w:szCs w:val="24"/>
              </w:rPr>
            </w:pPr>
            <w:r w:rsidRPr="00013F71">
              <w:rPr>
                <w:snapToGrid w:val="0"/>
                <w:sz w:val="24"/>
                <w:szCs w:val="24"/>
              </w:rPr>
              <w:t>$39,314</w:t>
            </w:r>
          </w:p>
        </w:tc>
        <w:tc>
          <w:tcPr>
            <w:tcW w:w="1056" w:type="dxa"/>
          </w:tcPr>
          <w:p w14:paraId="5C4A2C21" w14:textId="71E1511C" w:rsidR="0027005F" w:rsidRPr="00013F71" w:rsidRDefault="003552E0" w:rsidP="0027005F">
            <w:pPr>
              <w:widowControl w:val="0"/>
              <w:jc w:val="center"/>
              <w:rPr>
                <w:snapToGrid w:val="0"/>
                <w:sz w:val="24"/>
                <w:szCs w:val="24"/>
              </w:rPr>
            </w:pPr>
            <w:r w:rsidRPr="00013F71">
              <w:rPr>
                <w:snapToGrid w:val="0"/>
                <w:sz w:val="24"/>
                <w:szCs w:val="24"/>
              </w:rPr>
              <w:t>$7,111</w:t>
            </w:r>
          </w:p>
        </w:tc>
        <w:tc>
          <w:tcPr>
            <w:tcW w:w="1083" w:type="dxa"/>
          </w:tcPr>
          <w:p w14:paraId="248BDF82" w14:textId="6EE5685B" w:rsidR="0027005F" w:rsidRPr="00013F71" w:rsidRDefault="003552E0" w:rsidP="0027005F">
            <w:pPr>
              <w:widowControl w:val="0"/>
              <w:jc w:val="center"/>
              <w:rPr>
                <w:snapToGrid w:val="0"/>
                <w:sz w:val="24"/>
                <w:szCs w:val="24"/>
              </w:rPr>
            </w:pPr>
            <w:r w:rsidRPr="00013F71">
              <w:rPr>
                <w:snapToGrid w:val="0"/>
                <w:sz w:val="24"/>
                <w:szCs w:val="24"/>
              </w:rPr>
              <w:t>$11,441</w:t>
            </w:r>
          </w:p>
        </w:tc>
        <w:tc>
          <w:tcPr>
            <w:tcW w:w="996" w:type="dxa"/>
          </w:tcPr>
          <w:p w14:paraId="250A38D3" w14:textId="1BDC563F" w:rsidR="0027005F" w:rsidRPr="00013F71" w:rsidRDefault="003552E0" w:rsidP="0027005F">
            <w:pPr>
              <w:widowControl w:val="0"/>
              <w:jc w:val="center"/>
              <w:rPr>
                <w:snapToGrid w:val="0"/>
                <w:sz w:val="24"/>
                <w:szCs w:val="24"/>
              </w:rPr>
            </w:pPr>
            <w:r w:rsidRPr="00013F71">
              <w:rPr>
                <w:snapToGrid w:val="0"/>
                <w:sz w:val="24"/>
                <w:szCs w:val="24"/>
              </w:rPr>
              <w:t>$0</w:t>
            </w:r>
          </w:p>
        </w:tc>
        <w:tc>
          <w:tcPr>
            <w:tcW w:w="996" w:type="dxa"/>
          </w:tcPr>
          <w:p w14:paraId="1432ABC8" w14:textId="1674DA03" w:rsidR="0027005F" w:rsidRPr="00013F71" w:rsidRDefault="003552E0" w:rsidP="0027005F">
            <w:pPr>
              <w:widowControl w:val="0"/>
              <w:jc w:val="center"/>
              <w:rPr>
                <w:snapToGrid w:val="0"/>
                <w:sz w:val="24"/>
                <w:szCs w:val="24"/>
              </w:rPr>
            </w:pPr>
            <w:r w:rsidRPr="00013F71">
              <w:rPr>
                <w:snapToGrid w:val="0"/>
                <w:sz w:val="24"/>
                <w:szCs w:val="24"/>
              </w:rPr>
              <w:t>$54,417</w:t>
            </w:r>
          </w:p>
        </w:tc>
        <w:tc>
          <w:tcPr>
            <w:tcW w:w="1818" w:type="dxa"/>
          </w:tcPr>
          <w:p w14:paraId="76F4C2D0" w14:textId="2213A421" w:rsidR="0027005F" w:rsidRPr="00013F71" w:rsidRDefault="003552E0" w:rsidP="0027005F">
            <w:pPr>
              <w:widowControl w:val="0"/>
              <w:jc w:val="center"/>
              <w:rPr>
                <w:snapToGrid w:val="0"/>
                <w:sz w:val="24"/>
                <w:szCs w:val="24"/>
              </w:rPr>
            </w:pPr>
            <w:r w:rsidRPr="00013F71">
              <w:rPr>
                <w:snapToGrid w:val="0"/>
                <w:sz w:val="24"/>
                <w:szCs w:val="24"/>
              </w:rPr>
              <w:t>$1,509,089</w:t>
            </w:r>
          </w:p>
        </w:tc>
      </w:tr>
      <w:tr w:rsidR="0027005F" w:rsidRPr="00013F71" w14:paraId="390F4E8A" w14:textId="77777777" w:rsidTr="0027005F">
        <w:tc>
          <w:tcPr>
            <w:tcW w:w="1307" w:type="dxa"/>
          </w:tcPr>
          <w:p w14:paraId="5DD63AC7" w14:textId="0ED98354" w:rsidR="0027005F" w:rsidRPr="00013F71" w:rsidRDefault="003552E0" w:rsidP="0027005F">
            <w:pPr>
              <w:widowControl w:val="0"/>
              <w:jc w:val="center"/>
              <w:rPr>
                <w:snapToGrid w:val="0"/>
                <w:sz w:val="24"/>
                <w:szCs w:val="24"/>
              </w:rPr>
            </w:pPr>
            <w:r w:rsidRPr="00013F71">
              <w:rPr>
                <w:snapToGrid w:val="0"/>
                <w:sz w:val="24"/>
                <w:szCs w:val="24"/>
              </w:rPr>
              <w:t>Projected</w:t>
            </w:r>
          </w:p>
        </w:tc>
        <w:tc>
          <w:tcPr>
            <w:tcW w:w="1203" w:type="dxa"/>
          </w:tcPr>
          <w:p w14:paraId="7E99DCA0" w14:textId="498FD707" w:rsidR="0027005F" w:rsidRPr="00013F71" w:rsidRDefault="0027005F" w:rsidP="0027005F">
            <w:pPr>
              <w:widowControl w:val="0"/>
              <w:jc w:val="center"/>
              <w:rPr>
                <w:snapToGrid w:val="0"/>
                <w:sz w:val="24"/>
                <w:szCs w:val="24"/>
              </w:rPr>
            </w:pPr>
          </w:p>
        </w:tc>
        <w:tc>
          <w:tcPr>
            <w:tcW w:w="1116" w:type="dxa"/>
          </w:tcPr>
          <w:p w14:paraId="6FB1DB63" w14:textId="2E38F326" w:rsidR="0027005F" w:rsidRPr="00013F71" w:rsidRDefault="0027005F" w:rsidP="0027005F">
            <w:pPr>
              <w:widowControl w:val="0"/>
              <w:jc w:val="center"/>
              <w:rPr>
                <w:snapToGrid w:val="0"/>
                <w:sz w:val="24"/>
                <w:szCs w:val="24"/>
              </w:rPr>
            </w:pPr>
          </w:p>
        </w:tc>
        <w:tc>
          <w:tcPr>
            <w:tcW w:w="1116" w:type="dxa"/>
          </w:tcPr>
          <w:p w14:paraId="153A4926" w14:textId="59D4B6D8" w:rsidR="0027005F" w:rsidRPr="00013F71" w:rsidRDefault="0027005F" w:rsidP="0027005F">
            <w:pPr>
              <w:widowControl w:val="0"/>
              <w:jc w:val="center"/>
              <w:rPr>
                <w:snapToGrid w:val="0"/>
                <w:sz w:val="24"/>
                <w:szCs w:val="24"/>
              </w:rPr>
            </w:pPr>
          </w:p>
        </w:tc>
        <w:tc>
          <w:tcPr>
            <w:tcW w:w="1116" w:type="dxa"/>
          </w:tcPr>
          <w:p w14:paraId="7814E4BC" w14:textId="50776598" w:rsidR="0027005F" w:rsidRPr="00013F71" w:rsidRDefault="0027005F" w:rsidP="0027005F">
            <w:pPr>
              <w:widowControl w:val="0"/>
              <w:jc w:val="center"/>
              <w:rPr>
                <w:snapToGrid w:val="0"/>
                <w:sz w:val="24"/>
                <w:szCs w:val="24"/>
              </w:rPr>
            </w:pPr>
          </w:p>
        </w:tc>
        <w:tc>
          <w:tcPr>
            <w:tcW w:w="1083" w:type="dxa"/>
          </w:tcPr>
          <w:p w14:paraId="5497E766" w14:textId="0F814BFE" w:rsidR="0027005F" w:rsidRPr="00013F71" w:rsidRDefault="0027005F" w:rsidP="0027005F">
            <w:pPr>
              <w:widowControl w:val="0"/>
              <w:jc w:val="center"/>
              <w:rPr>
                <w:snapToGrid w:val="0"/>
                <w:sz w:val="24"/>
                <w:szCs w:val="24"/>
              </w:rPr>
            </w:pPr>
          </w:p>
        </w:tc>
        <w:tc>
          <w:tcPr>
            <w:tcW w:w="1150" w:type="dxa"/>
          </w:tcPr>
          <w:p w14:paraId="62950B7F" w14:textId="6E4D0598" w:rsidR="0027005F" w:rsidRPr="00013F71" w:rsidRDefault="0027005F" w:rsidP="0027005F">
            <w:pPr>
              <w:widowControl w:val="0"/>
              <w:jc w:val="center"/>
              <w:rPr>
                <w:snapToGrid w:val="0"/>
                <w:sz w:val="24"/>
                <w:szCs w:val="24"/>
              </w:rPr>
            </w:pPr>
          </w:p>
        </w:tc>
        <w:tc>
          <w:tcPr>
            <w:tcW w:w="1056" w:type="dxa"/>
          </w:tcPr>
          <w:p w14:paraId="0AE6E001" w14:textId="1BDC8C83" w:rsidR="0027005F" w:rsidRPr="00013F71" w:rsidRDefault="0027005F" w:rsidP="0027005F">
            <w:pPr>
              <w:widowControl w:val="0"/>
              <w:jc w:val="center"/>
              <w:rPr>
                <w:snapToGrid w:val="0"/>
                <w:sz w:val="24"/>
                <w:szCs w:val="24"/>
              </w:rPr>
            </w:pPr>
          </w:p>
        </w:tc>
        <w:tc>
          <w:tcPr>
            <w:tcW w:w="1083" w:type="dxa"/>
          </w:tcPr>
          <w:p w14:paraId="562C4A2C" w14:textId="66602EF0" w:rsidR="0027005F" w:rsidRPr="00013F71" w:rsidRDefault="0027005F" w:rsidP="0027005F">
            <w:pPr>
              <w:widowControl w:val="0"/>
              <w:jc w:val="center"/>
              <w:rPr>
                <w:snapToGrid w:val="0"/>
                <w:sz w:val="24"/>
                <w:szCs w:val="24"/>
              </w:rPr>
            </w:pPr>
          </w:p>
        </w:tc>
        <w:tc>
          <w:tcPr>
            <w:tcW w:w="996" w:type="dxa"/>
          </w:tcPr>
          <w:p w14:paraId="7C266295" w14:textId="5D2EC59E" w:rsidR="0027005F" w:rsidRPr="00013F71" w:rsidRDefault="0027005F" w:rsidP="0027005F">
            <w:pPr>
              <w:widowControl w:val="0"/>
              <w:jc w:val="center"/>
              <w:rPr>
                <w:snapToGrid w:val="0"/>
                <w:sz w:val="24"/>
                <w:szCs w:val="24"/>
              </w:rPr>
            </w:pPr>
          </w:p>
        </w:tc>
        <w:tc>
          <w:tcPr>
            <w:tcW w:w="996" w:type="dxa"/>
          </w:tcPr>
          <w:p w14:paraId="67A0DDD8" w14:textId="6968310E" w:rsidR="0027005F" w:rsidRPr="00013F71" w:rsidRDefault="0027005F" w:rsidP="0027005F">
            <w:pPr>
              <w:widowControl w:val="0"/>
              <w:jc w:val="center"/>
              <w:rPr>
                <w:snapToGrid w:val="0"/>
                <w:sz w:val="24"/>
                <w:szCs w:val="24"/>
              </w:rPr>
            </w:pPr>
          </w:p>
        </w:tc>
        <w:tc>
          <w:tcPr>
            <w:tcW w:w="1818" w:type="dxa"/>
          </w:tcPr>
          <w:p w14:paraId="216BA114" w14:textId="77072D77" w:rsidR="0027005F" w:rsidRPr="00013F71" w:rsidRDefault="0027005F" w:rsidP="0027005F">
            <w:pPr>
              <w:widowControl w:val="0"/>
              <w:jc w:val="center"/>
              <w:rPr>
                <w:snapToGrid w:val="0"/>
                <w:sz w:val="24"/>
                <w:szCs w:val="24"/>
              </w:rPr>
            </w:pPr>
          </w:p>
        </w:tc>
      </w:tr>
      <w:tr w:rsidR="0027005F" w:rsidRPr="00013F71" w14:paraId="50463272" w14:textId="77777777" w:rsidTr="0027005F">
        <w:tc>
          <w:tcPr>
            <w:tcW w:w="1307" w:type="dxa"/>
          </w:tcPr>
          <w:p w14:paraId="1B44C88B" w14:textId="10661872" w:rsidR="0027005F" w:rsidRPr="00013F71" w:rsidRDefault="0027005F" w:rsidP="0027005F">
            <w:pPr>
              <w:widowControl w:val="0"/>
              <w:jc w:val="center"/>
              <w:rPr>
                <w:snapToGrid w:val="0"/>
                <w:sz w:val="24"/>
                <w:szCs w:val="24"/>
              </w:rPr>
            </w:pPr>
            <w:r w:rsidRPr="00013F71">
              <w:rPr>
                <w:snapToGrid w:val="0"/>
                <w:sz w:val="24"/>
                <w:szCs w:val="24"/>
              </w:rPr>
              <w:t>2016</w:t>
            </w:r>
          </w:p>
        </w:tc>
        <w:tc>
          <w:tcPr>
            <w:tcW w:w="1203" w:type="dxa"/>
          </w:tcPr>
          <w:p w14:paraId="38CE501E" w14:textId="3F89D5CC" w:rsidR="0027005F" w:rsidRPr="00013F71" w:rsidRDefault="003E0707" w:rsidP="0027005F">
            <w:pPr>
              <w:widowControl w:val="0"/>
              <w:jc w:val="center"/>
              <w:rPr>
                <w:snapToGrid w:val="0"/>
                <w:sz w:val="24"/>
                <w:szCs w:val="24"/>
              </w:rPr>
            </w:pPr>
            <w:r w:rsidRPr="00013F71">
              <w:rPr>
                <w:snapToGrid w:val="0"/>
                <w:sz w:val="24"/>
                <w:szCs w:val="24"/>
              </w:rPr>
              <w:t>$169,800</w:t>
            </w:r>
          </w:p>
        </w:tc>
        <w:tc>
          <w:tcPr>
            <w:tcW w:w="1116" w:type="dxa"/>
          </w:tcPr>
          <w:p w14:paraId="5DE45DA6" w14:textId="16FFE447" w:rsidR="0027005F" w:rsidRPr="00013F71" w:rsidRDefault="003E0707" w:rsidP="0027005F">
            <w:pPr>
              <w:widowControl w:val="0"/>
              <w:jc w:val="center"/>
              <w:rPr>
                <w:snapToGrid w:val="0"/>
                <w:sz w:val="24"/>
                <w:szCs w:val="24"/>
              </w:rPr>
            </w:pPr>
            <w:r w:rsidRPr="00013F71">
              <w:rPr>
                <w:snapToGrid w:val="0"/>
                <w:sz w:val="24"/>
                <w:szCs w:val="24"/>
              </w:rPr>
              <w:t>$466,800</w:t>
            </w:r>
          </w:p>
        </w:tc>
        <w:tc>
          <w:tcPr>
            <w:tcW w:w="1116" w:type="dxa"/>
          </w:tcPr>
          <w:p w14:paraId="1CE97F7A" w14:textId="7A51F8A8" w:rsidR="0027005F" w:rsidRPr="00013F71" w:rsidRDefault="003E0707" w:rsidP="0027005F">
            <w:pPr>
              <w:widowControl w:val="0"/>
              <w:jc w:val="center"/>
              <w:rPr>
                <w:snapToGrid w:val="0"/>
                <w:sz w:val="24"/>
                <w:szCs w:val="24"/>
              </w:rPr>
            </w:pPr>
            <w:r w:rsidRPr="00013F71">
              <w:rPr>
                <w:snapToGrid w:val="0"/>
                <w:sz w:val="24"/>
                <w:szCs w:val="24"/>
              </w:rPr>
              <w:t>$143,600</w:t>
            </w:r>
          </w:p>
        </w:tc>
        <w:tc>
          <w:tcPr>
            <w:tcW w:w="1116" w:type="dxa"/>
          </w:tcPr>
          <w:p w14:paraId="44CC1A73" w14:textId="35BD3114" w:rsidR="0027005F" w:rsidRPr="00013F71" w:rsidRDefault="003E0707" w:rsidP="0027005F">
            <w:pPr>
              <w:widowControl w:val="0"/>
              <w:jc w:val="center"/>
              <w:rPr>
                <w:snapToGrid w:val="0"/>
                <w:sz w:val="24"/>
                <w:szCs w:val="24"/>
              </w:rPr>
            </w:pPr>
            <w:r w:rsidRPr="00013F71">
              <w:rPr>
                <w:snapToGrid w:val="0"/>
                <w:sz w:val="24"/>
                <w:szCs w:val="24"/>
              </w:rPr>
              <w:t>$85,000</w:t>
            </w:r>
          </w:p>
        </w:tc>
        <w:tc>
          <w:tcPr>
            <w:tcW w:w="1083" w:type="dxa"/>
          </w:tcPr>
          <w:p w14:paraId="651F9148" w14:textId="11FCB2B0" w:rsidR="0027005F" w:rsidRPr="00013F71" w:rsidRDefault="003E0707" w:rsidP="0027005F">
            <w:pPr>
              <w:widowControl w:val="0"/>
              <w:jc w:val="center"/>
              <w:rPr>
                <w:snapToGrid w:val="0"/>
                <w:sz w:val="24"/>
                <w:szCs w:val="24"/>
              </w:rPr>
            </w:pPr>
            <w:r w:rsidRPr="00013F71">
              <w:rPr>
                <w:snapToGrid w:val="0"/>
                <w:sz w:val="24"/>
                <w:szCs w:val="24"/>
              </w:rPr>
              <w:t>$43,700</w:t>
            </w:r>
          </w:p>
        </w:tc>
        <w:tc>
          <w:tcPr>
            <w:tcW w:w="1150" w:type="dxa"/>
          </w:tcPr>
          <w:p w14:paraId="07155964" w14:textId="265FB6BF" w:rsidR="0027005F" w:rsidRPr="00013F71" w:rsidRDefault="003E0707" w:rsidP="0027005F">
            <w:pPr>
              <w:widowControl w:val="0"/>
              <w:jc w:val="center"/>
              <w:rPr>
                <w:snapToGrid w:val="0"/>
                <w:sz w:val="24"/>
                <w:szCs w:val="24"/>
              </w:rPr>
            </w:pPr>
            <w:r w:rsidRPr="00013F71">
              <w:rPr>
                <w:snapToGrid w:val="0"/>
                <w:sz w:val="24"/>
                <w:szCs w:val="24"/>
              </w:rPr>
              <w:t>$33,900</w:t>
            </w:r>
          </w:p>
        </w:tc>
        <w:tc>
          <w:tcPr>
            <w:tcW w:w="1056" w:type="dxa"/>
          </w:tcPr>
          <w:p w14:paraId="591309D3" w14:textId="2F96E577" w:rsidR="0027005F" w:rsidRPr="00013F71" w:rsidRDefault="003E0707" w:rsidP="0027005F">
            <w:pPr>
              <w:widowControl w:val="0"/>
              <w:jc w:val="center"/>
              <w:rPr>
                <w:snapToGrid w:val="0"/>
                <w:sz w:val="24"/>
                <w:szCs w:val="24"/>
              </w:rPr>
            </w:pPr>
            <w:r w:rsidRPr="00013F71">
              <w:rPr>
                <w:snapToGrid w:val="0"/>
                <w:sz w:val="24"/>
                <w:szCs w:val="24"/>
              </w:rPr>
              <w:t>$6,800</w:t>
            </w:r>
          </w:p>
        </w:tc>
        <w:tc>
          <w:tcPr>
            <w:tcW w:w="1083" w:type="dxa"/>
          </w:tcPr>
          <w:p w14:paraId="4A6CBBD8" w14:textId="21CE2ED1" w:rsidR="0027005F" w:rsidRPr="00013F71" w:rsidRDefault="003E0707" w:rsidP="0027005F">
            <w:pPr>
              <w:widowControl w:val="0"/>
              <w:jc w:val="center"/>
              <w:rPr>
                <w:snapToGrid w:val="0"/>
                <w:sz w:val="24"/>
                <w:szCs w:val="24"/>
              </w:rPr>
            </w:pPr>
            <w:r w:rsidRPr="00013F71">
              <w:rPr>
                <w:snapToGrid w:val="0"/>
                <w:sz w:val="24"/>
                <w:szCs w:val="24"/>
              </w:rPr>
              <w:t>$11,400</w:t>
            </w:r>
          </w:p>
        </w:tc>
        <w:tc>
          <w:tcPr>
            <w:tcW w:w="996" w:type="dxa"/>
          </w:tcPr>
          <w:p w14:paraId="486F1F4A" w14:textId="1C44FB54" w:rsidR="0027005F" w:rsidRPr="00013F71" w:rsidRDefault="003E0707" w:rsidP="0027005F">
            <w:pPr>
              <w:widowControl w:val="0"/>
              <w:jc w:val="center"/>
              <w:rPr>
                <w:snapToGrid w:val="0"/>
                <w:sz w:val="24"/>
                <w:szCs w:val="24"/>
              </w:rPr>
            </w:pPr>
            <w:r w:rsidRPr="00013F71">
              <w:rPr>
                <w:snapToGrid w:val="0"/>
                <w:sz w:val="24"/>
                <w:szCs w:val="24"/>
              </w:rPr>
              <w:t>$0</w:t>
            </w:r>
          </w:p>
        </w:tc>
        <w:tc>
          <w:tcPr>
            <w:tcW w:w="996" w:type="dxa"/>
          </w:tcPr>
          <w:p w14:paraId="6A104135" w14:textId="19A1EF16" w:rsidR="0027005F" w:rsidRPr="00013F71" w:rsidRDefault="003E0707" w:rsidP="0027005F">
            <w:pPr>
              <w:widowControl w:val="0"/>
              <w:jc w:val="center"/>
              <w:rPr>
                <w:snapToGrid w:val="0"/>
                <w:sz w:val="24"/>
                <w:szCs w:val="24"/>
              </w:rPr>
            </w:pPr>
            <w:r w:rsidRPr="00013F71">
              <w:rPr>
                <w:snapToGrid w:val="0"/>
                <w:sz w:val="24"/>
                <w:szCs w:val="24"/>
              </w:rPr>
              <w:t>$52,600</w:t>
            </w:r>
          </w:p>
        </w:tc>
        <w:tc>
          <w:tcPr>
            <w:tcW w:w="1818" w:type="dxa"/>
          </w:tcPr>
          <w:p w14:paraId="0CA27A9B" w14:textId="4E2C5998" w:rsidR="0027005F" w:rsidRPr="00013F71" w:rsidRDefault="003E0707" w:rsidP="0027005F">
            <w:pPr>
              <w:widowControl w:val="0"/>
              <w:jc w:val="center"/>
              <w:rPr>
                <w:snapToGrid w:val="0"/>
                <w:sz w:val="24"/>
                <w:szCs w:val="24"/>
              </w:rPr>
            </w:pPr>
            <w:r w:rsidRPr="00013F71">
              <w:rPr>
                <w:snapToGrid w:val="0"/>
                <w:sz w:val="24"/>
                <w:szCs w:val="24"/>
              </w:rPr>
              <w:t>$1,013,600</w:t>
            </w:r>
          </w:p>
        </w:tc>
      </w:tr>
      <w:tr w:rsidR="0027005F" w:rsidRPr="00013F71" w14:paraId="68283910" w14:textId="77777777" w:rsidTr="0027005F">
        <w:tc>
          <w:tcPr>
            <w:tcW w:w="1307" w:type="dxa"/>
          </w:tcPr>
          <w:p w14:paraId="300A2AB6" w14:textId="0DD30CDA" w:rsidR="0027005F" w:rsidRPr="00013F71" w:rsidRDefault="0027005F" w:rsidP="0027005F">
            <w:pPr>
              <w:widowControl w:val="0"/>
              <w:jc w:val="center"/>
              <w:rPr>
                <w:snapToGrid w:val="0"/>
                <w:sz w:val="24"/>
                <w:szCs w:val="24"/>
              </w:rPr>
            </w:pPr>
            <w:r w:rsidRPr="00013F71">
              <w:rPr>
                <w:snapToGrid w:val="0"/>
                <w:sz w:val="24"/>
                <w:szCs w:val="24"/>
              </w:rPr>
              <w:t>2017</w:t>
            </w:r>
          </w:p>
        </w:tc>
        <w:tc>
          <w:tcPr>
            <w:tcW w:w="1203" w:type="dxa"/>
          </w:tcPr>
          <w:p w14:paraId="11156628" w14:textId="30ED659D" w:rsidR="0027005F" w:rsidRPr="00013F71" w:rsidRDefault="003E0707" w:rsidP="0027005F">
            <w:pPr>
              <w:widowControl w:val="0"/>
              <w:jc w:val="center"/>
              <w:rPr>
                <w:snapToGrid w:val="0"/>
                <w:sz w:val="24"/>
                <w:szCs w:val="24"/>
              </w:rPr>
            </w:pPr>
            <w:r w:rsidRPr="00013F71">
              <w:rPr>
                <w:snapToGrid w:val="0"/>
                <w:sz w:val="24"/>
                <w:szCs w:val="24"/>
              </w:rPr>
              <w:t>$171,700</w:t>
            </w:r>
          </w:p>
        </w:tc>
        <w:tc>
          <w:tcPr>
            <w:tcW w:w="1116" w:type="dxa"/>
          </w:tcPr>
          <w:p w14:paraId="7CFCBE6E" w14:textId="71E531B6" w:rsidR="0027005F" w:rsidRPr="00013F71" w:rsidRDefault="003E0707" w:rsidP="0027005F">
            <w:pPr>
              <w:widowControl w:val="0"/>
              <w:jc w:val="center"/>
              <w:rPr>
                <w:snapToGrid w:val="0"/>
                <w:sz w:val="24"/>
                <w:szCs w:val="24"/>
              </w:rPr>
            </w:pPr>
            <w:r w:rsidRPr="00013F71">
              <w:rPr>
                <w:snapToGrid w:val="0"/>
                <w:sz w:val="24"/>
                <w:szCs w:val="24"/>
              </w:rPr>
              <w:t>$470,500</w:t>
            </w:r>
          </w:p>
        </w:tc>
        <w:tc>
          <w:tcPr>
            <w:tcW w:w="1116" w:type="dxa"/>
          </w:tcPr>
          <w:p w14:paraId="0722811E" w14:textId="0B1D339E" w:rsidR="0027005F" w:rsidRPr="00013F71" w:rsidRDefault="003E0707" w:rsidP="0027005F">
            <w:pPr>
              <w:widowControl w:val="0"/>
              <w:jc w:val="center"/>
              <w:rPr>
                <w:snapToGrid w:val="0"/>
                <w:sz w:val="24"/>
                <w:szCs w:val="24"/>
              </w:rPr>
            </w:pPr>
            <w:r w:rsidRPr="00013F71">
              <w:rPr>
                <w:snapToGrid w:val="0"/>
                <w:sz w:val="24"/>
                <w:szCs w:val="24"/>
              </w:rPr>
              <w:t>$166,300</w:t>
            </w:r>
          </w:p>
        </w:tc>
        <w:tc>
          <w:tcPr>
            <w:tcW w:w="1116" w:type="dxa"/>
          </w:tcPr>
          <w:p w14:paraId="51C018D0" w14:textId="3610A368" w:rsidR="0027005F" w:rsidRPr="00013F71" w:rsidRDefault="003E0707" w:rsidP="0027005F">
            <w:pPr>
              <w:widowControl w:val="0"/>
              <w:jc w:val="center"/>
              <w:rPr>
                <w:snapToGrid w:val="0"/>
                <w:sz w:val="24"/>
                <w:szCs w:val="24"/>
              </w:rPr>
            </w:pPr>
            <w:r w:rsidRPr="00013F71">
              <w:rPr>
                <w:snapToGrid w:val="0"/>
                <w:sz w:val="24"/>
                <w:szCs w:val="24"/>
              </w:rPr>
              <w:t>$75,200</w:t>
            </w:r>
          </w:p>
        </w:tc>
        <w:tc>
          <w:tcPr>
            <w:tcW w:w="1083" w:type="dxa"/>
          </w:tcPr>
          <w:p w14:paraId="5184D740" w14:textId="3EDBD164" w:rsidR="0027005F" w:rsidRPr="00013F71" w:rsidRDefault="003E0707" w:rsidP="0027005F">
            <w:pPr>
              <w:widowControl w:val="0"/>
              <w:jc w:val="center"/>
              <w:rPr>
                <w:snapToGrid w:val="0"/>
                <w:sz w:val="24"/>
                <w:szCs w:val="24"/>
              </w:rPr>
            </w:pPr>
            <w:r w:rsidRPr="00013F71">
              <w:rPr>
                <w:snapToGrid w:val="0"/>
                <w:sz w:val="24"/>
                <w:szCs w:val="24"/>
              </w:rPr>
              <w:t>$43,700</w:t>
            </w:r>
          </w:p>
        </w:tc>
        <w:tc>
          <w:tcPr>
            <w:tcW w:w="1150" w:type="dxa"/>
          </w:tcPr>
          <w:p w14:paraId="70429D78" w14:textId="40F288B1" w:rsidR="0027005F" w:rsidRPr="00013F71" w:rsidRDefault="003E0707" w:rsidP="0027005F">
            <w:pPr>
              <w:widowControl w:val="0"/>
              <w:jc w:val="center"/>
              <w:rPr>
                <w:snapToGrid w:val="0"/>
                <w:sz w:val="24"/>
                <w:szCs w:val="24"/>
              </w:rPr>
            </w:pPr>
            <w:r w:rsidRPr="00013F71">
              <w:rPr>
                <w:snapToGrid w:val="0"/>
                <w:sz w:val="24"/>
                <w:szCs w:val="24"/>
              </w:rPr>
              <w:t>$33,900</w:t>
            </w:r>
          </w:p>
        </w:tc>
        <w:tc>
          <w:tcPr>
            <w:tcW w:w="1056" w:type="dxa"/>
          </w:tcPr>
          <w:p w14:paraId="46A00206" w14:textId="4AEDD9ED" w:rsidR="0027005F" w:rsidRPr="00013F71" w:rsidRDefault="003E0707" w:rsidP="0027005F">
            <w:pPr>
              <w:widowControl w:val="0"/>
              <w:jc w:val="center"/>
              <w:rPr>
                <w:snapToGrid w:val="0"/>
                <w:sz w:val="24"/>
                <w:szCs w:val="24"/>
              </w:rPr>
            </w:pPr>
            <w:r w:rsidRPr="00013F71">
              <w:rPr>
                <w:snapToGrid w:val="0"/>
                <w:sz w:val="24"/>
                <w:szCs w:val="24"/>
              </w:rPr>
              <w:t>$6,800</w:t>
            </w:r>
          </w:p>
        </w:tc>
        <w:tc>
          <w:tcPr>
            <w:tcW w:w="1083" w:type="dxa"/>
          </w:tcPr>
          <w:p w14:paraId="037A7CB8" w14:textId="7DE6D9F8" w:rsidR="0027005F" w:rsidRPr="00013F71" w:rsidRDefault="003E0707" w:rsidP="0027005F">
            <w:pPr>
              <w:widowControl w:val="0"/>
              <w:jc w:val="center"/>
              <w:rPr>
                <w:snapToGrid w:val="0"/>
                <w:sz w:val="24"/>
                <w:szCs w:val="24"/>
              </w:rPr>
            </w:pPr>
            <w:r w:rsidRPr="00013F71">
              <w:rPr>
                <w:snapToGrid w:val="0"/>
                <w:sz w:val="24"/>
                <w:szCs w:val="24"/>
              </w:rPr>
              <w:t>$11,400</w:t>
            </w:r>
          </w:p>
        </w:tc>
        <w:tc>
          <w:tcPr>
            <w:tcW w:w="996" w:type="dxa"/>
          </w:tcPr>
          <w:p w14:paraId="0D0F5ED6" w14:textId="1D6A7F4A" w:rsidR="0027005F" w:rsidRPr="00013F71" w:rsidRDefault="003E0707" w:rsidP="0027005F">
            <w:pPr>
              <w:widowControl w:val="0"/>
              <w:jc w:val="center"/>
              <w:rPr>
                <w:snapToGrid w:val="0"/>
                <w:sz w:val="24"/>
                <w:szCs w:val="24"/>
              </w:rPr>
            </w:pPr>
            <w:r w:rsidRPr="00013F71">
              <w:rPr>
                <w:snapToGrid w:val="0"/>
                <w:sz w:val="24"/>
                <w:szCs w:val="24"/>
              </w:rPr>
              <w:t>$0</w:t>
            </w:r>
          </w:p>
        </w:tc>
        <w:tc>
          <w:tcPr>
            <w:tcW w:w="996" w:type="dxa"/>
          </w:tcPr>
          <w:p w14:paraId="21B5EFDE" w14:textId="745DD11E" w:rsidR="0027005F" w:rsidRPr="00013F71" w:rsidRDefault="003E0707" w:rsidP="0027005F">
            <w:pPr>
              <w:widowControl w:val="0"/>
              <w:jc w:val="center"/>
              <w:rPr>
                <w:snapToGrid w:val="0"/>
                <w:sz w:val="24"/>
                <w:szCs w:val="24"/>
              </w:rPr>
            </w:pPr>
            <w:r w:rsidRPr="00013F71">
              <w:rPr>
                <w:snapToGrid w:val="0"/>
                <w:sz w:val="24"/>
                <w:szCs w:val="24"/>
              </w:rPr>
              <w:t>$52,600</w:t>
            </w:r>
          </w:p>
        </w:tc>
        <w:tc>
          <w:tcPr>
            <w:tcW w:w="1818" w:type="dxa"/>
          </w:tcPr>
          <w:p w14:paraId="5BBFCCFF" w14:textId="1675F310" w:rsidR="0027005F" w:rsidRPr="00013F71" w:rsidRDefault="003E0707" w:rsidP="0027005F">
            <w:pPr>
              <w:widowControl w:val="0"/>
              <w:jc w:val="center"/>
              <w:rPr>
                <w:snapToGrid w:val="0"/>
                <w:sz w:val="24"/>
                <w:szCs w:val="24"/>
              </w:rPr>
            </w:pPr>
            <w:r w:rsidRPr="00013F71">
              <w:rPr>
                <w:snapToGrid w:val="0"/>
                <w:sz w:val="24"/>
                <w:szCs w:val="24"/>
              </w:rPr>
              <w:t>$1,032,100</w:t>
            </w:r>
          </w:p>
        </w:tc>
      </w:tr>
      <w:tr w:rsidR="0027005F" w:rsidRPr="00013F71" w14:paraId="33422F5A" w14:textId="77777777" w:rsidTr="0027005F">
        <w:tc>
          <w:tcPr>
            <w:tcW w:w="1307" w:type="dxa"/>
          </w:tcPr>
          <w:p w14:paraId="6A220043" w14:textId="7D49A886" w:rsidR="0027005F" w:rsidRPr="00013F71" w:rsidRDefault="0027005F" w:rsidP="0027005F">
            <w:pPr>
              <w:widowControl w:val="0"/>
              <w:jc w:val="center"/>
              <w:rPr>
                <w:snapToGrid w:val="0"/>
                <w:sz w:val="24"/>
                <w:szCs w:val="24"/>
              </w:rPr>
            </w:pPr>
            <w:r w:rsidRPr="00013F71">
              <w:rPr>
                <w:snapToGrid w:val="0"/>
                <w:sz w:val="24"/>
                <w:szCs w:val="24"/>
              </w:rPr>
              <w:t>2018</w:t>
            </w:r>
          </w:p>
        </w:tc>
        <w:tc>
          <w:tcPr>
            <w:tcW w:w="1203" w:type="dxa"/>
          </w:tcPr>
          <w:p w14:paraId="3571084C" w14:textId="1E5FF40E" w:rsidR="0027005F" w:rsidRPr="00013F71" w:rsidRDefault="003E0707" w:rsidP="0027005F">
            <w:pPr>
              <w:widowControl w:val="0"/>
              <w:jc w:val="center"/>
              <w:rPr>
                <w:snapToGrid w:val="0"/>
                <w:sz w:val="24"/>
                <w:szCs w:val="24"/>
              </w:rPr>
            </w:pPr>
            <w:r w:rsidRPr="00013F71">
              <w:rPr>
                <w:snapToGrid w:val="0"/>
                <w:sz w:val="24"/>
                <w:szCs w:val="24"/>
              </w:rPr>
              <w:t>$175,700</w:t>
            </w:r>
          </w:p>
        </w:tc>
        <w:tc>
          <w:tcPr>
            <w:tcW w:w="1116" w:type="dxa"/>
          </w:tcPr>
          <w:p w14:paraId="4C580C0C" w14:textId="00B0FC9F" w:rsidR="0027005F" w:rsidRPr="00013F71" w:rsidRDefault="003E0707" w:rsidP="0027005F">
            <w:pPr>
              <w:widowControl w:val="0"/>
              <w:jc w:val="center"/>
              <w:rPr>
                <w:snapToGrid w:val="0"/>
                <w:sz w:val="24"/>
                <w:szCs w:val="24"/>
              </w:rPr>
            </w:pPr>
            <w:r w:rsidRPr="00013F71">
              <w:rPr>
                <w:snapToGrid w:val="0"/>
                <w:sz w:val="24"/>
                <w:szCs w:val="24"/>
              </w:rPr>
              <w:t>$479,100</w:t>
            </w:r>
          </w:p>
        </w:tc>
        <w:tc>
          <w:tcPr>
            <w:tcW w:w="1116" w:type="dxa"/>
          </w:tcPr>
          <w:p w14:paraId="68D30A4A" w14:textId="6D665D7B" w:rsidR="0027005F" w:rsidRPr="00013F71" w:rsidRDefault="003E0707" w:rsidP="0027005F">
            <w:pPr>
              <w:widowControl w:val="0"/>
              <w:jc w:val="center"/>
              <w:rPr>
                <w:snapToGrid w:val="0"/>
                <w:sz w:val="24"/>
                <w:szCs w:val="24"/>
              </w:rPr>
            </w:pPr>
            <w:r w:rsidRPr="00013F71">
              <w:rPr>
                <w:snapToGrid w:val="0"/>
                <w:sz w:val="24"/>
                <w:szCs w:val="24"/>
              </w:rPr>
              <w:t>$176,700</w:t>
            </w:r>
          </w:p>
        </w:tc>
        <w:tc>
          <w:tcPr>
            <w:tcW w:w="1116" w:type="dxa"/>
          </w:tcPr>
          <w:p w14:paraId="033EA23C" w14:textId="3759B023" w:rsidR="0027005F" w:rsidRPr="00013F71" w:rsidRDefault="003E0707" w:rsidP="0027005F">
            <w:pPr>
              <w:widowControl w:val="0"/>
              <w:jc w:val="center"/>
              <w:rPr>
                <w:snapToGrid w:val="0"/>
                <w:sz w:val="24"/>
                <w:szCs w:val="24"/>
              </w:rPr>
            </w:pPr>
            <w:r w:rsidRPr="00013F71">
              <w:rPr>
                <w:snapToGrid w:val="0"/>
                <w:sz w:val="24"/>
                <w:szCs w:val="24"/>
              </w:rPr>
              <w:t>$72,200</w:t>
            </w:r>
          </w:p>
        </w:tc>
        <w:tc>
          <w:tcPr>
            <w:tcW w:w="1083" w:type="dxa"/>
          </w:tcPr>
          <w:p w14:paraId="14E29A1D" w14:textId="7B852B52" w:rsidR="0027005F" w:rsidRPr="00013F71" w:rsidRDefault="003E0707" w:rsidP="0027005F">
            <w:pPr>
              <w:widowControl w:val="0"/>
              <w:jc w:val="center"/>
              <w:rPr>
                <w:snapToGrid w:val="0"/>
                <w:sz w:val="24"/>
                <w:szCs w:val="24"/>
              </w:rPr>
            </w:pPr>
            <w:r w:rsidRPr="00013F71">
              <w:rPr>
                <w:snapToGrid w:val="0"/>
                <w:sz w:val="24"/>
                <w:szCs w:val="24"/>
              </w:rPr>
              <w:t>$43,700</w:t>
            </w:r>
          </w:p>
        </w:tc>
        <w:tc>
          <w:tcPr>
            <w:tcW w:w="1150" w:type="dxa"/>
          </w:tcPr>
          <w:p w14:paraId="543EF47F" w14:textId="3372B6D5" w:rsidR="0027005F" w:rsidRPr="00013F71" w:rsidRDefault="003E0707" w:rsidP="0027005F">
            <w:pPr>
              <w:widowControl w:val="0"/>
              <w:jc w:val="center"/>
              <w:rPr>
                <w:snapToGrid w:val="0"/>
                <w:sz w:val="24"/>
                <w:szCs w:val="24"/>
              </w:rPr>
            </w:pPr>
            <w:r w:rsidRPr="00013F71">
              <w:rPr>
                <w:snapToGrid w:val="0"/>
                <w:sz w:val="24"/>
                <w:szCs w:val="24"/>
              </w:rPr>
              <w:t>$33,900</w:t>
            </w:r>
          </w:p>
        </w:tc>
        <w:tc>
          <w:tcPr>
            <w:tcW w:w="1056" w:type="dxa"/>
          </w:tcPr>
          <w:p w14:paraId="0E369231" w14:textId="6D2739C8" w:rsidR="0027005F" w:rsidRPr="00013F71" w:rsidRDefault="003E0707" w:rsidP="0027005F">
            <w:pPr>
              <w:widowControl w:val="0"/>
              <w:jc w:val="center"/>
              <w:rPr>
                <w:snapToGrid w:val="0"/>
                <w:sz w:val="24"/>
                <w:szCs w:val="24"/>
              </w:rPr>
            </w:pPr>
            <w:r w:rsidRPr="00013F71">
              <w:rPr>
                <w:snapToGrid w:val="0"/>
                <w:sz w:val="24"/>
                <w:szCs w:val="24"/>
              </w:rPr>
              <w:t>$6,800</w:t>
            </w:r>
          </w:p>
        </w:tc>
        <w:tc>
          <w:tcPr>
            <w:tcW w:w="1083" w:type="dxa"/>
          </w:tcPr>
          <w:p w14:paraId="5E932469" w14:textId="26D69426" w:rsidR="0027005F" w:rsidRPr="00013F71" w:rsidRDefault="003E0707" w:rsidP="0027005F">
            <w:pPr>
              <w:widowControl w:val="0"/>
              <w:jc w:val="center"/>
              <w:rPr>
                <w:snapToGrid w:val="0"/>
                <w:sz w:val="24"/>
                <w:szCs w:val="24"/>
              </w:rPr>
            </w:pPr>
            <w:r w:rsidRPr="00013F71">
              <w:rPr>
                <w:snapToGrid w:val="0"/>
                <w:sz w:val="24"/>
                <w:szCs w:val="24"/>
              </w:rPr>
              <w:t>$11,400</w:t>
            </w:r>
          </w:p>
        </w:tc>
        <w:tc>
          <w:tcPr>
            <w:tcW w:w="996" w:type="dxa"/>
          </w:tcPr>
          <w:p w14:paraId="4DE8BC57" w14:textId="5B3665A6" w:rsidR="0027005F" w:rsidRPr="00013F71" w:rsidRDefault="003E0707" w:rsidP="0027005F">
            <w:pPr>
              <w:widowControl w:val="0"/>
              <w:jc w:val="center"/>
              <w:rPr>
                <w:snapToGrid w:val="0"/>
                <w:sz w:val="24"/>
                <w:szCs w:val="24"/>
              </w:rPr>
            </w:pPr>
            <w:r w:rsidRPr="00013F71">
              <w:rPr>
                <w:snapToGrid w:val="0"/>
                <w:sz w:val="24"/>
                <w:szCs w:val="24"/>
              </w:rPr>
              <w:t>$0</w:t>
            </w:r>
          </w:p>
        </w:tc>
        <w:tc>
          <w:tcPr>
            <w:tcW w:w="996" w:type="dxa"/>
          </w:tcPr>
          <w:p w14:paraId="748E3A88" w14:textId="7FF5254A" w:rsidR="0027005F" w:rsidRPr="00013F71" w:rsidRDefault="003E0707" w:rsidP="0027005F">
            <w:pPr>
              <w:widowControl w:val="0"/>
              <w:jc w:val="center"/>
              <w:rPr>
                <w:snapToGrid w:val="0"/>
                <w:sz w:val="24"/>
                <w:szCs w:val="24"/>
              </w:rPr>
            </w:pPr>
            <w:r w:rsidRPr="00013F71">
              <w:rPr>
                <w:snapToGrid w:val="0"/>
                <w:sz w:val="24"/>
                <w:szCs w:val="24"/>
              </w:rPr>
              <w:t>$52,600</w:t>
            </w:r>
          </w:p>
        </w:tc>
        <w:tc>
          <w:tcPr>
            <w:tcW w:w="1818" w:type="dxa"/>
          </w:tcPr>
          <w:p w14:paraId="0F6866F3" w14:textId="5DC3964F" w:rsidR="0027005F" w:rsidRPr="00013F71" w:rsidRDefault="003E0707" w:rsidP="0027005F">
            <w:pPr>
              <w:widowControl w:val="0"/>
              <w:jc w:val="center"/>
              <w:rPr>
                <w:snapToGrid w:val="0"/>
                <w:sz w:val="24"/>
                <w:szCs w:val="24"/>
              </w:rPr>
            </w:pPr>
            <w:r w:rsidRPr="00013F71">
              <w:rPr>
                <w:snapToGrid w:val="0"/>
                <w:sz w:val="24"/>
                <w:szCs w:val="24"/>
              </w:rPr>
              <w:t>$1,052,100</w:t>
            </w:r>
          </w:p>
        </w:tc>
      </w:tr>
      <w:tr w:rsidR="0027005F" w:rsidRPr="00013F71" w14:paraId="3939E278" w14:textId="77777777" w:rsidTr="0027005F">
        <w:tc>
          <w:tcPr>
            <w:tcW w:w="1307" w:type="dxa"/>
          </w:tcPr>
          <w:p w14:paraId="0D1F5695" w14:textId="4F1BEC6B" w:rsidR="0027005F" w:rsidRPr="00013F71" w:rsidRDefault="0027005F" w:rsidP="0027005F">
            <w:pPr>
              <w:widowControl w:val="0"/>
              <w:jc w:val="center"/>
              <w:rPr>
                <w:snapToGrid w:val="0"/>
                <w:sz w:val="24"/>
                <w:szCs w:val="24"/>
              </w:rPr>
            </w:pPr>
            <w:r w:rsidRPr="00013F71">
              <w:rPr>
                <w:snapToGrid w:val="0"/>
                <w:sz w:val="24"/>
                <w:szCs w:val="24"/>
              </w:rPr>
              <w:t>2019</w:t>
            </w:r>
          </w:p>
        </w:tc>
        <w:tc>
          <w:tcPr>
            <w:tcW w:w="1203" w:type="dxa"/>
          </w:tcPr>
          <w:p w14:paraId="06493F2A" w14:textId="62228384" w:rsidR="0027005F" w:rsidRPr="00013F71" w:rsidRDefault="003E0707" w:rsidP="0027005F">
            <w:pPr>
              <w:widowControl w:val="0"/>
              <w:jc w:val="center"/>
              <w:rPr>
                <w:snapToGrid w:val="0"/>
                <w:sz w:val="24"/>
                <w:szCs w:val="24"/>
              </w:rPr>
            </w:pPr>
            <w:r w:rsidRPr="00013F71">
              <w:rPr>
                <w:snapToGrid w:val="0"/>
                <w:sz w:val="24"/>
                <w:szCs w:val="24"/>
              </w:rPr>
              <w:t>$178,300</w:t>
            </w:r>
          </w:p>
        </w:tc>
        <w:tc>
          <w:tcPr>
            <w:tcW w:w="1116" w:type="dxa"/>
          </w:tcPr>
          <w:p w14:paraId="4308E81A" w14:textId="20D809A6" w:rsidR="0027005F" w:rsidRPr="00013F71" w:rsidRDefault="003E0707" w:rsidP="0027005F">
            <w:pPr>
              <w:widowControl w:val="0"/>
              <w:jc w:val="center"/>
              <w:rPr>
                <w:snapToGrid w:val="0"/>
                <w:sz w:val="24"/>
                <w:szCs w:val="24"/>
              </w:rPr>
            </w:pPr>
            <w:r w:rsidRPr="00013F71">
              <w:rPr>
                <w:snapToGrid w:val="0"/>
                <w:sz w:val="24"/>
                <w:szCs w:val="24"/>
              </w:rPr>
              <w:t>$491,600</w:t>
            </w:r>
          </w:p>
        </w:tc>
        <w:tc>
          <w:tcPr>
            <w:tcW w:w="1116" w:type="dxa"/>
          </w:tcPr>
          <w:p w14:paraId="47BD0FFA" w14:textId="5C4565FC" w:rsidR="0027005F" w:rsidRPr="00013F71" w:rsidRDefault="003E0707" w:rsidP="0027005F">
            <w:pPr>
              <w:widowControl w:val="0"/>
              <w:jc w:val="center"/>
              <w:rPr>
                <w:snapToGrid w:val="0"/>
                <w:sz w:val="24"/>
                <w:szCs w:val="24"/>
              </w:rPr>
            </w:pPr>
            <w:r w:rsidRPr="00013F71">
              <w:rPr>
                <w:snapToGrid w:val="0"/>
                <w:sz w:val="24"/>
                <w:szCs w:val="24"/>
              </w:rPr>
              <w:t>$185,700</w:t>
            </w:r>
          </w:p>
        </w:tc>
        <w:tc>
          <w:tcPr>
            <w:tcW w:w="1116" w:type="dxa"/>
          </w:tcPr>
          <w:p w14:paraId="3B1ABE31" w14:textId="06C70303" w:rsidR="0027005F" w:rsidRPr="00013F71" w:rsidRDefault="003E0707" w:rsidP="0027005F">
            <w:pPr>
              <w:widowControl w:val="0"/>
              <w:jc w:val="center"/>
              <w:rPr>
                <w:snapToGrid w:val="0"/>
                <w:sz w:val="24"/>
                <w:szCs w:val="24"/>
              </w:rPr>
            </w:pPr>
            <w:r w:rsidRPr="00013F71">
              <w:rPr>
                <w:snapToGrid w:val="0"/>
                <w:sz w:val="24"/>
                <w:szCs w:val="24"/>
              </w:rPr>
              <w:t>$70,900</w:t>
            </w:r>
          </w:p>
        </w:tc>
        <w:tc>
          <w:tcPr>
            <w:tcW w:w="1083" w:type="dxa"/>
          </w:tcPr>
          <w:p w14:paraId="0BFF2583" w14:textId="37BA275F" w:rsidR="0027005F" w:rsidRPr="00013F71" w:rsidRDefault="003E0707" w:rsidP="0027005F">
            <w:pPr>
              <w:widowControl w:val="0"/>
              <w:jc w:val="center"/>
              <w:rPr>
                <w:snapToGrid w:val="0"/>
                <w:sz w:val="24"/>
                <w:szCs w:val="24"/>
              </w:rPr>
            </w:pPr>
            <w:r w:rsidRPr="00013F71">
              <w:rPr>
                <w:snapToGrid w:val="0"/>
                <w:sz w:val="24"/>
                <w:szCs w:val="24"/>
              </w:rPr>
              <w:t>$43,700</w:t>
            </w:r>
          </w:p>
        </w:tc>
        <w:tc>
          <w:tcPr>
            <w:tcW w:w="1150" w:type="dxa"/>
          </w:tcPr>
          <w:p w14:paraId="564EBF8C" w14:textId="52DCDCA0" w:rsidR="0027005F" w:rsidRPr="00013F71" w:rsidRDefault="003E0707" w:rsidP="0027005F">
            <w:pPr>
              <w:widowControl w:val="0"/>
              <w:jc w:val="center"/>
              <w:rPr>
                <w:snapToGrid w:val="0"/>
                <w:sz w:val="24"/>
                <w:szCs w:val="24"/>
              </w:rPr>
            </w:pPr>
            <w:r w:rsidRPr="00013F71">
              <w:rPr>
                <w:snapToGrid w:val="0"/>
                <w:sz w:val="24"/>
                <w:szCs w:val="24"/>
              </w:rPr>
              <w:t>$33,900</w:t>
            </w:r>
          </w:p>
        </w:tc>
        <w:tc>
          <w:tcPr>
            <w:tcW w:w="1056" w:type="dxa"/>
          </w:tcPr>
          <w:p w14:paraId="2617371A" w14:textId="14E09330" w:rsidR="0027005F" w:rsidRPr="00013F71" w:rsidRDefault="003E0707" w:rsidP="0027005F">
            <w:pPr>
              <w:widowControl w:val="0"/>
              <w:jc w:val="center"/>
              <w:rPr>
                <w:snapToGrid w:val="0"/>
                <w:sz w:val="24"/>
                <w:szCs w:val="24"/>
              </w:rPr>
            </w:pPr>
            <w:r w:rsidRPr="00013F71">
              <w:rPr>
                <w:snapToGrid w:val="0"/>
                <w:sz w:val="24"/>
                <w:szCs w:val="24"/>
              </w:rPr>
              <w:t>$6,800</w:t>
            </w:r>
          </w:p>
        </w:tc>
        <w:tc>
          <w:tcPr>
            <w:tcW w:w="1083" w:type="dxa"/>
          </w:tcPr>
          <w:p w14:paraId="63A9A0BB" w14:textId="10FE465B" w:rsidR="0027005F" w:rsidRPr="00013F71" w:rsidRDefault="003E0707" w:rsidP="0027005F">
            <w:pPr>
              <w:widowControl w:val="0"/>
              <w:jc w:val="center"/>
              <w:rPr>
                <w:snapToGrid w:val="0"/>
                <w:sz w:val="24"/>
                <w:szCs w:val="24"/>
              </w:rPr>
            </w:pPr>
            <w:r w:rsidRPr="00013F71">
              <w:rPr>
                <w:snapToGrid w:val="0"/>
                <w:sz w:val="24"/>
                <w:szCs w:val="24"/>
              </w:rPr>
              <w:t>$11,400</w:t>
            </w:r>
          </w:p>
        </w:tc>
        <w:tc>
          <w:tcPr>
            <w:tcW w:w="996" w:type="dxa"/>
          </w:tcPr>
          <w:p w14:paraId="7D88204A" w14:textId="50E6745C" w:rsidR="0027005F" w:rsidRPr="00013F71" w:rsidRDefault="003E0707" w:rsidP="0027005F">
            <w:pPr>
              <w:widowControl w:val="0"/>
              <w:jc w:val="center"/>
              <w:rPr>
                <w:snapToGrid w:val="0"/>
                <w:sz w:val="24"/>
                <w:szCs w:val="24"/>
              </w:rPr>
            </w:pPr>
            <w:r w:rsidRPr="00013F71">
              <w:rPr>
                <w:snapToGrid w:val="0"/>
                <w:sz w:val="24"/>
                <w:szCs w:val="24"/>
              </w:rPr>
              <w:t>$0</w:t>
            </w:r>
          </w:p>
        </w:tc>
        <w:tc>
          <w:tcPr>
            <w:tcW w:w="996" w:type="dxa"/>
          </w:tcPr>
          <w:p w14:paraId="6A4BA879" w14:textId="7AA477BF" w:rsidR="0027005F" w:rsidRPr="00013F71" w:rsidRDefault="003E0707" w:rsidP="0027005F">
            <w:pPr>
              <w:widowControl w:val="0"/>
              <w:jc w:val="center"/>
              <w:rPr>
                <w:snapToGrid w:val="0"/>
                <w:sz w:val="24"/>
                <w:szCs w:val="24"/>
              </w:rPr>
            </w:pPr>
            <w:r w:rsidRPr="00013F71">
              <w:rPr>
                <w:snapToGrid w:val="0"/>
                <w:sz w:val="24"/>
                <w:szCs w:val="24"/>
              </w:rPr>
              <w:t>$52,600</w:t>
            </w:r>
          </w:p>
        </w:tc>
        <w:tc>
          <w:tcPr>
            <w:tcW w:w="1818" w:type="dxa"/>
          </w:tcPr>
          <w:p w14:paraId="738B11E1" w14:textId="336A4757" w:rsidR="0027005F" w:rsidRPr="00013F71" w:rsidRDefault="003E0707" w:rsidP="0027005F">
            <w:pPr>
              <w:widowControl w:val="0"/>
              <w:jc w:val="center"/>
              <w:rPr>
                <w:snapToGrid w:val="0"/>
                <w:sz w:val="24"/>
                <w:szCs w:val="24"/>
              </w:rPr>
            </w:pPr>
            <w:r w:rsidRPr="00013F71">
              <w:rPr>
                <w:snapToGrid w:val="0"/>
                <w:sz w:val="24"/>
                <w:szCs w:val="24"/>
              </w:rPr>
              <w:t>$1,074,900</w:t>
            </w:r>
          </w:p>
        </w:tc>
      </w:tr>
      <w:tr w:rsidR="0027005F" w:rsidRPr="00013F71" w14:paraId="4576C56B" w14:textId="77777777" w:rsidTr="0027005F">
        <w:tc>
          <w:tcPr>
            <w:tcW w:w="1307" w:type="dxa"/>
          </w:tcPr>
          <w:p w14:paraId="7CB1E7A3" w14:textId="1CDC6BAF" w:rsidR="0027005F" w:rsidRPr="00013F71" w:rsidRDefault="0027005F" w:rsidP="0027005F">
            <w:pPr>
              <w:widowControl w:val="0"/>
              <w:jc w:val="center"/>
              <w:rPr>
                <w:snapToGrid w:val="0"/>
                <w:sz w:val="24"/>
                <w:szCs w:val="24"/>
              </w:rPr>
            </w:pPr>
            <w:r w:rsidRPr="00013F71">
              <w:rPr>
                <w:snapToGrid w:val="0"/>
                <w:sz w:val="24"/>
                <w:szCs w:val="24"/>
              </w:rPr>
              <w:t>2020</w:t>
            </w:r>
          </w:p>
        </w:tc>
        <w:tc>
          <w:tcPr>
            <w:tcW w:w="1203" w:type="dxa"/>
          </w:tcPr>
          <w:p w14:paraId="50105472" w14:textId="611C5543" w:rsidR="0027005F" w:rsidRPr="00013F71" w:rsidRDefault="003E0707" w:rsidP="0027005F">
            <w:pPr>
              <w:widowControl w:val="0"/>
              <w:jc w:val="center"/>
              <w:rPr>
                <w:snapToGrid w:val="0"/>
                <w:sz w:val="24"/>
                <w:szCs w:val="24"/>
              </w:rPr>
            </w:pPr>
            <w:r w:rsidRPr="00013F71">
              <w:rPr>
                <w:snapToGrid w:val="0"/>
                <w:sz w:val="24"/>
                <w:szCs w:val="24"/>
              </w:rPr>
              <w:t>$178,100</w:t>
            </w:r>
          </w:p>
        </w:tc>
        <w:tc>
          <w:tcPr>
            <w:tcW w:w="1116" w:type="dxa"/>
          </w:tcPr>
          <w:p w14:paraId="1D84798D" w14:textId="1AF6ED64" w:rsidR="0027005F" w:rsidRPr="00013F71" w:rsidRDefault="003E0707" w:rsidP="0027005F">
            <w:pPr>
              <w:widowControl w:val="0"/>
              <w:jc w:val="center"/>
              <w:rPr>
                <w:snapToGrid w:val="0"/>
                <w:sz w:val="24"/>
                <w:szCs w:val="24"/>
              </w:rPr>
            </w:pPr>
            <w:r w:rsidRPr="00013F71">
              <w:rPr>
                <w:snapToGrid w:val="0"/>
                <w:sz w:val="24"/>
                <w:szCs w:val="24"/>
              </w:rPr>
              <w:t>$498,500</w:t>
            </w:r>
          </w:p>
        </w:tc>
        <w:tc>
          <w:tcPr>
            <w:tcW w:w="1116" w:type="dxa"/>
          </w:tcPr>
          <w:p w14:paraId="7E37CB6B" w14:textId="0DFDCA45" w:rsidR="0027005F" w:rsidRPr="00013F71" w:rsidRDefault="003E0707" w:rsidP="0027005F">
            <w:pPr>
              <w:widowControl w:val="0"/>
              <w:jc w:val="center"/>
              <w:rPr>
                <w:snapToGrid w:val="0"/>
                <w:sz w:val="24"/>
                <w:szCs w:val="24"/>
              </w:rPr>
            </w:pPr>
            <w:r w:rsidRPr="00013F71">
              <w:rPr>
                <w:snapToGrid w:val="0"/>
                <w:sz w:val="24"/>
                <w:szCs w:val="24"/>
              </w:rPr>
              <w:t>$191,700</w:t>
            </w:r>
          </w:p>
        </w:tc>
        <w:tc>
          <w:tcPr>
            <w:tcW w:w="1116" w:type="dxa"/>
          </w:tcPr>
          <w:p w14:paraId="3D83C6BA" w14:textId="1BCB4AD5" w:rsidR="0027005F" w:rsidRPr="00013F71" w:rsidRDefault="003E0707" w:rsidP="0027005F">
            <w:pPr>
              <w:widowControl w:val="0"/>
              <w:jc w:val="center"/>
              <w:rPr>
                <w:snapToGrid w:val="0"/>
                <w:sz w:val="24"/>
                <w:szCs w:val="24"/>
              </w:rPr>
            </w:pPr>
            <w:r w:rsidRPr="00013F71">
              <w:rPr>
                <w:snapToGrid w:val="0"/>
                <w:sz w:val="24"/>
                <w:szCs w:val="24"/>
              </w:rPr>
              <w:t>$69,800</w:t>
            </w:r>
          </w:p>
        </w:tc>
        <w:tc>
          <w:tcPr>
            <w:tcW w:w="1083" w:type="dxa"/>
          </w:tcPr>
          <w:p w14:paraId="036B94FB" w14:textId="61027E75" w:rsidR="0027005F" w:rsidRPr="00013F71" w:rsidRDefault="003E0707" w:rsidP="0027005F">
            <w:pPr>
              <w:widowControl w:val="0"/>
              <w:jc w:val="center"/>
              <w:rPr>
                <w:snapToGrid w:val="0"/>
                <w:sz w:val="24"/>
                <w:szCs w:val="24"/>
              </w:rPr>
            </w:pPr>
            <w:r w:rsidRPr="00013F71">
              <w:rPr>
                <w:snapToGrid w:val="0"/>
                <w:sz w:val="24"/>
                <w:szCs w:val="24"/>
              </w:rPr>
              <w:t>$43,700</w:t>
            </w:r>
          </w:p>
        </w:tc>
        <w:tc>
          <w:tcPr>
            <w:tcW w:w="1150" w:type="dxa"/>
          </w:tcPr>
          <w:p w14:paraId="513F18A1" w14:textId="7E08B865" w:rsidR="0027005F" w:rsidRPr="00013F71" w:rsidRDefault="003E0707" w:rsidP="0027005F">
            <w:pPr>
              <w:widowControl w:val="0"/>
              <w:jc w:val="center"/>
              <w:rPr>
                <w:snapToGrid w:val="0"/>
                <w:sz w:val="24"/>
                <w:szCs w:val="24"/>
              </w:rPr>
            </w:pPr>
            <w:r w:rsidRPr="00013F71">
              <w:rPr>
                <w:snapToGrid w:val="0"/>
                <w:sz w:val="24"/>
                <w:szCs w:val="24"/>
              </w:rPr>
              <w:t>$33,900</w:t>
            </w:r>
          </w:p>
        </w:tc>
        <w:tc>
          <w:tcPr>
            <w:tcW w:w="1056" w:type="dxa"/>
          </w:tcPr>
          <w:p w14:paraId="7CA0C235" w14:textId="067B50B6" w:rsidR="0027005F" w:rsidRPr="00013F71" w:rsidRDefault="003E0707" w:rsidP="0027005F">
            <w:pPr>
              <w:widowControl w:val="0"/>
              <w:jc w:val="center"/>
              <w:rPr>
                <w:snapToGrid w:val="0"/>
                <w:sz w:val="24"/>
                <w:szCs w:val="24"/>
              </w:rPr>
            </w:pPr>
            <w:r w:rsidRPr="00013F71">
              <w:rPr>
                <w:snapToGrid w:val="0"/>
                <w:sz w:val="24"/>
                <w:szCs w:val="24"/>
              </w:rPr>
              <w:t>$6,800</w:t>
            </w:r>
          </w:p>
        </w:tc>
        <w:tc>
          <w:tcPr>
            <w:tcW w:w="1083" w:type="dxa"/>
          </w:tcPr>
          <w:p w14:paraId="3E4776C5" w14:textId="05DDCEA7" w:rsidR="0027005F" w:rsidRPr="00013F71" w:rsidRDefault="003E0707" w:rsidP="0027005F">
            <w:pPr>
              <w:widowControl w:val="0"/>
              <w:jc w:val="center"/>
              <w:rPr>
                <w:snapToGrid w:val="0"/>
                <w:sz w:val="24"/>
                <w:szCs w:val="24"/>
              </w:rPr>
            </w:pPr>
            <w:r w:rsidRPr="00013F71">
              <w:rPr>
                <w:snapToGrid w:val="0"/>
                <w:sz w:val="24"/>
                <w:szCs w:val="24"/>
              </w:rPr>
              <w:t>$11,400</w:t>
            </w:r>
          </w:p>
        </w:tc>
        <w:tc>
          <w:tcPr>
            <w:tcW w:w="996" w:type="dxa"/>
          </w:tcPr>
          <w:p w14:paraId="56A445CC" w14:textId="340ACC35" w:rsidR="0027005F" w:rsidRPr="00013F71" w:rsidRDefault="003E0707" w:rsidP="0027005F">
            <w:pPr>
              <w:widowControl w:val="0"/>
              <w:jc w:val="center"/>
              <w:rPr>
                <w:snapToGrid w:val="0"/>
                <w:sz w:val="24"/>
                <w:szCs w:val="24"/>
              </w:rPr>
            </w:pPr>
            <w:r w:rsidRPr="00013F71">
              <w:rPr>
                <w:snapToGrid w:val="0"/>
                <w:sz w:val="24"/>
                <w:szCs w:val="24"/>
              </w:rPr>
              <w:t>$0</w:t>
            </w:r>
          </w:p>
        </w:tc>
        <w:tc>
          <w:tcPr>
            <w:tcW w:w="996" w:type="dxa"/>
          </w:tcPr>
          <w:p w14:paraId="771681F7" w14:textId="1292E1EF" w:rsidR="0027005F" w:rsidRPr="00013F71" w:rsidRDefault="003E0707" w:rsidP="0027005F">
            <w:pPr>
              <w:widowControl w:val="0"/>
              <w:jc w:val="center"/>
              <w:rPr>
                <w:snapToGrid w:val="0"/>
                <w:sz w:val="24"/>
                <w:szCs w:val="24"/>
              </w:rPr>
            </w:pPr>
            <w:r w:rsidRPr="00013F71">
              <w:rPr>
                <w:snapToGrid w:val="0"/>
                <w:sz w:val="24"/>
                <w:szCs w:val="24"/>
              </w:rPr>
              <w:t>$52,600</w:t>
            </w:r>
          </w:p>
        </w:tc>
        <w:tc>
          <w:tcPr>
            <w:tcW w:w="1818" w:type="dxa"/>
          </w:tcPr>
          <w:p w14:paraId="3584DF49" w14:textId="0F3FAB00" w:rsidR="0027005F" w:rsidRPr="00013F71" w:rsidRDefault="003E0707" w:rsidP="0027005F">
            <w:pPr>
              <w:widowControl w:val="0"/>
              <w:jc w:val="center"/>
              <w:rPr>
                <w:snapToGrid w:val="0"/>
                <w:sz w:val="24"/>
                <w:szCs w:val="24"/>
              </w:rPr>
            </w:pPr>
            <w:r w:rsidRPr="00013F71">
              <w:rPr>
                <w:snapToGrid w:val="0"/>
                <w:sz w:val="24"/>
                <w:szCs w:val="24"/>
              </w:rPr>
              <w:t>$1,086,500</w:t>
            </w:r>
          </w:p>
        </w:tc>
      </w:tr>
    </w:tbl>
    <w:p w14:paraId="030FADA5" w14:textId="0E54DCF7" w:rsidR="00C26571" w:rsidRPr="00013F71" w:rsidRDefault="00C26571" w:rsidP="00C26571">
      <w:pPr>
        <w:widowControl w:val="0"/>
        <w:jc w:val="center"/>
        <w:rPr>
          <w:snapToGrid w:val="0"/>
          <w:sz w:val="24"/>
          <w:szCs w:val="24"/>
        </w:rPr>
      </w:pPr>
    </w:p>
    <w:p w14:paraId="7334AF2E" w14:textId="3F32499B" w:rsidR="00C26571" w:rsidRPr="00013F71" w:rsidRDefault="003552E0" w:rsidP="00665196">
      <w:pPr>
        <w:widowControl w:val="0"/>
        <w:ind w:hanging="1260"/>
        <w:rPr>
          <w:sz w:val="16"/>
          <w:szCs w:val="16"/>
        </w:rPr>
      </w:pPr>
      <w:r w:rsidRPr="00013F71">
        <w:rPr>
          <w:snapToGrid w:val="0"/>
          <w:sz w:val="16"/>
          <w:szCs w:val="16"/>
        </w:rPr>
        <w:t>Source: January 2016</w:t>
      </w:r>
      <w:r w:rsidR="00954277" w:rsidRPr="00013F71">
        <w:rPr>
          <w:snapToGrid w:val="0"/>
          <w:sz w:val="16"/>
          <w:szCs w:val="16"/>
        </w:rPr>
        <w:t xml:space="preserve"> Wyoming CREG Report</w:t>
      </w:r>
      <w:r w:rsidR="00C26571" w:rsidRPr="00013F71">
        <w:rPr>
          <w:snapToGrid w:val="0"/>
          <w:sz w:val="16"/>
          <w:szCs w:val="16"/>
        </w:rPr>
        <w:t xml:space="preserve">. </w:t>
      </w:r>
      <w:r w:rsidR="00954277" w:rsidRPr="00013F71">
        <w:rPr>
          <w:sz w:val="16"/>
          <w:szCs w:val="16"/>
        </w:rPr>
        <w:t>http://eadiv.</w:t>
      </w:r>
      <w:r w:rsidRPr="00013F71">
        <w:rPr>
          <w:sz w:val="16"/>
          <w:szCs w:val="16"/>
        </w:rPr>
        <w:t>state.wy.us/creg/GreenCREG_Jan16</w:t>
      </w:r>
      <w:r w:rsidR="00954277" w:rsidRPr="00013F71">
        <w:rPr>
          <w:sz w:val="16"/>
          <w:szCs w:val="16"/>
        </w:rPr>
        <w:t>.pdf</w:t>
      </w:r>
    </w:p>
    <w:p w14:paraId="4BC39C66" w14:textId="5AB25170" w:rsidR="00A7274D" w:rsidRPr="00013F71" w:rsidRDefault="00A7274D">
      <w:pPr>
        <w:rPr>
          <w:sz w:val="16"/>
          <w:szCs w:val="16"/>
        </w:rPr>
      </w:pPr>
    </w:p>
    <w:p w14:paraId="05EB2303" w14:textId="77777777" w:rsidR="00954277" w:rsidRPr="00013F71" w:rsidRDefault="00954277">
      <w:pPr>
        <w:rPr>
          <w:sz w:val="16"/>
          <w:szCs w:val="16"/>
        </w:rPr>
      </w:pPr>
    </w:p>
    <w:p w14:paraId="50DD0960" w14:textId="77777777" w:rsidR="0027005F" w:rsidRPr="00013F71" w:rsidRDefault="0027005F">
      <w:pPr>
        <w:rPr>
          <w:sz w:val="16"/>
          <w:szCs w:val="16"/>
        </w:rPr>
      </w:pPr>
    </w:p>
    <w:p w14:paraId="4ABD85C3" w14:textId="77777777" w:rsidR="0027005F" w:rsidRPr="00013F71" w:rsidRDefault="0027005F">
      <w:pPr>
        <w:rPr>
          <w:sz w:val="16"/>
          <w:szCs w:val="16"/>
        </w:rPr>
      </w:pPr>
    </w:p>
    <w:p w14:paraId="63C1542B" w14:textId="77777777" w:rsidR="0027005F" w:rsidRPr="00013F71" w:rsidRDefault="0027005F">
      <w:pPr>
        <w:rPr>
          <w:sz w:val="16"/>
          <w:szCs w:val="16"/>
        </w:rPr>
      </w:pPr>
    </w:p>
    <w:p w14:paraId="0AC6D6A8" w14:textId="77777777" w:rsidR="0027005F" w:rsidRPr="00013F71" w:rsidRDefault="0027005F">
      <w:pPr>
        <w:rPr>
          <w:sz w:val="16"/>
          <w:szCs w:val="16"/>
        </w:rPr>
      </w:pPr>
    </w:p>
    <w:p w14:paraId="61BB2235" w14:textId="77777777" w:rsidR="0038003E" w:rsidRPr="00013F71" w:rsidRDefault="0038003E">
      <w:pPr>
        <w:rPr>
          <w:sz w:val="16"/>
          <w:szCs w:val="16"/>
        </w:rPr>
      </w:pPr>
    </w:p>
    <w:p w14:paraId="631C3A72" w14:textId="77777777" w:rsidR="0038003E" w:rsidRPr="00013F71" w:rsidRDefault="0038003E">
      <w:pPr>
        <w:rPr>
          <w:sz w:val="16"/>
          <w:szCs w:val="16"/>
        </w:rPr>
      </w:pPr>
    </w:p>
    <w:p w14:paraId="4CFB1688" w14:textId="77777777" w:rsidR="0038003E" w:rsidRPr="00013F71" w:rsidRDefault="0038003E">
      <w:pPr>
        <w:rPr>
          <w:sz w:val="16"/>
          <w:szCs w:val="16"/>
        </w:rPr>
      </w:pPr>
    </w:p>
    <w:p w14:paraId="579C478E" w14:textId="77777777" w:rsidR="0038003E" w:rsidRPr="00013F71" w:rsidRDefault="0038003E">
      <w:pPr>
        <w:rPr>
          <w:sz w:val="16"/>
          <w:szCs w:val="16"/>
        </w:rPr>
      </w:pPr>
    </w:p>
    <w:p w14:paraId="0925A721" w14:textId="77777777" w:rsidR="0027005F" w:rsidRPr="00013F71" w:rsidRDefault="0027005F">
      <w:pPr>
        <w:rPr>
          <w:sz w:val="16"/>
          <w:szCs w:val="16"/>
        </w:rPr>
      </w:pPr>
    </w:p>
    <w:p w14:paraId="04894408" w14:textId="77777777" w:rsidR="0027005F" w:rsidRPr="00013F71" w:rsidRDefault="0027005F">
      <w:pPr>
        <w:rPr>
          <w:sz w:val="16"/>
          <w:szCs w:val="16"/>
        </w:rPr>
      </w:pPr>
    </w:p>
    <w:p w14:paraId="2A53CB73" w14:textId="55397918" w:rsidR="00C26571" w:rsidRPr="00013F71" w:rsidRDefault="00F10F4C" w:rsidP="00825AC1">
      <w:pPr>
        <w:widowControl w:val="0"/>
        <w:jc w:val="center"/>
        <w:rPr>
          <w:sz w:val="24"/>
          <w:szCs w:val="24"/>
        </w:rPr>
      </w:pPr>
      <w:r>
        <w:rPr>
          <w:sz w:val="24"/>
          <w:szCs w:val="24"/>
        </w:rPr>
        <w:t>Table 2</w:t>
      </w:r>
    </w:p>
    <w:p w14:paraId="6BB0BECF" w14:textId="77777777" w:rsidR="00825AC1" w:rsidRPr="00013F71" w:rsidRDefault="00825AC1" w:rsidP="00825AC1">
      <w:pPr>
        <w:widowControl w:val="0"/>
        <w:jc w:val="center"/>
        <w:rPr>
          <w:sz w:val="24"/>
          <w:szCs w:val="24"/>
        </w:rPr>
      </w:pPr>
      <w:r w:rsidRPr="00013F71">
        <w:rPr>
          <w:sz w:val="24"/>
          <w:szCs w:val="24"/>
        </w:rPr>
        <w:t>Mineral Severance Taxes to All Accounts</w:t>
      </w:r>
    </w:p>
    <w:p w14:paraId="769508B3" w14:textId="77777777" w:rsidR="00825AC1" w:rsidRPr="00013F71" w:rsidRDefault="00825AC1" w:rsidP="00825AC1">
      <w:pPr>
        <w:widowControl w:val="0"/>
        <w:jc w:val="center"/>
        <w:rPr>
          <w:sz w:val="24"/>
          <w:szCs w:val="24"/>
        </w:rPr>
      </w:pPr>
      <w:r w:rsidRPr="00013F71">
        <w:rPr>
          <w:sz w:val="24"/>
          <w:szCs w:val="24"/>
        </w:rPr>
        <w:t>Fiscal Year Distribution by Mineral</w:t>
      </w:r>
    </w:p>
    <w:p w14:paraId="4E7BC4D2" w14:textId="77777777" w:rsidR="00475707" w:rsidRPr="00013F71" w:rsidRDefault="00475707" w:rsidP="00825AC1">
      <w:pPr>
        <w:widowControl w:val="0"/>
        <w:jc w:val="center"/>
      </w:pPr>
      <w:r w:rsidRPr="00013F71">
        <w:t>(</w:t>
      </w:r>
      <w:proofErr w:type="gramStart"/>
      <w:r w:rsidRPr="00013F71">
        <w:t>in</w:t>
      </w:r>
      <w:proofErr w:type="gramEnd"/>
      <w:r w:rsidRPr="00013F71">
        <w:t xml:space="preserve"> thousands)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3"/>
        <w:gridCol w:w="2016"/>
        <w:gridCol w:w="2016"/>
        <w:gridCol w:w="2016"/>
        <w:gridCol w:w="1853"/>
        <w:gridCol w:w="1689"/>
        <w:gridCol w:w="2013"/>
      </w:tblGrid>
      <w:tr w:rsidR="00AC6BBF" w:rsidRPr="00013F71" w14:paraId="4F1EF3FC" w14:textId="77777777" w:rsidTr="00954277">
        <w:trPr>
          <w:trHeight w:val="281"/>
        </w:trPr>
        <w:tc>
          <w:tcPr>
            <w:tcW w:w="597" w:type="pct"/>
            <w:shd w:val="clear" w:color="auto" w:fill="auto"/>
            <w:vAlign w:val="center"/>
          </w:tcPr>
          <w:p w14:paraId="2935D314" w14:textId="4BDFC4B3" w:rsidR="00AC6BBF" w:rsidRPr="00013F71" w:rsidRDefault="00AC6BBF" w:rsidP="00AC6BBF">
            <w:pPr>
              <w:jc w:val="center"/>
              <w:rPr>
                <w:color w:val="000000"/>
                <w:sz w:val="24"/>
                <w:szCs w:val="24"/>
              </w:rPr>
            </w:pPr>
          </w:p>
        </w:tc>
        <w:tc>
          <w:tcPr>
            <w:tcW w:w="765" w:type="pct"/>
            <w:shd w:val="clear" w:color="auto" w:fill="auto"/>
            <w:vAlign w:val="center"/>
          </w:tcPr>
          <w:p w14:paraId="10EF5DB7" w14:textId="31AB53F6" w:rsidR="00AC6BBF" w:rsidRPr="00013F71" w:rsidRDefault="00954277" w:rsidP="00AC6BBF">
            <w:pPr>
              <w:jc w:val="center"/>
              <w:rPr>
                <w:color w:val="000000"/>
                <w:sz w:val="24"/>
                <w:szCs w:val="24"/>
              </w:rPr>
            </w:pPr>
            <w:r w:rsidRPr="00013F71">
              <w:rPr>
                <w:color w:val="000000"/>
                <w:sz w:val="24"/>
                <w:szCs w:val="24"/>
              </w:rPr>
              <w:t>Oil</w:t>
            </w:r>
          </w:p>
        </w:tc>
        <w:tc>
          <w:tcPr>
            <w:tcW w:w="765" w:type="pct"/>
            <w:shd w:val="clear" w:color="auto" w:fill="auto"/>
            <w:vAlign w:val="center"/>
          </w:tcPr>
          <w:p w14:paraId="49EAF8D7" w14:textId="14C0CF60" w:rsidR="00AC6BBF" w:rsidRPr="00013F71" w:rsidRDefault="00954277" w:rsidP="00AC6BBF">
            <w:pPr>
              <w:jc w:val="center"/>
              <w:rPr>
                <w:color w:val="000000"/>
                <w:sz w:val="24"/>
                <w:szCs w:val="24"/>
              </w:rPr>
            </w:pPr>
            <w:r w:rsidRPr="00013F71">
              <w:rPr>
                <w:color w:val="000000"/>
                <w:sz w:val="24"/>
                <w:szCs w:val="24"/>
              </w:rPr>
              <w:t>Gas</w:t>
            </w:r>
          </w:p>
        </w:tc>
        <w:tc>
          <w:tcPr>
            <w:tcW w:w="765" w:type="pct"/>
            <w:shd w:val="clear" w:color="auto" w:fill="auto"/>
            <w:vAlign w:val="center"/>
          </w:tcPr>
          <w:p w14:paraId="56593542" w14:textId="43E04288" w:rsidR="00AC6BBF" w:rsidRPr="00013F71" w:rsidRDefault="00954277" w:rsidP="00AC6BBF">
            <w:pPr>
              <w:jc w:val="center"/>
              <w:rPr>
                <w:color w:val="000000"/>
                <w:sz w:val="24"/>
                <w:szCs w:val="24"/>
              </w:rPr>
            </w:pPr>
            <w:r w:rsidRPr="00013F71">
              <w:rPr>
                <w:color w:val="000000"/>
                <w:sz w:val="24"/>
                <w:szCs w:val="24"/>
              </w:rPr>
              <w:t>Coal</w:t>
            </w:r>
          </w:p>
        </w:tc>
        <w:tc>
          <w:tcPr>
            <w:tcW w:w="703" w:type="pct"/>
            <w:shd w:val="clear" w:color="auto" w:fill="auto"/>
            <w:vAlign w:val="center"/>
          </w:tcPr>
          <w:p w14:paraId="375D070F" w14:textId="0D653F24" w:rsidR="00AC6BBF" w:rsidRPr="00013F71" w:rsidRDefault="00954277" w:rsidP="00AC6BBF">
            <w:pPr>
              <w:jc w:val="center"/>
              <w:rPr>
                <w:color w:val="000000"/>
                <w:sz w:val="24"/>
                <w:szCs w:val="24"/>
              </w:rPr>
            </w:pPr>
            <w:proofErr w:type="spellStart"/>
            <w:r w:rsidRPr="00013F71">
              <w:rPr>
                <w:color w:val="000000"/>
                <w:sz w:val="24"/>
                <w:szCs w:val="24"/>
              </w:rPr>
              <w:t>Trona</w:t>
            </w:r>
            <w:proofErr w:type="spellEnd"/>
          </w:p>
        </w:tc>
        <w:tc>
          <w:tcPr>
            <w:tcW w:w="641" w:type="pct"/>
            <w:shd w:val="clear" w:color="auto" w:fill="auto"/>
            <w:vAlign w:val="center"/>
          </w:tcPr>
          <w:p w14:paraId="06E49B60" w14:textId="0033F27E" w:rsidR="00AC6BBF" w:rsidRPr="00013F71" w:rsidRDefault="00954277" w:rsidP="00AC6BBF">
            <w:pPr>
              <w:jc w:val="center"/>
              <w:rPr>
                <w:color w:val="000000"/>
                <w:sz w:val="24"/>
                <w:szCs w:val="24"/>
              </w:rPr>
            </w:pPr>
            <w:r w:rsidRPr="00013F71">
              <w:rPr>
                <w:color w:val="000000"/>
                <w:sz w:val="24"/>
                <w:szCs w:val="24"/>
              </w:rPr>
              <w:t>Others</w:t>
            </w:r>
          </w:p>
        </w:tc>
        <w:tc>
          <w:tcPr>
            <w:tcW w:w="764" w:type="pct"/>
            <w:shd w:val="clear" w:color="auto" w:fill="auto"/>
            <w:vAlign w:val="center"/>
          </w:tcPr>
          <w:p w14:paraId="0B296BF3" w14:textId="63EA77E8" w:rsidR="00AC6BBF" w:rsidRPr="00013F71" w:rsidRDefault="00954277" w:rsidP="00AC6BBF">
            <w:pPr>
              <w:jc w:val="center"/>
              <w:rPr>
                <w:color w:val="000000"/>
                <w:sz w:val="24"/>
                <w:szCs w:val="24"/>
              </w:rPr>
            </w:pPr>
            <w:r w:rsidRPr="00013F71">
              <w:rPr>
                <w:color w:val="000000"/>
                <w:sz w:val="24"/>
                <w:szCs w:val="24"/>
              </w:rPr>
              <w:t>Total</w:t>
            </w:r>
          </w:p>
        </w:tc>
      </w:tr>
      <w:tr w:rsidR="00954277" w:rsidRPr="00013F71" w14:paraId="4A8D4749" w14:textId="77777777" w:rsidTr="00954277">
        <w:trPr>
          <w:trHeight w:val="281"/>
        </w:trPr>
        <w:tc>
          <w:tcPr>
            <w:tcW w:w="597" w:type="pct"/>
            <w:shd w:val="clear" w:color="auto" w:fill="auto"/>
            <w:vAlign w:val="center"/>
          </w:tcPr>
          <w:p w14:paraId="6D3D1D67" w14:textId="3506D899" w:rsidR="00954277" w:rsidRPr="00013F71" w:rsidRDefault="00954277" w:rsidP="00AC6BBF">
            <w:pPr>
              <w:jc w:val="center"/>
              <w:rPr>
                <w:color w:val="000000"/>
                <w:sz w:val="24"/>
                <w:szCs w:val="24"/>
              </w:rPr>
            </w:pPr>
            <w:r w:rsidRPr="00013F71">
              <w:rPr>
                <w:color w:val="000000"/>
                <w:sz w:val="24"/>
                <w:szCs w:val="24"/>
              </w:rPr>
              <w:t>2010</w:t>
            </w:r>
          </w:p>
        </w:tc>
        <w:tc>
          <w:tcPr>
            <w:tcW w:w="765" w:type="pct"/>
            <w:shd w:val="clear" w:color="auto" w:fill="auto"/>
            <w:vAlign w:val="center"/>
          </w:tcPr>
          <w:p w14:paraId="5C9DF971" w14:textId="4BBD9B6E" w:rsidR="00954277" w:rsidRPr="00013F71" w:rsidRDefault="00954277" w:rsidP="00AC6BBF">
            <w:pPr>
              <w:jc w:val="center"/>
              <w:rPr>
                <w:color w:val="000000"/>
                <w:sz w:val="24"/>
                <w:szCs w:val="24"/>
              </w:rPr>
            </w:pPr>
            <w:r w:rsidRPr="00013F71">
              <w:rPr>
                <w:color w:val="000000"/>
                <w:sz w:val="24"/>
                <w:szCs w:val="24"/>
              </w:rPr>
              <w:t>$173,078</w:t>
            </w:r>
          </w:p>
        </w:tc>
        <w:tc>
          <w:tcPr>
            <w:tcW w:w="765" w:type="pct"/>
            <w:shd w:val="clear" w:color="auto" w:fill="auto"/>
            <w:vAlign w:val="center"/>
          </w:tcPr>
          <w:p w14:paraId="33775C29" w14:textId="038C9D44" w:rsidR="00954277" w:rsidRPr="00013F71" w:rsidRDefault="00954277" w:rsidP="00AC6BBF">
            <w:pPr>
              <w:jc w:val="center"/>
              <w:rPr>
                <w:color w:val="000000"/>
                <w:sz w:val="24"/>
                <w:szCs w:val="24"/>
              </w:rPr>
            </w:pPr>
            <w:r w:rsidRPr="00013F71">
              <w:rPr>
                <w:color w:val="000000"/>
                <w:sz w:val="24"/>
                <w:szCs w:val="24"/>
              </w:rPr>
              <w:t>$468,964</w:t>
            </w:r>
          </w:p>
        </w:tc>
        <w:tc>
          <w:tcPr>
            <w:tcW w:w="765" w:type="pct"/>
            <w:shd w:val="clear" w:color="auto" w:fill="auto"/>
            <w:vAlign w:val="center"/>
          </w:tcPr>
          <w:p w14:paraId="05177142" w14:textId="0C34FEF9" w:rsidR="00954277" w:rsidRPr="00013F71" w:rsidRDefault="00954277" w:rsidP="00AC6BBF">
            <w:pPr>
              <w:jc w:val="center"/>
              <w:rPr>
                <w:color w:val="000000"/>
                <w:sz w:val="24"/>
                <w:szCs w:val="24"/>
              </w:rPr>
            </w:pPr>
            <w:r w:rsidRPr="00013F71">
              <w:rPr>
                <w:color w:val="000000"/>
                <w:sz w:val="24"/>
                <w:szCs w:val="24"/>
              </w:rPr>
              <w:t>$269,081</w:t>
            </w:r>
          </w:p>
        </w:tc>
        <w:tc>
          <w:tcPr>
            <w:tcW w:w="703" w:type="pct"/>
            <w:shd w:val="clear" w:color="auto" w:fill="auto"/>
            <w:vAlign w:val="center"/>
          </w:tcPr>
          <w:p w14:paraId="6F6094B7" w14:textId="45F981EF" w:rsidR="00954277" w:rsidRPr="00013F71" w:rsidRDefault="00954277" w:rsidP="00AC6BBF">
            <w:pPr>
              <w:jc w:val="center"/>
              <w:rPr>
                <w:color w:val="000000"/>
                <w:sz w:val="24"/>
                <w:szCs w:val="24"/>
              </w:rPr>
            </w:pPr>
            <w:r w:rsidRPr="00013F71">
              <w:rPr>
                <w:color w:val="000000"/>
                <w:sz w:val="24"/>
                <w:szCs w:val="24"/>
              </w:rPr>
              <w:t>$14,090</w:t>
            </w:r>
          </w:p>
        </w:tc>
        <w:tc>
          <w:tcPr>
            <w:tcW w:w="641" w:type="pct"/>
            <w:shd w:val="clear" w:color="auto" w:fill="auto"/>
            <w:vAlign w:val="center"/>
          </w:tcPr>
          <w:p w14:paraId="673622F8" w14:textId="522F3562" w:rsidR="00954277" w:rsidRPr="00013F71" w:rsidRDefault="00954277" w:rsidP="00AC6BBF">
            <w:pPr>
              <w:jc w:val="center"/>
              <w:rPr>
                <w:color w:val="000000"/>
                <w:sz w:val="24"/>
                <w:szCs w:val="24"/>
              </w:rPr>
            </w:pPr>
            <w:r w:rsidRPr="00013F71">
              <w:rPr>
                <w:color w:val="000000"/>
                <w:sz w:val="24"/>
                <w:szCs w:val="24"/>
              </w:rPr>
              <w:t>$2,748</w:t>
            </w:r>
          </w:p>
        </w:tc>
        <w:tc>
          <w:tcPr>
            <w:tcW w:w="764" w:type="pct"/>
            <w:shd w:val="clear" w:color="auto" w:fill="auto"/>
            <w:vAlign w:val="center"/>
          </w:tcPr>
          <w:p w14:paraId="22E872EA" w14:textId="0EA016D8" w:rsidR="00954277" w:rsidRPr="00013F71" w:rsidRDefault="00954277" w:rsidP="00AC6BBF">
            <w:pPr>
              <w:jc w:val="center"/>
              <w:rPr>
                <w:color w:val="000000"/>
                <w:sz w:val="24"/>
                <w:szCs w:val="24"/>
              </w:rPr>
            </w:pPr>
            <w:r w:rsidRPr="00013F71">
              <w:rPr>
                <w:color w:val="000000"/>
                <w:sz w:val="24"/>
                <w:szCs w:val="24"/>
              </w:rPr>
              <w:t>$927,961</w:t>
            </w:r>
          </w:p>
        </w:tc>
      </w:tr>
      <w:tr w:rsidR="00954277" w:rsidRPr="00013F71" w14:paraId="34720A7C" w14:textId="77777777" w:rsidTr="00954277">
        <w:trPr>
          <w:trHeight w:val="281"/>
        </w:trPr>
        <w:tc>
          <w:tcPr>
            <w:tcW w:w="597" w:type="pct"/>
            <w:shd w:val="clear" w:color="auto" w:fill="auto"/>
            <w:vAlign w:val="center"/>
          </w:tcPr>
          <w:p w14:paraId="0B5CA209" w14:textId="7E379B22" w:rsidR="00954277" w:rsidRPr="00013F71" w:rsidRDefault="00954277" w:rsidP="00AC6BBF">
            <w:pPr>
              <w:jc w:val="center"/>
              <w:rPr>
                <w:color w:val="000000"/>
                <w:sz w:val="24"/>
                <w:szCs w:val="24"/>
              </w:rPr>
            </w:pPr>
            <w:r w:rsidRPr="00013F71">
              <w:rPr>
                <w:color w:val="000000"/>
                <w:sz w:val="24"/>
                <w:szCs w:val="24"/>
              </w:rPr>
              <w:t>2011</w:t>
            </w:r>
          </w:p>
        </w:tc>
        <w:tc>
          <w:tcPr>
            <w:tcW w:w="765" w:type="pct"/>
            <w:shd w:val="clear" w:color="auto" w:fill="auto"/>
            <w:vAlign w:val="center"/>
          </w:tcPr>
          <w:p w14:paraId="7BC0F162" w14:textId="27784361" w:rsidR="00954277" w:rsidRPr="00013F71" w:rsidRDefault="00954277" w:rsidP="00AC6BBF">
            <w:pPr>
              <w:jc w:val="center"/>
              <w:rPr>
                <w:color w:val="000000"/>
                <w:sz w:val="24"/>
                <w:szCs w:val="24"/>
              </w:rPr>
            </w:pPr>
            <w:r w:rsidRPr="00013F71">
              <w:rPr>
                <w:color w:val="000000"/>
                <w:sz w:val="24"/>
                <w:szCs w:val="24"/>
              </w:rPr>
              <w:t>$204,335</w:t>
            </w:r>
          </w:p>
        </w:tc>
        <w:tc>
          <w:tcPr>
            <w:tcW w:w="765" w:type="pct"/>
            <w:shd w:val="clear" w:color="auto" w:fill="auto"/>
            <w:vAlign w:val="center"/>
          </w:tcPr>
          <w:p w14:paraId="33F92CB2" w14:textId="2BF22545" w:rsidR="00954277" w:rsidRPr="00013F71" w:rsidRDefault="00954277" w:rsidP="00AC6BBF">
            <w:pPr>
              <w:jc w:val="center"/>
              <w:rPr>
                <w:color w:val="000000"/>
                <w:sz w:val="24"/>
                <w:szCs w:val="24"/>
              </w:rPr>
            </w:pPr>
            <w:r w:rsidRPr="00013F71">
              <w:rPr>
                <w:color w:val="000000"/>
                <w:sz w:val="24"/>
                <w:szCs w:val="24"/>
              </w:rPr>
              <w:t>$427,092</w:t>
            </w:r>
          </w:p>
        </w:tc>
        <w:tc>
          <w:tcPr>
            <w:tcW w:w="765" w:type="pct"/>
            <w:shd w:val="clear" w:color="auto" w:fill="auto"/>
            <w:vAlign w:val="center"/>
          </w:tcPr>
          <w:p w14:paraId="7934784F" w14:textId="34ADD79A" w:rsidR="00954277" w:rsidRPr="00013F71" w:rsidRDefault="00954277" w:rsidP="00AC6BBF">
            <w:pPr>
              <w:jc w:val="center"/>
              <w:rPr>
                <w:color w:val="000000"/>
                <w:sz w:val="24"/>
                <w:szCs w:val="24"/>
              </w:rPr>
            </w:pPr>
            <w:r w:rsidRPr="00013F71">
              <w:rPr>
                <w:color w:val="000000"/>
                <w:sz w:val="24"/>
                <w:szCs w:val="24"/>
              </w:rPr>
              <w:t>$294,279</w:t>
            </w:r>
          </w:p>
        </w:tc>
        <w:tc>
          <w:tcPr>
            <w:tcW w:w="703" w:type="pct"/>
            <w:shd w:val="clear" w:color="auto" w:fill="auto"/>
            <w:vAlign w:val="center"/>
          </w:tcPr>
          <w:p w14:paraId="6CF8721F" w14:textId="5A09D33C" w:rsidR="00954277" w:rsidRPr="00013F71" w:rsidRDefault="00954277" w:rsidP="00AC6BBF">
            <w:pPr>
              <w:jc w:val="center"/>
              <w:rPr>
                <w:color w:val="000000"/>
                <w:sz w:val="24"/>
                <w:szCs w:val="24"/>
              </w:rPr>
            </w:pPr>
            <w:r w:rsidRPr="00013F71">
              <w:rPr>
                <w:color w:val="000000"/>
                <w:sz w:val="24"/>
                <w:szCs w:val="24"/>
              </w:rPr>
              <w:t>$15,555</w:t>
            </w:r>
          </w:p>
        </w:tc>
        <w:tc>
          <w:tcPr>
            <w:tcW w:w="641" w:type="pct"/>
            <w:shd w:val="clear" w:color="auto" w:fill="auto"/>
            <w:vAlign w:val="center"/>
          </w:tcPr>
          <w:p w14:paraId="123F002F" w14:textId="363CB66D" w:rsidR="00954277" w:rsidRPr="00013F71" w:rsidRDefault="00954277" w:rsidP="00AC6BBF">
            <w:pPr>
              <w:jc w:val="center"/>
              <w:rPr>
                <w:color w:val="000000"/>
                <w:sz w:val="24"/>
                <w:szCs w:val="24"/>
              </w:rPr>
            </w:pPr>
            <w:r w:rsidRPr="00013F71">
              <w:rPr>
                <w:color w:val="000000"/>
                <w:sz w:val="24"/>
                <w:szCs w:val="24"/>
              </w:rPr>
              <w:t>$4,038</w:t>
            </w:r>
          </w:p>
        </w:tc>
        <w:tc>
          <w:tcPr>
            <w:tcW w:w="764" w:type="pct"/>
            <w:shd w:val="clear" w:color="auto" w:fill="auto"/>
            <w:vAlign w:val="center"/>
          </w:tcPr>
          <w:p w14:paraId="15F6B45D" w14:textId="0CCC247A" w:rsidR="00954277" w:rsidRPr="00013F71" w:rsidRDefault="00954277" w:rsidP="00AC6BBF">
            <w:pPr>
              <w:jc w:val="center"/>
              <w:rPr>
                <w:color w:val="000000"/>
                <w:sz w:val="24"/>
                <w:szCs w:val="24"/>
              </w:rPr>
            </w:pPr>
            <w:r w:rsidRPr="00013F71">
              <w:rPr>
                <w:color w:val="000000"/>
                <w:sz w:val="24"/>
                <w:szCs w:val="24"/>
              </w:rPr>
              <w:t>$945,298</w:t>
            </w:r>
          </w:p>
        </w:tc>
      </w:tr>
      <w:tr w:rsidR="00954277" w:rsidRPr="00013F71" w14:paraId="05033240" w14:textId="77777777" w:rsidTr="00954277">
        <w:trPr>
          <w:trHeight w:val="281"/>
        </w:trPr>
        <w:tc>
          <w:tcPr>
            <w:tcW w:w="597" w:type="pct"/>
            <w:shd w:val="clear" w:color="auto" w:fill="auto"/>
            <w:vAlign w:val="center"/>
          </w:tcPr>
          <w:p w14:paraId="61684E3C" w14:textId="36475114" w:rsidR="00954277" w:rsidRPr="00013F71" w:rsidRDefault="00954277" w:rsidP="00AC6BBF">
            <w:pPr>
              <w:jc w:val="center"/>
              <w:rPr>
                <w:color w:val="000000"/>
                <w:sz w:val="24"/>
                <w:szCs w:val="24"/>
              </w:rPr>
            </w:pPr>
            <w:r w:rsidRPr="00013F71">
              <w:rPr>
                <w:color w:val="000000"/>
                <w:sz w:val="24"/>
                <w:szCs w:val="24"/>
              </w:rPr>
              <w:t>2012</w:t>
            </w:r>
          </w:p>
        </w:tc>
        <w:tc>
          <w:tcPr>
            <w:tcW w:w="765" w:type="pct"/>
            <w:shd w:val="clear" w:color="auto" w:fill="auto"/>
            <w:vAlign w:val="center"/>
          </w:tcPr>
          <w:p w14:paraId="798E43BD" w14:textId="680BCB04" w:rsidR="00954277" w:rsidRPr="00013F71" w:rsidRDefault="00954277" w:rsidP="00AC6BBF">
            <w:pPr>
              <w:jc w:val="center"/>
              <w:rPr>
                <w:color w:val="000000"/>
                <w:sz w:val="24"/>
                <w:szCs w:val="24"/>
              </w:rPr>
            </w:pPr>
            <w:r w:rsidRPr="00013F71">
              <w:rPr>
                <w:color w:val="000000"/>
                <w:sz w:val="24"/>
                <w:szCs w:val="24"/>
              </w:rPr>
              <w:t>$236,554</w:t>
            </w:r>
          </w:p>
        </w:tc>
        <w:tc>
          <w:tcPr>
            <w:tcW w:w="765" w:type="pct"/>
            <w:shd w:val="clear" w:color="auto" w:fill="auto"/>
            <w:vAlign w:val="center"/>
          </w:tcPr>
          <w:p w14:paraId="61C991BC" w14:textId="07F06227" w:rsidR="00954277" w:rsidRPr="00013F71" w:rsidRDefault="00954277" w:rsidP="00AC6BBF">
            <w:pPr>
              <w:jc w:val="center"/>
              <w:rPr>
                <w:color w:val="000000"/>
                <w:sz w:val="24"/>
                <w:szCs w:val="24"/>
              </w:rPr>
            </w:pPr>
            <w:r w:rsidRPr="00013F71">
              <w:rPr>
                <w:color w:val="000000"/>
                <w:sz w:val="24"/>
                <w:szCs w:val="24"/>
              </w:rPr>
              <w:t>$342,373</w:t>
            </w:r>
          </w:p>
        </w:tc>
        <w:tc>
          <w:tcPr>
            <w:tcW w:w="765" w:type="pct"/>
            <w:shd w:val="clear" w:color="auto" w:fill="auto"/>
            <w:vAlign w:val="center"/>
          </w:tcPr>
          <w:p w14:paraId="0CE8BEAE" w14:textId="7B1AB3D7" w:rsidR="00954277" w:rsidRPr="00013F71" w:rsidRDefault="00954277" w:rsidP="00AC6BBF">
            <w:pPr>
              <w:jc w:val="center"/>
              <w:rPr>
                <w:color w:val="000000"/>
                <w:sz w:val="24"/>
                <w:szCs w:val="24"/>
              </w:rPr>
            </w:pPr>
            <w:r w:rsidRPr="00013F71">
              <w:rPr>
                <w:color w:val="000000"/>
                <w:sz w:val="24"/>
                <w:szCs w:val="24"/>
              </w:rPr>
              <w:t>$293,110</w:t>
            </w:r>
          </w:p>
        </w:tc>
        <w:tc>
          <w:tcPr>
            <w:tcW w:w="703" w:type="pct"/>
            <w:shd w:val="clear" w:color="auto" w:fill="auto"/>
            <w:vAlign w:val="center"/>
          </w:tcPr>
          <w:p w14:paraId="57E7C378" w14:textId="7D12EC8D" w:rsidR="00954277" w:rsidRPr="00013F71" w:rsidRDefault="00954277" w:rsidP="00AC6BBF">
            <w:pPr>
              <w:jc w:val="center"/>
              <w:rPr>
                <w:color w:val="000000"/>
                <w:sz w:val="24"/>
                <w:szCs w:val="24"/>
              </w:rPr>
            </w:pPr>
            <w:r w:rsidRPr="00013F71">
              <w:rPr>
                <w:color w:val="000000"/>
                <w:sz w:val="24"/>
                <w:szCs w:val="24"/>
              </w:rPr>
              <w:t>$17,170</w:t>
            </w:r>
          </w:p>
        </w:tc>
        <w:tc>
          <w:tcPr>
            <w:tcW w:w="641" w:type="pct"/>
            <w:shd w:val="clear" w:color="auto" w:fill="auto"/>
            <w:vAlign w:val="center"/>
          </w:tcPr>
          <w:p w14:paraId="7142BD84" w14:textId="395613A7" w:rsidR="00954277" w:rsidRPr="00013F71" w:rsidRDefault="00954277" w:rsidP="00AC6BBF">
            <w:pPr>
              <w:jc w:val="center"/>
              <w:rPr>
                <w:color w:val="000000"/>
                <w:sz w:val="24"/>
                <w:szCs w:val="24"/>
              </w:rPr>
            </w:pPr>
            <w:r w:rsidRPr="00013F71">
              <w:rPr>
                <w:color w:val="000000"/>
                <w:sz w:val="24"/>
                <w:szCs w:val="24"/>
              </w:rPr>
              <w:t>$4,502</w:t>
            </w:r>
          </w:p>
        </w:tc>
        <w:tc>
          <w:tcPr>
            <w:tcW w:w="764" w:type="pct"/>
            <w:shd w:val="clear" w:color="auto" w:fill="auto"/>
            <w:vAlign w:val="center"/>
          </w:tcPr>
          <w:p w14:paraId="286D5283" w14:textId="0024548C" w:rsidR="00954277" w:rsidRPr="00013F71" w:rsidRDefault="00954277" w:rsidP="00AC6BBF">
            <w:pPr>
              <w:jc w:val="center"/>
              <w:rPr>
                <w:color w:val="000000"/>
                <w:sz w:val="24"/>
                <w:szCs w:val="24"/>
              </w:rPr>
            </w:pPr>
            <w:r w:rsidRPr="00013F71">
              <w:rPr>
                <w:color w:val="000000"/>
                <w:sz w:val="24"/>
                <w:szCs w:val="24"/>
              </w:rPr>
              <w:t>$893,709</w:t>
            </w:r>
          </w:p>
        </w:tc>
      </w:tr>
      <w:tr w:rsidR="00954277" w:rsidRPr="00013F71" w14:paraId="3672FC9B" w14:textId="77777777" w:rsidTr="00954277">
        <w:trPr>
          <w:trHeight w:val="281"/>
        </w:trPr>
        <w:tc>
          <w:tcPr>
            <w:tcW w:w="597" w:type="pct"/>
            <w:shd w:val="clear" w:color="auto" w:fill="auto"/>
            <w:vAlign w:val="center"/>
          </w:tcPr>
          <w:p w14:paraId="7006725B" w14:textId="68FE2B21" w:rsidR="00954277" w:rsidRPr="00013F71" w:rsidRDefault="00954277" w:rsidP="00AC6BBF">
            <w:pPr>
              <w:jc w:val="center"/>
              <w:rPr>
                <w:color w:val="000000"/>
                <w:sz w:val="24"/>
                <w:szCs w:val="24"/>
              </w:rPr>
            </w:pPr>
            <w:r w:rsidRPr="00013F71">
              <w:rPr>
                <w:color w:val="000000"/>
                <w:sz w:val="24"/>
                <w:szCs w:val="24"/>
              </w:rPr>
              <w:t>2013</w:t>
            </w:r>
          </w:p>
        </w:tc>
        <w:tc>
          <w:tcPr>
            <w:tcW w:w="765" w:type="pct"/>
            <w:shd w:val="clear" w:color="auto" w:fill="auto"/>
            <w:vAlign w:val="center"/>
          </w:tcPr>
          <w:p w14:paraId="425E11AF" w14:textId="7CC9E2B9" w:rsidR="00954277" w:rsidRPr="00013F71" w:rsidRDefault="00954277" w:rsidP="00AC6BBF">
            <w:pPr>
              <w:jc w:val="center"/>
              <w:rPr>
                <w:color w:val="000000"/>
                <w:sz w:val="24"/>
                <w:szCs w:val="24"/>
              </w:rPr>
            </w:pPr>
            <w:r w:rsidRPr="00013F71">
              <w:rPr>
                <w:color w:val="000000"/>
                <w:sz w:val="24"/>
                <w:szCs w:val="24"/>
              </w:rPr>
              <w:t>$238,395</w:t>
            </w:r>
          </w:p>
        </w:tc>
        <w:tc>
          <w:tcPr>
            <w:tcW w:w="765" w:type="pct"/>
            <w:shd w:val="clear" w:color="auto" w:fill="auto"/>
            <w:vAlign w:val="center"/>
          </w:tcPr>
          <w:p w14:paraId="2DD92D88" w14:textId="55E687B1" w:rsidR="00954277" w:rsidRPr="00013F71" w:rsidRDefault="00954277" w:rsidP="00AC6BBF">
            <w:pPr>
              <w:jc w:val="center"/>
              <w:rPr>
                <w:color w:val="000000"/>
                <w:sz w:val="24"/>
                <w:szCs w:val="24"/>
              </w:rPr>
            </w:pPr>
            <w:r w:rsidRPr="00013F71">
              <w:rPr>
                <w:color w:val="000000"/>
                <w:sz w:val="24"/>
                <w:szCs w:val="24"/>
              </w:rPr>
              <w:t>$296,789</w:t>
            </w:r>
          </w:p>
        </w:tc>
        <w:tc>
          <w:tcPr>
            <w:tcW w:w="765" w:type="pct"/>
            <w:shd w:val="clear" w:color="auto" w:fill="auto"/>
            <w:vAlign w:val="center"/>
          </w:tcPr>
          <w:p w14:paraId="7FB494C4" w14:textId="2339CA82" w:rsidR="00954277" w:rsidRPr="00013F71" w:rsidRDefault="00954277" w:rsidP="00AC6BBF">
            <w:pPr>
              <w:jc w:val="center"/>
              <w:rPr>
                <w:color w:val="000000"/>
                <w:sz w:val="24"/>
                <w:szCs w:val="24"/>
              </w:rPr>
            </w:pPr>
            <w:r w:rsidRPr="00013F71">
              <w:rPr>
                <w:color w:val="000000"/>
                <w:sz w:val="24"/>
                <w:szCs w:val="24"/>
              </w:rPr>
              <w:t>$282,081</w:t>
            </w:r>
          </w:p>
        </w:tc>
        <w:tc>
          <w:tcPr>
            <w:tcW w:w="703" w:type="pct"/>
            <w:shd w:val="clear" w:color="auto" w:fill="auto"/>
            <w:vAlign w:val="center"/>
          </w:tcPr>
          <w:p w14:paraId="4DBC25A7" w14:textId="7D3889FF" w:rsidR="00954277" w:rsidRPr="00013F71" w:rsidRDefault="00954277" w:rsidP="00AC6BBF">
            <w:pPr>
              <w:jc w:val="center"/>
              <w:rPr>
                <w:color w:val="000000"/>
                <w:sz w:val="24"/>
                <w:szCs w:val="24"/>
              </w:rPr>
            </w:pPr>
            <w:r w:rsidRPr="00013F71">
              <w:rPr>
                <w:color w:val="000000"/>
                <w:sz w:val="24"/>
                <w:szCs w:val="24"/>
              </w:rPr>
              <w:t>$18,257</w:t>
            </w:r>
          </w:p>
        </w:tc>
        <w:tc>
          <w:tcPr>
            <w:tcW w:w="641" w:type="pct"/>
            <w:shd w:val="clear" w:color="auto" w:fill="auto"/>
            <w:vAlign w:val="center"/>
          </w:tcPr>
          <w:p w14:paraId="45FD5AA6" w14:textId="7723F40A" w:rsidR="00954277" w:rsidRPr="00013F71" w:rsidRDefault="00954277" w:rsidP="00AC6BBF">
            <w:pPr>
              <w:jc w:val="center"/>
              <w:rPr>
                <w:color w:val="000000"/>
                <w:sz w:val="24"/>
                <w:szCs w:val="24"/>
              </w:rPr>
            </w:pPr>
            <w:r w:rsidRPr="00013F71">
              <w:rPr>
                <w:color w:val="000000"/>
                <w:sz w:val="24"/>
                <w:szCs w:val="24"/>
              </w:rPr>
              <w:t>$4,311</w:t>
            </w:r>
          </w:p>
        </w:tc>
        <w:tc>
          <w:tcPr>
            <w:tcW w:w="764" w:type="pct"/>
            <w:shd w:val="clear" w:color="auto" w:fill="auto"/>
            <w:vAlign w:val="center"/>
          </w:tcPr>
          <w:p w14:paraId="238B6A1F" w14:textId="48264B52" w:rsidR="00954277" w:rsidRPr="00013F71" w:rsidRDefault="00954277" w:rsidP="00AC6BBF">
            <w:pPr>
              <w:jc w:val="center"/>
              <w:rPr>
                <w:color w:val="000000"/>
                <w:sz w:val="24"/>
                <w:szCs w:val="24"/>
              </w:rPr>
            </w:pPr>
            <w:r w:rsidRPr="00013F71">
              <w:rPr>
                <w:color w:val="000000"/>
                <w:sz w:val="24"/>
                <w:szCs w:val="24"/>
              </w:rPr>
              <w:t>$839,833</w:t>
            </w:r>
          </w:p>
        </w:tc>
      </w:tr>
      <w:tr w:rsidR="00954277" w:rsidRPr="00013F71" w14:paraId="62D14E02" w14:textId="77777777" w:rsidTr="00954277">
        <w:trPr>
          <w:trHeight w:val="281"/>
        </w:trPr>
        <w:tc>
          <w:tcPr>
            <w:tcW w:w="597" w:type="pct"/>
            <w:shd w:val="clear" w:color="auto" w:fill="auto"/>
            <w:vAlign w:val="center"/>
          </w:tcPr>
          <w:p w14:paraId="5697A42E" w14:textId="79C97A09" w:rsidR="00954277" w:rsidRPr="00013F71" w:rsidRDefault="00954277" w:rsidP="00AC6BBF">
            <w:pPr>
              <w:jc w:val="center"/>
              <w:rPr>
                <w:color w:val="000000"/>
                <w:sz w:val="24"/>
                <w:szCs w:val="24"/>
              </w:rPr>
            </w:pPr>
            <w:r w:rsidRPr="00013F71">
              <w:rPr>
                <w:color w:val="000000"/>
                <w:sz w:val="24"/>
                <w:szCs w:val="24"/>
              </w:rPr>
              <w:t>2014</w:t>
            </w:r>
          </w:p>
        </w:tc>
        <w:tc>
          <w:tcPr>
            <w:tcW w:w="765" w:type="pct"/>
            <w:shd w:val="clear" w:color="auto" w:fill="auto"/>
            <w:vAlign w:val="center"/>
          </w:tcPr>
          <w:p w14:paraId="128264FC" w14:textId="2B3033FA" w:rsidR="00954277" w:rsidRPr="00013F71" w:rsidRDefault="00954277" w:rsidP="00AC6BBF">
            <w:pPr>
              <w:jc w:val="center"/>
              <w:rPr>
                <w:color w:val="000000"/>
                <w:sz w:val="24"/>
                <w:szCs w:val="24"/>
              </w:rPr>
            </w:pPr>
            <w:r w:rsidRPr="00013F71">
              <w:rPr>
                <w:color w:val="000000"/>
                <w:sz w:val="24"/>
                <w:szCs w:val="24"/>
              </w:rPr>
              <w:t>$322,191</w:t>
            </w:r>
          </w:p>
        </w:tc>
        <w:tc>
          <w:tcPr>
            <w:tcW w:w="765" w:type="pct"/>
            <w:shd w:val="clear" w:color="auto" w:fill="auto"/>
            <w:vAlign w:val="center"/>
          </w:tcPr>
          <w:p w14:paraId="2F68DD15" w14:textId="6EE1577F" w:rsidR="00954277" w:rsidRPr="00013F71" w:rsidRDefault="00954277" w:rsidP="00AC6BBF">
            <w:pPr>
              <w:jc w:val="center"/>
              <w:rPr>
                <w:color w:val="000000"/>
                <w:sz w:val="24"/>
                <w:szCs w:val="24"/>
              </w:rPr>
            </w:pPr>
            <w:r w:rsidRPr="00013F71">
              <w:rPr>
                <w:color w:val="000000"/>
                <w:sz w:val="24"/>
                <w:szCs w:val="24"/>
              </w:rPr>
              <w:t>$340,431</w:t>
            </w:r>
          </w:p>
        </w:tc>
        <w:tc>
          <w:tcPr>
            <w:tcW w:w="765" w:type="pct"/>
            <w:shd w:val="clear" w:color="auto" w:fill="auto"/>
            <w:vAlign w:val="center"/>
          </w:tcPr>
          <w:p w14:paraId="64F637AF" w14:textId="26E11044" w:rsidR="00954277" w:rsidRPr="00013F71" w:rsidRDefault="00954277" w:rsidP="00AC6BBF">
            <w:pPr>
              <w:jc w:val="center"/>
              <w:rPr>
                <w:color w:val="000000"/>
                <w:sz w:val="24"/>
                <w:szCs w:val="24"/>
              </w:rPr>
            </w:pPr>
            <w:r w:rsidRPr="00013F71">
              <w:rPr>
                <w:color w:val="000000"/>
                <w:sz w:val="24"/>
                <w:szCs w:val="24"/>
              </w:rPr>
              <w:t>$274,042</w:t>
            </w:r>
          </w:p>
        </w:tc>
        <w:tc>
          <w:tcPr>
            <w:tcW w:w="703" w:type="pct"/>
            <w:shd w:val="clear" w:color="auto" w:fill="auto"/>
            <w:vAlign w:val="center"/>
          </w:tcPr>
          <w:p w14:paraId="54C3123C" w14:textId="3D5B938E" w:rsidR="00954277" w:rsidRPr="00013F71" w:rsidRDefault="00954277" w:rsidP="00AC6BBF">
            <w:pPr>
              <w:jc w:val="center"/>
              <w:rPr>
                <w:color w:val="000000"/>
                <w:sz w:val="24"/>
                <w:szCs w:val="24"/>
              </w:rPr>
            </w:pPr>
            <w:r w:rsidRPr="00013F71">
              <w:rPr>
                <w:color w:val="000000"/>
                <w:sz w:val="24"/>
                <w:szCs w:val="24"/>
              </w:rPr>
              <w:t>$18,488</w:t>
            </w:r>
          </w:p>
        </w:tc>
        <w:tc>
          <w:tcPr>
            <w:tcW w:w="641" w:type="pct"/>
            <w:shd w:val="clear" w:color="auto" w:fill="auto"/>
            <w:vAlign w:val="center"/>
          </w:tcPr>
          <w:p w14:paraId="5A9F6395" w14:textId="7E936202" w:rsidR="00954277" w:rsidRPr="00013F71" w:rsidRDefault="00954277" w:rsidP="00AC6BBF">
            <w:pPr>
              <w:jc w:val="center"/>
              <w:rPr>
                <w:color w:val="000000"/>
                <w:sz w:val="24"/>
                <w:szCs w:val="24"/>
              </w:rPr>
            </w:pPr>
            <w:r w:rsidRPr="00013F71">
              <w:rPr>
                <w:color w:val="000000"/>
                <w:sz w:val="24"/>
                <w:szCs w:val="24"/>
              </w:rPr>
              <w:t>$4,499</w:t>
            </w:r>
          </w:p>
        </w:tc>
        <w:tc>
          <w:tcPr>
            <w:tcW w:w="764" w:type="pct"/>
            <w:shd w:val="clear" w:color="auto" w:fill="auto"/>
            <w:vAlign w:val="center"/>
          </w:tcPr>
          <w:p w14:paraId="2FBC3887" w14:textId="647A6FF7" w:rsidR="00954277" w:rsidRPr="00013F71" w:rsidRDefault="00954277" w:rsidP="00AC6BBF">
            <w:pPr>
              <w:jc w:val="center"/>
              <w:rPr>
                <w:color w:val="000000"/>
                <w:sz w:val="24"/>
                <w:szCs w:val="24"/>
              </w:rPr>
            </w:pPr>
            <w:r w:rsidRPr="00013F71">
              <w:rPr>
                <w:color w:val="000000"/>
                <w:sz w:val="24"/>
                <w:szCs w:val="24"/>
              </w:rPr>
              <w:t>$959,651</w:t>
            </w:r>
          </w:p>
        </w:tc>
      </w:tr>
      <w:tr w:rsidR="00954277" w:rsidRPr="00013F71" w14:paraId="73696598" w14:textId="77777777" w:rsidTr="00954277">
        <w:trPr>
          <w:trHeight w:val="281"/>
        </w:trPr>
        <w:tc>
          <w:tcPr>
            <w:tcW w:w="597" w:type="pct"/>
            <w:shd w:val="clear" w:color="auto" w:fill="auto"/>
            <w:vAlign w:val="center"/>
          </w:tcPr>
          <w:p w14:paraId="4AAF19DA" w14:textId="5684AF9F" w:rsidR="00954277" w:rsidRPr="00013F71" w:rsidRDefault="00F338DA" w:rsidP="00AC6BBF">
            <w:pPr>
              <w:jc w:val="center"/>
              <w:rPr>
                <w:color w:val="000000"/>
                <w:sz w:val="24"/>
                <w:szCs w:val="24"/>
              </w:rPr>
            </w:pPr>
            <w:r w:rsidRPr="00013F71">
              <w:rPr>
                <w:color w:val="000000"/>
                <w:sz w:val="24"/>
                <w:szCs w:val="24"/>
              </w:rPr>
              <w:t>2015</w:t>
            </w:r>
          </w:p>
        </w:tc>
        <w:tc>
          <w:tcPr>
            <w:tcW w:w="765" w:type="pct"/>
            <w:shd w:val="clear" w:color="auto" w:fill="auto"/>
            <w:vAlign w:val="center"/>
          </w:tcPr>
          <w:p w14:paraId="3A7F9B3C" w14:textId="1357A500" w:rsidR="00954277" w:rsidRPr="00013F71" w:rsidRDefault="00337542" w:rsidP="00AC6BBF">
            <w:pPr>
              <w:jc w:val="center"/>
              <w:rPr>
                <w:color w:val="000000"/>
                <w:sz w:val="24"/>
                <w:szCs w:val="24"/>
              </w:rPr>
            </w:pPr>
            <w:r w:rsidRPr="00013F71">
              <w:rPr>
                <w:color w:val="000000"/>
                <w:sz w:val="24"/>
                <w:szCs w:val="24"/>
              </w:rPr>
              <w:t>$</w:t>
            </w:r>
            <w:r w:rsidR="00F338DA" w:rsidRPr="00013F71">
              <w:rPr>
                <w:color w:val="000000"/>
                <w:sz w:val="24"/>
                <w:szCs w:val="24"/>
              </w:rPr>
              <w:t>256</w:t>
            </w:r>
            <w:r w:rsidRPr="00013F71">
              <w:rPr>
                <w:color w:val="000000"/>
                <w:sz w:val="24"/>
                <w:szCs w:val="24"/>
              </w:rPr>
              <w:t>,</w:t>
            </w:r>
            <w:r w:rsidR="00F338DA" w:rsidRPr="00013F71">
              <w:rPr>
                <w:color w:val="000000"/>
                <w:sz w:val="24"/>
                <w:szCs w:val="24"/>
              </w:rPr>
              <w:t>105</w:t>
            </w:r>
          </w:p>
        </w:tc>
        <w:tc>
          <w:tcPr>
            <w:tcW w:w="765" w:type="pct"/>
            <w:shd w:val="clear" w:color="auto" w:fill="auto"/>
            <w:vAlign w:val="center"/>
          </w:tcPr>
          <w:p w14:paraId="4C731ADF" w14:textId="10E2A4A0" w:rsidR="00954277" w:rsidRPr="00013F71" w:rsidRDefault="00337542" w:rsidP="00AC6BBF">
            <w:pPr>
              <w:jc w:val="center"/>
              <w:rPr>
                <w:color w:val="000000"/>
                <w:sz w:val="24"/>
                <w:szCs w:val="24"/>
              </w:rPr>
            </w:pPr>
            <w:r w:rsidRPr="00013F71">
              <w:rPr>
                <w:color w:val="000000"/>
                <w:sz w:val="24"/>
                <w:szCs w:val="24"/>
              </w:rPr>
              <w:t>$237,010</w:t>
            </w:r>
          </w:p>
        </w:tc>
        <w:tc>
          <w:tcPr>
            <w:tcW w:w="765" w:type="pct"/>
            <w:shd w:val="clear" w:color="auto" w:fill="auto"/>
            <w:vAlign w:val="center"/>
          </w:tcPr>
          <w:p w14:paraId="76DAC130" w14:textId="145EB8C2" w:rsidR="00954277" w:rsidRPr="00013F71" w:rsidRDefault="00337542" w:rsidP="00AC6BBF">
            <w:pPr>
              <w:jc w:val="center"/>
              <w:rPr>
                <w:color w:val="000000"/>
                <w:sz w:val="24"/>
                <w:szCs w:val="24"/>
              </w:rPr>
            </w:pPr>
            <w:r w:rsidRPr="00013F71">
              <w:rPr>
                <w:color w:val="000000"/>
                <w:sz w:val="24"/>
                <w:szCs w:val="24"/>
              </w:rPr>
              <w:t>$269,521</w:t>
            </w:r>
          </w:p>
        </w:tc>
        <w:tc>
          <w:tcPr>
            <w:tcW w:w="703" w:type="pct"/>
            <w:shd w:val="clear" w:color="auto" w:fill="auto"/>
            <w:vAlign w:val="center"/>
          </w:tcPr>
          <w:p w14:paraId="41324905" w14:textId="44E4B0C8" w:rsidR="00954277" w:rsidRPr="00013F71" w:rsidRDefault="00337542" w:rsidP="00AC6BBF">
            <w:pPr>
              <w:jc w:val="center"/>
              <w:rPr>
                <w:color w:val="000000"/>
                <w:sz w:val="24"/>
                <w:szCs w:val="24"/>
              </w:rPr>
            </w:pPr>
            <w:r w:rsidRPr="00013F71">
              <w:rPr>
                <w:color w:val="000000"/>
                <w:sz w:val="24"/>
                <w:szCs w:val="24"/>
              </w:rPr>
              <w:t>$18,864</w:t>
            </w:r>
          </w:p>
        </w:tc>
        <w:tc>
          <w:tcPr>
            <w:tcW w:w="641" w:type="pct"/>
            <w:shd w:val="clear" w:color="auto" w:fill="auto"/>
            <w:vAlign w:val="center"/>
          </w:tcPr>
          <w:p w14:paraId="412824F3" w14:textId="0A7EFE0B" w:rsidR="00954277" w:rsidRPr="00013F71" w:rsidRDefault="00337542" w:rsidP="00AC6BBF">
            <w:pPr>
              <w:jc w:val="center"/>
              <w:rPr>
                <w:color w:val="000000"/>
                <w:sz w:val="24"/>
                <w:szCs w:val="24"/>
              </w:rPr>
            </w:pPr>
            <w:r w:rsidRPr="00013F71">
              <w:rPr>
                <w:color w:val="000000"/>
                <w:sz w:val="24"/>
                <w:szCs w:val="24"/>
              </w:rPr>
              <w:t>$5,443</w:t>
            </w:r>
          </w:p>
        </w:tc>
        <w:tc>
          <w:tcPr>
            <w:tcW w:w="764" w:type="pct"/>
            <w:shd w:val="clear" w:color="auto" w:fill="auto"/>
            <w:vAlign w:val="center"/>
          </w:tcPr>
          <w:p w14:paraId="3C1E59D7" w14:textId="3F03A934" w:rsidR="00954277" w:rsidRPr="00013F71" w:rsidRDefault="00337542" w:rsidP="00AC6BBF">
            <w:pPr>
              <w:jc w:val="center"/>
              <w:rPr>
                <w:color w:val="000000"/>
                <w:sz w:val="24"/>
                <w:szCs w:val="24"/>
              </w:rPr>
            </w:pPr>
            <w:r w:rsidRPr="00013F71">
              <w:rPr>
                <w:color w:val="000000"/>
                <w:sz w:val="24"/>
                <w:szCs w:val="24"/>
              </w:rPr>
              <w:t>$786,943</w:t>
            </w:r>
          </w:p>
        </w:tc>
      </w:tr>
      <w:tr w:rsidR="00954277" w:rsidRPr="00013F71" w14:paraId="41936AE8" w14:textId="77777777" w:rsidTr="00954277">
        <w:trPr>
          <w:trHeight w:val="281"/>
        </w:trPr>
        <w:tc>
          <w:tcPr>
            <w:tcW w:w="597" w:type="pct"/>
            <w:shd w:val="clear" w:color="auto" w:fill="auto"/>
            <w:vAlign w:val="center"/>
          </w:tcPr>
          <w:p w14:paraId="53CD6A21" w14:textId="59E685B8" w:rsidR="00954277" w:rsidRPr="00013F71" w:rsidRDefault="00337542" w:rsidP="00AC6BBF">
            <w:pPr>
              <w:jc w:val="center"/>
              <w:rPr>
                <w:color w:val="000000"/>
                <w:sz w:val="24"/>
                <w:szCs w:val="24"/>
              </w:rPr>
            </w:pPr>
            <w:r w:rsidRPr="00013F71">
              <w:rPr>
                <w:color w:val="000000"/>
                <w:sz w:val="24"/>
                <w:szCs w:val="24"/>
              </w:rPr>
              <w:t>Projected</w:t>
            </w:r>
          </w:p>
        </w:tc>
        <w:tc>
          <w:tcPr>
            <w:tcW w:w="765" w:type="pct"/>
            <w:shd w:val="clear" w:color="auto" w:fill="auto"/>
            <w:vAlign w:val="center"/>
          </w:tcPr>
          <w:p w14:paraId="0A6D522D" w14:textId="1E3C48C7" w:rsidR="00954277" w:rsidRPr="00013F71" w:rsidRDefault="00954277" w:rsidP="00AC6BBF">
            <w:pPr>
              <w:jc w:val="center"/>
              <w:rPr>
                <w:color w:val="000000"/>
                <w:sz w:val="24"/>
                <w:szCs w:val="24"/>
              </w:rPr>
            </w:pPr>
          </w:p>
        </w:tc>
        <w:tc>
          <w:tcPr>
            <w:tcW w:w="765" w:type="pct"/>
            <w:shd w:val="clear" w:color="auto" w:fill="auto"/>
            <w:vAlign w:val="center"/>
          </w:tcPr>
          <w:p w14:paraId="1EF64830" w14:textId="51BB6C73" w:rsidR="00954277" w:rsidRPr="00013F71" w:rsidRDefault="00954277" w:rsidP="00AC6BBF">
            <w:pPr>
              <w:jc w:val="center"/>
              <w:rPr>
                <w:color w:val="000000"/>
                <w:sz w:val="24"/>
                <w:szCs w:val="24"/>
              </w:rPr>
            </w:pPr>
          </w:p>
        </w:tc>
        <w:tc>
          <w:tcPr>
            <w:tcW w:w="765" w:type="pct"/>
            <w:shd w:val="clear" w:color="auto" w:fill="auto"/>
            <w:vAlign w:val="center"/>
          </w:tcPr>
          <w:p w14:paraId="693C29FC" w14:textId="3C4582E5" w:rsidR="00954277" w:rsidRPr="00013F71" w:rsidRDefault="00954277" w:rsidP="00AC6BBF">
            <w:pPr>
              <w:jc w:val="center"/>
              <w:rPr>
                <w:color w:val="000000"/>
                <w:sz w:val="24"/>
                <w:szCs w:val="24"/>
              </w:rPr>
            </w:pPr>
          </w:p>
        </w:tc>
        <w:tc>
          <w:tcPr>
            <w:tcW w:w="703" w:type="pct"/>
            <w:shd w:val="clear" w:color="auto" w:fill="auto"/>
            <w:vAlign w:val="center"/>
          </w:tcPr>
          <w:p w14:paraId="44238C80" w14:textId="668CA291" w:rsidR="00954277" w:rsidRPr="00013F71" w:rsidRDefault="00954277" w:rsidP="00AC6BBF">
            <w:pPr>
              <w:jc w:val="center"/>
              <w:rPr>
                <w:color w:val="000000"/>
                <w:sz w:val="24"/>
                <w:szCs w:val="24"/>
              </w:rPr>
            </w:pPr>
          </w:p>
        </w:tc>
        <w:tc>
          <w:tcPr>
            <w:tcW w:w="641" w:type="pct"/>
            <w:shd w:val="clear" w:color="auto" w:fill="auto"/>
            <w:vAlign w:val="center"/>
          </w:tcPr>
          <w:p w14:paraId="22D1F02E" w14:textId="7D4F4EBD" w:rsidR="00954277" w:rsidRPr="00013F71" w:rsidRDefault="00954277" w:rsidP="00AC6BBF">
            <w:pPr>
              <w:jc w:val="center"/>
              <w:rPr>
                <w:color w:val="000000"/>
                <w:sz w:val="24"/>
                <w:szCs w:val="24"/>
              </w:rPr>
            </w:pPr>
          </w:p>
        </w:tc>
        <w:tc>
          <w:tcPr>
            <w:tcW w:w="764" w:type="pct"/>
            <w:shd w:val="clear" w:color="auto" w:fill="auto"/>
            <w:vAlign w:val="center"/>
          </w:tcPr>
          <w:p w14:paraId="6AF7DAD7" w14:textId="7BA4D369" w:rsidR="00954277" w:rsidRPr="00013F71" w:rsidRDefault="00954277" w:rsidP="00AC6BBF">
            <w:pPr>
              <w:jc w:val="center"/>
              <w:rPr>
                <w:color w:val="000000"/>
                <w:sz w:val="24"/>
                <w:szCs w:val="24"/>
              </w:rPr>
            </w:pPr>
          </w:p>
        </w:tc>
      </w:tr>
      <w:tr w:rsidR="00954277" w:rsidRPr="00013F71" w14:paraId="2B18BD83" w14:textId="77777777" w:rsidTr="00954277">
        <w:trPr>
          <w:trHeight w:val="281"/>
        </w:trPr>
        <w:tc>
          <w:tcPr>
            <w:tcW w:w="597" w:type="pct"/>
            <w:shd w:val="clear" w:color="auto" w:fill="auto"/>
            <w:vAlign w:val="center"/>
          </w:tcPr>
          <w:p w14:paraId="2884DAA8" w14:textId="2CD46AC6" w:rsidR="00954277" w:rsidRPr="00013F71" w:rsidRDefault="00954277" w:rsidP="00AC6BBF">
            <w:pPr>
              <w:jc w:val="center"/>
              <w:rPr>
                <w:color w:val="000000"/>
                <w:sz w:val="24"/>
                <w:szCs w:val="24"/>
              </w:rPr>
            </w:pPr>
            <w:r w:rsidRPr="00013F71">
              <w:rPr>
                <w:color w:val="000000"/>
                <w:sz w:val="24"/>
                <w:szCs w:val="24"/>
              </w:rPr>
              <w:t>2016</w:t>
            </w:r>
          </w:p>
        </w:tc>
        <w:tc>
          <w:tcPr>
            <w:tcW w:w="765" w:type="pct"/>
            <w:shd w:val="clear" w:color="auto" w:fill="auto"/>
            <w:vAlign w:val="center"/>
          </w:tcPr>
          <w:p w14:paraId="0BC51BA7" w14:textId="4FC2A528" w:rsidR="00954277" w:rsidRPr="00013F71" w:rsidRDefault="00337542" w:rsidP="00AC6BBF">
            <w:pPr>
              <w:jc w:val="center"/>
              <w:rPr>
                <w:color w:val="000000"/>
                <w:sz w:val="24"/>
                <w:szCs w:val="24"/>
              </w:rPr>
            </w:pPr>
            <w:r w:rsidRPr="00013F71">
              <w:rPr>
                <w:color w:val="000000"/>
                <w:sz w:val="24"/>
                <w:szCs w:val="24"/>
              </w:rPr>
              <w:t>$163,400</w:t>
            </w:r>
          </w:p>
        </w:tc>
        <w:tc>
          <w:tcPr>
            <w:tcW w:w="765" w:type="pct"/>
            <w:shd w:val="clear" w:color="auto" w:fill="auto"/>
            <w:vAlign w:val="center"/>
          </w:tcPr>
          <w:p w14:paraId="23C2871F" w14:textId="493489CA" w:rsidR="00954277" w:rsidRPr="00013F71" w:rsidRDefault="00337542" w:rsidP="00AC6BBF">
            <w:pPr>
              <w:jc w:val="center"/>
              <w:rPr>
                <w:color w:val="000000"/>
                <w:sz w:val="24"/>
                <w:szCs w:val="24"/>
              </w:rPr>
            </w:pPr>
            <w:r w:rsidRPr="00013F71">
              <w:rPr>
                <w:color w:val="000000"/>
                <w:sz w:val="24"/>
                <w:szCs w:val="24"/>
              </w:rPr>
              <w:t>$181,100</w:t>
            </w:r>
          </w:p>
        </w:tc>
        <w:tc>
          <w:tcPr>
            <w:tcW w:w="765" w:type="pct"/>
            <w:shd w:val="clear" w:color="auto" w:fill="auto"/>
            <w:vAlign w:val="center"/>
          </w:tcPr>
          <w:p w14:paraId="78C6859A" w14:textId="4068E9EC" w:rsidR="00954277" w:rsidRPr="00013F71" w:rsidRDefault="00337542" w:rsidP="00AC6BBF">
            <w:pPr>
              <w:jc w:val="center"/>
              <w:rPr>
                <w:color w:val="000000"/>
                <w:sz w:val="24"/>
                <w:szCs w:val="24"/>
              </w:rPr>
            </w:pPr>
            <w:r w:rsidRPr="00013F71">
              <w:rPr>
                <w:color w:val="000000"/>
                <w:sz w:val="24"/>
                <w:szCs w:val="24"/>
              </w:rPr>
              <w:t>$257,000</w:t>
            </w:r>
          </w:p>
        </w:tc>
        <w:tc>
          <w:tcPr>
            <w:tcW w:w="703" w:type="pct"/>
            <w:shd w:val="clear" w:color="auto" w:fill="auto"/>
            <w:vAlign w:val="center"/>
          </w:tcPr>
          <w:p w14:paraId="730060E0" w14:textId="59BF6B5A" w:rsidR="00954277" w:rsidRPr="00013F71" w:rsidRDefault="00337542" w:rsidP="00AC6BBF">
            <w:pPr>
              <w:jc w:val="center"/>
              <w:rPr>
                <w:color w:val="000000"/>
                <w:sz w:val="24"/>
                <w:szCs w:val="24"/>
              </w:rPr>
            </w:pPr>
            <w:r w:rsidRPr="00013F71">
              <w:rPr>
                <w:color w:val="000000"/>
                <w:sz w:val="24"/>
                <w:szCs w:val="24"/>
              </w:rPr>
              <w:t>$18,200</w:t>
            </w:r>
          </w:p>
        </w:tc>
        <w:tc>
          <w:tcPr>
            <w:tcW w:w="641" w:type="pct"/>
            <w:shd w:val="clear" w:color="auto" w:fill="auto"/>
            <w:vAlign w:val="center"/>
          </w:tcPr>
          <w:p w14:paraId="70915BFF" w14:textId="4A08CA13" w:rsidR="00954277" w:rsidRPr="00013F71" w:rsidRDefault="00337542" w:rsidP="00AC6BBF">
            <w:pPr>
              <w:jc w:val="center"/>
              <w:rPr>
                <w:color w:val="000000"/>
                <w:sz w:val="24"/>
                <w:szCs w:val="24"/>
              </w:rPr>
            </w:pPr>
            <w:r w:rsidRPr="00013F71">
              <w:rPr>
                <w:color w:val="000000"/>
                <w:sz w:val="24"/>
                <w:szCs w:val="24"/>
              </w:rPr>
              <w:t>$5,500</w:t>
            </w:r>
          </w:p>
        </w:tc>
        <w:tc>
          <w:tcPr>
            <w:tcW w:w="764" w:type="pct"/>
            <w:shd w:val="clear" w:color="auto" w:fill="auto"/>
            <w:vAlign w:val="center"/>
          </w:tcPr>
          <w:p w14:paraId="138331C3" w14:textId="4E5B6348" w:rsidR="00954277" w:rsidRPr="00013F71" w:rsidRDefault="00337542" w:rsidP="00AC6BBF">
            <w:pPr>
              <w:jc w:val="center"/>
              <w:rPr>
                <w:color w:val="000000"/>
                <w:sz w:val="24"/>
                <w:szCs w:val="24"/>
              </w:rPr>
            </w:pPr>
            <w:r w:rsidRPr="00013F71">
              <w:rPr>
                <w:color w:val="000000"/>
                <w:sz w:val="24"/>
                <w:szCs w:val="24"/>
              </w:rPr>
              <w:t>$625,200</w:t>
            </w:r>
          </w:p>
        </w:tc>
      </w:tr>
      <w:tr w:rsidR="00954277" w:rsidRPr="00013F71" w14:paraId="348004BE" w14:textId="77777777" w:rsidTr="00954277">
        <w:trPr>
          <w:trHeight w:val="281"/>
        </w:trPr>
        <w:tc>
          <w:tcPr>
            <w:tcW w:w="597" w:type="pct"/>
            <w:shd w:val="clear" w:color="auto" w:fill="auto"/>
            <w:vAlign w:val="center"/>
          </w:tcPr>
          <w:p w14:paraId="3DD52FF3" w14:textId="6C110392" w:rsidR="00954277" w:rsidRPr="00013F71" w:rsidRDefault="00954277" w:rsidP="00AC6BBF">
            <w:pPr>
              <w:jc w:val="center"/>
              <w:rPr>
                <w:color w:val="000000"/>
                <w:sz w:val="24"/>
                <w:szCs w:val="24"/>
              </w:rPr>
            </w:pPr>
            <w:r w:rsidRPr="00013F71">
              <w:rPr>
                <w:color w:val="000000"/>
                <w:sz w:val="24"/>
                <w:szCs w:val="24"/>
              </w:rPr>
              <w:t>2017</w:t>
            </w:r>
          </w:p>
        </w:tc>
        <w:tc>
          <w:tcPr>
            <w:tcW w:w="765" w:type="pct"/>
            <w:shd w:val="clear" w:color="auto" w:fill="auto"/>
            <w:vAlign w:val="center"/>
          </w:tcPr>
          <w:p w14:paraId="369D6401" w14:textId="7946DECC" w:rsidR="00954277" w:rsidRPr="00013F71" w:rsidRDefault="00337542" w:rsidP="00AC6BBF">
            <w:pPr>
              <w:jc w:val="center"/>
              <w:rPr>
                <w:color w:val="000000"/>
                <w:sz w:val="24"/>
                <w:szCs w:val="24"/>
              </w:rPr>
            </w:pPr>
            <w:r w:rsidRPr="00013F71">
              <w:rPr>
                <w:color w:val="000000"/>
                <w:sz w:val="24"/>
                <w:szCs w:val="24"/>
              </w:rPr>
              <w:t>$170,700</w:t>
            </w:r>
          </w:p>
        </w:tc>
        <w:tc>
          <w:tcPr>
            <w:tcW w:w="765" w:type="pct"/>
            <w:shd w:val="clear" w:color="auto" w:fill="auto"/>
            <w:vAlign w:val="center"/>
          </w:tcPr>
          <w:p w14:paraId="4F125553" w14:textId="7F96E531" w:rsidR="00954277" w:rsidRPr="00013F71" w:rsidRDefault="00337542" w:rsidP="00AC6BBF">
            <w:pPr>
              <w:jc w:val="center"/>
              <w:rPr>
                <w:color w:val="000000"/>
                <w:sz w:val="24"/>
                <w:szCs w:val="24"/>
              </w:rPr>
            </w:pPr>
            <w:r w:rsidRPr="00013F71">
              <w:rPr>
                <w:color w:val="000000"/>
                <w:sz w:val="24"/>
                <w:szCs w:val="24"/>
              </w:rPr>
              <w:t>$186,800</w:t>
            </w:r>
          </w:p>
        </w:tc>
        <w:tc>
          <w:tcPr>
            <w:tcW w:w="765" w:type="pct"/>
            <w:shd w:val="clear" w:color="auto" w:fill="auto"/>
            <w:vAlign w:val="center"/>
          </w:tcPr>
          <w:p w14:paraId="0D603EA0" w14:textId="13E2CFC4" w:rsidR="00954277" w:rsidRPr="00013F71" w:rsidRDefault="00337542" w:rsidP="00AC6BBF">
            <w:pPr>
              <w:jc w:val="center"/>
              <w:rPr>
                <w:color w:val="000000"/>
                <w:sz w:val="24"/>
                <w:szCs w:val="24"/>
              </w:rPr>
            </w:pPr>
            <w:r w:rsidRPr="00013F71">
              <w:rPr>
                <w:color w:val="000000"/>
                <w:sz w:val="24"/>
                <w:szCs w:val="24"/>
              </w:rPr>
              <w:t>$253,500</w:t>
            </w:r>
          </w:p>
        </w:tc>
        <w:tc>
          <w:tcPr>
            <w:tcW w:w="703" w:type="pct"/>
            <w:shd w:val="clear" w:color="auto" w:fill="auto"/>
            <w:vAlign w:val="center"/>
          </w:tcPr>
          <w:p w14:paraId="404F4210" w14:textId="1F864007" w:rsidR="00954277" w:rsidRPr="00013F71" w:rsidRDefault="00337542" w:rsidP="00AC6BBF">
            <w:pPr>
              <w:jc w:val="center"/>
              <w:rPr>
                <w:color w:val="000000"/>
                <w:sz w:val="24"/>
                <w:szCs w:val="24"/>
              </w:rPr>
            </w:pPr>
            <w:r w:rsidRPr="00013F71">
              <w:rPr>
                <w:color w:val="000000"/>
                <w:sz w:val="24"/>
                <w:szCs w:val="24"/>
              </w:rPr>
              <w:t>$18,500</w:t>
            </w:r>
          </w:p>
        </w:tc>
        <w:tc>
          <w:tcPr>
            <w:tcW w:w="641" w:type="pct"/>
            <w:shd w:val="clear" w:color="auto" w:fill="auto"/>
            <w:vAlign w:val="center"/>
          </w:tcPr>
          <w:p w14:paraId="3BA633A8" w14:textId="4E3D21A1" w:rsidR="00954277" w:rsidRPr="00013F71" w:rsidRDefault="00337542" w:rsidP="00AC6BBF">
            <w:pPr>
              <w:jc w:val="center"/>
              <w:rPr>
                <w:color w:val="000000"/>
                <w:sz w:val="24"/>
                <w:szCs w:val="24"/>
              </w:rPr>
            </w:pPr>
            <w:r w:rsidRPr="00013F71">
              <w:rPr>
                <w:color w:val="000000"/>
                <w:sz w:val="24"/>
                <w:szCs w:val="24"/>
              </w:rPr>
              <w:t>$6,100</w:t>
            </w:r>
          </w:p>
        </w:tc>
        <w:tc>
          <w:tcPr>
            <w:tcW w:w="764" w:type="pct"/>
            <w:shd w:val="clear" w:color="auto" w:fill="auto"/>
            <w:vAlign w:val="center"/>
          </w:tcPr>
          <w:p w14:paraId="721897AF" w14:textId="22FCA4D0" w:rsidR="00954277" w:rsidRPr="00013F71" w:rsidRDefault="00337542" w:rsidP="00AC6BBF">
            <w:pPr>
              <w:jc w:val="center"/>
              <w:rPr>
                <w:color w:val="000000"/>
                <w:sz w:val="24"/>
                <w:szCs w:val="24"/>
              </w:rPr>
            </w:pPr>
            <w:r w:rsidRPr="00013F71">
              <w:rPr>
                <w:color w:val="000000"/>
                <w:sz w:val="24"/>
                <w:szCs w:val="24"/>
              </w:rPr>
              <w:t>$635,600</w:t>
            </w:r>
          </w:p>
        </w:tc>
      </w:tr>
      <w:tr w:rsidR="00954277" w:rsidRPr="00013F71" w14:paraId="7920E67F" w14:textId="77777777" w:rsidTr="00954277">
        <w:trPr>
          <w:trHeight w:val="281"/>
        </w:trPr>
        <w:tc>
          <w:tcPr>
            <w:tcW w:w="597" w:type="pct"/>
            <w:shd w:val="clear" w:color="auto" w:fill="auto"/>
            <w:vAlign w:val="center"/>
          </w:tcPr>
          <w:p w14:paraId="43B651C4" w14:textId="63C2E97B" w:rsidR="00954277" w:rsidRPr="00013F71" w:rsidRDefault="00954277" w:rsidP="00AC6BBF">
            <w:pPr>
              <w:jc w:val="center"/>
              <w:rPr>
                <w:color w:val="000000"/>
                <w:sz w:val="24"/>
                <w:szCs w:val="24"/>
              </w:rPr>
            </w:pPr>
            <w:r w:rsidRPr="00013F71">
              <w:rPr>
                <w:color w:val="000000"/>
                <w:sz w:val="24"/>
                <w:szCs w:val="24"/>
              </w:rPr>
              <w:t>2018</w:t>
            </w:r>
          </w:p>
        </w:tc>
        <w:tc>
          <w:tcPr>
            <w:tcW w:w="765" w:type="pct"/>
            <w:shd w:val="clear" w:color="auto" w:fill="auto"/>
            <w:vAlign w:val="center"/>
          </w:tcPr>
          <w:p w14:paraId="446B99E7" w14:textId="2EDE2E33" w:rsidR="00954277" w:rsidRPr="00013F71" w:rsidRDefault="00337542" w:rsidP="00AC6BBF">
            <w:pPr>
              <w:jc w:val="center"/>
              <w:rPr>
                <w:color w:val="000000"/>
                <w:sz w:val="24"/>
                <w:szCs w:val="24"/>
              </w:rPr>
            </w:pPr>
            <w:r w:rsidRPr="00013F71">
              <w:rPr>
                <w:color w:val="000000"/>
                <w:sz w:val="24"/>
                <w:szCs w:val="24"/>
              </w:rPr>
              <w:t>$181,600</w:t>
            </w:r>
          </w:p>
        </w:tc>
        <w:tc>
          <w:tcPr>
            <w:tcW w:w="765" w:type="pct"/>
            <w:shd w:val="clear" w:color="auto" w:fill="auto"/>
            <w:vAlign w:val="center"/>
          </w:tcPr>
          <w:p w14:paraId="6EFC1A9E" w14:textId="5AE38EB2" w:rsidR="00954277" w:rsidRPr="00013F71" w:rsidRDefault="00337542" w:rsidP="00AC6BBF">
            <w:pPr>
              <w:jc w:val="center"/>
              <w:rPr>
                <w:color w:val="000000"/>
                <w:sz w:val="24"/>
                <w:szCs w:val="24"/>
              </w:rPr>
            </w:pPr>
            <w:r w:rsidRPr="00013F71">
              <w:rPr>
                <w:color w:val="000000"/>
                <w:sz w:val="24"/>
                <w:szCs w:val="24"/>
              </w:rPr>
              <w:t>$197,200</w:t>
            </w:r>
          </w:p>
        </w:tc>
        <w:tc>
          <w:tcPr>
            <w:tcW w:w="765" w:type="pct"/>
            <w:shd w:val="clear" w:color="auto" w:fill="auto"/>
            <w:vAlign w:val="center"/>
          </w:tcPr>
          <w:p w14:paraId="58960839" w14:textId="7F493B2F" w:rsidR="00954277" w:rsidRPr="00013F71" w:rsidRDefault="00337542" w:rsidP="00AC6BBF">
            <w:pPr>
              <w:jc w:val="center"/>
              <w:rPr>
                <w:color w:val="000000"/>
                <w:sz w:val="24"/>
                <w:szCs w:val="24"/>
              </w:rPr>
            </w:pPr>
            <w:r w:rsidRPr="00013F71">
              <w:rPr>
                <w:color w:val="000000"/>
                <w:sz w:val="24"/>
                <w:szCs w:val="24"/>
              </w:rPr>
              <w:t>$251,500</w:t>
            </w:r>
          </w:p>
        </w:tc>
        <w:tc>
          <w:tcPr>
            <w:tcW w:w="703" w:type="pct"/>
            <w:shd w:val="clear" w:color="auto" w:fill="auto"/>
            <w:vAlign w:val="center"/>
          </w:tcPr>
          <w:p w14:paraId="0EC6510C" w14:textId="7C530855" w:rsidR="00954277" w:rsidRPr="00013F71" w:rsidRDefault="00337542" w:rsidP="00AC6BBF">
            <w:pPr>
              <w:jc w:val="center"/>
              <w:rPr>
                <w:color w:val="000000"/>
                <w:sz w:val="24"/>
                <w:szCs w:val="24"/>
              </w:rPr>
            </w:pPr>
            <w:r w:rsidRPr="00013F71">
              <w:rPr>
                <w:color w:val="000000"/>
                <w:sz w:val="24"/>
                <w:szCs w:val="24"/>
              </w:rPr>
              <w:t>$18,700</w:t>
            </w:r>
          </w:p>
        </w:tc>
        <w:tc>
          <w:tcPr>
            <w:tcW w:w="641" w:type="pct"/>
            <w:shd w:val="clear" w:color="auto" w:fill="auto"/>
            <w:vAlign w:val="center"/>
          </w:tcPr>
          <w:p w14:paraId="691FE0C5" w14:textId="1A3FF874" w:rsidR="00954277" w:rsidRPr="00013F71" w:rsidRDefault="00337542" w:rsidP="00AC6BBF">
            <w:pPr>
              <w:jc w:val="center"/>
              <w:rPr>
                <w:color w:val="000000"/>
                <w:sz w:val="24"/>
                <w:szCs w:val="24"/>
              </w:rPr>
            </w:pPr>
            <w:r w:rsidRPr="00013F71">
              <w:rPr>
                <w:color w:val="000000"/>
                <w:sz w:val="24"/>
                <w:szCs w:val="24"/>
              </w:rPr>
              <w:t>$6,900</w:t>
            </w:r>
          </w:p>
        </w:tc>
        <w:tc>
          <w:tcPr>
            <w:tcW w:w="764" w:type="pct"/>
            <w:shd w:val="clear" w:color="auto" w:fill="auto"/>
            <w:vAlign w:val="center"/>
          </w:tcPr>
          <w:p w14:paraId="06FED43D" w14:textId="514B895E" w:rsidR="00954277" w:rsidRPr="00013F71" w:rsidRDefault="00337542" w:rsidP="00AC6BBF">
            <w:pPr>
              <w:jc w:val="center"/>
              <w:rPr>
                <w:color w:val="000000"/>
                <w:sz w:val="24"/>
                <w:szCs w:val="24"/>
              </w:rPr>
            </w:pPr>
            <w:r w:rsidRPr="00013F71">
              <w:rPr>
                <w:color w:val="000000"/>
                <w:sz w:val="24"/>
                <w:szCs w:val="24"/>
              </w:rPr>
              <w:t>$655,900</w:t>
            </w:r>
          </w:p>
        </w:tc>
      </w:tr>
      <w:tr w:rsidR="00954277" w:rsidRPr="00013F71" w14:paraId="574F27DE" w14:textId="77777777" w:rsidTr="00954277">
        <w:trPr>
          <w:trHeight w:val="281"/>
        </w:trPr>
        <w:tc>
          <w:tcPr>
            <w:tcW w:w="597" w:type="pct"/>
            <w:shd w:val="clear" w:color="auto" w:fill="auto"/>
            <w:vAlign w:val="center"/>
          </w:tcPr>
          <w:p w14:paraId="534DB717" w14:textId="59F9CF53" w:rsidR="00954277" w:rsidRPr="00013F71" w:rsidRDefault="00954277" w:rsidP="00AC6BBF">
            <w:pPr>
              <w:jc w:val="center"/>
              <w:rPr>
                <w:color w:val="000000"/>
                <w:sz w:val="24"/>
                <w:szCs w:val="24"/>
              </w:rPr>
            </w:pPr>
            <w:r w:rsidRPr="00013F71">
              <w:rPr>
                <w:color w:val="000000"/>
                <w:sz w:val="24"/>
                <w:szCs w:val="24"/>
              </w:rPr>
              <w:t>2019</w:t>
            </w:r>
          </w:p>
        </w:tc>
        <w:tc>
          <w:tcPr>
            <w:tcW w:w="765" w:type="pct"/>
            <w:shd w:val="clear" w:color="auto" w:fill="auto"/>
            <w:vAlign w:val="center"/>
          </w:tcPr>
          <w:p w14:paraId="6775CCE3" w14:textId="1C9F1832" w:rsidR="00954277" w:rsidRPr="00013F71" w:rsidRDefault="00337542" w:rsidP="00AC6BBF">
            <w:pPr>
              <w:jc w:val="center"/>
              <w:rPr>
                <w:color w:val="000000"/>
                <w:sz w:val="24"/>
                <w:szCs w:val="24"/>
              </w:rPr>
            </w:pPr>
            <w:r w:rsidRPr="00013F71">
              <w:rPr>
                <w:color w:val="000000"/>
                <w:sz w:val="24"/>
                <w:szCs w:val="24"/>
              </w:rPr>
              <w:t>$187,600</w:t>
            </w:r>
          </w:p>
        </w:tc>
        <w:tc>
          <w:tcPr>
            <w:tcW w:w="765" w:type="pct"/>
            <w:shd w:val="clear" w:color="auto" w:fill="auto"/>
            <w:vAlign w:val="center"/>
          </w:tcPr>
          <w:p w14:paraId="2D421102" w14:textId="66E63347" w:rsidR="00954277" w:rsidRPr="00013F71" w:rsidRDefault="00337542" w:rsidP="00AC6BBF">
            <w:pPr>
              <w:jc w:val="center"/>
              <w:rPr>
                <w:color w:val="000000"/>
                <w:sz w:val="24"/>
                <w:szCs w:val="24"/>
              </w:rPr>
            </w:pPr>
            <w:r w:rsidRPr="00013F71">
              <w:rPr>
                <w:color w:val="000000"/>
                <w:sz w:val="24"/>
                <w:szCs w:val="24"/>
              </w:rPr>
              <w:t>$204,000</w:t>
            </w:r>
          </w:p>
        </w:tc>
        <w:tc>
          <w:tcPr>
            <w:tcW w:w="765" w:type="pct"/>
            <w:shd w:val="clear" w:color="auto" w:fill="auto"/>
            <w:vAlign w:val="center"/>
          </w:tcPr>
          <w:p w14:paraId="5A934CD2" w14:textId="377087FD" w:rsidR="00954277" w:rsidRPr="00013F71" w:rsidRDefault="00337542" w:rsidP="00AC6BBF">
            <w:pPr>
              <w:jc w:val="center"/>
              <w:rPr>
                <w:color w:val="000000"/>
                <w:sz w:val="24"/>
                <w:szCs w:val="24"/>
              </w:rPr>
            </w:pPr>
            <w:r w:rsidRPr="00013F71">
              <w:rPr>
                <w:color w:val="000000"/>
                <w:sz w:val="24"/>
                <w:szCs w:val="24"/>
              </w:rPr>
              <w:t>$252,100</w:t>
            </w:r>
          </w:p>
        </w:tc>
        <w:tc>
          <w:tcPr>
            <w:tcW w:w="703" w:type="pct"/>
            <w:shd w:val="clear" w:color="auto" w:fill="auto"/>
            <w:vAlign w:val="center"/>
          </w:tcPr>
          <w:p w14:paraId="5FF6FEFC" w14:textId="1873A323" w:rsidR="00954277" w:rsidRPr="00013F71" w:rsidRDefault="00337542" w:rsidP="00AC6BBF">
            <w:pPr>
              <w:jc w:val="center"/>
              <w:rPr>
                <w:color w:val="000000"/>
                <w:sz w:val="24"/>
                <w:szCs w:val="24"/>
              </w:rPr>
            </w:pPr>
            <w:r w:rsidRPr="00013F71">
              <w:rPr>
                <w:color w:val="000000"/>
                <w:sz w:val="24"/>
                <w:szCs w:val="24"/>
              </w:rPr>
              <w:t>$18,900</w:t>
            </w:r>
          </w:p>
        </w:tc>
        <w:tc>
          <w:tcPr>
            <w:tcW w:w="641" w:type="pct"/>
            <w:shd w:val="clear" w:color="auto" w:fill="auto"/>
            <w:vAlign w:val="center"/>
          </w:tcPr>
          <w:p w14:paraId="21A0FC90" w14:textId="232B4140" w:rsidR="00954277" w:rsidRPr="00013F71" w:rsidRDefault="00337542" w:rsidP="00AC6BBF">
            <w:pPr>
              <w:jc w:val="center"/>
              <w:rPr>
                <w:color w:val="000000"/>
                <w:sz w:val="24"/>
                <w:szCs w:val="24"/>
              </w:rPr>
            </w:pPr>
            <w:r w:rsidRPr="00013F71">
              <w:rPr>
                <w:color w:val="000000"/>
                <w:sz w:val="24"/>
                <w:szCs w:val="24"/>
              </w:rPr>
              <w:t>$7,100</w:t>
            </w:r>
          </w:p>
        </w:tc>
        <w:tc>
          <w:tcPr>
            <w:tcW w:w="764" w:type="pct"/>
            <w:shd w:val="clear" w:color="auto" w:fill="auto"/>
            <w:vAlign w:val="center"/>
          </w:tcPr>
          <w:p w14:paraId="3805F32F" w14:textId="59E1B1C4" w:rsidR="00954277" w:rsidRPr="00013F71" w:rsidRDefault="00337542" w:rsidP="00AC6BBF">
            <w:pPr>
              <w:jc w:val="center"/>
              <w:rPr>
                <w:color w:val="000000"/>
                <w:sz w:val="24"/>
                <w:szCs w:val="24"/>
              </w:rPr>
            </w:pPr>
            <w:r w:rsidRPr="00013F71">
              <w:rPr>
                <w:color w:val="000000"/>
                <w:sz w:val="24"/>
                <w:szCs w:val="24"/>
              </w:rPr>
              <w:t>$669,700</w:t>
            </w:r>
          </w:p>
        </w:tc>
      </w:tr>
      <w:tr w:rsidR="00954277" w:rsidRPr="00013F71" w14:paraId="534A06F5" w14:textId="77777777" w:rsidTr="00954277">
        <w:trPr>
          <w:trHeight w:val="281"/>
        </w:trPr>
        <w:tc>
          <w:tcPr>
            <w:tcW w:w="597" w:type="pct"/>
            <w:shd w:val="clear" w:color="auto" w:fill="auto"/>
            <w:vAlign w:val="center"/>
          </w:tcPr>
          <w:p w14:paraId="1AA45982" w14:textId="5F9399B0" w:rsidR="00954277" w:rsidRPr="00013F71" w:rsidRDefault="00954277" w:rsidP="00AC6BBF">
            <w:pPr>
              <w:jc w:val="center"/>
              <w:rPr>
                <w:color w:val="000000"/>
                <w:sz w:val="24"/>
                <w:szCs w:val="24"/>
              </w:rPr>
            </w:pPr>
            <w:r w:rsidRPr="00013F71">
              <w:rPr>
                <w:color w:val="000000"/>
                <w:sz w:val="24"/>
                <w:szCs w:val="24"/>
              </w:rPr>
              <w:t>2020</w:t>
            </w:r>
          </w:p>
        </w:tc>
        <w:tc>
          <w:tcPr>
            <w:tcW w:w="765" w:type="pct"/>
            <w:shd w:val="clear" w:color="auto" w:fill="auto"/>
            <w:vAlign w:val="center"/>
          </w:tcPr>
          <w:p w14:paraId="2E0A9443" w14:textId="1E6FFC73" w:rsidR="00954277" w:rsidRPr="00013F71" w:rsidRDefault="00337542" w:rsidP="00AC6BBF">
            <w:pPr>
              <w:jc w:val="center"/>
              <w:rPr>
                <w:color w:val="000000"/>
                <w:sz w:val="24"/>
                <w:szCs w:val="24"/>
              </w:rPr>
            </w:pPr>
            <w:r w:rsidRPr="00013F71">
              <w:rPr>
                <w:color w:val="000000"/>
                <w:sz w:val="24"/>
                <w:szCs w:val="24"/>
              </w:rPr>
              <w:t>$187,600</w:t>
            </w:r>
          </w:p>
        </w:tc>
        <w:tc>
          <w:tcPr>
            <w:tcW w:w="765" w:type="pct"/>
            <w:shd w:val="clear" w:color="auto" w:fill="auto"/>
            <w:vAlign w:val="center"/>
          </w:tcPr>
          <w:p w14:paraId="66E6A57B" w14:textId="284A2B39" w:rsidR="00954277" w:rsidRPr="00013F71" w:rsidRDefault="00337542" w:rsidP="00AC6BBF">
            <w:pPr>
              <w:jc w:val="center"/>
              <w:rPr>
                <w:color w:val="000000"/>
                <w:sz w:val="24"/>
                <w:szCs w:val="24"/>
              </w:rPr>
            </w:pPr>
            <w:r w:rsidRPr="00013F71">
              <w:rPr>
                <w:color w:val="000000"/>
                <w:sz w:val="24"/>
                <w:szCs w:val="24"/>
              </w:rPr>
              <w:t>$202,900</w:t>
            </w:r>
          </w:p>
        </w:tc>
        <w:tc>
          <w:tcPr>
            <w:tcW w:w="765" w:type="pct"/>
            <w:shd w:val="clear" w:color="auto" w:fill="auto"/>
            <w:vAlign w:val="center"/>
          </w:tcPr>
          <w:p w14:paraId="3967430A" w14:textId="731DCFF2" w:rsidR="00954277" w:rsidRPr="00013F71" w:rsidRDefault="00337542" w:rsidP="00AC6BBF">
            <w:pPr>
              <w:jc w:val="center"/>
              <w:rPr>
                <w:color w:val="000000"/>
                <w:sz w:val="24"/>
                <w:szCs w:val="24"/>
              </w:rPr>
            </w:pPr>
            <w:r w:rsidRPr="00013F71">
              <w:rPr>
                <w:color w:val="000000"/>
                <w:sz w:val="24"/>
                <w:szCs w:val="24"/>
              </w:rPr>
              <w:t>$252,900</w:t>
            </w:r>
          </w:p>
        </w:tc>
        <w:tc>
          <w:tcPr>
            <w:tcW w:w="703" w:type="pct"/>
            <w:shd w:val="clear" w:color="auto" w:fill="auto"/>
            <w:vAlign w:val="center"/>
          </w:tcPr>
          <w:p w14:paraId="4983AAED" w14:textId="27462BBD" w:rsidR="00954277" w:rsidRPr="00013F71" w:rsidRDefault="00337542" w:rsidP="00AC6BBF">
            <w:pPr>
              <w:jc w:val="center"/>
              <w:rPr>
                <w:color w:val="000000"/>
                <w:sz w:val="24"/>
                <w:szCs w:val="24"/>
              </w:rPr>
            </w:pPr>
            <w:r w:rsidRPr="00013F71">
              <w:rPr>
                <w:color w:val="000000"/>
                <w:sz w:val="24"/>
                <w:szCs w:val="24"/>
              </w:rPr>
              <w:t>$18,900</w:t>
            </w:r>
          </w:p>
        </w:tc>
        <w:tc>
          <w:tcPr>
            <w:tcW w:w="641" w:type="pct"/>
            <w:shd w:val="clear" w:color="auto" w:fill="auto"/>
            <w:vAlign w:val="center"/>
          </w:tcPr>
          <w:p w14:paraId="5B412D33" w14:textId="4D72F630" w:rsidR="00954277" w:rsidRPr="00013F71" w:rsidRDefault="00337542" w:rsidP="00AC6BBF">
            <w:pPr>
              <w:jc w:val="center"/>
              <w:rPr>
                <w:color w:val="000000"/>
                <w:sz w:val="24"/>
                <w:szCs w:val="24"/>
              </w:rPr>
            </w:pPr>
            <w:r w:rsidRPr="00013F71">
              <w:rPr>
                <w:color w:val="000000"/>
                <w:sz w:val="24"/>
                <w:szCs w:val="24"/>
              </w:rPr>
              <w:t>$7,100</w:t>
            </w:r>
          </w:p>
        </w:tc>
        <w:tc>
          <w:tcPr>
            <w:tcW w:w="764" w:type="pct"/>
            <w:shd w:val="clear" w:color="auto" w:fill="auto"/>
            <w:vAlign w:val="center"/>
          </w:tcPr>
          <w:p w14:paraId="6E6FD4F7" w14:textId="426D8525" w:rsidR="00954277" w:rsidRPr="00013F71" w:rsidRDefault="00337542" w:rsidP="00AC6BBF">
            <w:pPr>
              <w:jc w:val="center"/>
              <w:rPr>
                <w:color w:val="000000"/>
                <w:sz w:val="24"/>
                <w:szCs w:val="24"/>
              </w:rPr>
            </w:pPr>
            <w:r w:rsidRPr="00013F71">
              <w:rPr>
                <w:color w:val="000000"/>
                <w:sz w:val="24"/>
                <w:szCs w:val="24"/>
              </w:rPr>
              <w:t>$669,400</w:t>
            </w:r>
          </w:p>
        </w:tc>
      </w:tr>
    </w:tbl>
    <w:p w14:paraId="59FE4EA2" w14:textId="424A0A25" w:rsidR="002E45DF" w:rsidRPr="00825AC1" w:rsidRDefault="002E45DF" w:rsidP="00825AC1">
      <w:pPr>
        <w:widowControl w:val="0"/>
        <w:rPr>
          <w:sz w:val="24"/>
          <w:szCs w:val="24"/>
        </w:rPr>
      </w:pPr>
      <w:r w:rsidRPr="00013F71">
        <w:rPr>
          <w:color w:val="000000" w:themeColor="text1"/>
        </w:rPr>
        <w:t>(</w:t>
      </w:r>
      <w:proofErr w:type="gramStart"/>
      <w:r w:rsidRPr="00013F71">
        <w:rPr>
          <w:color w:val="000000" w:themeColor="text1"/>
        </w:rPr>
        <w:t>source</w:t>
      </w:r>
      <w:proofErr w:type="gramEnd"/>
      <w:r w:rsidR="00F338DA" w:rsidRPr="00013F71">
        <w:rPr>
          <w:color w:val="000000" w:themeColor="text1"/>
        </w:rPr>
        <w:t>: Revenue Forecast January 2016</w:t>
      </w:r>
      <w:r w:rsidRPr="00013F71">
        <w:rPr>
          <w:color w:val="000000" w:themeColor="text1"/>
        </w:rPr>
        <w:t>)</w:t>
      </w:r>
    </w:p>
    <w:sectPr w:rsidR="002E45DF" w:rsidRPr="00825AC1" w:rsidSect="00B46219">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106CD" w14:textId="77777777" w:rsidR="00913522" w:rsidRDefault="00913522">
      <w:r>
        <w:separator/>
      </w:r>
    </w:p>
  </w:endnote>
  <w:endnote w:type="continuationSeparator" w:id="0">
    <w:p w14:paraId="4BEE3182" w14:textId="77777777" w:rsidR="00913522" w:rsidRDefault="0091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4D881" w14:textId="77777777" w:rsidR="00913522" w:rsidRPr="000D5C25" w:rsidRDefault="00913522">
    <w:pPr>
      <w:pStyle w:val="Footer"/>
      <w:jc w:val="center"/>
      <w:rPr>
        <w:sz w:val="24"/>
        <w:szCs w:val="24"/>
      </w:rPr>
    </w:pPr>
    <w:r w:rsidRPr="000D5C25">
      <w:rPr>
        <w:sz w:val="24"/>
        <w:szCs w:val="24"/>
      </w:rPr>
      <w:t>WYO-</w:t>
    </w:r>
    <w:r w:rsidRPr="000D5C25">
      <w:rPr>
        <w:sz w:val="24"/>
        <w:szCs w:val="24"/>
      </w:rPr>
      <w:fldChar w:fldCharType="begin"/>
    </w:r>
    <w:r w:rsidRPr="000D5C25">
      <w:rPr>
        <w:sz w:val="24"/>
        <w:szCs w:val="24"/>
      </w:rPr>
      <w:instrText xml:space="preserve"> PAGE   \* MERGEFORMAT </w:instrText>
    </w:r>
    <w:r w:rsidRPr="000D5C25">
      <w:rPr>
        <w:sz w:val="24"/>
        <w:szCs w:val="24"/>
      </w:rPr>
      <w:fldChar w:fldCharType="separate"/>
    </w:r>
    <w:r w:rsidR="00593015">
      <w:rPr>
        <w:noProof/>
        <w:sz w:val="24"/>
        <w:szCs w:val="24"/>
      </w:rPr>
      <w:t>22</w:t>
    </w:r>
    <w:r w:rsidRPr="000D5C25">
      <w:rPr>
        <w:sz w:val="24"/>
        <w:szCs w:val="24"/>
      </w:rPr>
      <w:fldChar w:fldCharType="end"/>
    </w:r>
  </w:p>
  <w:p w14:paraId="70C28BBA" w14:textId="77777777" w:rsidR="00913522" w:rsidRDefault="00913522" w:rsidP="00C26571">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E14FE" w14:textId="77777777" w:rsidR="00913522" w:rsidRDefault="00913522">
      <w:r>
        <w:separator/>
      </w:r>
    </w:p>
  </w:footnote>
  <w:footnote w:type="continuationSeparator" w:id="0">
    <w:p w14:paraId="2F37A5FD" w14:textId="77777777" w:rsidR="00913522" w:rsidRDefault="00913522">
      <w:r>
        <w:continuationSeparator/>
      </w:r>
    </w:p>
  </w:footnote>
  <w:footnote w:id="1">
    <w:p w14:paraId="4F9FA705" w14:textId="763653CE" w:rsidR="00913522" w:rsidRDefault="00913522">
      <w:pPr>
        <w:pStyle w:val="FootnoteText"/>
      </w:pPr>
      <w:r>
        <w:rPr>
          <w:rStyle w:val="FootnoteReference"/>
        </w:rPr>
        <w:footnoteRef/>
      </w:r>
      <w:r>
        <w:t xml:space="preserve"> Statement made by Gov. Matt Mead to the Wyoming Senate just prior to the conclusion of this year’s legislative session.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B8F"/>
    <w:multiLevelType w:val="hybridMultilevel"/>
    <w:tmpl w:val="029E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7720B2"/>
    <w:multiLevelType w:val="hybridMultilevel"/>
    <w:tmpl w:val="2DD49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4AA30717"/>
    <w:multiLevelType w:val="hybridMultilevel"/>
    <w:tmpl w:val="5EEC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10149C"/>
    <w:multiLevelType w:val="multilevel"/>
    <w:tmpl w:val="37726FCA"/>
    <w:lvl w:ilvl="0">
      <w:start w:val="1"/>
      <w:numFmt w:val="bullet"/>
      <w:lvlText w:val=""/>
      <w:lvlJc w:val="left"/>
      <w:pPr>
        <w:tabs>
          <w:tab w:val="num" w:pos="720"/>
        </w:tabs>
        <w:ind w:left="720" w:hanging="360"/>
      </w:pPr>
      <w:rPr>
        <w:rFonts w:ascii="Symbol" w:hAnsi="Symbol" w:cs="Wingdings" w:hint="default"/>
        <w:sz w:val="20"/>
        <w:szCs w:val="20"/>
      </w:rPr>
    </w:lvl>
    <w:lvl w:ilvl="1">
      <w:start w:val="1"/>
      <w:numFmt w:val="bullet"/>
      <w:lvlText w:val="o"/>
      <w:lvlJc w:val="left"/>
      <w:pPr>
        <w:tabs>
          <w:tab w:val="num" w:pos="1440"/>
        </w:tabs>
        <w:ind w:left="1440" w:hanging="360"/>
      </w:pPr>
      <w:rPr>
        <w:rFonts w:ascii="Courier New" w:hAnsi="Courier New"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519B6893"/>
    <w:multiLevelType w:val="hybridMultilevel"/>
    <w:tmpl w:val="A9E40D70"/>
    <w:lvl w:ilvl="0" w:tplc="04090001">
      <w:start w:val="1"/>
      <w:numFmt w:val="bullet"/>
      <w:lvlText w:val=""/>
      <w:lvlJc w:val="left"/>
      <w:pPr>
        <w:ind w:left="720" w:hanging="360"/>
      </w:pPr>
      <w:rPr>
        <w:rFonts w:ascii="Symbol" w:hAnsi="Symbol" w:cs="Wingdings"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6B0D1975"/>
    <w:multiLevelType w:val="hybridMultilevel"/>
    <w:tmpl w:val="981E2C4E"/>
    <w:lvl w:ilvl="0" w:tplc="04090001">
      <w:start w:val="1"/>
      <w:numFmt w:val="bullet"/>
      <w:lvlText w:val=""/>
      <w:lvlJc w:val="left"/>
      <w:pPr>
        <w:ind w:left="720" w:hanging="360"/>
      </w:pPr>
      <w:rPr>
        <w:rFonts w:ascii="Symbol" w:hAnsi="Symbol" w:cs="Wingdings"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784410E3"/>
    <w:multiLevelType w:val="hybridMultilevel"/>
    <w:tmpl w:val="F530F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SortMethod w:val="0000"/>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75F"/>
    <w:rsid w:val="00005057"/>
    <w:rsid w:val="000070B4"/>
    <w:rsid w:val="00011866"/>
    <w:rsid w:val="00013F71"/>
    <w:rsid w:val="00026477"/>
    <w:rsid w:val="00032767"/>
    <w:rsid w:val="00035DCE"/>
    <w:rsid w:val="00037B76"/>
    <w:rsid w:val="0004412C"/>
    <w:rsid w:val="00047228"/>
    <w:rsid w:val="00050C5D"/>
    <w:rsid w:val="00050CCE"/>
    <w:rsid w:val="000538A2"/>
    <w:rsid w:val="00057218"/>
    <w:rsid w:val="00065FE6"/>
    <w:rsid w:val="00077BBD"/>
    <w:rsid w:val="000840F7"/>
    <w:rsid w:val="00084139"/>
    <w:rsid w:val="00086194"/>
    <w:rsid w:val="000A0BF8"/>
    <w:rsid w:val="000A67AC"/>
    <w:rsid w:val="000B03EA"/>
    <w:rsid w:val="000B45BD"/>
    <w:rsid w:val="000C1DF9"/>
    <w:rsid w:val="000C4A61"/>
    <w:rsid w:val="000C4B6D"/>
    <w:rsid w:val="000D3AF5"/>
    <w:rsid w:val="000D45E7"/>
    <w:rsid w:val="000D4631"/>
    <w:rsid w:val="000D48A2"/>
    <w:rsid w:val="000D4D2E"/>
    <w:rsid w:val="000D4DBB"/>
    <w:rsid w:val="000D4DED"/>
    <w:rsid w:val="000D54E5"/>
    <w:rsid w:val="000D63A1"/>
    <w:rsid w:val="000E72C3"/>
    <w:rsid w:val="000F0414"/>
    <w:rsid w:val="00104D15"/>
    <w:rsid w:val="00104E0B"/>
    <w:rsid w:val="0012179C"/>
    <w:rsid w:val="00136E2D"/>
    <w:rsid w:val="001463E1"/>
    <w:rsid w:val="00146C99"/>
    <w:rsid w:val="001475B8"/>
    <w:rsid w:val="00152833"/>
    <w:rsid w:val="001531E3"/>
    <w:rsid w:val="00163231"/>
    <w:rsid w:val="00163581"/>
    <w:rsid w:val="0016571A"/>
    <w:rsid w:val="00176EA9"/>
    <w:rsid w:val="00177113"/>
    <w:rsid w:val="00184716"/>
    <w:rsid w:val="00185F84"/>
    <w:rsid w:val="00190235"/>
    <w:rsid w:val="00190CAE"/>
    <w:rsid w:val="00190E0F"/>
    <w:rsid w:val="00193FB3"/>
    <w:rsid w:val="001A0EDA"/>
    <w:rsid w:val="001A3CC3"/>
    <w:rsid w:val="001A492D"/>
    <w:rsid w:val="001A76E5"/>
    <w:rsid w:val="001B2FAC"/>
    <w:rsid w:val="001B6560"/>
    <w:rsid w:val="001C2D68"/>
    <w:rsid w:val="001C6744"/>
    <w:rsid w:val="001D0FBC"/>
    <w:rsid w:val="001D3896"/>
    <w:rsid w:val="001D51F3"/>
    <w:rsid w:val="001D5799"/>
    <w:rsid w:val="001F0422"/>
    <w:rsid w:val="001F4EA1"/>
    <w:rsid w:val="001F5E18"/>
    <w:rsid w:val="002057D7"/>
    <w:rsid w:val="00210754"/>
    <w:rsid w:val="00215E22"/>
    <w:rsid w:val="00220E4B"/>
    <w:rsid w:val="00227EB0"/>
    <w:rsid w:val="0023222C"/>
    <w:rsid w:val="002323FC"/>
    <w:rsid w:val="002343BB"/>
    <w:rsid w:val="002362D6"/>
    <w:rsid w:val="0024169E"/>
    <w:rsid w:val="0024266E"/>
    <w:rsid w:val="00245140"/>
    <w:rsid w:val="002522B8"/>
    <w:rsid w:val="00254B77"/>
    <w:rsid w:val="00261DA8"/>
    <w:rsid w:val="00265EBC"/>
    <w:rsid w:val="0027005F"/>
    <w:rsid w:val="0027208B"/>
    <w:rsid w:val="00280CE0"/>
    <w:rsid w:val="002873C0"/>
    <w:rsid w:val="002879A6"/>
    <w:rsid w:val="0029310E"/>
    <w:rsid w:val="00293BA6"/>
    <w:rsid w:val="002A540A"/>
    <w:rsid w:val="002B02EE"/>
    <w:rsid w:val="002D4FD1"/>
    <w:rsid w:val="002E43FC"/>
    <w:rsid w:val="002E45DF"/>
    <w:rsid w:val="002E7F92"/>
    <w:rsid w:val="00304712"/>
    <w:rsid w:val="00314A0C"/>
    <w:rsid w:val="003175EA"/>
    <w:rsid w:val="00336BAE"/>
    <w:rsid w:val="00337542"/>
    <w:rsid w:val="003401FB"/>
    <w:rsid w:val="003505A6"/>
    <w:rsid w:val="00353446"/>
    <w:rsid w:val="00353F97"/>
    <w:rsid w:val="0035475F"/>
    <w:rsid w:val="003552E0"/>
    <w:rsid w:val="00355CE0"/>
    <w:rsid w:val="00356A0D"/>
    <w:rsid w:val="0036413B"/>
    <w:rsid w:val="0036596A"/>
    <w:rsid w:val="00374369"/>
    <w:rsid w:val="003756D9"/>
    <w:rsid w:val="0038003E"/>
    <w:rsid w:val="0038182E"/>
    <w:rsid w:val="00381B54"/>
    <w:rsid w:val="003860A2"/>
    <w:rsid w:val="00392DFA"/>
    <w:rsid w:val="00396A28"/>
    <w:rsid w:val="003A43AA"/>
    <w:rsid w:val="003B5D38"/>
    <w:rsid w:val="003B637E"/>
    <w:rsid w:val="003C15D0"/>
    <w:rsid w:val="003C1C13"/>
    <w:rsid w:val="003C70D8"/>
    <w:rsid w:val="003D194C"/>
    <w:rsid w:val="003D3552"/>
    <w:rsid w:val="003E0707"/>
    <w:rsid w:val="003E2FF9"/>
    <w:rsid w:val="003F692A"/>
    <w:rsid w:val="00403995"/>
    <w:rsid w:val="00404EA9"/>
    <w:rsid w:val="00407237"/>
    <w:rsid w:val="00413414"/>
    <w:rsid w:val="00416B5F"/>
    <w:rsid w:val="004200C1"/>
    <w:rsid w:val="00424756"/>
    <w:rsid w:val="004309F8"/>
    <w:rsid w:val="004409E1"/>
    <w:rsid w:val="004419EB"/>
    <w:rsid w:val="00441AAB"/>
    <w:rsid w:val="00444BE5"/>
    <w:rsid w:val="00454B91"/>
    <w:rsid w:val="004557D3"/>
    <w:rsid w:val="00463BAD"/>
    <w:rsid w:val="00464AE1"/>
    <w:rsid w:val="00471555"/>
    <w:rsid w:val="00475707"/>
    <w:rsid w:val="00486074"/>
    <w:rsid w:val="00492371"/>
    <w:rsid w:val="004967A0"/>
    <w:rsid w:val="004A0114"/>
    <w:rsid w:val="004A2AA8"/>
    <w:rsid w:val="004A2E23"/>
    <w:rsid w:val="004A6E37"/>
    <w:rsid w:val="004B6EF0"/>
    <w:rsid w:val="004C43AC"/>
    <w:rsid w:val="004C4DE2"/>
    <w:rsid w:val="004D46F1"/>
    <w:rsid w:val="004D7D15"/>
    <w:rsid w:val="004E6985"/>
    <w:rsid w:val="004F7CFE"/>
    <w:rsid w:val="00503956"/>
    <w:rsid w:val="0051124E"/>
    <w:rsid w:val="005121AE"/>
    <w:rsid w:val="00515FBC"/>
    <w:rsid w:val="00517913"/>
    <w:rsid w:val="005207FF"/>
    <w:rsid w:val="00532B4F"/>
    <w:rsid w:val="00541AA7"/>
    <w:rsid w:val="00544A00"/>
    <w:rsid w:val="00544DFE"/>
    <w:rsid w:val="00551163"/>
    <w:rsid w:val="00551EE7"/>
    <w:rsid w:val="00555D60"/>
    <w:rsid w:val="00557ACA"/>
    <w:rsid w:val="005631B8"/>
    <w:rsid w:val="0056364B"/>
    <w:rsid w:val="00567149"/>
    <w:rsid w:val="0058252E"/>
    <w:rsid w:val="00582A1C"/>
    <w:rsid w:val="00590D91"/>
    <w:rsid w:val="00593015"/>
    <w:rsid w:val="005A05C8"/>
    <w:rsid w:val="005A2543"/>
    <w:rsid w:val="005A7570"/>
    <w:rsid w:val="005C6065"/>
    <w:rsid w:val="005D4585"/>
    <w:rsid w:val="005D5E9A"/>
    <w:rsid w:val="005E02ED"/>
    <w:rsid w:val="005E20C5"/>
    <w:rsid w:val="005E2702"/>
    <w:rsid w:val="005F0B98"/>
    <w:rsid w:val="005F1110"/>
    <w:rsid w:val="005F5941"/>
    <w:rsid w:val="005F5F23"/>
    <w:rsid w:val="005F7EA6"/>
    <w:rsid w:val="00600A08"/>
    <w:rsid w:val="006048AB"/>
    <w:rsid w:val="006108F0"/>
    <w:rsid w:val="0061218C"/>
    <w:rsid w:val="00624CF5"/>
    <w:rsid w:val="006325E5"/>
    <w:rsid w:val="00633D49"/>
    <w:rsid w:val="00665196"/>
    <w:rsid w:val="006756BB"/>
    <w:rsid w:val="00677054"/>
    <w:rsid w:val="00677E6D"/>
    <w:rsid w:val="00685B4C"/>
    <w:rsid w:val="00690FDA"/>
    <w:rsid w:val="00692F49"/>
    <w:rsid w:val="0069654E"/>
    <w:rsid w:val="006B7349"/>
    <w:rsid w:val="006D1C35"/>
    <w:rsid w:val="006D46FE"/>
    <w:rsid w:val="006E1EDA"/>
    <w:rsid w:val="006E5BEC"/>
    <w:rsid w:val="006E7F92"/>
    <w:rsid w:val="00713FD2"/>
    <w:rsid w:val="007141FF"/>
    <w:rsid w:val="007144AC"/>
    <w:rsid w:val="00721428"/>
    <w:rsid w:val="0072146E"/>
    <w:rsid w:val="0072285D"/>
    <w:rsid w:val="00730018"/>
    <w:rsid w:val="00730CC2"/>
    <w:rsid w:val="00742485"/>
    <w:rsid w:val="0074350B"/>
    <w:rsid w:val="00746A88"/>
    <w:rsid w:val="007525C9"/>
    <w:rsid w:val="0075406A"/>
    <w:rsid w:val="00764D38"/>
    <w:rsid w:val="00767EFA"/>
    <w:rsid w:val="00781FAF"/>
    <w:rsid w:val="00782113"/>
    <w:rsid w:val="00790FB3"/>
    <w:rsid w:val="00791E3A"/>
    <w:rsid w:val="00794EAC"/>
    <w:rsid w:val="00795A44"/>
    <w:rsid w:val="00796ED7"/>
    <w:rsid w:val="007A07CC"/>
    <w:rsid w:val="007A3EF6"/>
    <w:rsid w:val="007A3F11"/>
    <w:rsid w:val="007B5A8D"/>
    <w:rsid w:val="007C0269"/>
    <w:rsid w:val="007C3B78"/>
    <w:rsid w:val="007E4E24"/>
    <w:rsid w:val="007E5202"/>
    <w:rsid w:val="007E6825"/>
    <w:rsid w:val="007E78FF"/>
    <w:rsid w:val="007F2325"/>
    <w:rsid w:val="007F5E55"/>
    <w:rsid w:val="0081335F"/>
    <w:rsid w:val="008136BB"/>
    <w:rsid w:val="0081481F"/>
    <w:rsid w:val="0081637F"/>
    <w:rsid w:val="008167DC"/>
    <w:rsid w:val="00816B59"/>
    <w:rsid w:val="008258B9"/>
    <w:rsid w:val="00825AC1"/>
    <w:rsid w:val="008271BE"/>
    <w:rsid w:val="00830054"/>
    <w:rsid w:val="00832732"/>
    <w:rsid w:val="008405A1"/>
    <w:rsid w:val="00842B16"/>
    <w:rsid w:val="00842DEC"/>
    <w:rsid w:val="00844034"/>
    <w:rsid w:val="008562AD"/>
    <w:rsid w:val="00866C05"/>
    <w:rsid w:val="008715C3"/>
    <w:rsid w:val="00873FFE"/>
    <w:rsid w:val="00880D5A"/>
    <w:rsid w:val="008847D4"/>
    <w:rsid w:val="00890064"/>
    <w:rsid w:val="00890E6F"/>
    <w:rsid w:val="00891EE9"/>
    <w:rsid w:val="00892EC2"/>
    <w:rsid w:val="008932AA"/>
    <w:rsid w:val="0089359E"/>
    <w:rsid w:val="00896981"/>
    <w:rsid w:val="0089735E"/>
    <w:rsid w:val="008A11A5"/>
    <w:rsid w:val="008A122B"/>
    <w:rsid w:val="008A2ED9"/>
    <w:rsid w:val="008B6360"/>
    <w:rsid w:val="008B652F"/>
    <w:rsid w:val="008B75BC"/>
    <w:rsid w:val="008B7839"/>
    <w:rsid w:val="008D19BF"/>
    <w:rsid w:val="008D1A61"/>
    <w:rsid w:val="008D2C85"/>
    <w:rsid w:val="008D3760"/>
    <w:rsid w:val="008E412D"/>
    <w:rsid w:val="008F3FDD"/>
    <w:rsid w:val="008F7013"/>
    <w:rsid w:val="008F7CF5"/>
    <w:rsid w:val="009053BA"/>
    <w:rsid w:val="00907356"/>
    <w:rsid w:val="00910BBA"/>
    <w:rsid w:val="00913522"/>
    <w:rsid w:val="0092157D"/>
    <w:rsid w:val="009227CF"/>
    <w:rsid w:val="00924302"/>
    <w:rsid w:val="009277F5"/>
    <w:rsid w:val="00930D13"/>
    <w:rsid w:val="00933D8C"/>
    <w:rsid w:val="0093479E"/>
    <w:rsid w:val="009375D4"/>
    <w:rsid w:val="00942325"/>
    <w:rsid w:val="00945625"/>
    <w:rsid w:val="00954277"/>
    <w:rsid w:val="00984432"/>
    <w:rsid w:val="00986C65"/>
    <w:rsid w:val="00986E1B"/>
    <w:rsid w:val="00987DFE"/>
    <w:rsid w:val="0099532A"/>
    <w:rsid w:val="00996C6B"/>
    <w:rsid w:val="009A0950"/>
    <w:rsid w:val="009B22F7"/>
    <w:rsid w:val="009B320E"/>
    <w:rsid w:val="009B3CDF"/>
    <w:rsid w:val="009B5052"/>
    <w:rsid w:val="009B50AC"/>
    <w:rsid w:val="009B6E1B"/>
    <w:rsid w:val="009E2480"/>
    <w:rsid w:val="009F1C81"/>
    <w:rsid w:val="009F274F"/>
    <w:rsid w:val="009F6735"/>
    <w:rsid w:val="00A076A5"/>
    <w:rsid w:val="00A2675F"/>
    <w:rsid w:val="00A32967"/>
    <w:rsid w:val="00A35E34"/>
    <w:rsid w:val="00A40A6D"/>
    <w:rsid w:val="00A43481"/>
    <w:rsid w:val="00A47C3B"/>
    <w:rsid w:val="00A47DC5"/>
    <w:rsid w:val="00A6054D"/>
    <w:rsid w:val="00A673DE"/>
    <w:rsid w:val="00A70D7D"/>
    <w:rsid w:val="00A721F4"/>
    <w:rsid w:val="00A7274D"/>
    <w:rsid w:val="00A72F00"/>
    <w:rsid w:val="00A750ED"/>
    <w:rsid w:val="00A76C34"/>
    <w:rsid w:val="00A77A8A"/>
    <w:rsid w:val="00A87DE9"/>
    <w:rsid w:val="00A91845"/>
    <w:rsid w:val="00A93A56"/>
    <w:rsid w:val="00A97682"/>
    <w:rsid w:val="00AA1B5C"/>
    <w:rsid w:val="00AC17D1"/>
    <w:rsid w:val="00AC413D"/>
    <w:rsid w:val="00AC6BBF"/>
    <w:rsid w:val="00AD1911"/>
    <w:rsid w:val="00AD1A91"/>
    <w:rsid w:val="00AD4BCD"/>
    <w:rsid w:val="00AD722F"/>
    <w:rsid w:val="00AE2130"/>
    <w:rsid w:val="00AE3024"/>
    <w:rsid w:val="00AF6734"/>
    <w:rsid w:val="00B01213"/>
    <w:rsid w:val="00B052E3"/>
    <w:rsid w:val="00B05A40"/>
    <w:rsid w:val="00B1039E"/>
    <w:rsid w:val="00B13C13"/>
    <w:rsid w:val="00B15BE6"/>
    <w:rsid w:val="00B248DD"/>
    <w:rsid w:val="00B26721"/>
    <w:rsid w:val="00B33C13"/>
    <w:rsid w:val="00B373B3"/>
    <w:rsid w:val="00B42737"/>
    <w:rsid w:val="00B450B5"/>
    <w:rsid w:val="00B459A3"/>
    <w:rsid w:val="00B46219"/>
    <w:rsid w:val="00B61B65"/>
    <w:rsid w:val="00B66D14"/>
    <w:rsid w:val="00B677AC"/>
    <w:rsid w:val="00B67E28"/>
    <w:rsid w:val="00B7363A"/>
    <w:rsid w:val="00B8222B"/>
    <w:rsid w:val="00B83F49"/>
    <w:rsid w:val="00B86C0F"/>
    <w:rsid w:val="00B93A9D"/>
    <w:rsid w:val="00BA7007"/>
    <w:rsid w:val="00BB01BC"/>
    <w:rsid w:val="00BB0433"/>
    <w:rsid w:val="00BB4CAE"/>
    <w:rsid w:val="00BB5E50"/>
    <w:rsid w:val="00BB6576"/>
    <w:rsid w:val="00BC28CF"/>
    <w:rsid w:val="00BD26F0"/>
    <w:rsid w:val="00BD3AC3"/>
    <w:rsid w:val="00BD3ED8"/>
    <w:rsid w:val="00BD6109"/>
    <w:rsid w:val="00BD6D01"/>
    <w:rsid w:val="00BD6E15"/>
    <w:rsid w:val="00BE25D0"/>
    <w:rsid w:val="00BE353F"/>
    <w:rsid w:val="00BF0B76"/>
    <w:rsid w:val="00BF256F"/>
    <w:rsid w:val="00BF5854"/>
    <w:rsid w:val="00BF6D29"/>
    <w:rsid w:val="00C023E0"/>
    <w:rsid w:val="00C0245E"/>
    <w:rsid w:val="00C0324C"/>
    <w:rsid w:val="00C03F22"/>
    <w:rsid w:val="00C06432"/>
    <w:rsid w:val="00C105A8"/>
    <w:rsid w:val="00C20D60"/>
    <w:rsid w:val="00C26216"/>
    <w:rsid w:val="00C264C9"/>
    <w:rsid w:val="00C26571"/>
    <w:rsid w:val="00C27C5E"/>
    <w:rsid w:val="00C325C9"/>
    <w:rsid w:val="00C32983"/>
    <w:rsid w:val="00C340AB"/>
    <w:rsid w:val="00C40786"/>
    <w:rsid w:val="00C52DF8"/>
    <w:rsid w:val="00C5522A"/>
    <w:rsid w:val="00C71F53"/>
    <w:rsid w:val="00C81A32"/>
    <w:rsid w:val="00C87115"/>
    <w:rsid w:val="00C90A0D"/>
    <w:rsid w:val="00CA05FD"/>
    <w:rsid w:val="00CA6B4D"/>
    <w:rsid w:val="00CA6DAC"/>
    <w:rsid w:val="00CB1842"/>
    <w:rsid w:val="00CB1B48"/>
    <w:rsid w:val="00CB206C"/>
    <w:rsid w:val="00CB21F3"/>
    <w:rsid w:val="00CB3162"/>
    <w:rsid w:val="00CB45EF"/>
    <w:rsid w:val="00CB7D1D"/>
    <w:rsid w:val="00CC2550"/>
    <w:rsid w:val="00CD3A17"/>
    <w:rsid w:val="00CE50F3"/>
    <w:rsid w:val="00CF0E69"/>
    <w:rsid w:val="00CF7873"/>
    <w:rsid w:val="00CF79A3"/>
    <w:rsid w:val="00CF7F9B"/>
    <w:rsid w:val="00D0158A"/>
    <w:rsid w:val="00D06311"/>
    <w:rsid w:val="00D0795B"/>
    <w:rsid w:val="00D1009B"/>
    <w:rsid w:val="00D12B44"/>
    <w:rsid w:val="00D131C7"/>
    <w:rsid w:val="00D20A69"/>
    <w:rsid w:val="00D240A3"/>
    <w:rsid w:val="00D25FD1"/>
    <w:rsid w:val="00D30360"/>
    <w:rsid w:val="00D31098"/>
    <w:rsid w:val="00D43D8F"/>
    <w:rsid w:val="00D46227"/>
    <w:rsid w:val="00D46B31"/>
    <w:rsid w:val="00D47878"/>
    <w:rsid w:val="00D50886"/>
    <w:rsid w:val="00D51BF9"/>
    <w:rsid w:val="00D51C47"/>
    <w:rsid w:val="00D527CE"/>
    <w:rsid w:val="00D56ED5"/>
    <w:rsid w:val="00D61DDF"/>
    <w:rsid w:val="00D65140"/>
    <w:rsid w:val="00D76EAF"/>
    <w:rsid w:val="00D80388"/>
    <w:rsid w:val="00D93E0F"/>
    <w:rsid w:val="00D93EC6"/>
    <w:rsid w:val="00DA3F38"/>
    <w:rsid w:val="00DB60C9"/>
    <w:rsid w:val="00DD063F"/>
    <w:rsid w:val="00DD0D6F"/>
    <w:rsid w:val="00DD3D13"/>
    <w:rsid w:val="00DD6057"/>
    <w:rsid w:val="00DE490B"/>
    <w:rsid w:val="00DE6D52"/>
    <w:rsid w:val="00DE79AE"/>
    <w:rsid w:val="00E021AE"/>
    <w:rsid w:val="00E1047A"/>
    <w:rsid w:val="00E155C9"/>
    <w:rsid w:val="00E15F1A"/>
    <w:rsid w:val="00E21568"/>
    <w:rsid w:val="00E23270"/>
    <w:rsid w:val="00E24539"/>
    <w:rsid w:val="00E252BB"/>
    <w:rsid w:val="00E26C0F"/>
    <w:rsid w:val="00E349C5"/>
    <w:rsid w:val="00E34BA0"/>
    <w:rsid w:val="00E35105"/>
    <w:rsid w:val="00E36D14"/>
    <w:rsid w:val="00E41A49"/>
    <w:rsid w:val="00E4765E"/>
    <w:rsid w:val="00E4793C"/>
    <w:rsid w:val="00E5760C"/>
    <w:rsid w:val="00E61097"/>
    <w:rsid w:val="00E65BA9"/>
    <w:rsid w:val="00E72210"/>
    <w:rsid w:val="00E723B3"/>
    <w:rsid w:val="00E741E8"/>
    <w:rsid w:val="00E74AE8"/>
    <w:rsid w:val="00E74DDE"/>
    <w:rsid w:val="00E813DA"/>
    <w:rsid w:val="00E90660"/>
    <w:rsid w:val="00E9096B"/>
    <w:rsid w:val="00E92E38"/>
    <w:rsid w:val="00E97E12"/>
    <w:rsid w:val="00EA18F0"/>
    <w:rsid w:val="00EA1D80"/>
    <w:rsid w:val="00EA52FC"/>
    <w:rsid w:val="00EA5B14"/>
    <w:rsid w:val="00EA5F9C"/>
    <w:rsid w:val="00EB1907"/>
    <w:rsid w:val="00EB4DCC"/>
    <w:rsid w:val="00EB571C"/>
    <w:rsid w:val="00EB580C"/>
    <w:rsid w:val="00EB76BE"/>
    <w:rsid w:val="00EB7E35"/>
    <w:rsid w:val="00EC013A"/>
    <w:rsid w:val="00EC15FB"/>
    <w:rsid w:val="00EC19E9"/>
    <w:rsid w:val="00EC297D"/>
    <w:rsid w:val="00EC6396"/>
    <w:rsid w:val="00EC6660"/>
    <w:rsid w:val="00ED44DC"/>
    <w:rsid w:val="00ED4755"/>
    <w:rsid w:val="00ED7A27"/>
    <w:rsid w:val="00EE00EB"/>
    <w:rsid w:val="00EE0BC2"/>
    <w:rsid w:val="00EE3B2E"/>
    <w:rsid w:val="00EE517C"/>
    <w:rsid w:val="00EF17E6"/>
    <w:rsid w:val="00EF6566"/>
    <w:rsid w:val="00F10082"/>
    <w:rsid w:val="00F10F4C"/>
    <w:rsid w:val="00F1287D"/>
    <w:rsid w:val="00F25558"/>
    <w:rsid w:val="00F27324"/>
    <w:rsid w:val="00F30F9D"/>
    <w:rsid w:val="00F338DA"/>
    <w:rsid w:val="00F35DD7"/>
    <w:rsid w:val="00F41916"/>
    <w:rsid w:val="00F433F4"/>
    <w:rsid w:val="00F52747"/>
    <w:rsid w:val="00F528E1"/>
    <w:rsid w:val="00F5407A"/>
    <w:rsid w:val="00F57121"/>
    <w:rsid w:val="00F6145B"/>
    <w:rsid w:val="00F61B2E"/>
    <w:rsid w:val="00F652DA"/>
    <w:rsid w:val="00F762A9"/>
    <w:rsid w:val="00F82A43"/>
    <w:rsid w:val="00F85746"/>
    <w:rsid w:val="00F90C25"/>
    <w:rsid w:val="00F9268F"/>
    <w:rsid w:val="00F96229"/>
    <w:rsid w:val="00FA0E52"/>
    <w:rsid w:val="00FA1646"/>
    <w:rsid w:val="00FA2096"/>
    <w:rsid w:val="00FA6314"/>
    <w:rsid w:val="00FA7D91"/>
    <w:rsid w:val="00FB2F3F"/>
    <w:rsid w:val="00FB5B30"/>
    <w:rsid w:val="00FC06AE"/>
    <w:rsid w:val="00FD6E84"/>
    <w:rsid w:val="00FE0D5F"/>
    <w:rsid w:val="00FF4982"/>
    <w:rsid w:val="00FF5479"/>
    <w:rsid w:val="00FF7CD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9D4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75F"/>
    <w:rPr>
      <w:rFonts w:ascii="Times New Roman" w:eastAsia="Times New Roman" w:hAnsi="Times New Roman"/>
    </w:rPr>
  </w:style>
  <w:style w:type="paragraph" w:styleId="Heading2">
    <w:name w:val="heading 2"/>
    <w:basedOn w:val="Normal"/>
    <w:next w:val="Normal"/>
    <w:link w:val="Heading2Char"/>
    <w:uiPriority w:val="99"/>
    <w:qFormat/>
    <w:rsid w:val="00A2675F"/>
    <w:pPr>
      <w:keepNext/>
      <w:jc w:val="cente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A2675F"/>
    <w:rPr>
      <w:rFonts w:ascii="Times New Roman" w:hAnsi="Times New Roman" w:cs="Times New Roman"/>
      <w:sz w:val="20"/>
      <w:szCs w:val="20"/>
    </w:rPr>
  </w:style>
  <w:style w:type="paragraph" w:styleId="Title">
    <w:name w:val="Title"/>
    <w:basedOn w:val="Normal"/>
    <w:link w:val="TitleChar"/>
    <w:uiPriority w:val="99"/>
    <w:qFormat/>
    <w:rsid w:val="00A2675F"/>
    <w:pPr>
      <w:widowControl w:val="0"/>
      <w:spacing w:line="480" w:lineRule="auto"/>
      <w:jc w:val="center"/>
    </w:pPr>
    <w:rPr>
      <w:sz w:val="24"/>
      <w:szCs w:val="24"/>
    </w:rPr>
  </w:style>
  <w:style w:type="character" w:customStyle="1" w:styleId="TitleChar">
    <w:name w:val="Title Char"/>
    <w:link w:val="Title"/>
    <w:uiPriority w:val="99"/>
    <w:locked/>
    <w:rsid w:val="00A2675F"/>
    <w:rPr>
      <w:rFonts w:ascii="Times New Roman" w:hAnsi="Times New Roman" w:cs="Times New Roman"/>
      <w:snapToGrid w:val="0"/>
      <w:sz w:val="20"/>
      <w:szCs w:val="20"/>
    </w:rPr>
  </w:style>
  <w:style w:type="character" w:styleId="Hyperlink">
    <w:name w:val="Hyperlink"/>
    <w:uiPriority w:val="99"/>
    <w:rsid w:val="00A2675F"/>
    <w:rPr>
      <w:color w:val="0000FF"/>
      <w:u w:val="single"/>
    </w:rPr>
  </w:style>
  <w:style w:type="table" w:styleId="TableGrid">
    <w:name w:val="Table Grid"/>
    <w:basedOn w:val="TableNormal"/>
    <w:uiPriority w:val="99"/>
    <w:rsid w:val="007620B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526A39"/>
    <w:pPr>
      <w:spacing w:beforeLines="1" w:afterLines="1"/>
    </w:pPr>
    <w:rPr>
      <w:rFonts w:ascii="Times" w:eastAsia="Cambria" w:hAnsi="Times" w:cs="Times"/>
    </w:rPr>
  </w:style>
  <w:style w:type="character" w:styleId="FollowedHyperlink">
    <w:name w:val="FollowedHyperlink"/>
    <w:uiPriority w:val="99"/>
    <w:rsid w:val="00526A39"/>
    <w:rPr>
      <w:color w:val="0000FF"/>
      <w:u w:val="single"/>
    </w:rPr>
  </w:style>
  <w:style w:type="character" w:customStyle="1" w:styleId="popular-count">
    <w:name w:val="popular-count"/>
    <w:basedOn w:val="DefaultParagraphFont"/>
    <w:uiPriority w:val="99"/>
    <w:rsid w:val="00526A39"/>
  </w:style>
  <w:style w:type="character" w:customStyle="1" w:styleId="byline">
    <w:name w:val="byline"/>
    <w:basedOn w:val="DefaultParagraphFont"/>
    <w:uiPriority w:val="99"/>
    <w:rsid w:val="00526A39"/>
  </w:style>
  <w:style w:type="paragraph" w:customStyle="1" w:styleId="MediumGrid1-Accent21">
    <w:name w:val="Medium Grid 1 - Accent 21"/>
    <w:basedOn w:val="Normal"/>
    <w:uiPriority w:val="99"/>
    <w:qFormat/>
    <w:rsid w:val="006B067B"/>
    <w:pPr>
      <w:ind w:left="720"/>
    </w:pPr>
  </w:style>
  <w:style w:type="character" w:styleId="CommentReference">
    <w:name w:val="annotation reference"/>
    <w:semiHidden/>
    <w:rsid w:val="00B15EA7"/>
    <w:rPr>
      <w:sz w:val="16"/>
      <w:szCs w:val="16"/>
    </w:rPr>
  </w:style>
  <w:style w:type="paragraph" w:styleId="CommentText">
    <w:name w:val="annotation text"/>
    <w:basedOn w:val="Normal"/>
    <w:semiHidden/>
    <w:rsid w:val="00B15EA7"/>
  </w:style>
  <w:style w:type="paragraph" w:styleId="CommentSubject">
    <w:name w:val="annotation subject"/>
    <w:basedOn w:val="CommentText"/>
    <w:next w:val="CommentText"/>
    <w:semiHidden/>
    <w:rsid w:val="00B15EA7"/>
    <w:rPr>
      <w:b/>
      <w:bCs/>
    </w:rPr>
  </w:style>
  <w:style w:type="paragraph" w:styleId="BalloonText">
    <w:name w:val="Balloon Text"/>
    <w:basedOn w:val="Normal"/>
    <w:semiHidden/>
    <w:rsid w:val="00B15EA7"/>
    <w:rPr>
      <w:rFonts w:ascii="Tahoma" w:hAnsi="Tahoma" w:cs="Tahoma"/>
      <w:sz w:val="16"/>
      <w:szCs w:val="16"/>
    </w:rPr>
  </w:style>
  <w:style w:type="paragraph" w:styleId="Header">
    <w:name w:val="header"/>
    <w:basedOn w:val="Normal"/>
    <w:rsid w:val="006B182A"/>
    <w:pPr>
      <w:tabs>
        <w:tab w:val="center" w:pos="4320"/>
        <w:tab w:val="right" w:pos="8640"/>
      </w:tabs>
    </w:pPr>
  </w:style>
  <w:style w:type="paragraph" w:styleId="Footer">
    <w:name w:val="footer"/>
    <w:basedOn w:val="Normal"/>
    <w:link w:val="FooterChar"/>
    <w:uiPriority w:val="99"/>
    <w:rsid w:val="006B182A"/>
    <w:pPr>
      <w:tabs>
        <w:tab w:val="center" w:pos="4320"/>
        <w:tab w:val="right" w:pos="8640"/>
      </w:tabs>
    </w:pPr>
  </w:style>
  <w:style w:type="character" w:styleId="PageNumber">
    <w:name w:val="page number"/>
    <w:basedOn w:val="DefaultParagraphFont"/>
    <w:rsid w:val="006B182A"/>
  </w:style>
  <w:style w:type="character" w:customStyle="1" w:styleId="FooterChar">
    <w:name w:val="Footer Char"/>
    <w:link w:val="Footer"/>
    <w:uiPriority w:val="99"/>
    <w:rsid w:val="000D5C25"/>
    <w:rPr>
      <w:rFonts w:ascii="Times New Roman" w:eastAsia="Times New Roman" w:hAnsi="Times New Roman"/>
    </w:rPr>
  </w:style>
  <w:style w:type="paragraph" w:styleId="FootnoteText">
    <w:name w:val="footnote text"/>
    <w:basedOn w:val="Normal"/>
    <w:link w:val="FootnoteTextChar"/>
    <w:rsid w:val="004409E1"/>
    <w:rPr>
      <w:sz w:val="24"/>
      <w:szCs w:val="24"/>
    </w:rPr>
  </w:style>
  <w:style w:type="character" w:customStyle="1" w:styleId="FootnoteTextChar">
    <w:name w:val="Footnote Text Char"/>
    <w:link w:val="FootnoteText"/>
    <w:rsid w:val="004409E1"/>
    <w:rPr>
      <w:rFonts w:ascii="Times New Roman" w:eastAsia="Times New Roman" w:hAnsi="Times New Roman"/>
      <w:sz w:val="24"/>
      <w:szCs w:val="24"/>
    </w:rPr>
  </w:style>
  <w:style w:type="character" w:styleId="FootnoteReference">
    <w:name w:val="footnote reference"/>
    <w:rsid w:val="004409E1"/>
    <w:rPr>
      <w:vertAlign w:val="superscript"/>
    </w:rPr>
  </w:style>
  <w:style w:type="paragraph" w:styleId="Revision">
    <w:name w:val="Revision"/>
    <w:hidden/>
    <w:semiHidden/>
    <w:rsid w:val="0089359E"/>
    <w:rPr>
      <w:rFonts w:ascii="Times New Roman" w:eastAsia="Times New Roman" w:hAnsi="Times New Roman"/>
    </w:rPr>
  </w:style>
  <w:style w:type="paragraph" w:styleId="ListParagraph">
    <w:name w:val="List Paragraph"/>
    <w:basedOn w:val="Normal"/>
    <w:rsid w:val="000D48A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75F"/>
    <w:rPr>
      <w:rFonts w:ascii="Times New Roman" w:eastAsia="Times New Roman" w:hAnsi="Times New Roman"/>
    </w:rPr>
  </w:style>
  <w:style w:type="paragraph" w:styleId="Heading2">
    <w:name w:val="heading 2"/>
    <w:basedOn w:val="Normal"/>
    <w:next w:val="Normal"/>
    <w:link w:val="Heading2Char"/>
    <w:uiPriority w:val="99"/>
    <w:qFormat/>
    <w:rsid w:val="00A2675F"/>
    <w:pPr>
      <w:keepNext/>
      <w:jc w:val="cente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A2675F"/>
    <w:rPr>
      <w:rFonts w:ascii="Times New Roman" w:hAnsi="Times New Roman" w:cs="Times New Roman"/>
      <w:sz w:val="20"/>
      <w:szCs w:val="20"/>
    </w:rPr>
  </w:style>
  <w:style w:type="paragraph" w:styleId="Title">
    <w:name w:val="Title"/>
    <w:basedOn w:val="Normal"/>
    <w:link w:val="TitleChar"/>
    <w:uiPriority w:val="99"/>
    <w:qFormat/>
    <w:rsid w:val="00A2675F"/>
    <w:pPr>
      <w:widowControl w:val="0"/>
      <w:spacing w:line="480" w:lineRule="auto"/>
      <w:jc w:val="center"/>
    </w:pPr>
    <w:rPr>
      <w:sz w:val="24"/>
      <w:szCs w:val="24"/>
    </w:rPr>
  </w:style>
  <w:style w:type="character" w:customStyle="1" w:styleId="TitleChar">
    <w:name w:val="Title Char"/>
    <w:link w:val="Title"/>
    <w:uiPriority w:val="99"/>
    <w:locked/>
    <w:rsid w:val="00A2675F"/>
    <w:rPr>
      <w:rFonts w:ascii="Times New Roman" w:hAnsi="Times New Roman" w:cs="Times New Roman"/>
      <w:snapToGrid w:val="0"/>
      <w:sz w:val="20"/>
      <w:szCs w:val="20"/>
    </w:rPr>
  </w:style>
  <w:style w:type="character" w:styleId="Hyperlink">
    <w:name w:val="Hyperlink"/>
    <w:uiPriority w:val="99"/>
    <w:rsid w:val="00A2675F"/>
    <w:rPr>
      <w:color w:val="0000FF"/>
      <w:u w:val="single"/>
    </w:rPr>
  </w:style>
  <w:style w:type="table" w:styleId="TableGrid">
    <w:name w:val="Table Grid"/>
    <w:basedOn w:val="TableNormal"/>
    <w:uiPriority w:val="99"/>
    <w:rsid w:val="007620B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526A39"/>
    <w:pPr>
      <w:spacing w:beforeLines="1" w:afterLines="1"/>
    </w:pPr>
    <w:rPr>
      <w:rFonts w:ascii="Times" w:eastAsia="Cambria" w:hAnsi="Times" w:cs="Times"/>
    </w:rPr>
  </w:style>
  <w:style w:type="character" w:styleId="FollowedHyperlink">
    <w:name w:val="FollowedHyperlink"/>
    <w:uiPriority w:val="99"/>
    <w:rsid w:val="00526A39"/>
    <w:rPr>
      <w:color w:val="0000FF"/>
      <w:u w:val="single"/>
    </w:rPr>
  </w:style>
  <w:style w:type="character" w:customStyle="1" w:styleId="popular-count">
    <w:name w:val="popular-count"/>
    <w:basedOn w:val="DefaultParagraphFont"/>
    <w:uiPriority w:val="99"/>
    <w:rsid w:val="00526A39"/>
  </w:style>
  <w:style w:type="character" w:customStyle="1" w:styleId="byline">
    <w:name w:val="byline"/>
    <w:basedOn w:val="DefaultParagraphFont"/>
    <w:uiPriority w:val="99"/>
    <w:rsid w:val="00526A39"/>
  </w:style>
  <w:style w:type="paragraph" w:customStyle="1" w:styleId="MediumGrid1-Accent21">
    <w:name w:val="Medium Grid 1 - Accent 21"/>
    <w:basedOn w:val="Normal"/>
    <w:uiPriority w:val="99"/>
    <w:qFormat/>
    <w:rsid w:val="006B067B"/>
    <w:pPr>
      <w:ind w:left="720"/>
    </w:pPr>
  </w:style>
  <w:style w:type="character" w:styleId="CommentReference">
    <w:name w:val="annotation reference"/>
    <w:semiHidden/>
    <w:rsid w:val="00B15EA7"/>
    <w:rPr>
      <w:sz w:val="16"/>
      <w:szCs w:val="16"/>
    </w:rPr>
  </w:style>
  <w:style w:type="paragraph" w:styleId="CommentText">
    <w:name w:val="annotation text"/>
    <w:basedOn w:val="Normal"/>
    <w:semiHidden/>
    <w:rsid w:val="00B15EA7"/>
  </w:style>
  <w:style w:type="paragraph" w:styleId="CommentSubject">
    <w:name w:val="annotation subject"/>
    <w:basedOn w:val="CommentText"/>
    <w:next w:val="CommentText"/>
    <w:semiHidden/>
    <w:rsid w:val="00B15EA7"/>
    <w:rPr>
      <w:b/>
      <w:bCs/>
    </w:rPr>
  </w:style>
  <w:style w:type="paragraph" w:styleId="BalloonText">
    <w:name w:val="Balloon Text"/>
    <w:basedOn w:val="Normal"/>
    <w:semiHidden/>
    <w:rsid w:val="00B15EA7"/>
    <w:rPr>
      <w:rFonts w:ascii="Tahoma" w:hAnsi="Tahoma" w:cs="Tahoma"/>
      <w:sz w:val="16"/>
      <w:szCs w:val="16"/>
    </w:rPr>
  </w:style>
  <w:style w:type="paragraph" w:styleId="Header">
    <w:name w:val="header"/>
    <w:basedOn w:val="Normal"/>
    <w:rsid w:val="006B182A"/>
    <w:pPr>
      <w:tabs>
        <w:tab w:val="center" w:pos="4320"/>
        <w:tab w:val="right" w:pos="8640"/>
      </w:tabs>
    </w:pPr>
  </w:style>
  <w:style w:type="paragraph" w:styleId="Footer">
    <w:name w:val="footer"/>
    <w:basedOn w:val="Normal"/>
    <w:link w:val="FooterChar"/>
    <w:uiPriority w:val="99"/>
    <w:rsid w:val="006B182A"/>
    <w:pPr>
      <w:tabs>
        <w:tab w:val="center" w:pos="4320"/>
        <w:tab w:val="right" w:pos="8640"/>
      </w:tabs>
    </w:pPr>
  </w:style>
  <w:style w:type="character" w:styleId="PageNumber">
    <w:name w:val="page number"/>
    <w:basedOn w:val="DefaultParagraphFont"/>
    <w:rsid w:val="006B182A"/>
  </w:style>
  <w:style w:type="character" w:customStyle="1" w:styleId="FooterChar">
    <w:name w:val="Footer Char"/>
    <w:link w:val="Footer"/>
    <w:uiPriority w:val="99"/>
    <w:rsid w:val="000D5C25"/>
    <w:rPr>
      <w:rFonts w:ascii="Times New Roman" w:eastAsia="Times New Roman" w:hAnsi="Times New Roman"/>
    </w:rPr>
  </w:style>
  <w:style w:type="paragraph" w:styleId="FootnoteText">
    <w:name w:val="footnote text"/>
    <w:basedOn w:val="Normal"/>
    <w:link w:val="FootnoteTextChar"/>
    <w:rsid w:val="004409E1"/>
    <w:rPr>
      <w:sz w:val="24"/>
      <w:szCs w:val="24"/>
    </w:rPr>
  </w:style>
  <w:style w:type="character" w:customStyle="1" w:styleId="FootnoteTextChar">
    <w:name w:val="Footnote Text Char"/>
    <w:link w:val="FootnoteText"/>
    <w:rsid w:val="004409E1"/>
    <w:rPr>
      <w:rFonts w:ascii="Times New Roman" w:eastAsia="Times New Roman" w:hAnsi="Times New Roman"/>
      <w:sz w:val="24"/>
      <w:szCs w:val="24"/>
    </w:rPr>
  </w:style>
  <w:style w:type="character" w:styleId="FootnoteReference">
    <w:name w:val="footnote reference"/>
    <w:rsid w:val="004409E1"/>
    <w:rPr>
      <w:vertAlign w:val="superscript"/>
    </w:rPr>
  </w:style>
  <w:style w:type="paragraph" w:styleId="Revision">
    <w:name w:val="Revision"/>
    <w:hidden/>
    <w:semiHidden/>
    <w:rsid w:val="0089359E"/>
    <w:rPr>
      <w:rFonts w:ascii="Times New Roman" w:eastAsia="Times New Roman" w:hAnsi="Times New Roman"/>
    </w:rPr>
  </w:style>
  <w:style w:type="paragraph" w:styleId="ListParagraph">
    <w:name w:val="List Paragraph"/>
    <w:basedOn w:val="Normal"/>
    <w:rsid w:val="000D4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8099">
      <w:bodyDiv w:val="1"/>
      <w:marLeft w:val="0"/>
      <w:marRight w:val="0"/>
      <w:marTop w:val="0"/>
      <w:marBottom w:val="0"/>
      <w:divBdr>
        <w:top w:val="none" w:sz="0" w:space="0" w:color="auto"/>
        <w:left w:val="none" w:sz="0" w:space="0" w:color="auto"/>
        <w:bottom w:val="none" w:sz="0" w:space="0" w:color="auto"/>
        <w:right w:val="none" w:sz="0" w:space="0" w:color="auto"/>
      </w:divBdr>
    </w:div>
    <w:div w:id="106386843">
      <w:bodyDiv w:val="1"/>
      <w:marLeft w:val="0"/>
      <w:marRight w:val="0"/>
      <w:marTop w:val="0"/>
      <w:marBottom w:val="0"/>
      <w:divBdr>
        <w:top w:val="none" w:sz="0" w:space="0" w:color="auto"/>
        <w:left w:val="none" w:sz="0" w:space="0" w:color="auto"/>
        <w:bottom w:val="none" w:sz="0" w:space="0" w:color="auto"/>
        <w:right w:val="none" w:sz="0" w:space="0" w:color="auto"/>
      </w:divBdr>
    </w:div>
    <w:div w:id="333805464">
      <w:bodyDiv w:val="1"/>
      <w:marLeft w:val="0"/>
      <w:marRight w:val="0"/>
      <w:marTop w:val="0"/>
      <w:marBottom w:val="0"/>
      <w:divBdr>
        <w:top w:val="none" w:sz="0" w:space="0" w:color="auto"/>
        <w:left w:val="none" w:sz="0" w:space="0" w:color="auto"/>
        <w:bottom w:val="none" w:sz="0" w:space="0" w:color="auto"/>
        <w:right w:val="none" w:sz="0" w:space="0" w:color="auto"/>
      </w:divBdr>
    </w:div>
    <w:div w:id="969047579">
      <w:bodyDiv w:val="1"/>
      <w:marLeft w:val="0"/>
      <w:marRight w:val="0"/>
      <w:marTop w:val="0"/>
      <w:marBottom w:val="0"/>
      <w:divBdr>
        <w:top w:val="none" w:sz="0" w:space="0" w:color="auto"/>
        <w:left w:val="none" w:sz="0" w:space="0" w:color="auto"/>
        <w:bottom w:val="none" w:sz="0" w:space="0" w:color="auto"/>
        <w:right w:val="none" w:sz="0" w:space="0" w:color="auto"/>
      </w:divBdr>
    </w:div>
    <w:div w:id="1052848255">
      <w:bodyDiv w:val="1"/>
      <w:marLeft w:val="0"/>
      <w:marRight w:val="0"/>
      <w:marTop w:val="0"/>
      <w:marBottom w:val="0"/>
      <w:divBdr>
        <w:top w:val="none" w:sz="0" w:space="0" w:color="auto"/>
        <w:left w:val="none" w:sz="0" w:space="0" w:color="auto"/>
        <w:bottom w:val="none" w:sz="0" w:space="0" w:color="auto"/>
        <w:right w:val="none" w:sz="0" w:space="0" w:color="auto"/>
      </w:divBdr>
    </w:div>
    <w:div w:id="1108699584">
      <w:bodyDiv w:val="1"/>
      <w:marLeft w:val="0"/>
      <w:marRight w:val="0"/>
      <w:marTop w:val="0"/>
      <w:marBottom w:val="0"/>
      <w:divBdr>
        <w:top w:val="none" w:sz="0" w:space="0" w:color="auto"/>
        <w:left w:val="none" w:sz="0" w:space="0" w:color="auto"/>
        <w:bottom w:val="none" w:sz="0" w:space="0" w:color="auto"/>
        <w:right w:val="none" w:sz="0" w:space="0" w:color="auto"/>
      </w:divBdr>
      <w:divsChild>
        <w:div w:id="2100713692">
          <w:marLeft w:val="0"/>
          <w:marRight w:val="0"/>
          <w:marTop w:val="0"/>
          <w:marBottom w:val="0"/>
          <w:divBdr>
            <w:top w:val="none" w:sz="0" w:space="0" w:color="auto"/>
            <w:left w:val="none" w:sz="0" w:space="0" w:color="auto"/>
            <w:bottom w:val="none" w:sz="0" w:space="0" w:color="auto"/>
            <w:right w:val="none" w:sz="0" w:space="0" w:color="auto"/>
          </w:divBdr>
        </w:div>
        <w:div w:id="182788709">
          <w:marLeft w:val="0"/>
          <w:marRight w:val="0"/>
          <w:marTop w:val="0"/>
          <w:marBottom w:val="0"/>
          <w:divBdr>
            <w:top w:val="none" w:sz="0" w:space="0" w:color="auto"/>
            <w:left w:val="none" w:sz="0" w:space="0" w:color="auto"/>
            <w:bottom w:val="none" w:sz="0" w:space="0" w:color="auto"/>
            <w:right w:val="none" w:sz="0" w:space="0" w:color="auto"/>
          </w:divBdr>
        </w:div>
        <w:div w:id="222064784">
          <w:marLeft w:val="0"/>
          <w:marRight w:val="0"/>
          <w:marTop w:val="0"/>
          <w:marBottom w:val="0"/>
          <w:divBdr>
            <w:top w:val="none" w:sz="0" w:space="0" w:color="auto"/>
            <w:left w:val="none" w:sz="0" w:space="0" w:color="auto"/>
            <w:bottom w:val="none" w:sz="0" w:space="0" w:color="auto"/>
            <w:right w:val="none" w:sz="0" w:space="0" w:color="auto"/>
          </w:divBdr>
        </w:div>
        <w:div w:id="1862665577">
          <w:marLeft w:val="0"/>
          <w:marRight w:val="0"/>
          <w:marTop w:val="0"/>
          <w:marBottom w:val="0"/>
          <w:divBdr>
            <w:top w:val="none" w:sz="0" w:space="0" w:color="auto"/>
            <w:left w:val="none" w:sz="0" w:space="0" w:color="auto"/>
            <w:bottom w:val="none" w:sz="0" w:space="0" w:color="auto"/>
            <w:right w:val="none" w:sz="0" w:space="0" w:color="auto"/>
          </w:divBdr>
        </w:div>
        <w:div w:id="600532304">
          <w:marLeft w:val="0"/>
          <w:marRight w:val="0"/>
          <w:marTop w:val="0"/>
          <w:marBottom w:val="0"/>
          <w:divBdr>
            <w:top w:val="none" w:sz="0" w:space="0" w:color="auto"/>
            <w:left w:val="none" w:sz="0" w:space="0" w:color="auto"/>
            <w:bottom w:val="none" w:sz="0" w:space="0" w:color="auto"/>
            <w:right w:val="none" w:sz="0" w:space="0" w:color="auto"/>
          </w:divBdr>
        </w:div>
        <w:div w:id="1247033980">
          <w:marLeft w:val="0"/>
          <w:marRight w:val="0"/>
          <w:marTop w:val="0"/>
          <w:marBottom w:val="0"/>
          <w:divBdr>
            <w:top w:val="none" w:sz="0" w:space="0" w:color="auto"/>
            <w:left w:val="none" w:sz="0" w:space="0" w:color="auto"/>
            <w:bottom w:val="none" w:sz="0" w:space="0" w:color="auto"/>
            <w:right w:val="none" w:sz="0" w:space="0" w:color="auto"/>
          </w:divBdr>
        </w:div>
        <w:div w:id="997808596">
          <w:marLeft w:val="0"/>
          <w:marRight w:val="0"/>
          <w:marTop w:val="0"/>
          <w:marBottom w:val="0"/>
          <w:divBdr>
            <w:top w:val="none" w:sz="0" w:space="0" w:color="auto"/>
            <w:left w:val="none" w:sz="0" w:space="0" w:color="auto"/>
            <w:bottom w:val="none" w:sz="0" w:space="0" w:color="auto"/>
            <w:right w:val="none" w:sz="0" w:space="0" w:color="auto"/>
          </w:divBdr>
        </w:div>
      </w:divsChild>
    </w:div>
    <w:div w:id="1261989632">
      <w:bodyDiv w:val="1"/>
      <w:marLeft w:val="0"/>
      <w:marRight w:val="0"/>
      <w:marTop w:val="0"/>
      <w:marBottom w:val="0"/>
      <w:divBdr>
        <w:top w:val="none" w:sz="0" w:space="0" w:color="auto"/>
        <w:left w:val="none" w:sz="0" w:space="0" w:color="auto"/>
        <w:bottom w:val="none" w:sz="0" w:space="0" w:color="auto"/>
        <w:right w:val="none" w:sz="0" w:space="0" w:color="auto"/>
      </w:divBdr>
    </w:div>
    <w:div w:id="1366712558">
      <w:bodyDiv w:val="1"/>
      <w:marLeft w:val="0"/>
      <w:marRight w:val="0"/>
      <w:marTop w:val="0"/>
      <w:marBottom w:val="0"/>
      <w:divBdr>
        <w:top w:val="none" w:sz="0" w:space="0" w:color="auto"/>
        <w:left w:val="none" w:sz="0" w:space="0" w:color="auto"/>
        <w:bottom w:val="none" w:sz="0" w:space="0" w:color="auto"/>
        <w:right w:val="none" w:sz="0" w:space="0" w:color="auto"/>
      </w:divBdr>
    </w:div>
    <w:div w:id="1779182751">
      <w:marLeft w:val="0"/>
      <w:marRight w:val="0"/>
      <w:marTop w:val="0"/>
      <w:marBottom w:val="0"/>
      <w:divBdr>
        <w:top w:val="none" w:sz="0" w:space="0" w:color="auto"/>
        <w:left w:val="none" w:sz="0" w:space="0" w:color="auto"/>
        <w:bottom w:val="none" w:sz="0" w:space="0" w:color="auto"/>
        <w:right w:val="none" w:sz="0" w:space="0" w:color="auto"/>
      </w:divBdr>
      <w:divsChild>
        <w:div w:id="1779182749">
          <w:marLeft w:val="0"/>
          <w:marRight w:val="0"/>
          <w:marTop w:val="0"/>
          <w:marBottom w:val="0"/>
          <w:divBdr>
            <w:top w:val="none" w:sz="0" w:space="0" w:color="auto"/>
            <w:left w:val="none" w:sz="0" w:space="0" w:color="auto"/>
            <w:bottom w:val="none" w:sz="0" w:space="0" w:color="auto"/>
            <w:right w:val="none" w:sz="0" w:space="0" w:color="auto"/>
          </w:divBdr>
        </w:div>
        <w:div w:id="1779182750">
          <w:marLeft w:val="0"/>
          <w:marRight w:val="0"/>
          <w:marTop w:val="0"/>
          <w:marBottom w:val="0"/>
          <w:divBdr>
            <w:top w:val="none" w:sz="0" w:space="0" w:color="auto"/>
            <w:left w:val="none" w:sz="0" w:space="0" w:color="auto"/>
            <w:bottom w:val="none" w:sz="0" w:space="0" w:color="auto"/>
            <w:right w:val="none" w:sz="0" w:space="0" w:color="auto"/>
          </w:divBdr>
        </w:div>
        <w:div w:id="1779182752">
          <w:marLeft w:val="0"/>
          <w:marRight w:val="0"/>
          <w:marTop w:val="0"/>
          <w:marBottom w:val="0"/>
          <w:divBdr>
            <w:top w:val="none" w:sz="0" w:space="0" w:color="auto"/>
            <w:left w:val="none" w:sz="0" w:space="0" w:color="auto"/>
            <w:bottom w:val="none" w:sz="0" w:space="0" w:color="auto"/>
            <w:right w:val="none" w:sz="0" w:space="0" w:color="auto"/>
          </w:divBdr>
        </w:div>
      </w:divsChild>
    </w:div>
    <w:div w:id="1779182753">
      <w:marLeft w:val="0"/>
      <w:marRight w:val="0"/>
      <w:marTop w:val="0"/>
      <w:marBottom w:val="0"/>
      <w:divBdr>
        <w:top w:val="none" w:sz="0" w:space="0" w:color="auto"/>
        <w:left w:val="none" w:sz="0" w:space="0" w:color="auto"/>
        <w:bottom w:val="none" w:sz="0" w:space="0" w:color="auto"/>
        <w:right w:val="none" w:sz="0" w:space="0" w:color="auto"/>
      </w:divBdr>
    </w:div>
    <w:div w:id="2026126879">
      <w:bodyDiv w:val="1"/>
      <w:marLeft w:val="0"/>
      <w:marRight w:val="0"/>
      <w:marTop w:val="0"/>
      <w:marBottom w:val="0"/>
      <w:divBdr>
        <w:top w:val="none" w:sz="0" w:space="0" w:color="auto"/>
        <w:left w:val="none" w:sz="0" w:space="0" w:color="auto"/>
        <w:bottom w:val="none" w:sz="0" w:space="0" w:color="auto"/>
        <w:right w:val="none" w:sz="0" w:space="0" w:color="auto"/>
      </w:divBdr>
      <w:divsChild>
        <w:div w:id="1564759219">
          <w:marLeft w:val="0"/>
          <w:marRight w:val="0"/>
          <w:marTop w:val="0"/>
          <w:marBottom w:val="0"/>
          <w:divBdr>
            <w:top w:val="none" w:sz="0" w:space="0" w:color="auto"/>
            <w:left w:val="none" w:sz="0" w:space="0" w:color="auto"/>
            <w:bottom w:val="none" w:sz="0" w:space="0" w:color="auto"/>
            <w:right w:val="none" w:sz="0" w:space="0" w:color="auto"/>
          </w:divBdr>
          <w:divsChild>
            <w:div w:id="1772042466">
              <w:marLeft w:val="0"/>
              <w:marRight w:val="0"/>
              <w:marTop w:val="0"/>
              <w:marBottom w:val="0"/>
              <w:divBdr>
                <w:top w:val="none" w:sz="0" w:space="0" w:color="auto"/>
                <w:left w:val="none" w:sz="0" w:space="0" w:color="auto"/>
                <w:bottom w:val="none" w:sz="0" w:space="0" w:color="auto"/>
                <w:right w:val="none" w:sz="0" w:space="0" w:color="auto"/>
              </w:divBdr>
              <w:divsChild>
                <w:div w:id="1432093062">
                  <w:marLeft w:val="0"/>
                  <w:marRight w:val="0"/>
                  <w:marTop w:val="0"/>
                  <w:marBottom w:val="0"/>
                  <w:divBdr>
                    <w:top w:val="none" w:sz="0" w:space="0" w:color="auto"/>
                    <w:left w:val="none" w:sz="0" w:space="0" w:color="auto"/>
                    <w:bottom w:val="none" w:sz="0" w:space="0" w:color="auto"/>
                    <w:right w:val="none" w:sz="0" w:space="0" w:color="auto"/>
                  </w:divBdr>
                  <w:divsChild>
                    <w:div w:id="1286961293">
                      <w:marLeft w:val="0"/>
                      <w:marRight w:val="0"/>
                      <w:marTop w:val="0"/>
                      <w:marBottom w:val="0"/>
                      <w:divBdr>
                        <w:top w:val="none" w:sz="0" w:space="0" w:color="auto"/>
                        <w:left w:val="none" w:sz="0" w:space="0" w:color="auto"/>
                        <w:bottom w:val="none" w:sz="0" w:space="0" w:color="auto"/>
                        <w:right w:val="none" w:sz="0" w:space="0" w:color="auto"/>
                      </w:divBdr>
                      <w:divsChild>
                        <w:div w:id="229392377">
                          <w:marLeft w:val="0"/>
                          <w:marRight w:val="0"/>
                          <w:marTop w:val="0"/>
                          <w:marBottom w:val="0"/>
                          <w:divBdr>
                            <w:top w:val="none" w:sz="0" w:space="0" w:color="auto"/>
                            <w:left w:val="none" w:sz="0" w:space="0" w:color="auto"/>
                            <w:bottom w:val="none" w:sz="0" w:space="0" w:color="auto"/>
                            <w:right w:val="none" w:sz="0" w:space="0" w:color="auto"/>
                          </w:divBdr>
                          <w:divsChild>
                            <w:div w:id="18373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3.xml"/><Relationship Id="rId12" Type="http://schemas.openxmlformats.org/officeDocument/2006/relationships/chart" Target="charts/chart4.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hart" Target="charts/chart1.xml"/><Relationship Id="rId10"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 Id="rId2"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 Id="rId2"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Sheet3.xlsx"/><Relationship Id="rId2"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Severance Tax $ Distribution into</a:t>
            </a:r>
            <a:r>
              <a:rPr lang="en-US" baseline="0"/>
              <a:t> PMTF</a:t>
            </a:r>
            <a:br>
              <a:rPr lang="en-US" baseline="0"/>
            </a:br>
            <a:r>
              <a:rPr lang="en-US" sz="1400" baseline="0"/>
              <a:t>(in thousands)</a:t>
            </a:r>
            <a:endParaRPr lang="en-US" baseline="0"/>
          </a:p>
        </c:rich>
      </c:tx>
      <c:layout>
        <c:manualLayout>
          <c:xMode val="edge"/>
          <c:yMode val="edge"/>
          <c:x val="0.111301966883769"/>
          <c:y val="0.0317460317460317"/>
        </c:manualLayout>
      </c:layout>
      <c:overlay val="0"/>
    </c:title>
    <c:autoTitleDeleted val="0"/>
    <c:plotArea>
      <c:layout/>
      <c:lineChart>
        <c:grouping val="standard"/>
        <c:varyColors val="0"/>
        <c:ser>
          <c:idx val="0"/>
          <c:order val="0"/>
          <c:tx>
            <c:strRef>
              <c:f>Sheet1!$B$1</c:f>
              <c:strCache>
                <c:ptCount val="1"/>
                <c:pt idx="0">
                  <c:v>All Severence Tax</c:v>
                </c:pt>
              </c:strCache>
            </c:strRef>
          </c:tx>
          <c:marker>
            <c:symbol val="none"/>
          </c:marker>
          <c:dPt>
            <c:idx val="9"/>
            <c:bubble3D val="0"/>
          </c:dPt>
          <c:dPt>
            <c:idx val="10"/>
            <c:bubble3D val="0"/>
          </c:dPt>
          <c:dPt>
            <c:idx val="11"/>
            <c:bubble3D val="0"/>
          </c:dPt>
          <c:cat>
            <c:strRef>
              <c:f>Sheet1!$A$2:$A$12</c:f>
              <c:strCache>
                <c:ptCount val="11"/>
                <c:pt idx="0">
                  <c:v>1999-00</c:v>
                </c:pt>
                <c:pt idx="1">
                  <c:v>2001-02</c:v>
                </c:pt>
                <c:pt idx="2">
                  <c:v>2003-04</c:v>
                </c:pt>
                <c:pt idx="3">
                  <c:v>2005-06</c:v>
                </c:pt>
                <c:pt idx="4">
                  <c:v>2007-08</c:v>
                </c:pt>
                <c:pt idx="5">
                  <c:v>2009-10</c:v>
                </c:pt>
                <c:pt idx="6">
                  <c:v>2011-12</c:v>
                </c:pt>
                <c:pt idx="7">
                  <c:v>2013-14</c:v>
                </c:pt>
                <c:pt idx="8">
                  <c:v>2015-16</c:v>
                </c:pt>
                <c:pt idx="9">
                  <c:v>2017-18</c:v>
                </c:pt>
                <c:pt idx="10">
                  <c:v>2019-20</c:v>
                </c:pt>
              </c:strCache>
            </c:strRef>
          </c:cat>
          <c:val>
            <c:numRef>
              <c:f>Sheet1!$B$2:$B$12</c:f>
              <c:numCache>
                <c:formatCode>"$"#,##0</c:formatCode>
                <c:ptCount val="11"/>
                <c:pt idx="0">
                  <c:v>471582.0</c:v>
                </c:pt>
                <c:pt idx="1">
                  <c:v>747407.0</c:v>
                </c:pt>
                <c:pt idx="2">
                  <c:v>992693.0</c:v>
                </c:pt>
                <c:pt idx="3">
                  <c:v>1.727734E6</c:v>
                </c:pt>
                <c:pt idx="4">
                  <c:v>1.957751E6</c:v>
                </c:pt>
                <c:pt idx="5">
                  <c:v>1.806615E6</c:v>
                </c:pt>
                <c:pt idx="6">
                  <c:v>1.839007E6</c:v>
                </c:pt>
                <c:pt idx="7">
                  <c:v>1.799484E6</c:v>
                </c:pt>
                <c:pt idx="8">
                  <c:v>1.412143E6</c:v>
                </c:pt>
                <c:pt idx="9">
                  <c:v>1.2915E6</c:v>
                </c:pt>
                <c:pt idx="10">
                  <c:v>1.3391E6</c:v>
                </c:pt>
              </c:numCache>
            </c:numRef>
          </c:val>
          <c:smooth val="0"/>
        </c:ser>
        <c:ser>
          <c:idx val="1"/>
          <c:order val="1"/>
          <c:tx>
            <c:strRef>
              <c:f>Sheet1!$C$1</c:f>
              <c:strCache>
                <c:ptCount val="1"/>
                <c:pt idx="0">
                  <c:v>Diverted to PWMTF</c:v>
                </c:pt>
              </c:strCache>
            </c:strRef>
          </c:tx>
          <c:marker>
            <c:symbol val="none"/>
          </c:marker>
          <c:dPt>
            <c:idx val="9"/>
            <c:bubble3D val="0"/>
          </c:dPt>
          <c:dPt>
            <c:idx val="10"/>
            <c:bubble3D val="0"/>
          </c:dPt>
          <c:cat>
            <c:strRef>
              <c:f>Sheet1!$A$2:$A$12</c:f>
              <c:strCache>
                <c:ptCount val="11"/>
                <c:pt idx="0">
                  <c:v>1999-00</c:v>
                </c:pt>
                <c:pt idx="1">
                  <c:v>2001-02</c:v>
                </c:pt>
                <c:pt idx="2">
                  <c:v>2003-04</c:v>
                </c:pt>
                <c:pt idx="3">
                  <c:v>2005-06</c:v>
                </c:pt>
                <c:pt idx="4">
                  <c:v>2007-08</c:v>
                </c:pt>
                <c:pt idx="5">
                  <c:v>2009-10</c:v>
                </c:pt>
                <c:pt idx="6">
                  <c:v>2011-12</c:v>
                </c:pt>
                <c:pt idx="7">
                  <c:v>2013-14</c:v>
                </c:pt>
                <c:pt idx="8">
                  <c:v>2015-16</c:v>
                </c:pt>
                <c:pt idx="9">
                  <c:v>2017-18</c:v>
                </c:pt>
                <c:pt idx="10">
                  <c:v>2019-20</c:v>
                </c:pt>
              </c:strCache>
            </c:strRef>
          </c:cat>
          <c:val>
            <c:numRef>
              <c:f>Sheet1!$C$2:$C$12</c:f>
              <c:numCache>
                <c:formatCode>"$"#,##0</c:formatCode>
                <c:ptCount val="11"/>
                <c:pt idx="0">
                  <c:v>118384.0</c:v>
                </c:pt>
                <c:pt idx="1">
                  <c:v>185264.0</c:v>
                </c:pt>
                <c:pt idx="2">
                  <c:v>240798.0</c:v>
                </c:pt>
                <c:pt idx="3">
                  <c:v>583525.0</c:v>
                </c:pt>
                <c:pt idx="4">
                  <c:v>789669.0</c:v>
                </c:pt>
                <c:pt idx="5">
                  <c:v>721329.0</c:v>
                </c:pt>
                <c:pt idx="6">
                  <c:v>731344.0</c:v>
                </c:pt>
                <c:pt idx="7">
                  <c:v>712715.0</c:v>
                </c:pt>
                <c:pt idx="8">
                  <c:v>546938.0</c:v>
                </c:pt>
                <c:pt idx="9">
                  <c:v>494100.0</c:v>
                </c:pt>
                <c:pt idx="10">
                  <c:v>514100.0</c:v>
                </c:pt>
              </c:numCache>
            </c:numRef>
          </c:val>
          <c:smooth val="0"/>
        </c:ser>
        <c:dLbls>
          <c:showLegendKey val="0"/>
          <c:showVal val="0"/>
          <c:showCatName val="0"/>
          <c:showSerName val="0"/>
          <c:showPercent val="0"/>
          <c:showBubbleSize val="0"/>
        </c:dLbls>
        <c:marker val="1"/>
        <c:smooth val="0"/>
        <c:axId val="2104946616"/>
        <c:axId val="-2140176664"/>
      </c:lineChart>
      <c:catAx>
        <c:axId val="2104946616"/>
        <c:scaling>
          <c:orientation val="minMax"/>
        </c:scaling>
        <c:delete val="0"/>
        <c:axPos val="b"/>
        <c:numFmt formatCode="General" sourceLinked="1"/>
        <c:majorTickMark val="none"/>
        <c:minorTickMark val="none"/>
        <c:tickLblPos val="nextTo"/>
        <c:crossAx val="-2140176664"/>
        <c:crosses val="autoZero"/>
        <c:auto val="1"/>
        <c:lblAlgn val="ctr"/>
        <c:lblOffset val="100"/>
        <c:noMultiLvlLbl val="0"/>
      </c:catAx>
      <c:valAx>
        <c:axId val="-2140176664"/>
        <c:scaling>
          <c:orientation val="minMax"/>
        </c:scaling>
        <c:delete val="0"/>
        <c:axPos val="l"/>
        <c:majorGridlines/>
        <c:numFmt formatCode="&quot;$&quot;#,##0" sourceLinked="1"/>
        <c:majorTickMark val="none"/>
        <c:minorTickMark val="none"/>
        <c:tickLblPos val="nextTo"/>
        <c:crossAx val="2104946616"/>
        <c:crosses val="autoZero"/>
        <c:crossBetween val="between"/>
      </c:valAx>
    </c:plotArea>
    <c:legend>
      <c:legendPos val="r"/>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PWMTF</a:t>
            </a:r>
            <a:r>
              <a:rPr lang="en-US" baseline="0"/>
              <a:t> GF Income</a:t>
            </a:r>
          </a:p>
          <a:p>
            <a:pPr>
              <a:defRPr/>
            </a:pPr>
            <a:r>
              <a:rPr lang="en-US" sz="1000" baseline="0"/>
              <a:t>(In thousands)</a:t>
            </a:r>
            <a:endParaRPr lang="en-US" sz="1000"/>
          </a:p>
        </c:rich>
      </c:tx>
      <c:layout/>
      <c:overlay val="0"/>
    </c:title>
    <c:autoTitleDeleted val="0"/>
    <c:plotArea>
      <c:layout>
        <c:manualLayout>
          <c:layoutTarget val="inner"/>
          <c:xMode val="edge"/>
          <c:yMode val="edge"/>
          <c:x val="0.125830052493438"/>
          <c:y val="0.188888576427946"/>
          <c:w val="0.839447725284339"/>
          <c:h val="0.58173665791776"/>
        </c:manualLayout>
      </c:layout>
      <c:lineChart>
        <c:grouping val="standard"/>
        <c:varyColors val="0"/>
        <c:ser>
          <c:idx val="0"/>
          <c:order val="0"/>
          <c:tx>
            <c:strRef>
              <c:f>Sheet1!$B$1</c:f>
              <c:strCache>
                <c:ptCount val="1"/>
                <c:pt idx="0">
                  <c:v>Series 1</c:v>
                </c:pt>
              </c:strCache>
            </c:strRef>
          </c:tx>
          <c:marker>
            <c:symbol val="none"/>
          </c:marker>
          <c:dPt>
            <c:idx val="9"/>
            <c:bubble3D val="0"/>
          </c:dPt>
          <c:dPt>
            <c:idx val="10"/>
            <c:bubble3D val="0"/>
          </c:dPt>
          <c:cat>
            <c:strRef>
              <c:f>Sheet1!$A$2:$A$12</c:f>
              <c:strCache>
                <c:ptCount val="11"/>
                <c:pt idx="0">
                  <c:v>1999-00</c:v>
                </c:pt>
                <c:pt idx="1">
                  <c:v>2001-02</c:v>
                </c:pt>
                <c:pt idx="2">
                  <c:v>2003-04</c:v>
                </c:pt>
                <c:pt idx="3">
                  <c:v>2005-06</c:v>
                </c:pt>
                <c:pt idx="4">
                  <c:v>2007-08</c:v>
                </c:pt>
                <c:pt idx="5">
                  <c:v>2009-10</c:v>
                </c:pt>
                <c:pt idx="6">
                  <c:v>2011-12</c:v>
                </c:pt>
                <c:pt idx="7">
                  <c:v>2013-14</c:v>
                </c:pt>
                <c:pt idx="8">
                  <c:v>2015-16</c:v>
                </c:pt>
                <c:pt idx="9">
                  <c:v>2017-18</c:v>
                </c:pt>
                <c:pt idx="10">
                  <c:v>2019-20</c:v>
                </c:pt>
              </c:strCache>
            </c:strRef>
          </c:cat>
          <c:val>
            <c:numRef>
              <c:f>Sheet1!$B$2:$B$12</c:f>
              <c:numCache>
                <c:formatCode>"$"#,##0</c:formatCode>
                <c:ptCount val="11"/>
                <c:pt idx="0">
                  <c:v>224330.0</c:v>
                </c:pt>
                <c:pt idx="1">
                  <c:v>187888.0</c:v>
                </c:pt>
                <c:pt idx="2">
                  <c:v>156758.0</c:v>
                </c:pt>
                <c:pt idx="3">
                  <c:v>211742.0</c:v>
                </c:pt>
                <c:pt idx="4">
                  <c:v>471844.0</c:v>
                </c:pt>
                <c:pt idx="5">
                  <c:v>274715.0</c:v>
                </c:pt>
                <c:pt idx="6">
                  <c:v>451602.0</c:v>
                </c:pt>
                <c:pt idx="7">
                  <c:v>761973.0</c:v>
                </c:pt>
                <c:pt idx="8">
                  <c:v>637834.0</c:v>
                </c:pt>
                <c:pt idx="9">
                  <c:v>343000.0</c:v>
                </c:pt>
                <c:pt idx="10">
                  <c:v>377400.0</c:v>
                </c:pt>
              </c:numCache>
            </c:numRef>
          </c:val>
          <c:smooth val="0"/>
        </c:ser>
        <c:dLbls>
          <c:showLegendKey val="0"/>
          <c:showVal val="0"/>
          <c:showCatName val="0"/>
          <c:showSerName val="0"/>
          <c:showPercent val="0"/>
          <c:showBubbleSize val="0"/>
        </c:dLbls>
        <c:marker val="1"/>
        <c:smooth val="0"/>
        <c:axId val="2055174216"/>
        <c:axId val="-2143053464"/>
      </c:lineChart>
      <c:catAx>
        <c:axId val="2055174216"/>
        <c:scaling>
          <c:orientation val="minMax"/>
        </c:scaling>
        <c:delete val="0"/>
        <c:axPos val="b"/>
        <c:numFmt formatCode="General" sourceLinked="1"/>
        <c:majorTickMark val="out"/>
        <c:minorTickMark val="none"/>
        <c:tickLblPos val="nextTo"/>
        <c:crossAx val="-2143053464"/>
        <c:crosses val="autoZero"/>
        <c:auto val="1"/>
        <c:lblAlgn val="ctr"/>
        <c:lblOffset val="100"/>
        <c:noMultiLvlLbl val="0"/>
      </c:catAx>
      <c:valAx>
        <c:axId val="-2143053464"/>
        <c:scaling>
          <c:orientation val="minMax"/>
        </c:scaling>
        <c:delete val="0"/>
        <c:axPos val="l"/>
        <c:majorGridlines/>
        <c:numFmt formatCode="&quot;$&quot;#,##0" sourceLinked="1"/>
        <c:majorTickMark val="out"/>
        <c:minorTickMark val="none"/>
        <c:tickLblPos val="nextTo"/>
        <c:txPr>
          <a:bodyPr/>
          <a:lstStyle/>
          <a:p>
            <a:pPr>
              <a:defRPr b="0" i="0" spc="0"/>
            </a:pPr>
            <a:endParaRPr lang="en-US"/>
          </a:p>
        </c:txPr>
        <c:crossAx val="2055174216"/>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General</a:t>
            </a:r>
            <a:r>
              <a:rPr lang="en-US" baseline="0"/>
              <a:t> Fund Revenues</a:t>
            </a:r>
          </a:p>
          <a:p>
            <a:pPr>
              <a:defRPr/>
            </a:pPr>
            <a:r>
              <a:rPr lang="en-US" sz="1000" baseline="0"/>
              <a:t>(in thousands)</a:t>
            </a:r>
          </a:p>
        </c:rich>
      </c:tx>
      <c:layout/>
      <c:overlay val="0"/>
    </c:title>
    <c:autoTitleDeleted val="0"/>
    <c:plotArea>
      <c:layout>
        <c:manualLayout>
          <c:layoutTarget val="inner"/>
          <c:xMode val="edge"/>
          <c:yMode val="edge"/>
          <c:x val="0.140959755030621"/>
          <c:y val="0.179948053368329"/>
          <c:w val="0.587728783902012"/>
          <c:h val="0.653554516622922"/>
        </c:manualLayout>
      </c:layout>
      <c:lineChart>
        <c:grouping val="standard"/>
        <c:varyColors val="0"/>
        <c:ser>
          <c:idx val="0"/>
          <c:order val="0"/>
          <c:tx>
            <c:strRef>
              <c:f>Sheet1!$B$1</c:f>
              <c:strCache>
                <c:ptCount val="1"/>
                <c:pt idx="0">
                  <c:v>Total GF Revenue</c:v>
                </c:pt>
              </c:strCache>
            </c:strRef>
          </c:tx>
          <c:marker>
            <c:symbol val="none"/>
          </c:marker>
          <c:dPt>
            <c:idx val="9"/>
            <c:bubble3D val="0"/>
          </c:dPt>
          <c:dPt>
            <c:idx val="10"/>
            <c:bubble3D val="0"/>
          </c:dPt>
          <c:cat>
            <c:strRef>
              <c:f>Sheet1!$A$2:$A$13</c:f>
              <c:strCache>
                <c:ptCount val="12"/>
                <c:pt idx="0">
                  <c:v>1997-98</c:v>
                </c:pt>
                <c:pt idx="1">
                  <c:v>1999-00</c:v>
                </c:pt>
                <c:pt idx="2">
                  <c:v>2001-02</c:v>
                </c:pt>
                <c:pt idx="3">
                  <c:v>2003-04</c:v>
                </c:pt>
                <c:pt idx="4">
                  <c:v>2005-06</c:v>
                </c:pt>
                <c:pt idx="5">
                  <c:v>2007-08</c:v>
                </c:pt>
                <c:pt idx="6">
                  <c:v>2009-10</c:v>
                </c:pt>
                <c:pt idx="7">
                  <c:v>2011-12</c:v>
                </c:pt>
                <c:pt idx="8">
                  <c:v>2013-14</c:v>
                </c:pt>
                <c:pt idx="9">
                  <c:v>2015-16</c:v>
                </c:pt>
                <c:pt idx="10">
                  <c:v>2017-18</c:v>
                </c:pt>
                <c:pt idx="11">
                  <c:v>2019-20</c:v>
                </c:pt>
              </c:strCache>
            </c:strRef>
          </c:cat>
          <c:val>
            <c:numRef>
              <c:f>Sheet1!$B$2:$B$13</c:f>
              <c:numCache>
                <c:formatCode>"$"#,##0</c:formatCode>
                <c:ptCount val="12"/>
                <c:pt idx="0">
                  <c:v>969075.0</c:v>
                </c:pt>
                <c:pt idx="1">
                  <c:v>1.115852E6</c:v>
                </c:pt>
                <c:pt idx="2">
                  <c:v>1.290167E6</c:v>
                </c:pt>
                <c:pt idx="3">
                  <c:v>1.369237E6</c:v>
                </c:pt>
                <c:pt idx="4">
                  <c:v>1.810008E6</c:v>
                </c:pt>
                <c:pt idx="5">
                  <c:v>2.390209E6</c:v>
                </c:pt>
                <c:pt idx="6">
                  <c:v>2.11089E6</c:v>
                </c:pt>
                <c:pt idx="7">
                  <c:v>2.37891E6</c:v>
                </c:pt>
                <c:pt idx="8">
                  <c:v>2.763581E6</c:v>
                </c:pt>
                <c:pt idx="9">
                  <c:v>2.522689E6</c:v>
                </c:pt>
                <c:pt idx="10">
                  <c:v>2.0842E6</c:v>
                </c:pt>
                <c:pt idx="11">
                  <c:v>2.1614E6</c:v>
                </c:pt>
              </c:numCache>
            </c:numRef>
          </c:val>
          <c:smooth val="0"/>
        </c:ser>
        <c:ser>
          <c:idx val="1"/>
          <c:order val="1"/>
          <c:tx>
            <c:strRef>
              <c:f>Sheet1!$C$1</c:f>
              <c:strCache>
                <c:ptCount val="1"/>
                <c:pt idx="0">
                  <c:v>From PWMTF</c:v>
                </c:pt>
              </c:strCache>
            </c:strRef>
          </c:tx>
          <c:marker>
            <c:symbol val="none"/>
          </c:marker>
          <c:dPt>
            <c:idx val="9"/>
            <c:bubble3D val="0"/>
          </c:dPt>
          <c:dPt>
            <c:idx val="10"/>
            <c:bubble3D val="0"/>
          </c:dPt>
          <c:cat>
            <c:strRef>
              <c:f>Sheet1!$A$2:$A$13</c:f>
              <c:strCache>
                <c:ptCount val="12"/>
                <c:pt idx="0">
                  <c:v>1997-98</c:v>
                </c:pt>
                <c:pt idx="1">
                  <c:v>1999-00</c:v>
                </c:pt>
                <c:pt idx="2">
                  <c:v>2001-02</c:v>
                </c:pt>
                <c:pt idx="3">
                  <c:v>2003-04</c:v>
                </c:pt>
                <c:pt idx="4">
                  <c:v>2005-06</c:v>
                </c:pt>
                <c:pt idx="5">
                  <c:v>2007-08</c:v>
                </c:pt>
                <c:pt idx="6">
                  <c:v>2009-10</c:v>
                </c:pt>
                <c:pt idx="7">
                  <c:v>2011-12</c:v>
                </c:pt>
                <c:pt idx="8">
                  <c:v>2013-14</c:v>
                </c:pt>
                <c:pt idx="9">
                  <c:v>2015-16</c:v>
                </c:pt>
                <c:pt idx="10">
                  <c:v>2017-18</c:v>
                </c:pt>
                <c:pt idx="11">
                  <c:v>2019-20</c:v>
                </c:pt>
              </c:strCache>
            </c:strRef>
          </c:cat>
          <c:val>
            <c:numRef>
              <c:f>Sheet1!$C$2:$C$13</c:f>
              <c:numCache>
                <c:formatCode>"$"#,##0</c:formatCode>
                <c:ptCount val="12"/>
                <c:pt idx="0">
                  <c:v>193498.0</c:v>
                </c:pt>
                <c:pt idx="1">
                  <c:v>224331.0</c:v>
                </c:pt>
                <c:pt idx="2">
                  <c:v>187889.0</c:v>
                </c:pt>
                <c:pt idx="3">
                  <c:v>156758.0</c:v>
                </c:pt>
                <c:pt idx="4">
                  <c:v>211742.0</c:v>
                </c:pt>
                <c:pt idx="5">
                  <c:v>471845.0</c:v>
                </c:pt>
                <c:pt idx="6">
                  <c:v>274715.0</c:v>
                </c:pt>
                <c:pt idx="7">
                  <c:v>451603.0</c:v>
                </c:pt>
                <c:pt idx="8">
                  <c:v>761973.0</c:v>
                </c:pt>
                <c:pt idx="9">
                  <c:v>637834.0</c:v>
                </c:pt>
                <c:pt idx="10">
                  <c:v>343000.0</c:v>
                </c:pt>
                <c:pt idx="11">
                  <c:v>377400.0</c:v>
                </c:pt>
              </c:numCache>
            </c:numRef>
          </c:val>
          <c:smooth val="0"/>
        </c:ser>
        <c:dLbls>
          <c:showLegendKey val="0"/>
          <c:showVal val="0"/>
          <c:showCatName val="0"/>
          <c:showSerName val="0"/>
          <c:showPercent val="0"/>
          <c:showBubbleSize val="0"/>
        </c:dLbls>
        <c:marker val="1"/>
        <c:smooth val="0"/>
        <c:axId val="-2136320840"/>
        <c:axId val="-2143074568"/>
      </c:lineChart>
      <c:catAx>
        <c:axId val="-2136320840"/>
        <c:scaling>
          <c:orientation val="minMax"/>
        </c:scaling>
        <c:delete val="0"/>
        <c:axPos val="b"/>
        <c:numFmt formatCode="General" sourceLinked="1"/>
        <c:majorTickMark val="out"/>
        <c:minorTickMark val="none"/>
        <c:tickLblPos val="nextTo"/>
        <c:crossAx val="-2143074568"/>
        <c:crosses val="autoZero"/>
        <c:auto val="1"/>
        <c:lblAlgn val="ctr"/>
        <c:lblOffset val="100"/>
        <c:noMultiLvlLbl val="0"/>
      </c:catAx>
      <c:valAx>
        <c:axId val="-2143074568"/>
        <c:scaling>
          <c:orientation val="minMax"/>
        </c:scaling>
        <c:delete val="0"/>
        <c:axPos val="l"/>
        <c:majorGridlines/>
        <c:numFmt formatCode="&quot;$&quot;#,##0" sourceLinked="1"/>
        <c:majorTickMark val="out"/>
        <c:minorTickMark val="none"/>
        <c:tickLblPos val="nextTo"/>
        <c:crossAx val="-2136320840"/>
        <c:crosses val="autoZero"/>
        <c:crossBetween val="between"/>
      </c:valAx>
    </c:plotArea>
    <c:legend>
      <c:legendPos val="r"/>
      <c:layout/>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tx>
            <c:strRef>
              <c:f>Sheet1!$B$1</c:f>
              <c:strCache>
                <c:ptCount val="1"/>
                <c:pt idx="0">
                  <c:v>WY % Over 65</c:v>
                </c:pt>
              </c:strCache>
            </c:strRef>
          </c:tx>
          <c:cat>
            <c:numRef>
              <c:f>Sheet1!$A$2:$A$6</c:f>
              <c:numCache>
                <c:formatCode>General</c:formatCode>
                <c:ptCount val="5"/>
                <c:pt idx="0">
                  <c:v>2010.0</c:v>
                </c:pt>
                <c:pt idx="1">
                  <c:v>2011.0</c:v>
                </c:pt>
                <c:pt idx="2">
                  <c:v>2012.0</c:v>
                </c:pt>
                <c:pt idx="3">
                  <c:v>2013.0</c:v>
                </c:pt>
                <c:pt idx="4">
                  <c:v>2014.0</c:v>
                </c:pt>
              </c:numCache>
            </c:numRef>
          </c:cat>
          <c:val>
            <c:numRef>
              <c:f>Sheet1!$B$2:$B$6</c:f>
              <c:numCache>
                <c:formatCode>General</c:formatCode>
                <c:ptCount val="5"/>
                <c:pt idx="0">
                  <c:v>12.4</c:v>
                </c:pt>
                <c:pt idx="1">
                  <c:v>12.7</c:v>
                </c:pt>
                <c:pt idx="2">
                  <c:v>13.1</c:v>
                </c:pt>
                <c:pt idx="3">
                  <c:v>13.5</c:v>
                </c:pt>
                <c:pt idx="4">
                  <c:v>14.0</c:v>
                </c:pt>
              </c:numCache>
            </c:numRef>
          </c:val>
          <c:smooth val="0"/>
        </c:ser>
        <c:ser>
          <c:idx val="1"/>
          <c:order val="1"/>
          <c:tx>
            <c:strRef>
              <c:f>Sheet1!$C$1</c:f>
              <c:strCache>
                <c:ptCount val="1"/>
                <c:pt idx="0">
                  <c:v>US % Over 65</c:v>
                </c:pt>
              </c:strCache>
            </c:strRef>
          </c:tx>
          <c:cat>
            <c:numRef>
              <c:f>Sheet1!$A$2:$A$6</c:f>
              <c:numCache>
                <c:formatCode>General</c:formatCode>
                <c:ptCount val="5"/>
                <c:pt idx="0">
                  <c:v>2010.0</c:v>
                </c:pt>
                <c:pt idx="1">
                  <c:v>2011.0</c:v>
                </c:pt>
                <c:pt idx="2">
                  <c:v>2012.0</c:v>
                </c:pt>
                <c:pt idx="3">
                  <c:v>2013.0</c:v>
                </c:pt>
                <c:pt idx="4">
                  <c:v>2014.0</c:v>
                </c:pt>
              </c:numCache>
            </c:numRef>
          </c:cat>
          <c:val>
            <c:numRef>
              <c:f>Sheet1!$C$2:$C$6</c:f>
              <c:numCache>
                <c:formatCode>General</c:formatCode>
                <c:ptCount val="5"/>
                <c:pt idx="0">
                  <c:v>13.0</c:v>
                </c:pt>
                <c:pt idx="1">
                  <c:v>13.3</c:v>
                </c:pt>
                <c:pt idx="2">
                  <c:v>13.7</c:v>
                </c:pt>
                <c:pt idx="3">
                  <c:v>14.1</c:v>
                </c:pt>
                <c:pt idx="4">
                  <c:v>14.5</c:v>
                </c:pt>
              </c:numCache>
            </c:numRef>
          </c:val>
          <c:smooth val="0"/>
        </c:ser>
        <c:dLbls>
          <c:showLegendKey val="0"/>
          <c:showVal val="0"/>
          <c:showCatName val="0"/>
          <c:showSerName val="0"/>
          <c:showPercent val="0"/>
          <c:showBubbleSize val="0"/>
        </c:dLbls>
        <c:marker val="1"/>
        <c:smooth val="0"/>
        <c:axId val="-2136507256"/>
        <c:axId val="-2143105288"/>
      </c:lineChart>
      <c:catAx>
        <c:axId val="-2136507256"/>
        <c:scaling>
          <c:orientation val="minMax"/>
        </c:scaling>
        <c:delete val="0"/>
        <c:axPos val="b"/>
        <c:numFmt formatCode="General" sourceLinked="1"/>
        <c:majorTickMark val="out"/>
        <c:minorTickMark val="none"/>
        <c:tickLblPos val="nextTo"/>
        <c:crossAx val="-2143105288"/>
        <c:crosses val="autoZero"/>
        <c:auto val="1"/>
        <c:lblAlgn val="ctr"/>
        <c:lblOffset val="100"/>
        <c:noMultiLvlLbl val="0"/>
      </c:catAx>
      <c:valAx>
        <c:axId val="-2143105288"/>
        <c:scaling>
          <c:orientation val="minMax"/>
        </c:scaling>
        <c:delete val="0"/>
        <c:axPos val="l"/>
        <c:majorGridlines/>
        <c:numFmt formatCode="General" sourceLinked="1"/>
        <c:majorTickMark val="out"/>
        <c:minorTickMark val="none"/>
        <c:tickLblPos val="nextTo"/>
        <c:crossAx val="-2136507256"/>
        <c:crosses val="autoZero"/>
        <c:crossBetween val="between"/>
      </c:valAx>
    </c:plotArea>
    <c:legend>
      <c:legendPos val="r"/>
      <c:layout/>
      <c:overlay val="0"/>
    </c:legend>
    <c:plotVisOnly val="1"/>
    <c:dispBlanksAs val="zero"/>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cdr:x>
      <cdr:y>0.26024</cdr:y>
    </cdr:from>
    <cdr:to>
      <cdr:x>0.60309</cdr:x>
      <cdr:y>0.84357</cdr:y>
    </cdr:to>
    <cdr:cxnSp macro="">
      <cdr:nvCxnSpPr>
        <cdr:cNvPr id="5" name="Straight Connector 4"/>
        <cdr:cNvCxnSpPr/>
      </cdr:nvCxnSpPr>
      <cdr:spPr>
        <a:xfrm xmlns:a="http://schemas.openxmlformats.org/drawingml/2006/main">
          <a:off x="3429000" y="863600"/>
          <a:ext cx="17660" cy="1935786"/>
        </a:xfrm>
        <a:prstGeom xmlns:a="http://schemas.openxmlformats.org/drawingml/2006/main" prst="lin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0.61265</cdr:x>
      <cdr:y>0.24405</cdr:y>
    </cdr:from>
    <cdr:to>
      <cdr:x>0.74228</cdr:x>
      <cdr:y>0.53869</cdr:y>
    </cdr:to>
    <cdr:sp macro="" textlink="">
      <cdr:nvSpPr>
        <cdr:cNvPr id="7" name="Text Box 6"/>
        <cdr:cNvSpPr txBox="1"/>
      </cdr:nvSpPr>
      <cdr:spPr>
        <a:xfrm xmlns:a="http://schemas.openxmlformats.org/drawingml/2006/main">
          <a:off x="3781425" y="781049"/>
          <a:ext cx="800100" cy="942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600"/>
            <a:t>CREG January 2016 projections</a:t>
          </a:r>
        </a:p>
      </cdr:txBody>
    </cdr:sp>
  </cdr:relSizeAnchor>
  <cdr:relSizeAnchor xmlns:cdr="http://schemas.openxmlformats.org/drawingml/2006/chartDrawing">
    <cdr:from>
      <cdr:x>0.62088</cdr:x>
      <cdr:y>0.25992</cdr:y>
    </cdr:from>
    <cdr:to>
      <cdr:x>0.75051</cdr:x>
      <cdr:y>0.55456</cdr:y>
    </cdr:to>
    <cdr:sp macro="" textlink="">
      <cdr:nvSpPr>
        <cdr:cNvPr id="9" name="Text Box 1"/>
        <cdr:cNvSpPr txBox="1"/>
      </cdr:nvSpPr>
      <cdr:spPr>
        <a:xfrm xmlns:a="http://schemas.openxmlformats.org/drawingml/2006/main">
          <a:off x="3832225" y="831849"/>
          <a:ext cx="800100" cy="942975"/>
        </a:xfrm>
        <a:prstGeom xmlns:a="http://schemas.openxmlformats.org/drawingml/2006/main" prst="rect">
          <a:avLst/>
        </a:prstGeom>
      </cdr:spPr>
    </cdr:sp>
  </cdr:relSizeAnchor>
</c:userShapes>
</file>

<file path=word/drawings/drawing2.xml><?xml version="1.0" encoding="utf-8"?>
<c:userShapes xmlns:c="http://schemas.openxmlformats.org/drawingml/2006/chart">
  <cdr:relSizeAnchor xmlns:cdr="http://schemas.openxmlformats.org/drawingml/2006/chartDrawing">
    <cdr:from>
      <cdr:x>0.83333</cdr:x>
      <cdr:y>0.18519</cdr:y>
    </cdr:from>
    <cdr:to>
      <cdr:x>0.83853</cdr:x>
      <cdr:y>0.78638</cdr:y>
    </cdr:to>
    <cdr:cxnSp macro="">
      <cdr:nvCxnSpPr>
        <cdr:cNvPr id="3" name="Straight Connector 2"/>
        <cdr:cNvCxnSpPr/>
      </cdr:nvCxnSpPr>
      <cdr:spPr>
        <a:xfrm xmlns:a="http://schemas.openxmlformats.org/drawingml/2006/main" flipH="1" flipV="1">
          <a:off x="4572000" y="592667"/>
          <a:ext cx="28530" cy="1924048"/>
        </a:xfrm>
        <a:prstGeom xmlns:a="http://schemas.openxmlformats.org/drawingml/2006/main" prst="lin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0.6985</cdr:x>
      <cdr:y>0.25992</cdr:y>
    </cdr:from>
    <cdr:to>
      <cdr:x>0.84433</cdr:x>
      <cdr:y>0.55456</cdr:y>
    </cdr:to>
    <cdr:sp macro="" textlink="">
      <cdr:nvSpPr>
        <cdr:cNvPr id="6" name="Text Box 1"/>
        <cdr:cNvSpPr txBox="1"/>
      </cdr:nvSpPr>
      <cdr:spPr>
        <a:xfrm xmlns:a="http://schemas.openxmlformats.org/drawingml/2006/main">
          <a:off x="3832225" y="831849"/>
          <a:ext cx="800100" cy="942975"/>
        </a:xfrm>
        <a:prstGeom xmlns:a="http://schemas.openxmlformats.org/drawingml/2006/main" prst="rect">
          <a:avLst/>
        </a:prstGeom>
      </cdr:spPr>
    </cdr:sp>
  </cdr:relSizeAnchor>
  <cdr:relSizeAnchor xmlns:cdr="http://schemas.openxmlformats.org/drawingml/2006/chartDrawing">
    <cdr:from>
      <cdr:x>0.83333</cdr:x>
      <cdr:y>0.32804</cdr:y>
    </cdr:from>
    <cdr:to>
      <cdr:x>1</cdr:x>
      <cdr:y>0.4709</cdr:y>
    </cdr:to>
    <cdr:sp macro="" textlink="">
      <cdr:nvSpPr>
        <cdr:cNvPr id="7" name="Text Box 1"/>
        <cdr:cNvSpPr txBox="1"/>
      </cdr:nvSpPr>
      <cdr:spPr>
        <a:xfrm xmlns:a="http://schemas.openxmlformats.org/drawingml/2006/main">
          <a:off x="4572000" y="1049867"/>
          <a:ext cx="914400" cy="45720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600"/>
            <a:t>CREG</a:t>
          </a:r>
          <a:r>
            <a:rPr lang="en-US" sz="600" baseline="0"/>
            <a:t> </a:t>
          </a:r>
          <a:r>
            <a:rPr lang="en-US" sz="600"/>
            <a:t>January</a:t>
          </a:r>
        </a:p>
        <a:p xmlns:a="http://schemas.openxmlformats.org/drawingml/2006/main">
          <a:r>
            <a:rPr lang="en-US" sz="600"/>
            <a:t>2016 Projections</a:t>
          </a:r>
        </a:p>
      </cdr:txBody>
    </cdr:sp>
  </cdr:relSizeAnchor>
</c:userShapes>
</file>

<file path=word/drawings/drawing3.xml><?xml version="1.0" encoding="utf-8"?>
<c:userShapes xmlns:c="http://schemas.openxmlformats.org/drawingml/2006/chart">
  <cdr:relSizeAnchor xmlns:cdr="http://schemas.openxmlformats.org/drawingml/2006/chartDrawing">
    <cdr:from>
      <cdr:x>0.64</cdr:x>
      <cdr:y>0.1875</cdr:y>
    </cdr:from>
    <cdr:to>
      <cdr:x>0.64154</cdr:x>
      <cdr:y>0.83594</cdr:y>
    </cdr:to>
    <cdr:cxnSp macro="">
      <cdr:nvCxnSpPr>
        <cdr:cNvPr id="3" name="Straight Connector 2"/>
        <cdr:cNvCxnSpPr/>
      </cdr:nvCxnSpPr>
      <cdr:spPr>
        <a:xfrm xmlns:a="http://schemas.openxmlformats.org/drawingml/2006/main">
          <a:off x="3657600" y="685800"/>
          <a:ext cx="8801" cy="2371734"/>
        </a:xfrm>
        <a:prstGeom xmlns:a="http://schemas.openxmlformats.org/drawingml/2006/main" prst="lin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0.58778</cdr:x>
      <cdr:y>0.40625</cdr:y>
    </cdr:from>
    <cdr:to>
      <cdr:x>0.72778</cdr:x>
      <cdr:y>0.6059</cdr:y>
    </cdr:to>
    <cdr:sp macro="" textlink="">
      <cdr:nvSpPr>
        <cdr:cNvPr id="4" name="Text Box 1"/>
        <cdr:cNvSpPr txBox="1"/>
      </cdr:nvSpPr>
      <cdr:spPr>
        <a:xfrm xmlns:a="http://schemas.openxmlformats.org/drawingml/2006/main">
          <a:off x="3359139" y="1485900"/>
          <a:ext cx="800136" cy="730245"/>
        </a:xfrm>
        <a:prstGeom xmlns:a="http://schemas.openxmlformats.org/drawingml/2006/main" prst="rect">
          <a:avLst/>
        </a:prstGeom>
      </cdr:spPr>
    </cdr:sp>
  </cdr:relSizeAnchor>
  <cdr:relSizeAnchor xmlns:cdr="http://schemas.openxmlformats.org/drawingml/2006/chartDrawing">
    <cdr:from>
      <cdr:x>0.68</cdr:x>
      <cdr:y>0.2662</cdr:y>
    </cdr:from>
    <cdr:to>
      <cdr:x>0.84</cdr:x>
      <cdr:y>0.4537</cdr:y>
    </cdr:to>
    <cdr:sp macro="" textlink="">
      <cdr:nvSpPr>
        <cdr:cNvPr id="6" name="Text Box 1"/>
        <cdr:cNvSpPr txBox="1"/>
      </cdr:nvSpPr>
      <cdr:spPr>
        <a:xfrm xmlns:a="http://schemas.openxmlformats.org/drawingml/2006/main">
          <a:off x="3886200" y="973668"/>
          <a:ext cx="914400" cy="6858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600"/>
            <a:t>CREG</a:t>
          </a:r>
          <a:r>
            <a:rPr lang="en-US" sz="600" baseline="0"/>
            <a:t> January 2016 Projections</a:t>
          </a:r>
          <a:endParaRPr lang="en-US" sz="6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Con14</b:Tag>
    <b:SourceType>Report</b:SourceType>
    <b:Guid>{0A06C60F-10F2-4A60-9269-F4D7BC9CE62D}</b:Guid>
    <b:Title>Wyoming State Government Revenue Forecast</b:Title>
    <b:Year>2014</b:Year>
    <b:Month>January</b:Month>
    <b:Author>
      <b:Author>
        <b:Corporate>Consensus Revenue Estimating Group</b:Corporate>
      </b:Author>
    </b:Author>
    <b:City>Cheyenne</b:City>
    <b:RefOrder>2</b:RefOrder>
  </b:Source>
  <b:Source>
    <b:Tag>Sta13</b:Tag>
    <b:SourceType>Report</b:SourceType>
    <b:Guid>{C4C3707C-9572-4B19-ACC5-7E49409D4871}</b:Guid>
    <b:Author>
      <b:Author>
        <b:Corporate>State of Wyoming, Treasure's Office</b:Corporate>
      </b:Author>
    </b:Author>
    <b:Title>Wyoming State Investment Portfolio</b:Title>
    <b:Year>2013</b:Year>
    <b:Publisher>Wyoming State Treasurer's Office</b:Publisher>
    <b:City>Cheyenne</b:City>
    <b:RefOrder>1</b:RefOrder>
  </b:Source>
</b:Sources>
</file>

<file path=customXml/itemProps1.xml><?xml version="1.0" encoding="utf-8"?>
<ds:datastoreItem xmlns:ds="http://schemas.openxmlformats.org/officeDocument/2006/customXml" ds:itemID="{E89284CB-6425-8248-9BA4-666B9BF7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22</Pages>
  <Words>6712</Words>
  <Characters>38262</Characters>
  <Application>Microsoft Macintosh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2009 WPSA STATE BUDGET ROUNDTABLE</vt:lpstr>
    </vt:vector>
  </TitlesOfParts>
  <Company>UW</Company>
  <LinksUpToDate>false</LinksUpToDate>
  <CharactersWithSpaces>44885</CharactersWithSpaces>
  <SharedDoc>false</SharedDoc>
  <HLinks>
    <vt:vector size="18" baseType="variant">
      <vt:variant>
        <vt:i4>2555922</vt:i4>
      </vt:variant>
      <vt:variant>
        <vt:i4>6</vt:i4>
      </vt:variant>
      <vt:variant>
        <vt:i4>0</vt:i4>
      </vt:variant>
      <vt:variant>
        <vt:i4>5</vt:i4>
      </vt:variant>
      <vt:variant>
        <vt:lpwstr>http://legisweb.state.wy.us/budget/2011databook.pdf</vt:lpwstr>
      </vt:variant>
      <vt:variant>
        <vt:lpwstr/>
      </vt:variant>
      <vt:variant>
        <vt:i4>3670041</vt:i4>
      </vt:variant>
      <vt:variant>
        <vt:i4>3</vt:i4>
      </vt:variant>
      <vt:variant>
        <vt:i4>0</vt:i4>
      </vt:variant>
      <vt:variant>
        <vt:i4>5</vt:i4>
      </vt:variant>
      <vt:variant>
        <vt:lpwstr>mailto:schuhman@uwyo.edu</vt:lpwstr>
      </vt:variant>
      <vt:variant>
        <vt:lpwstr/>
      </vt:variant>
      <vt:variant>
        <vt:i4>1703995</vt:i4>
      </vt:variant>
      <vt:variant>
        <vt:i4>0</vt:i4>
      </vt:variant>
      <vt:variant>
        <vt:i4>0</vt:i4>
      </vt:variant>
      <vt:variant>
        <vt:i4>5</vt:i4>
      </vt:variant>
      <vt:variant>
        <vt:lpwstr>http://smallbiztrends.com/2009/12/sbe-council-releases-index-2009-ranking-the-states.html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WPSA STATE BUDGET ROUNDTABLE</dc:title>
  <dc:creator>Robert Schuhmann</dc:creator>
  <cp:lastModifiedBy>Robert Schuhmann</cp:lastModifiedBy>
  <cp:revision>4</cp:revision>
  <cp:lastPrinted>2012-03-01T18:07:00Z</cp:lastPrinted>
  <dcterms:created xsi:type="dcterms:W3CDTF">2016-03-19T14:20:00Z</dcterms:created>
  <dcterms:modified xsi:type="dcterms:W3CDTF">2016-03-19T15:35:00Z</dcterms:modified>
</cp:coreProperties>
</file>