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3FE0C" w14:textId="5C93DD17" w:rsidR="0029550D" w:rsidRDefault="00636D6D" w:rsidP="00391B65">
      <w:pPr>
        <w:pStyle w:val="NoSpacing"/>
        <w:jc w:val="center"/>
        <w:rPr>
          <w:rFonts w:ascii="Times New Roman" w:hAnsi="Times New Roman" w:cs="Times New Roman"/>
          <w:color w:val="000000"/>
        </w:rPr>
      </w:pPr>
      <w:r>
        <w:rPr>
          <w:rFonts w:ascii="Times New Roman" w:hAnsi="Times New Roman" w:cs="Times New Roman"/>
          <w:color w:val="000000"/>
        </w:rPr>
        <w:t>Between Subject and Magistrate:</w:t>
      </w:r>
    </w:p>
    <w:p w14:paraId="6A36FD7E" w14:textId="1FAD7418" w:rsidR="004D53A4" w:rsidRDefault="00525C07" w:rsidP="004D53A4">
      <w:pPr>
        <w:pStyle w:val="NoSpacing"/>
        <w:jc w:val="center"/>
        <w:rPr>
          <w:rFonts w:ascii="Times New Roman" w:hAnsi="Times New Roman" w:cs="Times New Roman"/>
          <w:i/>
          <w:color w:val="000000"/>
        </w:rPr>
      </w:pPr>
      <w:r>
        <w:rPr>
          <w:rFonts w:ascii="Times New Roman" w:hAnsi="Times New Roman" w:cs="Times New Roman"/>
          <w:color w:val="000000"/>
        </w:rPr>
        <w:t>Judgment, Wit,</w:t>
      </w:r>
      <w:r w:rsidR="008C38D5">
        <w:rPr>
          <w:rFonts w:ascii="Times New Roman" w:hAnsi="Times New Roman" w:cs="Times New Roman"/>
          <w:color w:val="000000"/>
        </w:rPr>
        <w:t xml:space="preserve"> and</w:t>
      </w:r>
      <w:r w:rsidR="004D53A4">
        <w:rPr>
          <w:rFonts w:ascii="Times New Roman" w:hAnsi="Times New Roman" w:cs="Times New Roman"/>
          <w:color w:val="000000"/>
        </w:rPr>
        <w:t xml:space="preserve"> </w:t>
      </w:r>
      <w:r w:rsidR="00636D6D">
        <w:rPr>
          <w:rFonts w:ascii="Times New Roman" w:hAnsi="Times New Roman" w:cs="Times New Roman"/>
          <w:color w:val="000000"/>
        </w:rPr>
        <w:t>Locke’s</w:t>
      </w:r>
      <w:r w:rsidR="004D53A4">
        <w:rPr>
          <w:rFonts w:ascii="Times New Roman" w:hAnsi="Times New Roman" w:cs="Times New Roman"/>
          <w:color w:val="000000"/>
        </w:rPr>
        <w:t xml:space="preserve"> </w:t>
      </w:r>
      <w:r w:rsidR="004D53A4">
        <w:rPr>
          <w:rFonts w:ascii="Times New Roman" w:hAnsi="Times New Roman" w:cs="Times New Roman"/>
          <w:i/>
          <w:color w:val="000000"/>
        </w:rPr>
        <w:t>Letter Concerning Toleration</w:t>
      </w:r>
    </w:p>
    <w:p w14:paraId="33A8D240" w14:textId="77777777" w:rsidR="0092346C" w:rsidRPr="004D53A4" w:rsidRDefault="0092346C" w:rsidP="004D53A4">
      <w:pPr>
        <w:pStyle w:val="NoSpacing"/>
        <w:rPr>
          <w:rFonts w:ascii="Times New Roman" w:hAnsi="Times New Roman" w:cs="Times New Roman"/>
          <w:color w:val="000000"/>
        </w:rPr>
      </w:pPr>
    </w:p>
    <w:p w14:paraId="1F77687A" w14:textId="74C9021D" w:rsidR="00720AD1" w:rsidRPr="001D51B1" w:rsidRDefault="00C25123" w:rsidP="00A65254">
      <w:pPr>
        <w:pStyle w:val="NoSpacing"/>
        <w:spacing w:line="480" w:lineRule="auto"/>
        <w:ind w:firstLine="720"/>
        <w:rPr>
          <w:rFonts w:ascii="Times New Roman" w:hAnsi="Times New Roman" w:cs="Times New Roman"/>
          <w:color w:val="000000"/>
        </w:rPr>
      </w:pPr>
      <w:r>
        <w:rPr>
          <w:rFonts w:ascii="Times New Roman" w:hAnsi="Times New Roman" w:cs="Times New Roman"/>
          <w:color w:val="000000"/>
        </w:rPr>
        <w:t xml:space="preserve">John </w:t>
      </w:r>
      <w:r w:rsidR="00720AD1" w:rsidRPr="001D51B1">
        <w:rPr>
          <w:rFonts w:ascii="Times New Roman" w:hAnsi="Times New Roman" w:cs="Times New Roman"/>
          <w:color w:val="000000"/>
        </w:rPr>
        <w:t xml:space="preserve">Locke’s </w:t>
      </w:r>
      <w:r w:rsidR="00720AD1" w:rsidRPr="001D51B1">
        <w:rPr>
          <w:rFonts w:ascii="Times New Roman" w:hAnsi="Times New Roman" w:cs="Times New Roman"/>
          <w:i/>
          <w:iCs/>
          <w:color w:val="000000"/>
        </w:rPr>
        <w:t xml:space="preserve">Letter Concerning Toleration </w:t>
      </w:r>
      <w:r w:rsidR="00720AD1" w:rsidRPr="001D51B1">
        <w:rPr>
          <w:rFonts w:ascii="Times New Roman" w:hAnsi="Times New Roman" w:cs="Times New Roman"/>
          <w:color w:val="000000"/>
        </w:rPr>
        <w:t>appears to be caught up in a paradox: on one hand, the Lockean magistrate cannot affect the “inward” judgments of subjects and therefo</w:t>
      </w:r>
      <w:r w:rsidR="0002558E" w:rsidRPr="001D51B1">
        <w:rPr>
          <w:rFonts w:ascii="Times New Roman" w:hAnsi="Times New Roman" w:cs="Times New Roman"/>
          <w:color w:val="000000"/>
        </w:rPr>
        <w:t xml:space="preserve">re should refrain from imposing </w:t>
      </w:r>
      <w:r w:rsidR="00720AD1" w:rsidRPr="001D51B1">
        <w:rPr>
          <w:rFonts w:ascii="Times New Roman" w:hAnsi="Times New Roman" w:cs="Times New Roman"/>
          <w:color w:val="000000"/>
        </w:rPr>
        <w:t>religious beliefs; on the other hand, the magistrate’s capacity for effe</w:t>
      </w:r>
      <w:r w:rsidR="0002558E" w:rsidRPr="001D51B1">
        <w:rPr>
          <w:rFonts w:ascii="Times New Roman" w:hAnsi="Times New Roman" w:cs="Times New Roman"/>
          <w:color w:val="000000"/>
        </w:rPr>
        <w:t xml:space="preserve">ctive “outward” coercion surely </w:t>
      </w:r>
      <w:r w:rsidR="00720AD1" w:rsidRPr="001D51B1">
        <w:rPr>
          <w:rFonts w:ascii="Times New Roman" w:hAnsi="Times New Roman" w:cs="Times New Roman"/>
          <w:i/>
          <w:iCs/>
          <w:color w:val="000000"/>
        </w:rPr>
        <w:t xml:space="preserve">somehow </w:t>
      </w:r>
      <w:r w:rsidR="00720AD1" w:rsidRPr="001D51B1">
        <w:rPr>
          <w:rFonts w:ascii="Times New Roman" w:hAnsi="Times New Roman" w:cs="Times New Roman"/>
          <w:color w:val="000000"/>
        </w:rPr>
        <w:t>engages subjects’ beliefs, and thus seems to throw the c</w:t>
      </w:r>
      <w:r w:rsidR="0002558E" w:rsidRPr="001D51B1">
        <w:rPr>
          <w:rFonts w:ascii="Times New Roman" w:hAnsi="Times New Roman" w:cs="Times New Roman"/>
          <w:color w:val="000000"/>
        </w:rPr>
        <w:t xml:space="preserve">onceptual grounding for Locke’s </w:t>
      </w:r>
      <w:r w:rsidR="00720AD1" w:rsidRPr="001D51B1">
        <w:rPr>
          <w:rFonts w:ascii="Times New Roman" w:hAnsi="Times New Roman" w:cs="Times New Roman"/>
          <w:color w:val="000000"/>
        </w:rPr>
        <w:t xml:space="preserve">defense of toleration into question.  What accounts for this uncertain </w:t>
      </w:r>
      <w:r w:rsidR="0002558E" w:rsidRPr="001D51B1">
        <w:rPr>
          <w:rFonts w:ascii="Times New Roman" w:hAnsi="Times New Roman" w:cs="Times New Roman"/>
          <w:color w:val="000000"/>
        </w:rPr>
        <w:t xml:space="preserve">relationship between belief and </w:t>
      </w:r>
      <w:r w:rsidR="00720AD1" w:rsidRPr="001D51B1">
        <w:rPr>
          <w:rFonts w:ascii="Times New Roman" w:hAnsi="Times New Roman" w:cs="Times New Roman"/>
          <w:color w:val="000000"/>
        </w:rPr>
        <w:t xml:space="preserve">coercion? Contemporary assessments of </w:t>
      </w:r>
      <w:r w:rsidR="00F05993">
        <w:rPr>
          <w:rFonts w:ascii="Times New Roman" w:hAnsi="Times New Roman" w:cs="Times New Roman"/>
          <w:color w:val="000000"/>
        </w:rPr>
        <w:t>the</w:t>
      </w:r>
      <w:r w:rsidR="00720AD1" w:rsidRPr="001D51B1">
        <w:rPr>
          <w:rFonts w:ascii="Times New Roman" w:hAnsi="Times New Roman" w:cs="Times New Roman"/>
          <w:color w:val="000000"/>
        </w:rPr>
        <w:t xml:space="preserve"> </w:t>
      </w:r>
      <w:r w:rsidR="00720AD1" w:rsidRPr="001D51B1">
        <w:rPr>
          <w:rFonts w:ascii="Times New Roman" w:hAnsi="Times New Roman" w:cs="Times New Roman"/>
          <w:i/>
          <w:iCs/>
          <w:color w:val="000000"/>
        </w:rPr>
        <w:t xml:space="preserve">Letter </w:t>
      </w:r>
      <w:r w:rsidR="00720AD1" w:rsidRPr="001D51B1">
        <w:rPr>
          <w:rFonts w:ascii="Times New Roman" w:hAnsi="Times New Roman" w:cs="Times New Roman"/>
          <w:color w:val="000000"/>
        </w:rPr>
        <w:t>exhibit a curious dynamic wherein two approaches represent</w:t>
      </w:r>
      <w:r w:rsidR="00F05993">
        <w:rPr>
          <w:rFonts w:ascii="Times New Roman" w:hAnsi="Times New Roman" w:cs="Times New Roman"/>
          <w:color w:val="000000"/>
        </w:rPr>
        <w:t>ing</w:t>
      </w:r>
      <w:r w:rsidR="00720AD1" w:rsidRPr="001D51B1">
        <w:rPr>
          <w:rFonts w:ascii="Times New Roman" w:hAnsi="Times New Roman" w:cs="Times New Roman"/>
          <w:color w:val="000000"/>
        </w:rPr>
        <w:t xml:space="preserve"> opposing commitments both appeal to</w:t>
      </w:r>
      <w:r w:rsidR="00211F87">
        <w:rPr>
          <w:rFonts w:ascii="Times New Roman" w:hAnsi="Times New Roman" w:cs="Times New Roman"/>
          <w:color w:val="000000"/>
        </w:rPr>
        <w:t xml:space="preserve"> </w:t>
      </w:r>
      <w:r w:rsidR="00840FBB">
        <w:rPr>
          <w:rFonts w:ascii="Times New Roman" w:hAnsi="Times New Roman" w:cs="Times New Roman"/>
          <w:color w:val="000000"/>
        </w:rPr>
        <w:t>aspects</w:t>
      </w:r>
      <w:r w:rsidR="00211F87">
        <w:rPr>
          <w:rFonts w:ascii="Times New Roman" w:hAnsi="Times New Roman" w:cs="Times New Roman"/>
          <w:color w:val="000000"/>
        </w:rPr>
        <w:t xml:space="preserve"> of </w:t>
      </w:r>
      <w:r w:rsidR="00720AD1" w:rsidRPr="001D51B1">
        <w:rPr>
          <w:rFonts w:ascii="Times New Roman" w:hAnsi="Times New Roman" w:cs="Times New Roman"/>
          <w:color w:val="000000"/>
        </w:rPr>
        <w:t xml:space="preserve">this paradox to articulate </w:t>
      </w:r>
      <w:r w:rsidR="00D56630">
        <w:rPr>
          <w:rFonts w:ascii="Times New Roman" w:hAnsi="Times New Roman" w:cs="Times New Roman"/>
          <w:color w:val="000000"/>
        </w:rPr>
        <w:t>refutations</w:t>
      </w:r>
      <w:r w:rsidR="00E329EB">
        <w:rPr>
          <w:rFonts w:ascii="Times New Roman" w:hAnsi="Times New Roman" w:cs="Times New Roman"/>
          <w:color w:val="000000"/>
        </w:rPr>
        <w:t xml:space="preserve"> of Lockean toleration. </w:t>
      </w:r>
      <w:r w:rsidR="0002558E" w:rsidRPr="001D51B1">
        <w:rPr>
          <w:rFonts w:ascii="Times New Roman" w:hAnsi="Times New Roman" w:cs="Times New Roman"/>
          <w:color w:val="000000"/>
        </w:rPr>
        <w:t xml:space="preserve">With </w:t>
      </w:r>
      <w:r w:rsidR="003054C3" w:rsidRPr="001D51B1">
        <w:rPr>
          <w:rFonts w:ascii="Times New Roman" w:hAnsi="Times New Roman" w:cs="Times New Roman"/>
          <w:color w:val="000000"/>
        </w:rPr>
        <w:t xml:space="preserve">the first, </w:t>
      </w:r>
      <w:r w:rsidR="003054C3" w:rsidRPr="001D51B1">
        <w:rPr>
          <w:rFonts w:ascii="Times New Roman" w:hAnsi="Times New Roman" w:cs="Times New Roman"/>
          <w:i/>
          <w:color w:val="000000"/>
        </w:rPr>
        <w:t>moral</w:t>
      </w:r>
      <w:r w:rsidR="003054C3" w:rsidRPr="001D51B1">
        <w:rPr>
          <w:rFonts w:ascii="Times New Roman" w:hAnsi="Times New Roman" w:cs="Times New Roman"/>
          <w:color w:val="000000"/>
        </w:rPr>
        <w:t xml:space="preserve"> approach,</w:t>
      </w:r>
      <w:r w:rsidR="0002558E" w:rsidRPr="001D51B1">
        <w:rPr>
          <w:rFonts w:ascii="Times New Roman" w:hAnsi="Times New Roman" w:cs="Times New Roman"/>
          <w:color w:val="000000"/>
        </w:rPr>
        <w:t xml:space="preserve"> </w:t>
      </w:r>
      <w:r w:rsidR="00720AD1" w:rsidRPr="001D51B1">
        <w:rPr>
          <w:rFonts w:ascii="Times New Roman" w:hAnsi="Times New Roman" w:cs="Times New Roman"/>
          <w:color w:val="000000"/>
        </w:rPr>
        <w:t>Lockean tolerati</w:t>
      </w:r>
      <w:r w:rsidR="00E329EB">
        <w:rPr>
          <w:rFonts w:ascii="Times New Roman" w:hAnsi="Times New Roman" w:cs="Times New Roman"/>
          <w:color w:val="000000"/>
        </w:rPr>
        <w:t xml:space="preserve">on turns out to be “irrational” </w:t>
      </w:r>
      <w:r w:rsidR="00720AD1" w:rsidRPr="001D51B1">
        <w:rPr>
          <w:rFonts w:ascii="Times New Roman" w:hAnsi="Times New Roman" w:cs="Times New Roman"/>
          <w:color w:val="000000"/>
        </w:rPr>
        <w:t xml:space="preserve">because it misunderstands </w:t>
      </w:r>
      <w:r w:rsidR="0088519C" w:rsidRPr="001D51B1">
        <w:rPr>
          <w:rFonts w:ascii="Times New Roman" w:hAnsi="Times New Roman" w:cs="Times New Roman"/>
          <w:color w:val="000000"/>
        </w:rPr>
        <w:t>that</w:t>
      </w:r>
      <w:r w:rsidR="00720AD1" w:rsidRPr="001D51B1">
        <w:rPr>
          <w:rFonts w:ascii="Times New Roman" w:hAnsi="Times New Roman" w:cs="Times New Roman"/>
          <w:color w:val="000000"/>
        </w:rPr>
        <w:t xml:space="preserve"> punishment</w:t>
      </w:r>
      <w:r w:rsidR="0088519C" w:rsidRPr="001D51B1">
        <w:rPr>
          <w:rFonts w:ascii="Times New Roman" w:hAnsi="Times New Roman" w:cs="Times New Roman"/>
          <w:color w:val="000000"/>
        </w:rPr>
        <w:t xml:space="preserve"> can</w:t>
      </w:r>
      <w:r w:rsidR="00680C1A">
        <w:rPr>
          <w:rFonts w:ascii="Times New Roman" w:hAnsi="Times New Roman" w:cs="Times New Roman"/>
          <w:color w:val="000000"/>
        </w:rPr>
        <w:t xml:space="preserve"> in fact</w:t>
      </w:r>
      <w:r w:rsidR="0088519C" w:rsidRPr="001D51B1">
        <w:rPr>
          <w:rFonts w:ascii="Times New Roman" w:hAnsi="Times New Roman" w:cs="Times New Roman"/>
          <w:color w:val="000000"/>
        </w:rPr>
        <w:t xml:space="preserve"> indirectly affect</w:t>
      </w:r>
      <w:r w:rsidR="00720AD1" w:rsidRPr="001D51B1">
        <w:rPr>
          <w:rFonts w:ascii="Times New Roman" w:hAnsi="Times New Roman" w:cs="Times New Roman"/>
          <w:color w:val="000000"/>
        </w:rPr>
        <w:t xml:space="preserve"> belief</w:t>
      </w:r>
      <w:r w:rsidR="0002558E" w:rsidRPr="001D51B1">
        <w:rPr>
          <w:rFonts w:ascii="Times New Roman" w:hAnsi="Times New Roman" w:cs="Times New Roman"/>
          <w:color w:val="000000"/>
        </w:rPr>
        <w:t xml:space="preserve">, thus failing to advance a compelling argument </w:t>
      </w:r>
      <w:r w:rsidR="003054C3" w:rsidRPr="001D51B1">
        <w:rPr>
          <w:rFonts w:ascii="Times New Roman" w:hAnsi="Times New Roman" w:cs="Times New Roman"/>
          <w:color w:val="000000"/>
        </w:rPr>
        <w:t>against persecution.</w:t>
      </w:r>
      <w:r w:rsidR="008E695C">
        <w:rPr>
          <w:rStyle w:val="FootnoteReference"/>
          <w:color w:val="000000"/>
        </w:rPr>
        <w:footnoteReference w:id="1"/>
      </w:r>
      <w:r w:rsidR="003054C3" w:rsidRPr="001D51B1">
        <w:rPr>
          <w:rFonts w:ascii="Times New Roman" w:hAnsi="Times New Roman" w:cs="Times New Roman"/>
          <w:color w:val="000000"/>
        </w:rPr>
        <w:t xml:space="preserve"> </w:t>
      </w:r>
      <w:r w:rsidR="00F16C92">
        <w:rPr>
          <w:rFonts w:ascii="Times New Roman" w:hAnsi="Times New Roman" w:cs="Times New Roman"/>
          <w:color w:val="000000"/>
        </w:rPr>
        <w:t>Alternat</w:t>
      </w:r>
      <w:r w:rsidR="0002558E" w:rsidRPr="001D51B1">
        <w:rPr>
          <w:rFonts w:ascii="Times New Roman" w:hAnsi="Times New Roman" w:cs="Times New Roman"/>
          <w:color w:val="000000"/>
        </w:rPr>
        <w:t xml:space="preserve">ely, </w:t>
      </w:r>
      <w:r w:rsidR="003054C3" w:rsidRPr="001D51B1">
        <w:rPr>
          <w:rFonts w:ascii="Times New Roman" w:hAnsi="Times New Roman" w:cs="Times New Roman"/>
          <w:color w:val="000000"/>
        </w:rPr>
        <w:t>a</w:t>
      </w:r>
      <w:r w:rsidR="0002558E" w:rsidRPr="001D51B1">
        <w:rPr>
          <w:rFonts w:ascii="Times New Roman" w:hAnsi="Times New Roman" w:cs="Times New Roman"/>
          <w:color w:val="000000"/>
        </w:rPr>
        <w:t xml:space="preserve"> second</w:t>
      </w:r>
      <w:r w:rsidR="003054C3" w:rsidRPr="001D51B1">
        <w:rPr>
          <w:rFonts w:ascii="Times New Roman" w:hAnsi="Times New Roman" w:cs="Times New Roman"/>
          <w:color w:val="000000"/>
        </w:rPr>
        <w:t xml:space="preserve"> </w:t>
      </w:r>
      <w:r w:rsidR="003054C3" w:rsidRPr="001D51B1">
        <w:rPr>
          <w:rFonts w:ascii="Times New Roman" w:hAnsi="Times New Roman" w:cs="Times New Roman"/>
          <w:i/>
          <w:color w:val="000000"/>
        </w:rPr>
        <w:t>discursive</w:t>
      </w:r>
      <w:r w:rsidR="0002558E" w:rsidRPr="001D51B1">
        <w:rPr>
          <w:rFonts w:ascii="Times New Roman" w:hAnsi="Times New Roman" w:cs="Times New Roman"/>
          <w:color w:val="000000"/>
        </w:rPr>
        <w:t xml:space="preserve"> approach </w:t>
      </w:r>
      <w:r w:rsidR="003054C3" w:rsidRPr="001D51B1">
        <w:rPr>
          <w:rFonts w:ascii="Times New Roman" w:hAnsi="Times New Roman" w:cs="Times New Roman"/>
          <w:color w:val="000000"/>
        </w:rPr>
        <w:t>asserts that</w:t>
      </w:r>
      <w:r w:rsidR="0002558E" w:rsidRPr="001D51B1">
        <w:rPr>
          <w:rFonts w:ascii="Times New Roman" w:hAnsi="Times New Roman" w:cs="Times New Roman"/>
          <w:color w:val="000000"/>
        </w:rPr>
        <w:t xml:space="preserve"> Locke</w:t>
      </w:r>
      <w:r w:rsidR="0088519C" w:rsidRPr="001D51B1">
        <w:rPr>
          <w:rFonts w:ascii="Times New Roman" w:hAnsi="Times New Roman" w:cs="Times New Roman"/>
          <w:color w:val="000000"/>
        </w:rPr>
        <w:t>an toleration</w:t>
      </w:r>
      <w:r w:rsidR="00594E82" w:rsidRPr="001D51B1">
        <w:rPr>
          <w:rFonts w:ascii="Times New Roman" w:hAnsi="Times New Roman" w:cs="Times New Roman"/>
          <w:color w:val="000000"/>
        </w:rPr>
        <w:t xml:space="preserve"> </w:t>
      </w:r>
      <w:r w:rsidR="003054C3" w:rsidRPr="001D51B1">
        <w:rPr>
          <w:rFonts w:ascii="Times New Roman" w:hAnsi="Times New Roman" w:cs="Times New Roman"/>
          <w:color w:val="000000"/>
        </w:rPr>
        <w:t xml:space="preserve">filters </w:t>
      </w:r>
      <w:r w:rsidR="00594E82" w:rsidRPr="001D51B1">
        <w:rPr>
          <w:rFonts w:ascii="Times New Roman" w:hAnsi="Times New Roman" w:cs="Times New Roman"/>
          <w:color w:val="000000"/>
        </w:rPr>
        <w:t>socially</w:t>
      </w:r>
      <w:r w:rsidR="003054C3" w:rsidRPr="001D51B1">
        <w:rPr>
          <w:rFonts w:ascii="Times New Roman" w:hAnsi="Times New Roman" w:cs="Times New Roman"/>
          <w:color w:val="000000"/>
        </w:rPr>
        <w:t xml:space="preserve"> contingent identities through</w:t>
      </w:r>
      <w:r w:rsidR="00594E82" w:rsidRPr="001D51B1">
        <w:rPr>
          <w:rFonts w:ascii="Times New Roman" w:hAnsi="Times New Roman" w:cs="Times New Roman"/>
          <w:color w:val="000000"/>
        </w:rPr>
        <w:t xml:space="preserve"> a state-</w:t>
      </w:r>
      <w:r w:rsidR="0088519C" w:rsidRPr="001D51B1">
        <w:rPr>
          <w:rFonts w:ascii="Times New Roman" w:hAnsi="Times New Roman" w:cs="Times New Roman"/>
          <w:color w:val="000000"/>
        </w:rPr>
        <w:t>centric</w:t>
      </w:r>
      <w:r w:rsidR="00594E82" w:rsidRPr="001D51B1">
        <w:rPr>
          <w:rFonts w:ascii="Times New Roman" w:hAnsi="Times New Roman" w:cs="Times New Roman"/>
          <w:color w:val="000000"/>
        </w:rPr>
        <w:t>,</w:t>
      </w:r>
      <w:r w:rsidR="0002558E" w:rsidRPr="001D51B1">
        <w:rPr>
          <w:rFonts w:ascii="Times New Roman" w:hAnsi="Times New Roman" w:cs="Times New Roman"/>
          <w:color w:val="000000"/>
        </w:rPr>
        <w:t xml:space="preserve"> </w:t>
      </w:r>
      <w:r w:rsidR="00720AD1" w:rsidRPr="001D51B1">
        <w:rPr>
          <w:rFonts w:ascii="Times New Roman" w:hAnsi="Times New Roman" w:cs="Times New Roman"/>
          <w:color w:val="000000"/>
        </w:rPr>
        <w:t>empiricist epist</w:t>
      </w:r>
      <w:r w:rsidR="0002558E" w:rsidRPr="001D51B1">
        <w:rPr>
          <w:rFonts w:ascii="Times New Roman" w:hAnsi="Times New Roman" w:cs="Times New Roman"/>
          <w:color w:val="000000"/>
        </w:rPr>
        <w:t>emology</w:t>
      </w:r>
      <w:r w:rsidR="0088519C" w:rsidRPr="001D51B1">
        <w:rPr>
          <w:rFonts w:ascii="Times New Roman" w:hAnsi="Times New Roman" w:cs="Times New Roman"/>
          <w:color w:val="000000"/>
        </w:rPr>
        <w:t xml:space="preserve">, thus </w:t>
      </w:r>
      <w:r w:rsidR="00A65254" w:rsidRPr="001D51B1">
        <w:rPr>
          <w:rFonts w:ascii="Times New Roman" w:hAnsi="Times New Roman" w:cs="Times New Roman"/>
          <w:color w:val="000000"/>
        </w:rPr>
        <w:t>foreclosing</w:t>
      </w:r>
      <w:r w:rsidR="00594E82" w:rsidRPr="001D51B1">
        <w:rPr>
          <w:rFonts w:ascii="Times New Roman" w:hAnsi="Times New Roman" w:cs="Times New Roman"/>
          <w:color w:val="000000"/>
        </w:rPr>
        <w:t xml:space="preserve"> the capaci</w:t>
      </w:r>
      <w:r w:rsidR="00E27BC5" w:rsidRPr="001D51B1">
        <w:rPr>
          <w:rFonts w:ascii="Times New Roman" w:hAnsi="Times New Roman" w:cs="Times New Roman"/>
          <w:color w:val="000000"/>
        </w:rPr>
        <w:t xml:space="preserve">ty to </w:t>
      </w:r>
      <w:r w:rsidR="00F05993">
        <w:rPr>
          <w:rFonts w:ascii="Times New Roman" w:hAnsi="Times New Roman" w:cs="Times New Roman"/>
          <w:color w:val="000000"/>
        </w:rPr>
        <w:t>engage</w:t>
      </w:r>
      <w:r w:rsidR="00E27BC5" w:rsidRPr="001D51B1">
        <w:rPr>
          <w:rFonts w:ascii="Times New Roman" w:hAnsi="Times New Roman" w:cs="Times New Roman"/>
          <w:color w:val="000000"/>
        </w:rPr>
        <w:t xml:space="preserve"> the ways in which </w:t>
      </w:r>
      <w:r w:rsidR="0088519C" w:rsidRPr="001D51B1">
        <w:rPr>
          <w:rFonts w:ascii="Times New Roman" w:hAnsi="Times New Roman" w:cs="Times New Roman"/>
          <w:color w:val="000000"/>
        </w:rPr>
        <w:t>power dynamics both constitute and depoliticize “inward” identities.</w:t>
      </w:r>
      <w:r w:rsidR="0075192B">
        <w:rPr>
          <w:rStyle w:val="FootnoteReference"/>
          <w:color w:val="000000"/>
        </w:rPr>
        <w:footnoteReference w:id="2"/>
      </w:r>
      <w:r w:rsidR="00E27BC5" w:rsidRPr="001D51B1">
        <w:rPr>
          <w:rFonts w:ascii="Times New Roman" w:hAnsi="Times New Roman" w:cs="Times New Roman"/>
          <w:color w:val="000000"/>
        </w:rPr>
        <w:t xml:space="preserve"> </w:t>
      </w:r>
      <w:r w:rsidR="00720AD1" w:rsidRPr="001D51B1">
        <w:rPr>
          <w:rFonts w:ascii="Times New Roman" w:hAnsi="Times New Roman" w:cs="Times New Roman"/>
          <w:color w:val="000000"/>
        </w:rPr>
        <w:t>The former criticism d</w:t>
      </w:r>
      <w:r w:rsidR="0002558E" w:rsidRPr="001D51B1">
        <w:rPr>
          <w:rFonts w:ascii="Times New Roman" w:hAnsi="Times New Roman" w:cs="Times New Roman"/>
          <w:color w:val="000000"/>
        </w:rPr>
        <w:t xml:space="preserve">emands a more “moral” notion of </w:t>
      </w:r>
      <w:r w:rsidR="00720AD1" w:rsidRPr="001D51B1">
        <w:rPr>
          <w:rFonts w:ascii="Times New Roman" w:hAnsi="Times New Roman" w:cs="Times New Roman"/>
          <w:color w:val="000000"/>
        </w:rPr>
        <w:t>toleration such as J</w:t>
      </w:r>
      <w:r w:rsidR="001511F8">
        <w:rPr>
          <w:rFonts w:ascii="Times New Roman" w:hAnsi="Times New Roman" w:cs="Times New Roman"/>
          <w:color w:val="000000"/>
        </w:rPr>
        <w:t>.</w:t>
      </w:r>
      <w:r w:rsidR="00720AD1" w:rsidRPr="001D51B1">
        <w:rPr>
          <w:rFonts w:ascii="Times New Roman" w:hAnsi="Times New Roman" w:cs="Times New Roman"/>
          <w:color w:val="000000"/>
        </w:rPr>
        <w:t>S</w:t>
      </w:r>
      <w:r w:rsidR="001511F8">
        <w:rPr>
          <w:rFonts w:ascii="Times New Roman" w:hAnsi="Times New Roman" w:cs="Times New Roman"/>
          <w:color w:val="000000"/>
        </w:rPr>
        <w:t>.</w:t>
      </w:r>
      <w:r w:rsidR="00720AD1" w:rsidRPr="001D51B1">
        <w:rPr>
          <w:rFonts w:ascii="Times New Roman" w:hAnsi="Times New Roman" w:cs="Times New Roman"/>
          <w:color w:val="000000"/>
        </w:rPr>
        <w:t xml:space="preserve"> Mill’s treatment of diversity as an intrinsic good</w:t>
      </w:r>
      <w:r w:rsidR="0002558E" w:rsidRPr="001D51B1">
        <w:rPr>
          <w:rFonts w:ascii="Times New Roman" w:hAnsi="Times New Roman" w:cs="Times New Roman"/>
          <w:color w:val="000000"/>
        </w:rPr>
        <w:t xml:space="preserve">, while the latter tends toward </w:t>
      </w:r>
      <w:r w:rsidR="00720AD1" w:rsidRPr="001D51B1">
        <w:rPr>
          <w:rFonts w:ascii="Times New Roman" w:hAnsi="Times New Roman" w:cs="Times New Roman"/>
          <w:color w:val="000000"/>
        </w:rPr>
        <w:t>historicizing and problematizing toleration altogether. In other words, eith</w:t>
      </w:r>
      <w:r w:rsidR="0002558E" w:rsidRPr="001D51B1">
        <w:rPr>
          <w:rFonts w:ascii="Times New Roman" w:hAnsi="Times New Roman" w:cs="Times New Roman"/>
          <w:color w:val="000000"/>
        </w:rPr>
        <w:t xml:space="preserve">er Locke is </w:t>
      </w:r>
      <w:r w:rsidR="00D56630">
        <w:rPr>
          <w:rFonts w:ascii="Times New Roman" w:hAnsi="Times New Roman" w:cs="Times New Roman"/>
          <w:color w:val="000000"/>
        </w:rPr>
        <w:t>refuted</w:t>
      </w:r>
      <w:r w:rsidR="0002558E" w:rsidRPr="001D51B1">
        <w:rPr>
          <w:rFonts w:ascii="Times New Roman" w:hAnsi="Times New Roman" w:cs="Times New Roman"/>
          <w:color w:val="000000"/>
        </w:rPr>
        <w:t xml:space="preserve"> because he </w:t>
      </w:r>
      <w:r w:rsidR="00720AD1" w:rsidRPr="001D51B1">
        <w:rPr>
          <w:rFonts w:ascii="Times New Roman" w:hAnsi="Times New Roman" w:cs="Times New Roman"/>
          <w:color w:val="000000"/>
        </w:rPr>
        <w:t xml:space="preserve">fails to defend toleration on sufficiently normative grounds, or </w:t>
      </w:r>
      <w:r w:rsidR="00D56630">
        <w:rPr>
          <w:rFonts w:ascii="Times New Roman" w:hAnsi="Times New Roman" w:cs="Times New Roman"/>
          <w:color w:val="000000"/>
        </w:rPr>
        <w:t>refuted</w:t>
      </w:r>
      <w:r w:rsidR="00720AD1" w:rsidRPr="001D51B1">
        <w:rPr>
          <w:rFonts w:ascii="Times New Roman" w:hAnsi="Times New Roman" w:cs="Times New Roman"/>
          <w:color w:val="000000"/>
        </w:rPr>
        <w:t xml:space="preserve"> be</w:t>
      </w:r>
      <w:r w:rsidR="0002558E" w:rsidRPr="001D51B1">
        <w:rPr>
          <w:rFonts w:ascii="Times New Roman" w:hAnsi="Times New Roman" w:cs="Times New Roman"/>
          <w:color w:val="000000"/>
        </w:rPr>
        <w:t xml:space="preserve">cause the concept of toleration </w:t>
      </w:r>
      <w:r w:rsidR="00720AD1" w:rsidRPr="001D51B1">
        <w:rPr>
          <w:rFonts w:ascii="Times New Roman" w:hAnsi="Times New Roman" w:cs="Times New Roman"/>
          <w:color w:val="000000"/>
        </w:rPr>
        <w:t>is itself ul</w:t>
      </w:r>
      <w:r w:rsidR="0002558E" w:rsidRPr="001D51B1">
        <w:rPr>
          <w:rFonts w:ascii="Times New Roman" w:hAnsi="Times New Roman" w:cs="Times New Roman"/>
          <w:color w:val="000000"/>
        </w:rPr>
        <w:t>timately found to be politically and normatively</w:t>
      </w:r>
      <w:r w:rsidR="00720AD1" w:rsidRPr="001D51B1">
        <w:rPr>
          <w:rFonts w:ascii="Times New Roman" w:hAnsi="Times New Roman" w:cs="Times New Roman"/>
          <w:color w:val="000000"/>
        </w:rPr>
        <w:t xml:space="preserve"> problematic.</w:t>
      </w:r>
    </w:p>
    <w:p w14:paraId="0FAB19AA" w14:textId="5E630001" w:rsidR="0088519C" w:rsidRPr="001D51B1" w:rsidRDefault="0088519C" w:rsidP="008D1696">
      <w:pPr>
        <w:pStyle w:val="NoSpacing"/>
        <w:spacing w:line="480" w:lineRule="auto"/>
        <w:ind w:firstLine="720"/>
        <w:rPr>
          <w:rFonts w:ascii="Times New Roman" w:hAnsi="Times New Roman" w:cs="Times New Roman"/>
          <w:color w:val="000000"/>
        </w:rPr>
      </w:pPr>
      <w:r w:rsidRPr="001D51B1">
        <w:rPr>
          <w:rFonts w:ascii="Times New Roman" w:hAnsi="Times New Roman" w:cs="Times New Roman"/>
          <w:color w:val="000000"/>
        </w:rPr>
        <w:t xml:space="preserve">How do we explain this not-sufficiently-normative yet all-too-normative Locke?  In this paper, I suggest the </w:t>
      </w:r>
      <w:r w:rsidR="00D56630">
        <w:rPr>
          <w:rFonts w:ascii="Times New Roman" w:hAnsi="Times New Roman" w:cs="Times New Roman"/>
          <w:color w:val="000000"/>
        </w:rPr>
        <w:t>refutations</w:t>
      </w:r>
      <w:r w:rsidRPr="001D51B1">
        <w:rPr>
          <w:rFonts w:ascii="Times New Roman" w:hAnsi="Times New Roman" w:cs="Times New Roman"/>
          <w:color w:val="000000"/>
        </w:rPr>
        <w:t xml:space="preserve"> </w:t>
      </w:r>
      <w:r w:rsidR="00F16C92">
        <w:rPr>
          <w:rFonts w:ascii="Times New Roman" w:hAnsi="Times New Roman" w:cs="Times New Roman"/>
          <w:color w:val="000000"/>
        </w:rPr>
        <w:t>advanced</w:t>
      </w:r>
      <w:r w:rsidRPr="001D51B1">
        <w:rPr>
          <w:rFonts w:ascii="Times New Roman" w:hAnsi="Times New Roman" w:cs="Times New Roman"/>
          <w:color w:val="000000"/>
        </w:rPr>
        <w:t xml:space="preserve"> </w:t>
      </w:r>
      <w:r w:rsidR="00832257" w:rsidRPr="001D51B1">
        <w:rPr>
          <w:rFonts w:ascii="Times New Roman" w:hAnsi="Times New Roman" w:cs="Times New Roman"/>
          <w:color w:val="000000"/>
        </w:rPr>
        <w:t>by</w:t>
      </w:r>
      <w:r w:rsidRPr="001D51B1">
        <w:rPr>
          <w:rFonts w:ascii="Times New Roman" w:hAnsi="Times New Roman" w:cs="Times New Roman"/>
          <w:color w:val="000000"/>
        </w:rPr>
        <w:t xml:space="preserve"> both approaches reflect </w:t>
      </w:r>
      <w:r w:rsidR="00391B65">
        <w:rPr>
          <w:rFonts w:ascii="Times New Roman" w:hAnsi="Times New Roman" w:cs="Times New Roman"/>
          <w:color w:val="000000"/>
        </w:rPr>
        <w:t>a crucial ambiguity in</w:t>
      </w:r>
      <w:r w:rsidRPr="001D51B1">
        <w:rPr>
          <w:rFonts w:ascii="Times New Roman" w:hAnsi="Times New Roman" w:cs="Times New Roman"/>
          <w:color w:val="000000"/>
        </w:rPr>
        <w:t xml:space="preserve"> Locke’s </w:t>
      </w:r>
      <w:r w:rsidR="004D53A4">
        <w:rPr>
          <w:rFonts w:ascii="Times New Roman" w:hAnsi="Times New Roman" w:cs="Times New Roman"/>
          <w:color w:val="000000"/>
        </w:rPr>
        <w:t>application</w:t>
      </w:r>
      <w:r w:rsidRPr="001D51B1">
        <w:rPr>
          <w:rFonts w:ascii="Times New Roman" w:hAnsi="Times New Roman" w:cs="Times New Roman"/>
          <w:color w:val="000000"/>
        </w:rPr>
        <w:t xml:space="preserve"> </w:t>
      </w:r>
      <w:r w:rsidR="00832257" w:rsidRPr="001D51B1">
        <w:rPr>
          <w:rFonts w:ascii="Times New Roman" w:hAnsi="Times New Roman" w:cs="Times New Roman"/>
          <w:color w:val="000000"/>
        </w:rPr>
        <w:t xml:space="preserve">of </w:t>
      </w:r>
      <w:r w:rsidR="00832257" w:rsidRPr="001D51B1">
        <w:rPr>
          <w:rFonts w:ascii="Times New Roman" w:hAnsi="Times New Roman" w:cs="Times New Roman"/>
          <w:color w:val="000000"/>
        </w:rPr>
        <w:lastRenderedPageBreak/>
        <w:t>his concept</w:t>
      </w:r>
      <w:r w:rsidR="00840FBB">
        <w:rPr>
          <w:rFonts w:ascii="Times New Roman" w:hAnsi="Times New Roman" w:cs="Times New Roman"/>
          <w:color w:val="000000"/>
        </w:rPr>
        <w:t>ion</w:t>
      </w:r>
      <w:r w:rsidR="00832257" w:rsidRPr="001D51B1">
        <w:rPr>
          <w:rFonts w:ascii="Times New Roman" w:hAnsi="Times New Roman" w:cs="Times New Roman"/>
          <w:color w:val="000000"/>
        </w:rPr>
        <w:t xml:space="preserve"> of judgment</w:t>
      </w:r>
      <w:r w:rsidR="00391B65">
        <w:rPr>
          <w:rFonts w:ascii="Times New Roman" w:hAnsi="Times New Roman" w:cs="Times New Roman"/>
          <w:color w:val="000000"/>
        </w:rPr>
        <w:t xml:space="preserve"> necessary to make sense of Lockean toleration and yet</w:t>
      </w:r>
      <w:r w:rsidR="00F16C92">
        <w:rPr>
          <w:rFonts w:ascii="Times New Roman" w:hAnsi="Times New Roman" w:cs="Times New Roman"/>
          <w:color w:val="000000"/>
        </w:rPr>
        <w:t xml:space="preserve"> overlooked on both accounts</w:t>
      </w:r>
      <w:r w:rsidR="00832257" w:rsidRPr="001D51B1">
        <w:rPr>
          <w:rFonts w:ascii="Times New Roman" w:hAnsi="Times New Roman" w:cs="Times New Roman"/>
          <w:color w:val="000000"/>
        </w:rPr>
        <w:t xml:space="preserve">.  </w:t>
      </w:r>
      <w:r w:rsidR="00F05993">
        <w:rPr>
          <w:rFonts w:ascii="Times New Roman" w:hAnsi="Times New Roman" w:cs="Times New Roman"/>
          <w:color w:val="000000"/>
        </w:rPr>
        <w:t>B</w:t>
      </w:r>
      <w:r w:rsidR="00832257" w:rsidRPr="001D51B1">
        <w:rPr>
          <w:rFonts w:ascii="Times New Roman" w:hAnsi="Times New Roman" w:cs="Times New Roman"/>
          <w:color w:val="000000"/>
        </w:rPr>
        <w:t>oth criticisms</w:t>
      </w:r>
      <w:r w:rsidRPr="001D51B1">
        <w:rPr>
          <w:rFonts w:ascii="Times New Roman" w:hAnsi="Times New Roman" w:cs="Times New Roman"/>
          <w:color w:val="000000"/>
        </w:rPr>
        <w:t xml:space="preserve"> </w:t>
      </w:r>
      <w:r w:rsidR="001511F8">
        <w:rPr>
          <w:rFonts w:ascii="Times New Roman" w:hAnsi="Times New Roman" w:cs="Times New Roman"/>
          <w:color w:val="000000"/>
        </w:rPr>
        <w:t>presume</w:t>
      </w:r>
      <w:r w:rsidRPr="001D51B1">
        <w:rPr>
          <w:rFonts w:ascii="Times New Roman" w:hAnsi="Times New Roman" w:cs="Times New Roman"/>
          <w:color w:val="000000"/>
        </w:rPr>
        <w:t xml:space="preserve"> a static</w:t>
      </w:r>
      <w:r w:rsidR="00832257" w:rsidRPr="001D51B1">
        <w:rPr>
          <w:rFonts w:ascii="Times New Roman" w:hAnsi="Times New Roman" w:cs="Times New Roman"/>
          <w:color w:val="000000"/>
        </w:rPr>
        <w:t>, ind</w:t>
      </w:r>
      <w:r w:rsidR="00A04A89" w:rsidRPr="001D51B1">
        <w:rPr>
          <w:rFonts w:ascii="Times New Roman" w:hAnsi="Times New Roman" w:cs="Times New Roman"/>
          <w:color w:val="000000"/>
        </w:rPr>
        <w:t xml:space="preserve">ividuated, and </w:t>
      </w:r>
      <w:r w:rsidR="000415CA">
        <w:rPr>
          <w:rFonts w:ascii="Times New Roman" w:hAnsi="Times New Roman" w:cs="Times New Roman"/>
          <w:color w:val="000000"/>
        </w:rPr>
        <w:t>discrete</w:t>
      </w:r>
      <w:r w:rsidR="00A04A89" w:rsidRPr="001D51B1">
        <w:rPr>
          <w:rFonts w:ascii="Times New Roman" w:hAnsi="Times New Roman" w:cs="Times New Roman"/>
          <w:color w:val="000000"/>
        </w:rPr>
        <w:t xml:space="preserve"> </w:t>
      </w:r>
      <w:r w:rsidR="00F05993">
        <w:rPr>
          <w:rFonts w:ascii="Times New Roman" w:hAnsi="Times New Roman" w:cs="Times New Roman"/>
          <w:color w:val="000000"/>
        </w:rPr>
        <w:t>notion</w:t>
      </w:r>
      <w:r w:rsidRPr="001D51B1">
        <w:rPr>
          <w:rFonts w:ascii="Times New Roman" w:hAnsi="Times New Roman" w:cs="Times New Roman"/>
          <w:color w:val="000000"/>
        </w:rPr>
        <w:t xml:space="preserve"> of</w:t>
      </w:r>
      <w:r w:rsidR="00F16C92">
        <w:rPr>
          <w:rFonts w:ascii="Times New Roman" w:hAnsi="Times New Roman" w:cs="Times New Roman"/>
          <w:color w:val="000000"/>
        </w:rPr>
        <w:t xml:space="preserve"> </w:t>
      </w:r>
      <w:r w:rsidR="00832257" w:rsidRPr="001D51B1">
        <w:rPr>
          <w:rFonts w:ascii="Times New Roman" w:hAnsi="Times New Roman" w:cs="Times New Roman"/>
          <w:color w:val="000000"/>
        </w:rPr>
        <w:t xml:space="preserve">judgment </w:t>
      </w:r>
      <w:r w:rsidRPr="001D51B1">
        <w:rPr>
          <w:rFonts w:ascii="Times New Roman" w:hAnsi="Times New Roman" w:cs="Times New Roman"/>
          <w:color w:val="000000"/>
        </w:rPr>
        <w:t xml:space="preserve">ostensibly inherited from Locke’s </w:t>
      </w:r>
      <w:r w:rsidRPr="001D51B1">
        <w:rPr>
          <w:rFonts w:ascii="Times New Roman" w:hAnsi="Times New Roman" w:cs="Times New Roman"/>
          <w:i/>
          <w:iCs/>
          <w:color w:val="000000"/>
        </w:rPr>
        <w:t>Essay Concerning</w:t>
      </w:r>
      <w:r w:rsidR="00832257" w:rsidRPr="001D51B1">
        <w:rPr>
          <w:rFonts w:ascii="Times New Roman" w:hAnsi="Times New Roman" w:cs="Times New Roman"/>
          <w:color w:val="000000"/>
        </w:rPr>
        <w:t xml:space="preserve"> </w:t>
      </w:r>
      <w:r w:rsidRPr="001D51B1">
        <w:rPr>
          <w:rFonts w:ascii="Times New Roman" w:hAnsi="Times New Roman" w:cs="Times New Roman"/>
          <w:i/>
          <w:iCs/>
          <w:color w:val="000000"/>
        </w:rPr>
        <w:t>Understanding</w:t>
      </w:r>
      <w:r w:rsidR="00832257" w:rsidRPr="001D51B1">
        <w:rPr>
          <w:rFonts w:ascii="Times New Roman" w:hAnsi="Times New Roman" w:cs="Times New Roman"/>
          <w:color w:val="000000"/>
        </w:rPr>
        <w:t xml:space="preserve">, yet emptied of the </w:t>
      </w:r>
      <w:r w:rsidR="00832257" w:rsidRPr="001D51B1">
        <w:rPr>
          <w:rFonts w:ascii="Times New Roman" w:hAnsi="Times New Roman" w:cs="Times New Roman"/>
          <w:i/>
          <w:color w:val="000000"/>
        </w:rPr>
        <w:t>Essay’s</w:t>
      </w:r>
      <w:r w:rsidR="00832257" w:rsidRPr="001D51B1">
        <w:rPr>
          <w:rFonts w:ascii="Times New Roman" w:hAnsi="Times New Roman" w:cs="Times New Roman"/>
          <w:color w:val="000000"/>
        </w:rPr>
        <w:t xml:space="preserve"> concern with how judgments are formed</w:t>
      </w:r>
      <w:r w:rsidR="009C70BA">
        <w:rPr>
          <w:rFonts w:ascii="Times New Roman" w:hAnsi="Times New Roman" w:cs="Times New Roman"/>
          <w:color w:val="000000"/>
        </w:rPr>
        <w:t>, assessed,</w:t>
      </w:r>
      <w:r w:rsidR="00832257" w:rsidRPr="001D51B1">
        <w:rPr>
          <w:rFonts w:ascii="Times New Roman" w:hAnsi="Times New Roman" w:cs="Times New Roman"/>
          <w:color w:val="000000"/>
        </w:rPr>
        <w:t xml:space="preserve"> and practiced.</w:t>
      </w:r>
      <w:r w:rsidRPr="001D51B1">
        <w:rPr>
          <w:rFonts w:ascii="Times New Roman" w:hAnsi="Times New Roman" w:cs="Times New Roman"/>
          <w:color w:val="000000"/>
        </w:rPr>
        <w:t xml:space="preserve"> </w:t>
      </w:r>
      <w:r w:rsidR="00832257" w:rsidRPr="001D51B1">
        <w:rPr>
          <w:rFonts w:ascii="Times New Roman" w:hAnsi="Times New Roman" w:cs="Times New Roman"/>
          <w:color w:val="000000"/>
        </w:rPr>
        <w:t>As such</w:t>
      </w:r>
      <w:r w:rsidRPr="001D51B1">
        <w:rPr>
          <w:rFonts w:ascii="Times New Roman" w:hAnsi="Times New Roman" w:cs="Times New Roman"/>
          <w:color w:val="000000"/>
        </w:rPr>
        <w:t>,</w:t>
      </w:r>
      <w:r w:rsidR="00832257" w:rsidRPr="001D51B1">
        <w:rPr>
          <w:rFonts w:ascii="Times New Roman" w:hAnsi="Times New Roman" w:cs="Times New Roman"/>
          <w:color w:val="000000"/>
        </w:rPr>
        <w:t xml:space="preserve"> with both criticisms</w:t>
      </w:r>
      <w:r w:rsidRPr="001D51B1">
        <w:rPr>
          <w:rFonts w:ascii="Times New Roman" w:hAnsi="Times New Roman" w:cs="Times New Roman"/>
          <w:color w:val="000000"/>
        </w:rPr>
        <w:t xml:space="preserve"> the </w:t>
      </w:r>
      <w:r w:rsidRPr="001D51B1">
        <w:rPr>
          <w:rFonts w:ascii="Times New Roman" w:hAnsi="Times New Roman" w:cs="Times New Roman"/>
          <w:i/>
          <w:iCs/>
          <w:color w:val="000000"/>
        </w:rPr>
        <w:t>Letter</w:t>
      </w:r>
      <w:r w:rsidRPr="001D51B1">
        <w:rPr>
          <w:rFonts w:ascii="Times New Roman" w:hAnsi="Times New Roman" w:cs="Times New Roman"/>
          <w:color w:val="000000"/>
        </w:rPr>
        <w:t xml:space="preserve">’s magistrate </w:t>
      </w:r>
      <w:r w:rsidR="00832257" w:rsidRPr="001D51B1">
        <w:rPr>
          <w:rFonts w:ascii="Times New Roman" w:hAnsi="Times New Roman" w:cs="Times New Roman"/>
          <w:color w:val="000000"/>
        </w:rPr>
        <w:t>is</w:t>
      </w:r>
      <w:r w:rsidRPr="001D51B1">
        <w:rPr>
          <w:rFonts w:ascii="Times New Roman" w:hAnsi="Times New Roman" w:cs="Times New Roman"/>
          <w:color w:val="000000"/>
        </w:rPr>
        <w:t xml:space="preserve"> </w:t>
      </w:r>
      <w:r w:rsidR="001511F8">
        <w:rPr>
          <w:rFonts w:ascii="Times New Roman" w:hAnsi="Times New Roman" w:cs="Times New Roman"/>
          <w:color w:val="000000"/>
        </w:rPr>
        <w:t>taken</w:t>
      </w:r>
      <w:r w:rsidRPr="001D51B1">
        <w:rPr>
          <w:rFonts w:ascii="Times New Roman" w:hAnsi="Times New Roman" w:cs="Times New Roman"/>
          <w:color w:val="000000"/>
        </w:rPr>
        <w:t xml:space="preserve"> to be </w:t>
      </w:r>
      <w:r w:rsidR="00832257" w:rsidRPr="001D51B1">
        <w:rPr>
          <w:rFonts w:ascii="Times New Roman" w:hAnsi="Times New Roman" w:cs="Times New Roman"/>
          <w:color w:val="000000"/>
        </w:rPr>
        <w:t xml:space="preserve">able to identify and reduce </w:t>
      </w:r>
      <w:r w:rsidRPr="001D51B1">
        <w:rPr>
          <w:rFonts w:ascii="Times New Roman" w:hAnsi="Times New Roman" w:cs="Times New Roman"/>
          <w:color w:val="000000"/>
        </w:rPr>
        <w:t>instantiations of his subjects’ ju</w:t>
      </w:r>
      <w:r w:rsidR="004E137C">
        <w:rPr>
          <w:rFonts w:ascii="Times New Roman" w:hAnsi="Times New Roman" w:cs="Times New Roman"/>
          <w:color w:val="000000"/>
        </w:rPr>
        <w:t>dgments to</w:t>
      </w:r>
      <w:r w:rsidR="008D1696">
        <w:rPr>
          <w:rFonts w:ascii="Times New Roman" w:hAnsi="Times New Roman" w:cs="Times New Roman"/>
          <w:color w:val="000000"/>
        </w:rPr>
        <w:t xml:space="preserve"> render them </w:t>
      </w:r>
      <w:r w:rsidR="00832257" w:rsidRPr="001D51B1">
        <w:rPr>
          <w:rFonts w:ascii="Times New Roman" w:hAnsi="Times New Roman" w:cs="Times New Roman"/>
          <w:color w:val="000000"/>
        </w:rPr>
        <w:t xml:space="preserve">legible to magisterial </w:t>
      </w:r>
      <w:r w:rsidR="009A41E0" w:rsidRPr="001D51B1">
        <w:rPr>
          <w:rFonts w:ascii="Times New Roman" w:hAnsi="Times New Roman" w:cs="Times New Roman"/>
          <w:color w:val="000000"/>
        </w:rPr>
        <w:t>knowledge—</w:t>
      </w:r>
      <w:r w:rsidR="007A2BD9" w:rsidRPr="001D51B1">
        <w:rPr>
          <w:rFonts w:ascii="Times New Roman" w:hAnsi="Times New Roman" w:cs="Times New Roman"/>
          <w:color w:val="000000"/>
        </w:rPr>
        <w:t xml:space="preserve">either </w:t>
      </w:r>
      <w:r w:rsidRPr="001D51B1">
        <w:rPr>
          <w:rFonts w:ascii="Times New Roman" w:hAnsi="Times New Roman" w:cs="Times New Roman"/>
          <w:color w:val="000000"/>
        </w:rPr>
        <w:t>in order to apply punishments that in turn shape belief</w:t>
      </w:r>
      <w:r w:rsidR="009A41E0" w:rsidRPr="001D51B1">
        <w:rPr>
          <w:rFonts w:ascii="Times New Roman" w:hAnsi="Times New Roman" w:cs="Times New Roman"/>
          <w:color w:val="000000"/>
        </w:rPr>
        <w:t>s</w:t>
      </w:r>
      <w:r w:rsidRPr="001D51B1">
        <w:rPr>
          <w:rFonts w:ascii="Times New Roman" w:hAnsi="Times New Roman" w:cs="Times New Roman"/>
          <w:color w:val="000000"/>
        </w:rPr>
        <w:t xml:space="preserve"> (</w:t>
      </w:r>
      <w:r w:rsidR="00A65254" w:rsidRPr="001D51B1">
        <w:rPr>
          <w:rFonts w:ascii="Times New Roman" w:hAnsi="Times New Roman" w:cs="Times New Roman"/>
          <w:color w:val="000000"/>
        </w:rPr>
        <w:t>i.e.,</w:t>
      </w:r>
      <w:r w:rsidRPr="001D51B1">
        <w:rPr>
          <w:rFonts w:ascii="Times New Roman" w:hAnsi="Times New Roman" w:cs="Times New Roman"/>
          <w:color w:val="000000"/>
        </w:rPr>
        <w:t xml:space="preserve"> </w:t>
      </w:r>
      <w:r w:rsidR="00A20511" w:rsidRPr="001D51B1">
        <w:rPr>
          <w:rFonts w:ascii="Times New Roman" w:hAnsi="Times New Roman" w:cs="Times New Roman"/>
          <w:color w:val="000000"/>
        </w:rPr>
        <w:t xml:space="preserve">the </w:t>
      </w:r>
      <w:r w:rsidR="00832257" w:rsidRPr="001D51B1">
        <w:rPr>
          <w:rFonts w:ascii="Times New Roman" w:hAnsi="Times New Roman" w:cs="Times New Roman"/>
          <w:color w:val="000000"/>
        </w:rPr>
        <w:t xml:space="preserve">moral criticism) or </w:t>
      </w:r>
      <w:r w:rsidR="00A20511" w:rsidRPr="001D51B1">
        <w:rPr>
          <w:rFonts w:ascii="Times New Roman" w:hAnsi="Times New Roman" w:cs="Times New Roman"/>
          <w:color w:val="000000"/>
        </w:rPr>
        <w:t xml:space="preserve">to </w:t>
      </w:r>
      <w:r w:rsidR="00C07F37">
        <w:rPr>
          <w:rFonts w:ascii="Times New Roman" w:hAnsi="Times New Roman" w:cs="Times New Roman"/>
          <w:color w:val="000000"/>
        </w:rPr>
        <w:t>reduce</w:t>
      </w:r>
      <w:r w:rsidR="007A2BD9" w:rsidRPr="001D51B1">
        <w:rPr>
          <w:rFonts w:ascii="Times New Roman" w:hAnsi="Times New Roman" w:cs="Times New Roman"/>
          <w:color w:val="000000"/>
        </w:rPr>
        <w:t xml:space="preserve"> those judgments</w:t>
      </w:r>
      <w:r w:rsidR="00F05993">
        <w:rPr>
          <w:rFonts w:ascii="Times New Roman" w:hAnsi="Times New Roman" w:cs="Times New Roman"/>
          <w:color w:val="000000"/>
        </w:rPr>
        <w:t xml:space="preserve"> </w:t>
      </w:r>
      <w:r w:rsidR="007A2BD9" w:rsidRPr="001D51B1">
        <w:rPr>
          <w:rFonts w:ascii="Times New Roman" w:hAnsi="Times New Roman" w:cs="Times New Roman"/>
          <w:color w:val="000000"/>
        </w:rPr>
        <w:t>to the empiricist adjudication among their effects, thus masking the workings of power</w:t>
      </w:r>
      <w:r w:rsidRPr="001D51B1">
        <w:rPr>
          <w:rFonts w:ascii="Times New Roman" w:hAnsi="Times New Roman" w:cs="Times New Roman"/>
          <w:color w:val="000000"/>
        </w:rPr>
        <w:t xml:space="preserve"> (</w:t>
      </w:r>
      <w:r w:rsidR="00A65254" w:rsidRPr="001D51B1">
        <w:rPr>
          <w:rFonts w:ascii="Times New Roman" w:hAnsi="Times New Roman" w:cs="Times New Roman"/>
          <w:color w:val="000000"/>
        </w:rPr>
        <w:t>i.e.,</w:t>
      </w:r>
      <w:r w:rsidRPr="001D51B1">
        <w:rPr>
          <w:rFonts w:ascii="Times New Roman" w:hAnsi="Times New Roman" w:cs="Times New Roman"/>
          <w:color w:val="000000"/>
        </w:rPr>
        <w:t xml:space="preserve"> </w:t>
      </w:r>
      <w:r w:rsidR="00832257" w:rsidRPr="001D51B1">
        <w:rPr>
          <w:rFonts w:ascii="Times New Roman" w:hAnsi="Times New Roman" w:cs="Times New Roman"/>
          <w:color w:val="000000"/>
        </w:rPr>
        <w:t xml:space="preserve">the discursive criticism). </w:t>
      </w:r>
      <w:r w:rsidR="00F05993">
        <w:rPr>
          <w:rFonts w:ascii="Times New Roman" w:hAnsi="Times New Roman" w:cs="Times New Roman"/>
          <w:color w:val="000000"/>
        </w:rPr>
        <w:t>Despite their differences</w:t>
      </w:r>
      <w:r w:rsidR="00A431A3">
        <w:rPr>
          <w:rFonts w:ascii="Times New Roman" w:hAnsi="Times New Roman" w:cs="Times New Roman"/>
          <w:color w:val="000000"/>
        </w:rPr>
        <w:t>,</w:t>
      </w:r>
      <w:r w:rsidR="00832257" w:rsidRPr="001D51B1">
        <w:rPr>
          <w:rFonts w:ascii="Times New Roman" w:hAnsi="Times New Roman" w:cs="Times New Roman"/>
          <w:color w:val="000000"/>
        </w:rPr>
        <w:t xml:space="preserve"> both</w:t>
      </w:r>
      <w:r w:rsidR="00F05993">
        <w:rPr>
          <w:rFonts w:ascii="Times New Roman" w:hAnsi="Times New Roman" w:cs="Times New Roman"/>
          <w:color w:val="000000"/>
        </w:rPr>
        <w:t xml:space="preserve"> criticisms</w:t>
      </w:r>
      <w:r w:rsidR="00832257" w:rsidRPr="001D51B1">
        <w:rPr>
          <w:rFonts w:ascii="Times New Roman" w:hAnsi="Times New Roman" w:cs="Times New Roman"/>
          <w:color w:val="000000"/>
        </w:rPr>
        <w:t xml:space="preserve"> presuppose a prior, narrow </w:t>
      </w:r>
      <w:r w:rsidRPr="001D51B1">
        <w:rPr>
          <w:rFonts w:ascii="Times New Roman" w:hAnsi="Times New Roman" w:cs="Times New Roman"/>
          <w:color w:val="000000"/>
        </w:rPr>
        <w:t>understanding of Lockean judgment</w:t>
      </w:r>
      <w:r w:rsidR="00832257" w:rsidRPr="001D51B1">
        <w:rPr>
          <w:rFonts w:ascii="Times New Roman" w:hAnsi="Times New Roman" w:cs="Times New Roman"/>
          <w:color w:val="000000"/>
        </w:rPr>
        <w:t xml:space="preserve"> to bridge (and then </w:t>
      </w:r>
      <w:r w:rsidR="00A65254" w:rsidRPr="001D51B1">
        <w:rPr>
          <w:rFonts w:ascii="Times New Roman" w:hAnsi="Times New Roman" w:cs="Times New Roman"/>
          <w:color w:val="000000"/>
        </w:rPr>
        <w:t>problematize</w:t>
      </w:r>
      <w:r w:rsidR="00832257" w:rsidRPr="001D51B1">
        <w:rPr>
          <w:rFonts w:ascii="Times New Roman" w:hAnsi="Times New Roman" w:cs="Times New Roman"/>
          <w:color w:val="000000"/>
        </w:rPr>
        <w:t>) the gap between belief and coercion.</w:t>
      </w:r>
    </w:p>
    <w:p w14:paraId="226C9B8B" w14:textId="17345867" w:rsidR="004D53A4" w:rsidRPr="002E21BF" w:rsidRDefault="0014426E" w:rsidP="00417A96">
      <w:pPr>
        <w:pStyle w:val="NoSpacing"/>
        <w:spacing w:line="480" w:lineRule="auto"/>
        <w:rPr>
          <w:rFonts w:ascii="Times New Roman" w:hAnsi="Times New Roman" w:cs="Times New Roman"/>
          <w:color w:val="000000"/>
        </w:rPr>
      </w:pPr>
      <w:r w:rsidRPr="001D51B1">
        <w:rPr>
          <w:rFonts w:ascii="Times New Roman" w:hAnsi="Times New Roman" w:cs="Times New Roman"/>
        </w:rPr>
        <w:tab/>
        <w:t>In what follows, I first</w:t>
      </w:r>
      <w:r w:rsidR="007A2BD9" w:rsidRPr="001D51B1">
        <w:rPr>
          <w:rFonts w:ascii="Times New Roman" w:hAnsi="Times New Roman" w:cs="Times New Roman"/>
        </w:rPr>
        <w:t xml:space="preserve"> turn to the </w:t>
      </w:r>
      <w:r w:rsidR="007A2BD9" w:rsidRPr="001D51B1">
        <w:rPr>
          <w:rFonts w:ascii="Times New Roman" w:hAnsi="Times New Roman" w:cs="Times New Roman"/>
          <w:i/>
        </w:rPr>
        <w:t>Letter</w:t>
      </w:r>
      <w:r w:rsidR="007A2BD9" w:rsidRPr="001D51B1">
        <w:rPr>
          <w:rFonts w:ascii="Times New Roman" w:hAnsi="Times New Roman" w:cs="Times New Roman"/>
        </w:rPr>
        <w:t xml:space="preserve"> to show </w:t>
      </w:r>
      <w:r w:rsidR="00A65254" w:rsidRPr="001D51B1">
        <w:rPr>
          <w:rFonts w:ascii="Times New Roman" w:hAnsi="Times New Roman" w:cs="Times New Roman"/>
        </w:rPr>
        <w:t>that</w:t>
      </w:r>
      <w:r w:rsidR="007A2BD9" w:rsidRPr="001D51B1">
        <w:rPr>
          <w:rFonts w:ascii="Times New Roman" w:hAnsi="Times New Roman" w:cs="Times New Roman"/>
        </w:rPr>
        <w:t xml:space="preserve"> Locke’s defense of toleration </w:t>
      </w:r>
      <w:r w:rsidR="00A04A89" w:rsidRPr="001D51B1">
        <w:rPr>
          <w:rFonts w:ascii="Times New Roman" w:hAnsi="Times New Roman" w:cs="Times New Roman"/>
        </w:rPr>
        <w:t>produces</w:t>
      </w:r>
      <w:r w:rsidR="00A65254" w:rsidRPr="001D51B1">
        <w:rPr>
          <w:rFonts w:ascii="Times New Roman" w:hAnsi="Times New Roman" w:cs="Times New Roman"/>
        </w:rPr>
        <w:t xml:space="preserve"> an underdetermined </w:t>
      </w:r>
      <w:r w:rsidR="009944A7">
        <w:rPr>
          <w:rFonts w:ascii="Times New Roman" w:hAnsi="Times New Roman" w:cs="Times New Roman"/>
        </w:rPr>
        <w:t>account</w:t>
      </w:r>
      <w:r w:rsidR="00A65254" w:rsidRPr="001D51B1">
        <w:rPr>
          <w:rFonts w:ascii="Times New Roman" w:hAnsi="Times New Roman" w:cs="Times New Roman"/>
        </w:rPr>
        <w:t xml:space="preserve"> of judgment</w:t>
      </w:r>
      <w:r w:rsidR="009944A7">
        <w:rPr>
          <w:rFonts w:ascii="Times New Roman" w:hAnsi="Times New Roman" w:cs="Times New Roman"/>
        </w:rPr>
        <w:t>, such that if</w:t>
      </w:r>
      <w:r w:rsidR="00A04A89" w:rsidRPr="001D51B1">
        <w:rPr>
          <w:rFonts w:ascii="Times New Roman" w:hAnsi="Times New Roman" w:cs="Times New Roman"/>
        </w:rPr>
        <w:t xml:space="preserve"> </w:t>
      </w:r>
      <w:r w:rsidR="009C70BA">
        <w:rPr>
          <w:rFonts w:ascii="Times New Roman" w:hAnsi="Times New Roman" w:cs="Times New Roman"/>
        </w:rPr>
        <w:t>one takes subjects</w:t>
      </w:r>
      <w:r w:rsidR="00A04A89" w:rsidRPr="001D51B1">
        <w:rPr>
          <w:rFonts w:ascii="Times New Roman" w:hAnsi="Times New Roman" w:cs="Times New Roman"/>
        </w:rPr>
        <w:t xml:space="preserve"> to judge in </w:t>
      </w:r>
      <w:r w:rsidR="00A04A89" w:rsidRPr="001D51B1">
        <w:rPr>
          <w:rFonts w:ascii="Times New Roman" w:hAnsi="Times New Roman" w:cs="Times New Roman"/>
          <w:color w:val="000000"/>
        </w:rPr>
        <w:t xml:space="preserve">static, individuated, and </w:t>
      </w:r>
      <w:r w:rsidR="000415CA">
        <w:rPr>
          <w:rFonts w:ascii="Times New Roman" w:hAnsi="Times New Roman" w:cs="Times New Roman"/>
          <w:color w:val="000000"/>
        </w:rPr>
        <w:t>discrete</w:t>
      </w:r>
      <w:r w:rsidR="00A04A89" w:rsidRPr="001D51B1">
        <w:rPr>
          <w:rFonts w:ascii="Times New Roman" w:hAnsi="Times New Roman" w:cs="Times New Roman"/>
          <w:color w:val="000000"/>
        </w:rPr>
        <w:t xml:space="preserve"> ways, o</w:t>
      </w:r>
      <w:r w:rsidR="00A431A3">
        <w:rPr>
          <w:rFonts w:ascii="Times New Roman" w:hAnsi="Times New Roman" w:cs="Times New Roman"/>
          <w:color w:val="000000"/>
        </w:rPr>
        <w:t xml:space="preserve">ne </w:t>
      </w:r>
      <w:r w:rsidR="009944A7">
        <w:rPr>
          <w:rFonts w:ascii="Times New Roman" w:hAnsi="Times New Roman" w:cs="Times New Roman"/>
          <w:color w:val="000000"/>
        </w:rPr>
        <w:t>inevitably arrives at the</w:t>
      </w:r>
      <w:r w:rsidR="00A431A3">
        <w:rPr>
          <w:rFonts w:ascii="Times New Roman" w:hAnsi="Times New Roman" w:cs="Times New Roman"/>
          <w:color w:val="000000"/>
        </w:rPr>
        <w:t xml:space="preserve"> belief/coercion mismatch</w:t>
      </w:r>
      <w:r w:rsidR="009944A7">
        <w:rPr>
          <w:rFonts w:ascii="Times New Roman" w:hAnsi="Times New Roman" w:cs="Times New Roman"/>
          <w:color w:val="000000"/>
        </w:rPr>
        <w:t xml:space="preserve"> identified above</w:t>
      </w:r>
      <w:r w:rsidR="00A04A89" w:rsidRPr="001D51B1">
        <w:rPr>
          <w:rFonts w:ascii="Times New Roman" w:hAnsi="Times New Roman" w:cs="Times New Roman"/>
          <w:color w:val="000000"/>
        </w:rPr>
        <w:t xml:space="preserve">.  </w:t>
      </w:r>
      <w:r w:rsidR="00636D6D">
        <w:rPr>
          <w:rFonts w:ascii="Times New Roman" w:hAnsi="Times New Roman" w:cs="Times New Roman"/>
          <w:color w:val="000000"/>
        </w:rPr>
        <w:t>I then</w:t>
      </w:r>
      <w:r w:rsidR="004C060D" w:rsidRPr="001D51B1">
        <w:rPr>
          <w:rFonts w:ascii="Times New Roman" w:hAnsi="Times New Roman" w:cs="Times New Roman"/>
          <w:color w:val="000000"/>
        </w:rPr>
        <w:t xml:space="preserve"> reconsider </w:t>
      </w:r>
      <w:r w:rsidR="00A431A3">
        <w:rPr>
          <w:rFonts w:ascii="Times New Roman" w:hAnsi="Times New Roman" w:cs="Times New Roman"/>
          <w:color w:val="000000"/>
        </w:rPr>
        <w:t>this</w:t>
      </w:r>
      <w:r w:rsidR="00484C5E">
        <w:rPr>
          <w:rFonts w:ascii="Times New Roman" w:hAnsi="Times New Roman" w:cs="Times New Roman"/>
          <w:color w:val="000000"/>
        </w:rPr>
        <w:t xml:space="preserve"> apparent</w:t>
      </w:r>
      <w:r w:rsidR="00A431A3">
        <w:rPr>
          <w:rFonts w:ascii="Times New Roman" w:hAnsi="Times New Roman" w:cs="Times New Roman"/>
          <w:color w:val="000000"/>
        </w:rPr>
        <w:t xml:space="preserve"> mismatch</w:t>
      </w:r>
      <w:r w:rsidR="004C060D" w:rsidRPr="001D51B1">
        <w:rPr>
          <w:rFonts w:ascii="Times New Roman" w:hAnsi="Times New Roman" w:cs="Times New Roman"/>
          <w:color w:val="000000"/>
        </w:rPr>
        <w:t xml:space="preserve"> alongside one of Locke’s ke</w:t>
      </w:r>
      <w:r w:rsidR="00211F87">
        <w:rPr>
          <w:rFonts w:ascii="Times New Roman" w:hAnsi="Times New Roman" w:cs="Times New Roman"/>
          <w:color w:val="000000"/>
        </w:rPr>
        <w:t>y</w:t>
      </w:r>
      <w:r w:rsidR="00D8492C">
        <w:rPr>
          <w:rFonts w:ascii="Times New Roman" w:hAnsi="Times New Roman" w:cs="Times New Roman"/>
          <w:color w:val="000000"/>
        </w:rPr>
        <w:t>, early</w:t>
      </w:r>
      <w:r w:rsidR="00211F87">
        <w:rPr>
          <w:rFonts w:ascii="Times New Roman" w:hAnsi="Times New Roman" w:cs="Times New Roman"/>
          <w:color w:val="000000"/>
        </w:rPr>
        <w:t xml:space="preserve"> discussions of </w:t>
      </w:r>
      <w:r w:rsidR="004C060D" w:rsidRPr="001D51B1">
        <w:rPr>
          <w:rFonts w:ascii="Times New Roman" w:hAnsi="Times New Roman" w:cs="Times New Roman"/>
          <w:color w:val="000000"/>
        </w:rPr>
        <w:t xml:space="preserve">judgment in the </w:t>
      </w:r>
      <w:r w:rsidR="004C060D" w:rsidRPr="001D51B1">
        <w:rPr>
          <w:rFonts w:ascii="Times New Roman" w:hAnsi="Times New Roman" w:cs="Times New Roman"/>
          <w:i/>
          <w:iCs/>
          <w:color w:val="000000"/>
        </w:rPr>
        <w:t>Essay</w:t>
      </w:r>
      <w:r w:rsidR="004C060D" w:rsidRPr="001D51B1">
        <w:rPr>
          <w:rFonts w:ascii="Times New Roman" w:hAnsi="Times New Roman" w:cs="Times New Roman"/>
          <w:color w:val="000000"/>
        </w:rPr>
        <w:t xml:space="preserve">, noting that </w:t>
      </w:r>
      <w:r w:rsidR="00211F87">
        <w:rPr>
          <w:rFonts w:ascii="Times New Roman" w:hAnsi="Times New Roman" w:cs="Times New Roman"/>
          <w:color w:val="000000"/>
        </w:rPr>
        <w:t>this faculty</w:t>
      </w:r>
      <w:r w:rsidR="004C060D" w:rsidRPr="001D51B1">
        <w:rPr>
          <w:rFonts w:ascii="Times New Roman" w:hAnsi="Times New Roman" w:cs="Times New Roman"/>
          <w:color w:val="000000"/>
        </w:rPr>
        <w:t xml:space="preserve"> is framed specifically in juxtaposition to </w:t>
      </w:r>
      <w:r w:rsidR="004C060D" w:rsidRPr="001D51B1">
        <w:rPr>
          <w:rFonts w:ascii="Times New Roman" w:hAnsi="Times New Roman" w:cs="Times New Roman"/>
          <w:i/>
          <w:iCs/>
          <w:color w:val="000000"/>
        </w:rPr>
        <w:t>wit</w:t>
      </w:r>
      <w:r w:rsidR="004C060D" w:rsidRPr="001D51B1">
        <w:rPr>
          <w:rFonts w:ascii="Times New Roman" w:hAnsi="Times New Roman" w:cs="Times New Roman"/>
          <w:color w:val="000000"/>
        </w:rPr>
        <w:t xml:space="preserve"> and its capacity to assemble ideas in unpredictable ways. </w:t>
      </w:r>
      <w:r w:rsidR="009944A7">
        <w:rPr>
          <w:rFonts w:ascii="Times New Roman" w:hAnsi="Times New Roman" w:cs="Times New Roman"/>
          <w:color w:val="000000"/>
        </w:rPr>
        <w:t>My</w:t>
      </w:r>
      <w:r w:rsidR="004C060D" w:rsidRPr="001D51B1">
        <w:rPr>
          <w:rFonts w:ascii="Times New Roman" w:hAnsi="Times New Roman" w:cs="Times New Roman"/>
          <w:color w:val="000000"/>
        </w:rPr>
        <w:t xml:space="preserve"> discussion reveals that (1) judgment and wit cannot be </w:t>
      </w:r>
      <w:r w:rsidR="009944A7">
        <w:rPr>
          <w:rFonts w:ascii="Times New Roman" w:hAnsi="Times New Roman" w:cs="Times New Roman"/>
          <w:color w:val="000000"/>
        </w:rPr>
        <w:t>wholly</w:t>
      </w:r>
      <w:r w:rsidR="004C060D" w:rsidRPr="001D51B1">
        <w:rPr>
          <w:rFonts w:ascii="Times New Roman" w:hAnsi="Times New Roman" w:cs="Times New Roman"/>
          <w:color w:val="000000"/>
        </w:rPr>
        <w:t xml:space="preserve"> isolated from one another</w:t>
      </w:r>
      <w:r w:rsidR="00A431A3">
        <w:rPr>
          <w:rFonts w:ascii="Times New Roman" w:hAnsi="Times New Roman" w:cs="Times New Roman"/>
          <w:color w:val="000000"/>
        </w:rPr>
        <w:t xml:space="preserve"> to render the</w:t>
      </w:r>
      <w:r w:rsidR="00211F87">
        <w:rPr>
          <w:rFonts w:ascii="Times New Roman" w:hAnsi="Times New Roman" w:cs="Times New Roman"/>
          <w:color w:val="000000"/>
        </w:rPr>
        <w:t xml:space="preserve"> narrow</w:t>
      </w:r>
      <w:r w:rsidR="00A431A3">
        <w:rPr>
          <w:rFonts w:ascii="Times New Roman" w:hAnsi="Times New Roman" w:cs="Times New Roman"/>
          <w:color w:val="000000"/>
        </w:rPr>
        <w:t xml:space="preserve"> </w:t>
      </w:r>
      <w:r w:rsidR="00211F87">
        <w:rPr>
          <w:rFonts w:ascii="Times New Roman" w:hAnsi="Times New Roman" w:cs="Times New Roman"/>
          <w:color w:val="000000"/>
        </w:rPr>
        <w:t>conception of</w:t>
      </w:r>
      <w:r w:rsidR="00A431A3">
        <w:rPr>
          <w:rFonts w:ascii="Times New Roman" w:hAnsi="Times New Roman" w:cs="Times New Roman"/>
          <w:color w:val="000000"/>
        </w:rPr>
        <w:t xml:space="preserve"> judgment</w:t>
      </w:r>
      <w:r w:rsidR="00211F87">
        <w:rPr>
          <w:rFonts w:ascii="Times New Roman" w:hAnsi="Times New Roman" w:cs="Times New Roman"/>
          <w:color w:val="000000"/>
        </w:rPr>
        <w:t xml:space="preserve"> </w:t>
      </w:r>
      <w:r w:rsidR="00636D6D">
        <w:rPr>
          <w:rFonts w:ascii="Times New Roman" w:hAnsi="Times New Roman" w:cs="Times New Roman"/>
          <w:color w:val="000000"/>
        </w:rPr>
        <w:t xml:space="preserve">implied </w:t>
      </w:r>
      <w:r w:rsidR="00CE5564">
        <w:rPr>
          <w:rFonts w:ascii="Times New Roman" w:hAnsi="Times New Roman" w:cs="Times New Roman"/>
          <w:color w:val="000000"/>
        </w:rPr>
        <w:t>above</w:t>
      </w:r>
      <w:r w:rsidR="00A431A3">
        <w:rPr>
          <w:rFonts w:ascii="Times New Roman" w:hAnsi="Times New Roman" w:cs="Times New Roman"/>
          <w:color w:val="000000"/>
        </w:rPr>
        <w:t>,</w:t>
      </w:r>
      <w:r w:rsidR="004C060D" w:rsidRPr="001D51B1">
        <w:rPr>
          <w:rFonts w:ascii="Times New Roman" w:hAnsi="Times New Roman" w:cs="Times New Roman"/>
          <w:color w:val="000000"/>
        </w:rPr>
        <w:t xml:space="preserve"> and (2) an </w:t>
      </w:r>
      <w:r w:rsidR="004C060D" w:rsidRPr="001D51B1">
        <w:rPr>
          <w:rFonts w:ascii="Times New Roman" w:hAnsi="Times New Roman" w:cs="Times New Roman"/>
          <w:i/>
          <w:iCs/>
          <w:color w:val="000000"/>
        </w:rPr>
        <w:t xml:space="preserve">ongoing process of judgment formation </w:t>
      </w:r>
      <w:r w:rsidR="004C060D" w:rsidRPr="001D51B1">
        <w:rPr>
          <w:rFonts w:ascii="Times New Roman" w:hAnsi="Times New Roman" w:cs="Times New Roman"/>
          <w:color w:val="000000"/>
        </w:rPr>
        <w:t xml:space="preserve">arising from the interplays of judgment and wit is thus necessary to Locke’s understanding of the practice of judgment. </w:t>
      </w:r>
      <w:r w:rsidR="001D51B1" w:rsidRPr="001D51B1">
        <w:rPr>
          <w:rFonts w:ascii="Times New Roman" w:hAnsi="Times New Roman" w:cs="Times New Roman"/>
        </w:rPr>
        <w:t>This</w:t>
      </w:r>
      <w:r w:rsidR="004C060D" w:rsidRPr="001D51B1">
        <w:rPr>
          <w:rFonts w:ascii="Times New Roman" w:hAnsi="Times New Roman" w:cs="Times New Roman"/>
          <w:color w:val="000000"/>
        </w:rPr>
        <w:t xml:space="preserve"> more dynamic conceptualization of “judgment formation” resists the magisterial capacity to correlate inward beliefs to </w:t>
      </w:r>
      <w:r w:rsidR="001D51B1" w:rsidRPr="001D51B1">
        <w:rPr>
          <w:rFonts w:ascii="Times New Roman" w:hAnsi="Times New Roman" w:cs="Times New Roman"/>
          <w:color w:val="000000"/>
        </w:rPr>
        <w:t xml:space="preserve">static, individuated, and </w:t>
      </w:r>
      <w:r w:rsidR="000415CA">
        <w:rPr>
          <w:rFonts w:ascii="Times New Roman" w:hAnsi="Times New Roman" w:cs="Times New Roman"/>
          <w:color w:val="000000"/>
        </w:rPr>
        <w:t>discrete</w:t>
      </w:r>
      <w:r w:rsidR="004C060D" w:rsidRPr="001D51B1">
        <w:rPr>
          <w:rFonts w:ascii="Times New Roman" w:hAnsi="Times New Roman" w:cs="Times New Roman"/>
          <w:color w:val="000000"/>
        </w:rPr>
        <w:t xml:space="preserve"> </w:t>
      </w:r>
      <w:r w:rsidR="00A431A3">
        <w:rPr>
          <w:rFonts w:ascii="Times New Roman" w:hAnsi="Times New Roman" w:cs="Times New Roman"/>
          <w:color w:val="000000"/>
        </w:rPr>
        <w:t xml:space="preserve">distillations of </w:t>
      </w:r>
      <w:r w:rsidR="009944A7">
        <w:rPr>
          <w:rFonts w:ascii="Times New Roman" w:hAnsi="Times New Roman" w:cs="Times New Roman"/>
          <w:color w:val="000000"/>
        </w:rPr>
        <w:t>religious belief</w:t>
      </w:r>
      <w:r w:rsidR="001D51B1" w:rsidRPr="001D51B1">
        <w:rPr>
          <w:rFonts w:ascii="Times New Roman" w:hAnsi="Times New Roman" w:cs="Times New Roman"/>
          <w:color w:val="000000"/>
        </w:rPr>
        <w:t xml:space="preserve">, instead suggesting that such magisterial correlations are always </w:t>
      </w:r>
      <w:r w:rsidR="00A431A3">
        <w:rPr>
          <w:rFonts w:ascii="Times New Roman" w:hAnsi="Times New Roman" w:cs="Times New Roman"/>
          <w:color w:val="000000"/>
        </w:rPr>
        <w:t>interventions into</w:t>
      </w:r>
      <w:r w:rsidR="001D51B1" w:rsidRPr="001D51B1">
        <w:rPr>
          <w:rFonts w:ascii="Times New Roman" w:hAnsi="Times New Roman" w:cs="Times New Roman"/>
          <w:color w:val="000000"/>
        </w:rPr>
        <w:t xml:space="preserve"> the interplays of judgment and wit.  </w:t>
      </w:r>
      <w:r w:rsidR="0029550D">
        <w:rPr>
          <w:rFonts w:ascii="Times New Roman" w:hAnsi="Times New Roman" w:cs="Times New Roman"/>
          <w:color w:val="000000"/>
        </w:rPr>
        <w:t>As such</w:t>
      </w:r>
      <w:r w:rsidR="001D51B1" w:rsidRPr="001D51B1">
        <w:rPr>
          <w:rFonts w:ascii="Times New Roman" w:hAnsi="Times New Roman" w:cs="Times New Roman"/>
          <w:color w:val="000000"/>
        </w:rPr>
        <w:t>, magisterial justifications for persecution and toleration should themselves be understood as attempts to</w:t>
      </w:r>
      <w:r w:rsidR="0029550D">
        <w:rPr>
          <w:rFonts w:ascii="Times New Roman" w:hAnsi="Times New Roman" w:cs="Times New Roman"/>
          <w:color w:val="000000"/>
        </w:rPr>
        <w:t xml:space="preserve"> </w:t>
      </w:r>
      <w:r w:rsidR="001D51B1" w:rsidRPr="001D51B1">
        <w:rPr>
          <w:rFonts w:ascii="Times New Roman" w:hAnsi="Times New Roman" w:cs="Times New Roman"/>
          <w:color w:val="000000"/>
        </w:rPr>
        <w:t xml:space="preserve">settle </w:t>
      </w:r>
      <w:r w:rsidR="001D51B1" w:rsidRPr="00F05993">
        <w:rPr>
          <w:rFonts w:ascii="Times New Roman" w:hAnsi="Times New Roman" w:cs="Times New Roman"/>
          <w:color w:val="000000"/>
        </w:rPr>
        <w:t>how</w:t>
      </w:r>
      <w:r w:rsidR="009944A7">
        <w:rPr>
          <w:rFonts w:ascii="Times New Roman" w:hAnsi="Times New Roman" w:cs="Times New Roman"/>
          <w:color w:val="000000"/>
        </w:rPr>
        <w:t xml:space="preserve"> </w:t>
      </w:r>
      <w:r w:rsidR="001D51B1" w:rsidRPr="00F05993">
        <w:rPr>
          <w:rFonts w:ascii="Times New Roman" w:hAnsi="Times New Roman" w:cs="Times New Roman"/>
          <w:color w:val="000000"/>
        </w:rPr>
        <w:t xml:space="preserve">judgment is </w:t>
      </w:r>
      <w:r w:rsidR="00CE5564">
        <w:rPr>
          <w:rFonts w:ascii="Times New Roman" w:hAnsi="Times New Roman" w:cs="Times New Roman"/>
          <w:color w:val="000000"/>
        </w:rPr>
        <w:t>taken</w:t>
      </w:r>
      <w:r w:rsidR="001D51B1" w:rsidRPr="00F05993">
        <w:rPr>
          <w:rFonts w:ascii="Times New Roman" w:hAnsi="Times New Roman" w:cs="Times New Roman"/>
          <w:color w:val="000000"/>
        </w:rPr>
        <w:t xml:space="preserve"> to be practiced</w:t>
      </w:r>
      <w:r w:rsidR="002405C6">
        <w:rPr>
          <w:rFonts w:ascii="Times New Roman" w:hAnsi="Times New Roman" w:cs="Times New Roman"/>
          <w:color w:val="000000"/>
        </w:rPr>
        <w:t xml:space="preserve">, </w:t>
      </w:r>
      <w:r w:rsidR="002405C6" w:rsidRPr="00F05993">
        <w:rPr>
          <w:rFonts w:ascii="Times New Roman" w:hAnsi="Times New Roman" w:cs="Times New Roman"/>
          <w:color w:val="000000"/>
        </w:rPr>
        <w:t xml:space="preserve">and should </w:t>
      </w:r>
      <w:r w:rsidR="002405C6">
        <w:rPr>
          <w:rFonts w:ascii="Times New Roman" w:hAnsi="Times New Roman" w:cs="Times New Roman"/>
          <w:color w:val="000000"/>
        </w:rPr>
        <w:t>thus</w:t>
      </w:r>
      <w:r w:rsidR="002405C6" w:rsidRPr="00F05993">
        <w:rPr>
          <w:rFonts w:ascii="Times New Roman" w:hAnsi="Times New Roman" w:cs="Times New Roman"/>
          <w:color w:val="000000"/>
        </w:rPr>
        <w:t xml:space="preserve"> direct our attention to Locke’s various </w:t>
      </w:r>
      <w:r w:rsidR="00E760F5">
        <w:rPr>
          <w:rFonts w:ascii="Times New Roman" w:hAnsi="Times New Roman" w:cs="Times New Roman"/>
          <w:color w:val="000000"/>
        </w:rPr>
        <w:t>engagements with questions concerning</w:t>
      </w:r>
      <w:r w:rsidR="002405C6" w:rsidRPr="00F05993">
        <w:rPr>
          <w:rFonts w:ascii="Times New Roman" w:hAnsi="Times New Roman" w:cs="Times New Roman"/>
          <w:color w:val="000000"/>
        </w:rPr>
        <w:t xml:space="preserve"> </w:t>
      </w:r>
      <w:r w:rsidR="002405C6" w:rsidRPr="00F05993">
        <w:rPr>
          <w:rFonts w:ascii="Times New Roman" w:hAnsi="Times New Roman" w:cs="Times New Roman"/>
          <w:i/>
          <w:iCs/>
          <w:color w:val="000000"/>
        </w:rPr>
        <w:t xml:space="preserve">how </w:t>
      </w:r>
      <w:r w:rsidR="009944A7">
        <w:rPr>
          <w:rFonts w:ascii="Times New Roman" w:hAnsi="Times New Roman" w:cs="Times New Roman"/>
          <w:color w:val="000000"/>
        </w:rPr>
        <w:t>one</w:t>
      </w:r>
      <w:r w:rsidR="002405C6">
        <w:rPr>
          <w:rFonts w:ascii="Times New Roman" w:hAnsi="Times New Roman" w:cs="Times New Roman"/>
          <w:color w:val="000000"/>
        </w:rPr>
        <w:t xml:space="preserve"> come</w:t>
      </w:r>
      <w:r w:rsidR="009944A7">
        <w:rPr>
          <w:rFonts w:ascii="Times New Roman" w:hAnsi="Times New Roman" w:cs="Times New Roman"/>
          <w:color w:val="000000"/>
        </w:rPr>
        <w:t>s</w:t>
      </w:r>
      <w:r w:rsidR="002405C6">
        <w:rPr>
          <w:rFonts w:ascii="Times New Roman" w:hAnsi="Times New Roman" w:cs="Times New Roman"/>
          <w:color w:val="000000"/>
        </w:rPr>
        <w:t xml:space="preserve"> to</w:t>
      </w:r>
      <w:r w:rsidR="002405C6" w:rsidRPr="00F05993">
        <w:rPr>
          <w:rFonts w:ascii="Times New Roman" w:hAnsi="Times New Roman" w:cs="Times New Roman"/>
          <w:color w:val="000000"/>
        </w:rPr>
        <w:t xml:space="preserve"> </w:t>
      </w:r>
      <w:r w:rsidR="002405C6">
        <w:rPr>
          <w:rFonts w:ascii="Times New Roman" w:hAnsi="Times New Roman" w:cs="Times New Roman"/>
          <w:color w:val="000000"/>
        </w:rPr>
        <w:t>recognize—</w:t>
      </w:r>
      <w:r w:rsidR="002405C6" w:rsidRPr="00F05993">
        <w:rPr>
          <w:rFonts w:ascii="Times New Roman" w:hAnsi="Times New Roman" w:cs="Times New Roman"/>
          <w:color w:val="000000"/>
        </w:rPr>
        <w:t xml:space="preserve">or, put more </w:t>
      </w:r>
      <w:r w:rsidR="008C38D5">
        <w:rPr>
          <w:rFonts w:ascii="Times New Roman" w:hAnsi="Times New Roman" w:cs="Times New Roman"/>
          <w:color w:val="000000"/>
        </w:rPr>
        <w:t>bluntly,</w:t>
      </w:r>
      <w:r w:rsidR="002405C6">
        <w:rPr>
          <w:rFonts w:ascii="Times New Roman" w:hAnsi="Times New Roman" w:cs="Times New Roman"/>
          <w:color w:val="000000"/>
        </w:rPr>
        <w:t xml:space="preserve"> to judge—</w:t>
      </w:r>
      <w:r w:rsidR="00B11FBA">
        <w:rPr>
          <w:rFonts w:ascii="Times New Roman" w:hAnsi="Times New Roman" w:cs="Times New Roman"/>
          <w:color w:val="000000"/>
        </w:rPr>
        <w:t>the operation of wit and judgment</w:t>
      </w:r>
      <w:r w:rsidR="008D1696">
        <w:rPr>
          <w:rFonts w:ascii="Times New Roman" w:hAnsi="Times New Roman" w:cs="Times New Roman"/>
          <w:color w:val="000000"/>
        </w:rPr>
        <w:t xml:space="preserve"> </w:t>
      </w:r>
      <w:r w:rsidR="009944A7">
        <w:rPr>
          <w:rFonts w:ascii="Times New Roman" w:hAnsi="Times New Roman" w:cs="Times New Roman"/>
          <w:color w:val="000000"/>
        </w:rPr>
        <w:t xml:space="preserve">in the context of </w:t>
      </w:r>
      <w:r w:rsidR="008D1696">
        <w:rPr>
          <w:rFonts w:ascii="Times New Roman" w:hAnsi="Times New Roman" w:cs="Times New Roman"/>
          <w:color w:val="000000"/>
        </w:rPr>
        <w:t>religious belief and its possible amenability to coercion</w:t>
      </w:r>
      <w:r w:rsidR="002405C6" w:rsidRPr="00F05993">
        <w:rPr>
          <w:rFonts w:ascii="Times New Roman" w:hAnsi="Times New Roman" w:cs="Times New Roman"/>
          <w:color w:val="000000"/>
        </w:rPr>
        <w:t>.</w:t>
      </w:r>
      <w:r w:rsidR="0029550D">
        <w:rPr>
          <w:rFonts w:ascii="Times New Roman" w:hAnsi="Times New Roman" w:cs="Times New Roman"/>
          <w:color w:val="000000"/>
        </w:rPr>
        <w:t xml:space="preserve">  Given the need to account for this dimension of the </w:t>
      </w:r>
      <w:r w:rsidR="0029550D">
        <w:rPr>
          <w:rFonts w:ascii="Times New Roman" w:hAnsi="Times New Roman" w:cs="Times New Roman"/>
          <w:i/>
          <w:color w:val="000000"/>
        </w:rPr>
        <w:t>Letter</w:t>
      </w:r>
      <w:r w:rsidR="0029550D">
        <w:rPr>
          <w:rFonts w:ascii="Times New Roman" w:hAnsi="Times New Roman" w:cs="Times New Roman"/>
          <w:color w:val="000000"/>
        </w:rPr>
        <w:t xml:space="preserve">, </w:t>
      </w:r>
      <w:r w:rsidR="0029550D">
        <w:rPr>
          <w:rFonts w:ascii="Times New Roman" w:hAnsi="Times New Roman" w:cs="Times New Roman"/>
          <w:color w:val="000000"/>
        </w:rPr>
        <w:lastRenderedPageBreak/>
        <w:t xml:space="preserve">I conclude </w:t>
      </w:r>
      <w:r w:rsidR="00484C5E">
        <w:rPr>
          <w:rFonts w:ascii="Times New Roman" w:hAnsi="Times New Roman" w:cs="Times New Roman"/>
          <w:color w:val="000000"/>
        </w:rPr>
        <w:t xml:space="preserve">by considering the hermeneutical implications of </w:t>
      </w:r>
      <w:r w:rsidR="00E760F5">
        <w:rPr>
          <w:rFonts w:ascii="Times New Roman" w:hAnsi="Times New Roman" w:cs="Times New Roman"/>
          <w:color w:val="000000"/>
        </w:rPr>
        <w:t xml:space="preserve">a more dynamic notion of Lockean judgment </w:t>
      </w:r>
      <w:r w:rsidR="00F05993" w:rsidRPr="00F05993">
        <w:rPr>
          <w:rFonts w:ascii="Times New Roman" w:hAnsi="Times New Roman" w:cs="Times New Roman"/>
          <w:color w:val="000000"/>
        </w:rPr>
        <w:t xml:space="preserve">for </w:t>
      </w:r>
      <w:r w:rsidR="002059D8">
        <w:rPr>
          <w:rFonts w:ascii="Times New Roman" w:hAnsi="Times New Roman" w:cs="Times New Roman"/>
          <w:color w:val="000000"/>
        </w:rPr>
        <w:t>understanding and challenging the text’s</w:t>
      </w:r>
      <w:r w:rsidR="00F05993" w:rsidRPr="00F05993">
        <w:rPr>
          <w:rFonts w:ascii="Times New Roman" w:hAnsi="Times New Roman" w:cs="Times New Roman"/>
          <w:color w:val="000000"/>
        </w:rPr>
        <w:t xml:space="preserve"> correlations of</w:t>
      </w:r>
      <w:r w:rsidR="001D51B1" w:rsidRPr="00F05993">
        <w:rPr>
          <w:rFonts w:ascii="Times New Roman" w:hAnsi="Times New Roman" w:cs="Times New Roman"/>
          <w:color w:val="000000"/>
        </w:rPr>
        <w:t xml:space="preserve"> certain </w:t>
      </w:r>
      <w:r w:rsidR="004C060D" w:rsidRPr="00F05993">
        <w:rPr>
          <w:rFonts w:ascii="Times New Roman" w:hAnsi="Times New Roman" w:cs="Times New Roman"/>
          <w:color w:val="000000"/>
        </w:rPr>
        <w:t>external spaces, events, and practices with knowledge claims regardi</w:t>
      </w:r>
      <w:r w:rsidR="001D51B1" w:rsidRPr="00F05993">
        <w:rPr>
          <w:rFonts w:ascii="Times New Roman" w:hAnsi="Times New Roman" w:cs="Times New Roman"/>
          <w:color w:val="000000"/>
        </w:rPr>
        <w:t xml:space="preserve">ng which internal beliefs </w:t>
      </w:r>
      <w:r w:rsidR="004C060D" w:rsidRPr="00F05993">
        <w:rPr>
          <w:rFonts w:ascii="Times New Roman" w:hAnsi="Times New Roman" w:cs="Times New Roman"/>
          <w:color w:val="000000"/>
        </w:rPr>
        <w:t xml:space="preserve">subjects </w:t>
      </w:r>
      <w:r w:rsidR="008E695C">
        <w:rPr>
          <w:rFonts w:ascii="Times New Roman" w:hAnsi="Times New Roman" w:cs="Times New Roman"/>
          <w:color w:val="000000"/>
        </w:rPr>
        <w:t>can (and do) adopt</w:t>
      </w:r>
      <w:r w:rsidR="004C060D" w:rsidRPr="00F05993">
        <w:rPr>
          <w:rFonts w:ascii="Times New Roman" w:hAnsi="Times New Roman" w:cs="Times New Roman"/>
          <w:color w:val="000000"/>
        </w:rPr>
        <w:t>.</w:t>
      </w:r>
    </w:p>
    <w:p w14:paraId="37BA5D87" w14:textId="77777777" w:rsidR="00831F72" w:rsidRDefault="00831F72" w:rsidP="00417A96">
      <w:pPr>
        <w:pStyle w:val="NoSpacing"/>
        <w:spacing w:line="480" w:lineRule="auto"/>
        <w:rPr>
          <w:rFonts w:ascii="Times New Roman" w:hAnsi="Times New Roman" w:cs="Times New Roman"/>
          <w:sz w:val="24"/>
          <w:szCs w:val="24"/>
        </w:rPr>
      </w:pPr>
    </w:p>
    <w:p w14:paraId="4800BD44" w14:textId="1BD213C2" w:rsidR="003B79CB" w:rsidRPr="003A5A68" w:rsidRDefault="00831F72" w:rsidP="00831F72">
      <w:pPr>
        <w:pStyle w:val="NoSpacing"/>
        <w:rPr>
          <w:rFonts w:ascii="Times New Roman" w:hAnsi="Times New Roman" w:cs="Times New Roman"/>
          <w:b/>
          <w:i/>
        </w:rPr>
      </w:pPr>
      <w:r w:rsidRPr="00831F72">
        <w:rPr>
          <w:rFonts w:ascii="Times New Roman" w:hAnsi="Times New Roman" w:cs="Times New Roman"/>
          <w:b/>
        </w:rPr>
        <w:t>I.</w:t>
      </w:r>
      <w:r>
        <w:rPr>
          <w:rFonts w:ascii="Times New Roman" w:hAnsi="Times New Roman" w:cs="Times New Roman"/>
          <w:b/>
        </w:rPr>
        <w:t xml:space="preserve"> </w:t>
      </w:r>
      <w:r w:rsidR="000B44F2">
        <w:rPr>
          <w:rFonts w:ascii="Times New Roman" w:hAnsi="Times New Roman" w:cs="Times New Roman"/>
          <w:b/>
        </w:rPr>
        <w:t xml:space="preserve"> </w:t>
      </w:r>
      <w:r w:rsidR="00D56630">
        <w:rPr>
          <w:rFonts w:ascii="Times New Roman" w:hAnsi="Times New Roman" w:cs="Times New Roman"/>
          <w:b/>
        </w:rPr>
        <w:t>Refuting</w:t>
      </w:r>
      <w:r w:rsidR="003A5A68">
        <w:rPr>
          <w:rFonts w:ascii="Times New Roman" w:hAnsi="Times New Roman" w:cs="Times New Roman"/>
          <w:b/>
        </w:rPr>
        <w:t xml:space="preserve"> Locke: The Belief/Coercion Mismatch in the </w:t>
      </w:r>
      <w:r w:rsidR="003A5A68">
        <w:rPr>
          <w:rFonts w:ascii="Times New Roman" w:hAnsi="Times New Roman" w:cs="Times New Roman"/>
          <w:b/>
          <w:i/>
        </w:rPr>
        <w:t>Letter</w:t>
      </w:r>
    </w:p>
    <w:p w14:paraId="18DB855C" w14:textId="77777777" w:rsidR="00F75067" w:rsidRDefault="00F75067" w:rsidP="00F75067">
      <w:pPr>
        <w:pStyle w:val="NoSpacing"/>
        <w:rPr>
          <w:rFonts w:ascii="Times New Roman" w:hAnsi="Times New Roman" w:cs="Times New Roman"/>
          <w:b/>
          <w:sz w:val="24"/>
          <w:szCs w:val="24"/>
        </w:rPr>
      </w:pPr>
    </w:p>
    <w:p w14:paraId="2F9FF9DC" w14:textId="6E2EBA05" w:rsidR="00D3203E" w:rsidRDefault="00D3203E" w:rsidP="006B5803">
      <w:pPr>
        <w:pStyle w:val="NoSpacing"/>
        <w:spacing w:line="480" w:lineRule="auto"/>
        <w:ind w:firstLine="720"/>
        <w:rPr>
          <w:rFonts w:ascii="Times New Roman" w:hAnsi="Times New Roman"/>
        </w:rPr>
      </w:pPr>
      <w:r>
        <w:rPr>
          <w:rFonts w:ascii="Times New Roman" w:hAnsi="Times New Roman"/>
        </w:rPr>
        <w:t>At first glance, it appear</w:t>
      </w:r>
      <w:r w:rsidR="00525C07">
        <w:rPr>
          <w:rFonts w:ascii="Times New Roman" w:hAnsi="Times New Roman"/>
        </w:rPr>
        <w:t>s</w:t>
      </w:r>
      <w:r>
        <w:rPr>
          <w:rFonts w:ascii="Times New Roman" w:hAnsi="Times New Roman"/>
        </w:rPr>
        <w:t xml:space="preserve"> that Locke</w:t>
      </w:r>
      <w:r w:rsidR="00A924CA">
        <w:rPr>
          <w:rFonts w:ascii="Times New Roman" w:hAnsi="Times New Roman"/>
        </w:rPr>
        <w:t xml:space="preserve">’s </w:t>
      </w:r>
      <w:r w:rsidR="00A924CA">
        <w:rPr>
          <w:rFonts w:ascii="Times New Roman" w:hAnsi="Times New Roman"/>
          <w:i/>
        </w:rPr>
        <w:t>Letter</w:t>
      </w:r>
      <w:r>
        <w:rPr>
          <w:rFonts w:ascii="Times New Roman" w:hAnsi="Times New Roman"/>
        </w:rPr>
        <w:t xml:space="preserve"> maintains a neat distinction between the </w:t>
      </w:r>
      <w:r w:rsidR="00D27E3B">
        <w:rPr>
          <w:rFonts w:ascii="Times New Roman" w:hAnsi="Times New Roman"/>
        </w:rPr>
        <w:t xml:space="preserve">things </w:t>
      </w:r>
      <w:r w:rsidR="00A924CA">
        <w:rPr>
          <w:rFonts w:ascii="Times New Roman" w:hAnsi="Times New Roman"/>
        </w:rPr>
        <w:t>outward and inward</w:t>
      </w:r>
      <w:r w:rsidR="002D2A88">
        <w:rPr>
          <w:rFonts w:ascii="Times New Roman" w:hAnsi="Times New Roman"/>
        </w:rPr>
        <w:t>:</w:t>
      </w:r>
      <w:r>
        <w:rPr>
          <w:rFonts w:ascii="Times New Roman" w:hAnsi="Times New Roman"/>
        </w:rPr>
        <w:t xml:space="preserve"> the “Civil Interest” encapsulates “Life, Liberty, Health, and Indolency of Body; and the Possession of </w:t>
      </w:r>
      <w:r w:rsidRPr="00A924CA">
        <w:rPr>
          <w:rFonts w:ascii="Times New Roman" w:hAnsi="Times New Roman"/>
        </w:rPr>
        <w:t>outward</w:t>
      </w:r>
      <w:r>
        <w:rPr>
          <w:rFonts w:ascii="Times New Roman" w:hAnsi="Times New Roman"/>
        </w:rPr>
        <w:t xml:space="preserve"> things, such as Money, Lands, Houses, Furniture, and the like” while “All the Life and Power of true Religion consists in the </w:t>
      </w:r>
      <w:r w:rsidRPr="00A924CA">
        <w:rPr>
          <w:rFonts w:ascii="Times New Roman" w:hAnsi="Times New Roman"/>
        </w:rPr>
        <w:t>inward</w:t>
      </w:r>
      <w:r>
        <w:rPr>
          <w:rFonts w:ascii="Times New Roman" w:hAnsi="Times New Roman"/>
        </w:rPr>
        <w:t xml:space="preserve"> and full perswasion of the mind.”</w:t>
      </w:r>
      <w:r>
        <w:rPr>
          <w:rStyle w:val="FootnoteReference"/>
        </w:rPr>
        <w:footnoteReference w:id="3"/>
      </w:r>
      <w:r>
        <w:rPr>
          <w:rFonts w:ascii="Times New Roman" w:hAnsi="Times New Roman"/>
        </w:rPr>
        <w:t xml:space="preserve">  Differentiating the security of outward things as the magistrate’s concern from the inward “salvation of the soul,” it first appears that Locke leav</w:t>
      </w:r>
      <w:r w:rsidR="00B15B89">
        <w:rPr>
          <w:rFonts w:ascii="Times New Roman" w:hAnsi="Times New Roman"/>
        </w:rPr>
        <w:t xml:space="preserve">es all matters of “inward Judgment” </w:t>
      </w:r>
      <w:r>
        <w:rPr>
          <w:rFonts w:ascii="Times New Roman" w:hAnsi="Times New Roman"/>
        </w:rPr>
        <w:t>indisputably outside the magistrate’s reach:</w:t>
      </w:r>
      <w:r w:rsidR="006B5803">
        <w:rPr>
          <w:rFonts w:ascii="Times New Roman" w:hAnsi="Times New Roman"/>
        </w:rPr>
        <w:t xml:space="preserve"> “</w:t>
      </w:r>
      <w:r>
        <w:rPr>
          <w:rFonts w:ascii="Times New Roman" w:hAnsi="Times New Roman"/>
        </w:rPr>
        <w:t>The Care of souls cannot belong to the Civil Magistrate, because his Power consists only in outward force</w:t>
      </w:r>
      <w:r w:rsidR="006D6C35">
        <w:rPr>
          <w:rFonts w:ascii="Times New Roman" w:hAnsi="Times New Roman"/>
        </w:rPr>
        <w:t>…</w:t>
      </w:r>
      <w:r>
        <w:rPr>
          <w:rFonts w:ascii="Times New Roman" w:hAnsi="Times New Roman"/>
        </w:rPr>
        <w:t xml:space="preserve">Confiscation of Estate, Imprisonment, Torments, nothing of that Nature can have any such Efficacy as to make Men change the </w:t>
      </w:r>
      <w:r w:rsidRPr="00B15B89">
        <w:rPr>
          <w:rFonts w:ascii="Times New Roman" w:hAnsi="Times New Roman"/>
          <w:i/>
        </w:rPr>
        <w:t>inward Judgment</w:t>
      </w:r>
      <w:r>
        <w:rPr>
          <w:rFonts w:ascii="Times New Roman" w:hAnsi="Times New Roman"/>
        </w:rPr>
        <w:t xml:space="preserve"> that they have framed of things.</w:t>
      </w:r>
      <w:r w:rsidR="006B5803">
        <w:rPr>
          <w:rFonts w:ascii="Times New Roman" w:hAnsi="Times New Roman"/>
        </w:rPr>
        <w:t>”</w:t>
      </w:r>
      <w:r>
        <w:rPr>
          <w:rStyle w:val="FootnoteReference"/>
        </w:rPr>
        <w:footnoteReference w:id="4"/>
      </w:r>
      <w:r w:rsidR="006B5803">
        <w:rPr>
          <w:rFonts w:ascii="Times New Roman" w:hAnsi="Times New Roman"/>
        </w:rPr>
        <w:t xml:space="preserve"> </w:t>
      </w:r>
      <w:r>
        <w:rPr>
          <w:rFonts w:ascii="Times New Roman" w:hAnsi="Times New Roman"/>
        </w:rPr>
        <w:t xml:space="preserve">We </w:t>
      </w:r>
      <w:r w:rsidR="00B15B89">
        <w:rPr>
          <w:rFonts w:ascii="Times New Roman" w:hAnsi="Times New Roman"/>
        </w:rPr>
        <w:t xml:space="preserve">can </w:t>
      </w:r>
      <w:r>
        <w:rPr>
          <w:rFonts w:ascii="Times New Roman" w:hAnsi="Times New Roman"/>
        </w:rPr>
        <w:t xml:space="preserve">imagine </w:t>
      </w:r>
      <w:r w:rsidR="00347D5C">
        <w:rPr>
          <w:rFonts w:ascii="Times New Roman" w:hAnsi="Times New Roman"/>
        </w:rPr>
        <w:t>certain</w:t>
      </w:r>
      <w:r>
        <w:rPr>
          <w:rFonts w:ascii="Times New Roman" w:hAnsi="Times New Roman"/>
        </w:rPr>
        <w:t xml:space="preserve"> </w:t>
      </w:r>
      <w:r w:rsidR="00A924CA">
        <w:rPr>
          <w:rFonts w:ascii="Times New Roman" w:hAnsi="Times New Roman"/>
        </w:rPr>
        <w:t>clear-cut</w:t>
      </w:r>
      <w:r>
        <w:rPr>
          <w:rFonts w:ascii="Times New Roman" w:hAnsi="Times New Roman"/>
        </w:rPr>
        <w:t xml:space="preserve"> situations for why such a neat</w:t>
      </w:r>
      <w:r w:rsidR="00347D5C">
        <w:rPr>
          <w:rFonts w:ascii="Times New Roman" w:hAnsi="Times New Roman"/>
        </w:rPr>
        <w:t xml:space="preserve"> division should make sense:</w:t>
      </w:r>
      <w:r>
        <w:rPr>
          <w:rFonts w:ascii="Times New Roman" w:hAnsi="Times New Roman"/>
        </w:rPr>
        <w:t xml:space="preserve"> </w:t>
      </w:r>
      <w:r w:rsidR="00A924CA">
        <w:rPr>
          <w:rFonts w:ascii="Times New Roman" w:hAnsi="Times New Roman"/>
        </w:rPr>
        <w:t xml:space="preserve">a law banning some </w:t>
      </w:r>
      <w:r>
        <w:rPr>
          <w:rFonts w:ascii="Times New Roman" w:hAnsi="Times New Roman"/>
        </w:rPr>
        <w:t xml:space="preserve">belief </w:t>
      </w:r>
      <w:r w:rsidR="004E137C">
        <w:rPr>
          <w:rFonts w:ascii="Times New Roman" w:hAnsi="Times New Roman"/>
        </w:rPr>
        <w:t>cannot be expected</w:t>
      </w:r>
      <w:r>
        <w:rPr>
          <w:rFonts w:ascii="Times New Roman" w:hAnsi="Times New Roman"/>
        </w:rPr>
        <w:t xml:space="preserve"> to actually produce (or change) </w:t>
      </w:r>
      <w:r w:rsidR="00347D5C">
        <w:rPr>
          <w:rFonts w:ascii="Times New Roman" w:hAnsi="Times New Roman"/>
        </w:rPr>
        <w:t>the “inward J</w:t>
      </w:r>
      <w:r w:rsidR="00B15B89">
        <w:rPr>
          <w:rFonts w:ascii="Times New Roman" w:hAnsi="Times New Roman"/>
        </w:rPr>
        <w:t>udgment</w:t>
      </w:r>
      <w:r w:rsidR="00347D5C">
        <w:rPr>
          <w:rFonts w:ascii="Times New Roman" w:hAnsi="Times New Roman"/>
        </w:rPr>
        <w:t>”</w:t>
      </w:r>
      <w:r w:rsidR="00B15B89">
        <w:rPr>
          <w:rFonts w:ascii="Times New Roman" w:hAnsi="Times New Roman"/>
        </w:rPr>
        <w:t xml:space="preserve"> of subjects</w:t>
      </w:r>
      <w:r>
        <w:rPr>
          <w:rFonts w:ascii="Times New Roman" w:hAnsi="Times New Roman"/>
        </w:rPr>
        <w:t>.  This is the case</w:t>
      </w:r>
      <w:r w:rsidR="00564651">
        <w:rPr>
          <w:rFonts w:ascii="Times New Roman" w:hAnsi="Times New Roman"/>
        </w:rPr>
        <w:t xml:space="preserve"> because such a law</w:t>
      </w:r>
      <w:r w:rsidR="002D2A88">
        <w:rPr>
          <w:rFonts w:ascii="Times New Roman" w:hAnsi="Times New Roman"/>
        </w:rPr>
        <w:t xml:space="preserve"> both</w:t>
      </w:r>
      <w:r w:rsidR="00564651">
        <w:rPr>
          <w:rFonts w:ascii="Times New Roman" w:hAnsi="Times New Roman"/>
        </w:rPr>
        <w:t xml:space="preserve"> does not</w:t>
      </w:r>
      <w:r>
        <w:rPr>
          <w:rFonts w:ascii="Times New Roman" w:hAnsi="Times New Roman"/>
        </w:rPr>
        <w:t xml:space="preserve"> work on the regist</w:t>
      </w:r>
      <w:r w:rsidR="00347D5C">
        <w:rPr>
          <w:rFonts w:ascii="Times New Roman" w:hAnsi="Times New Roman"/>
        </w:rPr>
        <w:t>er of “perwasion,” and because</w:t>
      </w:r>
      <w:r w:rsidR="00564651">
        <w:rPr>
          <w:rFonts w:ascii="Times New Roman" w:hAnsi="Times New Roman"/>
        </w:rPr>
        <w:t xml:space="preserve"> even if</w:t>
      </w:r>
      <w:r>
        <w:rPr>
          <w:rFonts w:ascii="Times New Roman" w:hAnsi="Times New Roman"/>
        </w:rPr>
        <w:t xml:space="preserve"> the magistrate did add imprisonments, torments, etc., to his methods of “outward force,” at best this could only convince subjects to feign (outward) acceptance of the </w:t>
      </w:r>
      <w:r w:rsidR="00564651">
        <w:rPr>
          <w:rFonts w:ascii="Times New Roman" w:hAnsi="Times New Roman"/>
        </w:rPr>
        <w:t xml:space="preserve">law </w:t>
      </w:r>
      <w:r>
        <w:rPr>
          <w:rFonts w:ascii="Times New Roman" w:hAnsi="Times New Roman"/>
        </w:rPr>
        <w:t xml:space="preserve">but would not bring about the sort of </w:t>
      </w:r>
      <w:r w:rsidR="00525C07">
        <w:rPr>
          <w:rFonts w:ascii="Times New Roman" w:hAnsi="Times New Roman"/>
        </w:rPr>
        <w:t xml:space="preserve">sincere </w:t>
      </w:r>
      <w:r>
        <w:rPr>
          <w:rFonts w:ascii="Times New Roman" w:hAnsi="Times New Roman"/>
        </w:rPr>
        <w:t>“inward” change “acceptable to God.”</w:t>
      </w:r>
      <w:r w:rsidR="00525C07">
        <w:rPr>
          <w:rStyle w:val="FootnoteReference"/>
        </w:rPr>
        <w:footnoteReference w:id="5"/>
      </w:r>
    </w:p>
    <w:p w14:paraId="16716693" w14:textId="5415E7EE" w:rsidR="00994937" w:rsidRDefault="00D3203E" w:rsidP="00D3203E">
      <w:pPr>
        <w:pStyle w:val="NoSpacing"/>
        <w:spacing w:line="480" w:lineRule="auto"/>
        <w:rPr>
          <w:rFonts w:ascii="Times New Roman" w:hAnsi="Times New Roman"/>
        </w:rPr>
      </w:pPr>
      <w:r>
        <w:rPr>
          <w:rFonts w:ascii="Times New Roman" w:hAnsi="Times New Roman"/>
        </w:rPr>
        <w:tab/>
        <w:t xml:space="preserve">While </w:t>
      </w:r>
      <w:r w:rsidR="00364B5F">
        <w:rPr>
          <w:rFonts w:ascii="Times New Roman" w:hAnsi="Times New Roman"/>
        </w:rPr>
        <w:t>with</w:t>
      </w:r>
      <w:r>
        <w:rPr>
          <w:rFonts w:ascii="Times New Roman" w:hAnsi="Times New Roman"/>
        </w:rPr>
        <w:t xml:space="preserve"> the </w:t>
      </w:r>
      <w:r w:rsidR="00347D5C">
        <w:rPr>
          <w:rFonts w:ascii="Times New Roman" w:hAnsi="Times New Roman"/>
        </w:rPr>
        <w:t>latter</w:t>
      </w:r>
      <w:r>
        <w:rPr>
          <w:rFonts w:ascii="Times New Roman" w:hAnsi="Times New Roman"/>
        </w:rPr>
        <w:t xml:space="preserve"> case the magistrate still does not gain access (</w:t>
      </w:r>
      <w:r w:rsidR="00FD15EC">
        <w:rPr>
          <w:rFonts w:ascii="Times New Roman" w:hAnsi="Times New Roman"/>
        </w:rPr>
        <w:t>via</w:t>
      </w:r>
      <w:r>
        <w:rPr>
          <w:rFonts w:ascii="Times New Roman" w:hAnsi="Times New Roman"/>
        </w:rPr>
        <w:t xml:space="preserve"> coercive means) into his subjects’ inward states, the example itself does introduce potential complications that we see Locke </w:t>
      </w:r>
      <w:r>
        <w:rPr>
          <w:rFonts w:ascii="Times New Roman" w:hAnsi="Times New Roman"/>
        </w:rPr>
        <w:lastRenderedPageBreak/>
        <w:t xml:space="preserve">engage throughout the </w:t>
      </w:r>
      <w:r>
        <w:rPr>
          <w:rFonts w:ascii="Times New Roman" w:hAnsi="Times New Roman"/>
          <w:i/>
        </w:rPr>
        <w:t>Letter</w:t>
      </w:r>
      <w:r>
        <w:rPr>
          <w:rFonts w:ascii="Times New Roman" w:hAnsi="Times New Roman"/>
        </w:rPr>
        <w:t xml:space="preserve">.  </w:t>
      </w:r>
      <w:r w:rsidR="00636D6D">
        <w:rPr>
          <w:rFonts w:ascii="Times New Roman" w:hAnsi="Times New Roman"/>
        </w:rPr>
        <w:t>E</w:t>
      </w:r>
      <w:r>
        <w:rPr>
          <w:rFonts w:ascii="Times New Roman" w:hAnsi="Times New Roman"/>
        </w:rPr>
        <w:t xml:space="preserve">ven as he </w:t>
      </w:r>
      <w:r w:rsidR="009E0DD4">
        <w:rPr>
          <w:rFonts w:ascii="Times New Roman" w:hAnsi="Times New Roman"/>
        </w:rPr>
        <w:t>is</w:t>
      </w:r>
      <w:r>
        <w:rPr>
          <w:rFonts w:ascii="Times New Roman" w:hAnsi="Times New Roman"/>
        </w:rPr>
        <w:t xml:space="preserve"> unable to access inward </w:t>
      </w:r>
      <w:r w:rsidR="008254BA">
        <w:rPr>
          <w:rFonts w:ascii="Times New Roman" w:hAnsi="Times New Roman"/>
        </w:rPr>
        <w:t>judgments</w:t>
      </w:r>
      <w:r>
        <w:rPr>
          <w:rFonts w:ascii="Times New Roman" w:hAnsi="Times New Roman"/>
        </w:rPr>
        <w:t xml:space="preserve">, </w:t>
      </w:r>
      <w:r w:rsidR="00636D6D">
        <w:rPr>
          <w:rFonts w:ascii="Times New Roman" w:hAnsi="Times New Roman"/>
        </w:rPr>
        <w:t xml:space="preserve">the magistrate </w:t>
      </w:r>
      <w:r>
        <w:rPr>
          <w:rFonts w:ascii="Times New Roman" w:hAnsi="Times New Roman"/>
        </w:rPr>
        <w:t xml:space="preserve">still </w:t>
      </w:r>
      <w:r>
        <w:rPr>
          <w:rFonts w:ascii="Times New Roman" w:hAnsi="Times New Roman"/>
          <w:i/>
        </w:rPr>
        <w:t>can</w:t>
      </w:r>
      <w:r>
        <w:rPr>
          <w:rFonts w:ascii="Times New Roman" w:hAnsi="Times New Roman"/>
        </w:rPr>
        <w:t xml:space="preserve"> </w:t>
      </w:r>
      <w:r w:rsidR="007817F2">
        <w:rPr>
          <w:rFonts w:ascii="Times New Roman" w:hAnsi="Times New Roman"/>
        </w:rPr>
        <w:t>affect</w:t>
      </w:r>
      <w:r>
        <w:rPr>
          <w:rFonts w:ascii="Times New Roman" w:hAnsi="Times New Roman"/>
        </w:rPr>
        <w:t xml:space="preserve"> his subjects’ behaviors through outward force, </w:t>
      </w:r>
      <w:r w:rsidRPr="008140E2">
        <w:rPr>
          <w:rFonts w:ascii="Times New Roman" w:hAnsi="Times New Roman"/>
        </w:rPr>
        <w:t>including</w:t>
      </w:r>
      <w:r>
        <w:rPr>
          <w:rFonts w:ascii="Times New Roman" w:hAnsi="Times New Roman"/>
        </w:rPr>
        <w:t xml:space="preserve"> behaviors conn</w:t>
      </w:r>
      <w:r w:rsidR="008254BA">
        <w:rPr>
          <w:rFonts w:ascii="Times New Roman" w:hAnsi="Times New Roman"/>
        </w:rPr>
        <w:t>ected to religious practice</w:t>
      </w:r>
      <w:r w:rsidR="00564651">
        <w:rPr>
          <w:rFonts w:ascii="Times New Roman" w:hAnsi="Times New Roman"/>
        </w:rPr>
        <w:t xml:space="preserve">.  </w:t>
      </w:r>
      <w:r w:rsidR="004569AF">
        <w:rPr>
          <w:rFonts w:ascii="Times New Roman" w:hAnsi="Times New Roman"/>
        </w:rPr>
        <w:t xml:space="preserve">In other words, even though </w:t>
      </w:r>
      <w:r w:rsidR="00636D6D">
        <w:rPr>
          <w:rFonts w:ascii="Times New Roman" w:hAnsi="Times New Roman"/>
        </w:rPr>
        <w:t>his</w:t>
      </w:r>
      <w:r w:rsidR="008140E2">
        <w:rPr>
          <w:rFonts w:ascii="Times New Roman" w:hAnsi="Times New Roman"/>
        </w:rPr>
        <w:t xml:space="preserve"> “outward Force” is incapable of </w:t>
      </w:r>
      <w:r w:rsidR="007817F2">
        <w:rPr>
          <w:rFonts w:ascii="Times New Roman" w:hAnsi="Times New Roman"/>
        </w:rPr>
        <w:t>shaping</w:t>
      </w:r>
      <w:r w:rsidR="008140E2">
        <w:rPr>
          <w:rFonts w:ascii="Times New Roman" w:hAnsi="Times New Roman"/>
        </w:rPr>
        <w:t xml:space="preserve"> “inward Judgment</w:t>
      </w:r>
      <w:r w:rsidR="003B77BE">
        <w:rPr>
          <w:rFonts w:ascii="Times New Roman" w:hAnsi="Times New Roman"/>
        </w:rPr>
        <w:t>,”</w:t>
      </w:r>
      <w:r w:rsidR="008140E2">
        <w:rPr>
          <w:rFonts w:ascii="Times New Roman" w:hAnsi="Times New Roman"/>
        </w:rPr>
        <w:t xml:space="preserve"> </w:t>
      </w:r>
      <w:r w:rsidR="003B77BE">
        <w:rPr>
          <w:rFonts w:ascii="Times New Roman" w:hAnsi="Times New Roman"/>
        </w:rPr>
        <w:t>this does not imply that</w:t>
      </w:r>
      <w:r w:rsidR="00347D5C">
        <w:rPr>
          <w:rFonts w:ascii="Times New Roman" w:hAnsi="Times New Roman"/>
        </w:rPr>
        <w:t xml:space="preserve"> </w:t>
      </w:r>
      <w:r w:rsidR="003B77BE">
        <w:rPr>
          <w:rFonts w:ascii="Times New Roman" w:hAnsi="Times New Roman"/>
        </w:rPr>
        <w:t>the</w:t>
      </w:r>
      <w:r w:rsidR="006D6C35">
        <w:rPr>
          <w:rFonts w:ascii="Times New Roman" w:hAnsi="Times New Roman"/>
        </w:rPr>
        <w:t xml:space="preserve"> magistrate is b</w:t>
      </w:r>
      <w:r w:rsidR="003B77BE">
        <w:rPr>
          <w:rFonts w:ascii="Times New Roman" w:hAnsi="Times New Roman"/>
        </w:rPr>
        <w:t>lind to</w:t>
      </w:r>
      <w:r w:rsidR="00391B65">
        <w:rPr>
          <w:rFonts w:ascii="Times New Roman" w:hAnsi="Times New Roman"/>
        </w:rPr>
        <w:t xml:space="preserve"> the correspondence between</w:t>
      </w:r>
      <w:r w:rsidR="006D6C35">
        <w:rPr>
          <w:rFonts w:ascii="Times New Roman" w:hAnsi="Times New Roman"/>
        </w:rPr>
        <w:t xml:space="preserve"> his subjects’</w:t>
      </w:r>
      <w:r w:rsidR="008140E2">
        <w:rPr>
          <w:rFonts w:ascii="Times New Roman" w:hAnsi="Times New Roman"/>
        </w:rPr>
        <w:t xml:space="preserve"> </w:t>
      </w:r>
      <w:r w:rsidR="00391B65">
        <w:rPr>
          <w:rFonts w:ascii="Times New Roman" w:hAnsi="Times New Roman"/>
        </w:rPr>
        <w:t xml:space="preserve">inward </w:t>
      </w:r>
      <w:r w:rsidR="008140E2">
        <w:rPr>
          <w:rFonts w:ascii="Times New Roman" w:hAnsi="Times New Roman"/>
        </w:rPr>
        <w:t>judgment</w:t>
      </w:r>
      <w:r w:rsidR="006D6C35">
        <w:rPr>
          <w:rFonts w:ascii="Times New Roman" w:hAnsi="Times New Roman"/>
        </w:rPr>
        <w:t>s</w:t>
      </w:r>
      <w:r w:rsidR="00391B65">
        <w:rPr>
          <w:rFonts w:ascii="Times New Roman" w:hAnsi="Times New Roman"/>
        </w:rPr>
        <w:t xml:space="preserve"> and</w:t>
      </w:r>
      <w:r w:rsidR="008140E2">
        <w:rPr>
          <w:rFonts w:ascii="Times New Roman" w:hAnsi="Times New Roman"/>
        </w:rPr>
        <w:t xml:space="preserve"> </w:t>
      </w:r>
      <w:r w:rsidR="00391B65">
        <w:rPr>
          <w:rFonts w:ascii="Times New Roman" w:hAnsi="Times New Roman"/>
        </w:rPr>
        <w:t>the civil interest</w:t>
      </w:r>
      <w:r w:rsidR="00D64BB8">
        <w:rPr>
          <w:rFonts w:ascii="Times New Roman" w:hAnsi="Times New Roman"/>
        </w:rPr>
        <w:t xml:space="preserve"> as such</w:t>
      </w:r>
      <w:r w:rsidR="008140E2">
        <w:rPr>
          <w:rFonts w:ascii="Times New Roman" w:hAnsi="Times New Roman"/>
        </w:rPr>
        <w:t xml:space="preserve">.  </w:t>
      </w:r>
      <w:r w:rsidR="00347D5C">
        <w:rPr>
          <w:rFonts w:ascii="Times New Roman" w:hAnsi="Times New Roman"/>
        </w:rPr>
        <w:t>Rather</w:t>
      </w:r>
      <w:r w:rsidR="008140E2">
        <w:rPr>
          <w:rFonts w:ascii="Times New Roman" w:hAnsi="Times New Roman"/>
        </w:rPr>
        <w:t>,</w:t>
      </w:r>
      <w:r w:rsidR="00564651">
        <w:rPr>
          <w:rFonts w:ascii="Times New Roman" w:hAnsi="Times New Roman"/>
        </w:rPr>
        <w:t xml:space="preserve"> much like money, lands, and the like,</w:t>
      </w:r>
      <w:r w:rsidR="00A924CA">
        <w:rPr>
          <w:rFonts w:ascii="Times New Roman" w:hAnsi="Times New Roman"/>
        </w:rPr>
        <w:t xml:space="preserve"> with the inward/outward binary</w:t>
      </w:r>
      <w:r w:rsidR="008140E2">
        <w:rPr>
          <w:rFonts w:ascii="Times New Roman" w:hAnsi="Times New Roman"/>
        </w:rPr>
        <w:t xml:space="preserve"> the </w:t>
      </w:r>
      <w:r w:rsidR="00514D16">
        <w:rPr>
          <w:rFonts w:ascii="Times New Roman" w:hAnsi="Times New Roman"/>
        </w:rPr>
        <w:t>“pomp</w:t>
      </w:r>
      <w:r w:rsidR="007817F2">
        <w:rPr>
          <w:rFonts w:ascii="Times New Roman" w:hAnsi="Times New Roman"/>
        </w:rPr>
        <w:t>” of</w:t>
      </w:r>
      <w:r w:rsidR="008140E2">
        <w:rPr>
          <w:rFonts w:ascii="Times New Roman" w:hAnsi="Times New Roman"/>
        </w:rPr>
        <w:t xml:space="preserve"> </w:t>
      </w:r>
      <w:r w:rsidR="00514D16">
        <w:rPr>
          <w:rFonts w:ascii="Times New Roman" w:hAnsi="Times New Roman"/>
        </w:rPr>
        <w:t>“</w:t>
      </w:r>
      <w:r w:rsidR="008140E2">
        <w:rPr>
          <w:rFonts w:ascii="Times New Roman" w:hAnsi="Times New Roman"/>
        </w:rPr>
        <w:t>outward worship</w:t>
      </w:r>
      <w:r w:rsidR="002D2A88">
        <w:rPr>
          <w:rFonts w:ascii="Times New Roman" w:hAnsi="Times New Roman"/>
        </w:rPr>
        <w:t>,</w:t>
      </w:r>
      <w:r w:rsidR="008140E2">
        <w:rPr>
          <w:rFonts w:ascii="Times New Roman" w:hAnsi="Times New Roman"/>
        </w:rPr>
        <w:t xml:space="preserve">” </w:t>
      </w:r>
      <w:r w:rsidR="002D2A88">
        <w:rPr>
          <w:rFonts w:ascii="Times New Roman" w:hAnsi="Times New Roman"/>
        </w:rPr>
        <w:t xml:space="preserve">its </w:t>
      </w:r>
      <w:r w:rsidR="008140E2">
        <w:rPr>
          <w:rFonts w:ascii="Times New Roman" w:hAnsi="Times New Roman"/>
        </w:rPr>
        <w:t>“ceremonies</w:t>
      </w:r>
      <w:r w:rsidR="00564651">
        <w:rPr>
          <w:rFonts w:ascii="Times New Roman" w:hAnsi="Times New Roman"/>
        </w:rPr>
        <w:t>,</w:t>
      </w:r>
      <w:r w:rsidR="008140E2">
        <w:rPr>
          <w:rFonts w:ascii="Times New Roman" w:hAnsi="Times New Roman"/>
        </w:rPr>
        <w:t xml:space="preserve">” </w:t>
      </w:r>
      <w:r w:rsidR="00564651">
        <w:rPr>
          <w:rFonts w:ascii="Times New Roman" w:hAnsi="Times New Roman"/>
        </w:rPr>
        <w:t>established</w:t>
      </w:r>
      <w:r w:rsidR="008140E2">
        <w:rPr>
          <w:rFonts w:ascii="Times New Roman" w:hAnsi="Times New Roman"/>
        </w:rPr>
        <w:t xml:space="preserve"> “opinions</w:t>
      </w:r>
      <w:r w:rsidR="00564651">
        <w:rPr>
          <w:rFonts w:ascii="Times New Roman" w:hAnsi="Times New Roman"/>
        </w:rPr>
        <w:t>,</w:t>
      </w:r>
      <w:r w:rsidR="008140E2">
        <w:rPr>
          <w:rFonts w:ascii="Times New Roman" w:hAnsi="Times New Roman"/>
        </w:rPr>
        <w:t>”</w:t>
      </w:r>
      <w:r w:rsidR="00564651">
        <w:rPr>
          <w:rFonts w:ascii="Times New Roman" w:hAnsi="Times New Roman"/>
        </w:rPr>
        <w:t xml:space="preserve"> and </w:t>
      </w:r>
      <w:r w:rsidR="002D2A88">
        <w:rPr>
          <w:rFonts w:ascii="Times New Roman" w:hAnsi="Times New Roman"/>
        </w:rPr>
        <w:t>“</w:t>
      </w:r>
      <w:r w:rsidR="00564651">
        <w:rPr>
          <w:rFonts w:ascii="Times New Roman" w:hAnsi="Times New Roman"/>
        </w:rPr>
        <w:t>schisms</w:t>
      </w:r>
      <w:r w:rsidR="002D2A88">
        <w:rPr>
          <w:rFonts w:ascii="Times New Roman" w:hAnsi="Times New Roman"/>
        </w:rPr>
        <w:t>”</w:t>
      </w:r>
      <w:r w:rsidR="003B77BE" w:rsidRPr="00F31EE6">
        <w:rPr>
          <w:rFonts w:ascii="Times New Roman" w:hAnsi="Times New Roman"/>
        </w:rPr>
        <w:t>—</w:t>
      </w:r>
      <w:r w:rsidR="00564651">
        <w:rPr>
          <w:rFonts w:ascii="Times New Roman" w:hAnsi="Times New Roman"/>
        </w:rPr>
        <w:t xml:space="preserve">the outward </w:t>
      </w:r>
      <w:r w:rsidR="004569AF">
        <w:rPr>
          <w:rFonts w:ascii="Times New Roman" w:hAnsi="Times New Roman"/>
        </w:rPr>
        <w:t>manifestations</w:t>
      </w:r>
      <w:r w:rsidR="00564651">
        <w:rPr>
          <w:rFonts w:ascii="Times New Roman" w:hAnsi="Times New Roman"/>
        </w:rPr>
        <w:t xml:space="preserve"> of “inward J</w:t>
      </w:r>
      <w:r w:rsidR="003B77BE">
        <w:rPr>
          <w:rFonts w:ascii="Times New Roman" w:hAnsi="Times New Roman"/>
        </w:rPr>
        <w:t>udgments</w:t>
      </w:r>
      <w:r w:rsidR="00564651">
        <w:rPr>
          <w:rFonts w:ascii="Times New Roman" w:hAnsi="Times New Roman"/>
        </w:rPr>
        <w:t>”</w:t>
      </w:r>
      <w:r w:rsidR="004327E9">
        <w:rPr>
          <w:rStyle w:val="FootnoteReference"/>
        </w:rPr>
        <w:footnoteReference w:id="6"/>
      </w:r>
      <w:r w:rsidR="003B77BE">
        <w:rPr>
          <w:rFonts w:ascii="Times New Roman" w:hAnsi="Times New Roman"/>
        </w:rPr>
        <w:t>—</w:t>
      </w:r>
      <w:r w:rsidR="002D2A88">
        <w:rPr>
          <w:rFonts w:ascii="Times New Roman" w:hAnsi="Times New Roman"/>
        </w:rPr>
        <w:t xml:space="preserve">do not </w:t>
      </w:r>
      <w:r w:rsidR="00A924CA">
        <w:rPr>
          <w:rFonts w:ascii="Times New Roman" w:hAnsi="Times New Roman"/>
        </w:rPr>
        <w:t>elude</w:t>
      </w:r>
      <w:r w:rsidR="002D2A88">
        <w:rPr>
          <w:rFonts w:ascii="Times New Roman" w:hAnsi="Times New Roman"/>
        </w:rPr>
        <w:t xml:space="preserve"> the magistrate’s consideration in</w:t>
      </w:r>
      <w:r w:rsidR="00A924CA">
        <w:rPr>
          <w:rFonts w:ascii="Times New Roman" w:hAnsi="Times New Roman"/>
        </w:rPr>
        <w:t xml:space="preserve"> his</w:t>
      </w:r>
      <w:r w:rsidR="00564651">
        <w:rPr>
          <w:rFonts w:ascii="Times New Roman" w:hAnsi="Times New Roman"/>
        </w:rPr>
        <w:t xml:space="preserve"> decisions concerning the use of outward force.  </w:t>
      </w:r>
      <w:r w:rsidR="00D64BB8">
        <w:rPr>
          <w:rFonts w:ascii="Times New Roman" w:hAnsi="Times New Roman"/>
        </w:rPr>
        <w:t>Accordingly</w:t>
      </w:r>
      <w:r>
        <w:rPr>
          <w:rFonts w:ascii="Times New Roman" w:hAnsi="Times New Roman"/>
        </w:rPr>
        <w:t>, at this point in Locke’s argument</w:t>
      </w:r>
      <w:r w:rsidR="00347D5C">
        <w:rPr>
          <w:rFonts w:ascii="Times New Roman" w:hAnsi="Times New Roman"/>
        </w:rPr>
        <w:t xml:space="preserve"> it is conceivable that</w:t>
      </w:r>
      <w:r>
        <w:rPr>
          <w:rFonts w:ascii="Times New Roman" w:hAnsi="Times New Roman"/>
        </w:rPr>
        <w:t xml:space="preserve"> the magistrate could </w:t>
      </w:r>
      <w:r w:rsidR="00D8492C">
        <w:rPr>
          <w:rFonts w:ascii="Times New Roman" w:hAnsi="Times New Roman"/>
        </w:rPr>
        <w:t>hypothetically</w:t>
      </w:r>
      <w:r>
        <w:rPr>
          <w:rFonts w:ascii="Times New Roman" w:hAnsi="Times New Roman"/>
        </w:rPr>
        <w:t xml:space="preserve"> conclude that he indeed is unconcerned </w:t>
      </w:r>
      <w:r w:rsidR="00E31EF6">
        <w:rPr>
          <w:rFonts w:ascii="Times New Roman" w:hAnsi="Times New Roman"/>
        </w:rPr>
        <w:t>with</w:t>
      </w:r>
      <w:r w:rsidR="00564651">
        <w:rPr>
          <w:rFonts w:ascii="Times New Roman" w:hAnsi="Times New Roman"/>
        </w:rPr>
        <w:t xml:space="preserve"> altering</w:t>
      </w:r>
      <w:r>
        <w:rPr>
          <w:rFonts w:ascii="Times New Roman" w:hAnsi="Times New Roman"/>
        </w:rPr>
        <w:t xml:space="preserve"> his subjects’ </w:t>
      </w:r>
      <w:r w:rsidR="008254BA">
        <w:rPr>
          <w:rFonts w:ascii="Times New Roman" w:hAnsi="Times New Roman"/>
        </w:rPr>
        <w:t>“inward</w:t>
      </w:r>
      <w:r>
        <w:rPr>
          <w:rFonts w:ascii="Times New Roman" w:hAnsi="Times New Roman"/>
        </w:rPr>
        <w:t xml:space="preserve"> </w:t>
      </w:r>
      <w:r w:rsidR="008254BA">
        <w:rPr>
          <w:rFonts w:ascii="Times New Roman" w:hAnsi="Times New Roman"/>
        </w:rPr>
        <w:t>Judgments”</w:t>
      </w:r>
      <w:r w:rsidR="006A5FC3">
        <w:rPr>
          <w:rFonts w:ascii="Times New Roman" w:hAnsi="Times New Roman"/>
        </w:rPr>
        <w:t xml:space="preserve"> as such</w:t>
      </w:r>
      <w:r w:rsidR="008254BA">
        <w:rPr>
          <w:rFonts w:ascii="Times New Roman" w:hAnsi="Times New Roman"/>
        </w:rPr>
        <w:t xml:space="preserve"> </w:t>
      </w:r>
      <w:r>
        <w:rPr>
          <w:rFonts w:ascii="Times New Roman" w:hAnsi="Times New Roman"/>
        </w:rPr>
        <w:t xml:space="preserve">but </w:t>
      </w:r>
      <w:r w:rsidR="00CE5564">
        <w:rPr>
          <w:rFonts w:ascii="Times New Roman" w:hAnsi="Times New Roman"/>
        </w:rPr>
        <w:t>will</w:t>
      </w:r>
      <w:r>
        <w:rPr>
          <w:rFonts w:ascii="Times New Roman" w:hAnsi="Times New Roman"/>
        </w:rPr>
        <w:t xml:space="preserve"> nonetheless ban all religious practices (i.e. manifestations of their beli</w:t>
      </w:r>
      <w:r w:rsidR="00E0725F">
        <w:rPr>
          <w:rFonts w:ascii="Times New Roman" w:hAnsi="Times New Roman"/>
        </w:rPr>
        <w:t>ef</w:t>
      </w:r>
      <w:r w:rsidR="00347D5C">
        <w:rPr>
          <w:rFonts w:ascii="Times New Roman" w:hAnsi="Times New Roman"/>
        </w:rPr>
        <w:t>s) he decides are detrimental to his understanding of</w:t>
      </w:r>
      <w:r w:rsidR="00E0725F">
        <w:rPr>
          <w:rFonts w:ascii="Times New Roman" w:hAnsi="Times New Roman"/>
        </w:rPr>
        <w:t xml:space="preserve"> the “civil interest</w:t>
      </w:r>
      <w:r>
        <w:rPr>
          <w:rFonts w:ascii="Times New Roman" w:hAnsi="Times New Roman"/>
        </w:rPr>
        <w:t>.</w:t>
      </w:r>
      <w:r w:rsidR="00E0725F">
        <w:rPr>
          <w:rFonts w:ascii="Times New Roman" w:hAnsi="Times New Roman"/>
        </w:rPr>
        <w:t>”</w:t>
      </w:r>
      <w:r w:rsidR="00364B5F">
        <w:rPr>
          <w:rStyle w:val="FootnoteReference"/>
        </w:rPr>
        <w:footnoteReference w:id="7"/>
      </w:r>
      <w:r w:rsidR="00564651">
        <w:rPr>
          <w:rFonts w:ascii="Times New Roman" w:hAnsi="Times New Roman"/>
        </w:rPr>
        <w:t xml:space="preserve"> </w:t>
      </w:r>
    </w:p>
    <w:p w14:paraId="09C0EC81" w14:textId="676F76B7" w:rsidR="005E1D70" w:rsidRDefault="00D3203E" w:rsidP="00994937">
      <w:pPr>
        <w:pStyle w:val="NoSpacing"/>
        <w:spacing w:line="480" w:lineRule="auto"/>
        <w:ind w:firstLine="720"/>
        <w:rPr>
          <w:rFonts w:ascii="Times New Roman" w:hAnsi="Times New Roman"/>
        </w:rPr>
      </w:pPr>
      <w:r>
        <w:rPr>
          <w:rFonts w:ascii="Times New Roman" w:hAnsi="Times New Roman"/>
        </w:rPr>
        <w:t xml:space="preserve">If practices, then, </w:t>
      </w:r>
      <w:r w:rsidRPr="00564651">
        <w:rPr>
          <w:rFonts w:ascii="Times New Roman" w:hAnsi="Times New Roman"/>
        </w:rPr>
        <w:t>can</w:t>
      </w:r>
      <w:r>
        <w:rPr>
          <w:rFonts w:ascii="Times New Roman" w:hAnsi="Times New Roman"/>
        </w:rPr>
        <w:t xml:space="preserve"> be altered by coercive, outward means, </w:t>
      </w:r>
      <w:r w:rsidR="00994937">
        <w:rPr>
          <w:rFonts w:ascii="Times New Roman" w:hAnsi="Times New Roman"/>
        </w:rPr>
        <w:t>couldn’t</w:t>
      </w:r>
      <w:r>
        <w:rPr>
          <w:rFonts w:ascii="Times New Roman" w:hAnsi="Times New Roman"/>
        </w:rPr>
        <w:t xml:space="preserve"> any </w:t>
      </w:r>
      <w:r w:rsidRPr="00564651">
        <w:rPr>
          <w:rFonts w:ascii="Times New Roman" w:hAnsi="Times New Roman"/>
        </w:rPr>
        <w:t>manifestations</w:t>
      </w:r>
      <w:r w:rsidR="00994937">
        <w:rPr>
          <w:rFonts w:ascii="Times New Roman" w:hAnsi="Times New Roman"/>
        </w:rPr>
        <w:t xml:space="preserve"> of belief </w:t>
      </w:r>
      <w:r>
        <w:rPr>
          <w:rFonts w:ascii="Times New Roman" w:hAnsi="Times New Roman"/>
        </w:rPr>
        <w:t>also be</w:t>
      </w:r>
      <w:r w:rsidR="004569AF">
        <w:rPr>
          <w:rFonts w:ascii="Times New Roman" w:hAnsi="Times New Roman"/>
        </w:rPr>
        <w:t>come</w:t>
      </w:r>
      <w:r>
        <w:rPr>
          <w:rFonts w:ascii="Times New Roman" w:hAnsi="Times New Roman"/>
        </w:rPr>
        <w:t xml:space="preserve"> amenable to coercion?</w:t>
      </w:r>
      <w:r w:rsidR="00994937">
        <w:rPr>
          <w:rFonts w:ascii="Times New Roman" w:hAnsi="Times New Roman"/>
        </w:rPr>
        <w:t xml:space="preserve">  Here Locke’s discussion of the purpose and power of the church engages the logic behind this question.</w:t>
      </w:r>
      <w:r w:rsidR="005E1D70">
        <w:rPr>
          <w:rFonts w:ascii="Times New Roman" w:hAnsi="Times New Roman"/>
        </w:rPr>
        <w:t xml:space="preserve"> </w:t>
      </w:r>
      <w:r w:rsidR="00994937">
        <w:rPr>
          <w:rFonts w:ascii="Times New Roman" w:hAnsi="Times New Roman"/>
        </w:rPr>
        <w:t xml:space="preserve"> </w:t>
      </w:r>
      <w:r w:rsidR="005E1D70">
        <w:rPr>
          <w:rFonts w:ascii="Times New Roman" w:hAnsi="Times New Roman"/>
        </w:rPr>
        <w:t>As Locke explains, even as religious faith belongs to an inward space, the end of a religious society is the “publick worshipping of God</w:t>
      </w:r>
      <w:r w:rsidR="00B25ACC">
        <w:rPr>
          <w:rFonts w:ascii="Times New Roman" w:hAnsi="Times New Roman"/>
        </w:rPr>
        <w:t xml:space="preserve"> </w:t>
      </w:r>
      <w:r w:rsidR="00B25ACC">
        <w:rPr>
          <w:rFonts w:ascii="Nimbus Sans L" w:hAnsi="Nimbus Sans L"/>
          <w:color w:val="000000"/>
          <w:shd w:val="clear" w:color="auto" w:fill="FFFFFF"/>
        </w:rPr>
        <w:t>in such manner as [the members of this society] judge acceptable to Him</w:t>
      </w:r>
      <w:r w:rsidR="005E1D70">
        <w:rPr>
          <w:rFonts w:ascii="Times New Roman" w:hAnsi="Times New Roman"/>
        </w:rPr>
        <w:t>,”</w:t>
      </w:r>
      <w:r w:rsidR="005E1D70">
        <w:rPr>
          <w:rStyle w:val="FootnoteReference"/>
        </w:rPr>
        <w:footnoteReference w:id="8"/>
      </w:r>
      <w:r w:rsidR="005E1D70">
        <w:rPr>
          <w:rFonts w:ascii="Times New Roman" w:hAnsi="Times New Roman"/>
        </w:rPr>
        <w:t xml:space="preserve"> or, in other words, the outward expression of belief, which entails</w:t>
      </w:r>
      <w:r w:rsidR="00994937">
        <w:rPr>
          <w:rFonts w:ascii="Times New Roman" w:hAnsi="Times New Roman"/>
        </w:rPr>
        <w:t xml:space="preserve"> </w:t>
      </w:r>
      <w:r w:rsidR="00E63FD6">
        <w:rPr>
          <w:rFonts w:ascii="Times New Roman" w:hAnsi="Times New Roman"/>
        </w:rPr>
        <w:t>collective</w:t>
      </w:r>
      <w:r w:rsidR="00994937">
        <w:rPr>
          <w:rFonts w:ascii="Times New Roman" w:hAnsi="Times New Roman"/>
        </w:rPr>
        <w:t>,</w:t>
      </w:r>
      <w:r w:rsidR="005E1D70">
        <w:rPr>
          <w:rFonts w:ascii="Times New Roman" w:hAnsi="Times New Roman"/>
        </w:rPr>
        <w:t xml:space="preserve"> ceremonial practices.  </w:t>
      </w:r>
      <w:r w:rsidR="00994937">
        <w:rPr>
          <w:rFonts w:ascii="Times New Roman" w:hAnsi="Times New Roman"/>
        </w:rPr>
        <w:t>T</w:t>
      </w:r>
      <w:r w:rsidR="005E1D70">
        <w:rPr>
          <w:rFonts w:ascii="Times New Roman" w:hAnsi="Times New Roman"/>
        </w:rPr>
        <w:t xml:space="preserve">hough inward salvation may be the proper space for religion, the existence of religious societies as such now invariably produces outward </w:t>
      </w:r>
      <w:r w:rsidR="00F32C26">
        <w:rPr>
          <w:rFonts w:ascii="Times New Roman" w:hAnsi="Times New Roman"/>
        </w:rPr>
        <w:t>effects</w:t>
      </w:r>
      <w:r w:rsidR="005E1D70">
        <w:rPr>
          <w:rFonts w:ascii="Times New Roman" w:hAnsi="Times New Roman"/>
        </w:rPr>
        <w:t>.</w:t>
      </w:r>
      <w:r w:rsidR="00F0745A">
        <w:rPr>
          <w:rFonts w:ascii="Times New Roman" w:hAnsi="Times New Roman"/>
        </w:rPr>
        <w:t xml:space="preserve">  Indeed, this is exactly why the magistrate was capable of “reading” the outward manifestations of religious practices above, and why Locke can articulate his own judgments that certain </w:t>
      </w:r>
      <w:r w:rsidR="00F31EE6">
        <w:rPr>
          <w:rFonts w:ascii="Times New Roman" w:hAnsi="Times New Roman"/>
        </w:rPr>
        <w:t>such</w:t>
      </w:r>
      <w:r w:rsidR="00F0745A">
        <w:rPr>
          <w:rFonts w:ascii="Times New Roman" w:hAnsi="Times New Roman"/>
        </w:rPr>
        <w:t xml:space="preserve"> manifestations aim “</w:t>
      </w:r>
      <w:r w:rsidR="00F0745A" w:rsidRPr="00CE5564">
        <w:rPr>
          <w:rFonts w:ascii="Times New Roman" w:hAnsi="Times New Roman"/>
          <w:i/>
        </w:rPr>
        <w:t>not</w:t>
      </w:r>
      <w:r w:rsidR="00F0745A">
        <w:rPr>
          <w:rFonts w:ascii="Times New Roman" w:hAnsi="Times New Roman"/>
        </w:rPr>
        <w:t xml:space="preserve"> at the </w:t>
      </w:r>
      <w:r w:rsidR="00F0745A">
        <w:rPr>
          <w:rFonts w:ascii="Times New Roman" w:hAnsi="Times New Roman"/>
        </w:rPr>
        <w:lastRenderedPageBreak/>
        <w:t>advancement of the kingdom of Go</w:t>
      </w:r>
      <w:r w:rsidR="00F31EE6">
        <w:rPr>
          <w:rFonts w:ascii="Times New Roman" w:hAnsi="Times New Roman"/>
        </w:rPr>
        <w:t>d”</w:t>
      </w:r>
      <w:r w:rsidR="00CE5564">
        <w:rPr>
          <w:rFonts w:ascii="Times New Roman" w:hAnsi="Times New Roman"/>
        </w:rPr>
        <w:t xml:space="preserve"> but</w:t>
      </w:r>
      <w:r w:rsidR="003B065D">
        <w:rPr>
          <w:rFonts w:ascii="Times New Roman" w:hAnsi="Times New Roman"/>
        </w:rPr>
        <w:t xml:space="preserve"> at</w:t>
      </w:r>
      <w:r w:rsidR="00CE5564">
        <w:rPr>
          <w:rFonts w:ascii="Times New Roman" w:hAnsi="Times New Roman"/>
        </w:rPr>
        <w:t xml:space="preserve"> earthly power.</w:t>
      </w:r>
      <w:r w:rsidR="00F31EE6">
        <w:rPr>
          <w:rStyle w:val="FootnoteReference"/>
        </w:rPr>
        <w:footnoteReference w:id="9"/>
      </w:r>
      <w:r w:rsidR="00F0745A">
        <w:rPr>
          <w:rFonts w:ascii="Times New Roman" w:hAnsi="Times New Roman"/>
        </w:rPr>
        <w:t xml:space="preserve"> </w:t>
      </w:r>
      <w:r w:rsidR="005E1D70">
        <w:rPr>
          <w:rFonts w:ascii="Times New Roman" w:hAnsi="Times New Roman"/>
        </w:rPr>
        <w:t xml:space="preserve">These </w:t>
      </w:r>
      <w:r w:rsidR="00F0745A">
        <w:rPr>
          <w:rFonts w:ascii="Times New Roman" w:hAnsi="Times New Roman"/>
        </w:rPr>
        <w:t>manifestations</w:t>
      </w:r>
      <w:r w:rsidR="005E1D70">
        <w:rPr>
          <w:rFonts w:ascii="Times New Roman" w:hAnsi="Times New Roman"/>
        </w:rPr>
        <w:t xml:space="preserve">, Locke will argue, may be indifferent to the public good; but that is not the issue </w:t>
      </w:r>
      <w:r w:rsidR="00F0745A">
        <w:rPr>
          <w:rFonts w:ascii="Times New Roman" w:hAnsi="Times New Roman"/>
        </w:rPr>
        <w:t>at stake</w:t>
      </w:r>
      <w:r w:rsidR="00E767DC">
        <w:rPr>
          <w:rFonts w:ascii="Times New Roman" w:hAnsi="Times New Roman"/>
        </w:rPr>
        <w:t xml:space="preserve"> here</w:t>
      </w:r>
      <w:r w:rsidR="003B065D">
        <w:rPr>
          <w:rFonts w:ascii="Times New Roman" w:hAnsi="Times New Roman"/>
        </w:rPr>
        <w:t xml:space="preserve">.  </w:t>
      </w:r>
      <w:r w:rsidR="005E1D70">
        <w:rPr>
          <w:rFonts w:ascii="Times New Roman" w:hAnsi="Times New Roman"/>
        </w:rPr>
        <w:t>Rather, it is that even while devoting oneself entirely to inward things, one st</w:t>
      </w:r>
      <w:r w:rsidR="00F0745A">
        <w:rPr>
          <w:rFonts w:ascii="Times New Roman" w:hAnsi="Times New Roman"/>
        </w:rPr>
        <w:t>ill cannot help but move through an outward</w:t>
      </w:r>
      <w:r w:rsidR="0067365F">
        <w:rPr>
          <w:rFonts w:ascii="Times New Roman" w:hAnsi="Times New Roman"/>
        </w:rPr>
        <w:t xml:space="preserve"> world where one communicates and interacts with others</w:t>
      </w:r>
      <w:r w:rsidR="005E1D70">
        <w:rPr>
          <w:rFonts w:ascii="Times New Roman" w:hAnsi="Times New Roman"/>
        </w:rPr>
        <w:t>—in other words,</w:t>
      </w:r>
      <w:r w:rsidR="00D8492C">
        <w:rPr>
          <w:rFonts w:ascii="Times New Roman" w:hAnsi="Times New Roman"/>
        </w:rPr>
        <w:t xml:space="preserve"> where one</w:t>
      </w:r>
      <w:r w:rsidR="005E1D70">
        <w:rPr>
          <w:rFonts w:ascii="Times New Roman" w:hAnsi="Times New Roman"/>
        </w:rPr>
        <w:t xml:space="preserve"> engages within a space that is</w:t>
      </w:r>
      <w:r w:rsidR="00F0745A">
        <w:rPr>
          <w:rFonts w:ascii="Times New Roman" w:hAnsi="Times New Roman"/>
        </w:rPr>
        <w:t xml:space="preserve"> of interest to the magistrate and his judgment of the civil interest.</w:t>
      </w:r>
    </w:p>
    <w:p w14:paraId="493DCAEF" w14:textId="56B3E461" w:rsidR="00B70C24" w:rsidRDefault="0088474C" w:rsidP="00B70C24">
      <w:pPr>
        <w:pStyle w:val="NoSpacing"/>
        <w:spacing w:line="480" w:lineRule="auto"/>
        <w:ind w:firstLine="720"/>
        <w:rPr>
          <w:rFonts w:ascii="Times New Roman" w:hAnsi="Times New Roman"/>
        </w:rPr>
      </w:pPr>
      <w:r>
        <w:rPr>
          <w:rFonts w:ascii="Times New Roman" w:hAnsi="Times New Roman"/>
        </w:rPr>
        <w:t>Although Locke a</w:t>
      </w:r>
      <w:r w:rsidR="00B70C24">
        <w:rPr>
          <w:rFonts w:ascii="Times New Roman" w:hAnsi="Times New Roman"/>
        </w:rPr>
        <w:t>n</w:t>
      </w:r>
      <w:r>
        <w:rPr>
          <w:rFonts w:ascii="Times New Roman" w:hAnsi="Times New Roman"/>
        </w:rPr>
        <w:t>ticipates</w:t>
      </w:r>
      <w:r w:rsidR="00B70C24">
        <w:rPr>
          <w:rFonts w:ascii="Times New Roman" w:hAnsi="Times New Roman"/>
        </w:rPr>
        <w:t xml:space="preserve"> this </w:t>
      </w:r>
      <w:r>
        <w:rPr>
          <w:rFonts w:ascii="Times New Roman" w:hAnsi="Times New Roman"/>
        </w:rPr>
        <w:t xml:space="preserve">problem and </w:t>
      </w:r>
      <w:r w:rsidR="00B70C24">
        <w:rPr>
          <w:rFonts w:ascii="Times New Roman" w:hAnsi="Times New Roman"/>
        </w:rPr>
        <w:t>proceeds to deny the magistrate power over interventions motivated entirely by religious differences in his discussion of indifference</w:t>
      </w:r>
      <w:r w:rsidR="00BD39CD">
        <w:rPr>
          <w:rFonts w:ascii="Times New Roman" w:hAnsi="Times New Roman"/>
        </w:rPr>
        <w:t xml:space="preserve">, </w:t>
      </w:r>
      <w:r w:rsidR="00B70C24">
        <w:rPr>
          <w:rFonts w:ascii="Times New Roman" w:hAnsi="Times New Roman"/>
        </w:rPr>
        <w:t xml:space="preserve">this discussion </w:t>
      </w:r>
      <w:r w:rsidR="00BD39CD">
        <w:rPr>
          <w:rFonts w:ascii="Times New Roman" w:hAnsi="Times New Roman"/>
        </w:rPr>
        <w:t>only</w:t>
      </w:r>
      <w:r w:rsidR="00B70C24">
        <w:rPr>
          <w:rFonts w:ascii="Times New Roman" w:hAnsi="Times New Roman"/>
        </w:rPr>
        <w:t xml:space="preserve"> makes apparent a host of overlaps between magisterial and church interests, thus introducing new situations for potential magisterial coercions.  </w:t>
      </w:r>
      <w:r w:rsidR="00BD39CD">
        <w:rPr>
          <w:rFonts w:ascii="Times New Roman" w:hAnsi="Times New Roman"/>
        </w:rPr>
        <w:t xml:space="preserve">As such, on one hand </w:t>
      </w:r>
      <w:r w:rsidR="00B70C24">
        <w:rPr>
          <w:rFonts w:ascii="Times New Roman" w:hAnsi="Times New Roman"/>
        </w:rPr>
        <w:t xml:space="preserve">Locke grants the magistrate the power to intervene in religious practices </w:t>
      </w:r>
      <w:r w:rsidR="00B70C24">
        <w:rPr>
          <w:rFonts w:ascii="Times New Roman" w:hAnsi="Times New Roman"/>
          <w:i/>
        </w:rPr>
        <w:t>only</w:t>
      </w:r>
      <w:r w:rsidR="00B70C24">
        <w:rPr>
          <w:rFonts w:ascii="Times New Roman" w:hAnsi="Times New Roman"/>
        </w:rPr>
        <w:t xml:space="preserve"> when they pose threats to the public good</w:t>
      </w:r>
      <w:r w:rsidR="00BD39CD">
        <w:rPr>
          <w:rFonts w:ascii="Times New Roman" w:hAnsi="Times New Roman"/>
        </w:rPr>
        <w:t>:</w:t>
      </w:r>
      <w:r w:rsidR="00B70C24">
        <w:rPr>
          <w:rFonts w:ascii="Times New Roman" w:hAnsi="Times New Roman"/>
        </w:rPr>
        <w:t xml:space="preserve"> if the law allows for anim</w:t>
      </w:r>
      <w:r w:rsidR="00BD39CD">
        <w:rPr>
          <w:rFonts w:ascii="Times New Roman" w:hAnsi="Times New Roman"/>
        </w:rPr>
        <w:t>als to be slaughtered at home or in the market,</w:t>
      </w:r>
      <w:r w:rsidR="00B70C24">
        <w:rPr>
          <w:rFonts w:ascii="Times New Roman" w:hAnsi="Times New Roman"/>
        </w:rPr>
        <w:t xml:space="preserve"> such a practice cannot be banned in a church </w:t>
      </w:r>
      <w:r w:rsidR="00BD39CD">
        <w:rPr>
          <w:rFonts w:ascii="Times New Roman" w:hAnsi="Times New Roman"/>
        </w:rPr>
        <w:t>as part of a religious ceremony.  It is</w:t>
      </w:r>
      <w:r w:rsidR="00B70C24">
        <w:rPr>
          <w:rFonts w:ascii="Times New Roman" w:hAnsi="Times New Roman"/>
        </w:rPr>
        <w:t xml:space="preserve"> precisely because the magistrate’s “interest” only comes into play when political concerns are at stake, the banning of slaughter (in churches </w:t>
      </w:r>
      <w:r w:rsidR="00B70C24" w:rsidRPr="00534883">
        <w:rPr>
          <w:rFonts w:ascii="Times New Roman" w:hAnsi="Times New Roman"/>
        </w:rPr>
        <w:t>and</w:t>
      </w:r>
      <w:r w:rsidR="00B70C24">
        <w:rPr>
          <w:rFonts w:ascii="Times New Roman" w:hAnsi="Times New Roman"/>
        </w:rPr>
        <w:t xml:space="preserve"> homes) could only make sense in a context where, say, a calf shortage became a political problem.</w:t>
      </w:r>
      <w:r w:rsidR="00B70C24">
        <w:rPr>
          <w:rStyle w:val="FootnoteReference"/>
        </w:rPr>
        <w:footnoteReference w:id="10"/>
      </w:r>
      <w:r w:rsidR="00B70C24">
        <w:rPr>
          <w:rFonts w:ascii="Times New Roman" w:hAnsi="Times New Roman"/>
        </w:rPr>
        <w:t xml:space="preserve">  In other words, any potential overlap between religious practices and magisterial interests only become salient when such practices enter into political concerns</w:t>
      </w:r>
      <w:r w:rsidR="00E63FD6">
        <w:rPr>
          <w:rFonts w:ascii="Times New Roman" w:hAnsi="Times New Roman"/>
        </w:rPr>
        <w:t>; a domain of what John Dunn has called “purely theoretical beliefs” remains resolutely outside the magistrate’s purview.</w:t>
      </w:r>
      <w:r w:rsidR="00E63FD6">
        <w:rPr>
          <w:rStyle w:val="FootnoteReference"/>
        </w:rPr>
        <w:footnoteReference w:id="11"/>
      </w:r>
    </w:p>
    <w:p w14:paraId="629F03E5" w14:textId="791BE62E" w:rsidR="00B70C24" w:rsidRDefault="00B70C24" w:rsidP="00B70C24">
      <w:pPr>
        <w:pStyle w:val="NoSpacing"/>
        <w:spacing w:line="480" w:lineRule="auto"/>
        <w:rPr>
          <w:rFonts w:ascii="Times New Roman" w:hAnsi="Times New Roman"/>
        </w:rPr>
      </w:pPr>
      <w:r>
        <w:rPr>
          <w:rFonts w:ascii="Times New Roman" w:hAnsi="Times New Roman"/>
        </w:rPr>
        <w:tab/>
        <w:t xml:space="preserve">On the other hand, however, it becomes increasingly apparent that the “inward Judgments” </w:t>
      </w:r>
      <w:r w:rsidR="002F603C">
        <w:rPr>
          <w:rFonts w:ascii="Times New Roman" w:hAnsi="Times New Roman"/>
        </w:rPr>
        <w:t>acquired</w:t>
      </w:r>
      <w:r>
        <w:rPr>
          <w:rFonts w:ascii="Times New Roman" w:hAnsi="Times New Roman"/>
        </w:rPr>
        <w:t xml:space="preserve"> in churches</w:t>
      </w:r>
      <w:r w:rsidR="00CE5564">
        <w:rPr>
          <w:rFonts w:ascii="Times New Roman" w:hAnsi="Times New Roman"/>
        </w:rPr>
        <w:t xml:space="preserve"> do</w:t>
      </w:r>
      <w:r>
        <w:rPr>
          <w:rFonts w:ascii="Times New Roman" w:hAnsi="Times New Roman"/>
        </w:rPr>
        <w:t xml:space="preserve"> </w:t>
      </w:r>
      <w:r w:rsidR="00BD39CD">
        <w:rPr>
          <w:rFonts w:ascii="Times New Roman" w:hAnsi="Times New Roman"/>
        </w:rPr>
        <w:t>affect</w:t>
      </w:r>
      <w:r w:rsidR="00F31B6E">
        <w:rPr>
          <w:rFonts w:ascii="Times New Roman" w:hAnsi="Times New Roman"/>
        </w:rPr>
        <w:t xml:space="preserve"> the public good and thus increasingly</w:t>
      </w:r>
      <w:r>
        <w:rPr>
          <w:rFonts w:ascii="Times New Roman" w:hAnsi="Times New Roman"/>
        </w:rPr>
        <w:t xml:space="preserve"> overlap with </w:t>
      </w:r>
      <w:r w:rsidR="00F31B6E">
        <w:rPr>
          <w:rFonts w:ascii="Times New Roman" w:hAnsi="Times New Roman"/>
        </w:rPr>
        <w:t>magisterial</w:t>
      </w:r>
      <w:r>
        <w:rPr>
          <w:rFonts w:ascii="Times New Roman" w:hAnsi="Times New Roman"/>
        </w:rPr>
        <w:t xml:space="preserve"> interests</w:t>
      </w:r>
      <w:r w:rsidR="00F31B6E">
        <w:rPr>
          <w:rFonts w:ascii="Times New Roman" w:hAnsi="Times New Roman"/>
        </w:rPr>
        <w:t xml:space="preserve">—an overlap most clearly </w:t>
      </w:r>
      <w:r w:rsidR="0088474C">
        <w:rPr>
          <w:rFonts w:ascii="Times New Roman" w:hAnsi="Times New Roman"/>
        </w:rPr>
        <w:t>established</w:t>
      </w:r>
      <w:r w:rsidR="00F31B6E">
        <w:rPr>
          <w:rFonts w:ascii="Times New Roman" w:hAnsi="Times New Roman"/>
        </w:rPr>
        <w:t xml:space="preserve"> in Locke’s</w:t>
      </w:r>
      <w:r>
        <w:rPr>
          <w:rFonts w:ascii="Times New Roman" w:hAnsi="Times New Roman"/>
        </w:rPr>
        <w:t xml:space="preserve"> discussion of the church and magistrate’s dual interests in the inculcation of the sorts of judgments and practices proper to “a good life”:</w:t>
      </w:r>
    </w:p>
    <w:p w14:paraId="09655690" w14:textId="634B6C2C" w:rsidR="00B70C24" w:rsidRDefault="00B70C24" w:rsidP="00B70C24">
      <w:pPr>
        <w:pStyle w:val="NoSpacing"/>
        <w:ind w:left="720"/>
        <w:rPr>
          <w:rFonts w:ascii="Times New Roman" w:hAnsi="Times New Roman"/>
        </w:rPr>
      </w:pPr>
      <w:r>
        <w:rPr>
          <w:rFonts w:ascii="Times New Roman" w:hAnsi="Times New Roman"/>
          <w:i/>
        </w:rPr>
        <w:t>A good life</w:t>
      </w:r>
      <w:r>
        <w:rPr>
          <w:rFonts w:ascii="Times New Roman" w:hAnsi="Times New Roman"/>
        </w:rPr>
        <w:t xml:space="preserve">, in which consists not the least part of Religion and true Piety, concerns also the Civil Government; and in it lies the safety of both men’s souls and of the commonwealth.  </w:t>
      </w:r>
      <w:r>
        <w:rPr>
          <w:rFonts w:ascii="Times New Roman" w:hAnsi="Times New Roman"/>
          <w:i/>
        </w:rPr>
        <w:t>Moral Actions</w:t>
      </w:r>
      <w:r>
        <w:rPr>
          <w:rFonts w:ascii="Times New Roman" w:hAnsi="Times New Roman"/>
        </w:rPr>
        <w:t xml:space="preserve"> belong therefore to the Jurisdiction both of the outward and the inward Court…Here </w:t>
      </w:r>
      <w:r>
        <w:rPr>
          <w:rFonts w:ascii="Times New Roman" w:hAnsi="Times New Roman"/>
        </w:rPr>
        <w:lastRenderedPageBreak/>
        <w:t>therefore is great danger, lest one of these Jurisdictions intrench upon the other, and Discord arise between the Keeper of the public Peace and the Overseers of Souls.  But if what has been already said concerning the Limits of both these Governments be rightly considered, it will easily remove all difficulty in this matter.</w:t>
      </w:r>
      <w:r w:rsidR="00514D16">
        <w:rPr>
          <w:rStyle w:val="FootnoteReference"/>
        </w:rPr>
        <w:footnoteReference w:id="12"/>
      </w:r>
    </w:p>
    <w:p w14:paraId="0FB69B25" w14:textId="77777777" w:rsidR="00B70C24" w:rsidRDefault="00B70C24" w:rsidP="00B70C24">
      <w:pPr>
        <w:pStyle w:val="NoSpacing"/>
        <w:rPr>
          <w:rFonts w:ascii="Times New Roman" w:hAnsi="Times New Roman"/>
        </w:rPr>
      </w:pPr>
    </w:p>
    <w:p w14:paraId="6B6AA332" w14:textId="733B53BA" w:rsidR="00B70C24" w:rsidRDefault="00B70C24" w:rsidP="002E6010">
      <w:pPr>
        <w:pStyle w:val="NoSpacing"/>
        <w:spacing w:line="480" w:lineRule="auto"/>
        <w:rPr>
          <w:rFonts w:ascii="Times New Roman" w:hAnsi="Times New Roman"/>
        </w:rPr>
      </w:pPr>
      <w:r>
        <w:rPr>
          <w:rFonts w:ascii="Times New Roman" w:hAnsi="Times New Roman"/>
        </w:rPr>
        <w:t xml:space="preserve">Difficulties concerning limits do, however, persist.  What if the “overseer of souls” attempts to inculcate some such version of “a good life” that disrupts the </w:t>
      </w:r>
      <w:r w:rsidR="002F603C">
        <w:rPr>
          <w:rFonts w:ascii="Times New Roman" w:hAnsi="Times New Roman"/>
        </w:rPr>
        <w:t>interests</w:t>
      </w:r>
      <w:r>
        <w:rPr>
          <w:rFonts w:ascii="Times New Roman" w:hAnsi="Times New Roman"/>
        </w:rPr>
        <w:t xml:space="preserve"> of “Money, Lands, Houses, Furniture, and the like”? Considering that Locke’s conceptualization of inwardness, outwardness and indifference leaves us with (1) a magistrate who can intervene on outward practices; </w:t>
      </w:r>
      <w:r w:rsidR="002F603C">
        <w:rPr>
          <w:rFonts w:ascii="Times New Roman" w:hAnsi="Times New Roman"/>
        </w:rPr>
        <w:t>(2</w:t>
      </w:r>
      <w:r>
        <w:rPr>
          <w:rFonts w:ascii="Times New Roman" w:hAnsi="Times New Roman"/>
        </w:rPr>
        <w:t xml:space="preserve">) religious belief that is “inward” </w:t>
      </w:r>
      <w:r w:rsidR="002F603C">
        <w:rPr>
          <w:rFonts w:ascii="Times New Roman" w:hAnsi="Times New Roman"/>
        </w:rPr>
        <w:t>yet outwardly manifested; and (3</w:t>
      </w:r>
      <w:r>
        <w:rPr>
          <w:rFonts w:ascii="Times New Roman" w:hAnsi="Times New Roman"/>
        </w:rPr>
        <w:t xml:space="preserve">) religious beliefs which </w:t>
      </w:r>
      <w:r>
        <w:rPr>
          <w:rFonts w:ascii="Times New Roman" w:hAnsi="Times New Roman"/>
          <w:i/>
        </w:rPr>
        <w:t>can</w:t>
      </w:r>
      <w:r>
        <w:rPr>
          <w:rFonts w:ascii="Times New Roman" w:hAnsi="Times New Roman"/>
        </w:rPr>
        <w:t xml:space="preserve"> inculcate practices relevant to the public good, then what </w:t>
      </w:r>
      <w:r w:rsidR="00636D6D">
        <w:rPr>
          <w:rFonts w:ascii="Times New Roman" w:hAnsi="Times New Roman"/>
        </w:rPr>
        <w:t>do we make of Locke’s assertion that the</w:t>
      </w:r>
      <w:r>
        <w:rPr>
          <w:rFonts w:ascii="Times New Roman" w:hAnsi="Times New Roman"/>
        </w:rPr>
        <w:t xml:space="preserve"> outward manifestations of religious belief </w:t>
      </w:r>
      <w:r w:rsidRPr="006A5FC3">
        <w:rPr>
          <w:rFonts w:ascii="Times New Roman" w:hAnsi="Times New Roman"/>
        </w:rPr>
        <w:t>do</w:t>
      </w:r>
      <w:r>
        <w:rPr>
          <w:rFonts w:ascii="Times New Roman" w:hAnsi="Times New Roman"/>
        </w:rPr>
        <w:t xml:space="preserve"> </w:t>
      </w:r>
      <w:r w:rsidR="00636D6D">
        <w:rPr>
          <w:rFonts w:ascii="Times New Roman" w:hAnsi="Times New Roman"/>
        </w:rPr>
        <w:t>affect</w:t>
      </w:r>
      <w:r>
        <w:rPr>
          <w:rFonts w:ascii="Times New Roman" w:hAnsi="Times New Roman"/>
        </w:rPr>
        <w:t xml:space="preserve"> the public good?  Given that the magistrate can intervene in outward practices </w:t>
      </w:r>
      <w:r>
        <w:rPr>
          <w:rFonts w:ascii="Times New Roman" w:hAnsi="Times New Roman"/>
          <w:i/>
        </w:rPr>
        <w:t>and</w:t>
      </w:r>
      <w:r>
        <w:rPr>
          <w:rFonts w:ascii="Times New Roman" w:hAnsi="Times New Roman"/>
        </w:rPr>
        <w:t xml:space="preserve"> that religious practices can contribute to the maintenance of the public good (i.e., there is an </w:t>
      </w:r>
      <w:r w:rsidRPr="002E6010">
        <w:rPr>
          <w:rFonts w:ascii="Times New Roman" w:hAnsi="Times New Roman"/>
        </w:rPr>
        <w:t>overlap</w:t>
      </w:r>
      <w:r w:rsidR="002F603C">
        <w:rPr>
          <w:rFonts w:ascii="Times New Roman" w:hAnsi="Times New Roman"/>
        </w:rPr>
        <w:t xml:space="preserve"> between (1) and (3</w:t>
      </w:r>
      <w:r>
        <w:rPr>
          <w:rFonts w:ascii="Times New Roman" w:hAnsi="Times New Roman"/>
        </w:rPr>
        <w:t xml:space="preserve">)), then why wouldn’t the magistrate interfere in religious practices in cases where interventions </w:t>
      </w:r>
      <w:r>
        <w:rPr>
          <w:rFonts w:ascii="Times New Roman" w:hAnsi="Times New Roman"/>
          <w:i/>
        </w:rPr>
        <w:t>could</w:t>
      </w:r>
      <w:r>
        <w:rPr>
          <w:rFonts w:ascii="Times New Roman" w:hAnsi="Times New Roman"/>
        </w:rPr>
        <w:t xml:space="preserve"> steer the public good in some directi</w:t>
      </w:r>
      <w:r w:rsidR="006B5803">
        <w:rPr>
          <w:rFonts w:ascii="Times New Roman" w:hAnsi="Times New Roman"/>
        </w:rPr>
        <w:t xml:space="preserve">on he judges to be productive?  </w:t>
      </w:r>
      <w:r>
        <w:rPr>
          <w:rFonts w:ascii="Times New Roman" w:hAnsi="Times New Roman"/>
        </w:rPr>
        <w:t xml:space="preserve">And if Locke’s account does not prevent such interventions, then </w:t>
      </w:r>
      <w:r w:rsidR="00636D6D">
        <w:rPr>
          <w:rFonts w:ascii="Times New Roman" w:hAnsi="Times New Roman"/>
        </w:rPr>
        <w:t>to what extent do</w:t>
      </w:r>
      <w:r>
        <w:rPr>
          <w:rFonts w:ascii="Times New Roman" w:hAnsi="Times New Roman"/>
        </w:rPr>
        <w:t xml:space="preserve"> religious practices remain secure from magisterial intervention?</w:t>
      </w:r>
    </w:p>
    <w:p w14:paraId="3C52120A" w14:textId="745DCD62" w:rsidR="00537353" w:rsidRDefault="00537353" w:rsidP="002E6010">
      <w:pPr>
        <w:pStyle w:val="NoSpacing"/>
        <w:spacing w:line="480" w:lineRule="auto"/>
        <w:rPr>
          <w:rFonts w:ascii="Times New Roman" w:hAnsi="Times New Roman"/>
        </w:rPr>
      </w:pPr>
      <w:r>
        <w:rPr>
          <w:rFonts w:ascii="Times New Roman" w:hAnsi="Times New Roman"/>
        </w:rPr>
        <w:tab/>
      </w:r>
      <w:r w:rsidR="004736AA">
        <w:rPr>
          <w:rFonts w:ascii="Times New Roman" w:hAnsi="Times New Roman"/>
        </w:rPr>
        <w:t>T</w:t>
      </w:r>
      <w:r>
        <w:rPr>
          <w:rFonts w:ascii="Times New Roman" w:hAnsi="Times New Roman"/>
        </w:rPr>
        <w:t>he problems implied with these questions bring us to</w:t>
      </w:r>
      <w:r w:rsidR="007817F2">
        <w:rPr>
          <w:rFonts w:ascii="Times New Roman" w:hAnsi="Times New Roman"/>
        </w:rPr>
        <w:t xml:space="preserve"> the</w:t>
      </w:r>
      <w:r>
        <w:rPr>
          <w:rFonts w:ascii="Times New Roman" w:hAnsi="Times New Roman"/>
        </w:rPr>
        <w:t xml:space="preserve"> two sorts of </w:t>
      </w:r>
      <w:r w:rsidR="003B065D">
        <w:rPr>
          <w:rFonts w:ascii="Times New Roman" w:hAnsi="Times New Roman"/>
        </w:rPr>
        <w:t>refutations</w:t>
      </w:r>
      <w:r>
        <w:rPr>
          <w:rFonts w:ascii="Times New Roman" w:hAnsi="Times New Roman"/>
        </w:rPr>
        <w:t xml:space="preserve"> mentioned in my introduction.  On one hand, </w:t>
      </w:r>
      <w:r w:rsidR="000E4C5B">
        <w:rPr>
          <w:rFonts w:ascii="Times New Roman" w:hAnsi="Times New Roman"/>
        </w:rPr>
        <w:t>what I have termed</w:t>
      </w:r>
      <w:r w:rsidR="002C045C">
        <w:rPr>
          <w:rFonts w:ascii="Times New Roman" w:hAnsi="Times New Roman"/>
        </w:rPr>
        <w:t xml:space="preserve"> Jeremy</w:t>
      </w:r>
      <w:r w:rsidR="000E4C5B">
        <w:rPr>
          <w:rFonts w:ascii="Times New Roman" w:hAnsi="Times New Roman"/>
        </w:rPr>
        <w:t xml:space="preserve"> </w:t>
      </w:r>
      <w:r>
        <w:rPr>
          <w:rFonts w:ascii="Times New Roman" w:hAnsi="Times New Roman"/>
        </w:rPr>
        <w:t xml:space="preserve">Waldron’s moral approach reasons that Locke’s argument that “people’s beliefs cannot be controlled directly by coercive means” leaves us with only a </w:t>
      </w:r>
      <w:r w:rsidRPr="000E4C5B">
        <w:rPr>
          <w:rFonts w:ascii="Times New Roman" w:hAnsi="Times New Roman"/>
          <w:i/>
        </w:rPr>
        <w:t>rational</w:t>
      </w:r>
      <w:r w:rsidR="00680C1A">
        <w:rPr>
          <w:rFonts w:ascii="Times New Roman" w:hAnsi="Times New Roman"/>
        </w:rPr>
        <w:t xml:space="preserve"> argument against intolerance; yet</w:t>
      </w:r>
      <w:r>
        <w:rPr>
          <w:rFonts w:ascii="Times New Roman" w:hAnsi="Times New Roman"/>
        </w:rPr>
        <w:t xml:space="preserve"> insofar as outward magisterial power can ascertain which books subjects read and which arguments they listen to, coercion can still extend to the “sources” of beliefs and thus can inhibit the “surrounding apparatus”</w:t>
      </w:r>
      <w:r w:rsidR="000E4C5B">
        <w:rPr>
          <w:rFonts w:ascii="Times New Roman" w:hAnsi="Times New Roman"/>
        </w:rPr>
        <w:t xml:space="preserve"> that </w:t>
      </w:r>
      <w:r w:rsidR="007817F2">
        <w:rPr>
          <w:rFonts w:ascii="Times New Roman" w:hAnsi="Times New Roman"/>
        </w:rPr>
        <w:t>fosters</w:t>
      </w:r>
      <w:r>
        <w:rPr>
          <w:rFonts w:ascii="Times New Roman" w:hAnsi="Times New Roman"/>
        </w:rPr>
        <w:t xml:space="preserve"> the inward beliefs in question.</w:t>
      </w:r>
      <w:r>
        <w:rPr>
          <w:rStyle w:val="FootnoteReference"/>
        </w:rPr>
        <w:footnoteReference w:id="13"/>
      </w:r>
      <w:r w:rsidR="00B26428">
        <w:rPr>
          <w:rFonts w:ascii="Times New Roman" w:hAnsi="Times New Roman"/>
        </w:rPr>
        <w:t xml:space="preserve"> </w:t>
      </w:r>
      <w:r w:rsidR="000E4C5B">
        <w:rPr>
          <w:rFonts w:ascii="Times New Roman" w:hAnsi="Times New Roman"/>
        </w:rPr>
        <w:t xml:space="preserve">As a result, absent a </w:t>
      </w:r>
      <w:r w:rsidR="000E4C5B">
        <w:rPr>
          <w:rFonts w:ascii="Times New Roman" w:hAnsi="Times New Roman"/>
          <w:i/>
        </w:rPr>
        <w:t>moral</w:t>
      </w:r>
      <w:r w:rsidR="000E4C5B">
        <w:rPr>
          <w:rFonts w:ascii="Times New Roman" w:hAnsi="Times New Roman"/>
        </w:rPr>
        <w:t xml:space="preserve"> justification of the “value of religious, philosophical and ethical diversity” </w:t>
      </w:r>
      <w:r w:rsidR="000E4C5B" w:rsidRPr="00927717">
        <w:rPr>
          <w:rFonts w:ascii="Times New Roman" w:hAnsi="Times New Roman"/>
        </w:rPr>
        <w:t>as such</w:t>
      </w:r>
      <w:r w:rsidR="000E4C5B">
        <w:rPr>
          <w:rFonts w:ascii="Times New Roman" w:hAnsi="Times New Roman"/>
        </w:rPr>
        <w:t xml:space="preserve"> akin to that advanced by John Stuart Mill,</w:t>
      </w:r>
      <w:r w:rsidR="000E4C5B">
        <w:rPr>
          <w:rStyle w:val="FootnoteReference"/>
        </w:rPr>
        <w:footnoteReference w:id="14"/>
      </w:r>
      <w:r w:rsidR="000E4C5B">
        <w:rPr>
          <w:rFonts w:ascii="Times New Roman" w:hAnsi="Times New Roman"/>
        </w:rPr>
        <w:t xml:space="preserve"> we are left with a Lockean magistrate who both tracks the outward effects of inward beliefs and whose need and capacity to affect outward things provides sufficient </w:t>
      </w:r>
      <w:r w:rsidR="00B26428">
        <w:rPr>
          <w:rFonts w:ascii="Times New Roman" w:hAnsi="Times New Roman"/>
        </w:rPr>
        <w:t>excuses</w:t>
      </w:r>
      <w:r w:rsidR="000E4C5B">
        <w:rPr>
          <w:rFonts w:ascii="Times New Roman" w:hAnsi="Times New Roman"/>
        </w:rPr>
        <w:t xml:space="preserve"> for persecution.  Thus Waldron’s inquiry into whether Locke’s </w:t>
      </w:r>
      <w:r w:rsidR="00C5615C">
        <w:rPr>
          <w:rFonts w:ascii="Times New Roman" w:hAnsi="Times New Roman"/>
        </w:rPr>
        <w:t>argument</w:t>
      </w:r>
      <w:r w:rsidR="000E4C5B">
        <w:rPr>
          <w:rFonts w:ascii="Times New Roman" w:hAnsi="Times New Roman"/>
        </w:rPr>
        <w:t xml:space="preserve"> “might </w:t>
      </w:r>
      <w:r w:rsidR="000E4C5B">
        <w:rPr>
          <w:rFonts w:ascii="Times New Roman" w:hAnsi="Times New Roman"/>
        </w:rPr>
        <w:lastRenderedPageBreak/>
        <w:t xml:space="preserve">dissuade someone </w:t>
      </w:r>
      <w:r w:rsidR="000E4C5B" w:rsidRPr="007817F2">
        <w:rPr>
          <w:rFonts w:ascii="Times New Roman" w:hAnsi="Times New Roman"/>
          <w:i/>
        </w:rPr>
        <w:t>here and now</w:t>
      </w:r>
      <w:r w:rsidR="000E4C5B">
        <w:rPr>
          <w:rFonts w:ascii="Times New Roman" w:hAnsi="Times New Roman"/>
        </w:rPr>
        <w:t xml:space="preserve"> from action of intolerance and persecution”</w:t>
      </w:r>
      <w:r w:rsidR="00C5615C">
        <w:rPr>
          <w:rStyle w:val="FootnoteReference"/>
        </w:rPr>
        <w:footnoteReference w:id="15"/>
      </w:r>
      <w:r w:rsidR="000E4C5B">
        <w:rPr>
          <w:rFonts w:ascii="Times New Roman" w:hAnsi="Times New Roman"/>
        </w:rPr>
        <w:t xml:space="preserve"> </w:t>
      </w:r>
      <w:r w:rsidR="00C5615C">
        <w:rPr>
          <w:rFonts w:ascii="Times New Roman" w:hAnsi="Times New Roman"/>
        </w:rPr>
        <w:t xml:space="preserve">produces a </w:t>
      </w:r>
      <w:r w:rsidR="00D56630">
        <w:rPr>
          <w:rFonts w:ascii="Times New Roman" w:hAnsi="Times New Roman"/>
        </w:rPr>
        <w:t>refutation</w:t>
      </w:r>
      <w:r w:rsidR="00C5615C">
        <w:rPr>
          <w:rFonts w:ascii="Times New Roman" w:hAnsi="Times New Roman"/>
        </w:rPr>
        <w:t xml:space="preserve"> of Lockean toleration from the belief/coercion mismatch.</w:t>
      </w:r>
    </w:p>
    <w:p w14:paraId="591D6E6C" w14:textId="2D8AD944" w:rsidR="000E4C5B" w:rsidRDefault="000E4C5B" w:rsidP="002E6010">
      <w:pPr>
        <w:pStyle w:val="NoSpacing"/>
        <w:spacing w:line="480" w:lineRule="auto"/>
        <w:rPr>
          <w:rFonts w:ascii="Times New Roman" w:hAnsi="Times New Roman"/>
        </w:rPr>
      </w:pPr>
      <w:r>
        <w:rPr>
          <w:rFonts w:ascii="Times New Roman" w:hAnsi="Times New Roman"/>
        </w:rPr>
        <w:tab/>
      </w:r>
      <w:r w:rsidR="00C5615C">
        <w:rPr>
          <w:rFonts w:ascii="Times New Roman" w:hAnsi="Times New Roman"/>
        </w:rPr>
        <w:t>From another perspective</w:t>
      </w:r>
      <w:r>
        <w:rPr>
          <w:rFonts w:ascii="Times New Roman" w:hAnsi="Times New Roman"/>
        </w:rPr>
        <w:t xml:space="preserve">, </w:t>
      </w:r>
      <w:r w:rsidR="00C5615C">
        <w:rPr>
          <w:rFonts w:ascii="Times New Roman" w:hAnsi="Times New Roman"/>
        </w:rPr>
        <w:t xml:space="preserve">in what I have termed the discursive approach, </w:t>
      </w:r>
      <w:r w:rsidR="002C045C">
        <w:rPr>
          <w:rFonts w:ascii="Times New Roman" w:hAnsi="Times New Roman"/>
        </w:rPr>
        <w:t xml:space="preserve">Kirstie </w:t>
      </w:r>
      <w:r w:rsidR="00C5615C">
        <w:rPr>
          <w:rFonts w:ascii="Times New Roman" w:hAnsi="Times New Roman"/>
        </w:rPr>
        <w:t>McClure argues that Locke’s defense of toleration in effect redescribes “incommensurable visions of religious practice” as “politically indifferent matters of private belief”</w:t>
      </w:r>
      <w:r w:rsidR="002C045C">
        <w:rPr>
          <w:rStyle w:val="FootnoteReference"/>
        </w:rPr>
        <w:footnoteReference w:id="16"/>
      </w:r>
      <w:r w:rsidR="00C5615C">
        <w:rPr>
          <w:rFonts w:ascii="Times New Roman" w:hAnsi="Times New Roman"/>
        </w:rPr>
        <w:t xml:space="preserve">—a project that is not politically neutral but rather establishes a hierarchy between the (outward) things open to the “objective” political judgment of the magistrate and the (inward) things now relegated to </w:t>
      </w:r>
      <w:r w:rsidR="00DE5B4C">
        <w:rPr>
          <w:rFonts w:ascii="Times New Roman" w:hAnsi="Times New Roman"/>
        </w:rPr>
        <w:t xml:space="preserve">mere subjectivity. </w:t>
      </w:r>
      <w:r w:rsidR="00C5615C">
        <w:rPr>
          <w:rFonts w:ascii="Times New Roman" w:hAnsi="Times New Roman"/>
        </w:rPr>
        <w:t>As such,</w:t>
      </w:r>
      <w:r w:rsidR="001245AE">
        <w:rPr>
          <w:rFonts w:ascii="Times New Roman" w:hAnsi="Times New Roman"/>
        </w:rPr>
        <w:t xml:space="preserve"> Locke’s defense</w:t>
      </w:r>
      <w:r w:rsidR="003B065D">
        <w:rPr>
          <w:rFonts w:ascii="Times New Roman" w:hAnsi="Times New Roman"/>
        </w:rPr>
        <w:t xml:space="preserve"> of toleration</w:t>
      </w:r>
      <w:r w:rsidR="001245AE">
        <w:rPr>
          <w:rFonts w:ascii="Times New Roman" w:hAnsi="Times New Roman"/>
        </w:rPr>
        <w:t xml:space="preserve"> asserts a “primacy of facticity”</w:t>
      </w:r>
      <w:r w:rsidR="002C045C">
        <w:rPr>
          <w:rFonts w:ascii="Times New Roman" w:hAnsi="Times New Roman"/>
        </w:rPr>
        <w:t xml:space="preserve"> </w:t>
      </w:r>
      <w:r w:rsidR="001245AE">
        <w:rPr>
          <w:rFonts w:ascii="Times New Roman" w:hAnsi="Times New Roman"/>
        </w:rPr>
        <w:t>over</w:t>
      </w:r>
      <w:r w:rsidR="00C5615C">
        <w:rPr>
          <w:rFonts w:ascii="Times New Roman" w:hAnsi="Times New Roman"/>
        </w:rPr>
        <w:t xml:space="preserve"> </w:t>
      </w:r>
      <w:r w:rsidR="00DE5B4C">
        <w:rPr>
          <w:rFonts w:ascii="Times New Roman" w:hAnsi="Times New Roman"/>
        </w:rPr>
        <w:t xml:space="preserve">claims </w:t>
      </w:r>
      <w:r w:rsidR="00C5615C">
        <w:rPr>
          <w:rFonts w:ascii="Times New Roman" w:hAnsi="Times New Roman"/>
        </w:rPr>
        <w:t>we might understand today as</w:t>
      </w:r>
      <w:r w:rsidR="001245AE">
        <w:rPr>
          <w:rFonts w:ascii="Times New Roman" w:hAnsi="Times New Roman"/>
        </w:rPr>
        <w:t xml:space="preserve"> emanating from</w:t>
      </w:r>
      <w:r w:rsidR="00C5615C">
        <w:rPr>
          <w:rFonts w:ascii="Times New Roman" w:hAnsi="Times New Roman"/>
        </w:rPr>
        <w:t xml:space="preserve"> </w:t>
      </w:r>
      <w:r w:rsidR="001245AE">
        <w:rPr>
          <w:rFonts w:ascii="Times New Roman" w:hAnsi="Times New Roman"/>
        </w:rPr>
        <w:t xml:space="preserve">“identities”: insofar as the state is empowered as “the sole legitimate </w:t>
      </w:r>
      <w:r w:rsidR="004327E9">
        <w:rPr>
          <w:rFonts w:ascii="Times New Roman" w:hAnsi="Times New Roman"/>
        </w:rPr>
        <w:t>ad</w:t>
      </w:r>
      <w:r w:rsidR="001245AE">
        <w:rPr>
          <w:rFonts w:ascii="Times New Roman" w:hAnsi="Times New Roman"/>
        </w:rPr>
        <w:t>judicator of worldly practice,”</w:t>
      </w:r>
      <w:r w:rsidR="002C045C">
        <w:rPr>
          <w:rStyle w:val="FootnoteReference"/>
        </w:rPr>
        <w:footnoteReference w:id="17"/>
      </w:r>
      <w:r w:rsidR="002C045C">
        <w:rPr>
          <w:rFonts w:ascii="Times New Roman" w:hAnsi="Times New Roman"/>
        </w:rPr>
        <w:t xml:space="preserve"> </w:t>
      </w:r>
      <w:r w:rsidR="001245AE">
        <w:rPr>
          <w:rFonts w:ascii="Times New Roman" w:hAnsi="Times New Roman"/>
        </w:rPr>
        <w:t>magistrates can reinterpret all claims to difference as apolitical “subjective judgment” and thus police “objec</w:t>
      </w:r>
      <w:r w:rsidR="00576A84">
        <w:rPr>
          <w:rFonts w:ascii="Times New Roman" w:hAnsi="Times New Roman"/>
        </w:rPr>
        <w:t>tive” outward effects absent any</w:t>
      </w:r>
      <w:r w:rsidR="001245AE">
        <w:rPr>
          <w:rFonts w:ascii="Times New Roman" w:hAnsi="Times New Roman"/>
        </w:rPr>
        <w:t xml:space="preserve"> consideration of how different identities come to be constit</w:t>
      </w:r>
      <w:r w:rsidR="00DE5B4C">
        <w:rPr>
          <w:rFonts w:ascii="Times New Roman" w:hAnsi="Times New Roman"/>
        </w:rPr>
        <w:t xml:space="preserve">uted. </w:t>
      </w:r>
      <w:r w:rsidR="00B26428">
        <w:rPr>
          <w:rFonts w:ascii="Times New Roman" w:hAnsi="Times New Roman"/>
        </w:rPr>
        <w:t>As McClure reasons, the</w:t>
      </w:r>
      <w:r w:rsidR="005D5A1B">
        <w:rPr>
          <w:rFonts w:ascii="Times New Roman" w:hAnsi="Times New Roman"/>
        </w:rPr>
        <w:t xml:space="preserve"> Lockean articulation of the belief/coercion axis</w:t>
      </w:r>
      <w:r w:rsidR="00B26428">
        <w:rPr>
          <w:rFonts w:ascii="Times New Roman" w:hAnsi="Times New Roman"/>
        </w:rPr>
        <w:t xml:space="preserve"> thus</w:t>
      </w:r>
      <w:r w:rsidR="005D5A1B">
        <w:rPr>
          <w:rFonts w:ascii="Times New Roman" w:hAnsi="Times New Roman"/>
        </w:rPr>
        <w:t xml:space="preserve"> becomes particularly problematic when “the civil discourse of facticity itself has become a site riddled with conflicting interpretations of which particular sets of social ‘facts’ are to be considered indicative of the sort of ‘harm’ appropriately subject to political jurisdiction.”</w:t>
      </w:r>
      <w:r w:rsidR="002C045C">
        <w:rPr>
          <w:rStyle w:val="FootnoteReference"/>
        </w:rPr>
        <w:footnoteReference w:id="18"/>
      </w:r>
      <w:r w:rsidR="002C045C">
        <w:rPr>
          <w:rFonts w:ascii="Times New Roman" w:hAnsi="Times New Roman"/>
        </w:rPr>
        <w:t xml:space="preserve"> In other words, insofar as</w:t>
      </w:r>
      <w:r w:rsidR="005D5A1B">
        <w:rPr>
          <w:rFonts w:ascii="Times New Roman" w:hAnsi="Times New Roman"/>
        </w:rPr>
        <w:t xml:space="preserve"> </w:t>
      </w:r>
      <w:r w:rsidR="002C045C">
        <w:rPr>
          <w:rFonts w:ascii="Times New Roman" w:hAnsi="Times New Roman"/>
        </w:rPr>
        <w:t>today’s</w:t>
      </w:r>
      <w:r w:rsidR="005D5A1B">
        <w:rPr>
          <w:rFonts w:ascii="Times New Roman" w:hAnsi="Times New Roman"/>
        </w:rPr>
        <w:t xml:space="preserve"> </w:t>
      </w:r>
      <w:r w:rsidR="002C045C">
        <w:rPr>
          <w:rFonts w:ascii="Times New Roman" w:hAnsi="Times New Roman"/>
        </w:rPr>
        <w:t>experience</w:t>
      </w:r>
      <w:r w:rsidR="005D5A1B">
        <w:rPr>
          <w:rFonts w:ascii="Times New Roman" w:hAnsi="Times New Roman"/>
        </w:rPr>
        <w:t xml:space="preserve"> of “society” as “a complex, dynamic, and interrelated set of empirical social processes unfolding in time”</w:t>
      </w:r>
      <w:r w:rsidR="00DE5B4C">
        <w:rPr>
          <w:rStyle w:val="FootnoteReference"/>
        </w:rPr>
        <w:footnoteReference w:id="19"/>
      </w:r>
      <w:r w:rsidR="005D5A1B">
        <w:rPr>
          <w:rFonts w:ascii="Times New Roman" w:hAnsi="Times New Roman"/>
        </w:rPr>
        <w:t xml:space="preserve"> jumbles our understanding of inward and outward dimensions of identity, Lockean toleration seems particularly </w:t>
      </w:r>
      <w:r w:rsidR="005D5A1B" w:rsidRPr="005D5A1B">
        <w:rPr>
          <w:rFonts w:ascii="Times New Roman" w:hAnsi="Times New Roman"/>
        </w:rPr>
        <w:t>incapable</w:t>
      </w:r>
      <w:r w:rsidR="005D5A1B">
        <w:rPr>
          <w:rFonts w:ascii="Times New Roman" w:hAnsi="Times New Roman"/>
        </w:rPr>
        <w:t xml:space="preserve"> of arriving at </w:t>
      </w:r>
      <w:r w:rsidR="002C045C">
        <w:rPr>
          <w:rFonts w:ascii="Times New Roman" w:hAnsi="Times New Roman"/>
        </w:rPr>
        <w:t xml:space="preserve">the </w:t>
      </w:r>
      <w:r w:rsidR="005D5A1B">
        <w:rPr>
          <w:rFonts w:ascii="Times New Roman" w:hAnsi="Times New Roman"/>
        </w:rPr>
        <w:t xml:space="preserve">“objective” </w:t>
      </w:r>
      <w:r w:rsidR="004E72FF">
        <w:rPr>
          <w:rFonts w:ascii="Times New Roman" w:hAnsi="Times New Roman"/>
        </w:rPr>
        <w:t>adjudication among outward</w:t>
      </w:r>
      <w:r w:rsidR="005D5A1B">
        <w:rPr>
          <w:rFonts w:ascii="Times New Roman" w:hAnsi="Times New Roman"/>
        </w:rPr>
        <w:t xml:space="preserve"> </w:t>
      </w:r>
      <w:r w:rsidR="004E72FF">
        <w:rPr>
          <w:rFonts w:ascii="Times New Roman" w:hAnsi="Times New Roman"/>
        </w:rPr>
        <w:t>f</w:t>
      </w:r>
      <w:r w:rsidR="005D5A1B">
        <w:rPr>
          <w:rFonts w:ascii="Times New Roman" w:hAnsi="Times New Roman"/>
        </w:rPr>
        <w:t xml:space="preserve">acts theorized with magisterial power. </w:t>
      </w:r>
      <w:r w:rsidR="002B0D11">
        <w:rPr>
          <w:rFonts w:ascii="Times New Roman" w:hAnsi="Times New Roman"/>
        </w:rPr>
        <w:t>M</w:t>
      </w:r>
      <w:r w:rsidR="005D5A1B">
        <w:rPr>
          <w:rFonts w:ascii="Times New Roman" w:hAnsi="Times New Roman"/>
        </w:rPr>
        <w:t xml:space="preserve">oreover, </w:t>
      </w:r>
      <w:r w:rsidR="004E72FF">
        <w:rPr>
          <w:rFonts w:ascii="Times New Roman" w:hAnsi="Times New Roman"/>
        </w:rPr>
        <w:t xml:space="preserve">moving beyond </w:t>
      </w:r>
      <w:r w:rsidR="00B26428">
        <w:rPr>
          <w:rFonts w:ascii="Times New Roman" w:hAnsi="Times New Roman"/>
        </w:rPr>
        <w:t xml:space="preserve">an argument for incapacity to an outright </w:t>
      </w:r>
      <w:r w:rsidR="00D56630">
        <w:rPr>
          <w:rFonts w:ascii="Times New Roman" w:hAnsi="Times New Roman"/>
        </w:rPr>
        <w:t>refutation</w:t>
      </w:r>
      <w:r w:rsidR="004E72FF">
        <w:rPr>
          <w:rFonts w:ascii="Times New Roman" w:hAnsi="Times New Roman"/>
        </w:rPr>
        <w:t xml:space="preserve"> of </w:t>
      </w:r>
      <w:r w:rsidR="005D5A1B">
        <w:rPr>
          <w:rFonts w:ascii="Times New Roman" w:hAnsi="Times New Roman"/>
        </w:rPr>
        <w:t xml:space="preserve">Lockean toleration, Wendy Brown’s </w:t>
      </w:r>
      <w:r w:rsidR="004E72FF">
        <w:rPr>
          <w:rFonts w:ascii="Times New Roman" w:hAnsi="Times New Roman"/>
        </w:rPr>
        <w:t xml:space="preserve">articulation of the discursive </w:t>
      </w:r>
      <w:r w:rsidR="003B065D">
        <w:rPr>
          <w:rFonts w:ascii="Times New Roman" w:hAnsi="Times New Roman"/>
        </w:rPr>
        <w:t>refutation</w:t>
      </w:r>
      <w:r w:rsidR="004E72FF">
        <w:rPr>
          <w:rFonts w:ascii="Times New Roman" w:hAnsi="Times New Roman"/>
        </w:rPr>
        <w:t xml:space="preserve"> suggests that Locke’s defense not only “radically individ</w:t>
      </w:r>
      <w:r w:rsidR="00636D6D">
        <w:rPr>
          <w:rFonts w:ascii="Times New Roman" w:hAnsi="Times New Roman"/>
        </w:rPr>
        <w:t>ualizes and privatizes religion</w:t>
      </w:r>
      <w:r w:rsidR="004E72FF">
        <w:rPr>
          <w:rFonts w:ascii="Times New Roman" w:hAnsi="Times New Roman"/>
        </w:rPr>
        <w:t>”</w:t>
      </w:r>
      <w:r w:rsidR="00DE5B4C">
        <w:rPr>
          <w:rStyle w:val="FootnoteReference"/>
        </w:rPr>
        <w:footnoteReference w:id="20"/>
      </w:r>
      <w:r w:rsidR="00636D6D">
        <w:rPr>
          <w:rFonts w:ascii="Times New Roman" w:hAnsi="Times New Roman"/>
        </w:rPr>
        <w:t>—</w:t>
      </w:r>
      <w:r w:rsidR="004E72FF">
        <w:rPr>
          <w:rFonts w:ascii="Times New Roman" w:hAnsi="Times New Roman"/>
        </w:rPr>
        <w:t>thus reconceptualizing the</w:t>
      </w:r>
      <w:r w:rsidR="00B26428">
        <w:rPr>
          <w:rFonts w:ascii="Times New Roman" w:hAnsi="Times New Roman"/>
        </w:rPr>
        <w:t xml:space="preserve"> inward</w:t>
      </w:r>
      <w:r w:rsidR="004E72FF">
        <w:rPr>
          <w:rFonts w:ascii="Times New Roman" w:hAnsi="Times New Roman"/>
        </w:rPr>
        <w:t xml:space="preserve"> </w:t>
      </w:r>
      <w:r w:rsidR="004E72FF">
        <w:rPr>
          <w:rFonts w:ascii="Times New Roman" w:hAnsi="Times New Roman"/>
        </w:rPr>
        <w:lastRenderedPageBreak/>
        <w:t>beliefs to be tolerated to have “no public importance”</w:t>
      </w:r>
      <w:r w:rsidR="00DE5B4C">
        <w:rPr>
          <w:rStyle w:val="FootnoteReference"/>
        </w:rPr>
        <w:footnoteReference w:id="21"/>
      </w:r>
      <w:r w:rsidR="00636D6D">
        <w:rPr>
          <w:rFonts w:ascii="Times New Roman" w:hAnsi="Times New Roman"/>
        </w:rPr>
        <w:t>—</w:t>
      </w:r>
      <w:r w:rsidR="004E72FF">
        <w:rPr>
          <w:rFonts w:ascii="Times New Roman" w:hAnsi="Times New Roman"/>
        </w:rPr>
        <w:t xml:space="preserve">but further leaves us with a </w:t>
      </w:r>
      <w:r w:rsidR="002C045C">
        <w:rPr>
          <w:rFonts w:ascii="Times New Roman" w:hAnsi="Times New Roman"/>
        </w:rPr>
        <w:t>moral relativism that implicitly translates different beliefs into “identities” taken to be stable, subjective</w:t>
      </w:r>
      <w:r w:rsidR="00DE5B4C">
        <w:rPr>
          <w:rFonts w:ascii="Times New Roman" w:hAnsi="Times New Roman"/>
        </w:rPr>
        <w:t>, and</w:t>
      </w:r>
      <w:r w:rsidR="002C045C">
        <w:rPr>
          <w:rFonts w:ascii="Times New Roman" w:hAnsi="Times New Roman"/>
        </w:rPr>
        <w:t xml:space="preserve"> prepolitical. </w:t>
      </w:r>
      <w:r w:rsidR="004736AA">
        <w:rPr>
          <w:rFonts w:ascii="Times New Roman" w:hAnsi="Times New Roman"/>
        </w:rPr>
        <w:t>Put differently</w:t>
      </w:r>
      <w:r w:rsidR="002C045C">
        <w:rPr>
          <w:rFonts w:ascii="Times New Roman" w:hAnsi="Times New Roman"/>
        </w:rPr>
        <w:t>, not only is Lockean toleration incapable of adjudicating among different social phenomena, but</w:t>
      </w:r>
      <w:r w:rsidR="003C1207">
        <w:rPr>
          <w:rFonts w:ascii="Times New Roman" w:hAnsi="Times New Roman"/>
        </w:rPr>
        <w:t xml:space="preserve"> now</w:t>
      </w:r>
      <w:r w:rsidR="002C045C">
        <w:rPr>
          <w:rFonts w:ascii="Times New Roman" w:hAnsi="Times New Roman"/>
        </w:rPr>
        <w:t xml:space="preserve"> </w:t>
      </w:r>
      <w:r w:rsidR="003C1207">
        <w:rPr>
          <w:rFonts w:ascii="Times New Roman" w:hAnsi="Times New Roman"/>
        </w:rPr>
        <w:t>it falls within a discourse that masks the power dynamics that constitute the subjects and objects of toleration</w:t>
      </w:r>
      <w:r w:rsidR="002C045C">
        <w:rPr>
          <w:rFonts w:ascii="Times New Roman" w:hAnsi="Times New Roman"/>
        </w:rPr>
        <w:t>: “by converting the effects of inequality—for example, institutionalized racism—into a matter of ‘different practices and beliefs,’ this discourse masks the working of inequality and hegemonic culture as that which produces the difference it seeks to protect.”</w:t>
      </w:r>
      <w:r w:rsidR="00DE5B4C">
        <w:rPr>
          <w:rStyle w:val="FootnoteReference"/>
        </w:rPr>
        <w:footnoteReference w:id="22"/>
      </w:r>
    </w:p>
    <w:p w14:paraId="5754BAB8" w14:textId="28EBFB85" w:rsidR="00C737AF" w:rsidRDefault="003C1207" w:rsidP="00C711DD">
      <w:pPr>
        <w:pStyle w:val="NoSpacing"/>
        <w:spacing w:line="480" w:lineRule="auto"/>
        <w:ind w:firstLine="720"/>
        <w:rPr>
          <w:rFonts w:ascii="Times New Roman" w:hAnsi="Times New Roman" w:cs="Times New Roman"/>
        </w:rPr>
      </w:pPr>
      <w:r>
        <w:rPr>
          <w:rFonts w:ascii="Times New Roman" w:hAnsi="Times New Roman"/>
        </w:rPr>
        <w:t>I</w:t>
      </w:r>
      <w:r w:rsidR="000E07DC">
        <w:rPr>
          <w:rFonts w:ascii="Times New Roman" w:hAnsi="Times New Roman"/>
        </w:rPr>
        <w:t xml:space="preserve"> rehearse</w:t>
      </w:r>
      <w:r>
        <w:rPr>
          <w:rFonts w:ascii="Times New Roman" w:hAnsi="Times New Roman"/>
        </w:rPr>
        <w:t xml:space="preserve"> the articulations of these </w:t>
      </w:r>
      <w:r w:rsidR="00F63B62">
        <w:rPr>
          <w:rFonts w:ascii="Times New Roman" w:hAnsi="Times New Roman"/>
        </w:rPr>
        <w:t>different</w:t>
      </w:r>
      <w:r>
        <w:rPr>
          <w:rFonts w:ascii="Times New Roman" w:hAnsi="Times New Roman"/>
        </w:rPr>
        <w:t xml:space="preserve"> </w:t>
      </w:r>
      <w:r w:rsidR="003B375D">
        <w:rPr>
          <w:rFonts w:ascii="Times New Roman" w:hAnsi="Times New Roman"/>
        </w:rPr>
        <w:t>refutations</w:t>
      </w:r>
      <w:r w:rsidR="000E07DC">
        <w:rPr>
          <w:rFonts w:ascii="Times New Roman" w:hAnsi="Times New Roman"/>
        </w:rPr>
        <w:t xml:space="preserve"> to </w:t>
      </w:r>
      <w:r w:rsidR="004A0392">
        <w:rPr>
          <w:rFonts w:ascii="Times New Roman" w:hAnsi="Times New Roman"/>
        </w:rPr>
        <w:t>illustrate</w:t>
      </w:r>
      <w:r w:rsidR="000E07DC">
        <w:rPr>
          <w:rFonts w:ascii="Times New Roman" w:hAnsi="Times New Roman"/>
        </w:rPr>
        <w:t xml:space="preserve"> that, despite their </w:t>
      </w:r>
      <w:r w:rsidR="00F63B62">
        <w:rPr>
          <w:rFonts w:ascii="Times New Roman" w:hAnsi="Times New Roman"/>
        </w:rPr>
        <w:t>opposing</w:t>
      </w:r>
      <w:r w:rsidR="000E07DC">
        <w:rPr>
          <w:rFonts w:ascii="Times New Roman" w:hAnsi="Times New Roman"/>
        </w:rPr>
        <w:t xml:space="preserve"> implications for toleration, both approaches </w:t>
      </w:r>
      <w:r w:rsidR="00F63B62">
        <w:rPr>
          <w:rFonts w:ascii="Times New Roman" w:hAnsi="Times New Roman"/>
        </w:rPr>
        <w:t xml:space="preserve">point to the same </w:t>
      </w:r>
      <w:r w:rsidR="0038567C">
        <w:rPr>
          <w:rFonts w:ascii="Times New Roman" w:hAnsi="Times New Roman"/>
        </w:rPr>
        <w:t>belief/coercion mismatch</w:t>
      </w:r>
      <w:r w:rsidR="000E07DC">
        <w:rPr>
          <w:rFonts w:ascii="Times New Roman" w:hAnsi="Times New Roman"/>
        </w:rPr>
        <w:t xml:space="preserve"> in their problematizations of</w:t>
      </w:r>
      <w:r w:rsidR="00F63B62">
        <w:rPr>
          <w:rFonts w:ascii="Times New Roman" w:hAnsi="Times New Roman"/>
        </w:rPr>
        <w:t xml:space="preserve"> Lock</w:t>
      </w:r>
      <w:r w:rsidR="00E329EB">
        <w:rPr>
          <w:rFonts w:ascii="Times New Roman" w:hAnsi="Times New Roman"/>
        </w:rPr>
        <w:t>e</w:t>
      </w:r>
      <w:r w:rsidR="00F63B62">
        <w:rPr>
          <w:rFonts w:ascii="Times New Roman" w:hAnsi="Times New Roman"/>
        </w:rPr>
        <w:t xml:space="preserve">. </w:t>
      </w:r>
      <w:r w:rsidR="00001BA2">
        <w:rPr>
          <w:rFonts w:ascii="Times New Roman" w:hAnsi="Times New Roman"/>
        </w:rPr>
        <w:t>Moreover</w:t>
      </w:r>
      <w:r w:rsidR="00F63B62">
        <w:rPr>
          <w:rFonts w:ascii="Times New Roman" w:hAnsi="Times New Roman"/>
        </w:rPr>
        <w:t>, my reading</w:t>
      </w:r>
      <w:r w:rsidR="0038567C">
        <w:rPr>
          <w:rFonts w:ascii="Times New Roman" w:hAnsi="Times New Roman"/>
        </w:rPr>
        <w:t xml:space="preserve"> </w:t>
      </w:r>
      <w:r w:rsidR="00F63B62">
        <w:rPr>
          <w:rFonts w:ascii="Times New Roman" w:hAnsi="Times New Roman"/>
        </w:rPr>
        <w:t>suggest</w:t>
      </w:r>
      <w:r w:rsidR="00E329EB">
        <w:rPr>
          <w:rFonts w:ascii="Times New Roman" w:hAnsi="Times New Roman"/>
        </w:rPr>
        <w:t>s</w:t>
      </w:r>
      <w:r w:rsidR="0038567C">
        <w:rPr>
          <w:rFonts w:ascii="Times New Roman" w:hAnsi="Times New Roman"/>
        </w:rPr>
        <w:t xml:space="preserve"> that to </w:t>
      </w:r>
      <w:r w:rsidR="00B26428">
        <w:rPr>
          <w:rFonts w:ascii="Times New Roman" w:hAnsi="Times New Roman"/>
        </w:rPr>
        <w:t>conceptualize this mismatch</w:t>
      </w:r>
      <w:r w:rsidR="0038567C">
        <w:rPr>
          <w:rFonts w:ascii="Times New Roman" w:hAnsi="Times New Roman"/>
        </w:rPr>
        <w:t>,</w:t>
      </w:r>
      <w:r w:rsidR="00F63B62">
        <w:rPr>
          <w:rFonts w:ascii="Times New Roman" w:hAnsi="Times New Roman"/>
        </w:rPr>
        <w:t xml:space="preserve"> </w:t>
      </w:r>
      <w:r w:rsidR="000E07DC">
        <w:rPr>
          <w:rFonts w:ascii="Times New Roman" w:hAnsi="Times New Roman"/>
        </w:rPr>
        <w:t xml:space="preserve">both presume similarly narrow possibilities for what I </w:t>
      </w:r>
      <w:r w:rsidR="00F63B62">
        <w:rPr>
          <w:rFonts w:ascii="Times New Roman" w:hAnsi="Times New Roman"/>
        </w:rPr>
        <w:t>suggest is a</w:t>
      </w:r>
      <w:r w:rsidR="000E07DC">
        <w:rPr>
          <w:rFonts w:ascii="Times New Roman" w:hAnsi="Times New Roman"/>
        </w:rPr>
        <w:t xml:space="preserve"> process of judgment formation in Locke’</w:t>
      </w:r>
      <w:r w:rsidR="00F63B62">
        <w:rPr>
          <w:rFonts w:ascii="Times New Roman" w:hAnsi="Times New Roman"/>
        </w:rPr>
        <w:t>s theoretical interventions</w:t>
      </w:r>
      <w:r w:rsidR="00C711DD" w:rsidRPr="00C711DD">
        <w:rPr>
          <w:rFonts w:ascii="Times New Roman" w:hAnsi="Times New Roman"/>
        </w:rPr>
        <w:t>—a process that could, in fact, nuance the im</w:t>
      </w:r>
      <w:r w:rsidR="00C711DD">
        <w:rPr>
          <w:rFonts w:ascii="Times New Roman" w:hAnsi="Times New Roman"/>
        </w:rPr>
        <w:t xml:space="preserve">plications for the practices of </w:t>
      </w:r>
      <w:r w:rsidR="00C711DD" w:rsidRPr="00C711DD">
        <w:rPr>
          <w:rFonts w:ascii="Times New Roman" w:hAnsi="Times New Roman"/>
        </w:rPr>
        <w:t>toleration theorized by both approaches.</w:t>
      </w:r>
      <w:r w:rsidR="00365FF5">
        <w:rPr>
          <w:rFonts w:ascii="Times New Roman" w:hAnsi="Times New Roman"/>
        </w:rPr>
        <w:t xml:space="preserve"> </w:t>
      </w:r>
      <w:r w:rsidR="00B26428">
        <w:rPr>
          <w:rFonts w:ascii="Times New Roman" w:hAnsi="Times New Roman"/>
        </w:rPr>
        <w:t xml:space="preserve">Consider, first, that </w:t>
      </w:r>
      <w:r w:rsidR="004C3E5C">
        <w:rPr>
          <w:rFonts w:ascii="Times New Roman" w:hAnsi="Times New Roman"/>
        </w:rPr>
        <w:t>the problematic nature of the</w:t>
      </w:r>
      <w:r w:rsidR="00B26428">
        <w:rPr>
          <w:rFonts w:ascii="Times New Roman" w:hAnsi="Times New Roman"/>
        </w:rPr>
        <w:t xml:space="preserve"> belief/c</w:t>
      </w:r>
      <w:r w:rsidR="004C3E5C">
        <w:rPr>
          <w:rFonts w:ascii="Times New Roman" w:hAnsi="Times New Roman"/>
        </w:rPr>
        <w:t xml:space="preserve">oercion mismatch reflects the </w:t>
      </w:r>
      <w:r w:rsidR="00680C1A">
        <w:rPr>
          <w:rFonts w:ascii="Times New Roman" w:hAnsi="Times New Roman"/>
        </w:rPr>
        <w:t>organization</w:t>
      </w:r>
      <w:r w:rsidR="004736AA">
        <w:rPr>
          <w:rFonts w:ascii="Times New Roman" w:hAnsi="Times New Roman"/>
        </w:rPr>
        <w:t xml:space="preserve"> of certain distinct</w:t>
      </w:r>
      <w:r w:rsidR="004C3E5C">
        <w:rPr>
          <w:rFonts w:ascii="Times New Roman" w:hAnsi="Times New Roman"/>
        </w:rPr>
        <w:t xml:space="preserve"> magisterial capacities:</w:t>
      </w:r>
      <w:r w:rsidR="00B26428">
        <w:rPr>
          <w:rFonts w:ascii="Times New Roman" w:hAnsi="Times New Roman"/>
        </w:rPr>
        <w:t xml:space="preserve"> </w:t>
      </w:r>
      <w:r w:rsidR="004736AA">
        <w:rPr>
          <w:rFonts w:ascii="Times New Roman" w:hAnsi="Times New Roman"/>
        </w:rPr>
        <w:t>Locke’s</w:t>
      </w:r>
      <w:r w:rsidR="00B26428">
        <w:rPr>
          <w:rFonts w:ascii="Times New Roman" w:hAnsi="Times New Roman"/>
        </w:rPr>
        <w:t xml:space="preserve"> magistrate must be presumed to be able to “read” inward </w:t>
      </w:r>
      <w:r w:rsidR="000415CA">
        <w:rPr>
          <w:rFonts w:ascii="Times New Roman" w:hAnsi="Times New Roman"/>
        </w:rPr>
        <w:t>beliefs</w:t>
      </w:r>
      <w:r w:rsidR="00B26428">
        <w:rPr>
          <w:rFonts w:ascii="Times New Roman" w:hAnsi="Times New Roman"/>
        </w:rPr>
        <w:t>, correlate t</w:t>
      </w:r>
      <w:r w:rsidR="00AC2B2E">
        <w:rPr>
          <w:rFonts w:ascii="Times New Roman" w:hAnsi="Times New Roman"/>
        </w:rPr>
        <w:t>hem to outward effects,</w:t>
      </w:r>
      <w:r w:rsidR="00B26428">
        <w:rPr>
          <w:rFonts w:ascii="Times New Roman" w:hAnsi="Times New Roman"/>
        </w:rPr>
        <w:t xml:space="preserve"> determine whether those outward effects infringe upon the civil interest</w:t>
      </w:r>
      <w:r w:rsidR="00AC2B2E">
        <w:rPr>
          <w:rFonts w:ascii="Times New Roman" w:hAnsi="Times New Roman"/>
        </w:rPr>
        <w:t>, and then to apply coercive means when deemed appropriate</w:t>
      </w:r>
      <w:r w:rsidR="00907373">
        <w:rPr>
          <w:rFonts w:ascii="Times New Roman" w:hAnsi="Times New Roman"/>
        </w:rPr>
        <w:t xml:space="preserve">.  </w:t>
      </w:r>
      <w:r w:rsidR="00C711DD">
        <w:rPr>
          <w:rFonts w:ascii="Times New Roman" w:hAnsi="Times New Roman"/>
        </w:rPr>
        <w:t>E</w:t>
      </w:r>
      <w:r w:rsidR="00907373">
        <w:rPr>
          <w:rFonts w:ascii="Times New Roman" w:hAnsi="Times New Roman"/>
        </w:rPr>
        <w:t>ven as the inward/outward division does mark a domain of “purely theoretic</w:t>
      </w:r>
      <w:r w:rsidR="00974B25">
        <w:rPr>
          <w:rFonts w:ascii="Times New Roman" w:hAnsi="Times New Roman"/>
        </w:rPr>
        <w:t xml:space="preserve">al beliefs” ostensibly immune from the magisterial capacity for direct </w:t>
      </w:r>
      <w:r w:rsidR="00974B25" w:rsidRPr="00AC2B2E">
        <w:rPr>
          <w:rFonts w:ascii="Times New Roman" w:hAnsi="Times New Roman"/>
        </w:rPr>
        <w:t>interference</w:t>
      </w:r>
      <w:r w:rsidR="00907373">
        <w:rPr>
          <w:rFonts w:ascii="Times New Roman" w:hAnsi="Times New Roman"/>
        </w:rPr>
        <w:t xml:space="preserve">, </w:t>
      </w:r>
      <w:r w:rsidR="00907373" w:rsidRPr="00974B25">
        <w:rPr>
          <w:rFonts w:ascii="Times New Roman" w:hAnsi="Times New Roman"/>
        </w:rPr>
        <w:t>inwardness as such</w:t>
      </w:r>
      <w:r w:rsidR="004736AA">
        <w:rPr>
          <w:rFonts w:ascii="Times New Roman" w:hAnsi="Times New Roman"/>
        </w:rPr>
        <w:t xml:space="preserve"> </w:t>
      </w:r>
      <w:r w:rsidR="004736AA" w:rsidRPr="00B7197B">
        <w:rPr>
          <w:rFonts w:ascii="Times New Roman" w:hAnsi="Times New Roman"/>
        </w:rPr>
        <w:t xml:space="preserve">does not </w:t>
      </w:r>
      <w:r w:rsidR="00C737AF">
        <w:rPr>
          <w:rFonts w:ascii="Times New Roman" w:hAnsi="Times New Roman"/>
        </w:rPr>
        <w:t>mark</w:t>
      </w:r>
      <w:r w:rsidR="004736AA">
        <w:rPr>
          <w:rFonts w:ascii="Times New Roman" w:hAnsi="Times New Roman"/>
        </w:rPr>
        <w:t xml:space="preserve"> a space where subjects’</w:t>
      </w:r>
      <w:r w:rsidR="00B7197B">
        <w:rPr>
          <w:rFonts w:ascii="Times New Roman" w:hAnsi="Times New Roman"/>
        </w:rPr>
        <w:t xml:space="preserve"> judging practices are qualitatively different in such ways that the magistrate is incapable of correlating inward beliefs to outward manifestations.  With the above refutations, the magisterial </w:t>
      </w:r>
      <w:r w:rsidR="00B7197B" w:rsidRPr="00B7197B">
        <w:rPr>
          <w:rFonts w:ascii="Times New Roman" w:hAnsi="Times New Roman"/>
          <w:i/>
        </w:rPr>
        <w:t>incapacity for direct interference</w:t>
      </w:r>
      <w:r w:rsidR="00B7197B">
        <w:rPr>
          <w:rFonts w:ascii="Times New Roman" w:hAnsi="Times New Roman"/>
        </w:rPr>
        <w:t xml:space="preserve"> </w:t>
      </w:r>
      <w:r w:rsidR="00C737AF">
        <w:rPr>
          <w:rFonts w:ascii="Times New Roman" w:hAnsi="Times New Roman"/>
        </w:rPr>
        <w:t>into</w:t>
      </w:r>
      <w:r w:rsidR="00B7197B">
        <w:rPr>
          <w:rFonts w:ascii="Times New Roman" w:hAnsi="Times New Roman"/>
        </w:rPr>
        <w:t xml:space="preserve"> the</w:t>
      </w:r>
      <w:r w:rsidR="00576A84">
        <w:rPr>
          <w:rFonts w:ascii="Times New Roman" w:hAnsi="Times New Roman"/>
        </w:rPr>
        <w:t xml:space="preserve"> inward</w:t>
      </w:r>
      <w:r w:rsidR="00B7197B">
        <w:rPr>
          <w:rFonts w:ascii="Times New Roman" w:hAnsi="Times New Roman"/>
        </w:rPr>
        <w:t xml:space="preserve"> domain does not sugges</w:t>
      </w:r>
      <w:r w:rsidR="00C737AF">
        <w:rPr>
          <w:rFonts w:ascii="Times New Roman" w:hAnsi="Times New Roman"/>
        </w:rPr>
        <w:t>t</w:t>
      </w:r>
      <w:r w:rsidR="00B7197B">
        <w:rPr>
          <w:rFonts w:ascii="Times New Roman" w:hAnsi="Times New Roman"/>
        </w:rPr>
        <w:t xml:space="preserve"> a magisterial </w:t>
      </w:r>
      <w:r w:rsidR="00B7197B" w:rsidRPr="00B7197B">
        <w:rPr>
          <w:rFonts w:ascii="Times New Roman" w:hAnsi="Times New Roman"/>
          <w:i/>
        </w:rPr>
        <w:t>ignorance</w:t>
      </w:r>
      <w:r w:rsidR="00C737AF">
        <w:rPr>
          <w:rFonts w:ascii="Times New Roman" w:hAnsi="Times New Roman"/>
        </w:rPr>
        <w:t xml:space="preserve"> of that domain or an </w:t>
      </w:r>
      <w:r w:rsidR="00C737AF" w:rsidRPr="00997100">
        <w:rPr>
          <w:rFonts w:ascii="Times New Roman" w:hAnsi="Times New Roman"/>
        </w:rPr>
        <w:t>incapacity</w:t>
      </w:r>
      <w:r w:rsidR="00C737AF">
        <w:rPr>
          <w:rFonts w:ascii="Times New Roman" w:hAnsi="Times New Roman"/>
        </w:rPr>
        <w:t xml:space="preserve"> in forging connections between its content and the </w:t>
      </w:r>
      <w:r w:rsidR="00576A84">
        <w:rPr>
          <w:rFonts w:ascii="Times New Roman" w:hAnsi="Times New Roman"/>
        </w:rPr>
        <w:t>outward domain</w:t>
      </w:r>
      <w:r w:rsidR="00C737AF">
        <w:rPr>
          <w:rFonts w:ascii="Times New Roman" w:hAnsi="Times New Roman"/>
        </w:rPr>
        <w:t>.</w:t>
      </w:r>
      <w:r w:rsidR="00930E09">
        <w:rPr>
          <w:rFonts w:ascii="Times New Roman" w:hAnsi="Times New Roman"/>
        </w:rPr>
        <w:t xml:space="preserve">  </w:t>
      </w:r>
      <w:r w:rsidR="00930E09">
        <w:rPr>
          <w:rFonts w:ascii="Times New Roman" w:hAnsi="Times New Roman" w:cs="Times New Roman"/>
        </w:rPr>
        <w:t xml:space="preserve">It </w:t>
      </w:r>
      <w:r w:rsidR="00AC2B2E" w:rsidRPr="00AC2B2E">
        <w:rPr>
          <w:rFonts w:ascii="Times New Roman" w:hAnsi="Times New Roman" w:cs="Times New Roman"/>
        </w:rPr>
        <w:t xml:space="preserve">is not simply the magistrate’s </w:t>
      </w:r>
      <w:r w:rsidR="00680C1A">
        <w:rPr>
          <w:rFonts w:ascii="Times New Roman" w:hAnsi="Times New Roman" w:cs="Times New Roman"/>
        </w:rPr>
        <w:t>ability</w:t>
      </w:r>
      <w:r w:rsidR="00AC2B2E" w:rsidRPr="00AC2B2E">
        <w:rPr>
          <w:rFonts w:ascii="Times New Roman" w:hAnsi="Times New Roman" w:cs="Times New Roman"/>
        </w:rPr>
        <w:t xml:space="preserve"> to use coercion as such or</w:t>
      </w:r>
      <w:r w:rsidR="00680C1A">
        <w:rPr>
          <w:rFonts w:ascii="Times New Roman" w:hAnsi="Times New Roman" w:cs="Times New Roman"/>
        </w:rPr>
        <w:t xml:space="preserve"> to</w:t>
      </w:r>
      <w:r w:rsidR="00AC2B2E" w:rsidRPr="00AC2B2E">
        <w:rPr>
          <w:rFonts w:ascii="Times New Roman" w:hAnsi="Times New Roman" w:cs="Times New Roman"/>
        </w:rPr>
        <w:t xml:space="preserve"> claim it in the name of the civil interest that makes the de</w:t>
      </w:r>
      <w:r w:rsidR="00AD7BFD">
        <w:rPr>
          <w:rFonts w:ascii="Times New Roman" w:hAnsi="Times New Roman" w:cs="Times New Roman"/>
        </w:rPr>
        <w:t>fense of toleration problematic,</w:t>
      </w:r>
      <w:r w:rsidR="00AC2B2E" w:rsidRPr="00AC2B2E">
        <w:rPr>
          <w:rFonts w:ascii="Times New Roman" w:hAnsi="Times New Roman" w:cs="Times New Roman"/>
        </w:rPr>
        <w:t xml:space="preserve"> but rather his seemingly unique capacity to </w:t>
      </w:r>
      <w:r w:rsidR="00AC2B2E" w:rsidRPr="00AC2B2E">
        <w:rPr>
          <w:rFonts w:ascii="Times New Roman" w:hAnsi="Times New Roman" w:cs="Times New Roman"/>
        </w:rPr>
        <w:lastRenderedPageBreak/>
        <w:t>seamlessly correlate inward states to outward manifestations in doing so—to make</w:t>
      </w:r>
      <w:r w:rsidR="00B7197B">
        <w:rPr>
          <w:rFonts w:ascii="Times New Roman" w:hAnsi="Times New Roman" w:cs="Times New Roman"/>
        </w:rPr>
        <w:t xml:space="preserve"> subjects’</w:t>
      </w:r>
      <w:r w:rsidR="00AC2B2E" w:rsidRPr="00AC2B2E">
        <w:rPr>
          <w:rFonts w:ascii="Times New Roman" w:hAnsi="Times New Roman" w:cs="Times New Roman"/>
        </w:rPr>
        <w:t xml:space="preserve"> “inward judgments” amenable to the magistrate’s jud</w:t>
      </w:r>
      <w:r w:rsidR="00DF5B43">
        <w:rPr>
          <w:rFonts w:ascii="Times New Roman" w:hAnsi="Times New Roman" w:cs="Times New Roman"/>
        </w:rPr>
        <w:t>ging capacities.</w:t>
      </w:r>
      <w:r w:rsidR="00C737AF">
        <w:rPr>
          <w:rFonts w:ascii="Times New Roman" w:hAnsi="Times New Roman" w:cs="Times New Roman"/>
        </w:rPr>
        <w:t xml:space="preserve">  </w:t>
      </w:r>
      <w:r w:rsidR="00576A84">
        <w:rPr>
          <w:rFonts w:ascii="Times New Roman" w:hAnsi="Times New Roman" w:cs="Times New Roman"/>
        </w:rPr>
        <w:t>In other words, a shared presumption of a particular mode of magisterial judgment in fact mediates the critical accounts of the belief/coercion mismatch outlined above.  But is this presumption accurate?</w:t>
      </w:r>
    </w:p>
    <w:p w14:paraId="7C0F3F32" w14:textId="25DA3880" w:rsidR="000415CA" w:rsidRDefault="00930E09" w:rsidP="00930E09">
      <w:pPr>
        <w:pStyle w:val="NoSpacing"/>
        <w:spacing w:line="480" w:lineRule="auto"/>
        <w:ind w:firstLine="720"/>
        <w:rPr>
          <w:rFonts w:ascii="Times New Roman" w:hAnsi="Times New Roman"/>
        </w:rPr>
      </w:pPr>
      <w:r>
        <w:rPr>
          <w:rFonts w:ascii="Times New Roman" w:hAnsi="Times New Roman" w:cs="Times New Roman"/>
        </w:rPr>
        <w:t xml:space="preserve">Specifically, I want to suggest that the above refutations have produced an account of judgment that pictures this faculty as essentially </w:t>
      </w:r>
      <w:r>
        <w:rPr>
          <w:rFonts w:ascii="Times New Roman" w:hAnsi="Times New Roman"/>
          <w:i/>
        </w:rPr>
        <w:t xml:space="preserve">discrete </w:t>
      </w:r>
      <w:r>
        <w:rPr>
          <w:rFonts w:ascii="Times New Roman" w:hAnsi="Times New Roman"/>
        </w:rPr>
        <w:t xml:space="preserve">(belief X produces outward effect Y), </w:t>
      </w:r>
      <w:r>
        <w:rPr>
          <w:rFonts w:ascii="Times New Roman" w:hAnsi="Times New Roman"/>
          <w:i/>
        </w:rPr>
        <w:t xml:space="preserve">individuated </w:t>
      </w:r>
      <w:r>
        <w:rPr>
          <w:rFonts w:ascii="Times New Roman" w:hAnsi="Times New Roman"/>
        </w:rPr>
        <w:t xml:space="preserve">(subject X “holds” belief Y), and </w:t>
      </w:r>
      <w:r>
        <w:rPr>
          <w:rFonts w:ascii="Times New Roman" w:hAnsi="Times New Roman"/>
          <w:i/>
        </w:rPr>
        <w:t>static</w:t>
      </w:r>
      <w:r>
        <w:rPr>
          <w:rFonts w:ascii="Times New Roman" w:hAnsi="Times New Roman"/>
        </w:rPr>
        <w:t xml:space="preserve"> (subject X holds onto belief Y at Z time and place) </w:t>
      </w:r>
      <w:r w:rsidR="00C711DD">
        <w:rPr>
          <w:rFonts w:ascii="Times New Roman" w:hAnsi="Times New Roman"/>
        </w:rPr>
        <w:t xml:space="preserve">in </w:t>
      </w:r>
      <w:r w:rsidR="00DC7C06">
        <w:rPr>
          <w:rFonts w:ascii="Times New Roman" w:hAnsi="Times New Roman"/>
        </w:rPr>
        <w:t>making sense of</w:t>
      </w:r>
      <w:r w:rsidR="00997100">
        <w:rPr>
          <w:rFonts w:ascii="Times New Roman" w:hAnsi="Times New Roman"/>
        </w:rPr>
        <w:t xml:space="preserve"> Locke’s</w:t>
      </w:r>
      <w:r>
        <w:rPr>
          <w:rFonts w:ascii="Times New Roman" w:hAnsi="Times New Roman"/>
        </w:rPr>
        <w:t xml:space="preserve"> </w:t>
      </w:r>
      <w:r w:rsidR="00997100">
        <w:rPr>
          <w:rFonts w:ascii="Times New Roman" w:hAnsi="Times New Roman"/>
        </w:rPr>
        <w:t xml:space="preserve">defense of </w:t>
      </w:r>
      <w:r w:rsidR="00DC7C06">
        <w:rPr>
          <w:rFonts w:ascii="Times New Roman" w:hAnsi="Times New Roman"/>
        </w:rPr>
        <w:t xml:space="preserve">toleration. </w:t>
      </w:r>
      <w:r>
        <w:rPr>
          <w:rFonts w:ascii="Times New Roman" w:hAnsi="Times New Roman"/>
        </w:rPr>
        <w:t>I</w:t>
      </w:r>
      <w:r w:rsidR="00AC2B2E">
        <w:rPr>
          <w:rFonts w:ascii="Times New Roman" w:hAnsi="Times New Roman"/>
        </w:rPr>
        <w:t xml:space="preserve">nsofar as the moral criticism has suggested that magisterial coercion might be applied to the “surrounding apparatus” of belief and thereby effectively interfere with certain beliefs, it has a presumed a particular mode of judgment wherein the magistrate contains a straightforward capacity to determine the content of his subjects’ beliefs, to determine which outward things cause and are affected by these beliefs, and to determine who holds these beliefs at certain times and places.  Likewise, the incapacity of the </w:t>
      </w:r>
      <w:r w:rsidR="00353259">
        <w:rPr>
          <w:rFonts w:ascii="Times New Roman" w:hAnsi="Times New Roman"/>
        </w:rPr>
        <w:t>“</w:t>
      </w:r>
      <w:r w:rsidR="00AC2B2E">
        <w:rPr>
          <w:rFonts w:ascii="Times New Roman" w:hAnsi="Times New Roman"/>
        </w:rPr>
        <w:t>discourse of facticity</w:t>
      </w:r>
      <w:r w:rsidR="00353259">
        <w:rPr>
          <w:rFonts w:ascii="Times New Roman" w:hAnsi="Times New Roman"/>
        </w:rPr>
        <w:t>”</w:t>
      </w:r>
      <w:r w:rsidR="00AC2B2E">
        <w:rPr>
          <w:rFonts w:ascii="Times New Roman" w:hAnsi="Times New Roman"/>
        </w:rPr>
        <w:t xml:space="preserve"> to apprehend the workings of power in producing </w:t>
      </w:r>
      <w:r w:rsidR="004736AA">
        <w:rPr>
          <w:rFonts w:ascii="Times New Roman" w:hAnsi="Times New Roman"/>
        </w:rPr>
        <w:t>different</w:t>
      </w:r>
      <w:r w:rsidR="00AC2B2E">
        <w:rPr>
          <w:rFonts w:ascii="Times New Roman" w:hAnsi="Times New Roman"/>
        </w:rPr>
        <w:t xml:space="preserve"> social </w:t>
      </w:r>
      <w:r w:rsidR="004736AA">
        <w:rPr>
          <w:rFonts w:ascii="Times New Roman" w:hAnsi="Times New Roman"/>
        </w:rPr>
        <w:t>inequities</w:t>
      </w:r>
      <w:r w:rsidR="00AC2B2E">
        <w:rPr>
          <w:rFonts w:ascii="Times New Roman" w:hAnsi="Times New Roman"/>
        </w:rPr>
        <w:t xml:space="preserve"> has advanced a similarly narrow presumption of Lockean judgment: the dual assertions that Locke “radically individualizes and privatizes religion” and that tolerated beliefs have “no public importance” are premised not simply on the inward/outward division but take Lockean subjects </w:t>
      </w:r>
      <w:r w:rsidR="00AC2B2E">
        <w:rPr>
          <w:rFonts w:ascii="Times New Roman" w:hAnsi="Times New Roman"/>
          <w:i/>
        </w:rPr>
        <w:t>within</w:t>
      </w:r>
      <w:r w:rsidR="00AC2B2E">
        <w:rPr>
          <w:rFonts w:ascii="Times New Roman" w:hAnsi="Times New Roman"/>
        </w:rPr>
        <w:t xml:space="preserve"> this </w:t>
      </w:r>
      <w:r w:rsidR="004327E9">
        <w:rPr>
          <w:rFonts w:ascii="Times New Roman" w:hAnsi="Times New Roman"/>
        </w:rPr>
        <w:t>division to engage in judgment in isolation</w:t>
      </w:r>
      <w:r w:rsidR="00AC2B2E">
        <w:rPr>
          <w:rFonts w:ascii="Times New Roman" w:hAnsi="Times New Roman"/>
        </w:rPr>
        <w:t xml:space="preserve"> and to apply their judgments to particular, discernable effects in discernable times and spaces.</w:t>
      </w:r>
      <w:r w:rsidR="00680C1A">
        <w:rPr>
          <w:rFonts w:ascii="Times New Roman" w:hAnsi="Times New Roman"/>
        </w:rPr>
        <w:t xml:space="preserve"> </w:t>
      </w:r>
      <w:r w:rsidR="00C711DD">
        <w:rPr>
          <w:rFonts w:ascii="Times New Roman" w:hAnsi="Times New Roman"/>
        </w:rPr>
        <w:t>With both approaches Lockean toleration is thus deficient not as a result of magisterial coercive capacities or of inward belief as such, but rather because of an underlying form of judgment that structures the relationship between belief and coercion.</w:t>
      </w:r>
    </w:p>
    <w:p w14:paraId="28601C27" w14:textId="0E0F6D77" w:rsidR="00B92B57" w:rsidRDefault="002D07A0" w:rsidP="00EF017B">
      <w:pPr>
        <w:pStyle w:val="NoSpacing"/>
        <w:spacing w:line="480" w:lineRule="auto"/>
        <w:ind w:firstLine="720"/>
        <w:rPr>
          <w:rFonts w:ascii="Times New Roman" w:hAnsi="Times New Roman"/>
        </w:rPr>
      </w:pPr>
      <w:r>
        <w:rPr>
          <w:rFonts w:ascii="Times New Roman" w:hAnsi="Times New Roman"/>
        </w:rPr>
        <w:t>This form is indeed problematic. Narrowed to discrete, individuated, and static dimensions,</w:t>
      </w:r>
      <w:r w:rsidR="004111D7">
        <w:rPr>
          <w:rFonts w:ascii="Times New Roman" w:hAnsi="Times New Roman"/>
        </w:rPr>
        <w:t xml:space="preserve"> </w:t>
      </w:r>
      <w:r w:rsidR="004A0392">
        <w:rPr>
          <w:rFonts w:ascii="Times New Roman" w:hAnsi="Times New Roman"/>
        </w:rPr>
        <w:t>judgment</w:t>
      </w:r>
      <w:r w:rsidR="000D0B86">
        <w:rPr>
          <w:rFonts w:ascii="Times New Roman" w:hAnsi="Times New Roman"/>
        </w:rPr>
        <w:t xml:space="preserve"> </w:t>
      </w:r>
      <w:r w:rsidR="00DF5B43">
        <w:rPr>
          <w:rFonts w:ascii="Times New Roman" w:hAnsi="Times New Roman"/>
        </w:rPr>
        <w:t>now appears to</w:t>
      </w:r>
      <w:r w:rsidR="000D0B86">
        <w:rPr>
          <w:rFonts w:ascii="Times New Roman" w:hAnsi="Times New Roman"/>
        </w:rPr>
        <w:t xml:space="preserve"> function less as a way of</w:t>
      </w:r>
      <w:r w:rsidR="004A0392">
        <w:rPr>
          <w:rFonts w:ascii="Times New Roman" w:hAnsi="Times New Roman"/>
        </w:rPr>
        <w:t xml:space="preserve"> </w:t>
      </w:r>
      <w:r w:rsidR="000D0B86">
        <w:rPr>
          <w:rFonts w:ascii="Times New Roman" w:hAnsi="Times New Roman"/>
        </w:rPr>
        <w:t xml:space="preserve">demarcating </w:t>
      </w:r>
      <w:r w:rsidR="001A6960">
        <w:rPr>
          <w:rFonts w:ascii="Times New Roman" w:hAnsi="Times New Roman"/>
        </w:rPr>
        <w:t xml:space="preserve">a </w:t>
      </w:r>
      <w:r w:rsidR="004A0392">
        <w:rPr>
          <w:rFonts w:ascii="Times New Roman" w:hAnsi="Times New Roman"/>
        </w:rPr>
        <w:t xml:space="preserve">practice </w:t>
      </w:r>
      <w:r w:rsidR="004A0392" w:rsidRPr="00ED0B26">
        <w:rPr>
          <w:rFonts w:ascii="Times New Roman" w:hAnsi="Times New Roman"/>
        </w:rPr>
        <w:t>necessarily</w:t>
      </w:r>
      <w:r w:rsidR="004A0392">
        <w:rPr>
          <w:rFonts w:ascii="Times New Roman" w:hAnsi="Times New Roman"/>
        </w:rPr>
        <w:t xml:space="preserve"> inward from which the magistrate </w:t>
      </w:r>
      <w:r w:rsidR="004111D7">
        <w:rPr>
          <w:rFonts w:ascii="Times New Roman" w:hAnsi="Times New Roman"/>
        </w:rPr>
        <w:t xml:space="preserve">must refrain or </w:t>
      </w:r>
      <w:r w:rsidR="001A6960">
        <w:rPr>
          <w:rFonts w:ascii="Times New Roman" w:hAnsi="Times New Roman"/>
        </w:rPr>
        <w:t xml:space="preserve">an outward </w:t>
      </w:r>
      <w:r w:rsidR="004A0392">
        <w:rPr>
          <w:rFonts w:ascii="Times New Roman" w:hAnsi="Times New Roman"/>
        </w:rPr>
        <w:t>practice</w:t>
      </w:r>
      <w:r w:rsidR="000D0B86">
        <w:rPr>
          <w:rFonts w:ascii="Times New Roman" w:hAnsi="Times New Roman"/>
        </w:rPr>
        <w:t xml:space="preserve"> which could</w:t>
      </w:r>
      <w:r w:rsidR="004A0392">
        <w:rPr>
          <w:rFonts w:ascii="Times New Roman" w:hAnsi="Times New Roman"/>
        </w:rPr>
        <w:t xml:space="preserve"> challenge his </w:t>
      </w:r>
      <w:r w:rsidR="003B375D">
        <w:rPr>
          <w:rFonts w:ascii="Times New Roman" w:hAnsi="Times New Roman"/>
        </w:rPr>
        <w:t>actions</w:t>
      </w:r>
      <w:r w:rsidR="004A0392">
        <w:rPr>
          <w:rFonts w:ascii="Times New Roman" w:hAnsi="Times New Roman"/>
        </w:rPr>
        <w:t xml:space="preserve">, but rather </w:t>
      </w:r>
      <w:r w:rsidR="000D0B86">
        <w:rPr>
          <w:rFonts w:ascii="Times New Roman" w:hAnsi="Times New Roman"/>
        </w:rPr>
        <w:t>as</w:t>
      </w:r>
      <w:r w:rsidR="001A6960">
        <w:rPr>
          <w:rFonts w:ascii="Times New Roman" w:hAnsi="Times New Roman"/>
        </w:rPr>
        <w:t xml:space="preserve"> an overlapping capacity that</w:t>
      </w:r>
      <w:r w:rsidR="004A0392">
        <w:rPr>
          <w:rFonts w:ascii="Times New Roman" w:hAnsi="Times New Roman"/>
        </w:rPr>
        <w:t xml:space="preserve"> he can always mi</w:t>
      </w:r>
      <w:r w:rsidR="00DC7C06">
        <w:rPr>
          <w:rFonts w:ascii="Times New Roman" w:hAnsi="Times New Roman"/>
        </w:rPr>
        <w:t xml:space="preserve">ne for outward manifestations. </w:t>
      </w:r>
      <w:r w:rsidR="00167E26">
        <w:rPr>
          <w:rFonts w:ascii="Times New Roman" w:hAnsi="Times New Roman"/>
        </w:rPr>
        <w:t xml:space="preserve">In other words, </w:t>
      </w:r>
      <w:r>
        <w:rPr>
          <w:rFonts w:ascii="Times New Roman" w:hAnsi="Times New Roman"/>
        </w:rPr>
        <w:t xml:space="preserve">the above conception of this faculty </w:t>
      </w:r>
      <w:r w:rsidR="001A6960">
        <w:rPr>
          <w:rFonts w:ascii="Times New Roman" w:hAnsi="Times New Roman"/>
        </w:rPr>
        <w:t>conveniently</w:t>
      </w:r>
      <w:r w:rsidR="00167E26">
        <w:rPr>
          <w:rFonts w:ascii="Times New Roman" w:hAnsi="Times New Roman"/>
        </w:rPr>
        <w:t xml:space="preserve"> </w:t>
      </w:r>
      <w:r w:rsidR="00997100">
        <w:rPr>
          <w:rFonts w:ascii="Times New Roman" w:hAnsi="Times New Roman"/>
        </w:rPr>
        <w:t>projects</w:t>
      </w:r>
      <w:r w:rsidR="00167E26">
        <w:rPr>
          <w:rFonts w:ascii="Times New Roman" w:hAnsi="Times New Roman"/>
        </w:rPr>
        <w:t xml:space="preserve"> the inward/outward </w:t>
      </w:r>
      <w:r w:rsidR="003B375D">
        <w:rPr>
          <w:rFonts w:ascii="Times New Roman" w:hAnsi="Times New Roman"/>
        </w:rPr>
        <w:t>division</w:t>
      </w:r>
      <w:r w:rsidR="00167E26">
        <w:rPr>
          <w:rFonts w:ascii="Times New Roman" w:hAnsi="Times New Roman"/>
        </w:rPr>
        <w:t xml:space="preserve"> </w:t>
      </w:r>
      <w:r w:rsidR="00997100">
        <w:rPr>
          <w:rFonts w:ascii="Times New Roman" w:hAnsi="Times New Roman"/>
        </w:rPr>
        <w:t>upon</w:t>
      </w:r>
      <w:r w:rsidR="00B71C36">
        <w:rPr>
          <w:rFonts w:ascii="Times New Roman" w:hAnsi="Times New Roman"/>
        </w:rPr>
        <w:t xml:space="preserve"> a</w:t>
      </w:r>
      <w:r w:rsidR="00997100">
        <w:rPr>
          <w:rFonts w:ascii="Times New Roman" w:hAnsi="Times New Roman"/>
        </w:rPr>
        <w:t>n axis wherein</w:t>
      </w:r>
      <w:r w:rsidR="00DE183A">
        <w:rPr>
          <w:rFonts w:ascii="Times New Roman" w:hAnsi="Times New Roman"/>
        </w:rPr>
        <w:t xml:space="preserve"> discrete,</w:t>
      </w:r>
      <w:r w:rsidR="00576A84">
        <w:rPr>
          <w:rFonts w:ascii="Times New Roman" w:hAnsi="Times New Roman"/>
        </w:rPr>
        <w:t xml:space="preserve"> static,</w:t>
      </w:r>
      <w:r w:rsidR="00DE183A">
        <w:rPr>
          <w:rFonts w:ascii="Times New Roman" w:hAnsi="Times New Roman"/>
        </w:rPr>
        <w:t xml:space="preserve"> and</w:t>
      </w:r>
      <w:r w:rsidR="00576A84">
        <w:rPr>
          <w:rFonts w:ascii="Times New Roman" w:hAnsi="Times New Roman"/>
        </w:rPr>
        <w:t xml:space="preserve"> individuated</w:t>
      </w:r>
      <w:r w:rsidR="004A0392">
        <w:rPr>
          <w:rFonts w:ascii="Times New Roman" w:hAnsi="Times New Roman"/>
        </w:rPr>
        <w:t xml:space="preserve"> inward beliefs </w:t>
      </w:r>
      <w:r w:rsidR="00167E26">
        <w:rPr>
          <w:rFonts w:ascii="Times New Roman" w:hAnsi="Times New Roman"/>
        </w:rPr>
        <w:t>straightforwardly</w:t>
      </w:r>
      <w:r w:rsidR="004A0392">
        <w:rPr>
          <w:rFonts w:ascii="Times New Roman" w:hAnsi="Times New Roman"/>
        </w:rPr>
        <w:t xml:space="preserve"> produce outward manifestations, </w:t>
      </w:r>
      <w:r w:rsidR="00B92B57">
        <w:rPr>
          <w:rFonts w:ascii="Times New Roman" w:hAnsi="Times New Roman"/>
        </w:rPr>
        <w:t>in turn</w:t>
      </w:r>
      <w:r w:rsidR="004A0392">
        <w:rPr>
          <w:rFonts w:ascii="Times New Roman" w:hAnsi="Times New Roman"/>
        </w:rPr>
        <w:t xml:space="preserve"> </w:t>
      </w:r>
      <w:r w:rsidR="004A0392">
        <w:rPr>
          <w:rFonts w:ascii="Times New Roman" w:hAnsi="Times New Roman"/>
        </w:rPr>
        <w:lastRenderedPageBreak/>
        <w:t>enabling magistrates to correlate outward manifestations</w:t>
      </w:r>
      <w:r w:rsidR="009C70BA">
        <w:rPr>
          <w:rFonts w:ascii="Times New Roman" w:hAnsi="Times New Roman"/>
        </w:rPr>
        <w:t xml:space="preserve"> back</w:t>
      </w:r>
      <w:r w:rsidR="004A0392">
        <w:rPr>
          <w:rFonts w:ascii="Times New Roman" w:hAnsi="Times New Roman"/>
        </w:rPr>
        <w:t xml:space="preserve"> to inward beliefs in</w:t>
      </w:r>
      <w:r w:rsidR="00B20B0D">
        <w:rPr>
          <w:rFonts w:ascii="Times New Roman" w:hAnsi="Times New Roman"/>
        </w:rPr>
        <w:t xml:space="preserve"> both</w:t>
      </w:r>
      <w:r w:rsidR="004A0392">
        <w:rPr>
          <w:rFonts w:ascii="Times New Roman" w:hAnsi="Times New Roman"/>
        </w:rPr>
        <w:t xml:space="preserve"> </w:t>
      </w:r>
      <w:r w:rsidR="00EF017B">
        <w:rPr>
          <w:rFonts w:ascii="Times New Roman" w:hAnsi="Times New Roman"/>
        </w:rPr>
        <w:t>determining</w:t>
      </w:r>
      <w:r w:rsidR="00997100">
        <w:rPr>
          <w:rFonts w:ascii="Times New Roman" w:hAnsi="Times New Roman"/>
        </w:rPr>
        <w:t xml:space="preserve"> </w:t>
      </w:r>
      <w:r w:rsidR="004A0392">
        <w:rPr>
          <w:rFonts w:ascii="Times New Roman" w:hAnsi="Times New Roman"/>
        </w:rPr>
        <w:t>when and where to apply outward force</w:t>
      </w:r>
      <w:r w:rsidR="00B20B0D">
        <w:rPr>
          <w:rFonts w:ascii="Times New Roman" w:hAnsi="Times New Roman"/>
        </w:rPr>
        <w:t xml:space="preserve"> and identifying which beliefs are of “no public importance</w:t>
      </w:r>
      <w:r w:rsidR="004A0392">
        <w:rPr>
          <w:rFonts w:ascii="Times New Roman" w:hAnsi="Times New Roman"/>
        </w:rPr>
        <w:t>.</w:t>
      </w:r>
      <w:r w:rsidR="00B20B0D">
        <w:rPr>
          <w:rFonts w:ascii="Times New Roman" w:hAnsi="Times New Roman"/>
        </w:rPr>
        <w:t>”</w:t>
      </w:r>
      <w:r w:rsidR="004111D7" w:rsidRPr="004111D7">
        <w:t xml:space="preserve"> </w:t>
      </w:r>
      <w:r w:rsidR="00EF017B">
        <w:rPr>
          <w:rFonts w:ascii="Times New Roman" w:hAnsi="Times New Roman"/>
        </w:rPr>
        <w:t>The</w:t>
      </w:r>
      <w:r w:rsidR="003C1F75">
        <w:rPr>
          <w:rFonts w:ascii="Times New Roman" w:hAnsi="Times New Roman"/>
        </w:rPr>
        <w:t xml:space="preserve"> underlying</w:t>
      </w:r>
      <w:r w:rsidR="00EF017B">
        <w:rPr>
          <w:rFonts w:ascii="Times New Roman" w:hAnsi="Times New Roman"/>
        </w:rPr>
        <w:t xml:space="preserve"> danger is no longer simply that the magistrate might ban some group’s ceremony deemed harmful to the civil interest, but that his capaci</w:t>
      </w:r>
      <w:r w:rsidR="00A85585">
        <w:rPr>
          <w:rFonts w:ascii="Times New Roman" w:hAnsi="Times New Roman"/>
        </w:rPr>
        <w:t xml:space="preserve">ty to do so is premised upon </w:t>
      </w:r>
      <w:r w:rsidR="004305C6">
        <w:rPr>
          <w:rFonts w:ascii="Times New Roman" w:hAnsi="Times New Roman"/>
        </w:rPr>
        <w:t xml:space="preserve">an orientation toward </w:t>
      </w:r>
      <w:r w:rsidR="00A85585">
        <w:rPr>
          <w:rFonts w:ascii="Times New Roman" w:hAnsi="Times New Roman"/>
        </w:rPr>
        <w:t xml:space="preserve">judgment </w:t>
      </w:r>
      <w:r w:rsidR="00EF017B">
        <w:rPr>
          <w:rFonts w:ascii="Times New Roman" w:hAnsi="Times New Roman"/>
        </w:rPr>
        <w:t xml:space="preserve">that enables him to </w:t>
      </w:r>
      <w:r w:rsidR="00DE183A">
        <w:rPr>
          <w:rFonts w:ascii="Times New Roman" w:hAnsi="Times New Roman"/>
        </w:rPr>
        <w:t>conclude</w:t>
      </w:r>
      <w:r w:rsidR="00EF017B">
        <w:rPr>
          <w:rFonts w:ascii="Times New Roman" w:hAnsi="Times New Roman"/>
        </w:rPr>
        <w:t xml:space="preserve"> that some host of </w:t>
      </w:r>
      <w:r w:rsidR="00A85585">
        <w:rPr>
          <w:rFonts w:ascii="Times New Roman" w:hAnsi="Times New Roman"/>
        </w:rPr>
        <w:t>beliefs</w:t>
      </w:r>
      <w:r w:rsidR="00EF017B">
        <w:rPr>
          <w:rFonts w:ascii="Times New Roman" w:hAnsi="Times New Roman"/>
        </w:rPr>
        <w:t xml:space="preserve"> correlate to the above harm and thus that all their manifestations </w:t>
      </w:r>
      <w:r w:rsidR="004305C6">
        <w:rPr>
          <w:rFonts w:ascii="Times New Roman" w:hAnsi="Times New Roman"/>
        </w:rPr>
        <w:t>can</w:t>
      </w:r>
      <w:r w:rsidR="00EF017B">
        <w:rPr>
          <w:rFonts w:ascii="Times New Roman" w:hAnsi="Times New Roman"/>
        </w:rPr>
        <w:t xml:space="preserve"> be subject to coercion. </w:t>
      </w:r>
      <w:r w:rsidR="004305C6">
        <w:rPr>
          <w:rFonts w:ascii="Times New Roman" w:hAnsi="Times New Roman"/>
        </w:rPr>
        <w:t>As such</w:t>
      </w:r>
      <w:r w:rsidR="001F74B6">
        <w:rPr>
          <w:rFonts w:ascii="Times New Roman" w:hAnsi="Times New Roman"/>
        </w:rPr>
        <w:t>, e</w:t>
      </w:r>
      <w:r w:rsidR="004305C6">
        <w:rPr>
          <w:rFonts w:ascii="Times New Roman" w:hAnsi="Times New Roman"/>
        </w:rPr>
        <w:t>ven while</w:t>
      </w:r>
      <w:r w:rsidR="004A0392" w:rsidRPr="00C46D35">
        <w:rPr>
          <w:rFonts w:ascii="Times New Roman" w:hAnsi="Times New Roman"/>
        </w:rPr>
        <w:t xml:space="preserve"> Locke maintains that the magistrate cannot inculcate </w:t>
      </w:r>
      <w:r w:rsidR="00A85585">
        <w:rPr>
          <w:rFonts w:ascii="Times New Roman" w:hAnsi="Times New Roman"/>
        </w:rPr>
        <w:t>what is inward</w:t>
      </w:r>
      <w:r w:rsidR="004A0392" w:rsidRPr="00C46D35">
        <w:rPr>
          <w:rFonts w:ascii="Times New Roman" w:hAnsi="Times New Roman"/>
        </w:rPr>
        <w:t>, any overlap</w:t>
      </w:r>
      <w:r w:rsidR="004A0392">
        <w:rPr>
          <w:rFonts w:ascii="Times New Roman" w:hAnsi="Times New Roman"/>
        </w:rPr>
        <w:t>s</w:t>
      </w:r>
      <w:r w:rsidR="004A0392" w:rsidRPr="00C46D35">
        <w:rPr>
          <w:rFonts w:ascii="Times New Roman" w:hAnsi="Times New Roman"/>
        </w:rPr>
        <w:t xml:space="preserve"> between civil interest and the </w:t>
      </w:r>
      <w:r w:rsidR="004A0392">
        <w:rPr>
          <w:rFonts w:ascii="Times New Roman" w:hAnsi="Times New Roman"/>
        </w:rPr>
        <w:t>public</w:t>
      </w:r>
      <w:r w:rsidR="004A0392" w:rsidRPr="00C46D35">
        <w:rPr>
          <w:rFonts w:ascii="Times New Roman" w:hAnsi="Times New Roman"/>
        </w:rPr>
        <w:t xml:space="preserve"> </w:t>
      </w:r>
      <w:r w:rsidR="004A0392">
        <w:rPr>
          <w:rFonts w:ascii="Times New Roman" w:hAnsi="Times New Roman"/>
        </w:rPr>
        <w:t>dimensions</w:t>
      </w:r>
      <w:r w:rsidR="004A0392" w:rsidRPr="00C46D35">
        <w:rPr>
          <w:rFonts w:ascii="Times New Roman" w:hAnsi="Times New Roman"/>
        </w:rPr>
        <w:t xml:space="preserve"> of religious practice </w:t>
      </w:r>
      <w:r w:rsidR="004A0392">
        <w:rPr>
          <w:rFonts w:ascii="Times New Roman" w:hAnsi="Times New Roman"/>
        </w:rPr>
        <w:t xml:space="preserve">now appear </w:t>
      </w:r>
      <w:r w:rsidR="00DE183A">
        <w:rPr>
          <w:rFonts w:ascii="Times New Roman" w:hAnsi="Times New Roman"/>
        </w:rPr>
        <w:t>as</w:t>
      </w:r>
      <w:r w:rsidR="004A0392" w:rsidRPr="00C46D35">
        <w:rPr>
          <w:rFonts w:ascii="Times New Roman" w:hAnsi="Times New Roman"/>
        </w:rPr>
        <w:t xml:space="preserve"> </w:t>
      </w:r>
      <w:r w:rsidR="004A0392">
        <w:rPr>
          <w:rFonts w:ascii="Times New Roman" w:hAnsi="Times New Roman"/>
        </w:rPr>
        <w:t>occasions for</w:t>
      </w:r>
      <w:r w:rsidR="004A0392" w:rsidRPr="00C46D35">
        <w:rPr>
          <w:rFonts w:ascii="Times New Roman" w:hAnsi="Times New Roman"/>
        </w:rPr>
        <w:t xml:space="preserve"> </w:t>
      </w:r>
      <w:r w:rsidR="004A0392">
        <w:rPr>
          <w:rFonts w:ascii="Times New Roman" w:hAnsi="Times New Roman"/>
        </w:rPr>
        <w:t xml:space="preserve">the </w:t>
      </w:r>
      <w:r w:rsidR="001F74B6">
        <w:rPr>
          <w:rFonts w:ascii="Times New Roman" w:hAnsi="Times New Roman"/>
        </w:rPr>
        <w:t>state</w:t>
      </w:r>
      <w:r w:rsidR="004A0392">
        <w:rPr>
          <w:rFonts w:ascii="Times New Roman" w:hAnsi="Times New Roman"/>
        </w:rPr>
        <w:t xml:space="preserve"> to t</w:t>
      </w:r>
      <w:r>
        <w:rPr>
          <w:rFonts w:ascii="Times New Roman" w:hAnsi="Times New Roman"/>
        </w:rPr>
        <w:t>rump certain religious beliefs (</w:t>
      </w:r>
      <w:r w:rsidR="004A0392">
        <w:rPr>
          <w:rFonts w:ascii="Times New Roman" w:hAnsi="Times New Roman"/>
        </w:rPr>
        <w:t xml:space="preserve">and </w:t>
      </w:r>
      <w:r>
        <w:rPr>
          <w:rFonts w:ascii="Times New Roman" w:hAnsi="Times New Roman"/>
        </w:rPr>
        <w:t>the groups associated with them)</w:t>
      </w:r>
      <w:r w:rsidR="004A0392">
        <w:rPr>
          <w:rFonts w:ascii="Times New Roman" w:hAnsi="Times New Roman"/>
        </w:rPr>
        <w:t xml:space="preserve"> wholesale.</w:t>
      </w:r>
      <w:r w:rsidR="00B92B57">
        <w:rPr>
          <w:rFonts w:ascii="Times New Roman" w:hAnsi="Times New Roman"/>
        </w:rPr>
        <w:t xml:space="preserve">  Imagine, for instance, that the magistrate judges a particular cluster of practices (a style of preaching, a way of congregating, the publication of certain texts, etc.) to belong to a </w:t>
      </w:r>
      <w:r w:rsidR="00B92B57" w:rsidRPr="00CB0E17">
        <w:rPr>
          <w:rFonts w:ascii="Times New Roman" w:hAnsi="Times New Roman"/>
        </w:rPr>
        <w:t>group</w:t>
      </w:r>
      <w:r w:rsidR="00B92B57">
        <w:rPr>
          <w:rFonts w:ascii="Times New Roman" w:hAnsi="Times New Roman"/>
        </w:rPr>
        <w:t xml:space="preserve"> whose inward beliefs </w:t>
      </w:r>
      <w:r w:rsidR="00A85585">
        <w:rPr>
          <w:rFonts w:ascii="Times New Roman" w:hAnsi="Times New Roman"/>
        </w:rPr>
        <w:t>produce</w:t>
      </w:r>
      <w:r w:rsidR="00B92B57">
        <w:rPr>
          <w:rFonts w:ascii="Times New Roman" w:hAnsi="Times New Roman"/>
        </w:rPr>
        <w:t xml:space="preserve"> outward effects detrimental to the</w:t>
      </w:r>
      <w:r w:rsidR="00DE183A">
        <w:rPr>
          <w:rFonts w:ascii="Times New Roman" w:hAnsi="Times New Roman"/>
        </w:rPr>
        <w:t xml:space="preserve"> public good. </w:t>
      </w:r>
      <w:r w:rsidR="00B92B57">
        <w:rPr>
          <w:rFonts w:ascii="Times New Roman" w:hAnsi="Times New Roman"/>
        </w:rPr>
        <w:t xml:space="preserve">Could not the magistrate </w:t>
      </w:r>
      <w:r w:rsidR="00B7197B">
        <w:rPr>
          <w:rFonts w:ascii="Times New Roman" w:hAnsi="Times New Roman"/>
        </w:rPr>
        <w:t xml:space="preserve">use his </w:t>
      </w:r>
      <w:r w:rsidR="00B92B57">
        <w:rPr>
          <w:rFonts w:ascii="Times New Roman" w:hAnsi="Times New Roman"/>
        </w:rPr>
        <w:t xml:space="preserve">power to subvert the practices of such a group?  </w:t>
      </w:r>
      <w:r w:rsidR="00ED0B26">
        <w:rPr>
          <w:rFonts w:ascii="Times New Roman" w:hAnsi="Times New Roman"/>
        </w:rPr>
        <w:t xml:space="preserve">Sticking with Locke’s own language, if </w:t>
      </w:r>
      <w:r w:rsidR="00B92B57">
        <w:rPr>
          <w:rFonts w:ascii="Times New Roman" w:hAnsi="Times New Roman"/>
        </w:rPr>
        <w:t xml:space="preserve">the magistrate can ascertain that a group’s outward “pomp” </w:t>
      </w:r>
      <w:r w:rsidR="00B92B57">
        <w:rPr>
          <w:rFonts w:ascii="Times New Roman" w:hAnsi="Times New Roman"/>
          <w:i/>
        </w:rPr>
        <w:t>actually</w:t>
      </w:r>
      <w:r w:rsidR="00B92B57">
        <w:rPr>
          <w:rFonts w:ascii="Times New Roman" w:hAnsi="Times New Roman"/>
        </w:rPr>
        <w:t xml:space="preserve"> reflects an (inward) “striving for power,” then would not the “pomp” itself become dangerous?  </w:t>
      </w:r>
      <w:r w:rsidR="00ED0B26">
        <w:rPr>
          <w:rFonts w:ascii="Times New Roman" w:hAnsi="Times New Roman"/>
        </w:rPr>
        <w:t>If some group’s</w:t>
      </w:r>
      <w:r w:rsidR="00B92B57">
        <w:rPr>
          <w:rFonts w:ascii="Times New Roman" w:hAnsi="Times New Roman"/>
        </w:rPr>
        <w:t xml:space="preserve"> “pomp” is the concern in our hypothetical example, then why wouldn’t the magistrate apply his outward force to undermine </w:t>
      </w:r>
      <w:r w:rsidR="00ED0B26">
        <w:rPr>
          <w:rFonts w:ascii="Times New Roman" w:hAnsi="Times New Roman"/>
        </w:rPr>
        <w:t>its</w:t>
      </w:r>
      <w:r w:rsidR="00B92B57">
        <w:rPr>
          <w:rFonts w:ascii="Times New Roman" w:hAnsi="Times New Roman"/>
        </w:rPr>
        <w:t xml:space="preserve"> institutions</w:t>
      </w:r>
      <w:r w:rsidR="00ED0B26">
        <w:rPr>
          <w:rFonts w:ascii="Times New Roman" w:hAnsi="Times New Roman"/>
        </w:rPr>
        <w:t xml:space="preserve"> wholesale</w:t>
      </w:r>
      <w:r w:rsidR="00B92B57">
        <w:rPr>
          <w:rFonts w:ascii="Times New Roman" w:hAnsi="Times New Roman"/>
        </w:rPr>
        <w:t>?</w:t>
      </w:r>
    </w:p>
    <w:p w14:paraId="3871342A" w14:textId="51920169" w:rsidR="00AB55E3" w:rsidRDefault="00ED0B26" w:rsidP="00F318E0">
      <w:pPr>
        <w:pStyle w:val="NoSpacing"/>
        <w:spacing w:line="480" w:lineRule="auto"/>
        <w:ind w:firstLine="720"/>
        <w:rPr>
          <w:rFonts w:ascii="Times New Roman" w:hAnsi="Times New Roman"/>
        </w:rPr>
      </w:pPr>
      <w:r>
        <w:rPr>
          <w:rFonts w:ascii="Times New Roman" w:hAnsi="Times New Roman"/>
        </w:rPr>
        <w:t>If judgment</w:t>
      </w:r>
      <w:r w:rsidR="005C7757">
        <w:rPr>
          <w:rFonts w:ascii="Times New Roman" w:hAnsi="Times New Roman"/>
        </w:rPr>
        <w:t xml:space="preserve"> in the </w:t>
      </w:r>
      <w:r w:rsidR="005C7757">
        <w:rPr>
          <w:rFonts w:ascii="Times New Roman" w:hAnsi="Times New Roman"/>
          <w:i/>
        </w:rPr>
        <w:t>Letter</w:t>
      </w:r>
      <w:r>
        <w:rPr>
          <w:rFonts w:ascii="Times New Roman" w:hAnsi="Times New Roman"/>
        </w:rPr>
        <w:t xml:space="preserve"> is presumed to be discrete, individuated, and static, then </w:t>
      </w:r>
      <w:r w:rsidR="005C7757">
        <w:rPr>
          <w:rFonts w:ascii="Times New Roman" w:hAnsi="Times New Roman"/>
        </w:rPr>
        <w:t xml:space="preserve">Locke’s defense of toleration produces an incoherent picture, not merely in its insufficient protection of subjects’ </w:t>
      </w:r>
      <w:r w:rsidR="003C1F75">
        <w:rPr>
          <w:rFonts w:ascii="Times New Roman" w:hAnsi="Times New Roman"/>
        </w:rPr>
        <w:t xml:space="preserve">long-standing </w:t>
      </w:r>
      <w:r w:rsidR="005C7757">
        <w:rPr>
          <w:rFonts w:ascii="Times New Roman" w:hAnsi="Times New Roman"/>
        </w:rPr>
        <w:t>“surrounding apparatus</w:t>
      </w:r>
      <w:r w:rsidR="003C1F75">
        <w:rPr>
          <w:rFonts w:ascii="Times New Roman" w:hAnsi="Times New Roman"/>
        </w:rPr>
        <w:t>es</w:t>
      </w:r>
      <w:r w:rsidR="005C7757">
        <w:rPr>
          <w:rFonts w:ascii="Times New Roman" w:hAnsi="Times New Roman"/>
        </w:rPr>
        <w:t>” or its</w:t>
      </w:r>
      <w:r w:rsidR="003C1F75">
        <w:rPr>
          <w:rFonts w:ascii="Times New Roman" w:hAnsi="Times New Roman"/>
        </w:rPr>
        <w:t xml:space="preserve"> ultimately</w:t>
      </w:r>
      <w:r w:rsidR="005C7757">
        <w:rPr>
          <w:rFonts w:ascii="Times New Roman" w:hAnsi="Times New Roman"/>
        </w:rPr>
        <w:t xml:space="preserve"> problematic privatization of belief, but indeed in the very basis from which</w:t>
      </w:r>
      <w:r w:rsidR="00A07CFD">
        <w:rPr>
          <w:rFonts w:ascii="Times New Roman" w:hAnsi="Times New Roman"/>
        </w:rPr>
        <w:t xml:space="preserve"> magistrates correlate</w:t>
      </w:r>
      <w:r w:rsidR="005C7757">
        <w:rPr>
          <w:rFonts w:ascii="Times New Roman" w:hAnsi="Times New Roman"/>
        </w:rPr>
        <w:t xml:space="preserve"> inward and outward to begin with—the defense of toleration as such </w:t>
      </w:r>
      <w:r w:rsidR="003C1F75">
        <w:rPr>
          <w:rFonts w:ascii="Times New Roman" w:hAnsi="Times New Roman"/>
        </w:rPr>
        <w:t xml:space="preserve">seems </w:t>
      </w:r>
      <w:r w:rsidR="005C7757">
        <w:rPr>
          <w:rFonts w:ascii="Times New Roman" w:hAnsi="Times New Roman"/>
        </w:rPr>
        <w:t>immediately</w:t>
      </w:r>
      <w:r w:rsidR="003C1F75">
        <w:rPr>
          <w:rFonts w:ascii="Times New Roman" w:hAnsi="Times New Roman"/>
        </w:rPr>
        <w:t xml:space="preserve"> deficient.</w:t>
      </w:r>
      <w:r w:rsidR="005C7757">
        <w:rPr>
          <w:rFonts w:ascii="Times New Roman" w:hAnsi="Times New Roman"/>
        </w:rPr>
        <w:t xml:space="preserve">  </w:t>
      </w:r>
      <w:r w:rsidR="00DE183A">
        <w:rPr>
          <w:rFonts w:ascii="Times New Roman" w:hAnsi="Times New Roman"/>
        </w:rPr>
        <w:t xml:space="preserve">As noted above, however, my motivating question </w:t>
      </w:r>
      <w:r w:rsidR="00C82CEE">
        <w:rPr>
          <w:rFonts w:ascii="Times New Roman" w:hAnsi="Times New Roman"/>
        </w:rPr>
        <w:t>here is</w:t>
      </w:r>
      <w:r w:rsidR="00DE183A">
        <w:rPr>
          <w:rFonts w:ascii="Times New Roman" w:hAnsi="Times New Roman"/>
        </w:rPr>
        <w:t xml:space="preserve"> whether </w:t>
      </w:r>
      <w:r w:rsidR="005C7757">
        <w:rPr>
          <w:rFonts w:ascii="Times New Roman" w:hAnsi="Times New Roman"/>
        </w:rPr>
        <w:t>this</w:t>
      </w:r>
      <w:r w:rsidR="00DE183A">
        <w:rPr>
          <w:rFonts w:ascii="Times New Roman" w:hAnsi="Times New Roman"/>
        </w:rPr>
        <w:t xml:space="preserve"> account of Lockean judgment is in fact adequate. </w:t>
      </w:r>
      <w:r w:rsidR="008C157D">
        <w:rPr>
          <w:rFonts w:ascii="Times New Roman" w:hAnsi="Times New Roman"/>
        </w:rPr>
        <w:t>Note, for instance, the extent to which the above notion of judgment has left us with an enti</w:t>
      </w:r>
      <w:r w:rsidR="00C9606A">
        <w:rPr>
          <w:rFonts w:ascii="Times New Roman" w:hAnsi="Times New Roman"/>
        </w:rPr>
        <w:t>rely instrumental account of this</w:t>
      </w:r>
      <w:r w:rsidR="008C157D">
        <w:rPr>
          <w:rFonts w:ascii="Times New Roman" w:hAnsi="Times New Roman"/>
        </w:rPr>
        <w:t xml:space="preserve"> </w:t>
      </w:r>
      <w:r w:rsidR="00C9606A">
        <w:rPr>
          <w:rFonts w:ascii="Times New Roman" w:hAnsi="Times New Roman"/>
        </w:rPr>
        <w:t>faculty</w:t>
      </w:r>
      <w:r w:rsidR="008C157D">
        <w:rPr>
          <w:rFonts w:ascii="Times New Roman" w:hAnsi="Times New Roman"/>
        </w:rPr>
        <w:t xml:space="preserve"> absent any </w:t>
      </w:r>
      <w:r w:rsidR="00DE183A">
        <w:rPr>
          <w:rFonts w:ascii="Times New Roman" w:hAnsi="Times New Roman"/>
        </w:rPr>
        <w:t>tangible</w:t>
      </w:r>
      <w:r w:rsidR="008C157D">
        <w:rPr>
          <w:rFonts w:ascii="Times New Roman" w:hAnsi="Times New Roman"/>
        </w:rPr>
        <w:t xml:space="preserve"> concern or capacity to account for how the formation and practice of judgment may affect its </w:t>
      </w:r>
      <w:r w:rsidR="00044E97">
        <w:rPr>
          <w:rFonts w:ascii="Times New Roman" w:hAnsi="Times New Roman"/>
        </w:rPr>
        <w:t>content</w:t>
      </w:r>
      <w:r w:rsidR="008C157D">
        <w:rPr>
          <w:rFonts w:ascii="Times New Roman" w:hAnsi="Times New Roman"/>
        </w:rPr>
        <w:t xml:space="preserve"> and quality: judgment has simply become a site where the magistrate can</w:t>
      </w:r>
      <w:r w:rsidR="009A585A">
        <w:rPr>
          <w:rFonts w:ascii="Times New Roman" w:hAnsi="Times New Roman"/>
        </w:rPr>
        <w:t xml:space="preserve"> generally</w:t>
      </w:r>
      <w:r w:rsidR="008C157D">
        <w:rPr>
          <w:rFonts w:ascii="Times New Roman" w:hAnsi="Times New Roman"/>
        </w:rPr>
        <w:t xml:space="preserve"> determine that some </w:t>
      </w:r>
      <w:r w:rsidR="008C157D">
        <w:rPr>
          <w:rFonts w:ascii="Times New Roman" w:hAnsi="Times New Roman"/>
        </w:rPr>
        <w:lastRenderedPageBreak/>
        <w:t>outward manifestation X can be traced back to s</w:t>
      </w:r>
      <w:r w:rsidR="00C82CEE">
        <w:rPr>
          <w:rFonts w:ascii="Times New Roman" w:hAnsi="Times New Roman"/>
        </w:rPr>
        <w:t>ome belief Y.</w:t>
      </w:r>
      <w:r w:rsidR="00994CCA">
        <w:rPr>
          <w:rStyle w:val="FootnoteReference"/>
        </w:rPr>
        <w:footnoteReference w:id="23"/>
      </w:r>
      <w:r w:rsidR="00C82CEE">
        <w:rPr>
          <w:rFonts w:ascii="Times New Roman" w:hAnsi="Times New Roman"/>
        </w:rPr>
        <w:t xml:space="preserve">  </w:t>
      </w:r>
      <w:r w:rsidR="00CE6A75">
        <w:rPr>
          <w:rFonts w:ascii="Times New Roman" w:hAnsi="Times New Roman"/>
        </w:rPr>
        <w:t xml:space="preserve">Indeed, even if Locke’s inward/outward </w:t>
      </w:r>
      <w:r w:rsidR="00C9606A">
        <w:rPr>
          <w:rFonts w:ascii="Times New Roman" w:hAnsi="Times New Roman"/>
        </w:rPr>
        <w:t>division</w:t>
      </w:r>
      <w:r w:rsidR="00CE6A75">
        <w:rPr>
          <w:rFonts w:ascii="Times New Roman" w:hAnsi="Times New Roman"/>
        </w:rPr>
        <w:t xml:space="preserve"> may allow for this sort of instrumentalization, it also </w:t>
      </w:r>
      <w:r w:rsidR="00C9606A">
        <w:rPr>
          <w:rFonts w:ascii="Times New Roman" w:hAnsi="Times New Roman"/>
        </w:rPr>
        <w:t>appears in immediate</w:t>
      </w:r>
      <w:r w:rsidR="00CE6A75">
        <w:rPr>
          <w:rFonts w:ascii="Times New Roman" w:hAnsi="Times New Roman"/>
        </w:rPr>
        <w:t xml:space="preserve"> tension with his own statements quoted above regarding</w:t>
      </w:r>
      <w:r w:rsidR="00AD30AA">
        <w:rPr>
          <w:rFonts w:ascii="Times New Roman" w:hAnsi="Times New Roman"/>
        </w:rPr>
        <w:t xml:space="preserve"> the significance of</w:t>
      </w:r>
      <w:r w:rsidR="00044E97">
        <w:rPr>
          <w:rFonts w:ascii="Times New Roman" w:hAnsi="Times New Roman"/>
        </w:rPr>
        <w:t xml:space="preserve"> “a good life” and</w:t>
      </w:r>
      <w:r w:rsidR="00CE6A75">
        <w:rPr>
          <w:rFonts w:ascii="Times New Roman" w:hAnsi="Times New Roman"/>
        </w:rPr>
        <w:t xml:space="preserve"> “moral action” </w:t>
      </w:r>
      <w:r w:rsidR="00AD30AA">
        <w:rPr>
          <w:rFonts w:ascii="Times New Roman" w:hAnsi="Times New Roman"/>
        </w:rPr>
        <w:t>wherein “lies the safety of both men’s souls and of the commonwealth”—</w:t>
      </w:r>
      <w:r w:rsidR="00CE6A75">
        <w:rPr>
          <w:rFonts w:ascii="Times New Roman" w:hAnsi="Times New Roman"/>
        </w:rPr>
        <w:t xml:space="preserve">cases where the church and the magistrate </w:t>
      </w:r>
      <w:r w:rsidR="002B69F3">
        <w:rPr>
          <w:rFonts w:ascii="Times New Roman" w:hAnsi="Times New Roman"/>
        </w:rPr>
        <w:t>will most likely “intrench</w:t>
      </w:r>
      <w:r w:rsidR="00CE6A75">
        <w:rPr>
          <w:rFonts w:ascii="Times New Roman" w:hAnsi="Times New Roman"/>
        </w:rPr>
        <w:t xml:space="preserve"> upon” on</w:t>
      </w:r>
      <w:r w:rsidR="00B20B0D">
        <w:rPr>
          <w:rFonts w:ascii="Times New Roman" w:hAnsi="Times New Roman"/>
        </w:rPr>
        <w:t>e another. A</w:t>
      </w:r>
      <w:r w:rsidR="00B71C36">
        <w:rPr>
          <w:rFonts w:ascii="Times New Roman" w:hAnsi="Times New Roman"/>
        </w:rPr>
        <w:t>ccording to Locke</w:t>
      </w:r>
      <w:r w:rsidR="00B20B0D">
        <w:rPr>
          <w:rFonts w:ascii="Times New Roman" w:hAnsi="Times New Roman"/>
        </w:rPr>
        <w:t>,</w:t>
      </w:r>
      <w:r w:rsidR="00B71C36">
        <w:rPr>
          <w:rFonts w:ascii="Times New Roman" w:hAnsi="Times New Roman"/>
        </w:rPr>
        <w:t xml:space="preserve"> </w:t>
      </w:r>
      <w:r w:rsidR="0043275E">
        <w:rPr>
          <w:rFonts w:ascii="Times New Roman" w:hAnsi="Times New Roman"/>
        </w:rPr>
        <w:t>we risk such entrenching</w:t>
      </w:r>
      <w:r w:rsidR="00C9606A">
        <w:rPr>
          <w:rFonts w:ascii="Times New Roman" w:hAnsi="Times New Roman"/>
        </w:rPr>
        <w:t xml:space="preserve"> </w:t>
      </w:r>
      <w:r w:rsidR="00044E97">
        <w:rPr>
          <w:rFonts w:ascii="Times New Roman" w:hAnsi="Times New Roman"/>
        </w:rPr>
        <w:t>precisely where</w:t>
      </w:r>
      <w:r w:rsidR="00C9606A">
        <w:rPr>
          <w:rFonts w:ascii="Times New Roman" w:hAnsi="Times New Roman"/>
        </w:rPr>
        <w:t xml:space="preserve"> </w:t>
      </w:r>
      <w:r w:rsidR="00044E97">
        <w:rPr>
          <w:rFonts w:ascii="Times New Roman" w:hAnsi="Times New Roman"/>
        </w:rPr>
        <w:t>religious and magisterial “jurisdictions” overlap in their</w:t>
      </w:r>
      <w:r w:rsidR="00C9606A">
        <w:rPr>
          <w:rFonts w:ascii="Times New Roman" w:hAnsi="Times New Roman"/>
        </w:rPr>
        <w:t xml:space="preserve"> vested interest</w:t>
      </w:r>
      <w:r w:rsidR="00044E97">
        <w:rPr>
          <w:rFonts w:ascii="Times New Roman" w:hAnsi="Times New Roman"/>
        </w:rPr>
        <w:t>s regarding</w:t>
      </w:r>
      <w:r w:rsidR="00C9606A">
        <w:rPr>
          <w:rFonts w:ascii="Times New Roman" w:hAnsi="Times New Roman"/>
        </w:rPr>
        <w:t xml:space="preserve"> the </w:t>
      </w:r>
      <w:r w:rsidR="00C9606A" w:rsidRPr="00C9606A">
        <w:rPr>
          <w:rFonts w:ascii="Times New Roman" w:hAnsi="Times New Roman"/>
          <w:i/>
        </w:rPr>
        <w:t>quality</w:t>
      </w:r>
      <w:r w:rsidR="00C9606A">
        <w:rPr>
          <w:rFonts w:ascii="Times New Roman" w:hAnsi="Times New Roman"/>
        </w:rPr>
        <w:t xml:space="preserve"> and not simply the empirically-traceab</w:t>
      </w:r>
      <w:r w:rsidR="00B71C36">
        <w:rPr>
          <w:rFonts w:ascii="Times New Roman" w:hAnsi="Times New Roman"/>
        </w:rPr>
        <w:t>le facts of beliefs and actions.</w:t>
      </w:r>
      <w:r w:rsidR="00994CCA" w:rsidRPr="00994CCA">
        <w:rPr>
          <w:rStyle w:val="FootnoteReference"/>
        </w:rPr>
        <w:t xml:space="preserve"> </w:t>
      </w:r>
      <w:r w:rsidR="00B71C36">
        <w:rPr>
          <w:rFonts w:ascii="Times New Roman" w:hAnsi="Times New Roman"/>
        </w:rPr>
        <w:t>As such, here Locke’s assertions</w:t>
      </w:r>
      <w:r w:rsidR="00C9606A">
        <w:rPr>
          <w:rFonts w:ascii="Times New Roman" w:hAnsi="Times New Roman"/>
        </w:rPr>
        <w:t xml:space="preserve"> appear to be in tension with the</w:t>
      </w:r>
      <w:r w:rsidR="00E50587">
        <w:rPr>
          <w:rFonts w:ascii="Times New Roman" w:hAnsi="Times New Roman"/>
        </w:rPr>
        <w:t xml:space="preserve"> </w:t>
      </w:r>
      <w:r w:rsidR="009C70BA">
        <w:rPr>
          <w:rFonts w:ascii="Times New Roman" w:hAnsi="Times New Roman"/>
        </w:rPr>
        <w:t>most biting</w:t>
      </w:r>
      <w:r w:rsidR="00C9606A">
        <w:rPr>
          <w:rFonts w:ascii="Times New Roman" w:hAnsi="Times New Roman"/>
        </w:rPr>
        <w:t xml:space="preserve"> claims advanced by both </w:t>
      </w:r>
      <w:r w:rsidR="0078555D">
        <w:rPr>
          <w:rFonts w:ascii="Times New Roman" w:hAnsi="Times New Roman"/>
        </w:rPr>
        <w:t>refutations</w:t>
      </w:r>
      <w:r w:rsidR="00C9606A">
        <w:rPr>
          <w:rFonts w:ascii="Times New Roman" w:hAnsi="Times New Roman"/>
        </w:rPr>
        <w:t xml:space="preserve">—namely that </w:t>
      </w:r>
      <w:r w:rsidR="00B71C36">
        <w:rPr>
          <w:rFonts w:ascii="Times New Roman" w:hAnsi="Times New Roman"/>
        </w:rPr>
        <w:t>he</w:t>
      </w:r>
      <w:r w:rsidR="00C9606A">
        <w:rPr>
          <w:rFonts w:ascii="Times New Roman" w:hAnsi="Times New Roman"/>
        </w:rPr>
        <w:t xml:space="preserve"> leaves us with inward beliefs of “no public importance,” that </w:t>
      </w:r>
      <w:r w:rsidR="00E50587">
        <w:rPr>
          <w:rFonts w:ascii="Times New Roman" w:hAnsi="Times New Roman"/>
        </w:rPr>
        <w:t xml:space="preserve">a moral defense of toleration is entirely missing on Locke’s account, and that a “primacy of facticity” necessarily subjectivizes belief.  </w:t>
      </w:r>
    </w:p>
    <w:p w14:paraId="729691FB" w14:textId="64449298" w:rsidR="00BC007A" w:rsidRDefault="002B69F3" w:rsidP="00C711DD">
      <w:pPr>
        <w:pStyle w:val="NoSpacing"/>
        <w:spacing w:line="480" w:lineRule="auto"/>
        <w:ind w:firstLine="720"/>
        <w:rPr>
          <w:rFonts w:ascii="Times New Roman" w:hAnsi="Times New Roman"/>
        </w:rPr>
      </w:pPr>
      <w:r>
        <w:rPr>
          <w:rFonts w:ascii="Times New Roman" w:hAnsi="Times New Roman"/>
        </w:rPr>
        <w:t xml:space="preserve">Given both this tension and the </w:t>
      </w:r>
      <w:r w:rsidR="00D95843">
        <w:rPr>
          <w:rFonts w:ascii="Times New Roman" w:hAnsi="Times New Roman"/>
        </w:rPr>
        <w:t>question</w:t>
      </w:r>
      <w:r>
        <w:rPr>
          <w:rFonts w:ascii="Times New Roman" w:hAnsi="Times New Roman"/>
        </w:rPr>
        <w:t xml:space="preserve"> of</w:t>
      </w:r>
      <w:r w:rsidR="00D95843">
        <w:rPr>
          <w:rFonts w:ascii="Times New Roman" w:hAnsi="Times New Roman"/>
        </w:rPr>
        <w:t xml:space="preserve"> a</w:t>
      </w:r>
      <w:r w:rsidR="00B20B0D">
        <w:rPr>
          <w:rFonts w:ascii="Times New Roman" w:hAnsi="Times New Roman"/>
        </w:rPr>
        <w:t>n underlying</w:t>
      </w:r>
      <w:r w:rsidR="00D95843">
        <w:rPr>
          <w:rFonts w:ascii="Times New Roman" w:hAnsi="Times New Roman"/>
        </w:rPr>
        <w:t xml:space="preserve"> </w:t>
      </w:r>
      <w:r w:rsidR="00AE3E68">
        <w:rPr>
          <w:rFonts w:ascii="Times New Roman" w:hAnsi="Times New Roman"/>
        </w:rPr>
        <w:t>deficiency</w:t>
      </w:r>
      <w:r w:rsidR="00B20B0D">
        <w:rPr>
          <w:rFonts w:ascii="Times New Roman" w:hAnsi="Times New Roman"/>
        </w:rPr>
        <w:t xml:space="preserve"> in Locke</w:t>
      </w:r>
      <w:r w:rsidR="00C711DD">
        <w:rPr>
          <w:rFonts w:ascii="Times New Roman" w:hAnsi="Times New Roman"/>
        </w:rPr>
        <w:t>an</w:t>
      </w:r>
      <w:r w:rsidR="00B20B0D">
        <w:rPr>
          <w:rFonts w:ascii="Times New Roman" w:hAnsi="Times New Roman"/>
        </w:rPr>
        <w:t xml:space="preserve"> toleration </w:t>
      </w:r>
      <w:r>
        <w:rPr>
          <w:rFonts w:ascii="Times New Roman" w:hAnsi="Times New Roman"/>
        </w:rPr>
        <w:t>in mind</w:t>
      </w:r>
      <w:r w:rsidR="00E50587">
        <w:rPr>
          <w:rFonts w:ascii="Times New Roman" w:hAnsi="Times New Roman"/>
        </w:rPr>
        <w:t>, in the following section I investig</w:t>
      </w:r>
      <w:r w:rsidR="00D95843">
        <w:rPr>
          <w:rFonts w:ascii="Times New Roman" w:hAnsi="Times New Roman"/>
        </w:rPr>
        <w:t>ate the proposition that Locke’s account of</w:t>
      </w:r>
      <w:r w:rsidR="00E50587">
        <w:rPr>
          <w:rFonts w:ascii="Times New Roman" w:hAnsi="Times New Roman"/>
        </w:rPr>
        <w:t xml:space="preserve"> judgment may involve a more complicated dynamic that resists the discrete, individuated, and static </w:t>
      </w:r>
      <w:r>
        <w:rPr>
          <w:rFonts w:ascii="Times New Roman" w:hAnsi="Times New Roman"/>
        </w:rPr>
        <w:t>conceptualization</w:t>
      </w:r>
      <w:r w:rsidR="00B20B0D">
        <w:rPr>
          <w:rFonts w:ascii="Times New Roman" w:hAnsi="Times New Roman"/>
        </w:rPr>
        <w:t xml:space="preserve"> outlined above</w:t>
      </w:r>
      <w:r w:rsidR="00C711DD">
        <w:rPr>
          <w:rFonts w:ascii="Times New Roman" w:hAnsi="Times New Roman"/>
        </w:rPr>
        <w:t xml:space="preserve">. </w:t>
      </w:r>
      <w:r w:rsidR="00E50587">
        <w:rPr>
          <w:rFonts w:ascii="Times New Roman" w:hAnsi="Times New Roman"/>
        </w:rPr>
        <w:t xml:space="preserve">Here, however, </w:t>
      </w:r>
      <w:r w:rsidR="004327E9">
        <w:rPr>
          <w:rFonts w:ascii="Times New Roman" w:hAnsi="Times New Roman"/>
        </w:rPr>
        <w:t>it is important to note that while evocations of judgment and examples of various judging practices populate the</w:t>
      </w:r>
      <w:r w:rsidR="00E50587">
        <w:rPr>
          <w:rFonts w:ascii="Times New Roman" w:hAnsi="Times New Roman"/>
        </w:rPr>
        <w:t xml:space="preserve"> </w:t>
      </w:r>
      <w:r w:rsidR="00E50587">
        <w:rPr>
          <w:rFonts w:ascii="Times New Roman" w:hAnsi="Times New Roman"/>
          <w:i/>
        </w:rPr>
        <w:t>Letter</w:t>
      </w:r>
      <w:r w:rsidR="00BC007A">
        <w:rPr>
          <w:rFonts w:ascii="Times New Roman" w:hAnsi="Times New Roman"/>
        </w:rPr>
        <w:t>, the faculty as such</w:t>
      </w:r>
      <w:r w:rsidR="00E50587">
        <w:rPr>
          <w:rFonts w:ascii="Times New Roman" w:hAnsi="Times New Roman"/>
        </w:rPr>
        <w:t xml:space="preserve"> ultimately remains </w:t>
      </w:r>
      <w:r w:rsidR="005F0704">
        <w:rPr>
          <w:rFonts w:ascii="Times New Roman" w:hAnsi="Times New Roman"/>
        </w:rPr>
        <w:t>undertheorized and underdetermined</w:t>
      </w:r>
      <w:r w:rsidR="00BC007A">
        <w:rPr>
          <w:rFonts w:ascii="Times New Roman" w:hAnsi="Times New Roman"/>
        </w:rPr>
        <w:t xml:space="preserve"> in this text</w:t>
      </w:r>
      <w:r w:rsidR="005F0704">
        <w:rPr>
          <w:rFonts w:ascii="Times New Roman" w:hAnsi="Times New Roman"/>
        </w:rPr>
        <w:t xml:space="preserve">.  </w:t>
      </w:r>
      <w:r w:rsidR="00BC007A">
        <w:rPr>
          <w:rFonts w:ascii="Times New Roman" w:hAnsi="Times New Roman"/>
        </w:rPr>
        <w:t>As a result</w:t>
      </w:r>
      <w:r w:rsidR="00B20B0D">
        <w:rPr>
          <w:rFonts w:ascii="Times New Roman" w:hAnsi="Times New Roman"/>
        </w:rPr>
        <w:t xml:space="preserve">, my objective </w:t>
      </w:r>
      <w:r w:rsidR="005F0704">
        <w:rPr>
          <w:rFonts w:ascii="Times New Roman" w:hAnsi="Times New Roman"/>
        </w:rPr>
        <w:t>is not</w:t>
      </w:r>
      <w:r w:rsidR="00B20B0D">
        <w:rPr>
          <w:rFonts w:ascii="Times New Roman" w:hAnsi="Times New Roman"/>
        </w:rPr>
        <w:t xml:space="preserve"> </w:t>
      </w:r>
      <w:r w:rsidR="00C711DD">
        <w:rPr>
          <w:rFonts w:ascii="Times New Roman" w:hAnsi="Times New Roman"/>
        </w:rPr>
        <w:t>entirely</w:t>
      </w:r>
      <w:r w:rsidR="005F0704">
        <w:rPr>
          <w:rFonts w:ascii="Times New Roman" w:hAnsi="Times New Roman"/>
        </w:rPr>
        <w:t xml:space="preserve"> to resolve the </w:t>
      </w:r>
      <w:r w:rsidR="00AE3E68">
        <w:rPr>
          <w:rFonts w:ascii="Times New Roman" w:hAnsi="Times New Roman"/>
        </w:rPr>
        <w:t>problems</w:t>
      </w:r>
      <w:r w:rsidR="005F0704">
        <w:rPr>
          <w:rFonts w:ascii="Times New Roman" w:hAnsi="Times New Roman"/>
        </w:rPr>
        <w:t xml:space="preserve"> between belief and coercion or to offer an unqualified defense of Lockean toleration.</w:t>
      </w:r>
      <w:r w:rsidR="00F318E0" w:rsidRPr="00F318E0">
        <w:rPr>
          <w:rFonts w:ascii="Times New Roman" w:hAnsi="Times New Roman"/>
        </w:rPr>
        <w:t xml:space="preserve"> </w:t>
      </w:r>
      <w:r w:rsidR="00F318E0">
        <w:rPr>
          <w:rFonts w:ascii="Times New Roman" w:hAnsi="Times New Roman"/>
        </w:rPr>
        <w:t>Rather</w:t>
      </w:r>
      <w:r w:rsidR="00C711DD">
        <w:rPr>
          <w:rFonts w:ascii="Times New Roman" w:hAnsi="Times New Roman"/>
        </w:rPr>
        <w:t xml:space="preserve">, in what follows, I propose a </w:t>
      </w:r>
      <w:r w:rsidR="00F318E0">
        <w:rPr>
          <w:rFonts w:ascii="Times New Roman" w:hAnsi="Times New Roman"/>
        </w:rPr>
        <w:t xml:space="preserve">reading of Lockean judgment more attentive to </w:t>
      </w:r>
      <w:r w:rsidR="00D95843">
        <w:rPr>
          <w:rFonts w:ascii="Times New Roman" w:hAnsi="Times New Roman"/>
        </w:rPr>
        <w:t>its</w:t>
      </w:r>
      <w:r w:rsidR="00F318E0">
        <w:rPr>
          <w:rFonts w:ascii="Times New Roman" w:hAnsi="Times New Roman"/>
        </w:rPr>
        <w:t xml:space="preserve"> necessary interplays with </w:t>
      </w:r>
      <w:r w:rsidR="00F318E0" w:rsidRPr="00BC007A">
        <w:rPr>
          <w:rFonts w:ascii="Times New Roman" w:hAnsi="Times New Roman"/>
          <w:i/>
        </w:rPr>
        <w:t>wit</w:t>
      </w:r>
      <w:r w:rsidR="00F318E0">
        <w:rPr>
          <w:rFonts w:ascii="Times New Roman" w:hAnsi="Times New Roman"/>
        </w:rPr>
        <w:t xml:space="preserve"> in the </w:t>
      </w:r>
      <w:r w:rsidR="00F318E0">
        <w:rPr>
          <w:rFonts w:ascii="Times New Roman" w:hAnsi="Times New Roman"/>
          <w:i/>
        </w:rPr>
        <w:t>Essay</w:t>
      </w:r>
      <w:r w:rsidR="00F318E0">
        <w:rPr>
          <w:rFonts w:ascii="Times New Roman" w:hAnsi="Times New Roman"/>
        </w:rPr>
        <w:t>—a reading I suggest enables us to place questions regarding judgment’s quality at the forefront</w:t>
      </w:r>
      <w:r w:rsidR="00C711DD">
        <w:rPr>
          <w:rFonts w:ascii="Times New Roman" w:hAnsi="Times New Roman"/>
        </w:rPr>
        <w:t xml:space="preserve"> in ways downplayed in the above refutations</w:t>
      </w:r>
      <w:r w:rsidR="00F318E0">
        <w:rPr>
          <w:rFonts w:ascii="Times New Roman" w:hAnsi="Times New Roman"/>
        </w:rPr>
        <w:t xml:space="preserve">. Insofar as my reading proposes to shift our attention from the belief/coercion mismatch to Locke’s engagement with the faculty of judgment, this reading also </w:t>
      </w:r>
      <w:r w:rsidR="0043275E">
        <w:rPr>
          <w:rFonts w:ascii="Times New Roman" w:hAnsi="Times New Roman"/>
        </w:rPr>
        <w:t xml:space="preserve">casts </w:t>
      </w:r>
      <w:r w:rsidR="0043275E">
        <w:rPr>
          <w:rFonts w:ascii="Times New Roman" w:hAnsi="Times New Roman"/>
        </w:rPr>
        <w:lastRenderedPageBreak/>
        <w:t>doubts on the adequacy of a</w:t>
      </w:r>
      <w:r w:rsidR="00F318E0">
        <w:rPr>
          <w:rFonts w:ascii="Times New Roman" w:hAnsi="Times New Roman"/>
        </w:rPr>
        <w:t xml:space="preserve"> “blueprint” approach to the </w:t>
      </w:r>
      <w:r w:rsidR="00F318E0">
        <w:rPr>
          <w:rFonts w:ascii="Times New Roman" w:hAnsi="Times New Roman"/>
          <w:i/>
        </w:rPr>
        <w:t>Letter</w:t>
      </w:r>
      <w:r w:rsidR="00F318E0">
        <w:rPr>
          <w:rFonts w:ascii="Times New Roman" w:hAnsi="Times New Roman"/>
        </w:rPr>
        <w:t>: my objective i</w:t>
      </w:r>
      <w:r w:rsidR="004C765C">
        <w:rPr>
          <w:rFonts w:ascii="Times New Roman" w:hAnsi="Times New Roman"/>
        </w:rPr>
        <w:t>s not</w:t>
      </w:r>
      <w:r w:rsidR="008124A2">
        <w:rPr>
          <w:rFonts w:ascii="Times New Roman" w:hAnsi="Times New Roman"/>
        </w:rPr>
        <w:t xml:space="preserve"> primarily</w:t>
      </w:r>
      <w:r w:rsidR="004C765C">
        <w:rPr>
          <w:rFonts w:ascii="Times New Roman" w:hAnsi="Times New Roman"/>
        </w:rPr>
        <w:t xml:space="preserve"> to ascertain whether the </w:t>
      </w:r>
      <w:r w:rsidR="004C765C" w:rsidRPr="004C765C">
        <w:rPr>
          <w:rFonts w:ascii="Times New Roman" w:hAnsi="Times New Roman"/>
          <w:i/>
        </w:rPr>
        <w:t>L</w:t>
      </w:r>
      <w:r w:rsidR="00F318E0" w:rsidRPr="004C765C">
        <w:rPr>
          <w:rFonts w:ascii="Times New Roman" w:hAnsi="Times New Roman"/>
          <w:i/>
        </w:rPr>
        <w:t>etter</w:t>
      </w:r>
      <w:r w:rsidR="00F318E0">
        <w:rPr>
          <w:rFonts w:ascii="Times New Roman" w:hAnsi="Times New Roman"/>
        </w:rPr>
        <w:t xml:space="preserve"> should be a convincing ca</w:t>
      </w:r>
      <w:r w:rsidR="00D95843">
        <w:rPr>
          <w:rFonts w:ascii="Times New Roman" w:hAnsi="Times New Roman"/>
        </w:rPr>
        <w:t>se for toleration “here and now</w:t>
      </w:r>
      <w:r w:rsidR="00F318E0">
        <w:rPr>
          <w:rFonts w:ascii="Times New Roman" w:hAnsi="Times New Roman"/>
        </w:rPr>
        <w:t>”</w:t>
      </w:r>
      <w:r w:rsidR="00D95843">
        <w:rPr>
          <w:rFonts w:ascii="Times New Roman" w:hAnsi="Times New Roman"/>
        </w:rPr>
        <w:t xml:space="preserve"> (as Waldron puts it)</w:t>
      </w:r>
      <w:r w:rsidR="00F318E0">
        <w:rPr>
          <w:rFonts w:ascii="Times New Roman" w:hAnsi="Times New Roman"/>
        </w:rPr>
        <w:t xml:space="preserve"> but rather approaches Locke’s argument as an intervention into a particular</w:t>
      </w:r>
      <w:r w:rsidR="00D95843">
        <w:rPr>
          <w:rFonts w:ascii="Times New Roman" w:hAnsi="Times New Roman"/>
        </w:rPr>
        <w:t xml:space="preserve"> political</w:t>
      </w:r>
      <w:r w:rsidR="00F318E0">
        <w:rPr>
          <w:rFonts w:ascii="Times New Roman" w:hAnsi="Times New Roman"/>
        </w:rPr>
        <w:t xml:space="preserve"> context</w:t>
      </w:r>
      <w:r w:rsidR="00D95843">
        <w:rPr>
          <w:rFonts w:ascii="Times New Roman" w:hAnsi="Times New Roman"/>
        </w:rPr>
        <w:t xml:space="preserve"> regarding the question of toleration </w:t>
      </w:r>
      <w:r w:rsidR="00F318E0">
        <w:rPr>
          <w:rFonts w:ascii="Times New Roman" w:hAnsi="Times New Roman"/>
        </w:rPr>
        <w:t>that enacts a particular mode of judgment</w:t>
      </w:r>
      <w:r w:rsidR="00D95843">
        <w:rPr>
          <w:rFonts w:ascii="Times New Roman" w:hAnsi="Times New Roman"/>
        </w:rPr>
        <w:t xml:space="preserve"> to engage this problem</w:t>
      </w:r>
      <w:r w:rsidR="00F318E0">
        <w:rPr>
          <w:rFonts w:ascii="Times New Roman" w:hAnsi="Times New Roman"/>
        </w:rPr>
        <w:t xml:space="preserve">—one that I suggest </w:t>
      </w:r>
      <w:r w:rsidR="005F0704">
        <w:rPr>
          <w:rFonts w:ascii="Times New Roman" w:hAnsi="Times New Roman"/>
        </w:rPr>
        <w:t xml:space="preserve">may be put into a more productive conversation with the contemporary </w:t>
      </w:r>
      <w:r w:rsidR="00F318E0">
        <w:rPr>
          <w:rFonts w:ascii="Times New Roman" w:hAnsi="Times New Roman"/>
        </w:rPr>
        <w:t>criticisms above.</w:t>
      </w:r>
      <w:r w:rsidR="00AB55E3">
        <w:rPr>
          <w:rStyle w:val="FootnoteReference"/>
        </w:rPr>
        <w:footnoteReference w:id="24"/>
      </w:r>
      <w:r w:rsidR="00AB55E3">
        <w:rPr>
          <w:rFonts w:ascii="Times New Roman" w:hAnsi="Times New Roman"/>
        </w:rPr>
        <w:t xml:space="preserve"> </w:t>
      </w:r>
      <w:r w:rsidR="00F318E0">
        <w:rPr>
          <w:rFonts w:ascii="Times New Roman" w:hAnsi="Times New Roman"/>
        </w:rPr>
        <w:t xml:space="preserve">To that end, my </w:t>
      </w:r>
      <w:r w:rsidR="00DE183A">
        <w:rPr>
          <w:rFonts w:ascii="Times New Roman" w:hAnsi="Times New Roman"/>
        </w:rPr>
        <w:t>subsequent section</w:t>
      </w:r>
      <w:r w:rsidR="00F318E0">
        <w:rPr>
          <w:rFonts w:ascii="Times New Roman" w:hAnsi="Times New Roman"/>
        </w:rPr>
        <w:t xml:space="preserve"> turns to the broader interpretive implications of recuperating a thicker notion of Lockean judgment for the </w:t>
      </w:r>
      <w:r w:rsidR="00F318E0">
        <w:rPr>
          <w:rFonts w:ascii="Times New Roman" w:hAnsi="Times New Roman"/>
          <w:i/>
        </w:rPr>
        <w:t>Letter</w:t>
      </w:r>
      <w:r w:rsidR="00F318E0">
        <w:rPr>
          <w:rFonts w:ascii="Times New Roman" w:hAnsi="Times New Roman"/>
        </w:rPr>
        <w:t xml:space="preserve">.  First, however, we must </w:t>
      </w:r>
      <w:r w:rsidR="00DC0AAB">
        <w:rPr>
          <w:rFonts w:ascii="Times New Roman" w:hAnsi="Times New Roman"/>
        </w:rPr>
        <w:t>examine</w:t>
      </w:r>
      <w:r w:rsidR="004C765C">
        <w:rPr>
          <w:rFonts w:ascii="Times New Roman" w:hAnsi="Times New Roman"/>
        </w:rPr>
        <w:t xml:space="preserve"> this understanding of</w:t>
      </w:r>
      <w:r w:rsidR="00F318E0">
        <w:rPr>
          <w:rFonts w:ascii="Times New Roman" w:hAnsi="Times New Roman"/>
        </w:rPr>
        <w:t xml:space="preserve"> judgment as it appears in</w:t>
      </w:r>
      <w:r w:rsidR="00AB55E3">
        <w:rPr>
          <w:rFonts w:ascii="Times New Roman" w:hAnsi="Times New Roman"/>
        </w:rPr>
        <w:t xml:space="preserve"> the </w:t>
      </w:r>
      <w:r w:rsidR="00AB55E3">
        <w:rPr>
          <w:rFonts w:ascii="Times New Roman" w:hAnsi="Times New Roman"/>
          <w:i/>
        </w:rPr>
        <w:t>Essay</w:t>
      </w:r>
      <w:r w:rsidR="00AB55E3">
        <w:rPr>
          <w:rFonts w:ascii="Times New Roman" w:hAnsi="Times New Roman"/>
        </w:rPr>
        <w:t xml:space="preserve">.  </w:t>
      </w:r>
    </w:p>
    <w:p w14:paraId="0765CBBF" w14:textId="77777777" w:rsidR="00D268C9" w:rsidRDefault="00D268C9" w:rsidP="00E82768">
      <w:pPr>
        <w:pStyle w:val="NoSpacing"/>
        <w:spacing w:line="480" w:lineRule="auto"/>
        <w:rPr>
          <w:rFonts w:ascii="Times New Roman" w:hAnsi="Times New Roman"/>
        </w:rPr>
      </w:pPr>
    </w:p>
    <w:p w14:paraId="00CA8A08" w14:textId="400DB792" w:rsidR="00CC66FF" w:rsidRPr="00E178F5" w:rsidRDefault="00831F72" w:rsidP="00831F72">
      <w:pPr>
        <w:pStyle w:val="NoSpacing"/>
        <w:rPr>
          <w:rFonts w:ascii="Times New Roman" w:hAnsi="Times New Roman"/>
          <w:i/>
        </w:rPr>
      </w:pPr>
      <w:r w:rsidRPr="00831F72">
        <w:rPr>
          <w:rFonts w:ascii="Times New Roman" w:hAnsi="Times New Roman"/>
          <w:b/>
        </w:rPr>
        <w:t>II.</w:t>
      </w:r>
      <w:r>
        <w:rPr>
          <w:rFonts w:ascii="Times New Roman" w:hAnsi="Times New Roman"/>
          <w:b/>
        </w:rPr>
        <w:t xml:space="preserve"> </w:t>
      </w:r>
      <w:r w:rsidR="003A5A68">
        <w:rPr>
          <w:rFonts w:ascii="Times New Roman" w:hAnsi="Times New Roman"/>
          <w:b/>
        </w:rPr>
        <w:t xml:space="preserve">Tolerating Judgment: </w:t>
      </w:r>
      <w:r w:rsidR="00F75067" w:rsidRPr="00831F72">
        <w:rPr>
          <w:rFonts w:ascii="Times New Roman" w:hAnsi="Times New Roman"/>
          <w:b/>
        </w:rPr>
        <w:t>Wit and the Process of Judgment Formation</w:t>
      </w:r>
      <w:r w:rsidR="00E178F5">
        <w:rPr>
          <w:rFonts w:ascii="Times New Roman" w:hAnsi="Times New Roman"/>
          <w:b/>
        </w:rPr>
        <w:t xml:space="preserve"> in the </w:t>
      </w:r>
      <w:r w:rsidR="00E178F5">
        <w:rPr>
          <w:rFonts w:ascii="Times New Roman" w:hAnsi="Times New Roman"/>
          <w:b/>
          <w:i/>
        </w:rPr>
        <w:t>Essay</w:t>
      </w:r>
    </w:p>
    <w:p w14:paraId="1C03E496" w14:textId="77777777" w:rsidR="00896F51" w:rsidRDefault="00896F51" w:rsidP="00896F51">
      <w:pPr>
        <w:pStyle w:val="NoSpacing"/>
        <w:rPr>
          <w:rFonts w:ascii="Times New Roman" w:hAnsi="Times New Roman"/>
          <w:b/>
          <w:sz w:val="24"/>
          <w:szCs w:val="24"/>
        </w:rPr>
      </w:pPr>
    </w:p>
    <w:p w14:paraId="751DFF03" w14:textId="6E26E757" w:rsidR="00CC66FF" w:rsidRDefault="00896F51" w:rsidP="000620DA">
      <w:pPr>
        <w:pStyle w:val="NoSpacing"/>
        <w:spacing w:line="480" w:lineRule="auto"/>
        <w:ind w:firstLine="720"/>
        <w:rPr>
          <w:rFonts w:ascii="Times New Roman" w:hAnsi="Times New Roman"/>
        </w:rPr>
      </w:pPr>
      <w:r>
        <w:rPr>
          <w:rFonts w:ascii="Times New Roman" w:hAnsi="Times New Roman"/>
        </w:rPr>
        <w:t xml:space="preserve">As Locke </w:t>
      </w:r>
      <w:r w:rsidR="00CB73C7">
        <w:rPr>
          <w:rFonts w:ascii="Times New Roman" w:hAnsi="Times New Roman"/>
        </w:rPr>
        <w:t>maintains</w:t>
      </w:r>
      <w:r>
        <w:rPr>
          <w:rFonts w:ascii="Times New Roman" w:hAnsi="Times New Roman"/>
        </w:rPr>
        <w:t xml:space="preserve"> in the </w:t>
      </w:r>
      <w:r w:rsidR="002B2B58">
        <w:rPr>
          <w:rFonts w:ascii="Times New Roman" w:hAnsi="Times New Roman"/>
        </w:rPr>
        <w:t xml:space="preserve">second book of the </w:t>
      </w:r>
      <w:r>
        <w:rPr>
          <w:rFonts w:ascii="Times New Roman" w:hAnsi="Times New Roman"/>
          <w:i/>
        </w:rPr>
        <w:t>Essay</w:t>
      </w:r>
      <w:r>
        <w:rPr>
          <w:rFonts w:ascii="Times New Roman" w:hAnsi="Times New Roman"/>
        </w:rPr>
        <w:t xml:space="preserve">, judgment “lies…in separating carefully, one from another, ideas, wherein can be found the least difference, thereby to avoid being misled by similitude, and by affinity to take one thing for another” and stands in contrast to </w:t>
      </w:r>
      <w:r w:rsidRPr="00397AEC">
        <w:rPr>
          <w:rFonts w:ascii="Times New Roman" w:hAnsi="Times New Roman"/>
          <w:i/>
        </w:rPr>
        <w:t>wit</w:t>
      </w:r>
      <w:r>
        <w:rPr>
          <w:rFonts w:ascii="Times New Roman" w:hAnsi="Times New Roman"/>
        </w:rPr>
        <w:t>, which involves the “assemblage of ideas” with “quickness and variety” so as to make “pleasant pictures, and agreeable visions in the fancy.”</w:t>
      </w:r>
      <w:r>
        <w:rPr>
          <w:rStyle w:val="FootnoteReference"/>
        </w:rPr>
        <w:footnoteReference w:id="25"/>
      </w:r>
      <w:r>
        <w:rPr>
          <w:rFonts w:ascii="Times New Roman" w:hAnsi="Times New Roman"/>
        </w:rPr>
        <w:t xml:space="preserve">  Juxtaposed to</w:t>
      </w:r>
      <w:r w:rsidR="00D64A7B">
        <w:rPr>
          <w:rFonts w:ascii="Times New Roman" w:hAnsi="Times New Roman"/>
        </w:rPr>
        <w:t xml:space="preserve"> wit, judgment appears as</w:t>
      </w:r>
      <w:r>
        <w:rPr>
          <w:rFonts w:ascii="Times New Roman" w:hAnsi="Times New Roman"/>
        </w:rPr>
        <w:t xml:space="preserve"> the more circumspect and discerning faculty, indeed the faculty that</w:t>
      </w:r>
      <w:r w:rsidR="00A853D0">
        <w:rPr>
          <w:rFonts w:ascii="Times New Roman" w:hAnsi="Times New Roman"/>
        </w:rPr>
        <w:t xml:space="preserve"> </w:t>
      </w:r>
      <w:r>
        <w:rPr>
          <w:rFonts w:ascii="Times New Roman" w:hAnsi="Times New Roman"/>
        </w:rPr>
        <w:t xml:space="preserve">provides </w:t>
      </w:r>
      <w:r w:rsidR="00AD7BFD">
        <w:rPr>
          <w:rFonts w:ascii="Times New Roman" w:hAnsi="Times New Roman"/>
        </w:rPr>
        <w:t>one</w:t>
      </w:r>
      <w:r>
        <w:rPr>
          <w:rFonts w:ascii="Times New Roman" w:hAnsi="Times New Roman"/>
        </w:rPr>
        <w:t xml:space="preserve"> with the capacity to muddle through the pleasant though</w:t>
      </w:r>
      <w:r w:rsidR="00D64A7B">
        <w:rPr>
          <w:rFonts w:ascii="Times New Roman" w:hAnsi="Times New Roman"/>
        </w:rPr>
        <w:t xml:space="preserve"> often</w:t>
      </w:r>
      <w:r>
        <w:rPr>
          <w:rFonts w:ascii="Times New Roman" w:hAnsi="Times New Roman"/>
        </w:rPr>
        <w:t xml:space="preserve"> misleading assemblage</w:t>
      </w:r>
      <w:r w:rsidR="006544AB">
        <w:rPr>
          <w:rFonts w:ascii="Times New Roman" w:hAnsi="Times New Roman"/>
        </w:rPr>
        <w:t xml:space="preserve">s forged with wit.  </w:t>
      </w:r>
      <w:r w:rsidR="008E6916">
        <w:rPr>
          <w:rFonts w:ascii="Times New Roman" w:hAnsi="Times New Roman"/>
        </w:rPr>
        <w:t>It is important to note that</w:t>
      </w:r>
      <w:r w:rsidR="006544AB">
        <w:rPr>
          <w:rFonts w:ascii="Times New Roman" w:hAnsi="Times New Roman"/>
        </w:rPr>
        <w:t xml:space="preserve"> </w:t>
      </w:r>
      <w:r w:rsidR="003F7C41">
        <w:rPr>
          <w:rFonts w:ascii="Times New Roman" w:hAnsi="Times New Roman"/>
        </w:rPr>
        <w:t>this</w:t>
      </w:r>
      <w:r w:rsidR="002B69F3">
        <w:rPr>
          <w:rFonts w:ascii="Times New Roman" w:hAnsi="Times New Roman"/>
        </w:rPr>
        <w:t xml:space="preserve"> sort of</w:t>
      </w:r>
      <w:r w:rsidR="003F7C41">
        <w:rPr>
          <w:rFonts w:ascii="Times New Roman" w:hAnsi="Times New Roman"/>
        </w:rPr>
        <w:t xml:space="preserve"> pairing of judgment and wit is not unusual, </w:t>
      </w:r>
      <w:r w:rsidR="00E73F12">
        <w:rPr>
          <w:rFonts w:ascii="Times New Roman" w:hAnsi="Times New Roman"/>
        </w:rPr>
        <w:t>but reflects</w:t>
      </w:r>
      <w:r w:rsidR="003F7C41">
        <w:rPr>
          <w:rFonts w:ascii="Times New Roman" w:hAnsi="Times New Roman"/>
        </w:rPr>
        <w:t xml:space="preserve"> a broader late seventeenth century orientation wherein wit was both taken as an </w:t>
      </w:r>
      <w:r w:rsidR="00B17F0C">
        <w:rPr>
          <w:rFonts w:ascii="Times New Roman" w:hAnsi="Times New Roman"/>
        </w:rPr>
        <w:t xml:space="preserve">increasingly </w:t>
      </w:r>
      <w:r w:rsidR="003F7C41">
        <w:rPr>
          <w:rFonts w:ascii="Times New Roman" w:hAnsi="Times New Roman"/>
        </w:rPr>
        <w:t>“active” component in “the acquisition of knowledge”</w:t>
      </w:r>
      <w:r w:rsidR="00B17F0C">
        <w:rPr>
          <w:rFonts w:ascii="Times New Roman" w:hAnsi="Times New Roman"/>
        </w:rPr>
        <w:t xml:space="preserve"> </w:t>
      </w:r>
      <w:r w:rsidR="004C765C">
        <w:rPr>
          <w:rFonts w:ascii="Times New Roman" w:hAnsi="Times New Roman"/>
        </w:rPr>
        <w:t>but</w:t>
      </w:r>
      <w:r w:rsidR="00E73F12">
        <w:rPr>
          <w:rFonts w:ascii="Times New Roman" w:hAnsi="Times New Roman"/>
        </w:rPr>
        <w:t xml:space="preserve"> was</w:t>
      </w:r>
      <w:r w:rsidR="003F7C41">
        <w:rPr>
          <w:rFonts w:ascii="Times New Roman" w:hAnsi="Times New Roman"/>
        </w:rPr>
        <w:t xml:space="preserve"> also approached skeptically (if not anxiously) given its negative associations with similitude, metaphor, and rhetoric.</w:t>
      </w:r>
      <w:r w:rsidR="008E6916">
        <w:rPr>
          <w:rFonts w:ascii="Times New Roman" w:hAnsi="Times New Roman"/>
        </w:rPr>
        <w:t xml:space="preserve">  As such, it is also important to notice that</w:t>
      </w:r>
      <w:r w:rsidR="00E73F12">
        <w:rPr>
          <w:rFonts w:ascii="Times New Roman" w:hAnsi="Times New Roman"/>
        </w:rPr>
        <w:t xml:space="preserve"> here Lockean</w:t>
      </w:r>
      <w:r w:rsidR="008E6916">
        <w:rPr>
          <w:rFonts w:ascii="Times New Roman" w:hAnsi="Times New Roman"/>
        </w:rPr>
        <w:t xml:space="preserve"> “wit”</w:t>
      </w:r>
      <w:r w:rsidR="00E73F12">
        <w:rPr>
          <w:rFonts w:ascii="Times New Roman" w:hAnsi="Times New Roman"/>
        </w:rPr>
        <w:t xml:space="preserve"> </w:t>
      </w:r>
      <w:r w:rsidR="008E6916">
        <w:rPr>
          <w:rFonts w:ascii="Times New Roman" w:hAnsi="Times New Roman"/>
        </w:rPr>
        <w:t>does</w:t>
      </w:r>
      <w:r w:rsidR="00F46325">
        <w:rPr>
          <w:rFonts w:ascii="Times New Roman" w:hAnsi="Times New Roman"/>
        </w:rPr>
        <w:t xml:space="preserve"> not</w:t>
      </w:r>
      <w:r w:rsidR="008E6916">
        <w:rPr>
          <w:rFonts w:ascii="Times New Roman" w:hAnsi="Times New Roman"/>
        </w:rPr>
        <w:t xml:space="preserve"> align</w:t>
      </w:r>
      <w:r w:rsidR="00E73F12">
        <w:rPr>
          <w:rFonts w:ascii="Times New Roman" w:hAnsi="Times New Roman"/>
        </w:rPr>
        <w:t xml:space="preserve"> straightforwardly</w:t>
      </w:r>
      <w:r w:rsidR="008E6916">
        <w:rPr>
          <w:rFonts w:ascii="Times New Roman" w:hAnsi="Times New Roman"/>
        </w:rPr>
        <w:t xml:space="preserve"> either with “humor” (as in Shaftesbury’s famous defense of the faculty in </w:t>
      </w:r>
      <w:r w:rsidR="008E6916">
        <w:rPr>
          <w:rFonts w:ascii="Times New Roman" w:hAnsi="Times New Roman"/>
          <w:i/>
        </w:rPr>
        <w:t>Sensus Communis</w:t>
      </w:r>
      <w:r w:rsidR="00DE183A">
        <w:rPr>
          <w:rFonts w:ascii="Times New Roman" w:hAnsi="Times New Roman"/>
        </w:rPr>
        <w:t>) nor</w:t>
      </w:r>
      <w:r w:rsidR="008E6916">
        <w:rPr>
          <w:rFonts w:ascii="Times New Roman" w:hAnsi="Times New Roman"/>
        </w:rPr>
        <w:t xml:space="preserve"> merely “triviality,” nor strictly with any particular </w:t>
      </w:r>
      <w:r w:rsidR="008E6916">
        <w:rPr>
          <w:rFonts w:ascii="Times New Roman" w:hAnsi="Times New Roman"/>
          <w:i/>
        </w:rPr>
        <w:t>sort</w:t>
      </w:r>
      <w:r w:rsidR="008E6916">
        <w:rPr>
          <w:rFonts w:ascii="Times New Roman" w:hAnsi="Times New Roman"/>
        </w:rPr>
        <w:t xml:space="preserve"> of activity, but rather reflects a broader </w:t>
      </w:r>
      <w:r w:rsidR="004434EE">
        <w:rPr>
          <w:rFonts w:ascii="Times New Roman" w:hAnsi="Times New Roman"/>
        </w:rPr>
        <w:t>indeterminacy</w:t>
      </w:r>
      <w:r w:rsidR="008E6916">
        <w:rPr>
          <w:rFonts w:ascii="Times New Roman" w:hAnsi="Times New Roman"/>
        </w:rPr>
        <w:t xml:space="preserve"> that granted wit </w:t>
      </w:r>
      <w:r w:rsidR="008E6916">
        <w:rPr>
          <w:rFonts w:ascii="Times New Roman" w:hAnsi="Times New Roman"/>
        </w:rPr>
        <w:lastRenderedPageBreak/>
        <w:t xml:space="preserve">significance and yet remained </w:t>
      </w:r>
      <w:r w:rsidR="004434EE">
        <w:rPr>
          <w:rFonts w:ascii="Times New Roman" w:hAnsi="Times New Roman"/>
        </w:rPr>
        <w:t>uncertain of</w:t>
      </w:r>
      <w:r w:rsidR="008E6916">
        <w:rPr>
          <w:rFonts w:ascii="Times New Roman" w:hAnsi="Times New Roman"/>
        </w:rPr>
        <w:t xml:space="preserve"> “what it might mean.”</w:t>
      </w:r>
      <w:r w:rsidR="003F7C41">
        <w:rPr>
          <w:rStyle w:val="FootnoteReference"/>
        </w:rPr>
        <w:footnoteReference w:id="26"/>
      </w:r>
      <w:r w:rsidR="003F7C41">
        <w:rPr>
          <w:rFonts w:ascii="Times New Roman" w:hAnsi="Times New Roman"/>
        </w:rPr>
        <w:t xml:space="preserve"> Locke’s delineation here reflects</w:t>
      </w:r>
      <w:r w:rsidR="008E6916">
        <w:rPr>
          <w:rFonts w:ascii="Times New Roman" w:hAnsi="Times New Roman"/>
        </w:rPr>
        <w:t xml:space="preserve"> the various</w:t>
      </w:r>
      <w:r w:rsidR="003F7C41">
        <w:rPr>
          <w:rFonts w:ascii="Times New Roman" w:hAnsi="Times New Roman"/>
        </w:rPr>
        <w:t xml:space="preserve"> elemen</w:t>
      </w:r>
      <w:r w:rsidR="008E6916">
        <w:rPr>
          <w:rFonts w:ascii="Times New Roman" w:hAnsi="Times New Roman"/>
        </w:rPr>
        <w:t xml:space="preserve">ts of this anxiety: </w:t>
      </w:r>
      <w:r w:rsidR="003F7C41">
        <w:rPr>
          <w:rFonts w:ascii="Times New Roman" w:hAnsi="Times New Roman"/>
        </w:rPr>
        <w:t xml:space="preserve">he </w:t>
      </w:r>
      <w:r w:rsidR="00254CC5">
        <w:rPr>
          <w:rFonts w:ascii="Times New Roman" w:hAnsi="Times New Roman"/>
        </w:rPr>
        <w:t>expresses concerns about the dangers involved in the lack of “</w:t>
      </w:r>
      <w:r w:rsidR="00254CC5" w:rsidRPr="00254CC5">
        <w:rPr>
          <w:rFonts w:ascii="Times New Roman" w:hAnsi="Times New Roman"/>
        </w:rPr>
        <w:t>labor of thought</w:t>
      </w:r>
      <w:r w:rsidR="00254CC5">
        <w:rPr>
          <w:rFonts w:ascii="Times New Roman" w:hAnsi="Times New Roman"/>
        </w:rPr>
        <w:t>” required</w:t>
      </w:r>
      <w:r w:rsidR="00254CC5" w:rsidRPr="00254CC5">
        <w:rPr>
          <w:rFonts w:ascii="Times New Roman" w:hAnsi="Times New Roman"/>
        </w:rPr>
        <w:t xml:space="preserve"> </w:t>
      </w:r>
      <w:r w:rsidR="00254CC5">
        <w:rPr>
          <w:rFonts w:ascii="Times New Roman" w:hAnsi="Times New Roman"/>
        </w:rPr>
        <w:t>“</w:t>
      </w:r>
      <w:r w:rsidR="00254CC5" w:rsidRPr="00254CC5">
        <w:rPr>
          <w:rFonts w:ascii="Times New Roman" w:hAnsi="Times New Roman"/>
        </w:rPr>
        <w:t>to examine wha</w:t>
      </w:r>
      <w:r w:rsidR="00254CC5">
        <w:rPr>
          <w:rFonts w:ascii="Times New Roman" w:hAnsi="Times New Roman"/>
        </w:rPr>
        <w:t>t truth or reason there is in”</w:t>
      </w:r>
      <w:r w:rsidR="004C765C">
        <w:rPr>
          <w:rFonts w:ascii="Times New Roman" w:hAnsi="Times New Roman"/>
        </w:rPr>
        <w:t xml:space="preserve"> products of</w:t>
      </w:r>
      <w:r w:rsidR="00254CC5">
        <w:rPr>
          <w:rFonts w:ascii="Times New Roman" w:hAnsi="Times New Roman"/>
        </w:rPr>
        <w:t xml:space="preserve"> wit </w:t>
      </w:r>
      <w:r w:rsidR="00254CC5">
        <w:rPr>
          <w:rFonts w:ascii="Times New Roman" w:hAnsi="Times New Roman"/>
          <w:i/>
        </w:rPr>
        <w:t>without</w:t>
      </w:r>
      <w:r w:rsidR="007E39F6">
        <w:rPr>
          <w:rFonts w:ascii="Times New Roman" w:hAnsi="Times New Roman"/>
        </w:rPr>
        <w:t xml:space="preserve"> judgment.</w:t>
      </w:r>
      <w:r w:rsidR="007E39F6">
        <w:rPr>
          <w:rStyle w:val="FootnoteReference"/>
        </w:rPr>
        <w:footnoteReference w:id="27"/>
      </w:r>
      <w:r w:rsidR="00254CC5">
        <w:rPr>
          <w:rFonts w:ascii="Times New Roman" w:hAnsi="Times New Roman"/>
        </w:rPr>
        <w:t xml:space="preserve">  However, it is crucial to notice that this does not imply an attempt to conceptualize judgment </w:t>
      </w:r>
      <w:r w:rsidR="00254CC5">
        <w:rPr>
          <w:rFonts w:ascii="Times New Roman" w:hAnsi="Times New Roman"/>
          <w:i/>
        </w:rPr>
        <w:t>absent</w:t>
      </w:r>
      <w:r w:rsidR="00254CC5">
        <w:rPr>
          <w:rFonts w:ascii="Times New Roman" w:hAnsi="Times New Roman"/>
        </w:rPr>
        <w:t xml:space="preserve"> the “assemblage of ideas” that calls for its </w:t>
      </w:r>
      <w:r w:rsidR="000620DA">
        <w:rPr>
          <w:rFonts w:ascii="Times New Roman" w:hAnsi="Times New Roman"/>
        </w:rPr>
        <w:t>intervention</w:t>
      </w:r>
      <w:r w:rsidR="00D66D6F">
        <w:rPr>
          <w:rFonts w:ascii="Times New Roman" w:hAnsi="Times New Roman"/>
        </w:rPr>
        <w:t>, as Locke neither depicts judgment in isolation nor signals even the possibility of such an endeavor</w:t>
      </w:r>
      <w:r w:rsidR="000620DA">
        <w:rPr>
          <w:rFonts w:ascii="Times New Roman" w:hAnsi="Times New Roman"/>
        </w:rPr>
        <w:t xml:space="preserve">.  </w:t>
      </w:r>
      <w:r w:rsidR="004C765C">
        <w:rPr>
          <w:rFonts w:ascii="Times New Roman" w:hAnsi="Times New Roman"/>
        </w:rPr>
        <w:t>Rather</w:t>
      </w:r>
      <w:r w:rsidR="00AD7BFD">
        <w:rPr>
          <w:rFonts w:ascii="Times New Roman" w:hAnsi="Times New Roman"/>
        </w:rPr>
        <w:t>, here</w:t>
      </w:r>
      <w:r w:rsidR="006454BD">
        <w:rPr>
          <w:rFonts w:ascii="Times New Roman" w:hAnsi="Times New Roman"/>
          <w:i/>
        </w:rPr>
        <w:t xml:space="preserve"> </w:t>
      </w:r>
      <w:r w:rsidR="006454BD">
        <w:rPr>
          <w:rFonts w:ascii="Times New Roman" w:hAnsi="Times New Roman"/>
        </w:rPr>
        <w:t>judgment remains impossible to</w:t>
      </w:r>
      <w:r w:rsidR="00153D69">
        <w:rPr>
          <w:rFonts w:ascii="Times New Roman" w:hAnsi="Times New Roman"/>
        </w:rPr>
        <w:t xml:space="preserve"> fully</w:t>
      </w:r>
      <w:r w:rsidR="006454BD">
        <w:rPr>
          <w:rFonts w:ascii="Times New Roman" w:hAnsi="Times New Roman"/>
        </w:rPr>
        <w:t xml:space="preserve"> </w:t>
      </w:r>
      <w:r w:rsidR="00F20D12">
        <w:rPr>
          <w:rFonts w:ascii="Times New Roman" w:hAnsi="Times New Roman"/>
        </w:rPr>
        <w:t>insulate</w:t>
      </w:r>
      <w:r w:rsidR="006454BD">
        <w:rPr>
          <w:rFonts w:ascii="Times New Roman" w:hAnsi="Times New Roman"/>
        </w:rPr>
        <w:t xml:space="preserve"> from wit</w:t>
      </w:r>
      <w:r w:rsidR="00D66D6F">
        <w:rPr>
          <w:rFonts w:ascii="Times New Roman" w:hAnsi="Times New Roman"/>
        </w:rPr>
        <w:t xml:space="preserve">. </w:t>
      </w:r>
      <w:r w:rsidR="00DE183A">
        <w:rPr>
          <w:rFonts w:ascii="Times New Roman" w:hAnsi="Times New Roman"/>
        </w:rPr>
        <w:t xml:space="preserve">And </w:t>
      </w:r>
      <w:r w:rsidR="00CB73C7">
        <w:rPr>
          <w:rFonts w:ascii="Times New Roman" w:hAnsi="Times New Roman"/>
        </w:rPr>
        <w:t>as such,</w:t>
      </w:r>
      <w:r w:rsidR="00DE183A">
        <w:rPr>
          <w:rFonts w:ascii="Times New Roman" w:hAnsi="Times New Roman"/>
        </w:rPr>
        <w:t xml:space="preserve"> I want to suggest that</w:t>
      </w:r>
      <w:r w:rsidR="006454BD">
        <w:rPr>
          <w:rFonts w:ascii="Times New Roman" w:hAnsi="Times New Roman"/>
        </w:rPr>
        <w:t xml:space="preserve"> the above evacuation of judgment’s</w:t>
      </w:r>
      <w:r w:rsidR="00AD7BFD">
        <w:rPr>
          <w:rFonts w:ascii="Times New Roman" w:hAnsi="Times New Roman"/>
        </w:rPr>
        <w:t xml:space="preserve"> interactive</w:t>
      </w:r>
      <w:r w:rsidR="005D46DC">
        <w:rPr>
          <w:rFonts w:ascii="Times New Roman" w:hAnsi="Times New Roman"/>
        </w:rPr>
        <w:t>, intersubjective,</w:t>
      </w:r>
      <w:r w:rsidR="00AD7BFD">
        <w:rPr>
          <w:rFonts w:ascii="Times New Roman" w:hAnsi="Times New Roman"/>
        </w:rPr>
        <w:t xml:space="preserve"> and</w:t>
      </w:r>
      <w:r w:rsidR="006454BD">
        <w:rPr>
          <w:rFonts w:ascii="Times New Roman" w:hAnsi="Times New Roman"/>
        </w:rPr>
        <w:t xml:space="preserve"> qualitative concerns</w:t>
      </w:r>
      <w:r w:rsidR="000620DA">
        <w:rPr>
          <w:rFonts w:ascii="Times New Roman" w:hAnsi="Times New Roman"/>
        </w:rPr>
        <w:t xml:space="preserve"> presumed with</w:t>
      </w:r>
      <w:r w:rsidR="0064177B">
        <w:rPr>
          <w:rFonts w:ascii="Times New Roman" w:hAnsi="Times New Roman"/>
        </w:rPr>
        <w:t xml:space="preserve"> </w:t>
      </w:r>
      <w:r w:rsidR="00AD7BFD">
        <w:rPr>
          <w:rFonts w:ascii="Times New Roman" w:hAnsi="Times New Roman"/>
        </w:rPr>
        <w:t>his</w:t>
      </w:r>
      <w:r w:rsidR="0064177B">
        <w:rPr>
          <w:rFonts w:ascii="Times New Roman" w:hAnsi="Times New Roman"/>
        </w:rPr>
        <w:t xml:space="preserve"> defense of toleration</w:t>
      </w:r>
      <w:r w:rsidR="00AD7BFD">
        <w:rPr>
          <w:rFonts w:ascii="Times New Roman" w:hAnsi="Times New Roman"/>
        </w:rPr>
        <w:t xml:space="preserve"> now</w:t>
      </w:r>
      <w:r w:rsidR="006454BD">
        <w:rPr>
          <w:rFonts w:ascii="Times New Roman" w:hAnsi="Times New Roman"/>
        </w:rPr>
        <w:t xml:space="preserve"> </w:t>
      </w:r>
      <w:r w:rsidR="004C765C">
        <w:rPr>
          <w:rFonts w:ascii="Times New Roman" w:hAnsi="Times New Roman"/>
        </w:rPr>
        <w:t>become</w:t>
      </w:r>
      <w:r w:rsidR="00F46325">
        <w:rPr>
          <w:rFonts w:ascii="Times New Roman" w:hAnsi="Times New Roman"/>
        </w:rPr>
        <w:t>s</w:t>
      </w:r>
      <w:r w:rsidR="000620DA">
        <w:rPr>
          <w:rFonts w:ascii="Times New Roman" w:hAnsi="Times New Roman"/>
        </w:rPr>
        <w:t xml:space="preserve"> conceptually problematic.</w:t>
      </w:r>
    </w:p>
    <w:p w14:paraId="1ACD1971" w14:textId="3EB166AB" w:rsidR="009E3707" w:rsidRDefault="006454BD" w:rsidP="006454BD">
      <w:pPr>
        <w:pStyle w:val="NoSpacing"/>
        <w:spacing w:line="480" w:lineRule="auto"/>
        <w:rPr>
          <w:rFonts w:ascii="Times New Roman" w:hAnsi="Times New Roman"/>
        </w:rPr>
      </w:pPr>
      <w:r>
        <w:rPr>
          <w:rFonts w:ascii="Times New Roman" w:hAnsi="Times New Roman"/>
        </w:rPr>
        <w:tab/>
        <w:t xml:space="preserve">Consider, first, the temporal </w:t>
      </w:r>
      <w:r w:rsidR="006B1AD8">
        <w:rPr>
          <w:rFonts w:ascii="Times New Roman" w:hAnsi="Times New Roman"/>
        </w:rPr>
        <w:t>dimension</w:t>
      </w:r>
      <w:r>
        <w:rPr>
          <w:rFonts w:ascii="Times New Roman" w:hAnsi="Times New Roman"/>
        </w:rPr>
        <w:t xml:space="preserve"> Locke </w:t>
      </w:r>
      <w:r w:rsidR="0064177B">
        <w:rPr>
          <w:rFonts w:ascii="Times New Roman" w:hAnsi="Times New Roman"/>
        </w:rPr>
        <w:t>evokes between</w:t>
      </w:r>
      <w:r w:rsidR="006B1AD8">
        <w:rPr>
          <w:rFonts w:ascii="Times New Roman" w:hAnsi="Times New Roman"/>
        </w:rPr>
        <w:t xml:space="preserve"> wit</w:t>
      </w:r>
      <w:r>
        <w:rPr>
          <w:rFonts w:ascii="Times New Roman" w:hAnsi="Times New Roman"/>
        </w:rPr>
        <w:t xml:space="preserve"> and judgment in his </w:t>
      </w:r>
      <w:r w:rsidR="00C77E1B">
        <w:rPr>
          <w:rFonts w:ascii="Times New Roman" w:hAnsi="Times New Roman"/>
        </w:rPr>
        <w:t>broader discussion of the operations o</w:t>
      </w:r>
      <w:r w:rsidR="006B1AD8">
        <w:rPr>
          <w:rFonts w:ascii="Times New Roman" w:hAnsi="Times New Roman"/>
        </w:rPr>
        <w:t xml:space="preserve">f the mind.  The two faculties are not introduced simply as opposites but rather are juxtaposed because of Locke’s curiosity concerning the “common observation that men who have a great deal of wit, and prompt memories, have not always the clearest judgment, or deepest reason.” To make sense of this observation, Locke reasons that </w:t>
      </w:r>
      <w:r w:rsidR="006B1AD8">
        <w:rPr>
          <w:rFonts w:ascii="Times New Roman" w:hAnsi="Times New Roman"/>
          <w:i/>
        </w:rPr>
        <w:t>first</w:t>
      </w:r>
      <w:r w:rsidR="006B1AD8">
        <w:rPr>
          <w:rFonts w:ascii="Times New Roman" w:hAnsi="Times New Roman"/>
        </w:rPr>
        <w:t xml:space="preserve"> wit creates “assemblages of ideas” that are “agreeable to the fancy,” concluding this delineation without any problematization of wit as such.  </w:t>
      </w:r>
      <w:r w:rsidR="00027F72">
        <w:rPr>
          <w:rFonts w:ascii="Times New Roman" w:hAnsi="Times New Roman"/>
        </w:rPr>
        <w:t>A problem arises, however, when Locke proceeds to explain that the capacity to separate the above ideas and avoid being misled lies in the more careful though not explicitly “lively” or “pl</w:t>
      </w:r>
      <w:r w:rsidR="00DC7C06">
        <w:rPr>
          <w:rFonts w:ascii="Times New Roman" w:hAnsi="Times New Roman"/>
        </w:rPr>
        <w:t xml:space="preserve">easant” capacity for judgment. </w:t>
      </w:r>
      <w:r w:rsidR="00027F72">
        <w:rPr>
          <w:rFonts w:ascii="Times New Roman" w:hAnsi="Times New Roman"/>
        </w:rPr>
        <w:t xml:space="preserve">Though the juxtaposition does establish that judgment is both necessary to avoid deceptions </w:t>
      </w:r>
      <w:r w:rsidR="00027F72" w:rsidRPr="00027F72">
        <w:rPr>
          <w:rFonts w:ascii="Times New Roman" w:hAnsi="Times New Roman"/>
          <w:i/>
        </w:rPr>
        <w:t>and</w:t>
      </w:r>
      <w:r w:rsidR="00027F72">
        <w:rPr>
          <w:rFonts w:ascii="Times New Roman" w:hAnsi="Times New Roman"/>
        </w:rPr>
        <w:t xml:space="preserve"> less obviously “acceptable to all people” (hence the “common observation” above), nowhere does </w:t>
      </w:r>
      <w:r w:rsidR="0064177B">
        <w:rPr>
          <w:rFonts w:ascii="Times New Roman" w:hAnsi="Times New Roman"/>
        </w:rPr>
        <w:t>such an assertion</w:t>
      </w:r>
      <w:r w:rsidR="00027F72">
        <w:rPr>
          <w:rFonts w:ascii="Times New Roman" w:hAnsi="Times New Roman"/>
        </w:rPr>
        <w:t xml:space="preserve"> imply that judgment ought to replace wit or that judgment even constitutes an activity that</w:t>
      </w:r>
      <w:r w:rsidR="00F46325">
        <w:rPr>
          <w:rFonts w:ascii="Times New Roman" w:hAnsi="Times New Roman"/>
        </w:rPr>
        <w:t xml:space="preserve"> can exist</w:t>
      </w:r>
      <w:r w:rsidR="00027F72">
        <w:rPr>
          <w:rFonts w:ascii="Times New Roman" w:hAnsi="Times New Roman"/>
        </w:rPr>
        <w:t xml:space="preserve"> i</w:t>
      </w:r>
      <w:r w:rsidR="009E3707">
        <w:rPr>
          <w:rFonts w:ascii="Times New Roman" w:hAnsi="Times New Roman"/>
        </w:rPr>
        <w:t xml:space="preserve">n isolation from </w:t>
      </w:r>
      <w:r w:rsidR="00153D69">
        <w:rPr>
          <w:rFonts w:ascii="Times New Roman" w:hAnsi="Times New Roman"/>
        </w:rPr>
        <w:t>it</w:t>
      </w:r>
      <w:r w:rsidR="009E3707">
        <w:rPr>
          <w:rFonts w:ascii="Times New Roman" w:hAnsi="Times New Roman"/>
        </w:rPr>
        <w:t>.</w:t>
      </w:r>
      <w:r w:rsidR="0079360B">
        <w:rPr>
          <w:rStyle w:val="FootnoteReference"/>
        </w:rPr>
        <w:footnoteReference w:id="28"/>
      </w:r>
      <w:r w:rsidR="009E3707">
        <w:rPr>
          <w:rFonts w:ascii="Times New Roman" w:hAnsi="Times New Roman"/>
        </w:rPr>
        <w:t xml:space="preserve">  </w:t>
      </w:r>
      <w:r w:rsidR="00B17F0C">
        <w:rPr>
          <w:rFonts w:ascii="Times New Roman" w:hAnsi="Times New Roman"/>
        </w:rPr>
        <w:t>Instead</w:t>
      </w:r>
      <w:r w:rsidR="009E3707">
        <w:rPr>
          <w:rFonts w:ascii="Times New Roman" w:hAnsi="Times New Roman"/>
        </w:rPr>
        <w:t xml:space="preserve">, it is wit’s capacity to monopolize certain operations of the mind and edge out judgment that </w:t>
      </w:r>
      <w:r w:rsidR="00153D69">
        <w:rPr>
          <w:rFonts w:ascii="Times New Roman" w:hAnsi="Times New Roman"/>
        </w:rPr>
        <w:t>are</w:t>
      </w:r>
      <w:r w:rsidR="00F46325">
        <w:rPr>
          <w:rFonts w:ascii="Times New Roman" w:hAnsi="Times New Roman"/>
        </w:rPr>
        <w:t xml:space="preserve"> of concern here. I</w:t>
      </w:r>
      <w:r w:rsidR="009E3707">
        <w:rPr>
          <w:rFonts w:ascii="Times New Roman" w:hAnsi="Times New Roman"/>
        </w:rPr>
        <w:t xml:space="preserve">t would be </w:t>
      </w:r>
      <w:r w:rsidR="00B91D0F">
        <w:rPr>
          <w:rFonts w:ascii="Times New Roman" w:hAnsi="Times New Roman"/>
        </w:rPr>
        <w:t xml:space="preserve">erroneous </w:t>
      </w:r>
      <w:r w:rsidR="009E3707">
        <w:rPr>
          <w:rFonts w:ascii="Times New Roman" w:hAnsi="Times New Roman"/>
        </w:rPr>
        <w:t xml:space="preserve">to conclude that the two </w:t>
      </w:r>
      <w:r w:rsidR="009E3707">
        <w:rPr>
          <w:rFonts w:ascii="Times New Roman" w:hAnsi="Times New Roman"/>
        </w:rPr>
        <w:lastRenderedPageBreak/>
        <w:t>faculties are conceptualized in</w:t>
      </w:r>
      <w:r w:rsidR="008559B4">
        <w:rPr>
          <w:rFonts w:ascii="Times New Roman" w:hAnsi="Times New Roman"/>
        </w:rPr>
        <w:t xml:space="preserve"> an entirely</w:t>
      </w:r>
      <w:r w:rsidR="006544AB">
        <w:rPr>
          <w:rFonts w:ascii="Times New Roman" w:hAnsi="Times New Roman"/>
        </w:rPr>
        <w:t xml:space="preserve"> binary</w:t>
      </w:r>
      <w:r w:rsidR="009E3707">
        <w:rPr>
          <w:rFonts w:ascii="Times New Roman" w:hAnsi="Times New Roman"/>
        </w:rPr>
        <w:t xml:space="preserve"> opposition</w:t>
      </w:r>
      <w:r w:rsidR="00153D69">
        <w:rPr>
          <w:rFonts w:ascii="Times New Roman" w:hAnsi="Times New Roman"/>
        </w:rPr>
        <w:t>.</w:t>
      </w:r>
      <w:r w:rsidR="00C77E1B">
        <w:rPr>
          <w:rFonts w:ascii="Times New Roman" w:hAnsi="Times New Roman"/>
        </w:rPr>
        <w:t xml:space="preserve">  Rather, judgment </w:t>
      </w:r>
      <w:r w:rsidR="00C77E1B" w:rsidRPr="009E3707">
        <w:rPr>
          <w:rFonts w:ascii="Times New Roman" w:hAnsi="Times New Roman"/>
          <w:i/>
        </w:rPr>
        <w:t>reacts</w:t>
      </w:r>
      <w:r w:rsidR="009E3707">
        <w:rPr>
          <w:rFonts w:ascii="Times New Roman" w:hAnsi="Times New Roman"/>
        </w:rPr>
        <w:t xml:space="preserve"> to wit, in turn implying that</w:t>
      </w:r>
      <w:r w:rsidR="00153D69">
        <w:rPr>
          <w:rFonts w:ascii="Times New Roman" w:hAnsi="Times New Roman"/>
        </w:rPr>
        <w:t xml:space="preserve"> on Locke’s account</w:t>
      </w:r>
      <w:r w:rsidR="009E3707">
        <w:rPr>
          <w:rFonts w:ascii="Times New Roman" w:hAnsi="Times New Roman"/>
        </w:rPr>
        <w:t xml:space="preserve"> the two faculties </w:t>
      </w:r>
      <w:r w:rsidR="00B91D0F">
        <w:rPr>
          <w:rFonts w:ascii="Times New Roman" w:hAnsi="Times New Roman"/>
        </w:rPr>
        <w:t>operate</w:t>
      </w:r>
      <w:r w:rsidR="009E3707">
        <w:rPr>
          <w:rFonts w:ascii="Times New Roman" w:hAnsi="Times New Roman"/>
        </w:rPr>
        <w:t xml:space="preserve"> in a dynamic relationship with one another.</w:t>
      </w:r>
      <w:r w:rsidR="006A57B3">
        <w:rPr>
          <w:rStyle w:val="FootnoteReference"/>
        </w:rPr>
        <w:footnoteReference w:id="29"/>
      </w:r>
    </w:p>
    <w:p w14:paraId="06F09B20" w14:textId="3EA484D0" w:rsidR="00743B1D" w:rsidRDefault="001C717D" w:rsidP="004921F2">
      <w:pPr>
        <w:pStyle w:val="NoSpacing"/>
        <w:spacing w:line="480" w:lineRule="auto"/>
        <w:ind w:firstLine="720"/>
        <w:rPr>
          <w:rFonts w:ascii="Times New Roman" w:hAnsi="Times New Roman"/>
        </w:rPr>
      </w:pPr>
      <w:r>
        <w:rPr>
          <w:rFonts w:ascii="Times New Roman" w:hAnsi="Times New Roman"/>
        </w:rPr>
        <w:t>Judgment is</w:t>
      </w:r>
      <w:r w:rsidR="00F46325">
        <w:rPr>
          <w:rFonts w:ascii="Times New Roman" w:hAnsi="Times New Roman"/>
        </w:rPr>
        <w:t xml:space="preserve"> thus</w:t>
      </w:r>
      <w:r>
        <w:rPr>
          <w:rFonts w:ascii="Times New Roman" w:hAnsi="Times New Roman"/>
        </w:rPr>
        <w:t xml:space="preserve"> not </w:t>
      </w:r>
      <w:r w:rsidR="00F46325">
        <w:rPr>
          <w:rFonts w:ascii="Times New Roman" w:hAnsi="Times New Roman"/>
        </w:rPr>
        <w:t>simply</w:t>
      </w:r>
      <w:r>
        <w:rPr>
          <w:rFonts w:ascii="Times New Roman" w:hAnsi="Times New Roman"/>
        </w:rPr>
        <w:t xml:space="preserve"> the separation of ideas as such but rather ideas assembled through wit; it is not careful as such but careful in light of wit’s “quickness and variety.”</w:t>
      </w:r>
      <w:r w:rsidR="00AE095B">
        <w:rPr>
          <w:rFonts w:ascii="Times New Roman" w:hAnsi="Times New Roman"/>
        </w:rPr>
        <w:t xml:space="preserve">  And while Locke ultimately </w:t>
      </w:r>
      <w:r w:rsidR="00832C5E">
        <w:rPr>
          <w:rFonts w:ascii="Times New Roman" w:hAnsi="Times New Roman"/>
        </w:rPr>
        <w:t>integrates</w:t>
      </w:r>
      <w:r w:rsidR="00AE095B">
        <w:rPr>
          <w:rFonts w:ascii="Times New Roman" w:hAnsi="Times New Roman"/>
        </w:rPr>
        <w:t xml:space="preserve"> </w:t>
      </w:r>
      <w:r w:rsidR="005A0250">
        <w:rPr>
          <w:rFonts w:ascii="Times New Roman" w:hAnsi="Times New Roman"/>
        </w:rPr>
        <w:t>judgment</w:t>
      </w:r>
      <w:r w:rsidR="00832C5E">
        <w:rPr>
          <w:rFonts w:ascii="Times New Roman" w:hAnsi="Times New Roman"/>
        </w:rPr>
        <w:t xml:space="preserve"> </w:t>
      </w:r>
      <w:r w:rsidR="00AE095B">
        <w:rPr>
          <w:rFonts w:ascii="Times New Roman" w:hAnsi="Times New Roman"/>
        </w:rPr>
        <w:t xml:space="preserve">into the </w:t>
      </w:r>
      <w:r w:rsidR="00AE095B">
        <w:rPr>
          <w:rFonts w:ascii="Times New Roman" w:hAnsi="Times New Roman"/>
          <w:i/>
        </w:rPr>
        <w:t>Essay</w:t>
      </w:r>
      <w:r w:rsidR="00AE095B">
        <w:rPr>
          <w:rFonts w:ascii="Times New Roman" w:hAnsi="Times New Roman"/>
        </w:rPr>
        <w:t>’s</w:t>
      </w:r>
      <w:r w:rsidR="00832C5E">
        <w:rPr>
          <w:rFonts w:ascii="Times New Roman" w:hAnsi="Times New Roman"/>
        </w:rPr>
        <w:t xml:space="preserve"> broader </w:t>
      </w:r>
      <w:r w:rsidR="00F06C4F">
        <w:rPr>
          <w:rFonts w:ascii="Times New Roman" w:hAnsi="Times New Roman"/>
        </w:rPr>
        <w:t>account of</w:t>
      </w:r>
      <w:r w:rsidR="00AE095B">
        <w:rPr>
          <w:rFonts w:ascii="Times New Roman" w:hAnsi="Times New Roman"/>
        </w:rPr>
        <w:t xml:space="preserve"> human faculties and experiences around</w:t>
      </w:r>
      <w:r w:rsidR="00F06C4F">
        <w:rPr>
          <w:rFonts w:ascii="Times New Roman" w:hAnsi="Times New Roman"/>
        </w:rPr>
        <w:t xml:space="preserve"> an</w:t>
      </w:r>
      <w:r w:rsidR="00AE095B">
        <w:rPr>
          <w:rFonts w:ascii="Times New Roman" w:hAnsi="Times New Roman"/>
        </w:rPr>
        <w:t xml:space="preserve"> empiricist and probabilistic</w:t>
      </w:r>
      <w:r w:rsidR="00F06C4F">
        <w:rPr>
          <w:rFonts w:ascii="Times New Roman" w:hAnsi="Times New Roman"/>
        </w:rPr>
        <w:t xml:space="preserve"> epistemology</w:t>
      </w:r>
      <w:r w:rsidR="00AE095B">
        <w:rPr>
          <w:rFonts w:ascii="Times New Roman" w:hAnsi="Times New Roman"/>
        </w:rPr>
        <w:t>,</w:t>
      </w:r>
      <w:r w:rsidR="00B905ED">
        <w:rPr>
          <w:rStyle w:val="FootnoteReference"/>
        </w:rPr>
        <w:footnoteReference w:id="30"/>
      </w:r>
      <w:r w:rsidR="00AE095B">
        <w:rPr>
          <w:rFonts w:ascii="Times New Roman" w:hAnsi="Times New Roman"/>
        </w:rPr>
        <w:t xml:space="preserve"> here it is </w:t>
      </w:r>
      <w:r w:rsidR="00832C5E">
        <w:rPr>
          <w:rFonts w:ascii="Times New Roman" w:hAnsi="Times New Roman"/>
        </w:rPr>
        <w:t>crucial to</w:t>
      </w:r>
      <w:r w:rsidR="00AE095B">
        <w:rPr>
          <w:rFonts w:ascii="Times New Roman" w:hAnsi="Times New Roman"/>
        </w:rPr>
        <w:t xml:space="preserve"> </w:t>
      </w:r>
      <w:r w:rsidR="00832C5E">
        <w:rPr>
          <w:rFonts w:ascii="Times New Roman" w:hAnsi="Times New Roman"/>
        </w:rPr>
        <w:t>emphasize the aesthetic</w:t>
      </w:r>
      <w:r w:rsidR="005A0250">
        <w:rPr>
          <w:rFonts w:ascii="Times New Roman" w:hAnsi="Times New Roman"/>
        </w:rPr>
        <w:t xml:space="preserve"> and reciprocal</w:t>
      </w:r>
      <w:r w:rsidR="0038787F">
        <w:rPr>
          <w:rFonts w:ascii="Times New Roman" w:hAnsi="Times New Roman"/>
        </w:rPr>
        <w:t xml:space="preserve"> elements of the </w:t>
      </w:r>
      <w:r w:rsidR="00AE095B">
        <w:rPr>
          <w:rFonts w:ascii="Times New Roman" w:hAnsi="Times New Roman"/>
        </w:rPr>
        <w:t>relationship between wit and judgment that g</w:t>
      </w:r>
      <w:r w:rsidR="00D66D6F">
        <w:rPr>
          <w:rFonts w:ascii="Times New Roman" w:hAnsi="Times New Roman"/>
        </w:rPr>
        <w:t>round</w:t>
      </w:r>
      <w:r w:rsidR="00AE095B">
        <w:rPr>
          <w:rFonts w:ascii="Times New Roman" w:hAnsi="Times New Roman"/>
        </w:rPr>
        <w:t xml:space="preserve"> </w:t>
      </w:r>
      <w:r w:rsidR="00832C5E">
        <w:rPr>
          <w:rFonts w:ascii="Times New Roman" w:hAnsi="Times New Roman"/>
        </w:rPr>
        <w:t xml:space="preserve">latter faculty’s developments and applications throughout the </w:t>
      </w:r>
      <w:r w:rsidR="00832C5E">
        <w:rPr>
          <w:rFonts w:ascii="Times New Roman" w:hAnsi="Times New Roman"/>
          <w:i/>
        </w:rPr>
        <w:t>Essay</w:t>
      </w:r>
      <w:r w:rsidR="005A0250">
        <w:rPr>
          <w:rFonts w:ascii="Times New Roman" w:hAnsi="Times New Roman"/>
        </w:rPr>
        <w:t>—especially in rendering judgment politically salient</w:t>
      </w:r>
      <w:r w:rsidR="00832C5E">
        <w:rPr>
          <w:rFonts w:ascii="Times New Roman" w:hAnsi="Times New Roman"/>
        </w:rPr>
        <w:t>.</w:t>
      </w:r>
      <w:r w:rsidR="00B905ED">
        <w:rPr>
          <w:rStyle w:val="FootnoteReference"/>
        </w:rPr>
        <w:footnoteReference w:id="31"/>
      </w:r>
      <w:r w:rsidR="00C77E1B">
        <w:rPr>
          <w:rFonts w:ascii="Times New Roman" w:hAnsi="Times New Roman"/>
        </w:rPr>
        <w:t xml:space="preserve"> </w:t>
      </w:r>
      <w:r w:rsidR="009E3707">
        <w:rPr>
          <w:rFonts w:ascii="Times New Roman" w:hAnsi="Times New Roman"/>
        </w:rPr>
        <w:t xml:space="preserve"> </w:t>
      </w:r>
      <w:r w:rsidR="00B905ED">
        <w:rPr>
          <w:rFonts w:ascii="Times New Roman" w:hAnsi="Times New Roman"/>
        </w:rPr>
        <w:t>Put differently</w:t>
      </w:r>
      <w:r w:rsidR="005A0250">
        <w:rPr>
          <w:rFonts w:ascii="Times New Roman" w:hAnsi="Times New Roman"/>
        </w:rPr>
        <w:t>, the dynamism undergirding Locke’s conception of judgment</w:t>
      </w:r>
      <w:r w:rsidR="009E3707">
        <w:rPr>
          <w:rFonts w:ascii="Times New Roman" w:hAnsi="Times New Roman"/>
        </w:rPr>
        <w:t xml:space="preserve"> suggest</w:t>
      </w:r>
      <w:r w:rsidR="005A0250">
        <w:rPr>
          <w:rFonts w:ascii="Times New Roman" w:hAnsi="Times New Roman"/>
        </w:rPr>
        <w:t>s</w:t>
      </w:r>
      <w:r w:rsidR="009E3707">
        <w:rPr>
          <w:rFonts w:ascii="Times New Roman" w:hAnsi="Times New Roman"/>
        </w:rPr>
        <w:t xml:space="preserve"> </w:t>
      </w:r>
      <w:r w:rsidR="0043275E">
        <w:rPr>
          <w:rFonts w:ascii="Times New Roman" w:hAnsi="Times New Roman"/>
        </w:rPr>
        <w:t xml:space="preserve">that this </w:t>
      </w:r>
      <w:r w:rsidR="0043275E">
        <w:rPr>
          <w:rFonts w:ascii="Times New Roman" w:hAnsi="Times New Roman"/>
        </w:rPr>
        <w:lastRenderedPageBreak/>
        <w:t>faculty</w:t>
      </w:r>
      <w:r w:rsidR="009E3707">
        <w:rPr>
          <w:rFonts w:ascii="Times New Roman" w:hAnsi="Times New Roman"/>
        </w:rPr>
        <w:t xml:space="preserve"> is not simply </w:t>
      </w:r>
      <w:r w:rsidR="00A853D0">
        <w:rPr>
          <w:rFonts w:ascii="Times New Roman" w:hAnsi="Times New Roman"/>
        </w:rPr>
        <w:t>static</w:t>
      </w:r>
      <w:r w:rsidR="009E3707">
        <w:rPr>
          <w:rFonts w:ascii="Times New Roman" w:hAnsi="Times New Roman"/>
        </w:rPr>
        <w:t xml:space="preserve"> or given, but rather </w:t>
      </w:r>
      <w:r>
        <w:rPr>
          <w:rFonts w:ascii="Times New Roman" w:hAnsi="Times New Roman"/>
        </w:rPr>
        <w:t>operates</w:t>
      </w:r>
      <w:r w:rsidR="006C508F">
        <w:rPr>
          <w:rFonts w:ascii="Times New Roman" w:hAnsi="Times New Roman"/>
        </w:rPr>
        <w:t xml:space="preserve"> through particular judgment-wit interplays that render the setting and background conditions of the practice of judgment significant for making sense of </w:t>
      </w:r>
      <w:r w:rsidR="0043275E">
        <w:rPr>
          <w:rFonts w:ascii="Times New Roman" w:hAnsi="Times New Roman"/>
        </w:rPr>
        <w:t>it</w:t>
      </w:r>
      <w:r>
        <w:rPr>
          <w:rFonts w:ascii="Times New Roman" w:hAnsi="Times New Roman"/>
        </w:rPr>
        <w:t>.</w:t>
      </w:r>
      <w:r w:rsidR="006544AB">
        <w:rPr>
          <w:rFonts w:ascii="Times New Roman" w:hAnsi="Times New Roman"/>
        </w:rPr>
        <w:t xml:space="preserve">  Nor are the individuation or discreteness of judgment presumed above easy to maintain here: insofar as judgment appears in particular judgment-wit interplays, </w:t>
      </w:r>
      <w:r w:rsidR="006C508F">
        <w:rPr>
          <w:rFonts w:ascii="Times New Roman" w:hAnsi="Times New Roman"/>
        </w:rPr>
        <w:t>it</w:t>
      </w:r>
      <w:r w:rsidR="006544AB">
        <w:rPr>
          <w:rFonts w:ascii="Times New Roman" w:hAnsi="Times New Roman"/>
        </w:rPr>
        <w:t xml:space="preserve"> parses the assemblages of ideas presented by others (as well as one’s own) and thus is formulated within interactions that are not self-evidently or straightforwardly separable into the detachable instantiations as “judgment X” and “outward effect Y” suggested in the above section.</w:t>
      </w:r>
      <w:r w:rsidR="004921F2">
        <w:rPr>
          <w:rFonts w:ascii="Times New Roman" w:hAnsi="Times New Roman"/>
        </w:rPr>
        <w:t xml:space="preserve"> Rather, as Torrey Shanks has </w:t>
      </w:r>
      <w:r w:rsidR="00755AA6">
        <w:rPr>
          <w:rFonts w:ascii="Times New Roman" w:hAnsi="Times New Roman"/>
        </w:rPr>
        <w:t>argued</w:t>
      </w:r>
      <w:r w:rsidR="004921F2">
        <w:rPr>
          <w:rFonts w:ascii="Times New Roman" w:hAnsi="Times New Roman"/>
        </w:rPr>
        <w:t xml:space="preserve"> in her reading of the </w:t>
      </w:r>
      <w:r w:rsidR="004921F2">
        <w:rPr>
          <w:rFonts w:ascii="Times New Roman" w:hAnsi="Times New Roman"/>
          <w:i/>
        </w:rPr>
        <w:t>Essay</w:t>
      </w:r>
      <w:r w:rsidR="004921F2">
        <w:rPr>
          <w:rFonts w:ascii="Times New Roman" w:hAnsi="Times New Roman"/>
        </w:rPr>
        <w:t xml:space="preserve">’s </w:t>
      </w:r>
      <w:r w:rsidR="00F06C4F">
        <w:rPr>
          <w:rFonts w:ascii="Times New Roman" w:hAnsi="Times New Roman"/>
        </w:rPr>
        <w:t>use</w:t>
      </w:r>
      <w:r w:rsidR="004921F2">
        <w:rPr>
          <w:rFonts w:ascii="Times New Roman" w:hAnsi="Times New Roman"/>
        </w:rPr>
        <w:t xml:space="preserve"> of the Abbot of St. Martin,</w:t>
      </w:r>
      <w:r w:rsidR="006C508F">
        <w:rPr>
          <w:rFonts w:ascii="Times New Roman" w:hAnsi="Times New Roman"/>
        </w:rPr>
        <w:t xml:space="preserve"> </w:t>
      </w:r>
      <w:r w:rsidR="00B905ED">
        <w:rPr>
          <w:rFonts w:ascii="Times New Roman" w:hAnsi="Times New Roman"/>
        </w:rPr>
        <w:t xml:space="preserve">toleration corresponds to judgment insofar as both practices reflect </w:t>
      </w:r>
      <w:r w:rsidR="00F06C4F">
        <w:rPr>
          <w:rFonts w:ascii="Times New Roman" w:hAnsi="Times New Roman"/>
        </w:rPr>
        <w:t>the attempts of political communities</w:t>
      </w:r>
      <w:r w:rsidR="00B905ED">
        <w:rPr>
          <w:rFonts w:ascii="Times New Roman" w:hAnsi="Times New Roman"/>
        </w:rPr>
        <w:t xml:space="preserve"> to make sense of novelty</w:t>
      </w:r>
      <w:r w:rsidR="004921F2">
        <w:rPr>
          <w:rFonts w:ascii="Times New Roman" w:hAnsi="Times New Roman"/>
        </w:rPr>
        <w:t>—</w:t>
      </w:r>
      <w:r w:rsidR="00F06C4F">
        <w:rPr>
          <w:rFonts w:ascii="Times New Roman" w:hAnsi="Times New Roman"/>
        </w:rPr>
        <w:t>a phenomenon</w:t>
      </w:r>
      <w:r w:rsidR="004921F2">
        <w:rPr>
          <w:rFonts w:ascii="Times New Roman" w:hAnsi="Times New Roman"/>
        </w:rPr>
        <w:t xml:space="preserve"> that this essay has identified specifically with judgment’s necessary </w:t>
      </w:r>
      <w:r w:rsidR="00AD7BFD">
        <w:rPr>
          <w:rFonts w:ascii="Times New Roman" w:hAnsi="Times New Roman"/>
        </w:rPr>
        <w:t>interplay with</w:t>
      </w:r>
      <w:r w:rsidR="004921F2">
        <w:rPr>
          <w:rFonts w:ascii="Times New Roman" w:hAnsi="Times New Roman"/>
        </w:rPr>
        <w:t xml:space="preserve"> wit in Locke’s thought.</w:t>
      </w:r>
      <w:r w:rsidR="004921F2">
        <w:rPr>
          <w:rStyle w:val="FootnoteReference"/>
        </w:rPr>
        <w:footnoteReference w:id="32"/>
      </w:r>
      <w:r w:rsidR="004921F2">
        <w:rPr>
          <w:rFonts w:ascii="Times New Roman" w:hAnsi="Times New Roman"/>
        </w:rPr>
        <w:t xml:space="preserve"> </w:t>
      </w:r>
      <w:r>
        <w:rPr>
          <w:rFonts w:ascii="Times New Roman" w:hAnsi="Times New Roman"/>
        </w:rPr>
        <w:t xml:space="preserve"> The consequence here for judgment’s application in the </w:t>
      </w:r>
      <w:r>
        <w:rPr>
          <w:rFonts w:ascii="Times New Roman" w:hAnsi="Times New Roman"/>
          <w:i/>
        </w:rPr>
        <w:t>Letter</w:t>
      </w:r>
      <w:r>
        <w:rPr>
          <w:rFonts w:ascii="Times New Roman" w:hAnsi="Times New Roman"/>
        </w:rPr>
        <w:t xml:space="preserve"> is that the magistrate should not be capable of </w:t>
      </w:r>
      <w:r w:rsidR="004C765C">
        <w:rPr>
          <w:rFonts w:ascii="Times New Roman" w:hAnsi="Times New Roman"/>
        </w:rPr>
        <w:t>straightforwardly</w:t>
      </w:r>
      <w:r>
        <w:rPr>
          <w:rFonts w:ascii="Times New Roman" w:hAnsi="Times New Roman"/>
        </w:rPr>
        <w:t xml:space="preserve"> “reading” his subjects’ judgments or </w:t>
      </w:r>
      <w:r w:rsidR="0079360B">
        <w:rPr>
          <w:rFonts w:ascii="Times New Roman" w:hAnsi="Times New Roman"/>
        </w:rPr>
        <w:t xml:space="preserve">treating </w:t>
      </w:r>
      <w:r w:rsidR="00B91D0F">
        <w:rPr>
          <w:rFonts w:ascii="Times New Roman" w:hAnsi="Times New Roman"/>
        </w:rPr>
        <w:t>judgments</w:t>
      </w:r>
      <w:r w:rsidR="0079360B">
        <w:rPr>
          <w:rFonts w:ascii="Times New Roman" w:hAnsi="Times New Roman"/>
        </w:rPr>
        <w:t xml:space="preserve"> simply as bridges betwe</w:t>
      </w:r>
      <w:r w:rsidR="00DC7C06">
        <w:rPr>
          <w:rFonts w:ascii="Times New Roman" w:hAnsi="Times New Roman"/>
        </w:rPr>
        <w:t xml:space="preserve">en what is inward and outward. </w:t>
      </w:r>
      <w:r w:rsidR="0079360B">
        <w:rPr>
          <w:rFonts w:ascii="Times New Roman" w:hAnsi="Times New Roman"/>
        </w:rPr>
        <w:t>With the more</w:t>
      </w:r>
      <w:r w:rsidR="00B91D0F">
        <w:rPr>
          <w:rFonts w:ascii="Times New Roman" w:hAnsi="Times New Roman"/>
        </w:rPr>
        <w:t xml:space="preserve"> dynamic </w:t>
      </w:r>
      <w:r w:rsidR="004C765C">
        <w:rPr>
          <w:rFonts w:ascii="Times New Roman" w:hAnsi="Times New Roman"/>
        </w:rPr>
        <w:t>understanding</w:t>
      </w:r>
      <w:r w:rsidR="0079360B">
        <w:rPr>
          <w:rFonts w:ascii="Times New Roman" w:hAnsi="Times New Roman"/>
        </w:rPr>
        <w:t xml:space="preserve">, </w:t>
      </w:r>
      <w:r w:rsidR="00287503">
        <w:rPr>
          <w:rFonts w:ascii="Times New Roman" w:hAnsi="Times New Roman"/>
        </w:rPr>
        <w:t>the capacity</w:t>
      </w:r>
      <w:r w:rsidR="0079360B">
        <w:rPr>
          <w:rFonts w:ascii="Times New Roman" w:hAnsi="Times New Roman"/>
        </w:rPr>
        <w:t xml:space="preserve"> to separate ideas remain</w:t>
      </w:r>
      <w:r w:rsidR="002B69F3">
        <w:rPr>
          <w:rFonts w:ascii="Times New Roman" w:hAnsi="Times New Roman"/>
        </w:rPr>
        <w:t>s</w:t>
      </w:r>
      <w:r w:rsidR="0079360B">
        <w:rPr>
          <w:rFonts w:ascii="Times New Roman" w:hAnsi="Times New Roman"/>
        </w:rPr>
        <w:t xml:space="preserve"> </w:t>
      </w:r>
      <w:r w:rsidR="00287503">
        <w:rPr>
          <w:rFonts w:ascii="Times New Roman" w:hAnsi="Times New Roman"/>
        </w:rPr>
        <w:t>entrenched in</w:t>
      </w:r>
      <w:r w:rsidR="0079360B">
        <w:rPr>
          <w:rFonts w:ascii="Times New Roman" w:hAnsi="Times New Roman"/>
        </w:rPr>
        <w:t xml:space="preserve"> how those ideas </w:t>
      </w:r>
      <w:r w:rsidR="00287503">
        <w:rPr>
          <w:rFonts w:ascii="Times New Roman" w:hAnsi="Times New Roman"/>
        </w:rPr>
        <w:t>come</w:t>
      </w:r>
      <w:r w:rsidR="0079360B">
        <w:rPr>
          <w:rFonts w:ascii="Times New Roman" w:hAnsi="Times New Roman"/>
        </w:rPr>
        <w:t xml:space="preserve"> to be assembled in the first place: it should</w:t>
      </w:r>
      <w:r w:rsidR="00287503">
        <w:rPr>
          <w:rFonts w:ascii="Times New Roman" w:hAnsi="Times New Roman"/>
        </w:rPr>
        <w:t xml:space="preserve"> not</w:t>
      </w:r>
      <w:r w:rsidR="0079360B">
        <w:rPr>
          <w:rFonts w:ascii="Times New Roman" w:hAnsi="Times New Roman"/>
        </w:rPr>
        <w:t xml:space="preserve"> be </w:t>
      </w:r>
      <w:r w:rsidR="00287503">
        <w:rPr>
          <w:rFonts w:ascii="Times New Roman" w:hAnsi="Times New Roman"/>
        </w:rPr>
        <w:t xml:space="preserve">the case that magistrates </w:t>
      </w:r>
      <w:r w:rsidR="0079360B">
        <w:rPr>
          <w:rFonts w:ascii="Times New Roman" w:hAnsi="Times New Roman"/>
        </w:rPr>
        <w:t>account for judgments by merely separating them from their prior (and ongoing) en</w:t>
      </w:r>
      <w:r w:rsidR="00287503">
        <w:rPr>
          <w:rFonts w:ascii="Times New Roman" w:hAnsi="Times New Roman"/>
        </w:rPr>
        <w:t>gagements with wit, but instead that</w:t>
      </w:r>
      <w:r w:rsidR="0079360B">
        <w:rPr>
          <w:rFonts w:ascii="Times New Roman" w:hAnsi="Times New Roman"/>
        </w:rPr>
        <w:t xml:space="preserve"> </w:t>
      </w:r>
      <w:r w:rsidR="00903D9C">
        <w:rPr>
          <w:rFonts w:ascii="Times New Roman" w:hAnsi="Times New Roman"/>
        </w:rPr>
        <w:t>any</w:t>
      </w:r>
      <w:r w:rsidR="0079360B">
        <w:rPr>
          <w:rFonts w:ascii="Times New Roman" w:hAnsi="Times New Roman"/>
        </w:rPr>
        <w:t xml:space="preserve"> interaction</w:t>
      </w:r>
      <w:r w:rsidR="00287503">
        <w:rPr>
          <w:rFonts w:ascii="Times New Roman" w:hAnsi="Times New Roman"/>
        </w:rPr>
        <w:t>s</w:t>
      </w:r>
      <w:r w:rsidR="0079360B">
        <w:rPr>
          <w:rFonts w:ascii="Times New Roman" w:hAnsi="Times New Roman"/>
        </w:rPr>
        <w:t xml:space="preserve"> with judgment </w:t>
      </w:r>
      <w:r w:rsidR="00903D9C">
        <w:rPr>
          <w:rFonts w:ascii="Times New Roman" w:hAnsi="Times New Roman"/>
        </w:rPr>
        <w:t>must</w:t>
      </w:r>
      <w:r w:rsidR="00287503">
        <w:rPr>
          <w:rFonts w:ascii="Times New Roman" w:hAnsi="Times New Roman"/>
        </w:rPr>
        <w:t xml:space="preserve"> remain</w:t>
      </w:r>
      <w:r w:rsidR="0079360B">
        <w:rPr>
          <w:rFonts w:ascii="Times New Roman" w:hAnsi="Times New Roman"/>
        </w:rPr>
        <w:t xml:space="preserve"> </w:t>
      </w:r>
      <w:r w:rsidR="00B91D0F">
        <w:rPr>
          <w:rFonts w:ascii="Times New Roman" w:hAnsi="Times New Roman"/>
        </w:rPr>
        <w:t>invested</w:t>
      </w:r>
      <w:r w:rsidR="002B69F3">
        <w:rPr>
          <w:rFonts w:ascii="Times New Roman" w:hAnsi="Times New Roman"/>
        </w:rPr>
        <w:t xml:space="preserve"> in the process through which </w:t>
      </w:r>
      <w:r w:rsidR="0079360B">
        <w:rPr>
          <w:rFonts w:ascii="Times New Roman" w:hAnsi="Times New Roman"/>
        </w:rPr>
        <w:t>judgments come to be formed</w:t>
      </w:r>
      <w:r w:rsidR="00903D9C">
        <w:rPr>
          <w:rFonts w:ascii="Times New Roman" w:hAnsi="Times New Roman"/>
        </w:rPr>
        <w:t xml:space="preserve"> and articulated</w:t>
      </w:r>
      <w:r w:rsidR="0079360B">
        <w:rPr>
          <w:rFonts w:ascii="Times New Roman" w:hAnsi="Times New Roman"/>
        </w:rPr>
        <w:t>.</w:t>
      </w:r>
    </w:p>
    <w:p w14:paraId="0B82C64D" w14:textId="191CAF60" w:rsidR="003A5A68" w:rsidRDefault="00895F04" w:rsidP="006003A0">
      <w:pPr>
        <w:pStyle w:val="NoSpacing"/>
        <w:spacing w:line="480" w:lineRule="auto"/>
        <w:ind w:firstLine="720"/>
        <w:rPr>
          <w:rFonts w:ascii="Times New Roman" w:hAnsi="Times New Roman" w:cs="Times New Roman"/>
        </w:rPr>
      </w:pPr>
      <w:r>
        <w:rPr>
          <w:rFonts w:ascii="Times New Roman" w:hAnsi="Times New Roman"/>
        </w:rPr>
        <w:t>L</w:t>
      </w:r>
      <w:r w:rsidR="00DE183A">
        <w:rPr>
          <w:rFonts w:ascii="Times New Roman" w:hAnsi="Times New Roman"/>
        </w:rPr>
        <w:t>ockean judgment therefore</w:t>
      </w:r>
      <w:r>
        <w:rPr>
          <w:rFonts w:ascii="Times New Roman" w:hAnsi="Times New Roman"/>
        </w:rPr>
        <w:t xml:space="preserve"> both evokes and demands an understanding attuned to chains of reactions and interactions—an account of its own </w:t>
      </w:r>
      <w:r w:rsidRPr="00895F04">
        <w:rPr>
          <w:rFonts w:ascii="Times New Roman" w:hAnsi="Times New Roman"/>
        </w:rPr>
        <w:t>formation</w:t>
      </w:r>
      <w:r>
        <w:rPr>
          <w:rFonts w:ascii="Times New Roman" w:hAnsi="Times New Roman"/>
        </w:rPr>
        <w:t xml:space="preserve"> and change that resists the reduction of </w:t>
      </w:r>
      <w:r>
        <w:rPr>
          <w:rFonts w:ascii="Times New Roman" w:hAnsi="Times New Roman"/>
        </w:rPr>
        <w:lastRenderedPageBreak/>
        <w:t>judging to an isolated activity.</w:t>
      </w:r>
      <w:r w:rsidR="00743B1D">
        <w:rPr>
          <w:rFonts w:ascii="Times New Roman" w:hAnsi="Times New Roman"/>
        </w:rPr>
        <w:t xml:space="preserve">  </w:t>
      </w:r>
      <w:r w:rsidR="0054770F">
        <w:rPr>
          <w:rFonts w:ascii="Times New Roman" w:hAnsi="Times New Roman"/>
        </w:rPr>
        <w:t>As such, a</w:t>
      </w:r>
      <w:r w:rsidR="00743B1D">
        <w:rPr>
          <w:rFonts w:ascii="Times New Roman" w:hAnsi="Times New Roman"/>
        </w:rPr>
        <w:t xml:space="preserve"> magisterial capacity for toleration or coercion</w:t>
      </w:r>
      <w:r w:rsidR="0054770F">
        <w:rPr>
          <w:rFonts w:ascii="Times New Roman" w:hAnsi="Times New Roman"/>
        </w:rPr>
        <w:t xml:space="preserve"> that arises</w:t>
      </w:r>
      <w:r w:rsidR="00743B1D">
        <w:rPr>
          <w:rFonts w:ascii="Times New Roman" w:hAnsi="Times New Roman"/>
        </w:rPr>
        <w:t xml:space="preserve"> from the identification of </w:t>
      </w:r>
      <w:r w:rsidR="00743B1D" w:rsidRPr="00903D9C">
        <w:rPr>
          <w:rFonts w:ascii="Times New Roman" w:hAnsi="Times New Roman"/>
        </w:rPr>
        <w:t>which</w:t>
      </w:r>
      <w:r w:rsidR="00743B1D">
        <w:rPr>
          <w:rFonts w:ascii="Times New Roman" w:hAnsi="Times New Roman"/>
        </w:rPr>
        <w:t xml:space="preserve"> practices are indicative of </w:t>
      </w:r>
      <w:r w:rsidR="00743B1D" w:rsidRPr="00903D9C">
        <w:rPr>
          <w:rFonts w:ascii="Times New Roman" w:hAnsi="Times New Roman"/>
        </w:rPr>
        <w:t>which</w:t>
      </w:r>
      <w:r w:rsidR="00743B1D">
        <w:rPr>
          <w:rFonts w:ascii="Times New Roman" w:hAnsi="Times New Roman"/>
        </w:rPr>
        <w:t xml:space="preserve"> beliefs </w:t>
      </w:r>
      <w:r w:rsidR="0054770F">
        <w:rPr>
          <w:rFonts w:ascii="Times New Roman" w:hAnsi="Times New Roman"/>
        </w:rPr>
        <w:t>should prompt</w:t>
      </w:r>
      <w:r w:rsidR="00743B1D">
        <w:rPr>
          <w:rFonts w:ascii="Times New Roman" w:hAnsi="Times New Roman"/>
        </w:rPr>
        <w:t xml:space="preserve"> questions concerning </w:t>
      </w:r>
      <w:r w:rsidR="00743B1D" w:rsidRPr="00903D9C">
        <w:rPr>
          <w:rFonts w:ascii="Times New Roman" w:hAnsi="Times New Roman"/>
          <w:i/>
        </w:rPr>
        <w:t>how</w:t>
      </w:r>
      <w:r w:rsidR="00743B1D">
        <w:rPr>
          <w:rFonts w:ascii="Times New Roman" w:hAnsi="Times New Roman"/>
        </w:rPr>
        <w:t xml:space="preserve"> one comes to engage in judgment. </w:t>
      </w:r>
      <w:r w:rsidR="00AD7BFD">
        <w:rPr>
          <w:rFonts w:ascii="Times New Roman" w:hAnsi="Times New Roman"/>
        </w:rPr>
        <w:t xml:space="preserve"> </w:t>
      </w:r>
      <w:r w:rsidR="00903D9C">
        <w:rPr>
          <w:rFonts w:ascii="Times New Roman" w:hAnsi="Times New Roman"/>
        </w:rPr>
        <w:t xml:space="preserve">It should become significant, for instance, how </w:t>
      </w:r>
      <w:r w:rsidR="00B91D0F">
        <w:rPr>
          <w:rFonts w:ascii="Times New Roman" w:hAnsi="Times New Roman"/>
        </w:rPr>
        <w:t xml:space="preserve">it is that </w:t>
      </w:r>
      <w:r w:rsidR="00903D9C">
        <w:rPr>
          <w:rFonts w:ascii="Times New Roman" w:hAnsi="Times New Roman"/>
        </w:rPr>
        <w:t>a magistrate comes to discern what does and does not amount to a church, to worship</w:t>
      </w:r>
      <w:r w:rsidR="0078555D">
        <w:rPr>
          <w:rFonts w:ascii="Times New Roman" w:hAnsi="Times New Roman"/>
        </w:rPr>
        <w:t>, to “perswasion,” and to “pomp,</w:t>
      </w:r>
      <w:r w:rsidR="00903D9C">
        <w:rPr>
          <w:rFonts w:ascii="Times New Roman" w:hAnsi="Times New Roman"/>
        </w:rPr>
        <w:t>”</w:t>
      </w:r>
      <w:r w:rsidR="0078555D">
        <w:rPr>
          <w:rFonts w:ascii="Times New Roman" w:hAnsi="Times New Roman"/>
        </w:rPr>
        <w:t xml:space="preserve"> among other categories.</w:t>
      </w:r>
      <w:r w:rsidR="00903D9C">
        <w:rPr>
          <w:rFonts w:ascii="Times New Roman" w:hAnsi="Times New Roman"/>
        </w:rPr>
        <w:t xml:space="preserve"> </w:t>
      </w:r>
      <w:r w:rsidR="00F46325">
        <w:rPr>
          <w:rFonts w:ascii="Times New Roman" w:hAnsi="Times New Roman"/>
        </w:rPr>
        <w:t xml:space="preserve"> </w:t>
      </w:r>
      <w:r w:rsidR="00743B1D">
        <w:rPr>
          <w:rFonts w:ascii="Times New Roman" w:hAnsi="Times New Roman"/>
        </w:rPr>
        <w:t xml:space="preserve">Insofar as any decision to tolerate or coerce attempts to advance claims correlating certain outward effects (“pomp”) back to inward beliefs </w:t>
      </w:r>
      <w:r w:rsidR="0064740E">
        <w:rPr>
          <w:rFonts w:ascii="Times New Roman" w:hAnsi="Times New Roman"/>
        </w:rPr>
        <w:t xml:space="preserve">(“perswasion” underlying a “striving for power”), a more dynamic notion of judgment suggests that such claims necessarily </w:t>
      </w:r>
      <w:r w:rsidR="003A5A68">
        <w:rPr>
          <w:rFonts w:ascii="Times New Roman" w:hAnsi="Times New Roman"/>
        </w:rPr>
        <w:t>track</w:t>
      </w:r>
      <w:r w:rsidR="0064740E">
        <w:rPr>
          <w:rFonts w:ascii="Times New Roman" w:hAnsi="Times New Roman"/>
        </w:rPr>
        <w:t xml:space="preserve"> magisterial power back to the very constru</w:t>
      </w:r>
      <w:r w:rsidR="009F486C">
        <w:rPr>
          <w:rFonts w:ascii="Times New Roman" w:hAnsi="Times New Roman"/>
        </w:rPr>
        <w:t>ction of assemblages (“pomp” = “</w:t>
      </w:r>
      <w:r w:rsidR="0064740E">
        <w:rPr>
          <w:rFonts w:ascii="Times New Roman" w:hAnsi="Times New Roman"/>
        </w:rPr>
        <w:t>striving for power”) that entangle wit and judgment</w:t>
      </w:r>
      <w:r w:rsidR="00BD02DD">
        <w:rPr>
          <w:rFonts w:ascii="Times New Roman" w:hAnsi="Times New Roman"/>
        </w:rPr>
        <w:t xml:space="preserve"> in Locke’s conceptualization.</w:t>
      </w:r>
      <w:r w:rsidR="002441FC">
        <w:rPr>
          <w:rFonts w:ascii="Times New Roman" w:hAnsi="Times New Roman"/>
        </w:rPr>
        <w:t xml:space="preserve"> The magistrate, </w:t>
      </w:r>
      <w:r w:rsidR="00FD6E3A">
        <w:rPr>
          <w:rFonts w:ascii="Times New Roman" w:hAnsi="Times New Roman"/>
        </w:rPr>
        <w:t>then</w:t>
      </w:r>
      <w:r w:rsidR="002441FC">
        <w:rPr>
          <w:rFonts w:ascii="Times New Roman" w:hAnsi="Times New Roman"/>
        </w:rPr>
        <w:t>, cannot</w:t>
      </w:r>
      <w:r w:rsidR="008559B4">
        <w:rPr>
          <w:rFonts w:ascii="Times New Roman" w:hAnsi="Times New Roman"/>
        </w:rPr>
        <w:t xml:space="preserve"> be said</w:t>
      </w:r>
      <w:r w:rsidR="00BD02DD">
        <w:rPr>
          <w:rFonts w:ascii="Times New Roman" w:hAnsi="Times New Roman"/>
        </w:rPr>
        <w:t xml:space="preserve"> to</w:t>
      </w:r>
      <w:r w:rsidR="002441FC">
        <w:rPr>
          <w:rFonts w:ascii="Times New Roman" w:hAnsi="Times New Roman"/>
        </w:rPr>
        <w:t xml:space="preserve"> occupy an isolated site epistemologically “above” or external </w:t>
      </w:r>
      <w:r w:rsidR="00AD7BFD">
        <w:rPr>
          <w:rFonts w:ascii="Times New Roman" w:hAnsi="Times New Roman"/>
        </w:rPr>
        <w:t>to</w:t>
      </w:r>
      <w:r w:rsidR="002441FC">
        <w:rPr>
          <w:rFonts w:ascii="Times New Roman" w:hAnsi="Times New Roman"/>
        </w:rPr>
        <w:t xml:space="preserve"> his subjects—one </w:t>
      </w:r>
      <w:r w:rsidR="002441FC" w:rsidRPr="009F3FFA">
        <w:rPr>
          <w:rFonts w:ascii="Times New Roman" w:hAnsi="Times New Roman" w:cs="Times New Roman"/>
        </w:rPr>
        <w:t>from which their own judgments are distilled into their discrete, static, individuated outward effects.  Instead,</w:t>
      </w:r>
      <w:r w:rsidR="00B405A9" w:rsidRPr="009F3FFA">
        <w:rPr>
          <w:rFonts w:ascii="Times New Roman" w:hAnsi="Times New Roman" w:cs="Times New Roman"/>
        </w:rPr>
        <w:t xml:space="preserve"> a more dynamic account of Lockean judgment exposes</w:t>
      </w:r>
      <w:r w:rsidR="002441FC" w:rsidRPr="009F3FFA">
        <w:rPr>
          <w:rFonts w:ascii="Times New Roman" w:hAnsi="Times New Roman" w:cs="Times New Roman"/>
        </w:rPr>
        <w:t xml:space="preserve"> </w:t>
      </w:r>
      <w:r w:rsidR="00B405A9" w:rsidRPr="009F3FFA">
        <w:rPr>
          <w:rFonts w:ascii="Times New Roman" w:hAnsi="Times New Roman" w:cs="Times New Roman"/>
        </w:rPr>
        <w:t>the practice of magisterial judgment as already the imposition of magisterial wit,</w:t>
      </w:r>
      <w:r w:rsidR="00B405A9" w:rsidRPr="009F3FFA">
        <w:rPr>
          <w:rStyle w:val="FootnoteReference"/>
        </w:rPr>
        <w:footnoteReference w:id="33"/>
      </w:r>
      <w:r w:rsidR="00B405A9" w:rsidRPr="009F3FFA">
        <w:rPr>
          <w:rFonts w:ascii="Times New Roman" w:hAnsi="Times New Roman" w:cs="Times New Roman"/>
        </w:rPr>
        <w:t xml:space="preserve"> thus </w:t>
      </w:r>
      <w:r w:rsidR="007326E9">
        <w:rPr>
          <w:rFonts w:ascii="Times New Roman" w:hAnsi="Times New Roman" w:cs="Times New Roman"/>
        </w:rPr>
        <w:t>locating</w:t>
      </w:r>
      <w:r w:rsidR="00B405A9" w:rsidRPr="009F3FFA">
        <w:rPr>
          <w:rFonts w:ascii="Times New Roman" w:hAnsi="Times New Roman" w:cs="Times New Roman"/>
        </w:rPr>
        <w:t xml:space="preserve"> this practice both at the intersection of the judgment and wit of others and rendering it amenable to </w:t>
      </w:r>
      <w:r w:rsidR="009F3FFA" w:rsidRPr="009F3FFA">
        <w:rPr>
          <w:rFonts w:ascii="Times New Roman" w:hAnsi="Times New Roman" w:cs="Times New Roman"/>
        </w:rPr>
        <w:t xml:space="preserve">competing judgment/wit </w:t>
      </w:r>
      <w:r w:rsidR="009F3FFA" w:rsidRPr="001D32A4">
        <w:rPr>
          <w:rFonts w:ascii="Times New Roman" w:hAnsi="Times New Roman" w:cs="Times New Roman"/>
        </w:rPr>
        <w:t>interventions.</w:t>
      </w:r>
      <w:r w:rsidR="0024601F">
        <w:rPr>
          <w:rFonts w:ascii="Times New Roman" w:hAnsi="Times New Roman" w:cs="Times New Roman"/>
        </w:rPr>
        <w:t xml:space="preserve">  Judgment implies </w:t>
      </w:r>
      <w:r w:rsidR="0024601F" w:rsidRPr="0043275E">
        <w:rPr>
          <w:rFonts w:ascii="Times New Roman" w:hAnsi="Times New Roman" w:cs="Times New Roman"/>
        </w:rPr>
        <w:t>process</w:t>
      </w:r>
      <w:r w:rsidR="0024601F">
        <w:rPr>
          <w:rFonts w:ascii="Times New Roman" w:hAnsi="Times New Roman" w:cs="Times New Roman"/>
        </w:rPr>
        <w:t>: i</w:t>
      </w:r>
      <w:r w:rsidR="009F3FFA" w:rsidRPr="001D32A4">
        <w:rPr>
          <w:rFonts w:ascii="Times New Roman" w:hAnsi="Times New Roman" w:cs="Times New Roman"/>
        </w:rPr>
        <w:t xml:space="preserve">nsofar as the magistrate </w:t>
      </w:r>
      <w:r w:rsidR="001D32A4">
        <w:rPr>
          <w:rFonts w:ascii="Times New Roman" w:hAnsi="Times New Roman" w:cs="Times New Roman"/>
        </w:rPr>
        <w:t>is understood to</w:t>
      </w:r>
      <w:r w:rsidR="003A5A68" w:rsidRPr="001D32A4">
        <w:rPr>
          <w:rFonts w:ascii="Times New Roman" w:hAnsi="Times New Roman" w:cs="Times New Roman"/>
        </w:rPr>
        <w:t xml:space="preserve"> engage in toleration and persecution, he cannot be presumed to practice judgment </w:t>
      </w:r>
      <w:r w:rsidR="003A5A68" w:rsidRPr="001D32A4">
        <w:rPr>
          <w:rFonts w:ascii="Times New Roman" w:hAnsi="Times New Roman" w:cs="Times New Roman"/>
          <w:i/>
        </w:rPr>
        <w:t>alone</w:t>
      </w:r>
      <w:r w:rsidR="003A5A68" w:rsidRPr="001D32A4">
        <w:rPr>
          <w:rFonts w:ascii="Times New Roman" w:hAnsi="Times New Roman" w:cs="Times New Roman"/>
        </w:rPr>
        <w:t xml:space="preserve">—to practice </w:t>
      </w:r>
      <w:r w:rsidR="003A5A68" w:rsidRPr="001D32A4">
        <w:rPr>
          <w:rFonts w:ascii="Times New Roman" w:hAnsi="Times New Roman" w:cs="Times New Roman"/>
          <w:i/>
        </w:rPr>
        <w:t>only</w:t>
      </w:r>
      <w:r w:rsidR="003A5A68" w:rsidRPr="001D32A4">
        <w:rPr>
          <w:rFonts w:ascii="Times New Roman" w:hAnsi="Times New Roman" w:cs="Times New Roman"/>
        </w:rPr>
        <w:t xml:space="preserve"> judgment </w:t>
      </w:r>
      <w:r w:rsidR="00FD6E3A">
        <w:rPr>
          <w:rFonts w:ascii="Times New Roman" w:hAnsi="Times New Roman" w:cs="Times New Roman"/>
        </w:rPr>
        <w:t>or</w:t>
      </w:r>
      <w:r w:rsidR="003A5A68" w:rsidRPr="001D32A4">
        <w:rPr>
          <w:rFonts w:ascii="Times New Roman" w:hAnsi="Times New Roman" w:cs="Times New Roman"/>
        </w:rPr>
        <w:t xml:space="preserve"> do to so in a manner isolated from the interventions and modifica</w:t>
      </w:r>
      <w:r w:rsidR="00FD6E3A">
        <w:rPr>
          <w:rFonts w:ascii="Times New Roman" w:hAnsi="Times New Roman" w:cs="Times New Roman"/>
        </w:rPr>
        <w:t>tions of what McClure identified</w:t>
      </w:r>
      <w:r w:rsidR="003A5A68" w:rsidRPr="001D32A4">
        <w:rPr>
          <w:rFonts w:ascii="Times New Roman" w:hAnsi="Times New Roman" w:cs="Times New Roman"/>
        </w:rPr>
        <w:t xml:space="preserve"> as the “complex, dynamic, and interrelated set of empirical social processes unfolding in time.”</w:t>
      </w:r>
      <w:r w:rsidR="0024601F">
        <w:rPr>
          <w:rFonts w:ascii="Times New Roman" w:hAnsi="Times New Roman" w:cs="Times New Roman"/>
        </w:rPr>
        <w:t xml:space="preserve">  </w:t>
      </w:r>
    </w:p>
    <w:p w14:paraId="447E4485" w14:textId="5877A62E" w:rsidR="0024665C" w:rsidRDefault="00856B14" w:rsidP="0024665C">
      <w:pPr>
        <w:pStyle w:val="NoSpacing"/>
        <w:spacing w:line="480" w:lineRule="auto"/>
        <w:ind w:firstLine="720"/>
        <w:rPr>
          <w:rFonts w:ascii="Times New Roman" w:hAnsi="Times New Roman"/>
        </w:rPr>
      </w:pPr>
      <w:r>
        <w:rPr>
          <w:rFonts w:ascii="Times New Roman" w:hAnsi="Times New Roman"/>
        </w:rPr>
        <w:t xml:space="preserve">If Lockean judgment ends up problematizing what was taken </w:t>
      </w:r>
      <w:r w:rsidR="005A5D5C">
        <w:rPr>
          <w:rFonts w:ascii="Times New Roman" w:hAnsi="Times New Roman"/>
        </w:rPr>
        <w:t>to be</w:t>
      </w:r>
      <w:r>
        <w:rPr>
          <w:rFonts w:ascii="Times New Roman" w:hAnsi="Times New Roman"/>
        </w:rPr>
        <w:t xml:space="preserve"> </w:t>
      </w:r>
      <w:r w:rsidR="00D268C9">
        <w:rPr>
          <w:rFonts w:ascii="Times New Roman" w:hAnsi="Times New Roman"/>
        </w:rPr>
        <w:t xml:space="preserve">a </w:t>
      </w:r>
      <w:r>
        <w:rPr>
          <w:rFonts w:ascii="Times New Roman" w:hAnsi="Times New Roman"/>
        </w:rPr>
        <w:t xml:space="preserve">straightforward magisterial need and capacity to make subjects’ beliefs amenable to toleration and persecution by reducing their judging practices to their discrete, static, and individuated manifestations, then how do we make sense of Locke’s defense of toleration in the </w:t>
      </w:r>
      <w:r>
        <w:rPr>
          <w:rFonts w:ascii="Times New Roman" w:hAnsi="Times New Roman"/>
          <w:i/>
        </w:rPr>
        <w:t>Letter</w:t>
      </w:r>
      <w:r>
        <w:rPr>
          <w:rFonts w:ascii="Times New Roman" w:hAnsi="Times New Roman"/>
        </w:rPr>
        <w:t>?</w:t>
      </w:r>
      <w:r w:rsidR="005A5D5C">
        <w:rPr>
          <w:rFonts w:ascii="Times New Roman" w:hAnsi="Times New Roman"/>
        </w:rPr>
        <w:t xml:space="preserve">  On one hand, here we could conclude that Locke’s account of the interplays of wit and judgment is simply inconsistent with his account of magisterial power—the former appears to suggest a contingent and processual notion of judgment formation while the latter </w:t>
      </w:r>
      <w:r w:rsidR="005A5D5C">
        <w:rPr>
          <w:rFonts w:ascii="Times New Roman" w:hAnsi="Times New Roman"/>
        </w:rPr>
        <w:lastRenderedPageBreak/>
        <w:t xml:space="preserve">appears </w:t>
      </w:r>
      <w:r w:rsidR="005B2AEC">
        <w:rPr>
          <w:rFonts w:ascii="Times New Roman" w:hAnsi="Times New Roman"/>
        </w:rPr>
        <w:t>to reduce judgments to particular outward manifestation</w:t>
      </w:r>
      <w:r w:rsidR="000A062B">
        <w:rPr>
          <w:rFonts w:ascii="Times New Roman" w:hAnsi="Times New Roman"/>
        </w:rPr>
        <w:t>s</w:t>
      </w:r>
      <w:r w:rsidR="005B2AEC">
        <w:rPr>
          <w:rFonts w:ascii="Times New Roman" w:hAnsi="Times New Roman"/>
        </w:rPr>
        <w:t xml:space="preserve"> conveniently discernible by an isolated acto</w:t>
      </w:r>
      <w:r w:rsidR="00E55A7F">
        <w:rPr>
          <w:rFonts w:ascii="Times New Roman" w:hAnsi="Times New Roman"/>
        </w:rPr>
        <w:t xml:space="preserve">r at the locus of state power. </w:t>
      </w:r>
      <w:r w:rsidR="005B2AEC">
        <w:rPr>
          <w:rFonts w:ascii="Times New Roman" w:hAnsi="Times New Roman"/>
        </w:rPr>
        <w:t xml:space="preserve">Indeed, this apparent inconsistency may be grounds for yet a third refutation of Lockean toleration. </w:t>
      </w:r>
      <w:r w:rsidR="00D268C9">
        <w:rPr>
          <w:rFonts w:ascii="Times New Roman" w:hAnsi="Times New Roman"/>
        </w:rPr>
        <w:t>In what follows,</w:t>
      </w:r>
      <w:r w:rsidR="007326E9">
        <w:rPr>
          <w:rFonts w:ascii="Times New Roman" w:hAnsi="Times New Roman"/>
        </w:rPr>
        <w:t xml:space="preserve"> however,</w:t>
      </w:r>
      <w:r w:rsidR="00D268C9">
        <w:rPr>
          <w:rFonts w:ascii="Times New Roman" w:hAnsi="Times New Roman"/>
        </w:rPr>
        <w:t xml:space="preserve"> I resist such a conclusion.  Instead,</w:t>
      </w:r>
      <w:r w:rsidR="005B2AEC">
        <w:rPr>
          <w:rFonts w:ascii="Times New Roman" w:hAnsi="Times New Roman"/>
        </w:rPr>
        <w:t xml:space="preserve"> I suggest an alternate response to the apparent inconsistency drawn specifically from the hermeneutical implications of</w:t>
      </w:r>
      <w:r w:rsidR="00E55A7F">
        <w:rPr>
          <w:rFonts w:ascii="Times New Roman" w:hAnsi="Times New Roman"/>
        </w:rPr>
        <w:t xml:space="preserve"> the conception</w:t>
      </w:r>
      <w:r w:rsidR="005B2AEC">
        <w:rPr>
          <w:rFonts w:ascii="Times New Roman" w:hAnsi="Times New Roman"/>
        </w:rPr>
        <w:t xml:space="preserve"> </w:t>
      </w:r>
      <w:r w:rsidR="00E55A7F">
        <w:rPr>
          <w:rFonts w:ascii="Times New Roman" w:hAnsi="Times New Roman"/>
        </w:rPr>
        <w:t xml:space="preserve">of </w:t>
      </w:r>
      <w:r w:rsidR="005B2AEC">
        <w:rPr>
          <w:rFonts w:ascii="Times New Roman" w:hAnsi="Times New Roman"/>
        </w:rPr>
        <w:t>Lockean judgment</w:t>
      </w:r>
      <w:r w:rsidR="00E55A7F">
        <w:rPr>
          <w:rFonts w:ascii="Times New Roman" w:hAnsi="Times New Roman"/>
        </w:rPr>
        <w:t xml:space="preserve"> developed above</w:t>
      </w:r>
      <w:r w:rsidR="005B2AEC">
        <w:rPr>
          <w:rFonts w:ascii="Times New Roman" w:hAnsi="Times New Roman"/>
        </w:rPr>
        <w:t>.</w:t>
      </w:r>
      <w:r w:rsidR="0024665C">
        <w:rPr>
          <w:rFonts w:ascii="Times New Roman" w:hAnsi="Times New Roman"/>
        </w:rPr>
        <w:t xml:space="preserve">  As I argue in the remainder of this paper, Lockean judgment not only problematizes a particular picture of the magistrate identified with the above refutations, but further undermines the presumption that the </w:t>
      </w:r>
      <w:r w:rsidR="0024665C">
        <w:rPr>
          <w:rFonts w:ascii="Times New Roman" w:hAnsi="Times New Roman"/>
          <w:i/>
        </w:rPr>
        <w:t>Letter</w:t>
      </w:r>
      <w:r w:rsidR="0024665C">
        <w:rPr>
          <w:rFonts w:ascii="Times New Roman" w:hAnsi="Times New Roman"/>
        </w:rPr>
        <w:t xml:space="preserve"> is written “for” a magisterial actor in any straightforward sense.  </w:t>
      </w:r>
    </w:p>
    <w:p w14:paraId="3F81059B" w14:textId="23BC5129" w:rsidR="00870E53" w:rsidRDefault="00D54F84" w:rsidP="00401B34">
      <w:pPr>
        <w:pStyle w:val="NoSpacing"/>
        <w:spacing w:line="480" w:lineRule="auto"/>
        <w:ind w:firstLine="720"/>
        <w:rPr>
          <w:rFonts w:ascii="Times New Roman" w:hAnsi="Times New Roman"/>
        </w:rPr>
      </w:pPr>
      <w:r>
        <w:rPr>
          <w:rFonts w:ascii="Times New Roman" w:hAnsi="Times New Roman"/>
        </w:rPr>
        <w:t xml:space="preserve">While thus far I have read Locke’s conception of judgment in juxtaposition to the figures theorized in the </w:t>
      </w:r>
      <w:r>
        <w:rPr>
          <w:rFonts w:ascii="Times New Roman" w:hAnsi="Times New Roman"/>
          <w:i/>
        </w:rPr>
        <w:t>Letter</w:t>
      </w:r>
      <w:r>
        <w:rPr>
          <w:rFonts w:ascii="Times New Roman" w:hAnsi="Times New Roman"/>
        </w:rPr>
        <w:t xml:space="preserve"> and their capacities, in what follows I suggest that this argument also has implications for how we take Locke’s text to intervene in its r</w:t>
      </w:r>
      <w:r w:rsidR="0024665C">
        <w:rPr>
          <w:rFonts w:ascii="Times New Roman" w:hAnsi="Times New Roman"/>
        </w:rPr>
        <w:t>eaders’ own judging practices. As</w:t>
      </w:r>
      <w:r>
        <w:rPr>
          <w:rFonts w:ascii="Times New Roman" w:hAnsi="Times New Roman"/>
        </w:rPr>
        <w:t xml:space="preserve"> Douglas Casson has put it, “Locke is not offering his readers a formal argument in defense of a particular set of institutions …Instead, he is attempting to foster the development of a certain type of intellectual conduct,” namely “reasonable judgment.”</w:t>
      </w:r>
      <w:r>
        <w:rPr>
          <w:rStyle w:val="FootnoteReference"/>
        </w:rPr>
        <w:footnoteReference w:id="34"/>
      </w:r>
      <w:r w:rsidR="0024665C">
        <w:rPr>
          <w:rFonts w:ascii="Times New Roman" w:hAnsi="Times New Roman"/>
        </w:rPr>
        <w:t xml:space="preserve"> The process of judgment formation, in other words, registers as both a feature of Locke’s argument </w:t>
      </w:r>
      <w:r w:rsidR="0024665C">
        <w:rPr>
          <w:rFonts w:ascii="Times New Roman" w:hAnsi="Times New Roman"/>
          <w:i/>
        </w:rPr>
        <w:t>and</w:t>
      </w:r>
      <w:r w:rsidR="0024665C">
        <w:rPr>
          <w:rFonts w:ascii="Times New Roman" w:hAnsi="Times New Roman"/>
        </w:rPr>
        <w:t xml:space="preserve"> an underlying motivation of argumentation as such.  </w:t>
      </w:r>
      <w:r w:rsidR="001364B5">
        <w:rPr>
          <w:rFonts w:ascii="Times New Roman" w:hAnsi="Times New Roman"/>
        </w:rPr>
        <w:t xml:space="preserve">As </w:t>
      </w:r>
      <w:r w:rsidR="005049E0">
        <w:rPr>
          <w:rFonts w:ascii="Times New Roman" w:hAnsi="Times New Roman"/>
        </w:rPr>
        <w:t>a result</w:t>
      </w:r>
      <w:r w:rsidR="001364B5">
        <w:rPr>
          <w:rFonts w:ascii="Times New Roman" w:hAnsi="Times New Roman"/>
        </w:rPr>
        <w:t xml:space="preserve">, </w:t>
      </w:r>
      <w:r w:rsidR="000A062B">
        <w:rPr>
          <w:rFonts w:ascii="Times New Roman" w:hAnsi="Times New Roman"/>
        </w:rPr>
        <w:t xml:space="preserve">Locke’s conception of wit and judgment should </w:t>
      </w:r>
      <w:r w:rsidR="00143AB1">
        <w:rPr>
          <w:rFonts w:ascii="Times New Roman" w:hAnsi="Times New Roman"/>
        </w:rPr>
        <w:t>inform</w:t>
      </w:r>
      <w:r w:rsidR="000A062B">
        <w:rPr>
          <w:rFonts w:ascii="Times New Roman" w:hAnsi="Times New Roman"/>
        </w:rPr>
        <w:t xml:space="preserve"> not only</w:t>
      </w:r>
      <w:r w:rsidR="0092442D">
        <w:rPr>
          <w:rFonts w:ascii="Times New Roman" w:hAnsi="Times New Roman"/>
        </w:rPr>
        <w:t xml:space="preserve"> </w:t>
      </w:r>
      <w:r w:rsidR="000A062B">
        <w:rPr>
          <w:rFonts w:ascii="Times New Roman" w:hAnsi="Times New Roman"/>
        </w:rPr>
        <w:t xml:space="preserve">what we take Locke to mean when it comes to a magistrate’s apprehension of and engagement with subjects’ inward and outward states, but further </w:t>
      </w:r>
      <w:r w:rsidR="000A062B">
        <w:rPr>
          <w:rFonts w:ascii="Times New Roman" w:hAnsi="Times New Roman"/>
          <w:i/>
        </w:rPr>
        <w:t>how</w:t>
      </w:r>
      <w:r w:rsidR="000A062B">
        <w:rPr>
          <w:rFonts w:ascii="Times New Roman" w:hAnsi="Times New Roman"/>
        </w:rPr>
        <w:t xml:space="preserve"> we take the </w:t>
      </w:r>
      <w:r w:rsidR="000A062B">
        <w:rPr>
          <w:rFonts w:ascii="Times New Roman" w:hAnsi="Times New Roman"/>
          <w:i/>
        </w:rPr>
        <w:t>Letter</w:t>
      </w:r>
      <w:r w:rsidR="000A062B">
        <w:rPr>
          <w:rFonts w:ascii="Times New Roman" w:hAnsi="Times New Roman"/>
        </w:rPr>
        <w:t xml:space="preserve"> to intervene into the practices that </w:t>
      </w:r>
      <w:r w:rsidR="0024665C">
        <w:rPr>
          <w:rFonts w:ascii="Times New Roman" w:hAnsi="Times New Roman"/>
        </w:rPr>
        <w:t>undergird the public judgment. And i</w:t>
      </w:r>
      <w:r w:rsidR="000A062B">
        <w:rPr>
          <w:rFonts w:ascii="Times New Roman" w:hAnsi="Times New Roman"/>
        </w:rPr>
        <w:t>nsofar as Locke</w:t>
      </w:r>
      <w:r w:rsidR="00401B34">
        <w:rPr>
          <w:rFonts w:ascii="Times New Roman" w:hAnsi="Times New Roman"/>
        </w:rPr>
        <w:t>an</w:t>
      </w:r>
      <w:r w:rsidR="000A062B">
        <w:rPr>
          <w:rFonts w:ascii="Times New Roman" w:hAnsi="Times New Roman"/>
        </w:rPr>
        <w:t xml:space="preserve"> judgment demands an understanding attuned to chains of reactions and interactions, </w:t>
      </w:r>
      <w:r w:rsidR="005049E0">
        <w:rPr>
          <w:rFonts w:ascii="Times New Roman" w:hAnsi="Times New Roman"/>
        </w:rPr>
        <w:t xml:space="preserve">below I suggest that </w:t>
      </w:r>
      <w:r w:rsidR="000A062B">
        <w:rPr>
          <w:rFonts w:ascii="Times New Roman" w:hAnsi="Times New Roman"/>
        </w:rPr>
        <w:t xml:space="preserve">his </w:t>
      </w:r>
      <w:r w:rsidR="000A062B">
        <w:rPr>
          <w:rFonts w:ascii="Times New Roman" w:hAnsi="Times New Roman"/>
          <w:i/>
        </w:rPr>
        <w:t>Letter</w:t>
      </w:r>
      <w:r w:rsidR="000A062B">
        <w:rPr>
          <w:rFonts w:ascii="Times New Roman" w:hAnsi="Times New Roman"/>
        </w:rPr>
        <w:t xml:space="preserve"> likewise should not be understood as an intervention that exists prior to or in isolation from the interplays of wit and judgment that shape any given social and political context.  Rather, I will argue that the </w:t>
      </w:r>
      <w:r w:rsidR="000A062B">
        <w:rPr>
          <w:rFonts w:ascii="Times New Roman" w:hAnsi="Times New Roman"/>
          <w:i/>
        </w:rPr>
        <w:t xml:space="preserve">Letter </w:t>
      </w:r>
      <w:r w:rsidR="000A062B">
        <w:rPr>
          <w:rFonts w:ascii="Times New Roman" w:hAnsi="Times New Roman"/>
        </w:rPr>
        <w:t xml:space="preserve">itself </w:t>
      </w:r>
      <w:r w:rsidR="000A062B" w:rsidRPr="004764C3">
        <w:rPr>
          <w:rFonts w:ascii="Times New Roman" w:hAnsi="Times New Roman"/>
          <w:i/>
        </w:rPr>
        <w:t>enacts</w:t>
      </w:r>
      <w:r w:rsidR="000A062B">
        <w:rPr>
          <w:rFonts w:ascii="Times New Roman" w:hAnsi="Times New Roman"/>
        </w:rPr>
        <w:t xml:space="preserve"> a practice of judgment (and, of course, wit) in theorizing the spaces, interactions, and motivations where toleration and persecution become legible and justifiable practices to Locke’s contemporary </w:t>
      </w:r>
      <w:r w:rsidR="0092442D">
        <w:rPr>
          <w:rFonts w:ascii="Times New Roman" w:hAnsi="Times New Roman"/>
        </w:rPr>
        <w:t>public</w:t>
      </w:r>
      <w:r w:rsidR="000A062B">
        <w:rPr>
          <w:rFonts w:ascii="Times New Roman" w:hAnsi="Times New Roman"/>
        </w:rPr>
        <w:t>.</w:t>
      </w:r>
    </w:p>
    <w:p w14:paraId="7548FF4A" w14:textId="33FFAC86" w:rsidR="00441D7D" w:rsidRDefault="00977E4A" w:rsidP="00831F72">
      <w:pPr>
        <w:pStyle w:val="NoSpacing"/>
        <w:spacing w:line="480" w:lineRule="auto"/>
        <w:rPr>
          <w:rFonts w:ascii="Times New Roman" w:hAnsi="Times New Roman"/>
          <w:b/>
        </w:rPr>
      </w:pPr>
      <w:r>
        <w:rPr>
          <w:rFonts w:ascii="Times New Roman" w:hAnsi="Times New Roman"/>
          <w:b/>
        </w:rPr>
        <w:lastRenderedPageBreak/>
        <w:t xml:space="preserve">III. </w:t>
      </w:r>
      <w:r w:rsidR="00831F72">
        <w:rPr>
          <w:rFonts w:ascii="Times New Roman" w:hAnsi="Times New Roman"/>
          <w:b/>
        </w:rPr>
        <w:t>Judging Toleration</w:t>
      </w:r>
      <w:r w:rsidR="00BB4928">
        <w:rPr>
          <w:rFonts w:ascii="Times New Roman" w:hAnsi="Times New Roman"/>
          <w:b/>
        </w:rPr>
        <w:t xml:space="preserve">: </w:t>
      </w:r>
      <w:r w:rsidR="009944A7">
        <w:rPr>
          <w:rFonts w:ascii="Times New Roman" w:hAnsi="Times New Roman"/>
          <w:b/>
        </w:rPr>
        <w:t>Audiences</w:t>
      </w:r>
      <w:r w:rsidR="00BB4928">
        <w:rPr>
          <w:rFonts w:ascii="Times New Roman" w:hAnsi="Times New Roman"/>
          <w:b/>
        </w:rPr>
        <w:t>,</w:t>
      </w:r>
      <w:r w:rsidR="00EC515C">
        <w:rPr>
          <w:rFonts w:ascii="Times New Roman" w:hAnsi="Times New Roman"/>
          <w:b/>
        </w:rPr>
        <w:t xml:space="preserve"> </w:t>
      </w:r>
      <w:r w:rsidR="00371E0E">
        <w:rPr>
          <w:rFonts w:ascii="Times New Roman" w:hAnsi="Times New Roman"/>
          <w:b/>
        </w:rPr>
        <w:t>Churches</w:t>
      </w:r>
      <w:r w:rsidR="00EC515C">
        <w:rPr>
          <w:rFonts w:ascii="Times New Roman" w:hAnsi="Times New Roman"/>
          <w:b/>
        </w:rPr>
        <w:t>,</w:t>
      </w:r>
      <w:r w:rsidR="00BB4928">
        <w:rPr>
          <w:rFonts w:ascii="Times New Roman" w:hAnsi="Times New Roman"/>
          <w:b/>
        </w:rPr>
        <w:t xml:space="preserve"> and the “Heretics of the Lantern”</w:t>
      </w:r>
    </w:p>
    <w:p w14:paraId="01E72200" w14:textId="53DEC202" w:rsidR="00B5210B" w:rsidRDefault="000A062B" w:rsidP="00F4027C">
      <w:pPr>
        <w:pStyle w:val="NoSpacing"/>
        <w:spacing w:line="480" w:lineRule="auto"/>
        <w:ind w:firstLine="720"/>
        <w:rPr>
          <w:rFonts w:ascii="Times New Roman" w:hAnsi="Times New Roman"/>
        </w:rPr>
      </w:pPr>
      <w:r>
        <w:rPr>
          <w:rFonts w:ascii="Times New Roman" w:hAnsi="Times New Roman"/>
        </w:rPr>
        <w:t>A</w:t>
      </w:r>
      <w:r w:rsidR="004C1B2D">
        <w:rPr>
          <w:rFonts w:ascii="Times New Roman" w:hAnsi="Times New Roman"/>
        </w:rPr>
        <w:t xml:space="preserve">s suggested at the conclusion of my first section, a reading of the </w:t>
      </w:r>
      <w:r w:rsidR="004C1B2D">
        <w:rPr>
          <w:rFonts w:ascii="Times New Roman" w:hAnsi="Times New Roman"/>
          <w:i/>
        </w:rPr>
        <w:t>Letter</w:t>
      </w:r>
      <w:r w:rsidR="004C1B2D">
        <w:rPr>
          <w:rFonts w:ascii="Times New Roman" w:hAnsi="Times New Roman"/>
        </w:rPr>
        <w:t xml:space="preserve"> attuned to Locke</w:t>
      </w:r>
      <w:r w:rsidR="0064412D">
        <w:rPr>
          <w:rFonts w:ascii="Times New Roman" w:hAnsi="Times New Roman"/>
        </w:rPr>
        <w:t>a</w:t>
      </w:r>
      <w:r w:rsidR="004C1B2D">
        <w:rPr>
          <w:rFonts w:ascii="Times New Roman" w:hAnsi="Times New Roman"/>
        </w:rPr>
        <w:t>n judgment</w:t>
      </w:r>
      <w:r w:rsidR="0065018B">
        <w:rPr>
          <w:rFonts w:ascii="Times New Roman" w:hAnsi="Times New Roman"/>
        </w:rPr>
        <w:t xml:space="preserve"> and its implications for the </w:t>
      </w:r>
      <w:r w:rsidR="0065018B">
        <w:rPr>
          <w:rFonts w:ascii="Times New Roman" w:hAnsi="Times New Roman"/>
          <w:i/>
        </w:rPr>
        <w:t>Letter</w:t>
      </w:r>
      <w:r w:rsidR="0065018B">
        <w:rPr>
          <w:rFonts w:ascii="Times New Roman" w:hAnsi="Times New Roman"/>
        </w:rPr>
        <w:t>’s intervention</w:t>
      </w:r>
      <w:r w:rsidR="004C1B2D">
        <w:rPr>
          <w:rFonts w:ascii="Times New Roman" w:hAnsi="Times New Roman"/>
        </w:rPr>
        <w:t xml:space="preserve"> should produce skepticism that </w:t>
      </w:r>
      <w:r w:rsidR="006B797F">
        <w:rPr>
          <w:rFonts w:ascii="Times New Roman" w:hAnsi="Times New Roman"/>
        </w:rPr>
        <w:t xml:space="preserve">its arguments </w:t>
      </w:r>
      <w:r w:rsidR="004C1B2D">
        <w:rPr>
          <w:rFonts w:ascii="Times New Roman" w:hAnsi="Times New Roman"/>
        </w:rPr>
        <w:t xml:space="preserve">can be reduced to a sort of “blueprint” for </w:t>
      </w:r>
      <w:r w:rsidR="00D7387C">
        <w:rPr>
          <w:rFonts w:ascii="Times New Roman" w:hAnsi="Times New Roman"/>
        </w:rPr>
        <w:t>potential tolerators</w:t>
      </w:r>
      <w:r w:rsidR="0064412D">
        <w:rPr>
          <w:rFonts w:ascii="Times New Roman" w:hAnsi="Times New Roman"/>
        </w:rPr>
        <w:t xml:space="preserve"> or persecutors</w:t>
      </w:r>
      <w:r w:rsidR="00CB2491">
        <w:rPr>
          <w:rFonts w:ascii="Times New Roman" w:hAnsi="Times New Roman"/>
        </w:rPr>
        <w:t xml:space="preserve">. </w:t>
      </w:r>
      <w:r w:rsidR="0065018B">
        <w:rPr>
          <w:rFonts w:ascii="Times New Roman" w:hAnsi="Times New Roman"/>
        </w:rPr>
        <w:t>The most immediate reason to doubt this sort of approach is that it</w:t>
      </w:r>
      <w:r w:rsidR="00D7387C">
        <w:rPr>
          <w:rFonts w:ascii="Times New Roman" w:hAnsi="Times New Roman"/>
        </w:rPr>
        <w:t xml:space="preserve"> appears</w:t>
      </w:r>
      <w:r w:rsidR="00500A95">
        <w:rPr>
          <w:rFonts w:ascii="Times New Roman" w:hAnsi="Times New Roman"/>
        </w:rPr>
        <w:t xml:space="preserve"> either</w:t>
      </w:r>
      <w:r w:rsidR="00D7387C">
        <w:rPr>
          <w:rFonts w:ascii="Times New Roman" w:hAnsi="Times New Roman"/>
        </w:rPr>
        <w:t xml:space="preserve"> to</w:t>
      </w:r>
      <w:r w:rsidR="0065018B">
        <w:rPr>
          <w:rFonts w:ascii="Times New Roman" w:hAnsi="Times New Roman"/>
        </w:rPr>
        <w:t xml:space="preserve"> occlude questions concerning </w:t>
      </w:r>
      <w:r w:rsidR="0065018B" w:rsidRPr="00500A95">
        <w:rPr>
          <w:rFonts w:ascii="Times New Roman" w:hAnsi="Times New Roman"/>
          <w:i/>
        </w:rPr>
        <w:t>who</w:t>
      </w:r>
      <w:r w:rsidR="0065018B">
        <w:rPr>
          <w:rFonts w:ascii="Times New Roman" w:hAnsi="Times New Roman"/>
        </w:rPr>
        <w:t xml:space="preserve"> </w:t>
      </w:r>
      <w:r w:rsidR="00F914B1">
        <w:rPr>
          <w:rFonts w:ascii="Times New Roman" w:hAnsi="Times New Roman"/>
        </w:rPr>
        <w:t>engages in toleration</w:t>
      </w:r>
      <w:r w:rsidR="00500A95">
        <w:rPr>
          <w:rFonts w:ascii="Times New Roman" w:hAnsi="Times New Roman"/>
        </w:rPr>
        <w:t xml:space="preserve"> (and thus how toleration operates given different</w:t>
      </w:r>
      <w:r w:rsidR="0064412D">
        <w:rPr>
          <w:rFonts w:ascii="Times New Roman" w:hAnsi="Times New Roman"/>
        </w:rPr>
        <w:t xml:space="preserve"> relations between different</w:t>
      </w:r>
      <w:r w:rsidR="00500A95">
        <w:rPr>
          <w:rFonts w:ascii="Times New Roman" w:hAnsi="Times New Roman"/>
        </w:rPr>
        <w:t xml:space="preserve"> sorts of political actors) or</w:t>
      </w:r>
      <w:r w:rsidR="00D7387C">
        <w:rPr>
          <w:rFonts w:ascii="Times New Roman" w:hAnsi="Times New Roman"/>
        </w:rPr>
        <w:t xml:space="preserve"> simply</w:t>
      </w:r>
      <w:r w:rsidR="00483D9C">
        <w:rPr>
          <w:rFonts w:ascii="Times New Roman" w:hAnsi="Times New Roman"/>
        </w:rPr>
        <w:t xml:space="preserve"> to</w:t>
      </w:r>
      <w:r w:rsidR="0064412D">
        <w:rPr>
          <w:rFonts w:ascii="Times New Roman" w:hAnsi="Times New Roman"/>
        </w:rPr>
        <w:t xml:space="preserve"> assimilate the “blueprint” to the</w:t>
      </w:r>
      <w:r w:rsidR="00500A95">
        <w:rPr>
          <w:rFonts w:ascii="Times New Roman" w:hAnsi="Times New Roman"/>
        </w:rPr>
        <w:t xml:space="preserve"> magisterial</w:t>
      </w:r>
      <w:r w:rsidR="0064412D">
        <w:rPr>
          <w:rFonts w:ascii="Times New Roman" w:hAnsi="Times New Roman"/>
        </w:rPr>
        <w:t xml:space="preserve"> </w:t>
      </w:r>
      <w:r w:rsidR="006B797F">
        <w:rPr>
          <w:rFonts w:ascii="Times New Roman" w:hAnsi="Times New Roman"/>
        </w:rPr>
        <w:t>model</w:t>
      </w:r>
      <w:r w:rsidR="00483D9C">
        <w:rPr>
          <w:rFonts w:ascii="Times New Roman" w:hAnsi="Times New Roman"/>
        </w:rPr>
        <w:t xml:space="preserve"> whose rendering of judgment was problematized above</w:t>
      </w:r>
      <w:r w:rsidR="00500A95">
        <w:rPr>
          <w:rFonts w:ascii="Times New Roman" w:hAnsi="Times New Roman"/>
        </w:rPr>
        <w:t xml:space="preserve">.  In other words, </w:t>
      </w:r>
      <w:r w:rsidR="00D7387C">
        <w:rPr>
          <w:rFonts w:ascii="Times New Roman" w:hAnsi="Times New Roman"/>
        </w:rPr>
        <w:t>if Locke’s “blueprint” can be</w:t>
      </w:r>
      <w:r w:rsidR="0064412D">
        <w:rPr>
          <w:rFonts w:ascii="Times New Roman" w:hAnsi="Times New Roman"/>
        </w:rPr>
        <w:t xml:space="preserve"> </w:t>
      </w:r>
      <w:r w:rsidR="00D7387C">
        <w:rPr>
          <w:rFonts w:ascii="Times New Roman" w:hAnsi="Times New Roman"/>
        </w:rPr>
        <w:t>divorced</w:t>
      </w:r>
      <w:r w:rsidR="0064412D">
        <w:rPr>
          <w:rFonts w:ascii="Times New Roman" w:hAnsi="Times New Roman"/>
        </w:rPr>
        <w:t xml:space="preserve"> straightforwardly</w:t>
      </w:r>
      <w:r w:rsidR="00D7387C">
        <w:rPr>
          <w:rFonts w:ascii="Times New Roman" w:hAnsi="Times New Roman"/>
        </w:rPr>
        <w:t xml:space="preserve"> from its context, then </w:t>
      </w:r>
      <w:r w:rsidR="00D7387C" w:rsidRPr="006B797F">
        <w:rPr>
          <w:rFonts w:ascii="Times New Roman" w:hAnsi="Times New Roman"/>
        </w:rPr>
        <w:t>either</w:t>
      </w:r>
      <w:r w:rsidR="00D7387C">
        <w:rPr>
          <w:rFonts w:ascii="Times New Roman" w:hAnsi="Times New Roman"/>
          <w:i/>
        </w:rPr>
        <w:t xml:space="preserve"> </w:t>
      </w:r>
      <w:r w:rsidR="00D7387C">
        <w:rPr>
          <w:rFonts w:ascii="Times New Roman" w:hAnsi="Times New Roman"/>
        </w:rPr>
        <w:t xml:space="preserve">all those who stand to adopt the blueprint must continue to operate like Lockean </w:t>
      </w:r>
      <w:r w:rsidR="00A67C46">
        <w:rPr>
          <w:rFonts w:ascii="Times New Roman" w:hAnsi="Times New Roman"/>
        </w:rPr>
        <w:t>magistrate</w:t>
      </w:r>
      <w:r w:rsidR="00483D9C">
        <w:rPr>
          <w:rFonts w:ascii="Times New Roman" w:hAnsi="Times New Roman"/>
        </w:rPr>
        <w:t>s</w:t>
      </w:r>
      <w:r w:rsidR="00A67C46">
        <w:rPr>
          <w:rFonts w:ascii="Times New Roman" w:hAnsi="Times New Roman"/>
        </w:rPr>
        <w:t xml:space="preserve"> </w:t>
      </w:r>
      <w:r w:rsidR="00D7387C" w:rsidRPr="006B797F">
        <w:rPr>
          <w:rFonts w:ascii="Times New Roman" w:hAnsi="Times New Roman"/>
        </w:rPr>
        <w:t>or</w:t>
      </w:r>
      <w:r w:rsidR="00D7387C">
        <w:rPr>
          <w:rFonts w:ascii="Times New Roman" w:hAnsi="Times New Roman"/>
          <w:i/>
        </w:rPr>
        <w:t xml:space="preserve"> </w:t>
      </w:r>
      <w:r w:rsidR="00D7387C">
        <w:rPr>
          <w:rFonts w:ascii="Times New Roman" w:hAnsi="Times New Roman"/>
        </w:rPr>
        <w:t xml:space="preserve">Locke’s arguments must be </w:t>
      </w:r>
      <w:r w:rsidR="00A67C46">
        <w:rPr>
          <w:rFonts w:ascii="Times New Roman" w:hAnsi="Times New Roman"/>
        </w:rPr>
        <w:t>presumed to be entirely separable from the figure of the magistrate as such—a blueprint for any</w:t>
      </w:r>
      <w:r w:rsidR="00F914B1">
        <w:rPr>
          <w:rFonts w:ascii="Times New Roman" w:hAnsi="Times New Roman"/>
        </w:rPr>
        <w:t xml:space="preserve"> sort of</w:t>
      </w:r>
      <w:r w:rsidR="00A67C46">
        <w:rPr>
          <w:rFonts w:ascii="Times New Roman" w:hAnsi="Times New Roman"/>
        </w:rPr>
        <w:t xml:space="preserve"> actor.  The previous section’s discussion of </w:t>
      </w:r>
      <w:r w:rsidR="007326E9">
        <w:rPr>
          <w:rFonts w:ascii="Times New Roman" w:hAnsi="Times New Roman"/>
        </w:rPr>
        <w:t>magisterial</w:t>
      </w:r>
      <w:r w:rsidR="00A67C46">
        <w:rPr>
          <w:rFonts w:ascii="Times New Roman" w:hAnsi="Times New Roman"/>
        </w:rPr>
        <w:t xml:space="preserve"> judgment </w:t>
      </w:r>
      <w:r w:rsidR="00483D9C">
        <w:rPr>
          <w:rFonts w:ascii="Times New Roman" w:hAnsi="Times New Roman"/>
        </w:rPr>
        <w:t>should suggest that</w:t>
      </w:r>
      <w:r w:rsidR="00A67C46">
        <w:rPr>
          <w:rFonts w:ascii="Times New Roman" w:hAnsi="Times New Roman"/>
        </w:rPr>
        <w:t xml:space="preserve"> </w:t>
      </w:r>
      <w:r w:rsidR="0064412D">
        <w:rPr>
          <w:rFonts w:ascii="Times New Roman" w:hAnsi="Times New Roman"/>
        </w:rPr>
        <w:t>the</w:t>
      </w:r>
      <w:r w:rsidR="00115525">
        <w:rPr>
          <w:rFonts w:ascii="Times New Roman" w:hAnsi="Times New Roman"/>
        </w:rPr>
        <w:t xml:space="preserve"> latter proposition </w:t>
      </w:r>
      <w:r w:rsidR="00483D9C">
        <w:rPr>
          <w:rFonts w:ascii="Times New Roman" w:hAnsi="Times New Roman"/>
        </w:rPr>
        <w:t xml:space="preserve">is </w:t>
      </w:r>
      <w:r w:rsidR="00A73334">
        <w:rPr>
          <w:rFonts w:ascii="Times New Roman" w:hAnsi="Times New Roman"/>
        </w:rPr>
        <w:t>especially</w:t>
      </w:r>
      <w:r w:rsidR="00A67C46">
        <w:rPr>
          <w:rFonts w:ascii="Times New Roman" w:hAnsi="Times New Roman"/>
        </w:rPr>
        <w:t xml:space="preserve"> untena</w:t>
      </w:r>
      <w:r w:rsidR="00115525">
        <w:rPr>
          <w:rFonts w:ascii="Times New Roman" w:hAnsi="Times New Roman"/>
        </w:rPr>
        <w:t xml:space="preserve">ble: </w:t>
      </w:r>
      <w:r w:rsidR="003D2CC0">
        <w:rPr>
          <w:rFonts w:ascii="Times New Roman" w:hAnsi="Times New Roman"/>
        </w:rPr>
        <w:t xml:space="preserve">insofar as </w:t>
      </w:r>
      <w:r w:rsidR="00115525">
        <w:rPr>
          <w:rFonts w:ascii="Times New Roman" w:hAnsi="Times New Roman"/>
        </w:rPr>
        <w:t>the magistrate appear</w:t>
      </w:r>
      <w:r w:rsidR="003D2CC0">
        <w:rPr>
          <w:rFonts w:ascii="Times New Roman" w:hAnsi="Times New Roman"/>
        </w:rPr>
        <w:t>ed</w:t>
      </w:r>
      <w:r w:rsidR="00115525">
        <w:rPr>
          <w:rFonts w:ascii="Times New Roman" w:hAnsi="Times New Roman"/>
        </w:rPr>
        <w:t xml:space="preserve"> to apprehend subjects’ judging practices in </w:t>
      </w:r>
      <w:r w:rsidR="003D2CC0">
        <w:rPr>
          <w:rFonts w:ascii="Times New Roman" w:hAnsi="Times New Roman"/>
        </w:rPr>
        <w:t>discrete, static, and individuated ways</w:t>
      </w:r>
      <w:r w:rsidR="00115525">
        <w:rPr>
          <w:rFonts w:ascii="Times New Roman" w:hAnsi="Times New Roman"/>
        </w:rPr>
        <w:t xml:space="preserve"> particularly amenable to magisterial power</w:t>
      </w:r>
      <w:r w:rsidR="003D2CC0">
        <w:rPr>
          <w:rFonts w:ascii="Times New Roman" w:hAnsi="Times New Roman"/>
        </w:rPr>
        <w:t xml:space="preserve">, the figure of the magistrate </w:t>
      </w:r>
      <w:r w:rsidR="00483D9C">
        <w:rPr>
          <w:rFonts w:ascii="Times New Roman" w:hAnsi="Times New Roman"/>
        </w:rPr>
        <w:t>cannot</w:t>
      </w:r>
      <w:r w:rsidR="003D2CC0">
        <w:rPr>
          <w:rFonts w:ascii="Times New Roman" w:hAnsi="Times New Roman"/>
        </w:rPr>
        <w:t xml:space="preserve"> simply be bracketed in examining any</w:t>
      </w:r>
      <w:r w:rsidR="0024601F">
        <w:rPr>
          <w:rFonts w:ascii="Times New Roman" w:hAnsi="Times New Roman"/>
        </w:rPr>
        <w:t xml:space="preserve"> potential Lockean </w:t>
      </w:r>
      <w:r w:rsidR="00483D9C">
        <w:rPr>
          <w:rFonts w:ascii="Times New Roman" w:hAnsi="Times New Roman"/>
        </w:rPr>
        <w:t xml:space="preserve">blueprint for toleration apparently in tension with his own account </w:t>
      </w:r>
      <w:r w:rsidR="00CB2491">
        <w:rPr>
          <w:rFonts w:ascii="Times New Roman" w:hAnsi="Times New Roman"/>
        </w:rPr>
        <w:t>of</w:t>
      </w:r>
      <w:r w:rsidR="00483D9C">
        <w:rPr>
          <w:rFonts w:ascii="Times New Roman" w:hAnsi="Times New Roman"/>
        </w:rPr>
        <w:t xml:space="preserve"> judgment.  </w:t>
      </w:r>
    </w:p>
    <w:p w14:paraId="40156537" w14:textId="27460862" w:rsidR="004C1B2D" w:rsidRDefault="00483D9C" w:rsidP="00F4027C">
      <w:pPr>
        <w:pStyle w:val="NoSpacing"/>
        <w:spacing w:line="480" w:lineRule="auto"/>
        <w:ind w:firstLine="720"/>
        <w:rPr>
          <w:rFonts w:ascii="Times New Roman" w:hAnsi="Times New Roman"/>
        </w:rPr>
      </w:pPr>
      <w:r>
        <w:rPr>
          <w:rFonts w:ascii="Times New Roman" w:hAnsi="Times New Roman"/>
        </w:rPr>
        <w:t>Instead</w:t>
      </w:r>
      <w:r w:rsidR="0064412D">
        <w:rPr>
          <w:rFonts w:ascii="Times New Roman" w:hAnsi="Times New Roman"/>
        </w:rPr>
        <w:t>,</w:t>
      </w:r>
      <w:r w:rsidR="00F914B1">
        <w:rPr>
          <w:rFonts w:ascii="Times New Roman" w:hAnsi="Times New Roman"/>
        </w:rPr>
        <w:t xml:space="preserve"> </w:t>
      </w:r>
      <w:r>
        <w:rPr>
          <w:rFonts w:ascii="Times New Roman" w:hAnsi="Times New Roman"/>
        </w:rPr>
        <w:t xml:space="preserve">I take </w:t>
      </w:r>
      <w:r w:rsidR="00F914B1">
        <w:rPr>
          <w:rFonts w:ascii="Times New Roman" w:hAnsi="Times New Roman"/>
        </w:rPr>
        <w:t>this tension</w:t>
      </w:r>
      <w:r>
        <w:rPr>
          <w:rFonts w:ascii="Times New Roman" w:hAnsi="Times New Roman"/>
        </w:rPr>
        <w:t xml:space="preserve"> to suggest</w:t>
      </w:r>
      <w:r w:rsidR="00F914B1">
        <w:rPr>
          <w:rFonts w:ascii="Times New Roman" w:hAnsi="Times New Roman"/>
        </w:rPr>
        <w:t xml:space="preserve"> that</w:t>
      </w:r>
      <w:r w:rsidR="0064412D">
        <w:rPr>
          <w:rFonts w:ascii="Times New Roman" w:hAnsi="Times New Roman"/>
        </w:rPr>
        <w:t xml:space="preserve"> </w:t>
      </w:r>
      <w:r w:rsidR="008D7D1E">
        <w:rPr>
          <w:rFonts w:ascii="Times New Roman" w:hAnsi="Times New Roman"/>
        </w:rPr>
        <w:t>the conditions of power</w:t>
      </w:r>
      <w:r w:rsidR="0064412D">
        <w:rPr>
          <w:rFonts w:ascii="Times New Roman" w:hAnsi="Times New Roman"/>
        </w:rPr>
        <w:t xml:space="preserve"> theorized via the </w:t>
      </w:r>
      <w:r w:rsidR="0064412D" w:rsidRPr="00BD02DD">
        <w:rPr>
          <w:rFonts w:ascii="Times New Roman" w:hAnsi="Times New Roman"/>
        </w:rPr>
        <w:t>magistrate</w:t>
      </w:r>
      <w:r w:rsidR="0064412D" w:rsidRPr="0024601F">
        <w:rPr>
          <w:rFonts w:ascii="Times New Roman" w:hAnsi="Times New Roman"/>
          <w:i/>
        </w:rPr>
        <w:t xml:space="preserve"> as such</w:t>
      </w:r>
      <w:r w:rsidR="008D7D1E" w:rsidRPr="0024601F">
        <w:rPr>
          <w:rFonts w:ascii="Times New Roman" w:hAnsi="Times New Roman"/>
          <w:i/>
        </w:rPr>
        <w:t xml:space="preserve"> </w:t>
      </w:r>
      <w:r w:rsidR="008D7D1E">
        <w:rPr>
          <w:rFonts w:ascii="Times New Roman" w:hAnsi="Times New Roman"/>
        </w:rPr>
        <w:t>need</w:t>
      </w:r>
      <w:r w:rsidR="0064412D">
        <w:rPr>
          <w:rFonts w:ascii="Times New Roman" w:hAnsi="Times New Roman"/>
        </w:rPr>
        <w:t xml:space="preserve"> to be </w:t>
      </w:r>
      <w:r w:rsidR="00F914B1">
        <w:rPr>
          <w:rFonts w:ascii="Times New Roman" w:hAnsi="Times New Roman"/>
        </w:rPr>
        <w:t>interrogated</w:t>
      </w:r>
      <w:r w:rsidR="0064412D">
        <w:rPr>
          <w:rFonts w:ascii="Times New Roman" w:hAnsi="Times New Roman"/>
        </w:rPr>
        <w:t xml:space="preserve"> to make sense of toleration. </w:t>
      </w:r>
      <w:r w:rsidR="003D2CC0">
        <w:rPr>
          <w:rFonts w:ascii="Times New Roman" w:hAnsi="Times New Roman"/>
        </w:rPr>
        <w:t xml:space="preserve"> </w:t>
      </w:r>
      <w:r>
        <w:rPr>
          <w:rFonts w:ascii="Times New Roman" w:hAnsi="Times New Roman"/>
        </w:rPr>
        <w:t>Yet</w:t>
      </w:r>
      <w:r w:rsidR="003D2CC0">
        <w:rPr>
          <w:rFonts w:ascii="Times New Roman" w:hAnsi="Times New Roman"/>
        </w:rPr>
        <w:t>,</w:t>
      </w:r>
      <w:r w:rsidR="00F4027C">
        <w:rPr>
          <w:rFonts w:ascii="Times New Roman" w:hAnsi="Times New Roman"/>
        </w:rPr>
        <w:t xml:space="preserve"> as noted in the first section of this paper,</w:t>
      </w:r>
      <w:r w:rsidR="003D2CC0">
        <w:rPr>
          <w:rFonts w:ascii="Times New Roman" w:hAnsi="Times New Roman"/>
        </w:rPr>
        <w:t xml:space="preserve"> this sort of bracketing</w:t>
      </w:r>
      <w:r w:rsidR="006B797F">
        <w:rPr>
          <w:rFonts w:ascii="Times New Roman" w:hAnsi="Times New Roman"/>
        </w:rPr>
        <w:t xml:space="preserve"> of the magistrate</w:t>
      </w:r>
      <w:r w:rsidR="003D2CC0">
        <w:rPr>
          <w:rFonts w:ascii="Times New Roman" w:hAnsi="Times New Roman"/>
        </w:rPr>
        <w:t xml:space="preserve"> is exactly what obtained in Waldron’s “moral” refutation of the supposed blueprint: Lockean toleration was deemed un</w:t>
      </w:r>
      <w:r w:rsidR="0024601F">
        <w:rPr>
          <w:rFonts w:ascii="Times New Roman" w:hAnsi="Times New Roman"/>
        </w:rPr>
        <w:t>tenable for those “here and now”</w:t>
      </w:r>
      <w:r w:rsidR="00F4027C">
        <w:rPr>
          <w:rFonts w:ascii="Times New Roman" w:hAnsi="Times New Roman"/>
        </w:rPr>
        <w:t xml:space="preserve"> </w:t>
      </w:r>
      <w:r w:rsidR="0064412D">
        <w:rPr>
          <w:rFonts w:ascii="Times New Roman" w:hAnsi="Times New Roman"/>
        </w:rPr>
        <w:t xml:space="preserve">precisely because Locke’s argument was taken to be articulated abstractly and for anyone considering the question of toleration, even </w:t>
      </w:r>
      <w:r>
        <w:rPr>
          <w:rFonts w:ascii="Times New Roman" w:hAnsi="Times New Roman"/>
        </w:rPr>
        <w:t>while</w:t>
      </w:r>
      <w:r w:rsidR="0064412D">
        <w:rPr>
          <w:rFonts w:ascii="Times New Roman" w:hAnsi="Times New Roman"/>
        </w:rPr>
        <w:t xml:space="preserve"> acknowledging that the </w:t>
      </w:r>
      <w:r w:rsidR="0064412D">
        <w:rPr>
          <w:rFonts w:ascii="Times New Roman" w:hAnsi="Times New Roman"/>
          <w:i/>
        </w:rPr>
        <w:t>Letter</w:t>
      </w:r>
      <w:r w:rsidR="0064412D">
        <w:rPr>
          <w:rFonts w:ascii="Times New Roman" w:hAnsi="Times New Roman"/>
        </w:rPr>
        <w:t xml:space="preserve"> itself explicitly differentiates </w:t>
      </w:r>
      <w:r w:rsidR="00F4027C">
        <w:rPr>
          <w:rFonts w:ascii="Times New Roman" w:hAnsi="Times New Roman"/>
        </w:rPr>
        <w:t xml:space="preserve">between </w:t>
      </w:r>
      <w:r w:rsidR="0064412D">
        <w:rPr>
          <w:rFonts w:ascii="Times New Roman" w:hAnsi="Times New Roman"/>
        </w:rPr>
        <w:t>arguments for church</w:t>
      </w:r>
      <w:r w:rsidR="00F4027C">
        <w:rPr>
          <w:rFonts w:ascii="Times New Roman" w:hAnsi="Times New Roman"/>
        </w:rPr>
        <w:t xml:space="preserve"> actors</w:t>
      </w:r>
      <w:r w:rsidR="0064412D">
        <w:rPr>
          <w:rFonts w:ascii="Times New Roman" w:hAnsi="Times New Roman"/>
        </w:rPr>
        <w:t xml:space="preserve"> and</w:t>
      </w:r>
      <w:r w:rsidR="006B797F">
        <w:rPr>
          <w:rFonts w:ascii="Times New Roman" w:hAnsi="Times New Roman"/>
        </w:rPr>
        <w:t xml:space="preserve"> state</w:t>
      </w:r>
      <w:r w:rsidR="0064412D">
        <w:rPr>
          <w:rFonts w:ascii="Times New Roman" w:hAnsi="Times New Roman"/>
        </w:rPr>
        <w:t xml:space="preserve"> </w:t>
      </w:r>
      <w:r w:rsidR="00F4027C">
        <w:rPr>
          <w:rFonts w:ascii="Times New Roman" w:hAnsi="Times New Roman"/>
        </w:rPr>
        <w:t>magistrates</w:t>
      </w:r>
      <w:r w:rsidR="0064412D">
        <w:rPr>
          <w:rFonts w:ascii="Times New Roman" w:hAnsi="Times New Roman"/>
        </w:rPr>
        <w:t>.</w:t>
      </w:r>
      <w:r w:rsidR="00A73334">
        <w:rPr>
          <w:rStyle w:val="FootnoteReference"/>
        </w:rPr>
        <w:footnoteReference w:id="35"/>
      </w:r>
      <w:r w:rsidR="00F4027C">
        <w:rPr>
          <w:rFonts w:ascii="Times New Roman" w:hAnsi="Times New Roman"/>
        </w:rPr>
        <w:t xml:space="preserve"> At the very least, then, insofar as the above discussion of judgment has problematized the moral refutation of Lockean toleration, the hermeneutic implications of this </w:t>
      </w:r>
      <w:r w:rsidR="0033205F">
        <w:rPr>
          <w:rFonts w:ascii="Times New Roman" w:hAnsi="Times New Roman"/>
        </w:rPr>
        <w:t>discussion</w:t>
      </w:r>
      <w:r>
        <w:rPr>
          <w:rFonts w:ascii="Times New Roman" w:hAnsi="Times New Roman"/>
        </w:rPr>
        <w:t xml:space="preserve"> </w:t>
      </w:r>
      <w:r w:rsidR="0033205F">
        <w:rPr>
          <w:rFonts w:ascii="Times New Roman" w:hAnsi="Times New Roman"/>
        </w:rPr>
        <w:t>caution</w:t>
      </w:r>
      <w:r w:rsidR="00F4027C">
        <w:rPr>
          <w:rFonts w:ascii="Times New Roman" w:hAnsi="Times New Roman"/>
        </w:rPr>
        <w:t xml:space="preserve"> against translating </w:t>
      </w:r>
      <w:r w:rsidR="003463C9">
        <w:rPr>
          <w:rFonts w:ascii="Times New Roman" w:hAnsi="Times New Roman"/>
        </w:rPr>
        <w:t>the</w:t>
      </w:r>
      <w:r w:rsidR="00F4027C">
        <w:rPr>
          <w:rFonts w:ascii="Times New Roman" w:hAnsi="Times New Roman"/>
        </w:rPr>
        <w:t xml:space="preserve"> </w:t>
      </w:r>
      <w:r w:rsidR="00F4027C">
        <w:rPr>
          <w:rFonts w:ascii="Times New Roman" w:hAnsi="Times New Roman"/>
          <w:i/>
        </w:rPr>
        <w:t>Letter</w:t>
      </w:r>
      <w:r w:rsidR="00F4027C">
        <w:rPr>
          <w:rFonts w:ascii="Times New Roman" w:hAnsi="Times New Roman"/>
        </w:rPr>
        <w:t xml:space="preserve"> into any sort of detachable blueprint</w:t>
      </w:r>
      <w:r w:rsidR="00870E53">
        <w:rPr>
          <w:rFonts w:ascii="Times New Roman" w:hAnsi="Times New Roman"/>
        </w:rPr>
        <w:t xml:space="preserve"> lest such an </w:t>
      </w:r>
      <w:r w:rsidR="00870E53">
        <w:rPr>
          <w:rFonts w:ascii="Times New Roman" w:hAnsi="Times New Roman"/>
        </w:rPr>
        <w:lastRenderedPageBreak/>
        <w:t>approach</w:t>
      </w:r>
      <w:r>
        <w:rPr>
          <w:rFonts w:ascii="Times New Roman" w:hAnsi="Times New Roman"/>
        </w:rPr>
        <w:t xml:space="preserve"> </w:t>
      </w:r>
      <w:r w:rsidR="00870E53">
        <w:rPr>
          <w:rFonts w:ascii="Times New Roman" w:hAnsi="Times New Roman"/>
        </w:rPr>
        <w:t xml:space="preserve">fail to account for the relationship between </w:t>
      </w:r>
      <w:r w:rsidR="00870E53">
        <w:rPr>
          <w:rFonts w:ascii="Times New Roman" w:hAnsi="Times New Roman"/>
          <w:i/>
        </w:rPr>
        <w:t>The Letter</w:t>
      </w:r>
      <w:r w:rsidR="00870E53">
        <w:rPr>
          <w:rFonts w:ascii="Times New Roman" w:hAnsi="Times New Roman"/>
        </w:rPr>
        <w:t>’s</w:t>
      </w:r>
      <w:r>
        <w:rPr>
          <w:rFonts w:ascii="Times New Roman" w:hAnsi="Times New Roman"/>
        </w:rPr>
        <w:t xml:space="preserve"> intervention into </w:t>
      </w:r>
      <w:r w:rsidR="00CB2491">
        <w:rPr>
          <w:rFonts w:ascii="Times New Roman" w:hAnsi="Times New Roman"/>
        </w:rPr>
        <w:t>a particular audience’s</w:t>
      </w:r>
      <w:r>
        <w:rPr>
          <w:rFonts w:ascii="Times New Roman" w:hAnsi="Times New Roman"/>
        </w:rPr>
        <w:t xml:space="preserve"> process of judgment formation</w:t>
      </w:r>
      <w:r w:rsidR="008D7D1E">
        <w:rPr>
          <w:rFonts w:ascii="Times New Roman" w:hAnsi="Times New Roman"/>
        </w:rPr>
        <w:t xml:space="preserve"> </w:t>
      </w:r>
      <w:r w:rsidR="00F55A4A">
        <w:rPr>
          <w:rFonts w:ascii="Times New Roman" w:hAnsi="Times New Roman"/>
        </w:rPr>
        <w:t>and its engagement with magisterial power and toleration</w:t>
      </w:r>
      <w:r w:rsidR="00F4027C">
        <w:rPr>
          <w:rFonts w:ascii="Times New Roman" w:hAnsi="Times New Roman"/>
        </w:rPr>
        <w:t>.</w:t>
      </w:r>
      <w:r w:rsidR="0034515C">
        <w:rPr>
          <w:rFonts w:ascii="Times New Roman" w:hAnsi="Times New Roman"/>
        </w:rPr>
        <w:t xml:space="preserve"> </w:t>
      </w:r>
      <w:r w:rsidR="008D7D1E">
        <w:rPr>
          <w:rFonts w:ascii="Times New Roman" w:hAnsi="Times New Roman"/>
        </w:rPr>
        <w:t>To interrogate</w:t>
      </w:r>
      <w:r w:rsidR="00B5210B">
        <w:rPr>
          <w:rFonts w:ascii="Times New Roman" w:hAnsi="Times New Roman"/>
        </w:rPr>
        <w:t xml:space="preserve"> the tension between Lockean judgment and</w:t>
      </w:r>
      <w:r w:rsidR="008D7D1E">
        <w:rPr>
          <w:rFonts w:ascii="Times New Roman" w:hAnsi="Times New Roman"/>
        </w:rPr>
        <w:t xml:space="preserve"> magisterial power, </w:t>
      </w:r>
      <w:r w:rsidR="00CB2491">
        <w:rPr>
          <w:rFonts w:ascii="Times New Roman" w:hAnsi="Times New Roman"/>
        </w:rPr>
        <w:t>our challenge is</w:t>
      </w:r>
      <w:r w:rsidR="00A73334">
        <w:rPr>
          <w:rFonts w:ascii="Times New Roman" w:hAnsi="Times New Roman"/>
        </w:rPr>
        <w:t xml:space="preserve"> thus</w:t>
      </w:r>
      <w:r w:rsidR="008D7D1E">
        <w:rPr>
          <w:rFonts w:ascii="Times New Roman" w:hAnsi="Times New Roman"/>
        </w:rPr>
        <w:t xml:space="preserve"> to make sense of </w:t>
      </w:r>
      <w:r w:rsidR="00B5210B">
        <w:rPr>
          <w:rFonts w:ascii="Times New Roman" w:hAnsi="Times New Roman"/>
        </w:rPr>
        <w:t>this intervention.</w:t>
      </w:r>
    </w:p>
    <w:p w14:paraId="71CA57EF" w14:textId="3B089E4D" w:rsidR="00CB2491" w:rsidRDefault="00B7502A" w:rsidP="000A5B5C">
      <w:pPr>
        <w:pStyle w:val="NoSpacing"/>
        <w:spacing w:line="480" w:lineRule="auto"/>
        <w:ind w:firstLine="720"/>
        <w:rPr>
          <w:rFonts w:ascii="Times New Roman" w:hAnsi="Times New Roman"/>
        </w:rPr>
      </w:pPr>
      <w:r>
        <w:rPr>
          <w:rFonts w:ascii="Times New Roman" w:hAnsi="Times New Roman"/>
        </w:rPr>
        <w:t>One</w:t>
      </w:r>
      <w:r w:rsidR="0032101A">
        <w:rPr>
          <w:rFonts w:ascii="Times New Roman" w:hAnsi="Times New Roman"/>
        </w:rPr>
        <w:t xml:space="preserve"> </w:t>
      </w:r>
      <w:r w:rsidR="00F94DE0">
        <w:rPr>
          <w:rFonts w:ascii="Times New Roman" w:hAnsi="Times New Roman"/>
        </w:rPr>
        <w:t>major</w:t>
      </w:r>
      <w:r>
        <w:rPr>
          <w:rFonts w:ascii="Times New Roman" w:hAnsi="Times New Roman"/>
        </w:rPr>
        <w:t xml:space="preserve"> </w:t>
      </w:r>
      <w:r w:rsidR="00CB2491">
        <w:rPr>
          <w:rFonts w:ascii="Times New Roman" w:hAnsi="Times New Roman"/>
        </w:rPr>
        <w:t>approach</w:t>
      </w:r>
      <w:r>
        <w:rPr>
          <w:rFonts w:ascii="Times New Roman" w:hAnsi="Times New Roman"/>
        </w:rPr>
        <w:t xml:space="preserve"> to this </w:t>
      </w:r>
      <w:r w:rsidR="00B5210B">
        <w:rPr>
          <w:rFonts w:ascii="Times New Roman" w:hAnsi="Times New Roman"/>
        </w:rPr>
        <w:t xml:space="preserve">challenge </w:t>
      </w:r>
      <w:r w:rsidR="00CB2491">
        <w:rPr>
          <w:rFonts w:ascii="Times New Roman" w:hAnsi="Times New Roman"/>
        </w:rPr>
        <w:t xml:space="preserve">is most identifiable with </w:t>
      </w:r>
      <w:r w:rsidR="00A73334">
        <w:rPr>
          <w:rFonts w:ascii="Times New Roman" w:hAnsi="Times New Roman"/>
        </w:rPr>
        <w:t>the</w:t>
      </w:r>
      <w:r w:rsidR="00CB2491">
        <w:rPr>
          <w:rFonts w:ascii="Times New Roman" w:hAnsi="Times New Roman"/>
        </w:rPr>
        <w:t xml:space="preserve"> Cambridge School’s reading of Loc</w:t>
      </w:r>
      <w:r w:rsidR="00A73334">
        <w:rPr>
          <w:rFonts w:ascii="Times New Roman" w:hAnsi="Times New Roman"/>
        </w:rPr>
        <w:t>k</w:t>
      </w:r>
      <w:r w:rsidR="00143AB1">
        <w:rPr>
          <w:rFonts w:ascii="Times New Roman" w:hAnsi="Times New Roman"/>
        </w:rPr>
        <w:t xml:space="preserve">e’s defense of toleration as a speech-act </w:t>
      </w:r>
      <w:r w:rsidR="00A73334">
        <w:rPr>
          <w:rFonts w:ascii="Times New Roman" w:hAnsi="Times New Roman"/>
        </w:rPr>
        <w:t xml:space="preserve">directed at certain audiences </w:t>
      </w:r>
      <w:r w:rsidR="00A07C6E">
        <w:rPr>
          <w:rFonts w:ascii="Times New Roman" w:hAnsi="Times New Roman"/>
        </w:rPr>
        <w:t>with</w:t>
      </w:r>
      <w:r w:rsidR="00A73334">
        <w:rPr>
          <w:rFonts w:ascii="Times New Roman" w:hAnsi="Times New Roman"/>
        </w:rPr>
        <w:t>in</w:t>
      </w:r>
      <w:r w:rsidR="00CB2491">
        <w:rPr>
          <w:rFonts w:ascii="Times New Roman" w:hAnsi="Times New Roman"/>
        </w:rPr>
        <w:t xml:space="preserve"> his political and intellectual context.  </w:t>
      </w:r>
      <w:r w:rsidR="0032101A">
        <w:rPr>
          <w:rFonts w:ascii="Times New Roman" w:hAnsi="Times New Roman"/>
        </w:rPr>
        <w:t>Here, f</w:t>
      </w:r>
      <w:r w:rsidR="00CB2491">
        <w:rPr>
          <w:rFonts w:ascii="Times New Roman" w:hAnsi="Times New Roman"/>
        </w:rPr>
        <w:t xml:space="preserve">or instance, Mark Goldie has shown the extent to which the implications of Locke’s arguments targeted his contemporary Anglican establishment and its “aggressive advancement of its temporal power” at times </w:t>
      </w:r>
      <w:r w:rsidR="00CB2491">
        <w:rPr>
          <w:rFonts w:ascii="Times New Roman" w:hAnsi="Times New Roman"/>
          <w:i/>
        </w:rPr>
        <w:t xml:space="preserve">in opposition </w:t>
      </w:r>
      <w:r w:rsidR="00CB2491">
        <w:rPr>
          <w:rFonts w:ascii="Times New Roman" w:hAnsi="Times New Roman"/>
        </w:rPr>
        <w:t>to more tolerationist policies pursued by</w:t>
      </w:r>
      <w:r w:rsidR="007326E9">
        <w:rPr>
          <w:rFonts w:ascii="Times New Roman" w:hAnsi="Times New Roman"/>
        </w:rPr>
        <w:t xml:space="preserve"> “the magistrate”</w:t>
      </w:r>
      <w:r w:rsidR="00CB2491">
        <w:rPr>
          <w:rFonts w:ascii="Times New Roman" w:hAnsi="Times New Roman"/>
        </w:rPr>
        <w:t xml:space="preserve"> King Charles.</w:t>
      </w:r>
      <w:r w:rsidR="00CB2491">
        <w:rPr>
          <w:rStyle w:val="FootnoteReference"/>
        </w:rPr>
        <w:footnoteReference w:id="36"/>
      </w:r>
      <w:r w:rsidR="00CB2491">
        <w:rPr>
          <w:rFonts w:ascii="Times New Roman" w:hAnsi="Times New Roman"/>
        </w:rPr>
        <w:t xml:space="preserve">  As a result</w:t>
      </w:r>
      <w:r w:rsidR="000A5B5C">
        <w:rPr>
          <w:rFonts w:ascii="Times New Roman" w:hAnsi="Times New Roman"/>
        </w:rPr>
        <w:t>, insofar as we consider that</w:t>
      </w:r>
      <w:r w:rsidR="00CB2491">
        <w:rPr>
          <w:rFonts w:ascii="Times New Roman" w:hAnsi="Times New Roman"/>
        </w:rPr>
        <w:t xml:space="preserve"> </w:t>
      </w:r>
      <w:r w:rsidR="000A5B5C">
        <w:rPr>
          <w:rFonts w:ascii="Times New Roman" w:hAnsi="Times New Roman"/>
        </w:rPr>
        <w:t xml:space="preserve">the </w:t>
      </w:r>
      <w:r w:rsidR="00CB2491">
        <w:rPr>
          <w:rFonts w:ascii="Times New Roman" w:hAnsi="Times New Roman"/>
        </w:rPr>
        <w:t xml:space="preserve">above refutations </w:t>
      </w:r>
      <w:r w:rsidR="000A5B5C">
        <w:rPr>
          <w:rFonts w:ascii="Times New Roman" w:hAnsi="Times New Roman"/>
        </w:rPr>
        <w:t>challenge</w:t>
      </w:r>
      <w:r w:rsidR="007326E9">
        <w:rPr>
          <w:rFonts w:ascii="Times New Roman" w:hAnsi="Times New Roman"/>
        </w:rPr>
        <w:t xml:space="preserve"> both</w:t>
      </w:r>
      <w:r w:rsidR="00CB2491">
        <w:rPr>
          <w:rFonts w:ascii="Times New Roman" w:hAnsi="Times New Roman"/>
        </w:rPr>
        <w:t xml:space="preserve"> the rationality </w:t>
      </w:r>
      <w:r w:rsidR="0033205F">
        <w:rPr>
          <w:rFonts w:ascii="Times New Roman" w:hAnsi="Times New Roman"/>
        </w:rPr>
        <w:t>behind</w:t>
      </w:r>
      <w:r w:rsidR="00CB2491">
        <w:rPr>
          <w:rFonts w:ascii="Times New Roman" w:hAnsi="Times New Roman"/>
        </w:rPr>
        <w:t xml:space="preserve"> a magistrate’s potential justifications for </w:t>
      </w:r>
      <w:r w:rsidR="00143AB1">
        <w:rPr>
          <w:rFonts w:ascii="Times New Roman" w:hAnsi="Times New Roman"/>
        </w:rPr>
        <w:t>toleration</w:t>
      </w:r>
      <w:r w:rsidR="00CB2491">
        <w:rPr>
          <w:rFonts w:ascii="Times New Roman" w:hAnsi="Times New Roman"/>
        </w:rPr>
        <w:t xml:space="preserve"> </w:t>
      </w:r>
      <w:r w:rsidR="0032101A">
        <w:rPr>
          <w:rFonts w:ascii="Times New Roman" w:hAnsi="Times New Roman"/>
        </w:rPr>
        <w:t xml:space="preserve">and </w:t>
      </w:r>
      <w:r w:rsidR="00CB2491">
        <w:rPr>
          <w:rFonts w:ascii="Times New Roman" w:hAnsi="Times New Roman"/>
        </w:rPr>
        <w:t xml:space="preserve">the discourse that renders belief private and thus subjective </w:t>
      </w:r>
      <w:r w:rsidR="000A5B5C">
        <w:rPr>
          <w:rFonts w:ascii="Times New Roman" w:hAnsi="Times New Roman"/>
        </w:rPr>
        <w:t>in contrast to</w:t>
      </w:r>
      <w:r w:rsidR="00A73334">
        <w:rPr>
          <w:rFonts w:ascii="Times New Roman" w:hAnsi="Times New Roman"/>
        </w:rPr>
        <w:t xml:space="preserve"> an ostensibly objective</w:t>
      </w:r>
      <w:r w:rsidR="0032101A">
        <w:rPr>
          <w:rFonts w:ascii="Times New Roman" w:hAnsi="Times New Roman"/>
        </w:rPr>
        <w:t xml:space="preserve"> state apparatus</w:t>
      </w:r>
      <w:r w:rsidR="00CB2491">
        <w:rPr>
          <w:rFonts w:ascii="Times New Roman" w:hAnsi="Times New Roman"/>
        </w:rPr>
        <w:t xml:space="preserve">, it is important to </w:t>
      </w:r>
      <w:r w:rsidR="000A5B5C">
        <w:rPr>
          <w:rFonts w:ascii="Times New Roman" w:hAnsi="Times New Roman"/>
        </w:rPr>
        <w:t>keep in mind</w:t>
      </w:r>
      <w:r w:rsidR="00CB2491">
        <w:rPr>
          <w:rFonts w:ascii="Times New Roman" w:hAnsi="Times New Roman"/>
        </w:rPr>
        <w:t xml:space="preserve"> Goldie’s suggestion that Locke’s targets cannot be identified</w:t>
      </w:r>
      <w:r w:rsidR="0032101A">
        <w:rPr>
          <w:rFonts w:ascii="Times New Roman" w:hAnsi="Times New Roman"/>
        </w:rPr>
        <w:t xml:space="preserve"> as</w:t>
      </w:r>
      <w:r w:rsidR="00CB2491">
        <w:rPr>
          <w:rFonts w:ascii="Times New Roman" w:hAnsi="Times New Roman"/>
        </w:rPr>
        <w:t xml:space="preserve"> straightforwardly with the locus of state power as </w:t>
      </w:r>
      <w:r w:rsidR="000A5B5C">
        <w:rPr>
          <w:rFonts w:ascii="Times New Roman" w:hAnsi="Times New Roman"/>
        </w:rPr>
        <w:t>we might presume.</w:t>
      </w:r>
      <w:r w:rsidR="00CB2491">
        <w:rPr>
          <w:rFonts w:ascii="Times New Roman" w:hAnsi="Times New Roman"/>
        </w:rPr>
        <w:t xml:space="preserve"> </w:t>
      </w:r>
      <w:r w:rsidR="000A5B5C">
        <w:rPr>
          <w:rFonts w:ascii="Times New Roman" w:hAnsi="Times New Roman"/>
        </w:rPr>
        <w:t xml:space="preserve"> B</w:t>
      </w:r>
      <w:r w:rsidR="00CB2491">
        <w:rPr>
          <w:rFonts w:ascii="Times New Roman" w:hAnsi="Times New Roman"/>
        </w:rPr>
        <w:t>oth Anglicans and Dissenters</w:t>
      </w:r>
      <w:r w:rsidR="000A5B5C">
        <w:rPr>
          <w:rFonts w:ascii="Times New Roman" w:hAnsi="Times New Roman"/>
        </w:rPr>
        <w:t>—groups whose inward persuasions produce certain outward manifestations upon which Locke comments—</w:t>
      </w:r>
      <w:r w:rsidR="00CB2491">
        <w:rPr>
          <w:rFonts w:ascii="Times New Roman" w:hAnsi="Times New Roman"/>
        </w:rPr>
        <w:t>are immediate audiences of the text in ways an abstractly theorized magistrate</w:t>
      </w:r>
      <w:r w:rsidR="000A5B5C">
        <w:rPr>
          <w:rFonts w:ascii="Times New Roman" w:hAnsi="Times New Roman"/>
        </w:rPr>
        <w:t xml:space="preserve"> is not.</w:t>
      </w:r>
    </w:p>
    <w:p w14:paraId="6D03C7EB" w14:textId="2066121E" w:rsidR="009F6EE8" w:rsidRDefault="00CB2491" w:rsidP="000A5B5C">
      <w:pPr>
        <w:pStyle w:val="NoSpacing"/>
        <w:spacing w:line="480" w:lineRule="auto"/>
        <w:ind w:firstLine="720"/>
        <w:rPr>
          <w:rFonts w:ascii="Times New Roman" w:hAnsi="Times New Roman"/>
        </w:rPr>
      </w:pPr>
      <w:r>
        <w:rPr>
          <w:rFonts w:ascii="Times New Roman" w:hAnsi="Times New Roman"/>
        </w:rPr>
        <w:t>However, this question of audience is significant</w:t>
      </w:r>
      <w:r w:rsidR="00A73334">
        <w:rPr>
          <w:rFonts w:ascii="Times New Roman" w:hAnsi="Times New Roman"/>
        </w:rPr>
        <w:t xml:space="preserve"> </w:t>
      </w:r>
      <w:r w:rsidR="00A07C6E">
        <w:rPr>
          <w:rFonts w:ascii="Times New Roman" w:hAnsi="Times New Roman"/>
        </w:rPr>
        <w:t xml:space="preserve">in a </w:t>
      </w:r>
      <w:r w:rsidR="00D742C8">
        <w:rPr>
          <w:rFonts w:ascii="Times New Roman" w:hAnsi="Times New Roman"/>
        </w:rPr>
        <w:t>more foundational</w:t>
      </w:r>
      <w:r w:rsidR="00A07C6E">
        <w:rPr>
          <w:rFonts w:ascii="Times New Roman" w:hAnsi="Times New Roman"/>
        </w:rPr>
        <w:t xml:space="preserve"> way</w:t>
      </w:r>
      <w:r>
        <w:rPr>
          <w:rFonts w:ascii="Times New Roman" w:hAnsi="Times New Roman"/>
        </w:rPr>
        <w:t xml:space="preserve"> when we consider it</w:t>
      </w:r>
      <w:r w:rsidR="00A07C6E">
        <w:rPr>
          <w:rFonts w:ascii="Times New Roman" w:hAnsi="Times New Roman"/>
        </w:rPr>
        <w:t xml:space="preserve"> specifically</w:t>
      </w:r>
      <w:r>
        <w:rPr>
          <w:rFonts w:ascii="Times New Roman" w:hAnsi="Times New Roman"/>
        </w:rPr>
        <w:t xml:space="preserve"> in the context of Locke’s conception of</w:t>
      </w:r>
      <w:r w:rsidR="008D657B">
        <w:rPr>
          <w:rFonts w:ascii="Times New Roman" w:hAnsi="Times New Roman"/>
        </w:rPr>
        <w:t xml:space="preserve"> </w:t>
      </w:r>
      <w:r w:rsidR="00BD02DD">
        <w:rPr>
          <w:rFonts w:ascii="Times New Roman" w:hAnsi="Times New Roman"/>
        </w:rPr>
        <w:t xml:space="preserve">judgment. </w:t>
      </w:r>
      <w:r>
        <w:rPr>
          <w:rFonts w:ascii="Times New Roman" w:hAnsi="Times New Roman"/>
        </w:rPr>
        <w:t xml:space="preserve">Goldie’s account of Locke’s intervention into </w:t>
      </w:r>
      <w:r w:rsidR="00CA1763">
        <w:rPr>
          <w:rFonts w:ascii="Times New Roman" w:hAnsi="Times New Roman"/>
        </w:rPr>
        <w:t>the seventeenth century English</w:t>
      </w:r>
      <w:r>
        <w:rPr>
          <w:rFonts w:ascii="Times New Roman" w:hAnsi="Times New Roman"/>
        </w:rPr>
        <w:t xml:space="preserve"> religious debate is </w:t>
      </w:r>
      <w:r w:rsidR="0092442D">
        <w:rPr>
          <w:rFonts w:ascii="Times New Roman" w:hAnsi="Times New Roman"/>
        </w:rPr>
        <w:t>certainly</w:t>
      </w:r>
      <w:r>
        <w:rPr>
          <w:rFonts w:ascii="Times New Roman" w:hAnsi="Times New Roman"/>
        </w:rPr>
        <w:t xml:space="preserve"> invaluable for making sense o</w:t>
      </w:r>
      <w:r w:rsidR="00ED4ED7">
        <w:rPr>
          <w:rFonts w:ascii="Times New Roman" w:hAnsi="Times New Roman"/>
        </w:rPr>
        <w:t xml:space="preserve">f the motivation behind </w:t>
      </w:r>
      <w:r>
        <w:rPr>
          <w:rFonts w:ascii="Times New Roman" w:hAnsi="Times New Roman"/>
        </w:rPr>
        <w:t xml:space="preserve">his </w:t>
      </w:r>
      <w:r w:rsidR="0034515C">
        <w:rPr>
          <w:rFonts w:ascii="Times New Roman" w:hAnsi="Times New Roman"/>
        </w:rPr>
        <w:t>theorizations</w:t>
      </w:r>
      <w:r w:rsidR="00ED4ED7">
        <w:rPr>
          <w:rFonts w:ascii="Times New Roman" w:hAnsi="Times New Roman"/>
        </w:rPr>
        <w:t xml:space="preserve"> of the subjects and objects of toleration</w:t>
      </w:r>
      <w:r w:rsidR="0092442D">
        <w:rPr>
          <w:rFonts w:ascii="Times New Roman" w:hAnsi="Times New Roman"/>
        </w:rPr>
        <w:t>.  However,</w:t>
      </w:r>
      <w:r w:rsidR="0034515C">
        <w:rPr>
          <w:rFonts w:ascii="Times New Roman" w:hAnsi="Times New Roman"/>
        </w:rPr>
        <w:t xml:space="preserve"> this approach</w:t>
      </w:r>
      <w:r w:rsidR="008D657B">
        <w:rPr>
          <w:rFonts w:ascii="Times New Roman" w:hAnsi="Times New Roman"/>
        </w:rPr>
        <w:t xml:space="preserve"> </w:t>
      </w:r>
      <w:r w:rsidR="00D268C9">
        <w:rPr>
          <w:rFonts w:ascii="Times New Roman" w:hAnsi="Times New Roman"/>
        </w:rPr>
        <w:t>still</w:t>
      </w:r>
      <w:r w:rsidR="008D657B">
        <w:rPr>
          <w:rFonts w:ascii="Times New Roman" w:hAnsi="Times New Roman"/>
        </w:rPr>
        <w:t xml:space="preserve"> locates </w:t>
      </w:r>
      <w:r w:rsidR="0032101A">
        <w:rPr>
          <w:rFonts w:ascii="Times New Roman" w:hAnsi="Times New Roman"/>
        </w:rPr>
        <w:t>them</w:t>
      </w:r>
      <w:r w:rsidR="008D657B">
        <w:rPr>
          <w:rFonts w:ascii="Times New Roman" w:hAnsi="Times New Roman"/>
        </w:rPr>
        <w:t xml:space="preserve"> in ways that do not</w:t>
      </w:r>
      <w:r w:rsidR="000A5B5C">
        <w:rPr>
          <w:rFonts w:ascii="Times New Roman" w:hAnsi="Times New Roman"/>
        </w:rPr>
        <w:t xml:space="preserve"> seek to</w:t>
      </w:r>
      <w:r w:rsidR="008D657B">
        <w:rPr>
          <w:rFonts w:ascii="Times New Roman" w:hAnsi="Times New Roman"/>
        </w:rPr>
        <w:t xml:space="preserve"> interrogate Locke’s engagement with </w:t>
      </w:r>
      <w:r w:rsidR="008D657B" w:rsidRPr="000A5B5C">
        <w:rPr>
          <w:rFonts w:ascii="Times New Roman" w:hAnsi="Times New Roman"/>
          <w:i/>
        </w:rPr>
        <w:t>how</w:t>
      </w:r>
      <w:r w:rsidR="008D657B">
        <w:rPr>
          <w:rFonts w:ascii="Times New Roman" w:hAnsi="Times New Roman"/>
        </w:rPr>
        <w:t xml:space="preserve"> those </w:t>
      </w:r>
      <w:r w:rsidR="0032101A">
        <w:rPr>
          <w:rFonts w:ascii="Times New Roman" w:hAnsi="Times New Roman"/>
        </w:rPr>
        <w:t xml:space="preserve">subjects and objects appear within the process of judgment formation given </w:t>
      </w:r>
      <w:r w:rsidR="00D631AB">
        <w:rPr>
          <w:rFonts w:ascii="Times New Roman" w:hAnsi="Times New Roman"/>
        </w:rPr>
        <w:t>his</w:t>
      </w:r>
      <w:r w:rsidR="0032101A">
        <w:rPr>
          <w:rFonts w:ascii="Times New Roman" w:hAnsi="Times New Roman"/>
        </w:rPr>
        <w:t xml:space="preserve"> conception of the interplays of wit and judgment</w:t>
      </w:r>
      <w:r>
        <w:rPr>
          <w:rFonts w:ascii="Times New Roman" w:hAnsi="Times New Roman"/>
        </w:rPr>
        <w:t xml:space="preserve">. </w:t>
      </w:r>
      <w:r w:rsidR="0032101A">
        <w:rPr>
          <w:rFonts w:ascii="Times New Roman" w:hAnsi="Times New Roman"/>
        </w:rPr>
        <w:t>Put differently</w:t>
      </w:r>
      <w:r w:rsidR="00ED4ED7">
        <w:rPr>
          <w:rFonts w:ascii="Times New Roman" w:hAnsi="Times New Roman"/>
        </w:rPr>
        <w:t xml:space="preserve">, Locke’s </w:t>
      </w:r>
      <w:r w:rsidR="00CA1763">
        <w:rPr>
          <w:rFonts w:ascii="Times New Roman" w:hAnsi="Times New Roman"/>
        </w:rPr>
        <w:t>investigation into the faculty of</w:t>
      </w:r>
      <w:r>
        <w:rPr>
          <w:rFonts w:ascii="Times New Roman" w:hAnsi="Times New Roman"/>
        </w:rPr>
        <w:t xml:space="preserve"> judgment should direct our attention </w:t>
      </w:r>
      <w:r>
        <w:rPr>
          <w:rFonts w:ascii="Times New Roman" w:hAnsi="Times New Roman"/>
        </w:rPr>
        <w:lastRenderedPageBreak/>
        <w:t>not only to</w:t>
      </w:r>
      <w:r w:rsidR="00A07C6E">
        <w:rPr>
          <w:rFonts w:ascii="Times New Roman" w:hAnsi="Times New Roman"/>
        </w:rPr>
        <w:t xml:space="preserve"> his targets and</w:t>
      </w:r>
      <w:r>
        <w:rPr>
          <w:rFonts w:ascii="Times New Roman" w:hAnsi="Times New Roman"/>
        </w:rPr>
        <w:t xml:space="preserve"> the content of his arguments</w:t>
      </w:r>
      <w:r w:rsidR="00A07C6E">
        <w:rPr>
          <w:rFonts w:ascii="Times New Roman" w:hAnsi="Times New Roman"/>
        </w:rPr>
        <w:t xml:space="preserve"> given </w:t>
      </w:r>
      <w:r w:rsidR="007326E9">
        <w:rPr>
          <w:rFonts w:ascii="Times New Roman" w:hAnsi="Times New Roman"/>
        </w:rPr>
        <w:t>its intellectual context</w:t>
      </w:r>
      <w:r w:rsidR="00A07C6E">
        <w:rPr>
          <w:rFonts w:ascii="Times New Roman" w:hAnsi="Times New Roman"/>
        </w:rPr>
        <w:t>,</w:t>
      </w:r>
      <w:r w:rsidR="007326E9">
        <w:rPr>
          <w:rFonts w:ascii="Times New Roman" w:hAnsi="Times New Roman"/>
        </w:rPr>
        <w:t xml:space="preserve"> but furthermore to the </w:t>
      </w:r>
      <w:r w:rsidR="007326E9">
        <w:rPr>
          <w:rFonts w:ascii="Times New Roman" w:hAnsi="Times New Roman"/>
          <w:i/>
        </w:rPr>
        <w:t>Letter</w:t>
      </w:r>
      <w:r w:rsidR="007326E9">
        <w:rPr>
          <w:rFonts w:ascii="Times New Roman" w:hAnsi="Times New Roman"/>
        </w:rPr>
        <w:t>’s intervention</w:t>
      </w:r>
      <w:r>
        <w:rPr>
          <w:rFonts w:ascii="Times New Roman" w:hAnsi="Times New Roman"/>
        </w:rPr>
        <w:t xml:space="preserve"> into </w:t>
      </w:r>
      <w:r w:rsidR="00CA1763">
        <w:rPr>
          <w:rFonts w:ascii="Times New Roman" w:hAnsi="Times New Roman"/>
        </w:rPr>
        <w:t>particular contexts that involve the practice of judgment</w:t>
      </w:r>
      <w:r w:rsidR="0024601F">
        <w:rPr>
          <w:rFonts w:ascii="Times New Roman" w:hAnsi="Times New Roman"/>
        </w:rPr>
        <w:t xml:space="preserve">. </w:t>
      </w:r>
      <w:r w:rsidR="000A5B5C">
        <w:rPr>
          <w:rFonts w:ascii="Times New Roman" w:hAnsi="Times New Roman"/>
        </w:rPr>
        <w:t>As such,</w:t>
      </w:r>
      <w:r w:rsidR="00ED4ED7">
        <w:rPr>
          <w:rFonts w:ascii="Times New Roman" w:hAnsi="Times New Roman"/>
        </w:rPr>
        <w:t xml:space="preserve"> our examination of Locke’s political and intellectual context should </w:t>
      </w:r>
      <w:r w:rsidR="000A5B5C">
        <w:rPr>
          <w:rFonts w:ascii="Times New Roman" w:hAnsi="Times New Roman"/>
        </w:rPr>
        <w:t>raise</w:t>
      </w:r>
      <w:r w:rsidR="00ED4ED7">
        <w:rPr>
          <w:rFonts w:ascii="Times New Roman" w:hAnsi="Times New Roman"/>
        </w:rPr>
        <w:t xml:space="preserve"> question</w:t>
      </w:r>
      <w:r w:rsidR="000A5B5C">
        <w:rPr>
          <w:rFonts w:ascii="Times New Roman" w:hAnsi="Times New Roman"/>
        </w:rPr>
        <w:t>s concerning</w:t>
      </w:r>
      <w:r w:rsidR="00ED4ED7">
        <w:rPr>
          <w:rFonts w:ascii="Times New Roman" w:hAnsi="Times New Roman"/>
        </w:rPr>
        <w:t xml:space="preserve"> not only </w:t>
      </w:r>
      <w:r w:rsidR="00ED4ED7">
        <w:rPr>
          <w:rFonts w:ascii="Times New Roman" w:hAnsi="Times New Roman"/>
          <w:i/>
        </w:rPr>
        <w:t xml:space="preserve">who </w:t>
      </w:r>
      <w:r w:rsidR="00ED4ED7">
        <w:rPr>
          <w:rFonts w:ascii="Times New Roman" w:hAnsi="Times New Roman"/>
        </w:rPr>
        <w:t xml:space="preserve">Locke’s audience may have been but furthermore </w:t>
      </w:r>
      <w:r w:rsidR="00ED4ED7">
        <w:rPr>
          <w:rFonts w:ascii="Times New Roman" w:hAnsi="Times New Roman"/>
          <w:i/>
        </w:rPr>
        <w:t>how</w:t>
      </w:r>
      <w:r w:rsidR="00ED4ED7">
        <w:rPr>
          <w:rFonts w:ascii="Times New Roman" w:hAnsi="Times New Roman"/>
        </w:rPr>
        <w:t xml:space="preserve"> </w:t>
      </w:r>
      <w:r w:rsidR="009F6EE8">
        <w:rPr>
          <w:rFonts w:ascii="Times New Roman" w:hAnsi="Times New Roman"/>
        </w:rPr>
        <w:t>such audiences were to orient themselves toward the conceptual categories</w:t>
      </w:r>
      <w:r w:rsidR="000A5B5C">
        <w:rPr>
          <w:rFonts w:ascii="Times New Roman" w:hAnsi="Times New Roman"/>
        </w:rPr>
        <w:t xml:space="preserve"> in question—</w:t>
      </w:r>
      <w:r w:rsidR="009F6EE8">
        <w:rPr>
          <w:rFonts w:ascii="Times New Roman" w:hAnsi="Times New Roman"/>
        </w:rPr>
        <w:t xml:space="preserve">such as “inward,” “outward,” “magistrate,” and “church,” among others.  If the </w:t>
      </w:r>
      <w:r w:rsidR="009F6EE8">
        <w:rPr>
          <w:rFonts w:ascii="Times New Roman" w:hAnsi="Times New Roman"/>
          <w:i/>
        </w:rPr>
        <w:t>Letter</w:t>
      </w:r>
      <w:r w:rsidR="009F6EE8">
        <w:rPr>
          <w:rFonts w:ascii="Times New Roman" w:hAnsi="Times New Roman"/>
        </w:rPr>
        <w:t xml:space="preserve"> is not simply a</w:t>
      </w:r>
      <w:r w:rsidR="0032101A">
        <w:rPr>
          <w:rFonts w:ascii="Times New Roman" w:hAnsi="Times New Roman"/>
        </w:rPr>
        <w:t xml:space="preserve"> magistrate’s</w:t>
      </w:r>
      <w:r w:rsidR="009F6EE8">
        <w:rPr>
          <w:rFonts w:ascii="Times New Roman" w:hAnsi="Times New Roman"/>
        </w:rPr>
        <w:t xml:space="preserve"> blueprint, then its enactment of these categories may offer alternatives to the presumption of a discrete, individuated, and static mode of judgment</w:t>
      </w:r>
      <w:r w:rsidR="0032101A">
        <w:rPr>
          <w:rFonts w:ascii="Times New Roman" w:hAnsi="Times New Roman"/>
        </w:rPr>
        <w:t xml:space="preserve"> undergirding justifications for toleration and</w:t>
      </w:r>
      <w:r w:rsidR="009F6EE8">
        <w:rPr>
          <w:rFonts w:ascii="Times New Roman" w:hAnsi="Times New Roman"/>
        </w:rPr>
        <w:t xml:space="preserve"> </w:t>
      </w:r>
      <w:r w:rsidR="0032101A">
        <w:rPr>
          <w:rFonts w:ascii="Times New Roman" w:hAnsi="Times New Roman"/>
        </w:rPr>
        <w:t>given to</w:t>
      </w:r>
      <w:r w:rsidR="009F6EE8">
        <w:rPr>
          <w:rFonts w:ascii="Times New Roman" w:hAnsi="Times New Roman"/>
        </w:rPr>
        <w:t xml:space="preserve"> the epistemologically isolated, state-centric</w:t>
      </w:r>
      <w:r w:rsidR="0032101A">
        <w:rPr>
          <w:rFonts w:ascii="Times New Roman" w:hAnsi="Times New Roman"/>
        </w:rPr>
        <w:t xml:space="preserve"> </w:t>
      </w:r>
      <w:r w:rsidR="00A73334">
        <w:rPr>
          <w:rFonts w:ascii="Times New Roman" w:hAnsi="Times New Roman"/>
        </w:rPr>
        <w:t>magisterial figure</w:t>
      </w:r>
      <w:r w:rsidR="0032101A">
        <w:rPr>
          <w:rFonts w:ascii="Times New Roman" w:hAnsi="Times New Roman"/>
        </w:rPr>
        <w:t>.</w:t>
      </w:r>
    </w:p>
    <w:p w14:paraId="2B883A4F" w14:textId="77777777" w:rsidR="00A35124" w:rsidRDefault="009F6EE8" w:rsidP="00D742C8">
      <w:pPr>
        <w:pStyle w:val="NoSpacing"/>
        <w:spacing w:line="480" w:lineRule="auto"/>
        <w:ind w:firstLine="720"/>
        <w:rPr>
          <w:rFonts w:ascii="Times New Roman" w:hAnsi="Times New Roman"/>
        </w:rPr>
      </w:pPr>
      <w:r>
        <w:rPr>
          <w:rFonts w:ascii="Times New Roman" w:hAnsi="Times New Roman"/>
        </w:rPr>
        <w:t xml:space="preserve">Consider, </w:t>
      </w:r>
      <w:r w:rsidR="00501AC6">
        <w:rPr>
          <w:rFonts w:ascii="Times New Roman" w:hAnsi="Times New Roman"/>
        </w:rPr>
        <w:t>for instance</w:t>
      </w:r>
      <w:r>
        <w:rPr>
          <w:rFonts w:ascii="Times New Roman" w:hAnsi="Times New Roman"/>
        </w:rPr>
        <w:t xml:space="preserve">, </w:t>
      </w:r>
      <w:r w:rsidR="00B25ACC">
        <w:rPr>
          <w:rFonts w:ascii="Times New Roman" w:hAnsi="Times New Roman"/>
        </w:rPr>
        <w:t>that above we took Locke’s definition of a church as “</w:t>
      </w:r>
      <w:r w:rsidR="00B25ACC" w:rsidRPr="00F04F43">
        <w:rPr>
          <w:rFonts w:ascii="Times New Roman" w:hAnsi="Times New Roman"/>
        </w:rPr>
        <w:t>a voluntary</w:t>
      </w:r>
      <w:r w:rsidR="00B25ACC">
        <w:rPr>
          <w:rFonts w:ascii="Times New Roman" w:hAnsi="Times New Roman"/>
        </w:rPr>
        <w:t xml:space="preserve"> </w:t>
      </w:r>
      <w:r w:rsidR="00B25ACC" w:rsidRPr="00F04F43">
        <w:rPr>
          <w:rFonts w:ascii="Times New Roman" w:hAnsi="Times New Roman"/>
        </w:rPr>
        <w:t>Society of Men, joining themselves together of their own accord, in order to the</w:t>
      </w:r>
      <w:r w:rsidR="00B25ACC">
        <w:rPr>
          <w:rFonts w:ascii="Times New Roman" w:hAnsi="Times New Roman"/>
        </w:rPr>
        <w:t xml:space="preserve"> </w:t>
      </w:r>
      <w:r w:rsidR="00B25ACC" w:rsidRPr="00F04F43">
        <w:rPr>
          <w:rFonts w:ascii="Times New Roman" w:hAnsi="Times New Roman"/>
        </w:rPr>
        <w:t>publick worshipping of God</w:t>
      </w:r>
      <w:r w:rsidR="00B25ACC">
        <w:rPr>
          <w:rFonts w:ascii="Times New Roman" w:hAnsi="Times New Roman"/>
        </w:rPr>
        <w:t xml:space="preserve"> </w:t>
      </w:r>
      <w:r w:rsidR="00B25ACC">
        <w:rPr>
          <w:rFonts w:ascii="Nimbus Sans L" w:hAnsi="Nimbus Sans L"/>
          <w:color w:val="000000"/>
          <w:shd w:val="clear" w:color="auto" w:fill="FFFFFF"/>
        </w:rPr>
        <w:t>in such manner as they judge acceptable to Him</w:t>
      </w:r>
      <w:r w:rsidR="00B25ACC">
        <w:rPr>
          <w:rFonts w:ascii="Times New Roman" w:hAnsi="Times New Roman"/>
        </w:rPr>
        <w:t>”</w:t>
      </w:r>
      <w:r w:rsidR="00B25ACC">
        <w:rPr>
          <w:rStyle w:val="FootnoteReference"/>
        </w:rPr>
        <w:footnoteReference w:id="37"/>
      </w:r>
      <w:r w:rsidR="00B25ACC">
        <w:rPr>
          <w:rFonts w:ascii="Times New Roman" w:hAnsi="Times New Roman"/>
        </w:rPr>
        <w:t xml:space="preserve"> to map straightforwardly onto the inward/outward </w:t>
      </w:r>
      <w:r w:rsidR="00AA1BF8">
        <w:rPr>
          <w:rFonts w:ascii="Times New Roman" w:hAnsi="Times New Roman"/>
        </w:rPr>
        <w:t>division</w:t>
      </w:r>
      <w:r w:rsidR="00B25ACC">
        <w:rPr>
          <w:rFonts w:ascii="Times New Roman" w:hAnsi="Times New Roman"/>
        </w:rPr>
        <w:t xml:space="preserve"> even as it overlapped on</w:t>
      </w:r>
      <w:r w:rsidR="00D90F19">
        <w:rPr>
          <w:rFonts w:ascii="Times New Roman" w:hAnsi="Times New Roman"/>
        </w:rPr>
        <w:t xml:space="preserve"> the dimension of “moral action.”  Yet with a new focus on the </w:t>
      </w:r>
      <w:r w:rsidR="00D268C9">
        <w:rPr>
          <w:rFonts w:ascii="Times New Roman" w:hAnsi="Times New Roman"/>
        </w:rPr>
        <w:t>interplays</w:t>
      </w:r>
      <w:r w:rsidR="00D90F19">
        <w:rPr>
          <w:rFonts w:ascii="Times New Roman" w:hAnsi="Times New Roman"/>
        </w:rPr>
        <w:t xml:space="preserve"> of wit and judgment, now</w:t>
      </w:r>
      <w:r w:rsidR="00B25ACC">
        <w:rPr>
          <w:rFonts w:ascii="Times New Roman" w:hAnsi="Times New Roman"/>
        </w:rPr>
        <w:t xml:space="preserve"> th</w:t>
      </w:r>
      <w:r w:rsidR="00143AB1">
        <w:rPr>
          <w:rFonts w:ascii="Times New Roman" w:hAnsi="Times New Roman"/>
        </w:rPr>
        <w:t>e determinations of what appear</w:t>
      </w:r>
      <w:r w:rsidR="00B25ACC">
        <w:rPr>
          <w:rFonts w:ascii="Times New Roman" w:hAnsi="Times New Roman"/>
        </w:rPr>
        <w:t xml:space="preserve"> as “voluntary,” “public,” and “worship” can be reevaluated as sites that track the ambiguities generated when magisterial judgment comes to parse the assemblages of “facts” </w:t>
      </w:r>
      <w:r w:rsidR="00AA1BF8">
        <w:rPr>
          <w:rFonts w:ascii="Times New Roman" w:hAnsi="Times New Roman"/>
        </w:rPr>
        <w:t>in order to apprehend them</w:t>
      </w:r>
      <w:r w:rsidR="00B25ACC">
        <w:rPr>
          <w:rFonts w:ascii="Times New Roman" w:hAnsi="Times New Roman"/>
        </w:rPr>
        <w:t xml:space="preserve">.  Is a church one which officially declares itself as such and is recognized by others?  Or </w:t>
      </w:r>
      <w:r w:rsidR="00B25ACC" w:rsidRPr="00F04F43">
        <w:rPr>
          <w:rFonts w:ascii="Times New Roman" w:hAnsi="Times New Roman"/>
        </w:rPr>
        <w:t>can a</w:t>
      </w:r>
      <w:r w:rsidR="00B25ACC">
        <w:rPr>
          <w:rFonts w:ascii="Times New Roman" w:hAnsi="Times New Roman"/>
        </w:rPr>
        <w:t xml:space="preserve"> </w:t>
      </w:r>
      <w:r w:rsidR="00B25ACC" w:rsidRPr="00F04F43">
        <w:rPr>
          <w:rFonts w:ascii="Times New Roman" w:hAnsi="Times New Roman"/>
        </w:rPr>
        <w:t xml:space="preserve">church be a house where individuals with </w:t>
      </w:r>
      <w:r w:rsidR="00B25ACC">
        <w:rPr>
          <w:rFonts w:ascii="Times New Roman" w:hAnsi="Times New Roman"/>
        </w:rPr>
        <w:t>similar beliefs congregate</w:t>
      </w:r>
      <w:r w:rsidR="00B25ACC" w:rsidRPr="00F04F43">
        <w:rPr>
          <w:rFonts w:ascii="Times New Roman" w:hAnsi="Times New Roman"/>
        </w:rPr>
        <w:t xml:space="preserve">?  Or a printing press </w:t>
      </w:r>
      <w:r w:rsidR="00B25ACC">
        <w:rPr>
          <w:rFonts w:ascii="Times New Roman" w:hAnsi="Times New Roman"/>
        </w:rPr>
        <w:t>around which individuals who worship together congregate and publish their views</w:t>
      </w:r>
      <w:r w:rsidR="00B25ACC" w:rsidRPr="00F04F43">
        <w:rPr>
          <w:rFonts w:ascii="Times New Roman" w:hAnsi="Times New Roman"/>
        </w:rPr>
        <w:t>?</w:t>
      </w:r>
      <w:r w:rsidR="00B25ACC">
        <w:rPr>
          <w:rFonts w:ascii="Times New Roman" w:hAnsi="Times New Roman"/>
        </w:rPr>
        <w:t xml:space="preserve"> </w:t>
      </w:r>
    </w:p>
    <w:p w14:paraId="6B9A49E3" w14:textId="3C78A3E5" w:rsidR="00D742C8" w:rsidRDefault="00B25ACC" w:rsidP="00D742C8">
      <w:pPr>
        <w:pStyle w:val="NoSpacing"/>
        <w:spacing w:line="480" w:lineRule="auto"/>
        <w:ind w:firstLine="720"/>
        <w:rPr>
          <w:rFonts w:ascii="Times New Roman" w:hAnsi="Times New Roman"/>
        </w:rPr>
      </w:pPr>
      <w:r>
        <w:rPr>
          <w:rFonts w:ascii="Times New Roman" w:hAnsi="Times New Roman"/>
        </w:rPr>
        <w:t xml:space="preserve">These are not abstract or semantic questions, but in fact </w:t>
      </w:r>
      <w:r w:rsidR="00CA1763">
        <w:rPr>
          <w:rFonts w:ascii="Times New Roman" w:hAnsi="Times New Roman"/>
        </w:rPr>
        <w:t>track</w:t>
      </w:r>
      <w:r>
        <w:rPr>
          <w:rFonts w:ascii="Times New Roman" w:hAnsi="Times New Roman"/>
        </w:rPr>
        <w:t xml:space="preserve"> Locke’s own</w:t>
      </w:r>
      <w:r w:rsidR="005B519B">
        <w:rPr>
          <w:rFonts w:ascii="Times New Roman" w:hAnsi="Times New Roman"/>
        </w:rPr>
        <w:t xml:space="preserve"> </w:t>
      </w:r>
      <w:r w:rsidR="00D268C9">
        <w:rPr>
          <w:rFonts w:ascii="Times New Roman" w:hAnsi="Times New Roman"/>
        </w:rPr>
        <w:t>experiences</w:t>
      </w:r>
      <w:r w:rsidR="005B519B">
        <w:rPr>
          <w:rFonts w:ascii="Times New Roman" w:hAnsi="Times New Roman"/>
        </w:rPr>
        <w:t xml:space="preserve"> in what John Marshall terms “overlapping conversational circles” with other advocates of religious toleration</w:t>
      </w:r>
      <w:r w:rsidR="00D90F19">
        <w:rPr>
          <w:rFonts w:ascii="Times New Roman" w:hAnsi="Times New Roman"/>
        </w:rPr>
        <w:t xml:space="preserve"> while exiled</w:t>
      </w:r>
      <w:r w:rsidR="005B519B">
        <w:rPr>
          <w:rFonts w:ascii="Times New Roman" w:hAnsi="Times New Roman"/>
        </w:rPr>
        <w:t xml:space="preserve"> in the Netherlands at the time of his publication of the </w:t>
      </w:r>
      <w:r w:rsidR="005B519B">
        <w:rPr>
          <w:rFonts w:ascii="Times New Roman" w:hAnsi="Times New Roman"/>
          <w:i/>
        </w:rPr>
        <w:t>Letter</w:t>
      </w:r>
      <w:r w:rsidR="007326E9">
        <w:rPr>
          <w:rFonts w:ascii="Times New Roman" w:hAnsi="Times New Roman"/>
        </w:rPr>
        <w:t xml:space="preserve">. </w:t>
      </w:r>
      <w:r w:rsidR="00633A27">
        <w:rPr>
          <w:rFonts w:ascii="Times New Roman" w:hAnsi="Times New Roman"/>
        </w:rPr>
        <w:t>T</w:t>
      </w:r>
      <w:r w:rsidR="005B519B">
        <w:rPr>
          <w:rFonts w:ascii="Times New Roman" w:hAnsi="Times New Roman"/>
        </w:rPr>
        <w:t>hese circles worked explicitly to combine their “practices of discussion” with an “advocacy for religious toleration”</w:t>
      </w:r>
      <w:r w:rsidR="005B519B">
        <w:rPr>
          <w:rStyle w:val="FootnoteReference"/>
        </w:rPr>
        <w:footnoteReference w:id="38"/>
      </w:r>
      <w:r w:rsidR="005B519B">
        <w:rPr>
          <w:rFonts w:ascii="Times New Roman" w:hAnsi="Times New Roman"/>
        </w:rPr>
        <w:t xml:space="preserve"> directed at</w:t>
      </w:r>
      <w:r w:rsidR="00633A27">
        <w:rPr>
          <w:rFonts w:ascii="Times New Roman" w:hAnsi="Times New Roman"/>
        </w:rPr>
        <w:t xml:space="preserve"> “a </w:t>
      </w:r>
      <w:r w:rsidR="00633A27">
        <w:rPr>
          <w:rFonts w:ascii="Times New Roman" w:hAnsi="Times New Roman"/>
        </w:rPr>
        <w:lastRenderedPageBreak/>
        <w:t>critical lay public who were being asked thereby to use their reason to judge the views being presented to them</w:t>
      </w:r>
      <w:r w:rsidR="00501AC6">
        <w:rPr>
          <w:rFonts w:ascii="Times New Roman" w:hAnsi="Times New Roman"/>
        </w:rPr>
        <w:t>.</w:t>
      </w:r>
      <w:r w:rsidR="00633A27">
        <w:rPr>
          <w:rFonts w:ascii="Times New Roman" w:hAnsi="Times New Roman"/>
        </w:rPr>
        <w:t>”</w:t>
      </w:r>
      <w:r w:rsidR="00501AC6">
        <w:rPr>
          <w:rFonts w:ascii="Times New Roman" w:hAnsi="Times New Roman"/>
        </w:rPr>
        <w:t xml:space="preserve">  Or, what amounted to a</w:t>
      </w:r>
      <w:r w:rsidR="006F6426">
        <w:rPr>
          <w:rFonts w:ascii="Times New Roman" w:hAnsi="Times New Roman"/>
        </w:rPr>
        <w:t xml:space="preserve"> </w:t>
      </w:r>
      <w:r w:rsidR="00501AC6">
        <w:rPr>
          <w:rFonts w:ascii="Times New Roman" w:hAnsi="Times New Roman"/>
        </w:rPr>
        <w:t xml:space="preserve">“web of mutual support” whose members worked to maintain each other’s public anonymity, access to new information, and capacity to address the </w:t>
      </w:r>
      <w:r w:rsidR="00AA1BF8">
        <w:rPr>
          <w:rFonts w:ascii="Times New Roman" w:hAnsi="Times New Roman"/>
        </w:rPr>
        <w:t>“republic of letters”</w:t>
      </w:r>
      <w:r w:rsidR="00501AC6">
        <w:rPr>
          <w:rFonts w:ascii="Times New Roman" w:hAnsi="Times New Roman"/>
        </w:rPr>
        <w:t xml:space="preserve"> given the political dangers of their expressed views.</w:t>
      </w:r>
      <w:r w:rsidR="004F0357">
        <w:rPr>
          <w:rStyle w:val="FootnoteReference"/>
        </w:rPr>
        <w:footnoteReference w:id="39"/>
      </w:r>
      <w:r w:rsidR="00501AC6">
        <w:rPr>
          <w:rFonts w:ascii="Times New Roman" w:hAnsi="Times New Roman"/>
        </w:rPr>
        <w:t xml:space="preserve">  </w:t>
      </w:r>
      <w:r w:rsidR="00CA1763">
        <w:rPr>
          <w:rFonts w:ascii="Times New Roman" w:hAnsi="Times New Roman"/>
        </w:rPr>
        <w:t xml:space="preserve">Indeed, seeing the diversity, </w:t>
      </w:r>
      <w:r w:rsidR="00633A27">
        <w:rPr>
          <w:rFonts w:ascii="Times New Roman" w:hAnsi="Times New Roman"/>
        </w:rPr>
        <w:t>openness</w:t>
      </w:r>
      <w:r w:rsidR="00CA1763">
        <w:rPr>
          <w:rFonts w:ascii="Times New Roman" w:hAnsi="Times New Roman"/>
        </w:rPr>
        <w:t>, yet outward secrecy</w:t>
      </w:r>
      <w:r w:rsidR="00633A27">
        <w:rPr>
          <w:rFonts w:ascii="Times New Roman" w:hAnsi="Times New Roman"/>
        </w:rPr>
        <w:t xml:space="preserve"> of</w:t>
      </w:r>
      <w:r w:rsidR="006F6426">
        <w:rPr>
          <w:rFonts w:ascii="Times New Roman" w:hAnsi="Times New Roman"/>
        </w:rPr>
        <w:t xml:space="preserve"> </w:t>
      </w:r>
      <w:r w:rsidR="00CA1763">
        <w:rPr>
          <w:rFonts w:ascii="Times New Roman" w:hAnsi="Times New Roman"/>
        </w:rPr>
        <w:t>one such circle he frequented</w:t>
      </w:r>
      <w:r w:rsidR="006F6426">
        <w:rPr>
          <w:rFonts w:ascii="Times New Roman" w:hAnsi="Times New Roman"/>
        </w:rPr>
        <w:t>,</w:t>
      </w:r>
      <w:r w:rsidR="005B519B">
        <w:rPr>
          <w:rFonts w:ascii="Times New Roman" w:hAnsi="Times New Roman"/>
        </w:rPr>
        <w:t xml:space="preserve"> </w:t>
      </w:r>
      <w:r w:rsidR="00633A27">
        <w:rPr>
          <w:rFonts w:ascii="Times New Roman" w:hAnsi="Times New Roman"/>
        </w:rPr>
        <w:t>it was Locke who</w:t>
      </w:r>
      <w:r w:rsidR="006F6426">
        <w:rPr>
          <w:rFonts w:ascii="Times New Roman" w:hAnsi="Times New Roman"/>
        </w:rPr>
        <w:t xml:space="preserve"> </w:t>
      </w:r>
      <w:r w:rsidR="008B0271">
        <w:rPr>
          <w:rFonts w:ascii="Times New Roman" w:hAnsi="Times New Roman"/>
        </w:rPr>
        <w:t>jokingly</w:t>
      </w:r>
      <w:r w:rsidR="00633A27">
        <w:rPr>
          <w:rFonts w:ascii="Times New Roman" w:hAnsi="Times New Roman"/>
        </w:rPr>
        <w:t xml:space="preserve"> </w:t>
      </w:r>
      <w:r w:rsidR="0034515C">
        <w:rPr>
          <w:rFonts w:ascii="Times New Roman" w:hAnsi="Times New Roman"/>
        </w:rPr>
        <w:t>called</w:t>
      </w:r>
      <w:r w:rsidR="00633A27">
        <w:rPr>
          <w:rFonts w:ascii="Times New Roman" w:hAnsi="Times New Roman"/>
        </w:rPr>
        <w:t xml:space="preserve"> </w:t>
      </w:r>
      <w:r w:rsidR="00CA1763">
        <w:rPr>
          <w:rFonts w:ascii="Times New Roman" w:hAnsi="Times New Roman"/>
        </w:rPr>
        <w:t>it</w:t>
      </w:r>
      <w:r w:rsidR="00AA1BF8">
        <w:rPr>
          <w:rFonts w:ascii="Times New Roman" w:hAnsi="Times New Roman"/>
        </w:rPr>
        <w:t xml:space="preserve"> </w:t>
      </w:r>
      <w:r w:rsidR="00633A27">
        <w:rPr>
          <w:rFonts w:ascii="Times New Roman" w:hAnsi="Times New Roman"/>
        </w:rPr>
        <w:t xml:space="preserve">“the heretics of the Lantern” </w:t>
      </w:r>
      <w:r w:rsidR="006F6426">
        <w:rPr>
          <w:rFonts w:ascii="Times New Roman" w:hAnsi="Times New Roman"/>
        </w:rPr>
        <w:t>in what Marshall identifies as an explicit attack on “the conventional definitions of the term ‘heresy.’”</w:t>
      </w:r>
      <w:r w:rsidR="00D90F19">
        <w:rPr>
          <w:rFonts w:ascii="Times New Roman" w:hAnsi="Times New Roman"/>
        </w:rPr>
        <w:t xml:space="preserve"> </w:t>
      </w:r>
      <w:r w:rsidR="006F6426">
        <w:rPr>
          <w:rFonts w:ascii="Times New Roman" w:hAnsi="Times New Roman"/>
        </w:rPr>
        <w:t>As Marshall maintains, it was this very experience of the voluntarist</w:t>
      </w:r>
      <w:r w:rsidR="00501AC6">
        <w:rPr>
          <w:rFonts w:ascii="Times New Roman" w:hAnsi="Times New Roman"/>
        </w:rPr>
        <w:t xml:space="preserve"> and discussion</w:t>
      </w:r>
      <w:r w:rsidR="006F6426">
        <w:rPr>
          <w:rFonts w:ascii="Times New Roman" w:hAnsi="Times New Roman"/>
        </w:rPr>
        <w:t xml:space="preserve">-oriented circles that formed the groundwork for the </w:t>
      </w:r>
      <w:r w:rsidR="0092442D">
        <w:rPr>
          <w:rFonts w:ascii="Times New Roman" w:hAnsi="Times New Roman"/>
        </w:rPr>
        <w:t>assemblage</w:t>
      </w:r>
      <w:r w:rsidR="006F6426">
        <w:rPr>
          <w:rFonts w:ascii="Times New Roman" w:hAnsi="Times New Roman"/>
        </w:rPr>
        <w:t xml:space="preserve"> of different elements we see in the</w:t>
      </w:r>
      <w:r w:rsidR="00501AC6">
        <w:rPr>
          <w:rFonts w:ascii="Times New Roman" w:hAnsi="Times New Roman"/>
        </w:rPr>
        <w:t xml:space="preserve"> </w:t>
      </w:r>
      <w:r w:rsidR="00501AC6">
        <w:rPr>
          <w:rFonts w:ascii="Times New Roman" w:hAnsi="Times New Roman"/>
          <w:i/>
        </w:rPr>
        <w:t>Letter</w:t>
      </w:r>
      <w:r w:rsidR="00501AC6">
        <w:rPr>
          <w:rFonts w:ascii="Times New Roman" w:hAnsi="Times New Roman"/>
        </w:rPr>
        <w:t>’s “intellectualized”</w:t>
      </w:r>
      <w:r w:rsidR="006F6426">
        <w:rPr>
          <w:rFonts w:ascii="Times New Roman" w:hAnsi="Times New Roman"/>
        </w:rPr>
        <w:t xml:space="preserve"> </w:t>
      </w:r>
      <w:r w:rsidR="00501AC6">
        <w:rPr>
          <w:rFonts w:ascii="Times New Roman" w:hAnsi="Times New Roman"/>
        </w:rPr>
        <w:t>definition of a</w:t>
      </w:r>
      <w:r w:rsidR="006F6426">
        <w:rPr>
          <w:rFonts w:ascii="Times New Roman" w:hAnsi="Times New Roman"/>
        </w:rPr>
        <w:t xml:space="preserve"> church</w:t>
      </w:r>
      <w:r w:rsidR="003463C9">
        <w:rPr>
          <w:rFonts w:ascii="Times New Roman" w:hAnsi="Times New Roman"/>
        </w:rPr>
        <w:t>,</w:t>
      </w:r>
      <w:r w:rsidR="006F6426">
        <w:rPr>
          <w:rFonts w:ascii="Times New Roman" w:hAnsi="Times New Roman"/>
        </w:rPr>
        <w:t xml:space="preserve"> </w:t>
      </w:r>
      <w:r w:rsidR="00501AC6">
        <w:rPr>
          <w:rFonts w:ascii="Times New Roman" w:hAnsi="Times New Roman"/>
        </w:rPr>
        <w:t>above: “the church as eirenic and inclusive in communion, discursive, rational, and voluntary in nature, and not a little ‘heretical’ in the expansiveness of its intellectual commitment”</w:t>
      </w:r>
      <w:r w:rsidR="00501AC6">
        <w:rPr>
          <w:rStyle w:val="FootnoteReference"/>
        </w:rPr>
        <w:footnoteReference w:id="40"/>
      </w:r>
      <w:r w:rsidR="00501AC6">
        <w:rPr>
          <w:rFonts w:ascii="Times New Roman" w:hAnsi="Times New Roman"/>
        </w:rPr>
        <w:t xml:space="preserve">; not to mention </w:t>
      </w:r>
      <w:r w:rsidR="003463C9">
        <w:rPr>
          <w:rFonts w:ascii="Times New Roman" w:hAnsi="Times New Roman"/>
        </w:rPr>
        <w:t>Locke’s</w:t>
      </w:r>
      <w:r w:rsidR="00501AC6">
        <w:rPr>
          <w:rFonts w:ascii="Times New Roman" w:hAnsi="Times New Roman"/>
        </w:rPr>
        <w:t xml:space="preserve"> explicit</w:t>
      </w:r>
      <w:r w:rsidR="00AA1BF8">
        <w:rPr>
          <w:rFonts w:ascii="Times New Roman" w:hAnsi="Times New Roman"/>
        </w:rPr>
        <w:t xml:space="preserve"> insistence on the practice </w:t>
      </w:r>
      <w:r w:rsidR="00501AC6">
        <w:rPr>
          <w:rFonts w:ascii="Times New Roman" w:hAnsi="Times New Roman"/>
        </w:rPr>
        <w:t xml:space="preserve">of </w:t>
      </w:r>
      <w:r w:rsidR="00501AC6" w:rsidRPr="00501AC6">
        <w:rPr>
          <w:rFonts w:ascii="Times New Roman" w:hAnsi="Times New Roman"/>
          <w:i/>
        </w:rPr>
        <w:t>judgment</w:t>
      </w:r>
      <w:r w:rsidR="00501AC6">
        <w:rPr>
          <w:rFonts w:ascii="Times New Roman" w:hAnsi="Times New Roman"/>
        </w:rPr>
        <w:t xml:space="preserve"> of religious questions among its members.</w:t>
      </w:r>
      <w:r w:rsidR="00D268C9">
        <w:rPr>
          <w:rFonts w:ascii="Times New Roman" w:hAnsi="Times New Roman"/>
        </w:rPr>
        <w:t xml:space="preserve">  </w:t>
      </w:r>
    </w:p>
    <w:p w14:paraId="63861137" w14:textId="465C3A93" w:rsidR="00153B2D" w:rsidRDefault="00D742C8" w:rsidP="00E73741">
      <w:pPr>
        <w:pStyle w:val="NoSpacing"/>
        <w:spacing w:line="480" w:lineRule="auto"/>
        <w:ind w:firstLine="720"/>
        <w:rPr>
          <w:rFonts w:ascii="Times New Roman" w:hAnsi="Times New Roman"/>
        </w:rPr>
      </w:pPr>
      <w:r>
        <w:rPr>
          <w:rFonts w:ascii="Times New Roman" w:hAnsi="Times New Roman"/>
        </w:rPr>
        <w:t xml:space="preserve">Insofar as we follow Marshall’s inference regarding the experiential motivations for Locke’s definition of a church, </w:t>
      </w:r>
      <w:r w:rsidR="008F7B6E">
        <w:rPr>
          <w:rFonts w:ascii="Times New Roman" w:hAnsi="Times New Roman"/>
        </w:rPr>
        <w:t>we get a glimpse into</w:t>
      </w:r>
      <w:r w:rsidR="00EE69E0">
        <w:rPr>
          <w:rFonts w:ascii="Times New Roman" w:hAnsi="Times New Roman"/>
        </w:rPr>
        <w:t xml:space="preserve"> Locke’s understanding of</w:t>
      </w:r>
      <w:r w:rsidR="008F7B6E">
        <w:rPr>
          <w:rFonts w:ascii="Times New Roman" w:hAnsi="Times New Roman"/>
        </w:rPr>
        <w:t xml:space="preserve"> the concrete interplays of wit and judgment </w:t>
      </w:r>
      <w:r w:rsidR="00EE69E0">
        <w:rPr>
          <w:rFonts w:ascii="Times New Roman" w:hAnsi="Times New Roman"/>
        </w:rPr>
        <w:t>that can obtain within</w:t>
      </w:r>
      <w:r w:rsidR="008F7B6E">
        <w:rPr>
          <w:rFonts w:ascii="Times New Roman" w:hAnsi="Times New Roman"/>
        </w:rPr>
        <w:t xml:space="preserve"> the “voluntary society” “joining themselves” for the “publick worshipping of God.”  </w:t>
      </w:r>
      <w:r w:rsidR="00310BB0">
        <w:rPr>
          <w:rFonts w:ascii="Times New Roman" w:hAnsi="Times New Roman"/>
        </w:rPr>
        <w:t xml:space="preserve">Yet here I am not </w:t>
      </w:r>
      <w:r w:rsidR="00D90F19">
        <w:rPr>
          <w:rFonts w:ascii="Times New Roman" w:hAnsi="Times New Roman"/>
        </w:rPr>
        <w:t>suggesting that</w:t>
      </w:r>
      <w:r w:rsidR="00434B64">
        <w:rPr>
          <w:rFonts w:ascii="Times New Roman" w:hAnsi="Times New Roman"/>
        </w:rPr>
        <w:t xml:space="preserve"> Locke’s </w:t>
      </w:r>
      <w:r w:rsidR="00310BB0">
        <w:rPr>
          <w:rFonts w:ascii="Times New Roman" w:hAnsi="Times New Roman"/>
        </w:rPr>
        <w:t>definition</w:t>
      </w:r>
      <w:r w:rsidR="00434B64">
        <w:rPr>
          <w:rFonts w:ascii="Times New Roman" w:hAnsi="Times New Roman"/>
        </w:rPr>
        <w:t xml:space="preserve"> should be re</w:t>
      </w:r>
      <w:r w:rsidR="00C65DAF">
        <w:rPr>
          <w:rFonts w:ascii="Times New Roman" w:hAnsi="Times New Roman"/>
        </w:rPr>
        <w:t>duced to those experiences, e.g</w:t>
      </w:r>
      <w:r w:rsidR="00C34F47">
        <w:rPr>
          <w:rFonts w:ascii="Times New Roman" w:hAnsi="Times New Roman"/>
        </w:rPr>
        <w:t>.,</w:t>
      </w:r>
      <w:r w:rsidR="00434B64">
        <w:rPr>
          <w:rFonts w:ascii="Times New Roman" w:hAnsi="Times New Roman"/>
        </w:rPr>
        <w:t xml:space="preserve"> that</w:t>
      </w:r>
      <w:r w:rsidR="00310BB0">
        <w:rPr>
          <w:rFonts w:ascii="Times New Roman" w:hAnsi="Times New Roman"/>
        </w:rPr>
        <w:t xml:space="preserve"> on</w:t>
      </w:r>
      <w:r w:rsidR="00434B64">
        <w:rPr>
          <w:rFonts w:ascii="Times New Roman" w:hAnsi="Times New Roman"/>
        </w:rPr>
        <w:t xml:space="preserve"> </w:t>
      </w:r>
      <w:r w:rsidR="0092442D">
        <w:rPr>
          <w:rFonts w:ascii="Times New Roman" w:hAnsi="Times New Roman"/>
        </w:rPr>
        <w:t>his</w:t>
      </w:r>
      <w:r w:rsidR="00434B64">
        <w:rPr>
          <w:rFonts w:ascii="Times New Roman" w:hAnsi="Times New Roman"/>
        </w:rPr>
        <w:t xml:space="preserve"> conception</w:t>
      </w:r>
      <w:r w:rsidR="00310BB0">
        <w:rPr>
          <w:rFonts w:ascii="Times New Roman" w:hAnsi="Times New Roman"/>
        </w:rPr>
        <w:t xml:space="preserve"> religious societies </w:t>
      </w:r>
      <w:r w:rsidR="003458FA">
        <w:rPr>
          <w:rFonts w:ascii="Times New Roman" w:hAnsi="Times New Roman"/>
        </w:rPr>
        <w:t>would</w:t>
      </w:r>
      <w:r w:rsidR="00310BB0">
        <w:rPr>
          <w:rFonts w:ascii="Times New Roman" w:hAnsi="Times New Roman"/>
        </w:rPr>
        <w:t xml:space="preserve"> necessarily articulate tolerationist creeds or (as Marshall concludes) </w:t>
      </w:r>
      <w:r w:rsidR="003458FA">
        <w:rPr>
          <w:rFonts w:ascii="Times New Roman" w:hAnsi="Times New Roman"/>
        </w:rPr>
        <w:t>would</w:t>
      </w:r>
      <w:r w:rsidR="00310BB0">
        <w:rPr>
          <w:rFonts w:ascii="Times New Roman" w:hAnsi="Times New Roman"/>
        </w:rPr>
        <w:t xml:space="preserve"> engage in intellectual practices recognized as “</w:t>
      </w:r>
      <w:r w:rsidR="003458FA">
        <w:rPr>
          <w:rFonts w:ascii="Times New Roman" w:hAnsi="Times New Roman"/>
        </w:rPr>
        <w:t>heretical.”  The issue is not one of</w:t>
      </w:r>
      <w:r w:rsidR="0051265B">
        <w:rPr>
          <w:rFonts w:ascii="Times New Roman" w:hAnsi="Times New Roman"/>
        </w:rPr>
        <w:t xml:space="preserve"> specific</w:t>
      </w:r>
      <w:r w:rsidR="003458FA">
        <w:rPr>
          <w:rFonts w:ascii="Times New Roman" w:hAnsi="Times New Roman"/>
        </w:rPr>
        <w:t xml:space="preserve"> creed</w:t>
      </w:r>
      <w:r w:rsidR="0051265B">
        <w:rPr>
          <w:rFonts w:ascii="Times New Roman" w:hAnsi="Times New Roman"/>
        </w:rPr>
        <w:t>s</w:t>
      </w:r>
      <w:r w:rsidR="003458FA">
        <w:rPr>
          <w:rFonts w:ascii="Times New Roman" w:hAnsi="Times New Roman"/>
        </w:rPr>
        <w:t xml:space="preserve"> but rather of</w:t>
      </w:r>
      <w:r w:rsidR="000470AA">
        <w:rPr>
          <w:rFonts w:ascii="Times New Roman" w:hAnsi="Times New Roman"/>
        </w:rPr>
        <w:t xml:space="preserve"> the practices of</w:t>
      </w:r>
      <w:r w:rsidR="003458FA">
        <w:rPr>
          <w:rFonts w:ascii="Times New Roman" w:hAnsi="Times New Roman"/>
        </w:rPr>
        <w:t xml:space="preserve"> judgment </w:t>
      </w:r>
      <w:r w:rsidR="000470AA">
        <w:rPr>
          <w:rFonts w:ascii="Times New Roman" w:hAnsi="Times New Roman"/>
        </w:rPr>
        <w:t>as they</w:t>
      </w:r>
      <w:r w:rsidR="003458FA">
        <w:rPr>
          <w:rFonts w:ascii="Times New Roman" w:hAnsi="Times New Roman"/>
        </w:rPr>
        <w:t xml:space="preserve"> obtain within the web</w:t>
      </w:r>
      <w:r w:rsidR="00A35124">
        <w:rPr>
          <w:rFonts w:ascii="Times New Roman" w:hAnsi="Times New Roman"/>
        </w:rPr>
        <w:t>s</w:t>
      </w:r>
      <w:r w:rsidR="003458FA">
        <w:rPr>
          <w:rFonts w:ascii="Times New Roman" w:hAnsi="Times New Roman"/>
        </w:rPr>
        <w:t xml:space="preserve"> of mutual support that undergirded </w:t>
      </w:r>
      <w:r w:rsidR="003458FA" w:rsidRPr="003458FA">
        <w:rPr>
          <w:rFonts w:ascii="Times New Roman" w:hAnsi="Times New Roman"/>
          <w:i/>
        </w:rPr>
        <w:t>both</w:t>
      </w:r>
      <w:r w:rsidR="003458FA">
        <w:rPr>
          <w:rFonts w:ascii="Times New Roman" w:hAnsi="Times New Roman"/>
        </w:rPr>
        <w:t xml:space="preserve"> </w:t>
      </w:r>
      <w:r w:rsidR="00553EE7">
        <w:rPr>
          <w:rFonts w:ascii="Times New Roman" w:hAnsi="Times New Roman"/>
        </w:rPr>
        <w:t>Locke’s</w:t>
      </w:r>
      <w:r w:rsidR="003458FA">
        <w:rPr>
          <w:rFonts w:ascii="Times New Roman" w:hAnsi="Times New Roman"/>
        </w:rPr>
        <w:t xml:space="preserve"> own experiences in the Netherlands </w:t>
      </w:r>
      <w:r w:rsidR="003458FA">
        <w:rPr>
          <w:rFonts w:ascii="Times New Roman" w:hAnsi="Times New Roman"/>
          <w:i/>
        </w:rPr>
        <w:t xml:space="preserve">and </w:t>
      </w:r>
      <w:r w:rsidR="00EE69E0">
        <w:rPr>
          <w:rFonts w:ascii="Times New Roman" w:hAnsi="Times New Roman"/>
        </w:rPr>
        <w:t xml:space="preserve">his subsequent </w:t>
      </w:r>
      <w:r w:rsidR="00920BE8">
        <w:rPr>
          <w:rFonts w:ascii="Times New Roman" w:hAnsi="Times New Roman"/>
        </w:rPr>
        <w:lastRenderedPageBreak/>
        <w:t>articulation of a church t</w:t>
      </w:r>
      <w:r w:rsidR="00371784">
        <w:rPr>
          <w:rFonts w:ascii="Times New Roman" w:hAnsi="Times New Roman"/>
        </w:rPr>
        <w:t>o a broader public</w:t>
      </w:r>
      <w:r w:rsidR="004F0357">
        <w:rPr>
          <w:rFonts w:ascii="Times New Roman" w:hAnsi="Times New Roman"/>
        </w:rPr>
        <w:t xml:space="preserve"> audience</w:t>
      </w:r>
      <w:r w:rsidR="00BD02DD">
        <w:rPr>
          <w:rFonts w:ascii="Times New Roman" w:hAnsi="Times New Roman"/>
        </w:rPr>
        <w:t>.</w:t>
      </w:r>
      <w:r w:rsidR="003458FA">
        <w:rPr>
          <w:rFonts w:ascii="Times New Roman" w:hAnsi="Times New Roman"/>
        </w:rPr>
        <w:t xml:space="preserve"> </w:t>
      </w:r>
      <w:r w:rsidR="000470AA">
        <w:rPr>
          <w:rFonts w:ascii="Times New Roman" w:hAnsi="Times New Roman"/>
        </w:rPr>
        <w:t>In Locke’s</w:t>
      </w:r>
      <w:r w:rsidR="00553EE7">
        <w:rPr>
          <w:rFonts w:ascii="Times New Roman" w:hAnsi="Times New Roman"/>
        </w:rPr>
        <w:t xml:space="preserve"> immediate</w:t>
      </w:r>
      <w:r w:rsidR="000470AA">
        <w:rPr>
          <w:rFonts w:ascii="Times New Roman" w:hAnsi="Times New Roman"/>
        </w:rPr>
        <w:t xml:space="preserve"> context</w:t>
      </w:r>
      <w:r w:rsidR="00504E95">
        <w:rPr>
          <w:rFonts w:ascii="Times New Roman" w:hAnsi="Times New Roman"/>
        </w:rPr>
        <w:t>,</w:t>
      </w:r>
      <w:r w:rsidR="000470AA">
        <w:rPr>
          <w:rFonts w:ascii="Times New Roman" w:hAnsi="Times New Roman"/>
        </w:rPr>
        <w:t xml:space="preserve"> this “web” served a particular function given the needs and risks involved:</w:t>
      </w:r>
      <w:r w:rsidR="00424C7D">
        <w:rPr>
          <w:rFonts w:ascii="Times New Roman" w:hAnsi="Times New Roman"/>
        </w:rPr>
        <w:t xml:space="preserve"> </w:t>
      </w:r>
      <w:r w:rsidR="000470AA">
        <w:rPr>
          <w:rFonts w:ascii="Times New Roman" w:hAnsi="Times New Roman"/>
        </w:rPr>
        <w:t xml:space="preserve">to </w:t>
      </w:r>
      <w:r w:rsidR="00424C7D">
        <w:rPr>
          <w:rFonts w:ascii="Times New Roman" w:hAnsi="Times New Roman"/>
        </w:rPr>
        <w:t xml:space="preserve">organize a pattern of diverse, </w:t>
      </w:r>
      <w:r w:rsidR="00C34F47">
        <w:rPr>
          <w:rFonts w:ascii="Times New Roman" w:hAnsi="Times New Roman"/>
        </w:rPr>
        <w:t>private</w:t>
      </w:r>
      <w:r w:rsidR="00424C7D">
        <w:rPr>
          <w:rFonts w:ascii="Times New Roman" w:hAnsi="Times New Roman"/>
        </w:rPr>
        <w:t xml:space="preserve"> discussions that could be articulated to the public while nonetheless maintaining the safety of those involved</w:t>
      </w:r>
      <w:r w:rsidR="004F0357">
        <w:rPr>
          <w:rFonts w:ascii="Times New Roman" w:hAnsi="Times New Roman"/>
        </w:rPr>
        <w:t>—a function that both produced rec</w:t>
      </w:r>
      <w:r w:rsidR="00C34F47">
        <w:rPr>
          <w:rFonts w:ascii="Times New Roman" w:hAnsi="Times New Roman"/>
        </w:rPr>
        <w:t xml:space="preserve">ognizable public “beliefs” </w:t>
      </w:r>
      <w:r w:rsidR="00C34F47" w:rsidRPr="009F0A79">
        <w:rPr>
          <w:rFonts w:ascii="Times New Roman" w:hAnsi="Times New Roman"/>
        </w:rPr>
        <w:t>and</w:t>
      </w:r>
      <w:r w:rsidR="009F0A79">
        <w:rPr>
          <w:rFonts w:ascii="Times New Roman" w:hAnsi="Times New Roman"/>
        </w:rPr>
        <w:t xml:space="preserve"> yet</w:t>
      </w:r>
      <w:r w:rsidR="00C34F47">
        <w:rPr>
          <w:rFonts w:ascii="Times New Roman" w:hAnsi="Times New Roman"/>
        </w:rPr>
        <w:t xml:space="preserve"> served precisely to </w:t>
      </w:r>
      <w:r w:rsidR="00C34F47" w:rsidRPr="00C34F47">
        <w:rPr>
          <w:rFonts w:ascii="Times New Roman" w:hAnsi="Times New Roman"/>
        </w:rPr>
        <w:t>confound</w:t>
      </w:r>
      <w:r w:rsidR="00C34F47">
        <w:rPr>
          <w:rFonts w:ascii="Times New Roman" w:hAnsi="Times New Roman"/>
        </w:rPr>
        <w:t xml:space="preserve"> an outsider’s</w:t>
      </w:r>
      <w:r w:rsidR="004F0357">
        <w:rPr>
          <w:rFonts w:ascii="Times New Roman" w:hAnsi="Times New Roman"/>
        </w:rPr>
        <w:t xml:space="preserve"> correlation of spaces, actors, and arguments that could endanger the participants’ livelihoods</w:t>
      </w:r>
      <w:r w:rsidR="00424C7D">
        <w:rPr>
          <w:rFonts w:ascii="Times New Roman" w:hAnsi="Times New Roman"/>
        </w:rPr>
        <w:t xml:space="preserve">.  </w:t>
      </w:r>
      <w:r w:rsidR="009F0A79">
        <w:rPr>
          <w:rFonts w:ascii="Times New Roman" w:hAnsi="Times New Roman"/>
        </w:rPr>
        <w:t>Inde</w:t>
      </w:r>
      <w:r w:rsidR="008E06AB">
        <w:rPr>
          <w:rFonts w:ascii="Times New Roman" w:hAnsi="Times New Roman"/>
        </w:rPr>
        <w:t>ed, in its capacity to confound</w:t>
      </w:r>
      <w:r w:rsidR="00424C7D">
        <w:rPr>
          <w:rFonts w:ascii="Times New Roman" w:hAnsi="Times New Roman"/>
        </w:rPr>
        <w:t xml:space="preserve"> such a function reveals the very dimensions of judgment</w:t>
      </w:r>
      <w:r w:rsidR="00504E95">
        <w:rPr>
          <w:rFonts w:ascii="Times New Roman" w:hAnsi="Times New Roman"/>
        </w:rPr>
        <w:t xml:space="preserve"> that</w:t>
      </w:r>
      <w:r w:rsidR="00424C7D">
        <w:rPr>
          <w:rFonts w:ascii="Times New Roman" w:hAnsi="Times New Roman"/>
        </w:rPr>
        <w:t xml:space="preserve"> exceed magisterial power in apprehendi</w:t>
      </w:r>
      <w:r w:rsidR="00504E95">
        <w:rPr>
          <w:rFonts w:ascii="Times New Roman" w:hAnsi="Times New Roman"/>
        </w:rPr>
        <w:t>ng</w:t>
      </w:r>
      <w:r w:rsidR="00153B2D">
        <w:rPr>
          <w:rFonts w:ascii="Times New Roman" w:hAnsi="Times New Roman"/>
        </w:rPr>
        <w:t xml:space="preserve"> both “inward”</w:t>
      </w:r>
      <w:r w:rsidR="00504E95">
        <w:rPr>
          <w:rFonts w:ascii="Times New Roman" w:hAnsi="Times New Roman"/>
        </w:rPr>
        <w:t xml:space="preserve"> belief</w:t>
      </w:r>
      <w:r w:rsidR="00153B2D">
        <w:rPr>
          <w:rFonts w:ascii="Times New Roman" w:hAnsi="Times New Roman"/>
        </w:rPr>
        <w:t xml:space="preserve"> and its “outward” manifestation</w:t>
      </w:r>
      <w:r w:rsidR="00504E95">
        <w:rPr>
          <w:rFonts w:ascii="Times New Roman" w:hAnsi="Times New Roman"/>
        </w:rPr>
        <w:t>.  The</w:t>
      </w:r>
      <w:r w:rsidR="00153B2D">
        <w:rPr>
          <w:rFonts w:ascii="Times New Roman" w:hAnsi="Times New Roman"/>
        </w:rPr>
        <w:t xml:space="preserve"> notion</w:t>
      </w:r>
      <w:r w:rsidR="0051265B">
        <w:rPr>
          <w:rFonts w:ascii="Times New Roman" w:hAnsi="Times New Roman"/>
        </w:rPr>
        <w:t xml:space="preserve"> of judgment articulated around a</w:t>
      </w:r>
      <w:r w:rsidR="00504E95">
        <w:rPr>
          <w:rFonts w:ascii="Times New Roman" w:hAnsi="Times New Roman"/>
        </w:rPr>
        <w:t xml:space="preserve"> “web” renders belief</w:t>
      </w:r>
      <w:r w:rsidR="00F76C18">
        <w:rPr>
          <w:rFonts w:ascii="Times New Roman" w:hAnsi="Times New Roman"/>
        </w:rPr>
        <w:t xml:space="preserve"> both</w:t>
      </w:r>
      <w:r w:rsidR="00504E95">
        <w:rPr>
          <w:rFonts w:ascii="Times New Roman" w:hAnsi="Times New Roman"/>
        </w:rPr>
        <w:t xml:space="preserve"> shared and subject to </w:t>
      </w:r>
      <w:r w:rsidR="009F0A79">
        <w:rPr>
          <w:rFonts w:ascii="Times New Roman" w:hAnsi="Times New Roman"/>
        </w:rPr>
        <w:t>deliberation</w:t>
      </w:r>
      <w:r w:rsidR="00504E95">
        <w:rPr>
          <w:rFonts w:ascii="Times New Roman" w:hAnsi="Times New Roman"/>
        </w:rPr>
        <w:t xml:space="preserve"> </w:t>
      </w:r>
      <w:r w:rsidR="00F76C18">
        <w:rPr>
          <w:rFonts w:ascii="Times New Roman" w:hAnsi="Times New Roman"/>
        </w:rPr>
        <w:t>(</w:t>
      </w:r>
      <w:r w:rsidR="00504E95">
        <w:rPr>
          <w:rFonts w:ascii="Times New Roman" w:hAnsi="Times New Roman"/>
        </w:rPr>
        <w:t>and thus transformation</w:t>
      </w:r>
      <w:r w:rsidR="00F76C18">
        <w:rPr>
          <w:rFonts w:ascii="Times New Roman" w:hAnsi="Times New Roman"/>
        </w:rPr>
        <w:t>)</w:t>
      </w:r>
      <w:r w:rsidR="00504E95">
        <w:rPr>
          <w:rFonts w:ascii="Times New Roman" w:hAnsi="Times New Roman"/>
        </w:rPr>
        <w:t xml:space="preserve"> precisely because </w:t>
      </w:r>
      <w:r w:rsidR="0051265B">
        <w:rPr>
          <w:rFonts w:ascii="Times New Roman" w:hAnsi="Times New Roman"/>
        </w:rPr>
        <w:t>it</w:t>
      </w:r>
      <w:r w:rsidR="00712A8A">
        <w:rPr>
          <w:rFonts w:ascii="Times New Roman" w:hAnsi="Times New Roman"/>
        </w:rPr>
        <w:t xml:space="preserve"> travels through a multifaceted an inter-subjective process rather than being disc</w:t>
      </w:r>
      <w:r w:rsidR="0034515C">
        <w:rPr>
          <w:rFonts w:ascii="Times New Roman" w:hAnsi="Times New Roman"/>
        </w:rPr>
        <w:t xml:space="preserve">retely “held” and “expressed.”  </w:t>
      </w:r>
      <w:r w:rsidR="00712A8A">
        <w:rPr>
          <w:rFonts w:ascii="Times New Roman" w:hAnsi="Times New Roman"/>
        </w:rPr>
        <w:t xml:space="preserve">Moreover, it is this very process that enables </w:t>
      </w:r>
      <w:r w:rsidR="00E73741">
        <w:rPr>
          <w:rFonts w:ascii="Times New Roman" w:hAnsi="Times New Roman"/>
        </w:rPr>
        <w:t>an ongoing navigation of</w:t>
      </w:r>
      <w:r w:rsidR="00712A8A">
        <w:rPr>
          <w:rFonts w:ascii="Times New Roman" w:hAnsi="Times New Roman"/>
        </w:rPr>
        <w:t xml:space="preserve"> </w:t>
      </w:r>
      <w:r w:rsidR="00E73741">
        <w:rPr>
          <w:rFonts w:ascii="Times New Roman" w:hAnsi="Times New Roman"/>
        </w:rPr>
        <w:t>the</w:t>
      </w:r>
      <w:r w:rsidR="0051265B">
        <w:rPr>
          <w:rFonts w:ascii="Times New Roman" w:hAnsi="Times New Roman"/>
        </w:rPr>
        <w:t xml:space="preserve"> meanings and</w:t>
      </w:r>
      <w:r w:rsidR="00E73741">
        <w:rPr>
          <w:rFonts w:ascii="Times New Roman" w:hAnsi="Times New Roman"/>
        </w:rPr>
        <w:t xml:space="preserve"> relationship</w:t>
      </w:r>
      <w:r w:rsidR="00C34F47">
        <w:rPr>
          <w:rFonts w:ascii="Times New Roman" w:hAnsi="Times New Roman"/>
        </w:rPr>
        <w:t>s</w:t>
      </w:r>
      <w:r w:rsidR="00E73741">
        <w:rPr>
          <w:rFonts w:ascii="Times New Roman" w:hAnsi="Times New Roman"/>
        </w:rPr>
        <w:t xml:space="preserve"> between </w:t>
      </w:r>
      <w:r w:rsidR="00C47C7C">
        <w:rPr>
          <w:rFonts w:ascii="Times New Roman" w:hAnsi="Times New Roman"/>
        </w:rPr>
        <w:t xml:space="preserve">different </w:t>
      </w:r>
      <w:r w:rsidR="00E73741">
        <w:rPr>
          <w:rFonts w:ascii="Times New Roman" w:hAnsi="Times New Roman"/>
        </w:rPr>
        <w:t>inward and outward</w:t>
      </w:r>
      <w:r w:rsidR="00C47C7C">
        <w:rPr>
          <w:rFonts w:ascii="Times New Roman" w:hAnsi="Times New Roman"/>
        </w:rPr>
        <w:t xml:space="preserve"> things</w:t>
      </w:r>
      <w:r w:rsidR="00C34F47">
        <w:rPr>
          <w:rFonts w:ascii="Times New Roman" w:hAnsi="Times New Roman"/>
        </w:rPr>
        <w:t xml:space="preserve">—say, of the significance of religious ceremonies as it evolves in Locke’s own </w:t>
      </w:r>
      <w:r w:rsidR="008E06AB">
        <w:rPr>
          <w:rFonts w:ascii="Times New Roman" w:hAnsi="Times New Roman"/>
        </w:rPr>
        <w:t>oeuvre</w:t>
      </w:r>
      <w:r w:rsidR="00C34F47">
        <w:rPr>
          <w:rFonts w:ascii="Times New Roman" w:hAnsi="Times New Roman"/>
        </w:rPr>
        <w:t>.</w:t>
      </w:r>
      <w:r w:rsidR="00153B2D">
        <w:rPr>
          <w:rFonts w:ascii="Times New Roman" w:hAnsi="Times New Roman"/>
        </w:rPr>
        <w:t xml:space="preserve"> And finally, this process does not remain confined to the “web” but rather </w:t>
      </w:r>
      <w:r w:rsidR="0051265B">
        <w:rPr>
          <w:rFonts w:ascii="Times New Roman" w:hAnsi="Times New Roman"/>
        </w:rPr>
        <w:t>seeks</w:t>
      </w:r>
      <w:r w:rsidR="00153B2D">
        <w:rPr>
          <w:rFonts w:ascii="Times New Roman" w:hAnsi="Times New Roman"/>
        </w:rPr>
        <w:t xml:space="preserve"> to enact </w:t>
      </w:r>
      <w:r w:rsidR="00371784">
        <w:rPr>
          <w:rFonts w:ascii="Times New Roman" w:hAnsi="Times New Roman"/>
        </w:rPr>
        <w:t xml:space="preserve">shared </w:t>
      </w:r>
      <w:r w:rsidR="00153B2D">
        <w:rPr>
          <w:rFonts w:ascii="Times New Roman" w:hAnsi="Times New Roman"/>
        </w:rPr>
        <w:t>judging practices more broadly in its orientation toward a “critical lay public”—one likewise expected to exercise its faculty of judgment.</w:t>
      </w:r>
      <w:r w:rsidR="00920BE8">
        <w:rPr>
          <w:rFonts w:ascii="Times New Roman" w:hAnsi="Times New Roman"/>
        </w:rPr>
        <w:t xml:space="preserve">  In contrast to the epistemologically-isolated magistrate deciding what and whom to tolerate, here we end up with churches, their various actors, and the public at large conceived as mutual participators within a</w:t>
      </w:r>
      <w:r w:rsidR="005D65E7">
        <w:rPr>
          <w:rFonts w:ascii="Times New Roman" w:hAnsi="Times New Roman"/>
        </w:rPr>
        <w:t xml:space="preserve">n ongoing </w:t>
      </w:r>
      <w:r w:rsidR="00920BE8">
        <w:rPr>
          <w:rFonts w:ascii="Times New Roman" w:hAnsi="Times New Roman"/>
        </w:rPr>
        <w:t>process</w:t>
      </w:r>
      <w:r w:rsidR="005D65E7">
        <w:rPr>
          <w:rFonts w:ascii="Times New Roman" w:hAnsi="Times New Roman"/>
        </w:rPr>
        <w:t>.</w:t>
      </w:r>
    </w:p>
    <w:p w14:paraId="48E5A9BB" w14:textId="592C16DA" w:rsidR="001815F3" w:rsidRDefault="008B0271" w:rsidP="00E73741">
      <w:pPr>
        <w:pStyle w:val="NoSpacing"/>
        <w:spacing w:line="480" w:lineRule="auto"/>
        <w:ind w:firstLine="720"/>
        <w:rPr>
          <w:rFonts w:ascii="Times New Roman" w:hAnsi="Times New Roman"/>
        </w:rPr>
      </w:pPr>
      <w:r>
        <w:rPr>
          <w:rFonts w:ascii="Times New Roman" w:hAnsi="Times New Roman"/>
        </w:rPr>
        <w:t xml:space="preserve">Locke’s “heretical” </w:t>
      </w:r>
      <w:r w:rsidR="0051265B">
        <w:rPr>
          <w:rFonts w:ascii="Times New Roman" w:hAnsi="Times New Roman"/>
        </w:rPr>
        <w:t>quip</w:t>
      </w:r>
      <w:r>
        <w:rPr>
          <w:rFonts w:ascii="Times New Roman" w:hAnsi="Times New Roman"/>
        </w:rPr>
        <w:t xml:space="preserve"> is, indeed, at the core of this </w:t>
      </w:r>
      <w:r w:rsidR="00F76C18">
        <w:rPr>
          <w:rFonts w:ascii="Times New Roman" w:hAnsi="Times New Roman"/>
        </w:rPr>
        <w:t>process.  And</w:t>
      </w:r>
      <w:r>
        <w:rPr>
          <w:rFonts w:ascii="Times New Roman" w:hAnsi="Times New Roman"/>
        </w:rPr>
        <w:t xml:space="preserve"> while Marshall</w:t>
      </w:r>
      <w:r w:rsidR="0051265B">
        <w:rPr>
          <w:rFonts w:ascii="Times New Roman" w:hAnsi="Times New Roman"/>
        </w:rPr>
        <w:t xml:space="preserve"> interprets </w:t>
      </w:r>
      <w:r w:rsidR="00371784">
        <w:rPr>
          <w:rFonts w:ascii="Times New Roman" w:hAnsi="Times New Roman"/>
        </w:rPr>
        <w:t>this</w:t>
      </w:r>
      <w:r w:rsidR="0051265B">
        <w:rPr>
          <w:rFonts w:ascii="Times New Roman" w:hAnsi="Times New Roman"/>
        </w:rPr>
        <w:t xml:space="preserve"> designation for one of </w:t>
      </w:r>
      <w:r w:rsidR="00371784">
        <w:rPr>
          <w:rFonts w:ascii="Times New Roman" w:hAnsi="Times New Roman"/>
        </w:rPr>
        <w:t>Locke’s</w:t>
      </w:r>
      <w:r w:rsidR="0051265B">
        <w:rPr>
          <w:rFonts w:ascii="Times New Roman" w:hAnsi="Times New Roman"/>
        </w:rPr>
        <w:t xml:space="preserve"> discussion circles</w:t>
      </w:r>
      <w:r w:rsidR="00371784">
        <w:rPr>
          <w:rFonts w:ascii="Times New Roman" w:hAnsi="Times New Roman"/>
        </w:rPr>
        <w:t xml:space="preserve"> as an “attack” on the</w:t>
      </w:r>
      <w:r w:rsidR="003463C9">
        <w:rPr>
          <w:rFonts w:ascii="Times New Roman" w:hAnsi="Times New Roman"/>
        </w:rPr>
        <w:t xml:space="preserve"> “conventional </w:t>
      </w:r>
      <w:r w:rsidR="00371784">
        <w:rPr>
          <w:rFonts w:ascii="Times New Roman" w:hAnsi="Times New Roman"/>
        </w:rPr>
        <w:t>definition</w:t>
      </w:r>
      <w:r w:rsidR="003463C9">
        <w:rPr>
          <w:rFonts w:ascii="Times New Roman" w:hAnsi="Times New Roman"/>
        </w:rPr>
        <w:t>”</w:t>
      </w:r>
      <w:r w:rsidR="00371784">
        <w:rPr>
          <w:rFonts w:ascii="Times New Roman" w:hAnsi="Times New Roman"/>
        </w:rPr>
        <w:t xml:space="preserve"> of “heretic,”</w:t>
      </w:r>
      <w:r w:rsidR="003463C9">
        <w:rPr>
          <w:rFonts w:ascii="Times New Roman" w:hAnsi="Times New Roman"/>
        </w:rPr>
        <w:t xml:space="preserve"> I want to bring attention</w:t>
      </w:r>
      <w:r w:rsidR="003824E1">
        <w:rPr>
          <w:rFonts w:ascii="Times New Roman" w:hAnsi="Times New Roman"/>
        </w:rPr>
        <w:t xml:space="preserve"> to the rhetorical dynamic that renders</w:t>
      </w:r>
      <w:r w:rsidR="003463C9">
        <w:rPr>
          <w:rFonts w:ascii="Times New Roman" w:hAnsi="Times New Roman"/>
        </w:rPr>
        <w:t xml:space="preserve"> such a</w:t>
      </w:r>
      <w:r w:rsidR="0092442D">
        <w:rPr>
          <w:rFonts w:ascii="Times New Roman" w:hAnsi="Times New Roman"/>
        </w:rPr>
        <w:t>n interpretation</w:t>
      </w:r>
      <w:r w:rsidR="003824E1">
        <w:rPr>
          <w:rFonts w:ascii="Times New Roman" w:hAnsi="Times New Roman"/>
        </w:rPr>
        <w:t xml:space="preserve"> possible</w:t>
      </w:r>
      <w:r w:rsidR="003463C9">
        <w:rPr>
          <w:rFonts w:ascii="Times New Roman" w:hAnsi="Times New Roman"/>
        </w:rPr>
        <w:t>.  Namely, Locke’s</w:t>
      </w:r>
      <w:r w:rsidR="002E1054">
        <w:rPr>
          <w:rFonts w:ascii="Times New Roman" w:hAnsi="Times New Roman"/>
        </w:rPr>
        <w:t xml:space="preserve"> </w:t>
      </w:r>
      <w:r w:rsidR="003463C9">
        <w:rPr>
          <w:rFonts w:ascii="Times New Roman" w:hAnsi="Times New Roman"/>
        </w:rPr>
        <w:t>presentation of some ostensibly “settled” concept in a new and surprising light; or, in other words, his</w:t>
      </w:r>
      <w:r w:rsidR="002E1054">
        <w:rPr>
          <w:rFonts w:ascii="Times New Roman" w:hAnsi="Times New Roman"/>
        </w:rPr>
        <w:t xml:space="preserve"> </w:t>
      </w:r>
      <w:r w:rsidR="003463C9">
        <w:rPr>
          <w:rFonts w:ascii="Times New Roman" w:hAnsi="Times New Roman"/>
        </w:rPr>
        <w:t xml:space="preserve">assemblage of apparently disparate ideas (“heretic”; “discussion”; “judgment”) </w:t>
      </w:r>
      <w:r w:rsidR="002E1054">
        <w:rPr>
          <w:rFonts w:ascii="Times New Roman" w:hAnsi="Times New Roman"/>
        </w:rPr>
        <w:t xml:space="preserve">that in turn amuses, confounds, and prompts the faculty of judgment into deliberating over </w:t>
      </w:r>
      <w:r w:rsidR="002E1054">
        <w:rPr>
          <w:rFonts w:ascii="Times New Roman" w:hAnsi="Times New Roman"/>
          <w:i/>
        </w:rPr>
        <w:t>how</w:t>
      </w:r>
      <w:r w:rsidR="002E1054">
        <w:rPr>
          <w:rFonts w:ascii="Times New Roman" w:hAnsi="Times New Roman"/>
        </w:rPr>
        <w:t xml:space="preserve"> these terms </w:t>
      </w:r>
      <w:r w:rsidR="00CB41C2">
        <w:rPr>
          <w:rFonts w:ascii="Times New Roman" w:hAnsi="Times New Roman"/>
        </w:rPr>
        <w:t>can be conceptualized anew</w:t>
      </w:r>
      <w:r w:rsidR="002E1054">
        <w:rPr>
          <w:rFonts w:ascii="Times New Roman" w:hAnsi="Times New Roman"/>
        </w:rPr>
        <w:t xml:space="preserve">.  </w:t>
      </w:r>
      <w:r w:rsidR="00143AB1">
        <w:rPr>
          <w:rFonts w:ascii="Times New Roman" w:hAnsi="Times New Roman"/>
        </w:rPr>
        <w:t>Or, finally, an instance of the</w:t>
      </w:r>
      <w:r w:rsidR="006A635E">
        <w:rPr>
          <w:rFonts w:ascii="Times New Roman" w:hAnsi="Times New Roman"/>
        </w:rPr>
        <w:t xml:space="preserve"> interactive dynamic between wit and judgment </w:t>
      </w:r>
      <w:r w:rsidR="00AE0DB7">
        <w:rPr>
          <w:rFonts w:ascii="Times New Roman" w:hAnsi="Times New Roman"/>
        </w:rPr>
        <w:t>undergirding</w:t>
      </w:r>
      <w:r w:rsidR="006A635E">
        <w:rPr>
          <w:rFonts w:ascii="Times New Roman" w:hAnsi="Times New Roman"/>
        </w:rPr>
        <w:t xml:space="preserve"> Locke’s own intervention into </w:t>
      </w:r>
      <w:r w:rsidR="00460B8B">
        <w:rPr>
          <w:rFonts w:ascii="Times New Roman" w:hAnsi="Times New Roman"/>
        </w:rPr>
        <w:t xml:space="preserve">a </w:t>
      </w:r>
      <w:r w:rsidR="005D65E7">
        <w:rPr>
          <w:rFonts w:ascii="Times New Roman" w:hAnsi="Times New Roman"/>
        </w:rPr>
        <w:t>dynamic</w:t>
      </w:r>
      <w:r w:rsidR="00460B8B">
        <w:rPr>
          <w:rFonts w:ascii="Times New Roman" w:hAnsi="Times New Roman"/>
        </w:rPr>
        <w:t xml:space="preserve"> that shapes how </w:t>
      </w:r>
      <w:r w:rsidR="00CB41C2">
        <w:rPr>
          <w:rFonts w:ascii="Times New Roman" w:hAnsi="Times New Roman"/>
        </w:rPr>
        <w:t>toleration</w:t>
      </w:r>
      <w:r w:rsidR="00371784">
        <w:rPr>
          <w:rFonts w:ascii="Times New Roman" w:hAnsi="Times New Roman"/>
        </w:rPr>
        <w:t xml:space="preserve"> </w:t>
      </w:r>
      <w:r w:rsidR="005D65E7">
        <w:rPr>
          <w:rFonts w:ascii="Times New Roman" w:hAnsi="Times New Roman"/>
        </w:rPr>
        <w:t>comes</w:t>
      </w:r>
      <w:r w:rsidR="00CB41C2">
        <w:rPr>
          <w:rFonts w:ascii="Times New Roman" w:hAnsi="Times New Roman"/>
        </w:rPr>
        <w:t xml:space="preserve"> to be</w:t>
      </w:r>
      <w:r w:rsidR="00460B8B">
        <w:rPr>
          <w:rFonts w:ascii="Times New Roman" w:hAnsi="Times New Roman"/>
        </w:rPr>
        <w:t xml:space="preserve"> understood and practiced.</w:t>
      </w:r>
      <w:r w:rsidR="00E2135F">
        <w:rPr>
          <w:rFonts w:ascii="Times New Roman" w:hAnsi="Times New Roman"/>
        </w:rPr>
        <w:t xml:space="preserve">  </w:t>
      </w:r>
    </w:p>
    <w:p w14:paraId="134564CE" w14:textId="3D795644" w:rsidR="00BB4928" w:rsidRPr="0069665D" w:rsidRDefault="00E47E3D" w:rsidP="0069665D">
      <w:pPr>
        <w:pStyle w:val="NoSpacing"/>
        <w:spacing w:line="480" w:lineRule="auto"/>
        <w:ind w:firstLine="720"/>
        <w:rPr>
          <w:rFonts w:ascii="Times New Roman" w:hAnsi="Times New Roman"/>
        </w:rPr>
      </w:pPr>
      <w:r>
        <w:rPr>
          <w:rFonts w:ascii="Times New Roman" w:hAnsi="Times New Roman"/>
        </w:rPr>
        <w:lastRenderedPageBreak/>
        <w:t>While a</w:t>
      </w:r>
      <w:r w:rsidR="00EC241F">
        <w:rPr>
          <w:rFonts w:ascii="Times New Roman" w:hAnsi="Times New Roman"/>
        </w:rPr>
        <w:t>n</w:t>
      </w:r>
      <w:r w:rsidR="00E2135F">
        <w:rPr>
          <w:rFonts w:ascii="Times New Roman" w:hAnsi="Times New Roman"/>
        </w:rPr>
        <w:t xml:space="preserve"> exhaustive</w:t>
      </w:r>
      <w:r w:rsidR="00EC241F">
        <w:rPr>
          <w:rFonts w:ascii="Times New Roman" w:hAnsi="Times New Roman"/>
        </w:rPr>
        <w:t xml:space="preserve"> </w:t>
      </w:r>
      <w:r w:rsidR="00891D8B">
        <w:rPr>
          <w:rFonts w:ascii="Times New Roman" w:hAnsi="Times New Roman"/>
        </w:rPr>
        <w:t xml:space="preserve">account of </w:t>
      </w:r>
      <w:r w:rsidR="00E2135F">
        <w:rPr>
          <w:rFonts w:ascii="Times New Roman" w:hAnsi="Times New Roman"/>
        </w:rPr>
        <w:t xml:space="preserve">the </w:t>
      </w:r>
      <w:r w:rsidR="00E2135F">
        <w:rPr>
          <w:rFonts w:ascii="Times New Roman" w:hAnsi="Times New Roman"/>
          <w:i/>
        </w:rPr>
        <w:t>Letter</w:t>
      </w:r>
      <w:r w:rsidR="00E2135F">
        <w:rPr>
          <w:rFonts w:ascii="Times New Roman" w:hAnsi="Times New Roman"/>
        </w:rPr>
        <w:t>’s different</w:t>
      </w:r>
      <w:r w:rsidR="00891D8B">
        <w:rPr>
          <w:rFonts w:ascii="Times New Roman" w:hAnsi="Times New Roman"/>
        </w:rPr>
        <w:t xml:space="preserve"> assemblages is outside</w:t>
      </w:r>
      <w:r w:rsidR="004764C3">
        <w:rPr>
          <w:rFonts w:ascii="Times New Roman" w:hAnsi="Times New Roman"/>
        </w:rPr>
        <w:t xml:space="preserve"> the scope of this paper, </w:t>
      </w:r>
      <w:r w:rsidR="00371784">
        <w:rPr>
          <w:rFonts w:ascii="Times New Roman" w:hAnsi="Times New Roman"/>
        </w:rPr>
        <w:t>the above</w:t>
      </w:r>
      <w:r w:rsidR="00F2585C">
        <w:rPr>
          <w:rFonts w:ascii="Times New Roman" w:hAnsi="Times New Roman"/>
        </w:rPr>
        <w:t xml:space="preserve"> discussion of </w:t>
      </w:r>
      <w:r w:rsidR="00371784">
        <w:rPr>
          <w:rFonts w:ascii="Times New Roman" w:hAnsi="Times New Roman"/>
        </w:rPr>
        <w:t>its</w:t>
      </w:r>
      <w:r w:rsidR="00F2585C">
        <w:rPr>
          <w:rFonts w:ascii="Times New Roman" w:hAnsi="Times New Roman"/>
        </w:rPr>
        <w:t xml:space="preserve"> conception of a church should reveal the hermeneutical direction that opens once we foreground Lockean judgment in our approach to the </w:t>
      </w:r>
      <w:r w:rsidR="00F2585C">
        <w:rPr>
          <w:rFonts w:ascii="Times New Roman" w:hAnsi="Times New Roman"/>
          <w:i/>
        </w:rPr>
        <w:t>Letter</w:t>
      </w:r>
      <w:r w:rsidR="00F2585C">
        <w:rPr>
          <w:rFonts w:ascii="Times New Roman" w:hAnsi="Times New Roman"/>
        </w:rPr>
        <w:t xml:space="preserve">.  A “definition” such as that of the church begins to function less like a set of settled facts from which the magistrate can proceed with tolerationist or persecutory policies and more as itself an invitation to judge—an assemblage </w:t>
      </w:r>
      <w:r w:rsidR="00756C43">
        <w:rPr>
          <w:rFonts w:ascii="Times New Roman" w:hAnsi="Times New Roman"/>
        </w:rPr>
        <w:t>that, too,</w:t>
      </w:r>
      <w:r w:rsidR="00F2585C">
        <w:rPr>
          <w:rFonts w:ascii="Times New Roman" w:hAnsi="Times New Roman"/>
        </w:rPr>
        <w:t xml:space="preserve"> requires “separating carefully.”</w:t>
      </w:r>
      <w:r w:rsidR="000B586C">
        <w:rPr>
          <w:rFonts w:ascii="Times New Roman" w:hAnsi="Times New Roman"/>
        </w:rPr>
        <w:t xml:space="preserve"> </w:t>
      </w:r>
      <w:r w:rsidR="001815F3">
        <w:rPr>
          <w:rFonts w:ascii="Times New Roman" w:hAnsi="Times New Roman"/>
        </w:rPr>
        <w:t xml:space="preserve">Thus we have the beginnings of a </w:t>
      </w:r>
      <w:r w:rsidR="001F1C50">
        <w:rPr>
          <w:rFonts w:ascii="Times New Roman" w:hAnsi="Times New Roman"/>
        </w:rPr>
        <w:t>non-magisterial mode of judgment:</w:t>
      </w:r>
      <w:r w:rsidR="001815F3">
        <w:rPr>
          <w:rFonts w:ascii="Times New Roman" w:hAnsi="Times New Roman"/>
        </w:rPr>
        <w:t xml:space="preserve"> </w:t>
      </w:r>
      <w:r w:rsidR="001F1C50">
        <w:rPr>
          <w:rFonts w:ascii="Times New Roman" w:hAnsi="Times New Roman"/>
        </w:rPr>
        <w:t>b</w:t>
      </w:r>
      <w:r w:rsidR="001815F3">
        <w:rPr>
          <w:rFonts w:ascii="Times New Roman" w:hAnsi="Times New Roman"/>
        </w:rPr>
        <w:t>etween subject and m</w:t>
      </w:r>
      <w:r w:rsidR="00F76C18">
        <w:rPr>
          <w:rFonts w:ascii="Times New Roman" w:hAnsi="Times New Roman"/>
        </w:rPr>
        <w:t>agistrate is an ongoing</w:t>
      </w:r>
      <w:r w:rsidR="009F0A79">
        <w:rPr>
          <w:rFonts w:ascii="Times New Roman" w:hAnsi="Times New Roman"/>
        </w:rPr>
        <w:t xml:space="preserve"> </w:t>
      </w:r>
      <w:r w:rsidR="00F76C18">
        <w:rPr>
          <w:rFonts w:ascii="Times New Roman" w:hAnsi="Times New Roman"/>
        </w:rPr>
        <w:t>navigation of</w:t>
      </w:r>
      <w:r w:rsidR="001815F3" w:rsidRPr="001815F3">
        <w:rPr>
          <w:rFonts w:ascii="Times New Roman" w:hAnsi="Times New Roman"/>
        </w:rPr>
        <w:t xml:space="preserve"> </w:t>
      </w:r>
      <w:r w:rsidR="00344094">
        <w:rPr>
          <w:rFonts w:ascii="Times New Roman" w:hAnsi="Times New Roman"/>
        </w:rPr>
        <w:t xml:space="preserve">existing spaces, languages, and </w:t>
      </w:r>
      <w:r w:rsidR="001815F3" w:rsidRPr="001815F3">
        <w:rPr>
          <w:rFonts w:ascii="Times New Roman" w:hAnsi="Times New Roman"/>
        </w:rPr>
        <w:t>political commitments</w:t>
      </w:r>
      <w:r w:rsidR="005327D5">
        <w:rPr>
          <w:rFonts w:ascii="Times New Roman" w:hAnsi="Times New Roman"/>
        </w:rPr>
        <w:t xml:space="preserve"> </w:t>
      </w:r>
      <w:r w:rsidR="00F76C18">
        <w:rPr>
          <w:rFonts w:ascii="Times New Roman" w:hAnsi="Times New Roman"/>
        </w:rPr>
        <w:t>that constitutes the process</w:t>
      </w:r>
      <w:r w:rsidR="0012151C">
        <w:rPr>
          <w:rFonts w:ascii="Times New Roman" w:hAnsi="Times New Roman"/>
        </w:rPr>
        <w:t xml:space="preserve"> of judgment formation.</w:t>
      </w:r>
      <w:r w:rsidR="00F76C18">
        <w:rPr>
          <w:rFonts w:ascii="Times New Roman" w:hAnsi="Times New Roman"/>
        </w:rPr>
        <w:t xml:space="preserve"> </w:t>
      </w:r>
      <w:r w:rsidR="009F0A79">
        <w:rPr>
          <w:rFonts w:ascii="Times New Roman" w:hAnsi="Times New Roman"/>
        </w:rPr>
        <w:t>This</w:t>
      </w:r>
      <w:r w:rsidR="0069665D">
        <w:rPr>
          <w:rFonts w:ascii="Times New Roman" w:hAnsi="Times New Roman"/>
        </w:rPr>
        <w:t xml:space="preserve"> navigation</w:t>
      </w:r>
      <w:r w:rsidR="00F76C18">
        <w:rPr>
          <w:rFonts w:ascii="Times New Roman" w:hAnsi="Times New Roman"/>
        </w:rPr>
        <w:t xml:space="preserve"> mediates</w:t>
      </w:r>
      <w:r w:rsidR="00553EE7">
        <w:rPr>
          <w:rFonts w:ascii="Times New Roman" w:hAnsi="Times New Roman"/>
        </w:rPr>
        <w:t xml:space="preserve"> </w:t>
      </w:r>
      <w:r w:rsidR="00F76C18">
        <w:rPr>
          <w:rFonts w:ascii="Times New Roman" w:hAnsi="Times New Roman"/>
        </w:rPr>
        <w:t xml:space="preserve">the capacity to reduce </w:t>
      </w:r>
      <w:r w:rsidR="0069665D">
        <w:rPr>
          <w:rFonts w:ascii="Times New Roman" w:hAnsi="Times New Roman"/>
        </w:rPr>
        <w:t>categories</w:t>
      </w:r>
      <w:r w:rsidR="00F76C18">
        <w:rPr>
          <w:rFonts w:ascii="Times New Roman" w:hAnsi="Times New Roman"/>
        </w:rPr>
        <w:t xml:space="preserve"> to certain discrete, static, and individuated manifestations amenable to magisterial action</w:t>
      </w:r>
      <w:r w:rsidR="005D65E7">
        <w:rPr>
          <w:rFonts w:ascii="Times New Roman" w:hAnsi="Times New Roman"/>
        </w:rPr>
        <w:t xml:space="preserve">, and thus provides the basis to </w:t>
      </w:r>
      <w:r w:rsidR="00054706">
        <w:rPr>
          <w:rFonts w:ascii="Times New Roman" w:hAnsi="Times New Roman"/>
        </w:rPr>
        <w:t>resist</w:t>
      </w:r>
      <w:r w:rsidR="005D65E7">
        <w:rPr>
          <w:rFonts w:ascii="Times New Roman" w:hAnsi="Times New Roman"/>
        </w:rPr>
        <w:t xml:space="preserve"> any such reduction</w:t>
      </w:r>
      <w:r w:rsidR="004127BD">
        <w:rPr>
          <w:rFonts w:ascii="Times New Roman" w:hAnsi="Times New Roman"/>
        </w:rPr>
        <w:t xml:space="preserve">. </w:t>
      </w:r>
      <w:bookmarkStart w:id="0" w:name="_GoBack"/>
      <w:bookmarkEnd w:id="0"/>
      <w:r w:rsidR="003A6517">
        <w:rPr>
          <w:rFonts w:ascii="Times New Roman" w:hAnsi="Times New Roman"/>
        </w:rPr>
        <w:t>More so than</w:t>
      </w:r>
      <w:r w:rsidR="00344094">
        <w:rPr>
          <w:rFonts w:ascii="Times New Roman" w:hAnsi="Times New Roman"/>
        </w:rPr>
        <w:t xml:space="preserve"> a simple “decision” made by the state, Lockean toleration </w:t>
      </w:r>
      <w:r w:rsidR="003A6517">
        <w:rPr>
          <w:rFonts w:ascii="Times New Roman" w:hAnsi="Times New Roman"/>
        </w:rPr>
        <w:t>registers</w:t>
      </w:r>
      <w:r w:rsidR="00344094">
        <w:rPr>
          <w:rFonts w:ascii="Times New Roman" w:hAnsi="Times New Roman"/>
        </w:rPr>
        <w:t xml:space="preserve"> persistent questions concerning the</w:t>
      </w:r>
      <w:r w:rsidR="003A6517">
        <w:rPr>
          <w:rFonts w:ascii="Times New Roman" w:hAnsi="Times New Roman"/>
        </w:rPr>
        <w:t xml:space="preserve"> relationship of both church and state to the</w:t>
      </w:r>
      <w:r w:rsidR="009F0A79">
        <w:rPr>
          <w:rFonts w:ascii="Times New Roman" w:hAnsi="Times New Roman"/>
        </w:rPr>
        <w:t xml:space="preserve"> capacity for </w:t>
      </w:r>
      <w:r w:rsidR="00344094">
        <w:rPr>
          <w:rFonts w:ascii="Times New Roman" w:hAnsi="Times New Roman"/>
        </w:rPr>
        <w:t>judgment</w:t>
      </w:r>
      <w:r w:rsidR="008E06AB">
        <w:rPr>
          <w:rFonts w:ascii="Times New Roman" w:hAnsi="Times New Roman"/>
        </w:rPr>
        <w:t xml:space="preserve"> as it is navigated through the different elements of social life</w:t>
      </w:r>
      <w:r w:rsidR="00344094">
        <w:rPr>
          <w:rFonts w:ascii="Times New Roman" w:hAnsi="Times New Roman"/>
        </w:rPr>
        <w:t xml:space="preserve">. </w:t>
      </w:r>
      <w:r w:rsidR="00F76C18">
        <w:rPr>
          <w:rFonts w:ascii="Times New Roman" w:hAnsi="Times New Roman"/>
        </w:rPr>
        <w:t xml:space="preserve"> </w:t>
      </w:r>
      <w:r w:rsidR="0069665D">
        <w:rPr>
          <w:rFonts w:ascii="Times New Roman" w:hAnsi="Times New Roman"/>
        </w:rPr>
        <w:t>It is into this</w:t>
      </w:r>
      <w:r w:rsidR="00553EE7">
        <w:rPr>
          <w:rFonts w:ascii="Times New Roman" w:hAnsi="Times New Roman"/>
        </w:rPr>
        <w:t xml:space="preserve"> </w:t>
      </w:r>
      <w:r w:rsidR="0069665D">
        <w:rPr>
          <w:rFonts w:ascii="Times New Roman" w:hAnsi="Times New Roman"/>
        </w:rPr>
        <w:t xml:space="preserve">navigation that </w:t>
      </w:r>
      <w:r w:rsidR="00344094">
        <w:rPr>
          <w:rFonts w:ascii="Times New Roman" w:hAnsi="Times New Roman"/>
        </w:rPr>
        <w:t>the</w:t>
      </w:r>
      <w:r w:rsidR="0069665D">
        <w:rPr>
          <w:rFonts w:ascii="Times New Roman" w:hAnsi="Times New Roman"/>
        </w:rPr>
        <w:t xml:space="preserve"> </w:t>
      </w:r>
      <w:r w:rsidR="0069665D">
        <w:rPr>
          <w:rFonts w:ascii="Times New Roman" w:hAnsi="Times New Roman"/>
          <w:i/>
        </w:rPr>
        <w:t xml:space="preserve">Letter </w:t>
      </w:r>
      <w:r w:rsidR="0069665D">
        <w:rPr>
          <w:rFonts w:ascii="Times New Roman" w:hAnsi="Times New Roman"/>
        </w:rPr>
        <w:t>intervenes.</w:t>
      </w:r>
    </w:p>
    <w:p w14:paraId="4C4034FF" w14:textId="77777777" w:rsidR="005D65E7" w:rsidRDefault="005D65E7" w:rsidP="00BB4928">
      <w:pPr>
        <w:pStyle w:val="NoSpacing"/>
        <w:spacing w:line="480" w:lineRule="auto"/>
        <w:rPr>
          <w:rFonts w:ascii="Times New Roman" w:hAnsi="Times New Roman"/>
          <w:b/>
        </w:rPr>
      </w:pPr>
    </w:p>
    <w:p w14:paraId="6838FD3D" w14:textId="6265043A" w:rsidR="00BB4928" w:rsidRDefault="00BB4928" w:rsidP="00BB4928">
      <w:pPr>
        <w:pStyle w:val="NoSpacing"/>
        <w:spacing w:line="480" w:lineRule="auto"/>
        <w:rPr>
          <w:rFonts w:ascii="Times New Roman" w:hAnsi="Times New Roman"/>
          <w:b/>
        </w:rPr>
      </w:pPr>
      <w:r>
        <w:rPr>
          <w:rFonts w:ascii="Times New Roman" w:hAnsi="Times New Roman"/>
          <w:b/>
        </w:rPr>
        <w:t>Conclusion</w:t>
      </w:r>
    </w:p>
    <w:p w14:paraId="70C8C4AE" w14:textId="23BFC8BE" w:rsidR="008E1E08" w:rsidRDefault="008E1E08" w:rsidP="00E07F1B">
      <w:pPr>
        <w:pStyle w:val="NoSpacing"/>
        <w:spacing w:line="480" w:lineRule="auto"/>
        <w:ind w:firstLine="720"/>
        <w:rPr>
          <w:rFonts w:ascii="Times New Roman" w:hAnsi="Times New Roman" w:cs="Times New Roman"/>
        </w:rPr>
      </w:pPr>
      <w:r>
        <w:rPr>
          <w:rFonts w:ascii="Times New Roman" w:hAnsi="Times New Roman"/>
        </w:rPr>
        <w:t>I</w:t>
      </w:r>
      <w:r w:rsidR="00A86FC9">
        <w:rPr>
          <w:rFonts w:ascii="Times New Roman" w:hAnsi="Times New Roman"/>
        </w:rPr>
        <w:t xml:space="preserve">n arguing that a </w:t>
      </w:r>
      <w:r>
        <w:rPr>
          <w:rFonts w:ascii="Times New Roman" w:hAnsi="Times New Roman"/>
        </w:rPr>
        <w:t>dynamic process of judgment formation undergirds Locke’s defense of tol</w:t>
      </w:r>
      <w:r w:rsidR="00A30548">
        <w:rPr>
          <w:rFonts w:ascii="Times New Roman" w:hAnsi="Times New Roman"/>
        </w:rPr>
        <w:t>eration, this essay has challenged the</w:t>
      </w:r>
      <w:r>
        <w:rPr>
          <w:rFonts w:ascii="Times New Roman" w:hAnsi="Times New Roman"/>
        </w:rPr>
        <w:t xml:space="preserve"> two </w:t>
      </w:r>
      <w:r w:rsidR="00A30548">
        <w:rPr>
          <w:rFonts w:ascii="Times New Roman" w:hAnsi="Times New Roman"/>
        </w:rPr>
        <w:t>types of refutations of Lockean tol</w:t>
      </w:r>
      <w:r w:rsidR="008E06AB">
        <w:rPr>
          <w:rFonts w:ascii="Times New Roman" w:hAnsi="Times New Roman"/>
        </w:rPr>
        <w:t xml:space="preserve">eration in two different ways.  </w:t>
      </w:r>
      <w:r w:rsidR="00A30548">
        <w:rPr>
          <w:rFonts w:ascii="Times New Roman" w:hAnsi="Times New Roman"/>
        </w:rPr>
        <w:t xml:space="preserve">Contra Waldron’s “moral” refutation, it has resisted </w:t>
      </w:r>
      <w:r w:rsidR="00214288">
        <w:rPr>
          <w:rFonts w:ascii="Times New Roman" w:hAnsi="Times New Roman"/>
        </w:rPr>
        <w:t>the</w:t>
      </w:r>
      <w:r w:rsidR="00A30548">
        <w:rPr>
          <w:rFonts w:ascii="Times New Roman" w:hAnsi="Times New Roman"/>
        </w:rPr>
        <w:t xml:space="preserve"> picture of magisterial power that leaves subjects</w:t>
      </w:r>
      <w:r w:rsidR="0034515C">
        <w:rPr>
          <w:rFonts w:ascii="Times New Roman" w:hAnsi="Times New Roman"/>
        </w:rPr>
        <w:t>’ “surrounding apparatuses”</w:t>
      </w:r>
      <w:r w:rsidR="00A30548">
        <w:rPr>
          <w:rFonts w:ascii="Times New Roman" w:hAnsi="Times New Roman"/>
        </w:rPr>
        <w:t xml:space="preserve"> perennially exposed to coercive magisterial intervention: even if a Lockean magistrate were to engage his subjects’ judgments as discrete, individuated, and static manifestations, at the very least the </w:t>
      </w:r>
      <w:r w:rsidR="00A30548">
        <w:rPr>
          <w:rFonts w:ascii="Times New Roman" w:hAnsi="Times New Roman"/>
          <w:i/>
        </w:rPr>
        <w:t>Letter</w:t>
      </w:r>
      <w:r w:rsidR="00A30548">
        <w:rPr>
          <w:rFonts w:ascii="Times New Roman" w:hAnsi="Times New Roman"/>
        </w:rPr>
        <w:t xml:space="preserve"> and </w:t>
      </w:r>
      <w:r w:rsidR="00A30548">
        <w:rPr>
          <w:rFonts w:ascii="Times New Roman" w:hAnsi="Times New Roman"/>
          <w:i/>
        </w:rPr>
        <w:t xml:space="preserve">Essay </w:t>
      </w:r>
      <w:r w:rsidR="00A30548">
        <w:rPr>
          <w:rFonts w:ascii="Times New Roman" w:hAnsi="Times New Roman"/>
        </w:rPr>
        <w:t>enable subjects to negotiate the content of such manifestations given the interactive dynamics of wit and judgment—much li</w:t>
      </w:r>
      <w:r w:rsidR="00A86FC9">
        <w:rPr>
          <w:rFonts w:ascii="Times New Roman" w:hAnsi="Times New Roman"/>
        </w:rPr>
        <w:t xml:space="preserve">ke Locke himself did.  </w:t>
      </w:r>
      <w:r w:rsidR="00214288">
        <w:rPr>
          <w:rFonts w:ascii="Times New Roman" w:hAnsi="Times New Roman"/>
        </w:rPr>
        <w:t>Moreover, contra McClure and Brown’s “discursive” refutations, it has resisted the picture of subjects constituted through a hierarchy</w:t>
      </w:r>
      <w:r w:rsidR="00C92F07">
        <w:rPr>
          <w:rFonts w:ascii="Times New Roman" w:hAnsi="Times New Roman"/>
        </w:rPr>
        <w:t xml:space="preserve"> of</w:t>
      </w:r>
      <w:r w:rsidR="007D7CF4">
        <w:rPr>
          <w:rFonts w:ascii="Times New Roman" w:hAnsi="Times New Roman"/>
        </w:rPr>
        <w:t xml:space="preserve"> objective state interest and</w:t>
      </w:r>
      <w:r w:rsidR="00214288">
        <w:rPr>
          <w:rFonts w:ascii="Times New Roman" w:hAnsi="Times New Roman"/>
        </w:rPr>
        <w:t xml:space="preserve"> stable, prepolitical identities with the suggestion that, at the very least, the</w:t>
      </w:r>
      <w:r w:rsidR="00A62F3F">
        <w:rPr>
          <w:rFonts w:ascii="Times New Roman" w:hAnsi="Times New Roman"/>
        </w:rPr>
        <w:t xml:space="preserve"> </w:t>
      </w:r>
      <w:r w:rsidR="007D7CF4">
        <w:rPr>
          <w:rFonts w:ascii="Times New Roman" w:hAnsi="Times New Roman"/>
        </w:rPr>
        <w:t>Locke’s conception</w:t>
      </w:r>
      <w:r w:rsidR="00214288">
        <w:rPr>
          <w:rFonts w:ascii="Times New Roman" w:hAnsi="Times New Roman"/>
        </w:rPr>
        <w:t xml:space="preserve"> judgme</w:t>
      </w:r>
      <w:r w:rsidR="0092346C">
        <w:rPr>
          <w:rFonts w:ascii="Times New Roman" w:hAnsi="Times New Roman"/>
        </w:rPr>
        <w:t xml:space="preserve">nt </w:t>
      </w:r>
      <w:r w:rsidR="00A62F3F">
        <w:rPr>
          <w:rFonts w:ascii="Times New Roman" w:hAnsi="Times New Roman"/>
        </w:rPr>
        <w:t>enables those engaged in its</w:t>
      </w:r>
      <w:r w:rsidR="0092346C">
        <w:rPr>
          <w:rFonts w:ascii="Times New Roman" w:hAnsi="Times New Roman"/>
        </w:rPr>
        <w:t xml:space="preserve"> </w:t>
      </w:r>
      <w:r w:rsidR="00A62F3F">
        <w:rPr>
          <w:rFonts w:ascii="Times New Roman" w:hAnsi="Times New Roman"/>
        </w:rPr>
        <w:t>process</w:t>
      </w:r>
      <w:r w:rsidR="007436E4">
        <w:rPr>
          <w:rFonts w:ascii="Times New Roman" w:hAnsi="Times New Roman"/>
        </w:rPr>
        <w:t xml:space="preserve"> to navigate</w:t>
      </w:r>
      <w:r w:rsidR="00214288">
        <w:rPr>
          <w:rFonts w:ascii="Times New Roman" w:hAnsi="Times New Roman"/>
        </w:rPr>
        <w:t xml:space="preserve"> this very constitution.  </w:t>
      </w:r>
      <w:r w:rsidR="007436E4">
        <w:rPr>
          <w:rFonts w:ascii="Times New Roman" w:hAnsi="Times New Roman"/>
        </w:rPr>
        <w:t>Indeed</w:t>
      </w:r>
      <w:r w:rsidR="00214288">
        <w:rPr>
          <w:rFonts w:ascii="Times New Roman" w:hAnsi="Times New Roman"/>
        </w:rPr>
        <w:t>, as</w:t>
      </w:r>
      <w:r w:rsidR="00214288">
        <w:t xml:space="preserve"> </w:t>
      </w:r>
      <w:r w:rsidR="00214288">
        <w:rPr>
          <w:rFonts w:ascii="Times New Roman" w:hAnsi="Times New Roman"/>
        </w:rPr>
        <w:t xml:space="preserve">Rainer Forst has observed, toleration in Locke’s context </w:t>
      </w:r>
      <w:r w:rsidR="00214288">
        <w:rPr>
          <w:rFonts w:ascii="Times New Roman" w:hAnsi="Times New Roman"/>
        </w:rPr>
        <w:lastRenderedPageBreak/>
        <w:t xml:space="preserve">involves a “complex picture”: it “liberates on the one </w:t>
      </w:r>
      <w:r w:rsidR="00214288" w:rsidRPr="008E1E08">
        <w:rPr>
          <w:rFonts w:ascii="Times New Roman" w:hAnsi="Times New Roman" w:cs="Times New Roman"/>
        </w:rPr>
        <w:t>hand, while disciplining on the other...It is not just a matter of a one-dimensional ‘subjectivisation’ and disciplining of the citizens who have internalized their nonconforming identity; there is also the countervailing tendency to resist this form of the exercise of power—especially when its ‘benevolent’ character mutates into the direct exercise of domination.”</w:t>
      </w:r>
      <w:r w:rsidR="00214288">
        <w:rPr>
          <w:rStyle w:val="FootnoteReference"/>
        </w:rPr>
        <w:footnoteReference w:id="41"/>
      </w:r>
      <w:r w:rsidR="007D7CF4">
        <w:rPr>
          <w:rFonts w:ascii="Times New Roman" w:hAnsi="Times New Roman" w:cs="Times New Roman"/>
        </w:rPr>
        <w:t xml:space="preserve">  I</w:t>
      </w:r>
      <w:r w:rsidR="007436E4">
        <w:rPr>
          <w:rFonts w:ascii="Times New Roman" w:hAnsi="Times New Roman" w:cs="Times New Roman"/>
        </w:rPr>
        <w:t>t is certainly true t</w:t>
      </w:r>
      <w:r w:rsidR="005E7A55">
        <w:rPr>
          <w:rFonts w:ascii="Times New Roman" w:hAnsi="Times New Roman" w:cs="Times New Roman"/>
        </w:rPr>
        <w:t xml:space="preserve">hat Lockean toleration </w:t>
      </w:r>
      <w:r w:rsidR="00C827FF">
        <w:rPr>
          <w:rFonts w:ascii="Times New Roman" w:hAnsi="Times New Roman" w:cs="Times New Roman"/>
        </w:rPr>
        <w:t xml:space="preserve">can be </w:t>
      </w:r>
      <w:r w:rsidR="000A5CD5">
        <w:rPr>
          <w:rFonts w:ascii="Times New Roman" w:hAnsi="Times New Roman" w:cs="Times New Roman"/>
        </w:rPr>
        <w:t>approached as part of a broader p</w:t>
      </w:r>
      <w:r w:rsidR="00C827FF">
        <w:rPr>
          <w:rFonts w:ascii="Times New Roman" w:hAnsi="Times New Roman" w:cs="Times New Roman"/>
        </w:rPr>
        <w:t>roject that attempts to</w:t>
      </w:r>
      <w:r w:rsidR="00B143BE">
        <w:rPr>
          <w:rFonts w:ascii="Times New Roman" w:hAnsi="Times New Roman" w:cs="Times New Roman"/>
        </w:rPr>
        <w:t xml:space="preserve"> </w:t>
      </w:r>
      <w:r w:rsidR="007436E4">
        <w:rPr>
          <w:rFonts w:ascii="Times New Roman" w:hAnsi="Times New Roman" w:cs="Times New Roman"/>
        </w:rPr>
        <w:t>disciplin</w:t>
      </w:r>
      <w:r w:rsidR="00C827FF">
        <w:rPr>
          <w:rFonts w:ascii="Times New Roman" w:hAnsi="Times New Roman" w:cs="Times New Roman"/>
        </w:rPr>
        <w:t>e practices associated with</w:t>
      </w:r>
      <w:r w:rsidR="008D1113">
        <w:rPr>
          <w:rFonts w:ascii="Times New Roman" w:hAnsi="Times New Roman" w:cs="Times New Roman"/>
        </w:rPr>
        <w:t xml:space="preserve"> </w:t>
      </w:r>
      <w:r w:rsidR="00C827FF">
        <w:rPr>
          <w:rFonts w:ascii="Times New Roman" w:hAnsi="Times New Roman" w:cs="Times New Roman"/>
        </w:rPr>
        <w:t>religious belief</w:t>
      </w:r>
      <w:r w:rsidR="008D1113">
        <w:rPr>
          <w:rFonts w:ascii="Times New Roman" w:hAnsi="Times New Roman" w:cs="Times New Roman"/>
        </w:rPr>
        <w:t xml:space="preserve"> int</w:t>
      </w:r>
      <w:r w:rsidR="007D7CF4">
        <w:rPr>
          <w:rFonts w:ascii="Times New Roman" w:hAnsi="Times New Roman" w:cs="Times New Roman"/>
        </w:rPr>
        <w:t xml:space="preserve">o particular molds </w:t>
      </w:r>
      <w:r w:rsidR="00B143BE">
        <w:rPr>
          <w:rFonts w:ascii="Times New Roman" w:hAnsi="Times New Roman" w:cs="Times New Roman"/>
        </w:rPr>
        <w:t>taken to be necessary to civic order</w:t>
      </w:r>
      <w:r w:rsidR="007D7CF4">
        <w:rPr>
          <w:rFonts w:ascii="Times New Roman" w:hAnsi="Times New Roman" w:cs="Times New Roman"/>
        </w:rPr>
        <w:t>.</w:t>
      </w:r>
      <w:r w:rsidR="000A5CD5">
        <w:rPr>
          <w:rStyle w:val="FootnoteReference"/>
        </w:rPr>
        <w:footnoteReference w:id="42"/>
      </w:r>
      <w:r w:rsidR="007D7CF4">
        <w:rPr>
          <w:rFonts w:ascii="Times New Roman" w:hAnsi="Times New Roman" w:cs="Times New Roman"/>
        </w:rPr>
        <w:t xml:space="preserve">  However,</w:t>
      </w:r>
      <w:r w:rsidR="007436E4">
        <w:rPr>
          <w:rFonts w:ascii="Times New Roman" w:hAnsi="Times New Roman" w:cs="Times New Roman"/>
        </w:rPr>
        <w:t xml:space="preserve"> this observation should not </w:t>
      </w:r>
      <w:r w:rsidR="00A86FC9">
        <w:rPr>
          <w:rFonts w:ascii="Times New Roman" w:hAnsi="Times New Roman" w:cs="Times New Roman"/>
        </w:rPr>
        <w:t>occlude</w:t>
      </w:r>
      <w:r w:rsidR="007436E4">
        <w:rPr>
          <w:rFonts w:ascii="Times New Roman" w:hAnsi="Times New Roman" w:cs="Times New Roman"/>
        </w:rPr>
        <w:t xml:space="preserve"> </w:t>
      </w:r>
      <w:r w:rsidR="00C827FF">
        <w:rPr>
          <w:rFonts w:ascii="Times New Roman" w:hAnsi="Times New Roman" w:cs="Times New Roman"/>
        </w:rPr>
        <w:t>an</w:t>
      </w:r>
      <w:r w:rsidR="007436E4">
        <w:rPr>
          <w:rFonts w:ascii="Times New Roman" w:hAnsi="Times New Roman" w:cs="Times New Roman"/>
        </w:rPr>
        <w:t xml:space="preserve"> examination of the countervailing tendencies in Locke’s own thought to c</w:t>
      </w:r>
      <w:r w:rsidR="005C3CD5">
        <w:rPr>
          <w:rFonts w:ascii="Times New Roman" w:hAnsi="Times New Roman" w:cs="Times New Roman"/>
        </w:rPr>
        <w:t>ouch such disciplinary measures in dynamic conceptions of judgment and</w:t>
      </w:r>
      <w:r w:rsidR="00B143BE">
        <w:rPr>
          <w:rFonts w:ascii="Times New Roman" w:hAnsi="Times New Roman" w:cs="Times New Roman"/>
        </w:rPr>
        <w:t xml:space="preserve"> its relation to</w:t>
      </w:r>
      <w:r w:rsidR="005C3CD5">
        <w:rPr>
          <w:rFonts w:ascii="Times New Roman" w:hAnsi="Times New Roman" w:cs="Times New Roman"/>
        </w:rPr>
        <w:t xml:space="preserve"> authority that cannot be simply assimilated to contemporary manifestations of state</w:t>
      </w:r>
      <w:r w:rsidR="00C92F07">
        <w:rPr>
          <w:rFonts w:ascii="Times New Roman" w:hAnsi="Times New Roman" w:cs="Times New Roman"/>
        </w:rPr>
        <w:t xml:space="preserve"> power and secular objectivity. </w:t>
      </w:r>
      <w:r w:rsidR="005C3CD5">
        <w:rPr>
          <w:rFonts w:ascii="Times New Roman" w:hAnsi="Times New Roman" w:cs="Times New Roman"/>
        </w:rPr>
        <w:t xml:space="preserve"> It is in this spirit that Locke</w:t>
      </w:r>
      <w:r w:rsidR="008D1113">
        <w:rPr>
          <w:rFonts w:ascii="Times New Roman" w:hAnsi="Times New Roman" w:cs="Times New Roman"/>
        </w:rPr>
        <w:t>’s work</w:t>
      </w:r>
      <w:r w:rsidR="005C3CD5">
        <w:rPr>
          <w:rFonts w:ascii="Times New Roman" w:hAnsi="Times New Roman" w:cs="Times New Roman"/>
        </w:rPr>
        <w:t xml:space="preserve"> can be put more fruitfully into conversation with </w:t>
      </w:r>
      <w:r w:rsidR="008D1113">
        <w:rPr>
          <w:rFonts w:ascii="Times New Roman" w:hAnsi="Times New Roman" w:cs="Times New Roman"/>
        </w:rPr>
        <w:t>the above discursive refutations</w:t>
      </w:r>
      <w:r w:rsidR="00E07F1B">
        <w:rPr>
          <w:rFonts w:ascii="Times New Roman" w:hAnsi="Times New Roman" w:cs="Times New Roman"/>
        </w:rPr>
        <w:t xml:space="preserve">: instead of </w:t>
      </w:r>
      <w:r w:rsidR="00C92F07">
        <w:rPr>
          <w:rFonts w:ascii="Times New Roman" w:hAnsi="Times New Roman" w:cs="Times New Roman"/>
        </w:rPr>
        <w:t>registering as</w:t>
      </w:r>
      <w:r w:rsidR="00E07F1B">
        <w:rPr>
          <w:rFonts w:ascii="Times New Roman" w:hAnsi="Times New Roman" w:cs="Times New Roman"/>
        </w:rPr>
        <w:t xml:space="preserve"> a mere reflection of the forms of state power, privacy, and secularism that </w:t>
      </w:r>
      <w:r w:rsidR="00C92F07">
        <w:rPr>
          <w:rFonts w:ascii="Times New Roman" w:hAnsi="Times New Roman" w:cs="Times New Roman"/>
        </w:rPr>
        <w:t>such</w:t>
      </w:r>
      <w:r w:rsidR="00E07F1B">
        <w:rPr>
          <w:rFonts w:ascii="Times New Roman" w:hAnsi="Times New Roman" w:cs="Times New Roman"/>
        </w:rPr>
        <w:t xml:space="preserve"> refutations seek to problematize, </w:t>
      </w:r>
      <w:r w:rsidR="005C3CD5">
        <w:rPr>
          <w:rFonts w:ascii="Times New Roman" w:hAnsi="Times New Roman" w:cs="Times New Roman"/>
        </w:rPr>
        <w:t xml:space="preserve">the </w:t>
      </w:r>
      <w:r w:rsidR="005C3CD5">
        <w:rPr>
          <w:rFonts w:ascii="Times New Roman" w:hAnsi="Times New Roman" w:cs="Times New Roman"/>
          <w:i/>
        </w:rPr>
        <w:t>Letter</w:t>
      </w:r>
      <w:r w:rsidR="005C3CD5">
        <w:rPr>
          <w:rFonts w:ascii="Times New Roman" w:hAnsi="Times New Roman" w:cs="Times New Roman"/>
        </w:rPr>
        <w:t xml:space="preserve"> is </w:t>
      </w:r>
      <w:r w:rsidR="00E07F1B">
        <w:rPr>
          <w:rFonts w:ascii="Times New Roman" w:hAnsi="Times New Roman" w:cs="Times New Roman"/>
        </w:rPr>
        <w:t>rather</w:t>
      </w:r>
      <w:r w:rsidR="005C3CD5">
        <w:rPr>
          <w:rFonts w:ascii="Times New Roman" w:hAnsi="Times New Roman" w:cs="Times New Roman"/>
        </w:rPr>
        <w:t xml:space="preserve"> a navigation of these</w:t>
      </w:r>
      <w:r w:rsidR="00E07F1B">
        <w:rPr>
          <w:rFonts w:ascii="Times New Roman" w:hAnsi="Times New Roman" w:cs="Times New Roman"/>
        </w:rPr>
        <w:t xml:space="preserve"> very</w:t>
      </w:r>
      <w:r w:rsidR="00C92F07">
        <w:rPr>
          <w:rFonts w:ascii="Times New Roman" w:hAnsi="Times New Roman" w:cs="Times New Roman"/>
        </w:rPr>
        <w:t xml:space="preserve"> categories, produced</w:t>
      </w:r>
      <w:r w:rsidR="00C827FF">
        <w:rPr>
          <w:rFonts w:ascii="Times New Roman" w:hAnsi="Times New Roman" w:cs="Times New Roman"/>
        </w:rPr>
        <w:t xml:space="preserve"> to</w:t>
      </w:r>
      <w:r w:rsidR="000A5CD5">
        <w:rPr>
          <w:rFonts w:ascii="Times New Roman" w:hAnsi="Times New Roman" w:cs="Times New Roman"/>
        </w:rPr>
        <w:t xml:space="preserve"> engage and</w:t>
      </w:r>
      <w:r w:rsidR="00C827FF">
        <w:rPr>
          <w:rFonts w:ascii="Times New Roman" w:hAnsi="Times New Roman" w:cs="Times New Roman"/>
        </w:rPr>
        <w:t xml:space="preserve"> elicit public judgment.</w:t>
      </w:r>
    </w:p>
    <w:p w14:paraId="221615C1" w14:textId="27A7A739" w:rsidR="00A9363F" w:rsidRDefault="005C3CD5" w:rsidP="00A9363F">
      <w:pPr>
        <w:pStyle w:val="NoSpacing"/>
        <w:spacing w:line="480" w:lineRule="auto"/>
        <w:ind w:firstLine="720"/>
        <w:rPr>
          <w:rFonts w:ascii="Times New Roman" w:hAnsi="Times New Roman"/>
        </w:rPr>
      </w:pPr>
      <w:r>
        <w:rPr>
          <w:rFonts w:ascii="Times New Roman" w:hAnsi="Times New Roman" w:cs="Times New Roman"/>
        </w:rPr>
        <w:t xml:space="preserve">To </w:t>
      </w:r>
      <w:r w:rsidR="00A86FC9">
        <w:rPr>
          <w:rFonts w:ascii="Times New Roman" w:hAnsi="Times New Roman" w:cs="Times New Roman"/>
        </w:rPr>
        <w:t xml:space="preserve">begin investigating the contours of this navigation, this essay has advanced a hermeneutic approach oriented around Locke’s intervention into </w:t>
      </w:r>
      <w:r w:rsidR="000A5CD5">
        <w:rPr>
          <w:rFonts w:ascii="Times New Roman" w:hAnsi="Times New Roman" w:cs="Times New Roman"/>
        </w:rPr>
        <w:t>the</w:t>
      </w:r>
      <w:r w:rsidR="00A86FC9">
        <w:rPr>
          <w:rFonts w:ascii="Times New Roman" w:hAnsi="Times New Roman" w:cs="Times New Roman"/>
        </w:rPr>
        <w:t xml:space="preserve"> </w:t>
      </w:r>
      <w:r w:rsidR="000A5CD5">
        <w:rPr>
          <w:rFonts w:ascii="Times New Roman" w:hAnsi="Times New Roman" w:cs="Times New Roman"/>
        </w:rPr>
        <w:t xml:space="preserve">practices of wit and judgment contemporary to his </w:t>
      </w:r>
      <w:r w:rsidR="008F7EEF">
        <w:rPr>
          <w:rFonts w:ascii="Times New Roman" w:hAnsi="Times New Roman" w:cs="Times New Roman"/>
        </w:rPr>
        <w:t>context</w:t>
      </w:r>
      <w:r w:rsidR="00A86FC9">
        <w:rPr>
          <w:rFonts w:ascii="Times New Roman" w:hAnsi="Times New Roman" w:cs="Times New Roman"/>
        </w:rPr>
        <w:t xml:space="preserve">.  </w:t>
      </w:r>
      <w:r w:rsidR="008D1113">
        <w:rPr>
          <w:rFonts w:ascii="Times New Roman" w:hAnsi="Times New Roman" w:cs="Times New Roman"/>
          <w:i/>
        </w:rPr>
        <w:t>The Letter</w:t>
      </w:r>
      <w:r w:rsidR="008D1113">
        <w:rPr>
          <w:rFonts w:ascii="Times New Roman" w:hAnsi="Times New Roman" w:cs="Times New Roman"/>
        </w:rPr>
        <w:t xml:space="preserve">, I have suggested, does not simply presume subjects </w:t>
      </w:r>
      <w:r w:rsidR="00A9363F">
        <w:rPr>
          <w:rFonts w:ascii="Times New Roman" w:hAnsi="Times New Roman" w:cs="Times New Roman"/>
        </w:rPr>
        <w:t>who “hold” certain doctrines and stand in need of compelling political demarcations</w:t>
      </w:r>
      <w:r w:rsidR="008D1113">
        <w:rPr>
          <w:rFonts w:ascii="Times New Roman" w:hAnsi="Times New Roman" w:cs="Times New Roman"/>
        </w:rPr>
        <w:t>, but</w:t>
      </w:r>
      <w:r w:rsidR="00A9363F">
        <w:rPr>
          <w:rFonts w:ascii="Times New Roman" w:hAnsi="Times New Roman" w:cs="Times New Roman"/>
        </w:rPr>
        <w:t xml:space="preserve"> instead</w:t>
      </w:r>
      <w:r w:rsidR="008D1113">
        <w:rPr>
          <w:rFonts w:ascii="Times New Roman" w:hAnsi="Times New Roman" w:cs="Times New Roman"/>
        </w:rPr>
        <w:t xml:space="preserve"> itself enacts assemblages and separations in motivating its audiences to </w:t>
      </w:r>
      <w:r w:rsidR="00B748F9">
        <w:rPr>
          <w:rFonts w:ascii="Times New Roman" w:hAnsi="Times New Roman" w:cs="Times New Roman"/>
        </w:rPr>
        <w:t>exercise</w:t>
      </w:r>
      <w:r w:rsidR="008D1113">
        <w:rPr>
          <w:rFonts w:ascii="Times New Roman" w:hAnsi="Times New Roman" w:cs="Times New Roman"/>
        </w:rPr>
        <w:t xml:space="preserve"> </w:t>
      </w:r>
      <w:r w:rsidR="00B748F9">
        <w:rPr>
          <w:rFonts w:ascii="Times New Roman" w:hAnsi="Times New Roman" w:cs="Times New Roman"/>
        </w:rPr>
        <w:t>the faculty</w:t>
      </w:r>
      <w:r w:rsidR="008D1113">
        <w:rPr>
          <w:rFonts w:ascii="Times New Roman" w:hAnsi="Times New Roman" w:cs="Times New Roman"/>
        </w:rPr>
        <w:t xml:space="preserve"> </w:t>
      </w:r>
      <w:r w:rsidR="00A9363F">
        <w:rPr>
          <w:rFonts w:ascii="Times New Roman" w:hAnsi="Times New Roman" w:cs="Times New Roman"/>
        </w:rPr>
        <w:t>necessary to cultivate the very</w:t>
      </w:r>
      <w:r w:rsidR="008D1113">
        <w:rPr>
          <w:rFonts w:ascii="Times New Roman" w:hAnsi="Times New Roman" w:cs="Times New Roman"/>
        </w:rPr>
        <w:t xml:space="preserve"> </w:t>
      </w:r>
      <w:r w:rsidR="00A9363F">
        <w:rPr>
          <w:rFonts w:ascii="Times New Roman" w:hAnsi="Times New Roman" w:cs="Times New Roman"/>
        </w:rPr>
        <w:t>“</w:t>
      </w:r>
      <w:r w:rsidR="008D1113">
        <w:rPr>
          <w:rFonts w:ascii="Times New Roman" w:hAnsi="Times New Roman" w:cs="Times New Roman"/>
        </w:rPr>
        <w:t>moral action</w:t>
      </w:r>
      <w:r w:rsidR="00A9363F">
        <w:rPr>
          <w:rFonts w:ascii="Times New Roman" w:hAnsi="Times New Roman" w:cs="Times New Roman"/>
        </w:rPr>
        <w:t>” wherein “</w:t>
      </w:r>
      <w:r w:rsidR="00A9363F">
        <w:rPr>
          <w:rFonts w:ascii="Times New Roman" w:hAnsi="Times New Roman"/>
        </w:rPr>
        <w:t>men’s souls” and “the commonwealth</w:t>
      </w:r>
      <w:r w:rsidR="00A9363F">
        <w:rPr>
          <w:rFonts w:ascii="Times New Roman" w:hAnsi="Times New Roman" w:cs="Times New Roman"/>
        </w:rPr>
        <w:t>” “</w:t>
      </w:r>
      <w:r w:rsidR="00A9363F">
        <w:rPr>
          <w:rFonts w:ascii="Times New Roman" w:hAnsi="Times New Roman"/>
        </w:rPr>
        <w:t>intrench upon” each other, and without which</w:t>
      </w:r>
      <w:r w:rsidR="00A9363F">
        <w:rPr>
          <w:rFonts w:ascii="Times New Roman" w:hAnsi="Times New Roman" w:cs="Times New Roman"/>
        </w:rPr>
        <w:t xml:space="preserve"> Lockean </w:t>
      </w:r>
      <w:r w:rsidR="008D1113">
        <w:rPr>
          <w:rFonts w:ascii="Times New Roman" w:hAnsi="Times New Roman" w:cs="Times New Roman"/>
        </w:rPr>
        <w:t xml:space="preserve">toleration simply </w:t>
      </w:r>
      <w:r w:rsidR="00A9363F">
        <w:rPr>
          <w:rFonts w:ascii="Times New Roman" w:hAnsi="Times New Roman" w:cs="Times New Roman"/>
        </w:rPr>
        <w:t>could not</w:t>
      </w:r>
      <w:r w:rsidR="008D1113">
        <w:rPr>
          <w:rFonts w:ascii="Times New Roman" w:hAnsi="Times New Roman" w:cs="Times New Roman"/>
        </w:rPr>
        <w:t xml:space="preserve"> function: good judgment. </w:t>
      </w:r>
      <w:r w:rsidR="008D1113">
        <w:rPr>
          <w:rFonts w:ascii="Times New Roman" w:hAnsi="Times New Roman" w:cs="Times New Roman"/>
          <w:i/>
        </w:rPr>
        <w:t xml:space="preserve"> </w:t>
      </w:r>
      <w:r w:rsidR="00A86FC9" w:rsidRPr="008D1113">
        <w:rPr>
          <w:rFonts w:ascii="Times New Roman" w:hAnsi="Times New Roman" w:cs="Times New Roman"/>
        </w:rPr>
        <w:t>Reading</w:t>
      </w:r>
      <w:r w:rsidR="00A86FC9">
        <w:rPr>
          <w:rFonts w:ascii="Times New Roman" w:hAnsi="Times New Roman" w:cs="Times New Roman"/>
        </w:rPr>
        <w:t xml:space="preserve"> </w:t>
      </w:r>
      <w:r w:rsidR="00AA27AD">
        <w:rPr>
          <w:rFonts w:ascii="Times New Roman" w:hAnsi="Times New Roman" w:cs="Times New Roman"/>
        </w:rPr>
        <w:t>Locke’s defense of toleration</w:t>
      </w:r>
      <w:r w:rsidR="00A86FC9">
        <w:rPr>
          <w:rFonts w:ascii="Times New Roman" w:hAnsi="Times New Roman" w:cs="Times New Roman"/>
        </w:rPr>
        <w:t xml:space="preserve"> as an intervention into the process of judgment formation, this essay has</w:t>
      </w:r>
      <w:r w:rsidR="008D1113">
        <w:rPr>
          <w:rFonts w:ascii="Times New Roman" w:hAnsi="Times New Roman" w:cs="Times New Roman"/>
        </w:rPr>
        <w:t xml:space="preserve"> thus</w:t>
      </w:r>
      <w:r w:rsidR="00A86FC9">
        <w:rPr>
          <w:rFonts w:ascii="Times New Roman" w:hAnsi="Times New Roman" w:cs="Times New Roman"/>
        </w:rPr>
        <w:t xml:space="preserve"> </w:t>
      </w:r>
      <w:r w:rsidR="008D1113">
        <w:rPr>
          <w:rFonts w:ascii="Times New Roman" w:hAnsi="Times New Roman" w:cs="Times New Roman"/>
        </w:rPr>
        <w:t>resisted reducing</w:t>
      </w:r>
      <w:r w:rsidR="00A86FC9">
        <w:rPr>
          <w:rFonts w:ascii="Times New Roman" w:hAnsi="Times New Roman" w:cs="Times New Roman"/>
        </w:rPr>
        <w:t xml:space="preserve"> </w:t>
      </w:r>
      <w:r w:rsidR="00AA27AD">
        <w:rPr>
          <w:rFonts w:ascii="Times New Roman" w:hAnsi="Times New Roman" w:cs="Times New Roman"/>
        </w:rPr>
        <w:t>the</w:t>
      </w:r>
      <w:r w:rsidR="00A86FC9">
        <w:rPr>
          <w:rFonts w:ascii="Times New Roman" w:hAnsi="Times New Roman" w:cs="Times New Roman"/>
        </w:rPr>
        <w:t xml:space="preserve"> </w:t>
      </w:r>
      <w:r w:rsidR="008D1113">
        <w:rPr>
          <w:rFonts w:ascii="Times New Roman" w:hAnsi="Times New Roman" w:cs="Times New Roman"/>
          <w:i/>
        </w:rPr>
        <w:t xml:space="preserve">Letter </w:t>
      </w:r>
      <w:r w:rsidR="00A9363F">
        <w:rPr>
          <w:rFonts w:ascii="Times New Roman" w:hAnsi="Times New Roman" w:cs="Times New Roman"/>
        </w:rPr>
        <w:t xml:space="preserve">to the sort of theoretical enterprise that advances a policy of toleration by rendering subjects’ judgments static, individuated, and discrete to magisterial power.  Simply put, the </w:t>
      </w:r>
      <w:r w:rsidR="00A9363F">
        <w:rPr>
          <w:rFonts w:ascii="Times New Roman" w:hAnsi="Times New Roman" w:cs="Times New Roman"/>
          <w:i/>
        </w:rPr>
        <w:t xml:space="preserve">Letter </w:t>
      </w:r>
      <w:r w:rsidR="00A9363F">
        <w:rPr>
          <w:rFonts w:ascii="Times New Roman" w:hAnsi="Times New Roman" w:cs="Times New Roman"/>
        </w:rPr>
        <w:t xml:space="preserve">was not written </w:t>
      </w:r>
      <w:r w:rsidR="0030311C">
        <w:rPr>
          <w:rFonts w:ascii="Times New Roman" w:hAnsi="Times New Roman" w:cs="Times New Roman"/>
        </w:rPr>
        <w:t>for</w:t>
      </w:r>
      <w:r w:rsidR="00A9363F">
        <w:rPr>
          <w:rFonts w:ascii="Times New Roman" w:hAnsi="Times New Roman" w:cs="Times New Roman"/>
        </w:rPr>
        <w:t xml:space="preserve"> a magistrate in </w:t>
      </w:r>
      <w:r w:rsidR="00A9363F">
        <w:rPr>
          <w:rFonts w:ascii="Times New Roman" w:hAnsi="Times New Roman" w:cs="Times New Roman"/>
        </w:rPr>
        <w:lastRenderedPageBreak/>
        <w:t>any straightforward sense.  And w</w:t>
      </w:r>
      <w:r w:rsidR="00E817AA">
        <w:rPr>
          <w:rFonts w:ascii="Times New Roman" w:hAnsi="Times New Roman"/>
        </w:rPr>
        <w:t xml:space="preserve">hile </w:t>
      </w:r>
      <w:r w:rsidR="0073056F">
        <w:rPr>
          <w:rFonts w:ascii="Times New Roman" w:hAnsi="Times New Roman"/>
        </w:rPr>
        <w:t>Locke’s text</w:t>
      </w:r>
      <w:r w:rsidR="00E817AA">
        <w:rPr>
          <w:rFonts w:ascii="Times New Roman" w:hAnsi="Times New Roman"/>
        </w:rPr>
        <w:t xml:space="preserve"> certainly theorizes magisterial interests and their relation to </w:t>
      </w:r>
      <w:r w:rsidR="008D1113">
        <w:rPr>
          <w:rFonts w:ascii="Times New Roman" w:hAnsi="Times New Roman"/>
        </w:rPr>
        <w:t>subjects</w:t>
      </w:r>
      <w:r w:rsidR="00E817AA">
        <w:rPr>
          <w:rFonts w:ascii="Times New Roman" w:hAnsi="Times New Roman"/>
        </w:rPr>
        <w:t xml:space="preserve">, this does not imply that </w:t>
      </w:r>
      <w:r w:rsidR="005E2226">
        <w:rPr>
          <w:rFonts w:ascii="Times New Roman" w:hAnsi="Times New Roman"/>
        </w:rPr>
        <w:t>Lockean toleration should be understood as a magisterial practic</w:t>
      </w:r>
      <w:r w:rsidR="008D6CBC">
        <w:rPr>
          <w:rFonts w:ascii="Times New Roman" w:hAnsi="Times New Roman"/>
        </w:rPr>
        <w:t>e per se.</w:t>
      </w:r>
      <w:r w:rsidR="00A86FC9">
        <w:rPr>
          <w:rFonts w:ascii="Times New Roman" w:hAnsi="Times New Roman"/>
        </w:rPr>
        <w:t xml:space="preserve">  Rather, j</w:t>
      </w:r>
      <w:r w:rsidR="0030311C">
        <w:rPr>
          <w:rFonts w:ascii="Times New Roman" w:hAnsi="Times New Roman"/>
        </w:rPr>
        <w:t>ust as Locke’s conception</w:t>
      </w:r>
      <w:r w:rsidR="006E7D1F">
        <w:rPr>
          <w:rFonts w:ascii="Times New Roman" w:hAnsi="Times New Roman"/>
        </w:rPr>
        <w:t xml:space="preserve"> of the civil interest points to the </w:t>
      </w:r>
      <w:r w:rsidR="006E7D1F" w:rsidRPr="0092346C">
        <w:rPr>
          <w:rFonts w:ascii="Times New Roman" w:hAnsi="Times New Roman"/>
        </w:rPr>
        <w:t>existence</w:t>
      </w:r>
      <w:r w:rsidR="006E7D1F">
        <w:rPr>
          <w:rFonts w:ascii="Times New Roman" w:hAnsi="Times New Roman"/>
        </w:rPr>
        <w:t xml:space="preserve"> of a magi</w:t>
      </w:r>
      <w:r w:rsidR="00A86FC9">
        <w:rPr>
          <w:rFonts w:ascii="Times New Roman" w:hAnsi="Times New Roman"/>
        </w:rPr>
        <w:t xml:space="preserve">strate, so </w:t>
      </w:r>
      <w:r w:rsidR="00AA27AD">
        <w:rPr>
          <w:rFonts w:ascii="Times New Roman" w:hAnsi="Times New Roman"/>
        </w:rPr>
        <w:t>his</w:t>
      </w:r>
      <w:r w:rsidR="00A86FC9">
        <w:rPr>
          <w:rFonts w:ascii="Times New Roman" w:hAnsi="Times New Roman"/>
        </w:rPr>
        <w:t xml:space="preserve"> concern with</w:t>
      </w:r>
      <w:r w:rsidR="006E7D1F">
        <w:rPr>
          <w:rFonts w:ascii="Times New Roman" w:hAnsi="Times New Roman"/>
        </w:rPr>
        <w:t xml:space="preserve"> the</w:t>
      </w:r>
      <w:r w:rsidR="00BB4928">
        <w:rPr>
          <w:rFonts w:ascii="Times New Roman" w:hAnsi="Times New Roman"/>
        </w:rPr>
        <w:t xml:space="preserve"> process and</w:t>
      </w:r>
      <w:r w:rsidR="006E7D1F">
        <w:rPr>
          <w:rFonts w:ascii="Times New Roman" w:hAnsi="Times New Roman"/>
        </w:rPr>
        <w:t xml:space="preserve"> quality of judgment</w:t>
      </w:r>
      <w:r w:rsidR="00BB4928">
        <w:rPr>
          <w:rFonts w:ascii="Times New Roman" w:hAnsi="Times New Roman"/>
        </w:rPr>
        <w:t xml:space="preserve"> </w:t>
      </w:r>
      <w:r w:rsidR="006E7D1F">
        <w:rPr>
          <w:rFonts w:ascii="Times New Roman" w:hAnsi="Times New Roman"/>
        </w:rPr>
        <w:t xml:space="preserve">likewise prompts him to advance arguments directed at religious groups, their leaders, and </w:t>
      </w:r>
      <w:r w:rsidR="00B748F9">
        <w:rPr>
          <w:rFonts w:ascii="Times New Roman" w:hAnsi="Times New Roman"/>
        </w:rPr>
        <w:t xml:space="preserve">the reading public </w:t>
      </w:r>
      <w:r w:rsidR="006E7D1F">
        <w:rPr>
          <w:rFonts w:ascii="Times New Roman" w:hAnsi="Times New Roman"/>
        </w:rPr>
        <w:t xml:space="preserve">at large—interventions which are easily occluded once we adopt an approach wherein toleration is </w:t>
      </w:r>
      <w:r w:rsidR="00C0601F">
        <w:rPr>
          <w:rFonts w:ascii="Times New Roman" w:hAnsi="Times New Roman"/>
        </w:rPr>
        <w:t>conceptualized</w:t>
      </w:r>
      <w:r w:rsidR="006E7D1F">
        <w:rPr>
          <w:rFonts w:ascii="Times New Roman" w:hAnsi="Times New Roman"/>
        </w:rPr>
        <w:t xml:space="preserve"> a</w:t>
      </w:r>
      <w:r w:rsidR="00C0601F">
        <w:rPr>
          <w:rFonts w:ascii="Times New Roman" w:hAnsi="Times New Roman"/>
        </w:rPr>
        <w:t>s a discrete</w:t>
      </w:r>
      <w:r w:rsidR="006E7D1F">
        <w:rPr>
          <w:rFonts w:ascii="Times New Roman" w:hAnsi="Times New Roman"/>
        </w:rPr>
        <w:t xml:space="preserve"> </w:t>
      </w:r>
      <w:r w:rsidR="0092346C">
        <w:rPr>
          <w:rFonts w:ascii="Times New Roman" w:hAnsi="Times New Roman"/>
        </w:rPr>
        <w:t>decision</w:t>
      </w:r>
      <w:r w:rsidR="00C0601F">
        <w:rPr>
          <w:rFonts w:ascii="Times New Roman" w:hAnsi="Times New Roman"/>
        </w:rPr>
        <w:t xml:space="preserve"> made by the state. </w:t>
      </w:r>
      <w:r w:rsidR="008D6CBC">
        <w:rPr>
          <w:rFonts w:ascii="Times New Roman" w:hAnsi="Times New Roman"/>
        </w:rPr>
        <w:t xml:space="preserve"> Indeed, insofar as this</w:t>
      </w:r>
      <w:r w:rsidR="005E2226">
        <w:rPr>
          <w:rFonts w:ascii="Times New Roman" w:hAnsi="Times New Roman"/>
        </w:rPr>
        <w:t xml:space="preserve"> </w:t>
      </w:r>
      <w:r w:rsidR="00A86FC9">
        <w:rPr>
          <w:rFonts w:ascii="Times New Roman" w:hAnsi="Times New Roman"/>
        </w:rPr>
        <w:t>essay</w:t>
      </w:r>
      <w:r w:rsidR="005E2226">
        <w:rPr>
          <w:rFonts w:ascii="Times New Roman" w:hAnsi="Times New Roman"/>
        </w:rPr>
        <w:t xml:space="preserve"> has </w:t>
      </w:r>
      <w:r w:rsidR="008D6CBC">
        <w:rPr>
          <w:rFonts w:ascii="Times New Roman" w:hAnsi="Times New Roman"/>
        </w:rPr>
        <w:t>challenged</w:t>
      </w:r>
      <w:r w:rsidR="005E2226">
        <w:rPr>
          <w:rFonts w:ascii="Times New Roman" w:hAnsi="Times New Roman"/>
        </w:rPr>
        <w:t xml:space="preserve"> the presumption of an isolated</w:t>
      </w:r>
      <w:r w:rsidR="00A9363F">
        <w:rPr>
          <w:rFonts w:ascii="Times New Roman" w:hAnsi="Times New Roman"/>
        </w:rPr>
        <w:t>, magisterial</w:t>
      </w:r>
      <w:r w:rsidR="005E2226">
        <w:rPr>
          <w:rFonts w:ascii="Times New Roman" w:hAnsi="Times New Roman"/>
        </w:rPr>
        <w:t xml:space="preserve"> mode of judgment to be found with Locke, this conclusion points to the possibility (and need) to navigate a non-magisterial practice of toleration—one which refuses to predetermine </w:t>
      </w:r>
      <w:r w:rsidR="00C0601F">
        <w:rPr>
          <w:rFonts w:ascii="Times New Roman" w:hAnsi="Times New Roman"/>
        </w:rPr>
        <w:t>how inward and outward and</w:t>
      </w:r>
      <w:r w:rsidR="005E2226">
        <w:rPr>
          <w:rFonts w:ascii="Times New Roman" w:hAnsi="Times New Roman"/>
        </w:rPr>
        <w:t xml:space="preserve"> civil and religious</w:t>
      </w:r>
      <w:r w:rsidR="00C0601F">
        <w:rPr>
          <w:rFonts w:ascii="Times New Roman" w:hAnsi="Times New Roman"/>
        </w:rPr>
        <w:t xml:space="preserve"> are correlated in formulating the civil interest</w:t>
      </w:r>
      <w:r w:rsidR="005E2226">
        <w:rPr>
          <w:rFonts w:ascii="Times New Roman" w:hAnsi="Times New Roman"/>
        </w:rPr>
        <w:t>; one which retains an ongoing capacity to reimagine how o</w:t>
      </w:r>
      <w:r w:rsidR="00A9363F">
        <w:rPr>
          <w:rFonts w:ascii="Times New Roman" w:hAnsi="Times New Roman"/>
        </w:rPr>
        <w:t xml:space="preserve">ne might contest and reassess.  </w:t>
      </w:r>
    </w:p>
    <w:p w14:paraId="0B26D34D" w14:textId="747086F7" w:rsidR="00E47E3D" w:rsidRPr="00A9363F" w:rsidRDefault="007D7CF4" w:rsidP="00A9363F">
      <w:pPr>
        <w:pStyle w:val="NoSpacing"/>
        <w:spacing w:line="480" w:lineRule="auto"/>
        <w:ind w:firstLine="720"/>
        <w:rPr>
          <w:rFonts w:ascii="Times New Roman" w:hAnsi="Times New Roman" w:cs="Times New Roman"/>
        </w:rPr>
      </w:pPr>
      <w:r>
        <w:rPr>
          <w:rFonts w:ascii="Times New Roman" w:hAnsi="Times New Roman"/>
        </w:rPr>
        <w:t>Thus the</w:t>
      </w:r>
      <w:r w:rsidR="00A9363F">
        <w:rPr>
          <w:rFonts w:ascii="Times New Roman" w:hAnsi="Times New Roman"/>
        </w:rPr>
        <w:t xml:space="preserve"> underlying,</w:t>
      </w:r>
      <w:r w:rsidR="00C0601F">
        <w:rPr>
          <w:rFonts w:ascii="Times New Roman" w:hAnsi="Times New Roman"/>
        </w:rPr>
        <w:t xml:space="preserve"> </w:t>
      </w:r>
      <w:r w:rsidR="00A9363F">
        <w:rPr>
          <w:rFonts w:ascii="Times New Roman" w:hAnsi="Times New Roman"/>
        </w:rPr>
        <w:t>non-magisterial</w:t>
      </w:r>
      <w:r w:rsidR="00C0601F">
        <w:rPr>
          <w:rFonts w:ascii="Times New Roman" w:hAnsi="Times New Roman"/>
        </w:rPr>
        <w:t xml:space="preserve"> implication</w:t>
      </w:r>
      <w:r w:rsidR="00A9363F">
        <w:rPr>
          <w:rFonts w:ascii="Times New Roman" w:hAnsi="Times New Roman"/>
        </w:rPr>
        <w:t xml:space="preserve"> of Lockean judgment</w:t>
      </w:r>
      <w:r w:rsidR="005E2226">
        <w:rPr>
          <w:rFonts w:ascii="Times New Roman" w:hAnsi="Times New Roman"/>
        </w:rPr>
        <w:t xml:space="preserve"> </w:t>
      </w:r>
      <w:r w:rsidR="00A9363F">
        <w:rPr>
          <w:rFonts w:ascii="Times New Roman" w:hAnsi="Times New Roman"/>
        </w:rPr>
        <w:t>finds its expression in</w:t>
      </w:r>
      <w:r w:rsidR="005E2226">
        <w:rPr>
          <w:rFonts w:ascii="Times New Roman" w:hAnsi="Times New Roman"/>
        </w:rPr>
        <w:t xml:space="preserve"> perhaps </w:t>
      </w:r>
      <w:r w:rsidR="00A9363F">
        <w:rPr>
          <w:rFonts w:ascii="Times New Roman" w:hAnsi="Times New Roman"/>
        </w:rPr>
        <w:t>his</w:t>
      </w:r>
      <w:r w:rsidR="005E2226">
        <w:rPr>
          <w:rFonts w:ascii="Times New Roman" w:hAnsi="Times New Roman"/>
        </w:rPr>
        <w:t xml:space="preserve"> most radical </w:t>
      </w:r>
      <w:r w:rsidR="00A86FC9">
        <w:rPr>
          <w:rFonts w:ascii="Times New Roman" w:hAnsi="Times New Roman"/>
        </w:rPr>
        <w:t>application</w:t>
      </w:r>
      <w:r w:rsidR="005E2226">
        <w:rPr>
          <w:rFonts w:ascii="Times New Roman" w:hAnsi="Times New Roman"/>
        </w:rPr>
        <w:t xml:space="preserve"> </w:t>
      </w:r>
      <w:r>
        <w:rPr>
          <w:rFonts w:ascii="Times New Roman" w:hAnsi="Times New Roman"/>
        </w:rPr>
        <w:t>of this</w:t>
      </w:r>
      <w:r w:rsidR="00A9363F">
        <w:rPr>
          <w:rFonts w:ascii="Times New Roman" w:hAnsi="Times New Roman"/>
        </w:rPr>
        <w:t xml:space="preserve"> faculty</w:t>
      </w:r>
      <w:r w:rsidR="005E2226">
        <w:rPr>
          <w:rFonts w:ascii="Times New Roman" w:hAnsi="Times New Roman"/>
        </w:rPr>
        <w:t>:</w:t>
      </w:r>
      <w:r w:rsidR="00D848E3">
        <w:rPr>
          <w:rFonts w:ascii="Times New Roman" w:hAnsi="Times New Roman"/>
        </w:rPr>
        <w:t xml:space="preserve"> that even as individuals have “resigned…</w:t>
      </w:r>
      <w:r w:rsidR="008D6CBC">
        <w:rPr>
          <w:rFonts w:ascii="Times New Roman" w:hAnsi="Times New Roman"/>
        </w:rPr>
        <w:t>all private judgment” in entering</w:t>
      </w:r>
      <w:r w:rsidR="00D848E3">
        <w:rPr>
          <w:rFonts w:ascii="Times New Roman" w:hAnsi="Times New Roman"/>
        </w:rPr>
        <w:t xml:space="preserve"> political community</w:t>
      </w:r>
      <w:r w:rsidR="00B612A0">
        <w:rPr>
          <w:rFonts w:ascii="Times New Roman" w:hAnsi="Times New Roman"/>
        </w:rPr>
        <w:t>,</w:t>
      </w:r>
      <w:r w:rsidR="00240AF3">
        <w:rPr>
          <w:rStyle w:val="FootnoteReference"/>
        </w:rPr>
        <w:footnoteReference w:id="43"/>
      </w:r>
      <w:r w:rsidR="00B612A0">
        <w:rPr>
          <w:rFonts w:ascii="Times New Roman" w:hAnsi="Times New Roman"/>
        </w:rPr>
        <w:t xml:space="preserve"> the organization of </w:t>
      </w:r>
      <w:r>
        <w:rPr>
          <w:rFonts w:ascii="Times New Roman" w:hAnsi="Times New Roman"/>
        </w:rPr>
        <w:t xml:space="preserve">community </w:t>
      </w:r>
      <w:r w:rsidR="00B612A0">
        <w:rPr>
          <w:rFonts w:ascii="Times New Roman" w:hAnsi="Times New Roman"/>
        </w:rPr>
        <w:t xml:space="preserve">around magisterial </w:t>
      </w:r>
      <w:r w:rsidR="00240AF3">
        <w:rPr>
          <w:rFonts w:ascii="Times New Roman" w:hAnsi="Times New Roman"/>
        </w:rPr>
        <w:t>authority</w:t>
      </w:r>
      <w:r w:rsidR="00B612A0">
        <w:rPr>
          <w:rFonts w:ascii="Times New Roman" w:hAnsi="Times New Roman"/>
        </w:rPr>
        <w:t xml:space="preserve"> does not preclude</w:t>
      </w:r>
      <w:r w:rsidR="00D848E3">
        <w:rPr>
          <w:rFonts w:ascii="Times New Roman" w:hAnsi="Times New Roman"/>
        </w:rPr>
        <w:t xml:space="preserve"> the </w:t>
      </w:r>
      <w:r w:rsidR="00B612A0">
        <w:rPr>
          <w:rFonts w:ascii="Times New Roman" w:hAnsi="Times New Roman"/>
        </w:rPr>
        <w:t>popular capacity to see and make sense of “a long train of actions”</w:t>
      </w:r>
      <w:r w:rsidR="008D6CBC">
        <w:rPr>
          <w:rFonts w:ascii="Times New Roman" w:hAnsi="Times New Roman"/>
        </w:rPr>
        <w:t xml:space="preserve"> trending toward “arbitrary power”—that in differentiating authority </w:t>
      </w:r>
      <w:r w:rsidR="00240AF3">
        <w:rPr>
          <w:rFonts w:ascii="Times New Roman" w:hAnsi="Times New Roman"/>
        </w:rPr>
        <w:t>from</w:t>
      </w:r>
      <w:r w:rsidR="008D6CBC">
        <w:rPr>
          <w:rFonts w:ascii="Times New Roman" w:hAnsi="Times New Roman"/>
        </w:rPr>
        <w:t xml:space="preserve"> tyranny</w:t>
      </w:r>
      <w:r w:rsidR="00C0601F">
        <w:rPr>
          <w:rFonts w:ascii="Times New Roman" w:hAnsi="Times New Roman"/>
        </w:rPr>
        <w:t>,</w:t>
      </w:r>
      <w:r w:rsidR="008D6CBC">
        <w:rPr>
          <w:rFonts w:ascii="Times New Roman" w:hAnsi="Times New Roman"/>
        </w:rPr>
        <w:t xml:space="preserve"> “the people shall be judge.”</w:t>
      </w:r>
      <w:r w:rsidR="00384B24">
        <w:rPr>
          <w:rStyle w:val="FootnoteReference"/>
        </w:rPr>
        <w:footnoteReference w:id="44"/>
      </w:r>
    </w:p>
    <w:sectPr w:rsidR="00E47E3D" w:rsidRPr="00A936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E0C9A" w14:textId="77777777" w:rsidR="004520DE" w:rsidRDefault="004520DE" w:rsidP="00566D2F">
      <w:pPr>
        <w:spacing w:after="0" w:line="240" w:lineRule="auto"/>
      </w:pPr>
      <w:r>
        <w:separator/>
      </w:r>
    </w:p>
  </w:endnote>
  <w:endnote w:type="continuationSeparator" w:id="0">
    <w:p w14:paraId="59FBF423" w14:textId="77777777" w:rsidR="004520DE" w:rsidRDefault="004520DE" w:rsidP="0056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C36F5" w14:textId="77777777" w:rsidR="004520DE" w:rsidRDefault="004520DE" w:rsidP="00566D2F">
      <w:pPr>
        <w:spacing w:after="0" w:line="240" w:lineRule="auto"/>
      </w:pPr>
      <w:r>
        <w:separator/>
      </w:r>
    </w:p>
  </w:footnote>
  <w:footnote w:type="continuationSeparator" w:id="0">
    <w:p w14:paraId="19521F0C" w14:textId="77777777" w:rsidR="004520DE" w:rsidRDefault="004520DE" w:rsidP="00566D2F">
      <w:pPr>
        <w:spacing w:after="0" w:line="240" w:lineRule="auto"/>
      </w:pPr>
      <w:r>
        <w:continuationSeparator/>
      </w:r>
    </w:p>
  </w:footnote>
  <w:footnote w:id="1">
    <w:p w14:paraId="4A87D7FC" w14:textId="543A6AD0" w:rsidR="005D46DC" w:rsidRPr="000D7F00" w:rsidRDefault="005D46DC" w:rsidP="008E695C">
      <w:pPr>
        <w:pStyle w:val="FootnoteText"/>
        <w:rPr>
          <w:rFonts w:ascii="Times New Roman" w:hAnsi="Times New Roman"/>
        </w:rPr>
      </w:pPr>
      <w:r w:rsidRPr="000D7F00">
        <w:rPr>
          <w:rStyle w:val="FootnoteReference"/>
        </w:rPr>
        <w:footnoteRef/>
      </w:r>
      <w:r w:rsidRPr="000D7F00">
        <w:rPr>
          <w:rFonts w:ascii="Times New Roman" w:hAnsi="Times New Roman"/>
        </w:rPr>
        <w:t xml:space="preserve"> Jeremy Waldron advances the contemporary articulation of this criticism in Waldron, “Locke: Toleration and the Rationality of Persecution,” in </w:t>
      </w:r>
      <w:r w:rsidRPr="000D7F00">
        <w:rPr>
          <w:rFonts w:ascii="Times New Roman" w:hAnsi="Times New Roman"/>
          <w:i/>
        </w:rPr>
        <w:t>Justifying Toleration: Conceptual and Historical Perspectives</w:t>
      </w:r>
      <w:r w:rsidRPr="000D7F00">
        <w:rPr>
          <w:rFonts w:ascii="Times New Roman" w:hAnsi="Times New Roman"/>
        </w:rPr>
        <w:t>, ed. Susan Mendus (Cambridge: Cambridge University</w:t>
      </w:r>
      <w:r>
        <w:rPr>
          <w:rFonts w:ascii="Times New Roman" w:hAnsi="Times New Roman"/>
        </w:rPr>
        <w:t xml:space="preserve"> Press, 1988). </w:t>
      </w:r>
      <w:r w:rsidRPr="000D7F00">
        <w:rPr>
          <w:rFonts w:ascii="Times New Roman" w:hAnsi="Times New Roman"/>
        </w:rPr>
        <w:t>This line of argument, however, stretches back to</w:t>
      </w:r>
      <w:r>
        <w:rPr>
          <w:rFonts w:ascii="Times New Roman" w:hAnsi="Times New Roman"/>
        </w:rPr>
        <w:t xml:space="preserve"> Jonas Proast’s</w:t>
      </w:r>
      <w:r w:rsidRPr="000D7F00">
        <w:rPr>
          <w:rFonts w:ascii="Times New Roman" w:hAnsi="Times New Roman"/>
        </w:rPr>
        <w:t xml:space="preserve"> 1690 response to the </w:t>
      </w:r>
      <w:r w:rsidRPr="000D7F00">
        <w:rPr>
          <w:rFonts w:ascii="Times New Roman" w:hAnsi="Times New Roman"/>
          <w:i/>
        </w:rPr>
        <w:t>Letter</w:t>
      </w:r>
      <w:r>
        <w:rPr>
          <w:rFonts w:ascii="Times New Roman" w:hAnsi="Times New Roman"/>
        </w:rPr>
        <w:t>.</w:t>
      </w:r>
    </w:p>
  </w:footnote>
  <w:footnote w:id="2">
    <w:p w14:paraId="5E94AC7D" w14:textId="0D6653B4"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Versions of this criticism are most prominently articulated by Kirstie McClure, “Difference, Diversity, and the Limits of Toleration,” </w:t>
      </w:r>
      <w:r w:rsidRPr="000D7F00">
        <w:rPr>
          <w:rFonts w:ascii="Times New Roman" w:hAnsi="Times New Roman"/>
          <w:i/>
        </w:rPr>
        <w:t xml:space="preserve">Political Theory </w:t>
      </w:r>
      <w:r w:rsidRPr="000D7F00">
        <w:rPr>
          <w:rFonts w:ascii="Times New Roman" w:hAnsi="Times New Roman"/>
        </w:rPr>
        <w:t xml:space="preserve">18.3 (1990): 361-391; and Wendy Brown, </w:t>
      </w:r>
      <w:r w:rsidRPr="000D7F00">
        <w:rPr>
          <w:rFonts w:ascii="Times New Roman" w:hAnsi="Times New Roman"/>
          <w:i/>
        </w:rPr>
        <w:t>Regulating Aversion:</w:t>
      </w:r>
      <w:r w:rsidRPr="000D7F00">
        <w:rPr>
          <w:rFonts w:ascii="Times New Roman" w:hAnsi="Times New Roman"/>
        </w:rPr>
        <w:t xml:space="preserve"> </w:t>
      </w:r>
      <w:r w:rsidRPr="000D7F00">
        <w:rPr>
          <w:rFonts w:ascii="Times New Roman" w:hAnsi="Times New Roman"/>
          <w:i/>
        </w:rPr>
        <w:t>Tolerance in the Age of Identity and Empire</w:t>
      </w:r>
      <w:r w:rsidRPr="000D7F00">
        <w:rPr>
          <w:rFonts w:ascii="Times New Roman" w:hAnsi="Times New Roman"/>
        </w:rPr>
        <w:t xml:space="preserve"> (Princeton: Princeton University Press, 2008), albeit with different implications.  I discuss these differences below.</w:t>
      </w:r>
    </w:p>
  </w:footnote>
  <w:footnote w:id="3">
    <w:p w14:paraId="05017669" w14:textId="4C2BE0E5" w:rsidR="005D46DC" w:rsidRPr="000D7F00" w:rsidRDefault="005D46DC" w:rsidP="00D3203E">
      <w:pPr>
        <w:pStyle w:val="FootnoteText"/>
        <w:rPr>
          <w:rFonts w:ascii="Times New Roman" w:hAnsi="Times New Roman"/>
        </w:rPr>
      </w:pPr>
      <w:r w:rsidRPr="000D7F00">
        <w:rPr>
          <w:rStyle w:val="FootnoteReference"/>
        </w:rPr>
        <w:footnoteRef/>
      </w:r>
      <w:r w:rsidRPr="000D7F00">
        <w:rPr>
          <w:rFonts w:ascii="Times New Roman" w:hAnsi="Times New Roman"/>
        </w:rPr>
        <w:t xml:space="preserve"> John Locke, </w:t>
      </w:r>
      <w:r w:rsidRPr="000D7F00">
        <w:rPr>
          <w:rFonts w:ascii="Times New Roman" w:hAnsi="Times New Roman"/>
          <w:i/>
        </w:rPr>
        <w:t>A Letter Concerning Toleration</w:t>
      </w:r>
      <w:r w:rsidRPr="000D7F00">
        <w:rPr>
          <w:rFonts w:ascii="Times New Roman" w:hAnsi="Times New Roman"/>
        </w:rPr>
        <w:t>, ed. Mark Goldie (Indianapolis: Liberty Fund, 2010), 12-13.</w:t>
      </w:r>
    </w:p>
  </w:footnote>
  <w:footnote w:id="4">
    <w:p w14:paraId="24283E90" w14:textId="297F21C9" w:rsidR="005D46DC" w:rsidRPr="000D7F00" w:rsidRDefault="005D46DC" w:rsidP="00D3203E">
      <w:pPr>
        <w:pStyle w:val="FootnoteText"/>
        <w:rPr>
          <w:rFonts w:ascii="Times New Roman" w:hAnsi="Times New Roman"/>
        </w:rPr>
      </w:pPr>
      <w:r w:rsidRPr="000D7F00">
        <w:rPr>
          <w:rStyle w:val="FootnoteReference"/>
        </w:rPr>
        <w:footnoteRef/>
      </w:r>
      <w:r w:rsidRPr="000D7F00">
        <w:rPr>
          <w:rFonts w:ascii="Times New Roman" w:hAnsi="Times New Roman"/>
        </w:rPr>
        <w:t xml:space="preserve"> Locke, </w:t>
      </w:r>
      <w:r w:rsidRPr="000D7F00">
        <w:rPr>
          <w:rFonts w:ascii="Times New Roman" w:hAnsi="Times New Roman"/>
          <w:i/>
        </w:rPr>
        <w:t>Letter</w:t>
      </w:r>
      <w:r w:rsidRPr="000D7F00">
        <w:rPr>
          <w:rFonts w:ascii="Times New Roman" w:hAnsi="Times New Roman"/>
        </w:rPr>
        <w:t>, 13. Italics mine.</w:t>
      </w:r>
    </w:p>
  </w:footnote>
  <w:footnote w:id="5">
    <w:p w14:paraId="5FB23984" w14:textId="626DAA34" w:rsidR="005D46DC" w:rsidRPr="000D7F00" w:rsidRDefault="005D46DC" w:rsidP="00495EAF">
      <w:pPr>
        <w:pStyle w:val="FootnoteText"/>
        <w:rPr>
          <w:rFonts w:ascii="Times New Roman" w:hAnsi="Times New Roman"/>
          <w:color w:val="231F20"/>
        </w:rPr>
      </w:pPr>
      <w:r w:rsidRPr="000D7F00">
        <w:rPr>
          <w:rStyle w:val="FootnoteReference"/>
        </w:rPr>
        <w:footnoteRef/>
      </w:r>
      <w:r w:rsidRPr="000D7F00">
        <w:rPr>
          <w:rFonts w:ascii="Times New Roman" w:hAnsi="Times New Roman"/>
        </w:rPr>
        <w:t xml:space="preserve"> For an interpretation that challenges Waldron’s moral criticism by thematizing the significance of this demand for sincere belief in the </w:t>
      </w:r>
      <w:r w:rsidRPr="000D7F00">
        <w:rPr>
          <w:rFonts w:ascii="Times New Roman" w:hAnsi="Times New Roman"/>
          <w:i/>
        </w:rPr>
        <w:t>Letter</w:t>
      </w:r>
      <w:r w:rsidRPr="000D7F00">
        <w:rPr>
          <w:rFonts w:ascii="Times New Roman" w:hAnsi="Times New Roman"/>
        </w:rPr>
        <w:t xml:space="preserve">, see </w:t>
      </w:r>
      <w:r w:rsidRPr="000D7F00">
        <w:rPr>
          <w:rFonts w:ascii="Times New Roman" w:hAnsi="Times New Roman"/>
          <w:color w:val="231F20"/>
        </w:rPr>
        <w:t xml:space="preserve">Paul Bou-Habib, “Locke, Sincerity and the Rationality of Persecution,” </w:t>
      </w:r>
      <w:r w:rsidRPr="000D7F00">
        <w:rPr>
          <w:rFonts w:ascii="Times New Roman" w:hAnsi="Times New Roman"/>
          <w:i/>
          <w:color w:val="231F20"/>
        </w:rPr>
        <w:t>Political Studies</w:t>
      </w:r>
      <w:r w:rsidRPr="000D7F00">
        <w:rPr>
          <w:rFonts w:ascii="Times New Roman" w:hAnsi="Times New Roman"/>
          <w:color w:val="231F20"/>
        </w:rPr>
        <w:t xml:space="preserve"> 51 (2003): 611-626.</w:t>
      </w:r>
    </w:p>
  </w:footnote>
  <w:footnote w:id="6">
    <w:p w14:paraId="6F579593" w14:textId="70DB1DB6"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Locke, </w:t>
      </w:r>
      <w:r w:rsidRPr="000D7F00">
        <w:rPr>
          <w:rFonts w:ascii="Times New Roman" w:hAnsi="Times New Roman"/>
          <w:i/>
        </w:rPr>
        <w:t>Letter</w:t>
      </w:r>
      <w:r w:rsidRPr="000D7F00">
        <w:rPr>
          <w:rFonts w:ascii="Times New Roman" w:hAnsi="Times New Roman"/>
        </w:rPr>
        <w:t>, 7-9.</w:t>
      </w:r>
    </w:p>
  </w:footnote>
  <w:footnote w:id="7">
    <w:p w14:paraId="627913C8" w14:textId="036FA1BF"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Indeed, this application of the inward/outward division to justify the imposition of conformity in outward </w:t>
      </w:r>
      <w:r w:rsidRPr="000D7F00">
        <w:rPr>
          <w:rFonts w:ascii="Times New Roman" w:hAnsi="Times New Roman"/>
          <w:i/>
        </w:rPr>
        <w:t>manifestations</w:t>
      </w:r>
      <w:r w:rsidRPr="000D7F00">
        <w:rPr>
          <w:rFonts w:ascii="Times New Roman" w:hAnsi="Times New Roman"/>
        </w:rPr>
        <w:t xml:space="preserve"> of beliefs reflects Locke’s own earlier position in 1667.  Here, while Locke maintained that a magistrate’s attempt to force any particular religion would be as “reasonable” as an attempt to “choose a wife” for his subject, nonetheless “the magistrate may and ought to use all ways, either of policy or power, that shall be convenient, to lessen, break, and suppress” any religious “parties” whose practices “seem </w:t>
      </w:r>
      <w:r w:rsidRPr="000D7F00">
        <w:rPr>
          <w:rFonts w:ascii="Times New Roman" w:hAnsi="Times New Roman"/>
          <w:i/>
        </w:rPr>
        <w:t>visibly</w:t>
      </w:r>
      <w:r w:rsidRPr="000D7F00">
        <w:rPr>
          <w:rFonts w:ascii="Times New Roman" w:hAnsi="Times New Roman"/>
        </w:rPr>
        <w:t xml:space="preserve"> to threaten the peace of the state” (italics mine).  John Locke, “An Essay on Toleration,” in </w:t>
      </w:r>
      <w:r w:rsidRPr="000D7F00">
        <w:rPr>
          <w:rFonts w:ascii="Times New Roman" w:hAnsi="Times New Roman"/>
          <w:i/>
        </w:rPr>
        <w:t>Locke: Political Essays</w:t>
      </w:r>
      <w:r w:rsidRPr="000D7F00">
        <w:rPr>
          <w:rFonts w:ascii="Times New Roman" w:hAnsi="Times New Roman"/>
        </w:rPr>
        <w:t>, ed. Mark Goldie (Cambridge: Cambridge University Press, 1997), 138, 147.</w:t>
      </w:r>
    </w:p>
  </w:footnote>
  <w:footnote w:id="8">
    <w:p w14:paraId="6A1FBDB0" w14:textId="1CB15C9C" w:rsidR="005D46DC" w:rsidRPr="000D7F00" w:rsidRDefault="005D46DC" w:rsidP="005E1D70">
      <w:pPr>
        <w:pStyle w:val="FootnoteText"/>
        <w:rPr>
          <w:rFonts w:ascii="Times New Roman" w:hAnsi="Times New Roman"/>
        </w:rPr>
      </w:pPr>
      <w:r w:rsidRPr="000D7F00">
        <w:rPr>
          <w:rStyle w:val="FootnoteReference"/>
        </w:rPr>
        <w:footnoteRef/>
      </w:r>
      <w:r w:rsidRPr="000D7F00">
        <w:rPr>
          <w:rFonts w:ascii="Times New Roman" w:hAnsi="Times New Roman"/>
        </w:rPr>
        <w:t xml:space="preserve"> Locke, </w:t>
      </w:r>
      <w:r w:rsidRPr="000D7F00">
        <w:rPr>
          <w:rFonts w:ascii="Times New Roman" w:hAnsi="Times New Roman"/>
          <w:i/>
        </w:rPr>
        <w:t>Letter</w:t>
      </w:r>
      <w:r w:rsidRPr="000D7F00">
        <w:rPr>
          <w:rFonts w:ascii="Times New Roman" w:hAnsi="Times New Roman"/>
        </w:rPr>
        <w:t>, 15.</w:t>
      </w:r>
    </w:p>
  </w:footnote>
  <w:footnote w:id="9">
    <w:p w14:paraId="5EBCFEF3" w14:textId="1F9E7382"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Locke, </w:t>
      </w:r>
      <w:r w:rsidRPr="000D7F00">
        <w:rPr>
          <w:rFonts w:ascii="Times New Roman" w:hAnsi="Times New Roman"/>
          <w:i/>
        </w:rPr>
        <w:t>Letter</w:t>
      </w:r>
      <w:r w:rsidRPr="000D7F00">
        <w:rPr>
          <w:rFonts w:ascii="Times New Roman" w:hAnsi="Times New Roman"/>
        </w:rPr>
        <w:t>, 10. Italics mine.</w:t>
      </w:r>
    </w:p>
  </w:footnote>
  <w:footnote w:id="10">
    <w:p w14:paraId="38740D03" w14:textId="4C791C26" w:rsidR="005D46DC" w:rsidRPr="000D7F00" w:rsidRDefault="005D46DC" w:rsidP="00B70C24">
      <w:pPr>
        <w:pStyle w:val="FootnoteText"/>
        <w:rPr>
          <w:rFonts w:ascii="Times New Roman" w:hAnsi="Times New Roman"/>
        </w:rPr>
      </w:pPr>
      <w:r w:rsidRPr="000D7F00">
        <w:rPr>
          <w:rStyle w:val="FootnoteReference"/>
        </w:rPr>
        <w:footnoteRef/>
      </w:r>
      <w:r w:rsidRPr="000D7F00">
        <w:rPr>
          <w:rFonts w:ascii="Times New Roman" w:hAnsi="Times New Roman"/>
        </w:rPr>
        <w:t xml:space="preserve"> Locke, </w:t>
      </w:r>
      <w:r w:rsidRPr="000D7F00">
        <w:rPr>
          <w:rFonts w:ascii="Times New Roman" w:hAnsi="Times New Roman"/>
          <w:i/>
        </w:rPr>
        <w:t>Letter</w:t>
      </w:r>
      <w:r w:rsidRPr="000D7F00">
        <w:rPr>
          <w:rFonts w:ascii="Times New Roman" w:hAnsi="Times New Roman"/>
        </w:rPr>
        <w:t>, 37.</w:t>
      </w:r>
    </w:p>
  </w:footnote>
  <w:footnote w:id="11">
    <w:p w14:paraId="4E4D3068" w14:textId="7148AFC0"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John Dunn, “The Claim to Freedom of Conscience: Freedom of Speech, Freedom of Thought, Freedom of Worship?” in </w:t>
      </w:r>
      <w:r w:rsidRPr="000D7F00">
        <w:rPr>
          <w:rFonts w:ascii="Times New Roman" w:hAnsi="Times New Roman"/>
          <w:i/>
        </w:rPr>
        <w:t>From Persecution to Toleration: The Glorious Revolution and Religion in England</w:t>
      </w:r>
      <w:r w:rsidRPr="000D7F00">
        <w:rPr>
          <w:rFonts w:ascii="Times New Roman" w:hAnsi="Times New Roman"/>
        </w:rPr>
        <w:t>, eds. Ole Peter Grell, Jonathan I. Israel and Nicholas Tyacke (Oxford: Clarendon Press, 1991), 185-186.</w:t>
      </w:r>
    </w:p>
  </w:footnote>
  <w:footnote w:id="12">
    <w:p w14:paraId="0BAB7695" w14:textId="11024C96"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Locke, </w:t>
      </w:r>
      <w:r w:rsidRPr="000D7F00">
        <w:rPr>
          <w:rFonts w:ascii="Times New Roman" w:hAnsi="Times New Roman"/>
          <w:i/>
        </w:rPr>
        <w:t>Letter</w:t>
      </w:r>
      <w:r w:rsidRPr="000D7F00">
        <w:rPr>
          <w:rFonts w:ascii="Times New Roman" w:hAnsi="Times New Roman"/>
        </w:rPr>
        <w:t>, 45.</w:t>
      </w:r>
    </w:p>
  </w:footnote>
  <w:footnote w:id="13">
    <w:p w14:paraId="62B80EBC" w14:textId="53B1CECE"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Waldron, “The Rationality of Persecution,” 81-82.</w:t>
      </w:r>
    </w:p>
  </w:footnote>
  <w:footnote w:id="14">
    <w:p w14:paraId="62BADFEA" w14:textId="4F7FF9F8"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Waldron, “The Rationality of Persecution,” 78.</w:t>
      </w:r>
    </w:p>
  </w:footnote>
  <w:footnote w:id="15">
    <w:p w14:paraId="176718B5" w14:textId="359716F1"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Waldron, “The Rationality of Persecution,” 62.  Italics mine.</w:t>
      </w:r>
    </w:p>
  </w:footnote>
  <w:footnote w:id="16">
    <w:p w14:paraId="47C39E25" w14:textId="09B67BF1"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McClure, “The Limits of Toleration,” 366.</w:t>
      </w:r>
    </w:p>
  </w:footnote>
  <w:footnote w:id="17">
    <w:p w14:paraId="69865410" w14:textId="6B229954"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McClure, “The Limits of Toleration,” 381.</w:t>
      </w:r>
    </w:p>
  </w:footnote>
  <w:footnote w:id="18">
    <w:p w14:paraId="5827AA31" w14:textId="56E243E2"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McClure, “The Limits of Toleration,” 383.</w:t>
      </w:r>
    </w:p>
  </w:footnote>
  <w:footnote w:id="19">
    <w:p w14:paraId="1E34B55E" w14:textId="10F3540C"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McClure, “The Limits of Toleration,” 384.</w:t>
      </w:r>
    </w:p>
  </w:footnote>
  <w:footnote w:id="20">
    <w:p w14:paraId="7C52682F" w14:textId="408FECD3"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Brown, </w:t>
      </w:r>
      <w:r w:rsidRPr="000D7F00">
        <w:rPr>
          <w:rFonts w:ascii="Times New Roman" w:hAnsi="Times New Roman"/>
          <w:i/>
        </w:rPr>
        <w:t>Regulating Aversion</w:t>
      </w:r>
      <w:r w:rsidRPr="000D7F00">
        <w:rPr>
          <w:rFonts w:ascii="Times New Roman" w:hAnsi="Times New Roman"/>
        </w:rPr>
        <w:t>, 34.</w:t>
      </w:r>
    </w:p>
  </w:footnote>
  <w:footnote w:id="21">
    <w:p w14:paraId="2E604B2B" w14:textId="3AF85E9E"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Brown, </w:t>
      </w:r>
      <w:r w:rsidRPr="000D7F00">
        <w:rPr>
          <w:rFonts w:ascii="Times New Roman" w:hAnsi="Times New Roman"/>
          <w:i/>
        </w:rPr>
        <w:t>Regulating Aversion</w:t>
      </w:r>
      <w:r w:rsidRPr="000D7F00">
        <w:rPr>
          <w:rFonts w:ascii="Times New Roman" w:hAnsi="Times New Roman"/>
        </w:rPr>
        <w:t>, 32.</w:t>
      </w:r>
    </w:p>
  </w:footnote>
  <w:footnote w:id="22">
    <w:p w14:paraId="110DE54F" w14:textId="4D255DD9"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Brown, </w:t>
      </w:r>
      <w:r w:rsidRPr="000D7F00">
        <w:rPr>
          <w:rFonts w:ascii="Times New Roman" w:hAnsi="Times New Roman"/>
          <w:i/>
        </w:rPr>
        <w:t>Regulating Aversion</w:t>
      </w:r>
      <w:r w:rsidRPr="000D7F00">
        <w:rPr>
          <w:rFonts w:ascii="Times New Roman" w:hAnsi="Times New Roman"/>
        </w:rPr>
        <w:t>, 46-47.</w:t>
      </w:r>
    </w:p>
  </w:footnote>
  <w:footnote w:id="23">
    <w:p w14:paraId="436BBAAC" w14:textId="29A5D24B" w:rsidR="005D46DC" w:rsidRPr="000D7F00" w:rsidRDefault="005D46DC" w:rsidP="00994CCA">
      <w:pPr>
        <w:pStyle w:val="FootnoteText"/>
        <w:rPr>
          <w:rFonts w:ascii="Times New Roman" w:hAnsi="Times New Roman"/>
        </w:rPr>
      </w:pPr>
      <w:r w:rsidRPr="000D7F00">
        <w:rPr>
          <w:rStyle w:val="FootnoteReference"/>
        </w:rPr>
        <w:footnoteRef/>
      </w:r>
      <w:r w:rsidRPr="000D7F00">
        <w:rPr>
          <w:rFonts w:ascii="Times New Roman" w:hAnsi="Times New Roman"/>
        </w:rPr>
        <w:t xml:space="preserve"> As Timothy Stanton has argued in his evaluation of Waldron’s approach, “on recent readings, toleration turns for Locke on a question of fact– does persecution produce a particular result? This reduces the argument about toleration to a term in a means–end relationship, with deeply unsatisfactory consequences.” Timothy Stanton, “Locke and the Politics and Theology of Toleration,” </w:t>
      </w:r>
      <w:r w:rsidRPr="000D7F00">
        <w:rPr>
          <w:rFonts w:ascii="Times New Roman" w:hAnsi="Times New Roman"/>
          <w:i/>
        </w:rPr>
        <w:t xml:space="preserve">Political Studies </w:t>
      </w:r>
      <w:r w:rsidRPr="000D7F00">
        <w:rPr>
          <w:rFonts w:ascii="Times New Roman" w:hAnsi="Times New Roman"/>
        </w:rPr>
        <w:t>54 (2006), 85.  While Stanton’s argument does not concern judgment directly but rather proceeds to identify a number of factors overlooked by Waldron to ground a richer understanding of Lockean toleration, below I suggest that the narrow notion of judgment undergirding this “means-end relationship” is precisely at the heart of the political-epistemological picture of magisterial power presumed by both refutations.</w:t>
      </w:r>
    </w:p>
  </w:footnote>
  <w:footnote w:id="24">
    <w:p w14:paraId="2031F59A" w14:textId="620A24C3" w:rsidR="005D46DC" w:rsidRPr="000D7F00" w:rsidRDefault="005D46DC" w:rsidP="00AB55E3">
      <w:pPr>
        <w:pStyle w:val="FootnoteText"/>
        <w:rPr>
          <w:rFonts w:ascii="Times New Roman" w:hAnsi="Times New Roman"/>
        </w:rPr>
      </w:pPr>
      <w:r w:rsidRPr="000D7F00">
        <w:rPr>
          <w:rStyle w:val="FootnoteReference"/>
        </w:rPr>
        <w:footnoteRef/>
      </w:r>
      <w:r w:rsidRPr="000D7F00">
        <w:rPr>
          <w:rFonts w:ascii="Times New Roman" w:hAnsi="Times New Roman"/>
        </w:rPr>
        <w:t xml:space="preserve"> I borrow the “blueprint” language from Torrey Shanks’s criticism of this approach to the </w:t>
      </w:r>
      <w:r w:rsidRPr="000D7F00">
        <w:rPr>
          <w:rFonts w:ascii="Times New Roman" w:hAnsi="Times New Roman"/>
          <w:i/>
        </w:rPr>
        <w:t>Letter</w:t>
      </w:r>
      <w:r>
        <w:rPr>
          <w:rFonts w:ascii="Times New Roman" w:hAnsi="Times New Roman"/>
        </w:rPr>
        <w:t xml:space="preserve">.  </w:t>
      </w:r>
      <w:r w:rsidRPr="000D7F00">
        <w:rPr>
          <w:rFonts w:ascii="Times New Roman" w:hAnsi="Times New Roman"/>
        </w:rPr>
        <w:t xml:space="preserve">Torrey Shanks, “Toleration and Democratic Membership: John Locke and Michel de Montaigne on Monsters,” </w:t>
      </w:r>
      <w:r w:rsidRPr="000D7F00">
        <w:rPr>
          <w:rFonts w:ascii="Times New Roman" w:hAnsi="Times New Roman"/>
          <w:i/>
        </w:rPr>
        <w:t>Political Theory</w:t>
      </w:r>
      <w:r w:rsidRPr="000D7F00">
        <w:rPr>
          <w:rFonts w:ascii="Times New Roman" w:hAnsi="Times New Roman"/>
        </w:rPr>
        <w:t xml:space="preserve"> (2014), 4.</w:t>
      </w:r>
    </w:p>
  </w:footnote>
  <w:footnote w:id="25">
    <w:p w14:paraId="2EAAD51D" w14:textId="601A1EA1" w:rsidR="005D46DC" w:rsidRPr="000D7F00" w:rsidRDefault="005D46DC" w:rsidP="00896F51">
      <w:pPr>
        <w:pStyle w:val="FootnoteText"/>
        <w:rPr>
          <w:rFonts w:ascii="Times New Roman" w:hAnsi="Times New Roman"/>
        </w:rPr>
      </w:pPr>
      <w:r w:rsidRPr="000D7F00">
        <w:rPr>
          <w:rStyle w:val="FootnoteReference"/>
        </w:rPr>
        <w:footnoteRef/>
      </w:r>
      <w:r w:rsidRPr="000D7F00">
        <w:rPr>
          <w:rFonts w:ascii="Times New Roman" w:hAnsi="Times New Roman"/>
        </w:rPr>
        <w:t xml:space="preserve"> </w:t>
      </w:r>
      <w:r w:rsidR="008D1696" w:rsidRPr="000D7F00">
        <w:rPr>
          <w:rFonts w:ascii="Times New Roman" w:hAnsi="Times New Roman"/>
        </w:rPr>
        <w:t xml:space="preserve">John Locke, </w:t>
      </w:r>
      <w:r w:rsidR="008D1696" w:rsidRPr="000D7F00">
        <w:rPr>
          <w:rFonts w:ascii="Times New Roman" w:hAnsi="Times New Roman"/>
          <w:i/>
        </w:rPr>
        <w:t>An Essay Concerning Human Understanding</w:t>
      </w:r>
      <w:r w:rsidR="008D1696" w:rsidRPr="000D7F00">
        <w:rPr>
          <w:rFonts w:ascii="Times New Roman" w:hAnsi="Times New Roman"/>
        </w:rPr>
        <w:t xml:space="preserve"> (Oxford: Clarendon Press, 1975)</w:t>
      </w:r>
      <w:r w:rsidRPr="000D7F00">
        <w:rPr>
          <w:rFonts w:ascii="Times New Roman" w:hAnsi="Times New Roman"/>
        </w:rPr>
        <w:t>, 2.11.23-30.</w:t>
      </w:r>
    </w:p>
  </w:footnote>
  <w:footnote w:id="26">
    <w:p w14:paraId="4CE5152D" w14:textId="05E22214"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Roger D. Lund, “Wit, Judgment, and the Misprisions of Similitude,” </w:t>
      </w:r>
      <w:r w:rsidRPr="000D7F00">
        <w:rPr>
          <w:rFonts w:ascii="Times New Roman" w:hAnsi="Times New Roman"/>
          <w:i/>
        </w:rPr>
        <w:t xml:space="preserve">Journal of the History of Ideas </w:t>
      </w:r>
      <w:r w:rsidRPr="000D7F00">
        <w:rPr>
          <w:rFonts w:ascii="Times New Roman" w:hAnsi="Times New Roman"/>
        </w:rPr>
        <w:t>65.1 (2004), 54-56.</w:t>
      </w:r>
    </w:p>
  </w:footnote>
  <w:footnote w:id="27">
    <w:p w14:paraId="0FD6E9A0" w14:textId="10E0A748"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Locke, </w:t>
      </w:r>
      <w:r w:rsidRPr="000D7F00">
        <w:rPr>
          <w:rFonts w:ascii="Times New Roman" w:hAnsi="Times New Roman"/>
          <w:i/>
        </w:rPr>
        <w:t>Essay</w:t>
      </w:r>
      <w:r w:rsidRPr="000D7F00">
        <w:rPr>
          <w:rFonts w:ascii="Times New Roman" w:hAnsi="Times New Roman"/>
        </w:rPr>
        <w:t>, 2.11.31-36.</w:t>
      </w:r>
    </w:p>
  </w:footnote>
  <w:footnote w:id="28">
    <w:p w14:paraId="106417C2" w14:textId="20746C63"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Locke, </w:t>
      </w:r>
      <w:r w:rsidRPr="000D7F00">
        <w:rPr>
          <w:rFonts w:ascii="Times New Roman" w:hAnsi="Times New Roman"/>
          <w:i/>
        </w:rPr>
        <w:t>Essay</w:t>
      </w:r>
      <w:r w:rsidRPr="000D7F00">
        <w:rPr>
          <w:rFonts w:ascii="Times New Roman" w:hAnsi="Times New Roman"/>
        </w:rPr>
        <w:t>, 2.11.33-34.</w:t>
      </w:r>
    </w:p>
  </w:footnote>
  <w:footnote w:id="29">
    <w:p w14:paraId="453D59A7" w14:textId="57BF5DA4" w:rsidR="005D46DC" w:rsidRPr="000D7F00" w:rsidRDefault="005D46DC" w:rsidP="00D3541C">
      <w:pPr>
        <w:pStyle w:val="FootnoteText"/>
        <w:rPr>
          <w:rFonts w:ascii="Times New Roman" w:hAnsi="Times New Roman"/>
        </w:rPr>
      </w:pPr>
      <w:r w:rsidRPr="000D7F00">
        <w:rPr>
          <w:rStyle w:val="FootnoteReference"/>
        </w:rPr>
        <w:footnoteRef/>
      </w:r>
      <w:r w:rsidRPr="000D7F00">
        <w:rPr>
          <w:rFonts w:ascii="Times New Roman" w:hAnsi="Times New Roman"/>
        </w:rPr>
        <w:t xml:space="preserve"> Indeed, we can identify manifestations of this dynamic relationship in the broader narrative structure of the </w:t>
      </w:r>
      <w:r w:rsidRPr="000D7F00">
        <w:rPr>
          <w:rFonts w:ascii="Times New Roman" w:hAnsi="Times New Roman"/>
          <w:i/>
        </w:rPr>
        <w:t>Essay</w:t>
      </w:r>
      <w:r w:rsidRPr="000D7F00">
        <w:rPr>
          <w:rFonts w:ascii="Times New Roman" w:hAnsi="Times New Roman"/>
        </w:rPr>
        <w:t xml:space="preserve">: in Locke’s epistolary introduction, the author informs readers that the </w:t>
      </w:r>
      <w:r w:rsidRPr="000D7F00">
        <w:rPr>
          <w:rFonts w:ascii="Times New Roman" w:hAnsi="Times New Roman"/>
          <w:i/>
        </w:rPr>
        <w:t>Essay</w:t>
      </w:r>
      <w:r w:rsidRPr="000D7F00">
        <w:rPr>
          <w:rFonts w:ascii="Times New Roman" w:hAnsi="Times New Roman"/>
        </w:rPr>
        <w:t xml:space="preserve"> arose from “some hasty and undigested Thoughts”—an assemblage at times “incoherent” and “discontinued.”  Locke, </w:t>
      </w:r>
      <w:r w:rsidRPr="000D7F00">
        <w:rPr>
          <w:rFonts w:ascii="Times New Roman" w:hAnsi="Times New Roman"/>
          <w:i/>
        </w:rPr>
        <w:t>Essay</w:t>
      </w:r>
      <w:r w:rsidRPr="000D7F00">
        <w:rPr>
          <w:rFonts w:ascii="Times New Roman" w:hAnsi="Times New Roman"/>
        </w:rPr>
        <w:t xml:space="preserve">, Epistle to the Reader, 26-34.  As Torrey Shanks notes, this rhetorically rich, ostensibly self-effacing framing of an argument generally taken to be critical of rhetoric in effect extends an invitation for readers to engage in judgment of the material at hand.  Torrey Shanks, </w:t>
      </w:r>
      <w:r w:rsidRPr="000D7F00">
        <w:rPr>
          <w:rFonts w:ascii="Times New Roman" w:hAnsi="Times New Roman"/>
          <w:i/>
        </w:rPr>
        <w:t>Authority Figures: Rhetoric and Experience in John Locke's Political Thought</w:t>
      </w:r>
      <w:r w:rsidRPr="000D7F00">
        <w:rPr>
          <w:rFonts w:ascii="Times New Roman" w:hAnsi="Times New Roman"/>
        </w:rPr>
        <w:t xml:space="preserve"> (University Park: Penn State University Press, 2014), x.</w:t>
      </w:r>
    </w:p>
  </w:footnote>
  <w:footnote w:id="30">
    <w:p w14:paraId="1D9EA8C6" w14:textId="1974CBC3" w:rsidR="005D46DC" w:rsidRPr="000D7F00" w:rsidRDefault="005D46DC">
      <w:pPr>
        <w:pStyle w:val="FootnoteText"/>
        <w:rPr>
          <w:rFonts w:ascii="Times New Roman" w:hAnsi="Times New Roman"/>
          <w:highlight w:val="yellow"/>
        </w:rPr>
      </w:pPr>
      <w:r w:rsidRPr="000D7F00">
        <w:rPr>
          <w:rStyle w:val="FootnoteReference"/>
        </w:rPr>
        <w:footnoteRef/>
      </w:r>
      <w:r w:rsidRPr="000D7F00">
        <w:rPr>
          <w:rFonts w:ascii="Times New Roman" w:hAnsi="Times New Roman"/>
        </w:rPr>
        <w:t xml:space="preserve"> See especially Locke’s discussion of knowledge and probability in Locke, </w:t>
      </w:r>
      <w:r w:rsidRPr="000D7F00">
        <w:rPr>
          <w:rFonts w:ascii="Times New Roman" w:hAnsi="Times New Roman"/>
          <w:i/>
        </w:rPr>
        <w:t>Essay</w:t>
      </w:r>
      <w:r w:rsidRPr="000D7F00">
        <w:rPr>
          <w:rFonts w:ascii="Times New Roman" w:hAnsi="Times New Roman"/>
        </w:rPr>
        <w:t xml:space="preserve">, 4.14. Here, while judgment likewise points to the capacity to separate ideas, it is now conceptualized less </w:t>
      </w:r>
      <w:r w:rsidRPr="000D7F00">
        <w:rPr>
          <w:rFonts w:ascii="Times New Roman" w:hAnsi="Times New Roman"/>
          <w:i/>
        </w:rPr>
        <w:t>aesthetically</w:t>
      </w:r>
      <w:r w:rsidRPr="000D7F00">
        <w:rPr>
          <w:rFonts w:ascii="Times New Roman" w:hAnsi="Times New Roman"/>
        </w:rPr>
        <w:t xml:space="preserve"> in juxtaposition to wit and more </w:t>
      </w:r>
      <w:r w:rsidRPr="000D7F00">
        <w:rPr>
          <w:rFonts w:ascii="Times New Roman" w:hAnsi="Times New Roman"/>
          <w:i/>
        </w:rPr>
        <w:t>epistemologically</w:t>
      </w:r>
      <w:r w:rsidRPr="000D7F00">
        <w:rPr>
          <w:rFonts w:ascii="Times New Roman" w:hAnsi="Times New Roman"/>
        </w:rPr>
        <w:t xml:space="preserve"> in juxtaposition to knowledge. While I do not read the shift by the end of the </w:t>
      </w:r>
      <w:r w:rsidRPr="000D7F00">
        <w:rPr>
          <w:rFonts w:ascii="Times New Roman" w:hAnsi="Times New Roman"/>
          <w:i/>
        </w:rPr>
        <w:t>Essay</w:t>
      </w:r>
      <w:r w:rsidRPr="000D7F00">
        <w:rPr>
          <w:rFonts w:ascii="Times New Roman" w:hAnsi="Times New Roman"/>
        </w:rPr>
        <w:t xml:space="preserve"> </w:t>
      </w:r>
      <w:r>
        <w:rPr>
          <w:rFonts w:ascii="Times New Roman" w:hAnsi="Times New Roman"/>
        </w:rPr>
        <w:t>in contradiction to</w:t>
      </w:r>
      <w:r w:rsidRPr="000D7F00">
        <w:rPr>
          <w:rFonts w:ascii="Times New Roman" w:hAnsi="Times New Roman"/>
        </w:rPr>
        <w:t xml:space="preserve"> Locke’s earlier discussion examined here, a more in-depth examination of this shift is outside the scope of this paper. For a broad and insightful discussion of Locke’s shifting views on judgment through different drafts of the </w:t>
      </w:r>
      <w:r w:rsidRPr="000D7F00">
        <w:rPr>
          <w:rFonts w:ascii="Times New Roman" w:hAnsi="Times New Roman"/>
          <w:i/>
        </w:rPr>
        <w:t>Essay</w:t>
      </w:r>
      <w:r w:rsidRPr="000D7F00">
        <w:rPr>
          <w:rFonts w:ascii="Times New Roman" w:hAnsi="Times New Roman"/>
        </w:rPr>
        <w:t xml:space="preserve">, see James Tully, “Governing Conduct: Locke on the Reform of Thought and Behavior,” in </w:t>
      </w:r>
      <w:r w:rsidRPr="000D7F00">
        <w:rPr>
          <w:rFonts w:ascii="Times New Roman" w:hAnsi="Times New Roman"/>
          <w:i/>
        </w:rPr>
        <w:t xml:space="preserve">An Approach to Political Philosophy: Locke in Contexts </w:t>
      </w:r>
      <w:r w:rsidRPr="000D7F00">
        <w:rPr>
          <w:rFonts w:ascii="Times New Roman" w:hAnsi="Times New Roman"/>
        </w:rPr>
        <w:t>179-241 (Cambridge: Cambridge University Press, 1993).</w:t>
      </w:r>
    </w:p>
  </w:footnote>
  <w:footnote w:id="31">
    <w:p w14:paraId="7407FA4A" w14:textId="1043151D"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There are two significant approaches to Locke’s </w:t>
      </w:r>
      <w:r w:rsidRPr="000D7F00">
        <w:rPr>
          <w:rFonts w:ascii="Times New Roman" w:hAnsi="Times New Roman"/>
          <w:i/>
        </w:rPr>
        <w:t>Essay</w:t>
      </w:r>
      <w:r w:rsidRPr="000D7F00">
        <w:rPr>
          <w:rFonts w:ascii="Times New Roman" w:hAnsi="Times New Roman"/>
        </w:rPr>
        <w:t xml:space="preserve"> that likewise render the “epistemological” account of judgment politically salient albeit without noticing judgment’s relation to wit, and to which my argument is indebted despite some disagreements. First is McClure’s </w:t>
      </w:r>
      <w:r w:rsidRPr="000D7F00">
        <w:rPr>
          <w:rFonts w:ascii="Times New Roman" w:hAnsi="Times New Roman"/>
          <w:i/>
        </w:rPr>
        <w:t>Judging Rights</w:t>
      </w:r>
      <w:r w:rsidRPr="000D7F00">
        <w:rPr>
          <w:rFonts w:ascii="Times New Roman" w:hAnsi="Times New Roman"/>
        </w:rPr>
        <w:t xml:space="preserve">, which articulates a notion of judgment necessarily imbricated in actors’ political interactions. Here I follow McClure’s broad argument that “there is…a significant if generally neglected connection between various ‘liberal’ theorists’ accounts of the character, content, and aims of political life and the manner in which these things are to be known,” in Kirstie McClure, </w:t>
      </w:r>
      <w:r w:rsidRPr="000D7F00">
        <w:rPr>
          <w:rFonts w:ascii="Times New Roman" w:hAnsi="Times New Roman"/>
          <w:i/>
        </w:rPr>
        <w:t>Judging Rights: Lockean Politics and the Limits of Consent</w:t>
      </w:r>
      <w:r w:rsidRPr="000D7F00">
        <w:rPr>
          <w:rFonts w:ascii="Times New Roman" w:hAnsi="Times New Roman"/>
        </w:rPr>
        <w:t xml:space="preserve"> (Ithaca: Cornell University Press, 1996), 4.  Where my argument differs from this general approach, however, is in interpreting the judgment/wit interplay to resist the conclusion that “facticity” and “visibility” amount to straightforward markers of certainty for magisterial power, as argued both in </w:t>
      </w:r>
      <w:r w:rsidRPr="000D7F00">
        <w:rPr>
          <w:rFonts w:ascii="Times New Roman" w:hAnsi="Times New Roman"/>
          <w:i/>
        </w:rPr>
        <w:t xml:space="preserve">Judging Rights </w:t>
      </w:r>
      <w:r w:rsidRPr="000D7F00">
        <w:rPr>
          <w:rFonts w:ascii="Times New Roman" w:hAnsi="Times New Roman"/>
        </w:rPr>
        <w:t xml:space="preserve">(see especially 218, 262-263) and in “The Limits of Toleration.”  My reading thus points to a contrast between McClure’s thematization of judgment as a </w:t>
      </w:r>
      <w:r w:rsidRPr="000D7F00">
        <w:rPr>
          <w:rFonts w:ascii="Times New Roman" w:hAnsi="Times New Roman"/>
          <w:i/>
        </w:rPr>
        <w:t>discrete</w:t>
      </w:r>
      <w:r w:rsidRPr="000D7F00">
        <w:rPr>
          <w:rFonts w:ascii="Times New Roman" w:hAnsi="Times New Roman"/>
        </w:rPr>
        <w:t xml:space="preserve"> capacity given to magistrates, subjects, etc., and its appearance as a </w:t>
      </w:r>
      <w:r w:rsidRPr="000D7F00">
        <w:rPr>
          <w:rFonts w:ascii="Times New Roman" w:hAnsi="Times New Roman"/>
          <w:i/>
        </w:rPr>
        <w:t>process</w:t>
      </w:r>
      <w:r w:rsidRPr="000D7F00">
        <w:rPr>
          <w:rFonts w:ascii="Times New Roman" w:hAnsi="Times New Roman"/>
        </w:rPr>
        <w:t xml:space="preserve"> (discussed below) arising from the interplays of assemblages and separations from which magisterial power cannot be isolated. The second approach is Douglas Casson’s </w:t>
      </w:r>
      <w:r w:rsidRPr="000D7F00">
        <w:rPr>
          <w:rFonts w:ascii="Times New Roman" w:hAnsi="Times New Roman"/>
          <w:i/>
        </w:rPr>
        <w:t>Liberating Judgment</w:t>
      </w:r>
      <w:r w:rsidRPr="000D7F00">
        <w:rPr>
          <w:rFonts w:ascii="Times New Roman" w:hAnsi="Times New Roman"/>
        </w:rPr>
        <w:t xml:space="preserve">, which I follow insofar as it argues that Locke’s broad political project is to “[convince] his readers to embrace a common understanding of judgment that takes into account both its importance and its limitations” in rendering judgment </w:t>
      </w:r>
      <w:r w:rsidRPr="000D7F00">
        <w:rPr>
          <w:rFonts w:ascii="Times New Roman" w:hAnsi="Times New Roman"/>
          <w:i/>
        </w:rPr>
        <w:t>probable</w:t>
      </w:r>
      <w:r w:rsidRPr="000D7F00">
        <w:rPr>
          <w:rFonts w:ascii="Times New Roman" w:hAnsi="Times New Roman"/>
        </w:rPr>
        <w:t xml:space="preserve">; Douglas John Casson, </w:t>
      </w:r>
      <w:r w:rsidRPr="000D7F00">
        <w:rPr>
          <w:rFonts w:ascii="Times New Roman" w:hAnsi="Times New Roman"/>
          <w:i/>
        </w:rPr>
        <w:t>Liberating Judgment</w:t>
      </w:r>
      <w:r w:rsidRPr="000D7F00">
        <w:rPr>
          <w:rFonts w:ascii="Times New Roman" w:hAnsi="Times New Roman"/>
        </w:rPr>
        <w:t xml:space="preserve"> (Princeton: Princeton University Press, 2011), 221.  However, I interpret the judgment/wit interplay to problematize the more highly </w:t>
      </w:r>
      <w:r w:rsidRPr="000D7F00">
        <w:rPr>
          <w:rFonts w:ascii="Times New Roman" w:hAnsi="Times New Roman"/>
          <w:i/>
        </w:rPr>
        <w:t>individuated</w:t>
      </w:r>
      <w:r w:rsidRPr="000D7F00">
        <w:rPr>
          <w:rFonts w:ascii="Times New Roman" w:hAnsi="Times New Roman"/>
        </w:rPr>
        <w:t xml:space="preserve"> picture of probable judgment that emerges on Casson’s account: e.g., as in the argument that “it is [Locke’s] anxious recognition of the unpredictable, anarchic potential of the individual judgment that leads him to emphasize the political importance of self-control and self-mastery.  By teaching his readers to regulate their own thoughts and actions, he can shift the primary locus of constraint from external coercion to internal discipline,” in Casson, </w:t>
      </w:r>
      <w:r w:rsidRPr="000D7F00">
        <w:rPr>
          <w:rFonts w:ascii="Times New Roman" w:hAnsi="Times New Roman"/>
          <w:i/>
        </w:rPr>
        <w:t>Liberating Judgment</w:t>
      </w:r>
      <w:r w:rsidRPr="000D7F00">
        <w:rPr>
          <w:rFonts w:ascii="Times New Roman" w:hAnsi="Times New Roman"/>
        </w:rPr>
        <w:t xml:space="preserve">, 130.  While I agree that a commitment to “internal discipline” runs through Locke’s thought, on my reading judgment’s reciprocal and processual dimensions caution against locating the motivation for “self-mastery” in Locke’s conception of judgment.  Indeed, Locke’s dynamic notion of this faculty offers one way to resist the picture of discrete and autonomous individuals often presumed by liberal theorists and occasionally attributed to Locke’s thought.   </w:t>
      </w:r>
    </w:p>
  </w:footnote>
  <w:footnote w:id="32">
    <w:p w14:paraId="494DD431" w14:textId="508E3CAF"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Shanks, “Toleration and Democratic Membership,” 3.  Note that Shanks identifies the encounter with novelty (and thus the occasion for judgment) in the exceptionally “monstrous” Abbot, with the subsequent implication that the </w:t>
      </w:r>
      <w:r w:rsidRPr="000D7F00">
        <w:rPr>
          <w:rFonts w:ascii="Times New Roman" w:hAnsi="Times New Roman"/>
          <w:i/>
        </w:rPr>
        <w:t>Essay</w:t>
      </w:r>
      <w:r w:rsidRPr="000D7F00">
        <w:rPr>
          <w:rFonts w:ascii="Times New Roman" w:hAnsi="Times New Roman"/>
        </w:rPr>
        <w:t xml:space="preserve"> invites a form of judgment that the </w:t>
      </w:r>
      <w:r w:rsidRPr="000D7F00">
        <w:rPr>
          <w:rFonts w:ascii="Times New Roman" w:hAnsi="Times New Roman"/>
          <w:i/>
        </w:rPr>
        <w:t xml:space="preserve">Letter </w:t>
      </w:r>
      <w:r w:rsidRPr="000D7F00">
        <w:rPr>
          <w:rFonts w:ascii="Times New Roman" w:hAnsi="Times New Roman"/>
        </w:rPr>
        <w:t xml:space="preserve">“undercuts” by advancing a static, epistemological divide between civil and religious spheres (4). While I agree with Shanks’s implications for judgment from her reading of the </w:t>
      </w:r>
      <w:r w:rsidRPr="000D7F00">
        <w:rPr>
          <w:rFonts w:ascii="Times New Roman" w:hAnsi="Times New Roman"/>
          <w:i/>
        </w:rPr>
        <w:t>Essay</w:t>
      </w:r>
      <w:r w:rsidRPr="000D7F00">
        <w:rPr>
          <w:rFonts w:ascii="Times New Roman" w:hAnsi="Times New Roman"/>
        </w:rPr>
        <w:t xml:space="preserve">, I suggest that conceptualizing this faculty alongside </w:t>
      </w:r>
      <w:r w:rsidRPr="000D7F00">
        <w:rPr>
          <w:rFonts w:ascii="Times New Roman" w:hAnsi="Times New Roman"/>
          <w:i/>
        </w:rPr>
        <w:t>wit</w:t>
      </w:r>
      <w:r w:rsidRPr="000D7F00">
        <w:rPr>
          <w:rFonts w:ascii="Times New Roman" w:hAnsi="Times New Roman"/>
        </w:rPr>
        <w:t xml:space="preserve"> rather than </w:t>
      </w:r>
      <w:r w:rsidRPr="000D7F00">
        <w:rPr>
          <w:rFonts w:ascii="Times New Roman" w:hAnsi="Times New Roman"/>
          <w:i/>
        </w:rPr>
        <w:t>monstrosity</w:t>
      </w:r>
      <w:r w:rsidRPr="000D7F00">
        <w:rPr>
          <w:rFonts w:ascii="Times New Roman" w:hAnsi="Times New Roman"/>
        </w:rPr>
        <w:t xml:space="preserve"> locates judgment’s political significance in its interplays with smaller-scale, everyday practices and continually-occurring assemblages rather than its attempts to apprehend the exceptional, “monstrous” event.  The </w:t>
      </w:r>
      <w:r w:rsidRPr="000D7F00">
        <w:rPr>
          <w:rFonts w:ascii="Times New Roman" w:hAnsi="Times New Roman"/>
          <w:i/>
        </w:rPr>
        <w:t>Letter</w:t>
      </w:r>
      <w:r w:rsidRPr="000D7F00">
        <w:rPr>
          <w:rFonts w:ascii="Times New Roman" w:hAnsi="Times New Roman"/>
        </w:rPr>
        <w:t xml:space="preserve"> may offer us no monsters, but, as I suggest in the following section, its “epistemological” framing is itself undergirded by Locke’s navigation of wit’s novel assemblages and judgment’s careful separations.</w:t>
      </w:r>
    </w:p>
  </w:footnote>
  <w:footnote w:id="33">
    <w:p w14:paraId="2E6BC0F9" w14:textId="6CA94F7A"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Of course here, as above, I refer to the Lockean understanding of “wit”—not solely as humor or cleverness, but the broader capacity to forge ideational assemblages.</w:t>
      </w:r>
    </w:p>
  </w:footnote>
  <w:footnote w:id="34">
    <w:p w14:paraId="0E1569F3" w14:textId="77777777" w:rsidR="005D46DC" w:rsidRDefault="005D46DC" w:rsidP="00D54F84">
      <w:pPr>
        <w:pStyle w:val="FootnoteText"/>
      </w:pPr>
      <w:r>
        <w:rPr>
          <w:rStyle w:val="FootnoteReference"/>
        </w:rPr>
        <w:footnoteRef/>
      </w:r>
      <w:r>
        <w:t xml:space="preserve"> Casson, </w:t>
      </w:r>
      <w:r>
        <w:rPr>
          <w:i/>
        </w:rPr>
        <w:t>Liberating Judgment</w:t>
      </w:r>
      <w:r>
        <w:t>, 11.</w:t>
      </w:r>
    </w:p>
  </w:footnote>
  <w:footnote w:id="35">
    <w:p w14:paraId="230192A7" w14:textId="40C29014"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See, e.g., Waldron, “The Rationality of Persecution,” 62-63.</w:t>
      </w:r>
    </w:p>
  </w:footnote>
  <w:footnote w:id="36">
    <w:p w14:paraId="192B8111" w14:textId="74D8DE3A" w:rsidR="005D46DC" w:rsidRPr="000D7F00" w:rsidRDefault="005D46DC" w:rsidP="00CB2491">
      <w:pPr>
        <w:pStyle w:val="FootnoteText"/>
        <w:rPr>
          <w:rFonts w:ascii="Times New Roman" w:hAnsi="Times New Roman"/>
        </w:rPr>
      </w:pPr>
      <w:r w:rsidRPr="000D7F00">
        <w:rPr>
          <w:rStyle w:val="FootnoteReference"/>
        </w:rPr>
        <w:footnoteRef/>
      </w:r>
      <w:r w:rsidRPr="000D7F00">
        <w:rPr>
          <w:rFonts w:ascii="Times New Roman" w:hAnsi="Times New Roman"/>
        </w:rPr>
        <w:t xml:space="preserve"> Mark Goldie, “John Locke and Anglican Royalism,” </w:t>
      </w:r>
      <w:r w:rsidRPr="000D7F00">
        <w:rPr>
          <w:rFonts w:ascii="Times New Roman" w:hAnsi="Times New Roman"/>
          <w:i/>
        </w:rPr>
        <w:t>Political Studies</w:t>
      </w:r>
      <w:r w:rsidRPr="000D7F00">
        <w:rPr>
          <w:rFonts w:ascii="Times New Roman" w:hAnsi="Times New Roman"/>
        </w:rPr>
        <w:t xml:space="preserve"> (1983), 76.  For an articulation of this general interpretive approach, see Quentin Skinner, “Meaning and Understanding in the History of Ideas,” </w:t>
      </w:r>
      <w:r w:rsidRPr="000D7F00">
        <w:rPr>
          <w:rFonts w:ascii="Times New Roman" w:hAnsi="Times New Roman"/>
          <w:i/>
        </w:rPr>
        <w:t>History and Theory</w:t>
      </w:r>
      <w:r w:rsidRPr="000D7F00">
        <w:rPr>
          <w:rFonts w:ascii="Times New Roman" w:hAnsi="Times New Roman"/>
        </w:rPr>
        <w:t xml:space="preserve"> 8.1 (1969).</w:t>
      </w:r>
    </w:p>
  </w:footnote>
  <w:footnote w:id="37">
    <w:p w14:paraId="656B029F" w14:textId="77777777" w:rsidR="005D46DC" w:rsidRPr="000D7F00" w:rsidRDefault="005D46DC" w:rsidP="00B25ACC">
      <w:pPr>
        <w:pStyle w:val="FootnoteText"/>
        <w:rPr>
          <w:rFonts w:ascii="Times New Roman" w:hAnsi="Times New Roman"/>
        </w:rPr>
      </w:pPr>
      <w:r w:rsidRPr="000D7F00">
        <w:rPr>
          <w:rStyle w:val="FootnoteReference"/>
        </w:rPr>
        <w:footnoteRef/>
      </w:r>
      <w:r w:rsidRPr="000D7F00">
        <w:rPr>
          <w:rFonts w:ascii="Times New Roman" w:hAnsi="Times New Roman"/>
        </w:rPr>
        <w:t xml:space="preserve"> Locke, </w:t>
      </w:r>
      <w:r w:rsidRPr="000D7F00">
        <w:rPr>
          <w:rFonts w:ascii="Times New Roman" w:hAnsi="Times New Roman"/>
          <w:i/>
        </w:rPr>
        <w:t>Letter</w:t>
      </w:r>
      <w:r w:rsidRPr="000D7F00">
        <w:rPr>
          <w:rFonts w:ascii="Times New Roman" w:hAnsi="Times New Roman"/>
        </w:rPr>
        <w:t>, 15.</w:t>
      </w:r>
    </w:p>
  </w:footnote>
  <w:footnote w:id="38">
    <w:p w14:paraId="220B3F9A" w14:textId="38D3B416" w:rsidR="005D46DC" w:rsidRPr="00E84256"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Marshall, 494.  Members of these circles included Philipp von Limborch, to whom Locke’s </w:t>
      </w:r>
      <w:r w:rsidRPr="000D7F00">
        <w:rPr>
          <w:rFonts w:ascii="Times New Roman" w:hAnsi="Times New Roman"/>
          <w:i/>
        </w:rPr>
        <w:t xml:space="preserve">Letter </w:t>
      </w:r>
      <w:r w:rsidRPr="000D7F00">
        <w:rPr>
          <w:rFonts w:ascii="Times New Roman" w:hAnsi="Times New Roman"/>
        </w:rPr>
        <w:t>is taken to be addressed; and Pierre Bayle, among many others.</w:t>
      </w:r>
      <w:r w:rsidR="00B748F9">
        <w:rPr>
          <w:rFonts w:ascii="Times New Roman" w:hAnsi="Times New Roman"/>
        </w:rPr>
        <w:t xml:space="preserve">  Also note that, </w:t>
      </w:r>
      <w:r w:rsidR="00DA1F49">
        <w:rPr>
          <w:rFonts w:ascii="Times New Roman" w:hAnsi="Times New Roman"/>
        </w:rPr>
        <w:t>in addition to</w:t>
      </w:r>
      <w:r w:rsidR="00B748F9">
        <w:rPr>
          <w:rFonts w:ascii="Times New Roman" w:hAnsi="Times New Roman"/>
        </w:rPr>
        <w:t xml:space="preserve"> some of the unique aspects of Locke’s experiences in the Netherlands examined below, his involvement in and celebration of the political significance of such “conversational circles”</w:t>
      </w:r>
      <w:r w:rsidR="00DA1F49">
        <w:rPr>
          <w:rFonts w:ascii="Times New Roman" w:hAnsi="Times New Roman"/>
        </w:rPr>
        <w:t xml:space="preserve"> composed of non-philosophers </w:t>
      </w:r>
      <w:r w:rsidR="00B748F9">
        <w:rPr>
          <w:rFonts w:ascii="Times New Roman" w:hAnsi="Times New Roman"/>
        </w:rPr>
        <w:t xml:space="preserve">stretches back at least to the 1671 origins of the </w:t>
      </w:r>
      <w:r w:rsidR="00B748F9">
        <w:rPr>
          <w:rFonts w:ascii="Times New Roman" w:hAnsi="Times New Roman"/>
          <w:i/>
        </w:rPr>
        <w:t>Essay</w:t>
      </w:r>
      <w:r w:rsidR="00B748F9">
        <w:rPr>
          <w:rFonts w:ascii="Times New Roman" w:hAnsi="Times New Roman"/>
        </w:rPr>
        <w:t>.  See e.g., Locke’s depiction of the “five or six Friends meeting at my Chamber”</w:t>
      </w:r>
      <w:r w:rsidR="00BD6908">
        <w:rPr>
          <w:rFonts w:ascii="Times New Roman" w:hAnsi="Times New Roman"/>
        </w:rPr>
        <w:t xml:space="preserve"> in the </w:t>
      </w:r>
      <w:r w:rsidR="00BD6908">
        <w:rPr>
          <w:rFonts w:ascii="Times New Roman" w:hAnsi="Times New Roman"/>
          <w:i/>
        </w:rPr>
        <w:t>Essay</w:t>
      </w:r>
      <w:r w:rsidR="00BD6908">
        <w:rPr>
          <w:rFonts w:ascii="Times New Roman" w:hAnsi="Times New Roman"/>
        </w:rPr>
        <w:t xml:space="preserve">’s opening; Locke, </w:t>
      </w:r>
      <w:r w:rsidR="00BD6908">
        <w:rPr>
          <w:rFonts w:ascii="Times New Roman" w:hAnsi="Times New Roman"/>
          <w:i/>
        </w:rPr>
        <w:t>Essay</w:t>
      </w:r>
      <w:r w:rsidR="00BD6908">
        <w:rPr>
          <w:rFonts w:ascii="Times New Roman" w:hAnsi="Times New Roman"/>
        </w:rPr>
        <w:t>, Epistle to the Reader.</w:t>
      </w:r>
      <w:r w:rsidR="00E84256">
        <w:rPr>
          <w:rFonts w:ascii="Times New Roman" w:hAnsi="Times New Roman"/>
        </w:rPr>
        <w:t xml:space="preserve">  For an approach to Locke’s </w:t>
      </w:r>
      <w:r w:rsidR="00E84256">
        <w:rPr>
          <w:rFonts w:ascii="Times New Roman" w:hAnsi="Times New Roman"/>
          <w:i/>
        </w:rPr>
        <w:t>Essay</w:t>
      </w:r>
      <w:r w:rsidR="00E84256">
        <w:rPr>
          <w:rFonts w:ascii="Times New Roman" w:hAnsi="Times New Roman"/>
        </w:rPr>
        <w:t xml:space="preserve"> that considers the relationship between the </w:t>
      </w:r>
      <w:r w:rsidR="00E84256">
        <w:rPr>
          <w:rFonts w:ascii="Times New Roman" w:hAnsi="Times New Roman"/>
          <w:i/>
        </w:rPr>
        <w:t>Essay</w:t>
      </w:r>
      <w:r w:rsidR="00E84256">
        <w:rPr>
          <w:rFonts w:ascii="Times New Roman" w:hAnsi="Times New Roman"/>
        </w:rPr>
        <w:t xml:space="preserve">’s “conversational” origins and its audiences thereafter, see especially Neal Wood, </w:t>
      </w:r>
      <w:r w:rsidR="00E84256">
        <w:rPr>
          <w:rFonts w:ascii="Times New Roman" w:hAnsi="Times New Roman"/>
          <w:i/>
        </w:rPr>
        <w:t xml:space="preserve">The Politics of Locke’s Philosophy: A Social Study of “An Essay Concerning Human Understanding” </w:t>
      </w:r>
      <w:r w:rsidR="00E84256">
        <w:rPr>
          <w:rFonts w:ascii="Times New Roman" w:hAnsi="Times New Roman"/>
        </w:rPr>
        <w:t xml:space="preserve">(Berkeley: University of California Press, 1983), 41-64. </w:t>
      </w:r>
    </w:p>
  </w:footnote>
  <w:footnote w:id="39">
    <w:p w14:paraId="198456C4" w14:textId="21A7DB05" w:rsidR="005D46DC" w:rsidRPr="000D7F00" w:rsidRDefault="005D46DC" w:rsidP="00A62F3F">
      <w:pPr>
        <w:pStyle w:val="FootnoteText"/>
        <w:rPr>
          <w:rFonts w:ascii="Times New Roman" w:hAnsi="Times New Roman"/>
        </w:rPr>
      </w:pPr>
      <w:r w:rsidRPr="000D7F00">
        <w:rPr>
          <w:rStyle w:val="FootnoteReference"/>
        </w:rPr>
        <w:footnoteRef/>
      </w:r>
      <w:r w:rsidRPr="000D7F00">
        <w:rPr>
          <w:rFonts w:ascii="Times New Roman" w:hAnsi="Times New Roman"/>
        </w:rPr>
        <w:t xml:space="preserve"> Marshall, 506-508.  Also see Shanks’s assertion that we cannot make sense of Locke’s philosophical arguments absent the rhetorical dimensions of his engagement with a “judging readership.” Shanks, </w:t>
      </w:r>
      <w:r w:rsidRPr="000D7F00">
        <w:rPr>
          <w:rFonts w:ascii="Times New Roman" w:hAnsi="Times New Roman"/>
          <w:i/>
        </w:rPr>
        <w:t>Authority Figures</w:t>
      </w:r>
      <w:r w:rsidRPr="000D7F00">
        <w:rPr>
          <w:rFonts w:ascii="Times New Roman" w:hAnsi="Times New Roman"/>
        </w:rPr>
        <w:t xml:space="preserve">, xii. </w:t>
      </w:r>
    </w:p>
  </w:footnote>
  <w:footnote w:id="40">
    <w:p w14:paraId="13DC70E5" w14:textId="34178435" w:rsidR="005D46DC" w:rsidRPr="000D7F00" w:rsidRDefault="005D46DC" w:rsidP="009E797D">
      <w:pPr>
        <w:pStyle w:val="FootnoteText"/>
        <w:rPr>
          <w:rFonts w:ascii="Times New Roman" w:hAnsi="Times New Roman"/>
        </w:rPr>
      </w:pPr>
      <w:r w:rsidRPr="000D7F00">
        <w:rPr>
          <w:rStyle w:val="FootnoteReference"/>
        </w:rPr>
        <w:footnoteRef/>
      </w:r>
      <w:r w:rsidRPr="000D7F00">
        <w:rPr>
          <w:rFonts w:ascii="Times New Roman" w:hAnsi="Times New Roman"/>
        </w:rPr>
        <w:t xml:space="preserve"> Marshall, 519. For Locke’s evocation of heresy, see Thomas Forster, ed., </w:t>
      </w:r>
      <w:r w:rsidRPr="000D7F00">
        <w:rPr>
          <w:rFonts w:ascii="Times New Roman" w:hAnsi="Times New Roman"/>
          <w:i/>
        </w:rPr>
        <w:t>Original Letters of John Locke, Algernon Sidney and Lord Shaftesbury: With an Analytical Sketch of the Writings and Opinions of Locke and Other Metaphysicians</w:t>
      </w:r>
      <w:r w:rsidRPr="000D7F00">
        <w:rPr>
          <w:rFonts w:ascii="Times New Roman" w:hAnsi="Times New Roman"/>
        </w:rPr>
        <w:t xml:space="preserve"> (Thoemmes Continuum, 1990), 37-42. For differences between this “intellectualized” definition and prevailing notions of what constituted a church in Locke’s context, also see Stanton, “Politics and Theology.”</w:t>
      </w:r>
    </w:p>
  </w:footnote>
  <w:footnote w:id="41">
    <w:p w14:paraId="598135D9" w14:textId="371A431F"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Rainer Forst, </w:t>
      </w:r>
      <w:r w:rsidRPr="000D7F00">
        <w:rPr>
          <w:rFonts w:ascii="Times New Roman" w:hAnsi="Times New Roman"/>
          <w:i/>
        </w:rPr>
        <w:t>Toleration in Conflict</w:t>
      </w:r>
      <w:r w:rsidRPr="000D7F00">
        <w:rPr>
          <w:rFonts w:ascii="Times New Roman" w:hAnsi="Times New Roman"/>
        </w:rPr>
        <w:t>, trans. Ciaran Cronin (Cambridge University Press, 2013), 235-236.</w:t>
      </w:r>
    </w:p>
  </w:footnote>
  <w:footnote w:id="42">
    <w:p w14:paraId="7BFFBB2F" w14:textId="16A0C164"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On the question of discipline in Locke’s thought, especially his elaboration of the relationship between the habituation of practices, ways of reasoning, and social relations, see especially Tully, “Governing Conduct.”</w:t>
      </w:r>
    </w:p>
  </w:footnote>
  <w:footnote w:id="43">
    <w:p w14:paraId="076CC3A3" w14:textId="169DC00A"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John Locke, “Second Treatise of Government,” in Two Treatises of Government</w:t>
      </w:r>
      <w:r w:rsidRPr="000D7F00">
        <w:rPr>
          <w:rFonts w:ascii="Times New Roman" w:hAnsi="Times New Roman"/>
          <w:i/>
        </w:rPr>
        <w:t xml:space="preserve"> and </w:t>
      </w:r>
      <w:r w:rsidRPr="000D7F00">
        <w:rPr>
          <w:rFonts w:ascii="Times New Roman" w:hAnsi="Times New Roman"/>
        </w:rPr>
        <w:t>A Letter Concerning Toleration, ed. Ian Shapiro (New Haven: Yale University Press, 2003), §87.</w:t>
      </w:r>
    </w:p>
  </w:footnote>
  <w:footnote w:id="44">
    <w:p w14:paraId="2312D239" w14:textId="573CD0E9" w:rsidR="005D46DC" w:rsidRPr="000D7F00" w:rsidRDefault="005D46DC">
      <w:pPr>
        <w:pStyle w:val="FootnoteText"/>
        <w:rPr>
          <w:rFonts w:ascii="Times New Roman" w:hAnsi="Times New Roman"/>
        </w:rPr>
      </w:pPr>
      <w:r w:rsidRPr="000D7F00">
        <w:rPr>
          <w:rStyle w:val="FootnoteReference"/>
        </w:rPr>
        <w:footnoteRef/>
      </w:r>
      <w:r w:rsidRPr="000D7F00">
        <w:rPr>
          <w:rFonts w:ascii="Times New Roman" w:hAnsi="Times New Roman"/>
        </w:rPr>
        <w:t xml:space="preserve"> Locke, “Second Treatise,” §210; §240.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300305"/>
      <w:docPartObj>
        <w:docPartGallery w:val="Page Numbers (Top of Page)"/>
        <w:docPartUnique/>
      </w:docPartObj>
    </w:sdtPr>
    <w:sdtEndPr>
      <w:rPr>
        <w:noProof/>
      </w:rPr>
    </w:sdtEndPr>
    <w:sdtContent>
      <w:p w14:paraId="28D10DA5" w14:textId="1D1557BC" w:rsidR="005D46DC" w:rsidRDefault="005D46DC">
        <w:pPr>
          <w:pStyle w:val="Header"/>
          <w:jc w:val="right"/>
        </w:pPr>
        <w:r>
          <w:fldChar w:fldCharType="begin"/>
        </w:r>
        <w:r>
          <w:instrText xml:space="preserve"> PAGE   \* MERGEFORMAT </w:instrText>
        </w:r>
        <w:r>
          <w:fldChar w:fldCharType="separate"/>
        </w:r>
        <w:r w:rsidR="00C6665D">
          <w:rPr>
            <w:noProof/>
          </w:rPr>
          <w:t>25</w:t>
        </w:r>
        <w:r>
          <w:rPr>
            <w:noProof/>
          </w:rPr>
          <w:fldChar w:fldCharType="end"/>
        </w:r>
      </w:p>
    </w:sdtContent>
  </w:sdt>
  <w:p w14:paraId="01517DE0" w14:textId="77777777" w:rsidR="005D46DC" w:rsidRDefault="005D4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8260B"/>
    <w:multiLevelType w:val="hybridMultilevel"/>
    <w:tmpl w:val="F50A41CA"/>
    <w:lvl w:ilvl="0" w:tplc="61E4E8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25B44"/>
    <w:multiLevelType w:val="hybridMultilevel"/>
    <w:tmpl w:val="02805DB6"/>
    <w:lvl w:ilvl="0" w:tplc="99108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7756ED"/>
    <w:multiLevelType w:val="hybridMultilevel"/>
    <w:tmpl w:val="ADCE32C2"/>
    <w:lvl w:ilvl="0" w:tplc="DE18E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C55EB"/>
    <w:multiLevelType w:val="hybridMultilevel"/>
    <w:tmpl w:val="DB921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B375F"/>
    <w:multiLevelType w:val="hybridMultilevel"/>
    <w:tmpl w:val="183C3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F7F63"/>
    <w:multiLevelType w:val="hybridMultilevel"/>
    <w:tmpl w:val="EDC8D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A0BCD"/>
    <w:multiLevelType w:val="hybridMultilevel"/>
    <w:tmpl w:val="39AA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26EE7"/>
    <w:multiLevelType w:val="hybridMultilevel"/>
    <w:tmpl w:val="F3C0A04A"/>
    <w:lvl w:ilvl="0" w:tplc="156C3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262167"/>
    <w:multiLevelType w:val="hybridMultilevel"/>
    <w:tmpl w:val="EAD222D8"/>
    <w:lvl w:ilvl="0" w:tplc="54EC7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CE5110"/>
    <w:multiLevelType w:val="hybridMultilevel"/>
    <w:tmpl w:val="3350DC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8"/>
  </w:num>
  <w:num w:numId="7">
    <w:abstractNumId w:val="2"/>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1B"/>
    <w:rsid w:val="00001BA2"/>
    <w:rsid w:val="00001DD6"/>
    <w:rsid w:val="0001437F"/>
    <w:rsid w:val="00015C3C"/>
    <w:rsid w:val="0002253B"/>
    <w:rsid w:val="0002324D"/>
    <w:rsid w:val="0002558E"/>
    <w:rsid w:val="00025A11"/>
    <w:rsid w:val="00027F72"/>
    <w:rsid w:val="0003063A"/>
    <w:rsid w:val="00031BF2"/>
    <w:rsid w:val="000333E8"/>
    <w:rsid w:val="000415CA"/>
    <w:rsid w:val="000420C1"/>
    <w:rsid w:val="00044E97"/>
    <w:rsid w:val="000470AA"/>
    <w:rsid w:val="00054706"/>
    <w:rsid w:val="00055300"/>
    <w:rsid w:val="00061C9C"/>
    <w:rsid w:val="00061EE3"/>
    <w:rsid w:val="000620DA"/>
    <w:rsid w:val="00064237"/>
    <w:rsid w:val="00065E58"/>
    <w:rsid w:val="000758B9"/>
    <w:rsid w:val="00082687"/>
    <w:rsid w:val="00094D8D"/>
    <w:rsid w:val="000A062B"/>
    <w:rsid w:val="000A5B5C"/>
    <w:rsid w:val="000A5CD5"/>
    <w:rsid w:val="000B44F2"/>
    <w:rsid w:val="000B586C"/>
    <w:rsid w:val="000C13EB"/>
    <w:rsid w:val="000C3096"/>
    <w:rsid w:val="000D0B86"/>
    <w:rsid w:val="000D7F00"/>
    <w:rsid w:val="000E07DC"/>
    <w:rsid w:val="000E13E7"/>
    <w:rsid w:val="000E4C5B"/>
    <w:rsid w:val="000E7F85"/>
    <w:rsid w:val="000F605C"/>
    <w:rsid w:val="00111BBB"/>
    <w:rsid w:val="00115525"/>
    <w:rsid w:val="001156A7"/>
    <w:rsid w:val="0011746D"/>
    <w:rsid w:val="0012151C"/>
    <w:rsid w:val="00123B07"/>
    <w:rsid w:val="00123B8F"/>
    <w:rsid w:val="001245AE"/>
    <w:rsid w:val="00135A76"/>
    <w:rsid w:val="001364B5"/>
    <w:rsid w:val="001429C8"/>
    <w:rsid w:val="00143AB1"/>
    <w:rsid w:val="0014426E"/>
    <w:rsid w:val="001446C1"/>
    <w:rsid w:val="00147775"/>
    <w:rsid w:val="00150B6E"/>
    <w:rsid w:val="001511F8"/>
    <w:rsid w:val="00152985"/>
    <w:rsid w:val="00153B2D"/>
    <w:rsid w:val="00153D69"/>
    <w:rsid w:val="00156AF9"/>
    <w:rsid w:val="0016462D"/>
    <w:rsid w:val="00167E26"/>
    <w:rsid w:val="00172E9B"/>
    <w:rsid w:val="001815F3"/>
    <w:rsid w:val="0019398A"/>
    <w:rsid w:val="00196EAA"/>
    <w:rsid w:val="001A3022"/>
    <w:rsid w:val="001A6960"/>
    <w:rsid w:val="001B3A01"/>
    <w:rsid w:val="001B5EE4"/>
    <w:rsid w:val="001C4928"/>
    <w:rsid w:val="001C6F77"/>
    <w:rsid w:val="001C717D"/>
    <w:rsid w:val="001D0BB4"/>
    <w:rsid w:val="001D32A4"/>
    <w:rsid w:val="001D51B1"/>
    <w:rsid w:val="001E3ACE"/>
    <w:rsid w:val="001F1C50"/>
    <w:rsid w:val="001F7265"/>
    <w:rsid w:val="001F74B6"/>
    <w:rsid w:val="0020144E"/>
    <w:rsid w:val="002059D8"/>
    <w:rsid w:val="00206EB3"/>
    <w:rsid w:val="002073F8"/>
    <w:rsid w:val="002104D3"/>
    <w:rsid w:val="00211F87"/>
    <w:rsid w:val="00214288"/>
    <w:rsid w:val="002144CF"/>
    <w:rsid w:val="00221FAC"/>
    <w:rsid w:val="00227187"/>
    <w:rsid w:val="002405C6"/>
    <w:rsid w:val="00240AF3"/>
    <w:rsid w:val="002441FC"/>
    <w:rsid w:val="00244483"/>
    <w:rsid w:val="0024601F"/>
    <w:rsid w:val="0024665C"/>
    <w:rsid w:val="00254CC5"/>
    <w:rsid w:val="00265592"/>
    <w:rsid w:val="002745DE"/>
    <w:rsid w:val="00285881"/>
    <w:rsid w:val="00287503"/>
    <w:rsid w:val="002923FC"/>
    <w:rsid w:val="0029550D"/>
    <w:rsid w:val="0029729D"/>
    <w:rsid w:val="002A69D0"/>
    <w:rsid w:val="002B0D11"/>
    <w:rsid w:val="002B2B58"/>
    <w:rsid w:val="002B44ED"/>
    <w:rsid w:val="002B69F3"/>
    <w:rsid w:val="002B7CD2"/>
    <w:rsid w:val="002C045C"/>
    <w:rsid w:val="002C15C4"/>
    <w:rsid w:val="002C2453"/>
    <w:rsid w:val="002C5EA4"/>
    <w:rsid w:val="002C797E"/>
    <w:rsid w:val="002D07A0"/>
    <w:rsid w:val="002D2500"/>
    <w:rsid w:val="002D2A88"/>
    <w:rsid w:val="002D57CB"/>
    <w:rsid w:val="002D65C3"/>
    <w:rsid w:val="002E1054"/>
    <w:rsid w:val="002E21BF"/>
    <w:rsid w:val="002E6010"/>
    <w:rsid w:val="002F603C"/>
    <w:rsid w:val="0030064D"/>
    <w:rsid w:val="0030311C"/>
    <w:rsid w:val="003054C3"/>
    <w:rsid w:val="0030680E"/>
    <w:rsid w:val="00307714"/>
    <w:rsid w:val="00307B5C"/>
    <w:rsid w:val="00310BB0"/>
    <w:rsid w:val="00312647"/>
    <w:rsid w:val="0031699D"/>
    <w:rsid w:val="0032101A"/>
    <w:rsid w:val="003240B8"/>
    <w:rsid w:val="003305A7"/>
    <w:rsid w:val="0033205F"/>
    <w:rsid w:val="003418B0"/>
    <w:rsid w:val="00344094"/>
    <w:rsid w:val="0034515C"/>
    <w:rsid w:val="003458FA"/>
    <w:rsid w:val="003463C9"/>
    <w:rsid w:val="00347D5C"/>
    <w:rsid w:val="00353259"/>
    <w:rsid w:val="00362005"/>
    <w:rsid w:val="0036227E"/>
    <w:rsid w:val="00363BF6"/>
    <w:rsid w:val="00364B5F"/>
    <w:rsid w:val="00365FF5"/>
    <w:rsid w:val="00371784"/>
    <w:rsid w:val="00371E0E"/>
    <w:rsid w:val="00373233"/>
    <w:rsid w:val="003749A4"/>
    <w:rsid w:val="00381F97"/>
    <w:rsid w:val="003824E1"/>
    <w:rsid w:val="00384B24"/>
    <w:rsid w:val="0038567C"/>
    <w:rsid w:val="0038787F"/>
    <w:rsid w:val="00390890"/>
    <w:rsid w:val="00390A24"/>
    <w:rsid w:val="00391B65"/>
    <w:rsid w:val="00392060"/>
    <w:rsid w:val="00392343"/>
    <w:rsid w:val="00397AEC"/>
    <w:rsid w:val="00397AFF"/>
    <w:rsid w:val="003A1DAF"/>
    <w:rsid w:val="003A5A68"/>
    <w:rsid w:val="003A6517"/>
    <w:rsid w:val="003B065D"/>
    <w:rsid w:val="003B1317"/>
    <w:rsid w:val="003B375D"/>
    <w:rsid w:val="003B77BE"/>
    <w:rsid w:val="003B79CB"/>
    <w:rsid w:val="003C1207"/>
    <w:rsid w:val="003C1F75"/>
    <w:rsid w:val="003D2CC0"/>
    <w:rsid w:val="003D3EE4"/>
    <w:rsid w:val="003E1376"/>
    <w:rsid w:val="003E6F26"/>
    <w:rsid w:val="003F587B"/>
    <w:rsid w:val="003F7C41"/>
    <w:rsid w:val="00401B34"/>
    <w:rsid w:val="00405306"/>
    <w:rsid w:val="00405599"/>
    <w:rsid w:val="00407369"/>
    <w:rsid w:val="004111D7"/>
    <w:rsid w:val="004127BD"/>
    <w:rsid w:val="0041343F"/>
    <w:rsid w:val="00417A96"/>
    <w:rsid w:val="00420B2A"/>
    <w:rsid w:val="00421CE3"/>
    <w:rsid w:val="00422873"/>
    <w:rsid w:val="0042355C"/>
    <w:rsid w:val="00424C7D"/>
    <w:rsid w:val="00427EE3"/>
    <w:rsid w:val="004303E2"/>
    <w:rsid w:val="004305C6"/>
    <w:rsid w:val="00432011"/>
    <w:rsid w:val="0043275E"/>
    <w:rsid w:val="004327E9"/>
    <w:rsid w:val="00432DE3"/>
    <w:rsid w:val="00434B64"/>
    <w:rsid w:val="0044118E"/>
    <w:rsid w:val="00441D7D"/>
    <w:rsid w:val="004434EE"/>
    <w:rsid w:val="00446AC2"/>
    <w:rsid w:val="004520DE"/>
    <w:rsid w:val="00452568"/>
    <w:rsid w:val="00453826"/>
    <w:rsid w:val="00453CC8"/>
    <w:rsid w:val="004569AF"/>
    <w:rsid w:val="00460B8B"/>
    <w:rsid w:val="0046384E"/>
    <w:rsid w:val="00466EF4"/>
    <w:rsid w:val="004705D4"/>
    <w:rsid w:val="004708FC"/>
    <w:rsid w:val="00470A55"/>
    <w:rsid w:val="00470EE9"/>
    <w:rsid w:val="004736AA"/>
    <w:rsid w:val="004764C3"/>
    <w:rsid w:val="004817F3"/>
    <w:rsid w:val="00483D9C"/>
    <w:rsid w:val="00484C5E"/>
    <w:rsid w:val="004874B7"/>
    <w:rsid w:val="004874D6"/>
    <w:rsid w:val="004878F3"/>
    <w:rsid w:val="00491F88"/>
    <w:rsid w:val="004921F2"/>
    <w:rsid w:val="00495EAF"/>
    <w:rsid w:val="004A0392"/>
    <w:rsid w:val="004A143D"/>
    <w:rsid w:val="004B06C4"/>
    <w:rsid w:val="004C060D"/>
    <w:rsid w:val="004C1B2D"/>
    <w:rsid w:val="004C3E5C"/>
    <w:rsid w:val="004C765C"/>
    <w:rsid w:val="004D40AC"/>
    <w:rsid w:val="004D51A3"/>
    <w:rsid w:val="004D53A4"/>
    <w:rsid w:val="004E137C"/>
    <w:rsid w:val="004E72FF"/>
    <w:rsid w:val="004F0357"/>
    <w:rsid w:val="004F1CAD"/>
    <w:rsid w:val="004F2A84"/>
    <w:rsid w:val="00500A95"/>
    <w:rsid w:val="00501AC6"/>
    <w:rsid w:val="005049E0"/>
    <w:rsid w:val="00504E95"/>
    <w:rsid w:val="00506E13"/>
    <w:rsid w:val="00510BC8"/>
    <w:rsid w:val="0051265B"/>
    <w:rsid w:val="00513C09"/>
    <w:rsid w:val="00514D16"/>
    <w:rsid w:val="00516D6E"/>
    <w:rsid w:val="00525C07"/>
    <w:rsid w:val="00526BE6"/>
    <w:rsid w:val="0053027B"/>
    <w:rsid w:val="005327D5"/>
    <w:rsid w:val="005342F9"/>
    <w:rsid w:val="00534883"/>
    <w:rsid w:val="00537353"/>
    <w:rsid w:val="00540F44"/>
    <w:rsid w:val="005441BB"/>
    <w:rsid w:val="0054770F"/>
    <w:rsid w:val="00547A8A"/>
    <w:rsid w:val="0055030F"/>
    <w:rsid w:val="00550B42"/>
    <w:rsid w:val="00550C61"/>
    <w:rsid w:val="00553EE7"/>
    <w:rsid w:val="00564651"/>
    <w:rsid w:val="005666E5"/>
    <w:rsid w:val="00566D2F"/>
    <w:rsid w:val="0056705C"/>
    <w:rsid w:val="00576A84"/>
    <w:rsid w:val="00577B7E"/>
    <w:rsid w:val="00583FF5"/>
    <w:rsid w:val="005923C5"/>
    <w:rsid w:val="00594E82"/>
    <w:rsid w:val="00597FC8"/>
    <w:rsid w:val="005A0250"/>
    <w:rsid w:val="005A2B7E"/>
    <w:rsid w:val="005A3318"/>
    <w:rsid w:val="005A5D5C"/>
    <w:rsid w:val="005B1884"/>
    <w:rsid w:val="005B2AEC"/>
    <w:rsid w:val="005B3A6D"/>
    <w:rsid w:val="005B519B"/>
    <w:rsid w:val="005C3CD5"/>
    <w:rsid w:val="005C7757"/>
    <w:rsid w:val="005D38C5"/>
    <w:rsid w:val="005D3989"/>
    <w:rsid w:val="005D46DC"/>
    <w:rsid w:val="005D4F08"/>
    <w:rsid w:val="005D5A1B"/>
    <w:rsid w:val="005D65E7"/>
    <w:rsid w:val="005E1D70"/>
    <w:rsid w:val="005E2226"/>
    <w:rsid w:val="005E2F2B"/>
    <w:rsid w:val="005E71C2"/>
    <w:rsid w:val="005E7A55"/>
    <w:rsid w:val="005F0704"/>
    <w:rsid w:val="005F5414"/>
    <w:rsid w:val="005F7220"/>
    <w:rsid w:val="006003A0"/>
    <w:rsid w:val="00601F2F"/>
    <w:rsid w:val="00607632"/>
    <w:rsid w:val="006163B9"/>
    <w:rsid w:val="006248C9"/>
    <w:rsid w:val="006309DE"/>
    <w:rsid w:val="0063164F"/>
    <w:rsid w:val="00633505"/>
    <w:rsid w:val="0063355A"/>
    <w:rsid w:val="00633A27"/>
    <w:rsid w:val="0063494C"/>
    <w:rsid w:val="00636D6D"/>
    <w:rsid w:val="0064177B"/>
    <w:rsid w:val="0064412D"/>
    <w:rsid w:val="00644445"/>
    <w:rsid w:val="006454BD"/>
    <w:rsid w:val="006458C9"/>
    <w:rsid w:val="0064740E"/>
    <w:rsid w:val="0065018B"/>
    <w:rsid w:val="006519BF"/>
    <w:rsid w:val="0065308B"/>
    <w:rsid w:val="006544AB"/>
    <w:rsid w:val="00654933"/>
    <w:rsid w:val="00655129"/>
    <w:rsid w:val="0067365F"/>
    <w:rsid w:val="006803C7"/>
    <w:rsid w:val="00680C1A"/>
    <w:rsid w:val="00687CCB"/>
    <w:rsid w:val="00690E12"/>
    <w:rsid w:val="0069383E"/>
    <w:rsid w:val="0069665D"/>
    <w:rsid w:val="00697D4A"/>
    <w:rsid w:val="006A0A2F"/>
    <w:rsid w:val="006A57B3"/>
    <w:rsid w:val="006A5FC3"/>
    <w:rsid w:val="006A635E"/>
    <w:rsid w:val="006B1AD8"/>
    <w:rsid w:val="006B5803"/>
    <w:rsid w:val="006B797F"/>
    <w:rsid w:val="006C0E25"/>
    <w:rsid w:val="006C2580"/>
    <w:rsid w:val="006C5079"/>
    <w:rsid w:val="006C508F"/>
    <w:rsid w:val="006D0329"/>
    <w:rsid w:val="006D252E"/>
    <w:rsid w:val="006D6C35"/>
    <w:rsid w:val="006E16D1"/>
    <w:rsid w:val="006E787C"/>
    <w:rsid w:val="006E7D1F"/>
    <w:rsid w:val="006F2702"/>
    <w:rsid w:val="006F2FBB"/>
    <w:rsid w:val="006F49B0"/>
    <w:rsid w:val="006F6426"/>
    <w:rsid w:val="007107D1"/>
    <w:rsid w:val="0071226D"/>
    <w:rsid w:val="00712A8A"/>
    <w:rsid w:val="00717B83"/>
    <w:rsid w:val="00720AD1"/>
    <w:rsid w:val="00720D9A"/>
    <w:rsid w:val="00721B52"/>
    <w:rsid w:val="0073056F"/>
    <w:rsid w:val="007326E9"/>
    <w:rsid w:val="00735422"/>
    <w:rsid w:val="007370C5"/>
    <w:rsid w:val="007436E4"/>
    <w:rsid w:val="00743B1D"/>
    <w:rsid w:val="007451DF"/>
    <w:rsid w:val="0075192B"/>
    <w:rsid w:val="00754B2B"/>
    <w:rsid w:val="00755AA6"/>
    <w:rsid w:val="00756C43"/>
    <w:rsid w:val="007817F2"/>
    <w:rsid w:val="00782694"/>
    <w:rsid w:val="00783BE3"/>
    <w:rsid w:val="0078555D"/>
    <w:rsid w:val="00790ADD"/>
    <w:rsid w:val="00791936"/>
    <w:rsid w:val="0079360B"/>
    <w:rsid w:val="007A2A0E"/>
    <w:rsid w:val="007A2BD9"/>
    <w:rsid w:val="007A68AF"/>
    <w:rsid w:val="007C6EA8"/>
    <w:rsid w:val="007D476D"/>
    <w:rsid w:val="007D6E0D"/>
    <w:rsid w:val="007D7CF4"/>
    <w:rsid w:val="007E0C78"/>
    <w:rsid w:val="007E39F6"/>
    <w:rsid w:val="007E4D41"/>
    <w:rsid w:val="007E6DC6"/>
    <w:rsid w:val="007E7358"/>
    <w:rsid w:val="007F1E84"/>
    <w:rsid w:val="007F5BF0"/>
    <w:rsid w:val="00800DB6"/>
    <w:rsid w:val="00807A00"/>
    <w:rsid w:val="00810E75"/>
    <w:rsid w:val="008121A8"/>
    <w:rsid w:val="008124A2"/>
    <w:rsid w:val="008137CD"/>
    <w:rsid w:val="008140E2"/>
    <w:rsid w:val="00816695"/>
    <w:rsid w:val="008167B2"/>
    <w:rsid w:val="008254BA"/>
    <w:rsid w:val="00831F72"/>
    <w:rsid w:val="00832257"/>
    <w:rsid w:val="00832C5E"/>
    <w:rsid w:val="00840FBB"/>
    <w:rsid w:val="008418E2"/>
    <w:rsid w:val="00842225"/>
    <w:rsid w:val="00844743"/>
    <w:rsid w:val="0085183F"/>
    <w:rsid w:val="008547A2"/>
    <w:rsid w:val="008559B4"/>
    <w:rsid w:val="00856B14"/>
    <w:rsid w:val="008605BF"/>
    <w:rsid w:val="00862315"/>
    <w:rsid w:val="00870E53"/>
    <w:rsid w:val="00870F19"/>
    <w:rsid w:val="008713C1"/>
    <w:rsid w:val="00874E87"/>
    <w:rsid w:val="0088474C"/>
    <w:rsid w:val="0088519C"/>
    <w:rsid w:val="00886550"/>
    <w:rsid w:val="00891D8B"/>
    <w:rsid w:val="008937A9"/>
    <w:rsid w:val="00895F04"/>
    <w:rsid w:val="00896F51"/>
    <w:rsid w:val="008A62F1"/>
    <w:rsid w:val="008B0271"/>
    <w:rsid w:val="008B5BA9"/>
    <w:rsid w:val="008C157D"/>
    <w:rsid w:val="008C25B6"/>
    <w:rsid w:val="008C38D5"/>
    <w:rsid w:val="008C6F9F"/>
    <w:rsid w:val="008D1113"/>
    <w:rsid w:val="008D1696"/>
    <w:rsid w:val="008D328C"/>
    <w:rsid w:val="008D60DF"/>
    <w:rsid w:val="008D657B"/>
    <w:rsid w:val="008D6976"/>
    <w:rsid w:val="008D6CBC"/>
    <w:rsid w:val="008D7D1E"/>
    <w:rsid w:val="008E02C3"/>
    <w:rsid w:val="008E06AB"/>
    <w:rsid w:val="008E1E08"/>
    <w:rsid w:val="008E6916"/>
    <w:rsid w:val="008E695C"/>
    <w:rsid w:val="008F7B6E"/>
    <w:rsid w:val="008F7EEF"/>
    <w:rsid w:val="00903D9C"/>
    <w:rsid w:val="00907373"/>
    <w:rsid w:val="00916DA8"/>
    <w:rsid w:val="00920BE8"/>
    <w:rsid w:val="0092346C"/>
    <w:rsid w:val="0092442D"/>
    <w:rsid w:val="009246CD"/>
    <w:rsid w:val="00927717"/>
    <w:rsid w:val="00930E09"/>
    <w:rsid w:val="00947D38"/>
    <w:rsid w:val="00955BF5"/>
    <w:rsid w:val="0095773F"/>
    <w:rsid w:val="00957FEA"/>
    <w:rsid w:val="00963B72"/>
    <w:rsid w:val="009710BF"/>
    <w:rsid w:val="0097389D"/>
    <w:rsid w:val="009748F2"/>
    <w:rsid w:val="00974B25"/>
    <w:rsid w:val="00977E4A"/>
    <w:rsid w:val="0098096E"/>
    <w:rsid w:val="00982C49"/>
    <w:rsid w:val="009844EE"/>
    <w:rsid w:val="00985B31"/>
    <w:rsid w:val="00993E4D"/>
    <w:rsid w:val="009944A7"/>
    <w:rsid w:val="00994937"/>
    <w:rsid w:val="00994CCA"/>
    <w:rsid w:val="00997100"/>
    <w:rsid w:val="009A3135"/>
    <w:rsid w:val="009A41E0"/>
    <w:rsid w:val="009A585A"/>
    <w:rsid w:val="009A6F19"/>
    <w:rsid w:val="009A6F1B"/>
    <w:rsid w:val="009B14D1"/>
    <w:rsid w:val="009B4AC4"/>
    <w:rsid w:val="009B5C2D"/>
    <w:rsid w:val="009C70BA"/>
    <w:rsid w:val="009E0084"/>
    <w:rsid w:val="009E0DD4"/>
    <w:rsid w:val="009E3707"/>
    <w:rsid w:val="009E3A1F"/>
    <w:rsid w:val="009E4F84"/>
    <w:rsid w:val="009E5F6E"/>
    <w:rsid w:val="009E797D"/>
    <w:rsid w:val="009F0A79"/>
    <w:rsid w:val="009F1281"/>
    <w:rsid w:val="009F3FFA"/>
    <w:rsid w:val="009F486C"/>
    <w:rsid w:val="009F55EA"/>
    <w:rsid w:val="009F6EE8"/>
    <w:rsid w:val="00A04A89"/>
    <w:rsid w:val="00A07C6E"/>
    <w:rsid w:val="00A07CFD"/>
    <w:rsid w:val="00A10B90"/>
    <w:rsid w:val="00A11A36"/>
    <w:rsid w:val="00A15D53"/>
    <w:rsid w:val="00A20511"/>
    <w:rsid w:val="00A30548"/>
    <w:rsid w:val="00A35124"/>
    <w:rsid w:val="00A3722D"/>
    <w:rsid w:val="00A431A3"/>
    <w:rsid w:val="00A44752"/>
    <w:rsid w:val="00A46C72"/>
    <w:rsid w:val="00A61020"/>
    <w:rsid w:val="00A62F3F"/>
    <w:rsid w:val="00A65254"/>
    <w:rsid w:val="00A67625"/>
    <w:rsid w:val="00A67C46"/>
    <w:rsid w:val="00A7310D"/>
    <w:rsid w:val="00A73334"/>
    <w:rsid w:val="00A77ADF"/>
    <w:rsid w:val="00A835BC"/>
    <w:rsid w:val="00A8437D"/>
    <w:rsid w:val="00A853D0"/>
    <w:rsid w:val="00A85585"/>
    <w:rsid w:val="00A86FC9"/>
    <w:rsid w:val="00A9051C"/>
    <w:rsid w:val="00A924CA"/>
    <w:rsid w:val="00A9363F"/>
    <w:rsid w:val="00AA1BF8"/>
    <w:rsid w:val="00AA27AD"/>
    <w:rsid w:val="00AA41EF"/>
    <w:rsid w:val="00AB11C5"/>
    <w:rsid w:val="00AB412B"/>
    <w:rsid w:val="00AB55E3"/>
    <w:rsid w:val="00AB67D9"/>
    <w:rsid w:val="00AC2B2E"/>
    <w:rsid w:val="00AD30AA"/>
    <w:rsid w:val="00AD4383"/>
    <w:rsid w:val="00AD7BFD"/>
    <w:rsid w:val="00AE095B"/>
    <w:rsid w:val="00AE0DB7"/>
    <w:rsid w:val="00AE12E7"/>
    <w:rsid w:val="00AE14CA"/>
    <w:rsid w:val="00AE1A10"/>
    <w:rsid w:val="00AE3E68"/>
    <w:rsid w:val="00AF05D4"/>
    <w:rsid w:val="00AF3408"/>
    <w:rsid w:val="00B012B0"/>
    <w:rsid w:val="00B02D94"/>
    <w:rsid w:val="00B0374C"/>
    <w:rsid w:val="00B11FBA"/>
    <w:rsid w:val="00B143BE"/>
    <w:rsid w:val="00B15B89"/>
    <w:rsid w:val="00B165C1"/>
    <w:rsid w:val="00B17F0C"/>
    <w:rsid w:val="00B20B0D"/>
    <w:rsid w:val="00B25ACC"/>
    <w:rsid w:val="00B26428"/>
    <w:rsid w:val="00B3133C"/>
    <w:rsid w:val="00B359F9"/>
    <w:rsid w:val="00B405A9"/>
    <w:rsid w:val="00B5210B"/>
    <w:rsid w:val="00B612A0"/>
    <w:rsid w:val="00B70C24"/>
    <w:rsid w:val="00B7197B"/>
    <w:rsid w:val="00B71C36"/>
    <w:rsid w:val="00B748F9"/>
    <w:rsid w:val="00B7502A"/>
    <w:rsid w:val="00B77CFF"/>
    <w:rsid w:val="00B816F1"/>
    <w:rsid w:val="00B82A2D"/>
    <w:rsid w:val="00B86060"/>
    <w:rsid w:val="00B86B8F"/>
    <w:rsid w:val="00B905ED"/>
    <w:rsid w:val="00B91D0F"/>
    <w:rsid w:val="00B92B57"/>
    <w:rsid w:val="00B97093"/>
    <w:rsid w:val="00BA0B75"/>
    <w:rsid w:val="00BA1DA3"/>
    <w:rsid w:val="00BB4928"/>
    <w:rsid w:val="00BC007A"/>
    <w:rsid w:val="00BC55B6"/>
    <w:rsid w:val="00BC752F"/>
    <w:rsid w:val="00BD02DD"/>
    <w:rsid w:val="00BD37FB"/>
    <w:rsid w:val="00BD39CD"/>
    <w:rsid w:val="00BD506C"/>
    <w:rsid w:val="00BD6908"/>
    <w:rsid w:val="00BE3605"/>
    <w:rsid w:val="00BE59AB"/>
    <w:rsid w:val="00BF6EAE"/>
    <w:rsid w:val="00C0601F"/>
    <w:rsid w:val="00C07F37"/>
    <w:rsid w:val="00C16B21"/>
    <w:rsid w:val="00C2198C"/>
    <w:rsid w:val="00C25123"/>
    <w:rsid w:val="00C303D4"/>
    <w:rsid w:val="00C33E9C"/>
    <w:rsid w:val="00C34F47"/>
    <w:rsid w:val="00C46D35"/>
    <w:rsid w:val="00C47867"/>
    <w:rsid w:val="00C47C7C"/>
    <w:rsid w:val="00C47FF0"/>
    <w:rsid w:val="00C5283D"/>
    <w:rsid w:val="00C5615C"/>
    <w:rsid w:val="00C65DAF"/>
    <w:rsid w:val="00C6665D"/>
    <w:rsid w:val="00C70CB2"/>
    <w:rsid w:val="00C711DD"/>
    <w:rsid w:val="00C737AF"/>
    <w:rsid w:val="00C74E58"/>
    <w:rsid w:val="00C77E1B"/>
    <w:rsid w:val="00C8020F"/>
    <w:rsid w:val="00C80254"/>
    <w:rsid w:val="00C827FF"/>
    <w:rsid w:val="00C82CEE"/>
    <w:rsid w:val="00C85CA3"/>
    <w:rsid w:val="00C87348"/>
    <w:rsid w:val="00C92F07"/>
    <w:rsid w:val="00C93C5E"/>
    <w:rsid w:val="00C95191"/>
    <w:rsid w:val="00C9606A"/>
    <w:rsid w:val="00CA1763"/>
    <w:rsid w:val="00CA7A21"/>
    <w:rsid w:val="00CB0E17"/>
    <w:rsid w:val="00CB1FF0"/>
    <w:rsid w:val="00CB2491"/>
    <w:rsid w:val="00CB391B"/>
    <w:rsid w:val="00CB41C2"/>
    <w:rsid w:val="00CB4DF6"/>
    <w:rsid w:val="00CB58F6"/>
    <w:rsid w:val="00CB73C7"/>
    <w:rsid w:val="00CC14D2"/>
    <w:rsid w:val="00CC66FF"/>
    <w:rsid w:val="00CD199A"/>
    <w:rsid w:val="00CD3134"/>
    <w:rsid w:val="00CE5564"/>
    <w:rsid w:val="00CE6A75"/>
    <w:rsid w:val="00CF3280"/>
    <w:rsid w:val="00D03145"/>
    <w:rsid w:val="00D125CB"/>
    <w:rsid w:val="00D20C52"/>
    <w:rsid w:val="00D20F26"/>
    <w:rsid w:val="00D21EB1"/>
    <w:rsid w:val="00D22827"/>
    <w:rsid w:val="00D268C9"/>
    <w:rsid w:val="00D27E3B"/>
    <w:rsid w:val="00D3157F"/>
    <w:rsid w:val="00D3203E"/>
    <w:rsid w:val="00D32B1B"/>
    <w:rsid w:val="00D34CEF"/>
    <w:rsid w:val="00D3541C"/>
    <w:rsid w:val="00D41087"/>
    <w:rsid w:val="00D41F4B"/>
    <w:rsid w:val="00D44E5F"/>
    <w:rsid w:val="00D53F8B"/>
    <w:rsid w:val="00D54F84"/>
    <w:rsid w:val="00D56630"/>
    <w:rsid w:val="00D631AB"/>
    <w:rsid w:val="00D64A7B"/>
    <w:rsid w:val="00D64BB8"/>
    <w:rsid w:val="00D66D6F"/>
    <w:rsid w:val="00D7387C"/>
    <w:rsid w:val="00D742C8"/>
    <w:rsid w:val="00D848E3"/>
    <w:rsid w:val="00D8492C"/>
    <w:rsid w:val="00D90F19"/>
    <w:rsid w:val="00D95843"/>
    <w:rsid w:val="00D959BB"/>
    <w:rsid w:val="00DA1F49"/>
    <w:rsid w:val="00DA2547"/>
    <w:rsid w:val="00DA366D"/>
    <w:rsid w:val="00DA6A83"/>
    <w:rsid w:val="00DB4E3B"/>
    <w:rsid w:val="00DC0AAB"/>
    <w:rsid w:val="00DC1F0C"/>
    <w:rsid w:val="00DC7C06"/>
    <w:rsid w:val="00DD2E43"/>
    <w:rsid w:val="00DD5F77"/>
    <w:rsid w:val="00DD767C"/>
    <w:rsid w:val="00DD7795"/>
    <w:rsid w:val="00DE183A"/>
    <w:rsid w:val="00DE5B4C"/>
    <w:rsid w:val="00DF5357"/>
    <w:rsid w:val="00DF5B43"/>
    <w:rsid w:val="00E05E8D"/>
    <w:rsid w:val="00E0725F"/>
    <w:rsid w:val="00E07F1B"/>
    <w:rsid w:val="00E15E28"/>
    <w:rsid w:val="00E178F5"/>
    <w:rsid w:val="00E20590"/>
    <w:rsid w:val="00E2135F"/>
    <w:rsid w:val="00E2246B"/>
    <w:rsid w:val="00E24665"/>
    <w:rsid w:val="00E27BC5"/>
    <w:rsid w:val="00E31EF6"/>
    <w:rsid w:val="00E329EB"/>
    <w:rsid w:val="00E444E9"/>
    <w:rsid w:val="00E47E3D"/>
    <w:rsid w:val="00E50587"/>
    <w:rsid w:val="00E53BEF"/>
    <w:rsid w:val="00E55A7F"/>
    <w:rsid w:val="00E611C1"/>
    <w:rsid w:val="00E6336D"/>
    <w:rsid w:val="00E63FD6"/>
    <w:rsid w:val="00E716EB"/>
    <w:rsid w:val="00E71FDD"/>
    <w:rsid w:val="00E73741"/>
    <w:rsid w:val="00E73F12"/>
    <w:rsid w:val="00E760F5"/>
    <w:rsid w:val="00E767DC"/>
    <w:rsid w:val="00E77BAF"/>
    <w:rsid w:val="00E817AA"/>
    <w:rsid w:val="00E82768"/>
    <w:rsid w:val="00E84256"/>
    <w:rsid w:val="00EA2AD5"/>
    <w:rsid w:val="00EB0BCB"/>
    <w:rsid w:val="00EB31D7"/>
    <w:rsid w:val="00EC241F"/>
    <w:rsid w:val="00EC3816"/>
    <w:rsid w:val="00EC3E08"/>
    <w:rsid w:val="00EC515C"/>
    <w:rsid w:val="00ED066F"/>
    <w:rsid w:val="00ED08A7"/>
    <w:rsid w:val="00ED0B26"/>
    <w:rsid w:val="00ED306F"/>
    <w:rsid w:val="00ED4ED7"/>
    <w:rsid w:val="00EE69E0"/>
    <w:rsid w:val="00EF017B"/>
    <w:rsid w:val="00F02118"/>
    <w:rsid w:val="00F04F43"/>
    <w:rsid w:val="00F05993"/>
    <w:rsid w:val="00F05A2B"/>
    <w:rsid w:val="00F06C4F"/>
    <w:rsid w:val="00F0745A"/>
    <w:rsid w:val="00F12DAE"/>
    <w:rsid w:val="00F16C92"/>
    <w:rsid w:val="00F20D12"/>
    <w:rsid w:val="00F2585C"/>
    <w:rsid w:val="00F27536"/>
    <w:rsid w:val="00F318E0"/>
    <w:rsid w:val="00F31B6E"/>
    <w:rsid w:val="00F31EE6"/>
    <w:rsid w:val="00F32C26"/>
    <w:rsid w:val="00F347AC"/>
    <w:rsid w:val="00F368A2"/>
    <w:rsid w:val="00F4027C"/>
    <w:rsid w:val="00F46325"/>
    <w:rsid w:val="00F53F03"/>
    <w:rsid w:val="00F55A4A"/>
    <w:rsid w:val="00F61E52"/>
    <w:rsid w:val="00F63B62"/>
    <w:rsid w:val="00F7075F"/>
    <w:rsid w:val="00F70828"/>
    <w:rsid w:val="00F75067"/>
    <w:rsid w:val="00F76C18"/>
    <w:rsid w:val="00F81B5C"/>
    <w:rsid w:val="00F83BE9"/>
    <w:rsid w:val="00F86C2C"/>
    <w:rsid w:val="00F914B1"/>
    <w:rsid w:val="00F94DE0"/>
    <w:rsid w:val="00F961FC"/>
    <w:rsid w:val="00F96983"/>
    <w:rsid w:val="00FA56A3"/>
    <w:rsid w:val="00FB1255"/>
    <w:rsid w:val="00FB17CC"/>
    <w:rsid w:val="00FC542C"/>
    <w:rsid w:val="00FD15EC"/>
    <w:rsid w:val="00FD1AD0"/>
    <w:rsid w:val="00FD6E3A"/>
    <w:rsid w:val="00FE0451"/>
    <w:rsid w:val="00FE0C72"/>
    <w:rsid w:val="00FE1288"/>
    <w:rsid w:val="00FE144D"/>
    <w:rsid w:val="00FE1A8A"/>
    <w:rsid w:val="00FF1C0B"/>
    <w:rsid w:val="00FF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6AC04"/>
  <w15:docId w15:val="{EB994880-4E22-4677-A68A-67CFF762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55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519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6D2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66D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66D2F"/>
    <w:rPr>
      <w:rFonts w:ascii="Times New Roman" w:hAnsi="Times New Roman" w:cs="Times New Roman" w:hint="default"/>
      <w:vertAlign w:val="superscript"/>
    </w:rPr>
  </w:style>
  <w:style w:type="paragraph" w:styleId="NoSpacing">
    <w:name w:val="No Spacing"/>
    <w:uiPriority w:val="99"/>
    <w:qFormat/>
    <w:rsid w:val="00D22827"/>
    <w:pPr>
      <w:spacing w:after="0" w:line="240" w:lineRule="auto"/>
    </w:pPr>
  </w:style>
  <w:style w:type="character" w:styleId="CommentReference">
    <w:name w:val="annotation reference"/>
    <w:basedOn w:val="DefaultParagraphFont"/>
    <w:uiPriority w:val="99"/>
    <w:semiHidden/>
    <w:unhideWhenUsed/>
    <w:rsid w:val="00F96983"/>
    <w:rPr>
      <w:sz w:val="16"/>
      <w:szCs w:val="16"/>
    </w:rPr>
  </w:style>
  <w:style w:type="paragraph" w:styleId="CommentText">
    <w:name w:val="annotation text"/>
    <w:basedOn w:val="Normal"/>
    <w:link w:val="CommentTextChar"/>
    <w:uiPriority w:val="99"/>
    <w:unhideWhenUsed/>
    <w:rsid w:val="00F96983"/>
    <w:pPr>
      <w:spacing w:line="240" w:lineRule="auto"/>
    </w:pPr>
    <w:rPr>
      <w:sz w:val="20"/>
      <w:szCs w:val="20"/>
    </w:rPr>
  </w:style>
  <w:style w:type="character" w:customStyle="1" w:styleId="CommentTextChar">
    <w:name w:val="Comment Text Char"/>
    <w:basedOn w:val="DefaultParagraphFont"/>
    <w:link w:val="CommentText"/>
    <w:uiPriority w:val="99"/>
    <w:rsid w:val="00F96983"/>
    <w:rPr>
      <w:sz w:val="20"/>
      <w:szCs w:val="20"/>
    </w:rPr>
  </w:style>
  <w:style w:type="paragraph" w:styleId="CommentSubject">
    <w:name w:val="annotation subject"/>
    <w:basedOn w:val="CommentText"/>
    <w:next w:val="CommentText"/>
    <w:link w:val="CommentSubjectChar"/>
    <w:uiPriority w:val="99"/>
    <w:semiHidden/>
    <w:unhideWhenUsed/>
    <w:rsid w:val="00F96983"/>
    <w:rPr>
      <w:b/>
      <w:bCs/>
    </w:rPr>
  </w:style>
  <w:style w:type="character" w:customStyle="1" w:styleId="CommentSubjectChar">
    <w:name w:val="Comment Subject Char"/>
    <w:basedOn w:val="CommentTextChar"/>
    <w:link w:val="CommentSubject"/>
    <w:uiPriority w:val="99"/>
    <w:semiHidden/>
    <w:rsid w:val="00F96983"/>
    <w:rPr>
      <w:b/>
      <w:bCs/>
      <w:sz w:val="20"/>
      <w:szCs w:val="20"/>
    </w:rPr>
  </w:style>
  <w:style w:type="paragraph" w:styleId="BalloonText">
    <w:name w:val="Balloon Text"/>
    <w:basedOn w:val="Normal"/>
    <w:link w:val="BalloonTextChar"/>
    <w:uiPriority w:val="99"/>
    <w:semiHidden/>
    <w:unhideWhenUsed/>
    <w:rsid w:val="00F96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983"/>
    <w:rPr>
      <w:rFonts w:ascii="Tahoma" w:hAnsi="Tahoma" w:cs="Tahoma"/>
      <w:sz w:val="16"/>
      <w:szCs w:val="16"/>
    </w:rPr>
  </w:style>
  <w:style w:type="paragraph" w:styleId="Header">
    <w:name w:val="header"/>
    <w:basedOn w:val="Normal"/>
    <w:link w:val="HeaderChar"/>
    <w:uiPriority w:val="99"/>
    <w:unhideWhenUsed/>
    <w:rsid w:val="00A65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254"/>
  </w:style>
  <w:style w:type="paragraph" w:styleId="Footer">
    <w:name w:val="footer"/>
    <w:basedOn w:val="Normal"/>
    <w:link w:val="FooterChar"/>
    <w:uiPriority w:val="99"/>
    <w:unhideWhenUsed/>
    <w:rsid w:val="00A65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254"/>
  </w:style>
  <w:style w:type="character" w:customStyle="1" w:styleId="Heading1Char">
    <w:name w:val="Heading 1 Char"/>
    <w:basedOn w:val="DefaultParagraphFont"/>
    <w:link w:val="Heading1"/>
    <w:uiPriority w:val="9"/>
    <w:rsid w:val="0029550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5192B"/>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2C04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045C"/>
    <w:rPr>
      <w:sz w:val="20"/>
      <w:szCs w:val="20"/>
    </w:rPr>
  </w:style>
  <w:style w:type="character" w:styleId="EndnoteReference">
    <w:name w:val="endnote reference"/>
    <w:basedOn w:val="DefaultParagraphFont"/>
    <w:uiPriority w:val="99"/>
    <w:semiHidden/>
    <w:unhideWhenUsed/>
    <w:rsid w:val="002C04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3709">
      <w:bodyDiv w:val="1"/>
      <w:marLeft w:val="0"/>
      <w:marRight w:val="0"/>
      <w:marTop w:val="0"/>
      <w:marBottom w:val="0"/>
      <w:divBdr>
        <w:top w:val="none" w:sz="0" w:space="0" w:color="auto"/>
        <w:left w:val="none" w:sz="0" w:space="0" w:color="auto"/>
        <w:bottom w:val="none" w:sz="0" w:space="0" w:color="auto"/>
        <w:right w:val="none" w:sz="0" w:space="0" w:color="auto"/>
      </w:divBdr>
    </w:div>
    <w:div w:id="247008874">
      <w:bodyDiv w:val="1"/>
      <w:marLeft w:val="0"/>
      <w:marRight w:val="0"/>
      <w:marTop w:val="0"/>
      <w:marBottom w:val="0"/>
      <w:divBdr>
        <w:top w:val="none" w:sz="0" w:space="0" w:color="auto"/>
        <w:left w:val="none" w:sz="0" w:space="0" w:color="auto"/>
        <w:bottom w:val="none" w:sz="0" w:space="0" w:color="auto"/>
        <w:right w:val="none" w:sz="0" w:space="0" w:color="auto"/>
      </w:divBdr>
    </w:div>
    <w:div w:id="433332345">
      <w:bodyDiv w:val="1"/>
      <w:marLeft w:val="0"/>
      <w:marRight w:val="0"/>
      <w:marTop w:val="0"/>
      <w:marBottom w:val="0"/>
      <w:divBdr>
        <w:top w:val="none" w:sz="0" w:space="0" w:color="auto"/>
        <w:left w:val="none" w:sz="0" w:space="0" w:color="auto"/>
        <w:bottom w:val="none" w:sz="0" w:space="0" w:color="auto"/>
        <w:right w:val="none" w:sz="0" w:space="0" w:color="auto"/>
      </w:divBdr>
    </w:div>
    <w:div w:id="631327266">
      <w:bodyDiv w:val="1"/>
      <w:marLeft w:val="0"/>
      <w:marRight w:val="0"/>
      <w:marTop w:val="0"/>
      <w:marBottom w:val="0"/>
      <w:divBdr>
        <w:top w:val="none" w:sz="0" w:space="0" w:color="auto"/>
        <w:left w:val="none" w:sz="0" w:space="0" w:color="auto"/>
        <w:bottom w:val="none" w:sz="0" w:space="0" w:color="auto"/>
        <w:right w:val="none" w:sz="0" w:space="0" w:color="auto"/>
      </w:divBdr>
    </w:div>
    <w:div w:id="701521381">
      <w:bodyDiv w:val="1"/>
      <w:marLeft w:val="0"/>
      <w:marRight w:val="0"/>
      <w:marTop w:val="0"/>
      <w:marBottom w:val="0"/>
      <w:divBdr>
        <w:top w:val="none" w:sz="0" w:space="0" w:color="auto"/>
        <w:left w:val="none" w:sz="0" w:space="0" w:color="auto"/>
        <w:bottom w:val="none" w:sz="0" w:space="0" w:color="auto"/>
        <w:right w:val="none" w:sz="0" w:space="0" w:color="auto"/>
      </w:divBdr>
    </w:div>
    <w:div w:id="1120879529">
      <w:bodyDiv w:val="1"/>
      <w:marLeft w:val="0"/>
      <w:marRight w:val="0"/>
      <w:marTop w:val="0"/>
      <w:marBottom w:val="0"/>
      <w:divBdr>
        <w:top w:val="none" w:sz="0" w:space="0" w:color="auto"/>
        <w:left w:val="none" w:sz="0" w:space="0" w:color="auto"/>
        <w:bottom w:val="none" w:sz="0" w:space="0" w:color="auto"/>
        <w:right w:val="none" w:sz="0" w:space="0" w:color="auto"/>
      </w:divBdr>
    </w:div>
    <w:div w:id="1368749263">
      <w:bodyDiv w:val="1"/>
      <w:marLeft w:val="0"/>
      <w:marRight w:val="0"/>
      <w:marTop w:val="0"/>
      <w:marBottom w:val="0"/>
      <w:divBdr>
        <w:top w:val="none" w:sz="0" w:space="0" w:color="auto"/>
        <w:left w:val="none" w:sz="0" w:space="0" w:color="auto"/>
        <w:bottom w:val="none" w:sz="0" w:space="0" w:color="auto"/>
        <w:right w:val="none" w:sz="0" w:space="0" w:color="auto"/>
      </w:divBdr>
      <w:divsChild>
        <w:div w:id="700672757">
          <w:marLeft w:val="0"/>
          <w:marRight w:val="0"/>
          <w:marTop w:val="0"/>
          <w:marBottom w:val="210"/>
          <w:divBdr>
            <w:top w:val="none" w:sz="0" w:space="0" w:color="auto"/>
            <w:left w:val="none" w:sz="0" w:space="0" w:color="auto"/>
            <w:bottom w:val="none" w:sz="0" w:space="0" w:color="auto"/>
            <w:right w:val="none" w:sz="0" w:space="0" w:color="auto"/>
          </w:divBdr>
        </w:div>
      </w:divsChild>
    </w:div>
    <w:div w:id="1384595478">
      <w:bodyDiv w:val="1"/>
      <w:marLeft w:val="0"/>
      <w:marRight w:val="0"/>
      <w:marTop w:val="0"/>
      <w:marBottom w:val="0"/>
      <w:divBdr>
        <w:top w:val="none" w:sz="0" w:space="0" w:color="auto"/>
        <w:left w:val="none" w:sz="0" w:space="0" w:color="auto"/>
        <w:bottom w:val="none" w:sz="0" w:space="0" w:color="auto"/>
        <w:right w:val="none" w:sz="0" w:space="0" w:color="auto"/>
      </w:divBdr>
    </w:div>
    <w:div w:id="1805586218">
      <w:bodyDiv w:val="1"/>
      <w:marLeft w:val="0"/>
      <w:marRight w:val="0"/>
      <w:marTop w:val="0"/>
      <w:marBottom w:val="0"/>
      <w:divBdr>
        <w:top w:val="none" w:sz="0" w:space="0" w:color="auto"/>
        <w:left w:val="none" w:sz="0" w:space="0" w:color="auto"/>
        <w:bottom w:val="none" w:sz="0" w:space="0" w:color="auto"/>
        <w:right w:val="none" w:sz="0" w:space="0" w:color="auto"/>
      </w:divBdr>
    </w:div>
    <w:div w:id="19088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14FA-61EB-4D89-8774-9C170457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25</Pages>
  <Words>8213</Words>
  <Characters>46816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Niccolo</dc:creator>
  <cp:lastModifiedBy>Boris Litvin</cp:lastModifiedBy>
  <cp:revision>10</cp:revision>
  <dcterms:created xsi:type="dcterms:W3CDTF">2016-02-23T15:40:00Z</dcterms:created>
  <dcterms:modified xsi:type="dcterms:W3CDTF">2016-03-17T01:32:00Z</dcterms:modified>
</cp:coreProperties>
</file>