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71E" w:rsidRPr="0040571E" w:rsidRDefault="0040571E" w:rsidP="0040571E">
      <w:pPr>
        <w:jc w:val="center"/>
        <w:rPr>
          <w:rFonts w:ascii="Times New Roman" w:hAnsi="Times New Roman" w:cs="Times New Roman"/>
          <w:sz w:val="24"/>
          <w:szCs w:val="24"/>
        </w:rPr>
      </w:pPr>
    </w:p>
    <w:p w:rsidR="0040571E" w:rsidRPr="0040571E" w:rsidRDefault="0040571E" w:rsidP="0040571E">
      <w:pPr>
        <w:jc w:val="center"/>
        <w:rPr>
          <w:rFonts w:ascii="Times New Roman" w:hAnsi="Times New Roman" w:cs="Times New Roman"/>
          <w:sz w:val="24"/>
          <w:szCs w:val="24"/>
        </w:rPr>
      </w:pPr>
    </w:p>
    <w:p w:rsidR="0040571E" w:rsidRPr="0040571E" w:rsidRDefault="0040571E" w:rsidP="0040571E">
      <w:pPr>
        <w:jc w:val="center"/>
        <w:rPr>
          <w:rFonts w:ascii="Times New Roman" w:hAnsi="Times New Roman" w:cs="Times New Roman"/>
          <w:sz w:val="24"/>
          <w:szCs w:val="24"/>
        </w:rPr>
      </w:pPr>
    </w:p>
    <w:p w:rsidR="0040571E" w:rsidRPr="0040571E" w:rsidRDefault="0040571E" w:rsidP="0040571E">
      <w:pPr>
        <w:jc w:val="center"/>
        <w:rPr>
          <w:rFonts w:ascii="Times New Roman" w:hAnsi="Times New Roman" w:cs="Times New Roman"/>
          <w:sz w:val="24"/>
          <w:szCs w:val="24"/>
        </w:rPr>
      </w:pPr>
    </w:p>
    <w:p w:rsidR="0040571E" w:rsidRPr="0040571E" w:rsidRDefault="0040571E" w:rsidP="0040571E">
      <w:pPr>
        <w:jc w:val="center"/>
        <w:rPr>
          <w:rFonts w:ascii="Times New Roman" w:hAnsi="Times New Roman" w:cs="Times New Roman"/>
          <w:sz w:val="24"/>
          <w:szCs w:val="24"/>
        </w:rPr>
      </w:pPr>
    </w:p>
    <w:p w:rsidR="0040571E" w:rsidRPr="0040571E" w:rsidRDefault="0040571E" w:rsidP="0040571E">
      <w:pPr>
        <w:jc w:val="center"/>
        <w:rPr>
          <w:rFonts w:ascii="Times New Roman" w:hAnsi="Times New Roman" w:cs="Times New Roman"/>
          <w:sz w:val="24"/>
          <w:szCs w:val="24"/>
        </w:rPr>
      </w:pPr>
    </w:p>
    <w:p w:rsidR="0040571E" w:rsidRPr="0040571E" w:rsidRDefault="0040571E" w:rsidP="0040571E">
      <w:pPr>
        <w:jc w:val="center"/>
        <w:rPr>
          <w:rFonts w:ascii="Times New Roman" w:hAnsi="Times New Roman" w:cs="Times New Roman"/>
          <w:sz w:val="24"/>
          <w:szCs w:val="24"/>
        </w:rPr>
      </w:pPr>
    </w:p>
    <w:p w:rsidR="0040571E" w:rsidRPr="0040571E" w:rsidRDefault="0040571E" w:rsidP="0040571E">
      <w:pPr>
        <w:jc w:val="center"/>
        <w:rPr>
          <w:rFonts w:ascii="Times New Roman" w:hAnsi="Times New Roman" w:cs="Times New Roman"/>
          <w:sz w:val="24"/>
          <w:szCs w:val="24"/>
        </w:rPr>
      </w:pPr>
    </w:p>
    <w:p w:rsidR="0040571E" w:rsidRPr="0040571E" w:rsidRDefault="0040571E" w:rsidP="0040571E">
      <w:pPr>
        <w:jc w:val="center"/>
        <w:rPr>
          <w:rFonts w:ascii="Times New Roman" w:hAnsi="Times New Roman" w:cs="Times New Roman"/>
          <w:sz w:val="24"/>
          <w:szCs w:val="24"/>
        </w:rPr>
      </w:pPr>
    </w:p>
    <w:p w:rsidR="0040571E" w:rsidRPr="0040571E" w:rsidRDefault="0040571E" w:rsidP="0040571E">
      <w:pPr>
        <w:jc w:val="center"/>
        <w:rPr>
          <w:rFonts w:ascii="Times New Roman" w:hAnsi="Times New Roman" w:cs="Times New Roman"/>
          <w:sz w:val="24"/>
          <w:szCs w:val="24"/>
        </w:rPr>
      </w:pPr>
    </w:p>
    <w:p w:rsidR="0040571E" w:rsidRPr="0040571E" w:rsidRDefault="0040571E" w:rsidP="0040571E">
      <w:pPr>
        <w:jc w:val="center"/>
        <w:rPr>
          <w:rFonts w:ascii="Times New Roman" w:hAnsi="Times New Roman" w:cs="Times New Roman"/>
          <w:sz w:val="24"/>
          <w:szCs w:val="24"/>
        </w:rPr>
      </w:pPr>
    </w:p>
    <w:p w:rsidR="0040571E" w:rsidRPr="0040571E" w:rsidRDefault="0040571E" w:rsidP="0040571E">
      <w:pPr>
        <w:jc w:val="center"/>
        <w:rPr>
          <w:rFonts w:ascii="Times New Roman" w:hAnsi="Times New Roman" w:cs="Times New Roman"/>
          <w:sz w:val="24"/>
          <w:szCs w:val="24"/>
        </w:rPr>
      </w:pPr>
    </w:p>
    <w:p w:rsidR="0040571E" w:rsidRPr="0040571E" w:rsidRDefault="0040571E" w:rsidP="0040571E">
      <w:pPr>
        <w:jc w:val="center"/>
        <w:rPr>
          <w:rFonts w:ascii="Times New Roman" w:hAnsi="Times New Roman" w:cs="Times New Roman"/>
          <w:sz w:val="24"/>
          <w:szCs w:val="24"/>
        </w:rPr>
      </w:pPr>
    </w:p>
    <w:p w:rsidR="0040571E" w:rsidRPr="0040571E" w:rsidRDefault="0040571E" w:rsidP="0040571E">
      <w:pPr>
        <w:jc w:val="center"/>
        <w:rPr>
          <w:rFonts w:ascii="Times New Roman" w:hAnsi="Times New Roman" w:cs="Times New Roman"/>
          <w:sz w:val="24"/>
          <w:szCs w:val="24"/>
        </w:rPr>
      </w:pPr>
    </w:p>
    <w:p w:rsidR="0040571E" w:rsidRPr="0040571E" w:rsidRDefault="0040571E" w:rsidP="0040571E">
      <w:pPr>
        <w:jc w:val="center"/>
        <w:rPr>
          <w:rFonts w:ascii="Times New Roman" w:hAnsi="Times New Roman" w:cs="Times New Roman"/>
          <w:sz w:val="24"/>
          <w:szCs w:val="24"/>
        </w:rPr>
      </w:pPr>
      <w:r w:rsidRPr="0040571E">
        <w:rPr>
          <w:rFonts w:ascii="Times New Roman" w:hAnsi="Times New Roman" w:cs="Times New Roman"/>
          <w:sz w:val="24"/>
          <w:szCs w:val="24"/>
        </w:rPr>
        <w:t>Crime Victims’ Rights: State Policy Adoption</w:t>
      </w:r>
    </w:p>
    <w:p w:rsidR="0040571E" w:rsidRPr="0040571E" w:rsidRDefault="0040571E" w:rsidP="0040571E">
      <w:pPr>
        <w:jc w:val="center"/>
        <w:rPr>
          <w:rFonts w:ascii="Times New Roman" w:hAnsi="Times New Roman" w:cs="Times New Roman"/>
          <w:sz w:val="24"/>
          <w:szCs w:val="24"/>
        </w:rPr>
      </w:pPr>
    </w:p>
    <w:p w:rsidR="0040571E" w:rsidRPr="0040571E" w:rsidRDefault="0040571E" w:rsidP="0040571E">
      <w:pPr>
        <w:jc w:val="center"/>
        <w:rPr>
          <w:rFonts w:ascii="Times New Roman" w:hAnsi="Times New Roman" w:cs="Times New Roman"/>
          <w:sz w:val="24"/>
          <w:szCs w:val="24"/>
        </w:rPr>
      </w:pPr>
    </w:p>
    <w:p w:rsidR="0040571E" w:rsidRPr="0040571E" w:rsidRDefault="0040571E" w:rsidP="0040571E">
      <w:pPr>
        <w:jc w:val="center"/>
        <w:rPr>
          <w:rFonts w:ascii="Times New Roman" w:hAnsi="Times New Roman" w:cs="Times New Roman"/>
          <w:sz w:val="24"/>
          <w:szCs w:val="24"/>
        </w:rPr>
      </w:pPr>
    </w:p>
    <w:p w:rsidR="0040571E" w:rsidRPr="0040571E" w:rsidRDefault="0040571E" w:rsidP="0040571E">
      <w:pPr>
        <w:jc w:val="center"/>
        <w:rPr>
          <w:rFonts w:ascii="Times New Roman" w:hAnsi="Times New Roman" w:cs="Times New Roman"/>
          <w:sz w:val="24"/>
          <w:szCs w:val="24"/>
        </w:rPr>
      </w:pPr>
    </w:p>
    <w:p w:rsidR="0040571E" w:rsidRPr="0040571E" w:rsidRDefault="0040571E" w:rsidP="0040571E">
      <w:pPr>
        <w:jc w:val="center"/>
        <w:rPr>
          <w:rFonts w:ascii="Times New Roman" w:hAnsi="Times New Roman" w:cs="Times New Roman"/>
          <w:sz w:val="24"/>
          <w:szCs w:val="24"/>
        </w:rPr>
      </w:pPr>
    </w:p>
    <w:p w:rsidR="0040571E" w:rsidRPr="0040571E" w:rsidRDefault="0040571E" w:rsidP="0040571E">
      <w:pPr>
        <w:jc w:val="center"/>
        <w:rPr>
          <w:rFonts w:ascii="Times New Roman" w:hAnsi="Times New Roman" w:cs="Times New Roman"/>
          <w:sz w:val="24"/>
          <w:szCs w:val="24"/>
        </w:rPr>
      </w:pPr>
    </w:p>
    <w:p w:rsidR="0040571E" w:rsidRPr="0040571E" w:rsidRDefault="0040571E" w:rsidP="0040571E">
      <w:pPr>
        <w:jc w:val="center"/>
        <w:rPr>
          <w:rFonts w:ascii="Times New Roman" w:hAnsi="Times New Roman" w:cs="Times New Roman"/>
          <w:sz w:val="24"/>
          <w:szCs w:val="24"/>
        </w:rPr>
      </w:pPr>
    </w:p>
    <w:p w:rsidR="0040571E" w:rsidRPr="0040571E" w:rsidRDefault="0040571E" w:rsidP="0040571E">
      <w:pPr>
        <w:jc w:val="center"/>
        <w:rPr>
          <w:rFonts w:ascii="Times New Roman" w:hAnsi="Times New Roman" w:cs="Times New Roman"/>
          <w:sz w:val="24"/>
          <w:szCs w:val="24"/>
        </w:rPr>
      </w:pPr>
    </w:p>
    <w:p w:rsidR="0040571E" w:rsidRPr="0040571E" w:rsidRDefault="0040571E" w:rsidP="0040571E">
      <w:pPr>
        <w:jc w:val="center"/>
        <w:rPr>
          <w:rFonts w:ascii="Times New Roman" w:hAnsi="Times New Roman" w:cs="Times New Roman"/>
          <w:sz w:val="24"/>
          <w:szCs w:val="24"/>
        </w:rPr>
      </w:pPr>
    </w:p>
    <w:p w:rsidR="0040571E" w:rsidRPr="0040571E" w:rsidRDefault="0040571E" w:rsidP="0040571E">
      <w:pPr>
        <w:jc w:val="center"/>
        <w:rPr>
          <w:rFonts w:ascii="Times New Roman" w:hAnsi="Times New Roman" w:cs="Times New Roman"/>
          <w:sz w:val="24"/>
          <w:szCs w:val="24"/>
        </w:rPr>
      </w:pPr>
    </w:p>
    <w:p w:rsidR="0040571E" w:rsidRPr="0040571E" w:rsidRDefault="0040571E" w:rsidP="0040571E">
      <w:pPr>
        <w:jc w:val="center"/>
        <w:rPr>
          <w:rFonts w:ascii="Times New Roman" w:hAnsi="Times New Roman" w:cs="Times New Roman"/>
          <w:sz w:val="24"/>
          <w:szCs w:val="24"/>
        </w:rPr>
      </w:pPr>
    </w:p>
    <w:p w:rsidR="0040571E" w:rsidRPr="0040571E" w:rsidRDefault="0040571E" w:rsidP="0040571E">
      <w:pPr>
        <w:jc w:val="center"/>
        <w:rPr>
          <w:rFonts w:ascii="Times New Roman" w:hAnsi="Times New Roman" w:cs="Times New Roman"/>
          <w:sz w:val="24"/>
          <w:szCs w:val="24"/>
        </w:rPr>
      </w:pPr>
      <w:r w:rsidRPr="0040571E">
        <w:rPr>
          <w:rFonts w:ascii="Times New Roman" w:hAnsi="Times New Roman" w:cs="Times New Roman"/>
          <w:sz w:val="24"/>
          <w:szCs w:val="24"/>
        </w:rPr>
        <w:t>Vicki R. Jeffries Bilton</w:t>
      </w:r>
    </w:p>
    <w:p w:rsidR="0040571E" w:rsidRDefault="0040571E" w:rsidP="0040571E">
      <w:pPr>
        <w:jc w:val="center"/>
        <w:rPr>
          <w:rFonts w:ascii="Times New Roman" w:hAnsi="Times New Roman" w:cs="Times New Roman"/>
          <w:b/>
          <w:sz w:val="24"/>
          <w:szCs w:val="24"/>
        </w:rPr>
      </w:pPr>
      <w:r w:rsidRPr="0040571E">
        <w:rPr>
          <w:rFonts w:ascii="Times New Roman" w:hAnsi="Times New Roman" w:cs="Times New Roman"/>
          <w:sz w:val="24"/>
          <w:szCs w:val="24"/>
        </w:rPr>
        <w:t>February 2016</w:t>
      </w:r>
      <w:r>
        <w:rPr>
          <w:rFonts w:ascii="Times New Roman" w:hAnsi="Times New Roman" w:cs="Times New Roman"/>
          <w:b/>
          <w:sz w:val="24"/>
          <w:szCs w:val="24"/>
        </w:rPr>
        <w:br w:type="page"/>
      </w:r>
    </w:p>
    <w:p w:rsidR="007434AF" w:rsidRPr="00F53C5B" w:rsidRDefault="007434AF" w:rsidP="0094300D">
      <w:pPr>
        <w:spacing w:line="480" w:lineRule="auto"/>
        <w:rPr>
          <w:rFonts w:ascii="Times New Roman" w:hAnsi="Times New Roman" w:cs="Times New Roman"/>
          <w:b/>
          <w:sz w:val="24"/>
          <w:szCs w:val="24"/>
        </w:rPr>
      </w:pPr>
      <w:r w:rsidRPr="00F53C5B">
        <w:rPr>
          <w:rFonts w:ascii="Times New Roman" w:hAnsi="Times New Roman" w:cs="Times New Roman"/>
          <w:b/>
          <w:sz w:val="24"/>
          <w:szCs w:val="24"/>
        </w:rPr>
        <w:lastRenderedPageBreak/>
        <w:t>Abstract</w:t>
      </w:r>
    </w:p>
    <w:p w:rsidR="007434AF" w:rsidRDefault="007434AF" w:rsidP="0094300D">
      <w:pPr>
        <w:spacing w:line="240" w:lineRule="auto"/>
        <w:ind w:firstLine="720"/>
        <w:rPr>
          <w:rFonts w:ascii="Times New Roman" w:hAnsi="Times New Roman" w:cs="Times New Roman"/>
          <w:bCs/>
          <w:color w:val="000000"/>
          <w:sz w:val="24"/>
          <w:szCs w:val="24"/>
        </w:rPr>
      </w:pPr>
      <w:r w:rsidRPr="00F53C5B">
        <w:rPr>
          <w:rFonts w:ascii="Times New Roman" w:hAnsi="Times New Roman" w:cs="Times New Roman"/>
          <w:bCs/>
          <w:color w:val="000000"/>
          <w:sz w:val="24"/>
          <w:szCs w:val="24"/>
        </w:rPr>
        <w:t xml:space="preserve">The critical period in the later 20th century where the emergence of the concept of victims’ rights gained national attention exemplifies the construction of the need for policy redress.  The peril of this era is illustrated by the accounts of distressing experiences of crime victims in the justice system.  Amongst the opportunities afforded is the adoption of policies which critics may contend to be at odds with the rights of defendants.  This epoch of growth in the salience of the call for victims’ rights produced responses by both the federal and state governments toward advancing the rights of victims.  This study </w:t>
      </w:r>
      <w:r w:rsidR="00D67530" w:rsidRPr="00F53C5B">
        <w:rPr>
          <w:rFonts w:ascii="Times New Roman" w:hAnsi="Times New Roman" w:cs="Times New Roman"/>
          <w:bCs/>
          <w:color w:val="000000"/>
          <w:sz w:val="24"/>
          <w:szCs w:val="24"/>
        </w:rPr>
        <w:t>provides a content analysis of</w:t>
      </w:r>
      <w:r w:rsidRPr="00F53C5B">
        <w:rPr>
          <w:rFonts w:ascii="Times New Roman" w:hAnsi="Times New Roman" w:cs="Times New Roman"/>
          <w:bCs/>
          <w:color w:val="000000"/>
          <w:sz w:val="24"/>
          <w:szCs w:val="24"/>
        </w:rPr>
        <w:t xml:space="preserve"> states’ victims’ rights constitutional amendments</w:t>
      </w:r>
      <w:r w:rsidR="00D67530" w:rsidRPr="00F53C5B">
        <w:rPr>
          <w:rFonts w:ascii="Times New Roman" w:hAnsi="Times New Roman" w:cs="Times New Roman"/>
          <w:bCs/>
          <w:color w:val="000000"/>
          <w:sz w:val="24"/>
          <w:szCs w:val="24"/>
        </w:rPr>
        <w:t xml:space="preserve"> </w:t>
      </w:r>
      <w:r w:rsidRPr="00F53C5B">
        <w:rPr>
          <w:rFonts w:ascii="Times New Roman" w:hAnsi="Times New Roman" w:cs="Times New Roman"/>
          <w:bCs/>
          <w:color w:val="000000"/>
          <w:sz w:val="24"/>
          <w:szCs w:val="24"/>
        </w:rPr>
        <w:t>to assess</w:t>
      </w:r>
      <w:r w:rsidR="00D67530" w:rsidRPr="00F53C5B">
        <w:rPr>
          <w:rFonts w:ascii="Times New Roman" w:hAnsi="Times New Roman" w:cs="Times New Roman"/>
          <w:bCs/>
          <w:color w:val="000000"/>
          <w:sz w:val="24"/>
          <w:szCs w:val="24"/>
        </w:rPr>
        <w:t xml:space="preserve"> the variation in</w:t>
      </w:r>
      <w:r w:rsidRPr="00F53C5B">
        <w:rPr>
          <w:rFonts w:ascii="Times New Roman" w:hAnsi="Times New Roman" w:cs="Times New Roman"/>
          <w:bCs/>
          <w:color w:val="000000"/>
          <w:sz w:val="24"/>
          <w:szCs w:val="24"/>
        </w:rPr>
        <w:t xml:space="preserve"> how states have responded to these crises.  </w:t>
      </w:r>
      <w:r w:rsidR="00D67530" w:rsidRPr="00F53C5B">
        <w:rPr>
          <w:rFonts w:ascii="Times New Roman" w:hAnsi="Times New Roman" w:cs="Times New Roman"/>
          <w:bCs/>
          <w:color w:val="000000"/>
          <w:sz w:val="24"/>
          <w:szCs w:val="24"/>
        </w:rPr>
        <w:t>A</w:t>
      </w:r>
      <w:r w:rsidRPr="00F53C5B">
        <w:rPr>
          <w:rFonts w:ascii="Times New Roman" w:hAnsi="Times New Roman" w:cs="Times New Roman"/>
          <w:bCs/>
          <w:color w:val="000000"/>
          <w:sz w:val="24"/>
          <w:szCs w:val="24"/>
        </w:rPr>
        <w:t>mendments are categorized in terms of the strength of the provisions.</w:t>
      </w:r>
    </w:p>
    <w:p w:rsidR="0094300D" w:rsidRPr="00F53C5B" w:rsidRDefault="0094300D" w:rsidP="0094300D">
      <w:pPr>
        <w:spacing w:line="480" w:lineRule="auto"/>
        <w:ind w:firstLine="720"/>
        <w:rPr>
          <w:rFonts w:ascii="Times New Roman" w:hAnsi="Times New Roman" w:cs="Times New Roman"/>
          <w:sz w:val="24"/>
          <w:szCs w:val="24"/>
        </w:rPr>
      </w:pPr>
    </w:p>
    <w:p w:rsidR="00F67BF5" w:rsidRPr="00F53C5B" w:rsidRDefault="00D1783F" w:rsidP="0094300D">
      <w:pPr>
        <w:spacing w:line="480" w:lineRule="auto"/>
        <w:rPr>
          <w:rFonts w:ascii="Times New Roman" w:hAnsi="Times New Roman" w:cs="Times New Roman"/>
          <w:b/>
          <w:sz w:val="24"/>
          <w:szCs w:val="24"/>
        </w:rPr>
      </w:pPr>
      <w:r w:rsidRPr="00F53C5B">
        <w:rPr>
          <w:rFonts w:ascii="Times New Roman" w:hAnsi="Times New Roman" w:cs="Times New Roman"/>
          <w:b/>
          <w:sz w:val="24"/>
          <w:szCs w:val="24"/>
        </w:rPr>
        <w:t>Introduction</w:t>
      </w:r>
    </w:p>
    <w:p w:rsidR="00D67530" w:rsidRPr="00F53C5B" w:rsidRDefault="007434AF" w:rsidP="0094300D">
      <w:pPr>
        <w:spacing w:line="480" w:lineRule="auto"/>
        <w:ind w:firstLine="720"/>
        <w:rPr>
          <w:rFonts w:ascii="Times New Roman" w:hAnsi="Times New Roman" w:cs="Times New Roman"/>
          <w:sz w:val="24"/>
          <w:szCs w:val="24"/>
        </w:rPr>
      </w:pPr>
      <w:r w:rsidRPr="00F53C5B">
        <w:rPr>
          <w:rFonts w:ascii="Times New Roman" w:hAnsi="Times New Roman" w:cs="Times New Roman"/>
          <w:sz w:val="24"/>
          <w:szCs w:val="24"/>
        </w:rPr>
        <w:t xml:space="preserve">Now decades since the inception of the crime victims’ movement in the mid-1960s, a retrospective consideration of the policy prescriptions to redress the perceptions of a broken </w:t>
      </w:r>
      <w:r w:rsidR="00D67530" w:rsidRPr="00F53C5B">
        <w:rPr>
          <w:rFonts w:ascii="Times New Roman" w:hAnsi="Times New Roman" w:cs="Times New Roman"/>
          <w:sz w:val="24"/>
          <w:szCs w:val="24"/>
        </w:rPr>
        <w:t xml:space="preserve">criminal justice </w:t>
      </w:r>
      <w:r w:rsidRPr="00F53C5B">
        <w:rPr>
          <w:rFonts w:ascii="Times New Roman" w:hAnsi="Times New Roman" w:cs="Times New Roman"/>
          <w:sz w:val="24"/>
          <w:szCs w:val="24"/>
        </w:rPr>
        <w:t>system can offer scholars and practitioners valuable insight.  Questions that have arisen in response to victims’ rights policies may involve the substantive and normative impact on the constitutional rights of criminal defendants, the effect on incarceration rates</w:t>
      </w:r>
      <w:r w:rsidR="00D67530" w:rsidRPr="00F53C5B">
        <w:rPr>
          <w:rFonts w:ascii="Times New Roman" w:hAnsi="Times New Roman" w:cs="Times New Roman"/>
          <w:sz w:val="24"/>
          <w:szCs w:val="24"/>
        </w:rPr>
        <w:t xml:space="preserve"> nationwide,</w:t>
      </w:r>
      <w:r w:rsidRPr="00F53C5B">
        <w:rPr>
          <w:rFonts w:ascii="Times New Roman" w:hAnsi="Times New Roman" w:cs="Times New Roman"/>
          <w:sz w:val="24"/>
          <w:szCs w:val="24"/>
        </w:rPr>
        <w:t xml:space="preserve"> the disproportionate impact </w:t>
      </w:r>
      <w:r w:rsidR="00D67530" w:rsidRPr="00F53C5B">
        <w:rPr>
          <w:rFonts w:ascii="Times New Roman" w:hAnsi="Times New Roman" w:cs="Times New Roman"/>
          <w:sz w:val="24"/>
          <w:szCs w:val="24"/>
        </w:rPr>
        <w:t xml:space="preserve">of policies </w:t>
      </w:r>
      <w:r w:rsidRPr="00F53C5B">
        <w:rPr>
          <w:rFonts w:ascii="Times New Roman" w:hAnsi="Times New Roman" w:cs="Times New Roman"/>
          <w:sz w:val="24"/>
          <w:szCs w:val="24"/>
        </w:rPr>
        <w:t>on minority or indig</w:t>
      </w:r>
      <w:r w:rsidR="00D67530" w:rsidRPr="00F53C5B">
        <w:rPr>
          <w:rFonts w:ascii="Times New Roman" w:hAnsi="Times New Roman" w:cs="Times New Roman"/>
          <w:sz w:val="24"/>
          <w:szCs w:val="24"/>
        </w:rPr>
        <w:t>ent offenders, in addition to</w:t>
      </w:r>
      <w:r w:rsidRPr="00F53C5B">
        <w:rPr>
          <w:rFonts w:ascii="Times New Roman" w:hAnsi="Times New Roman" w:cs="Times New Roman"/>
          <w:sz w:val="24"/>
          <w:szCs w:val="24"/>
        </w:rPr>
        <w:t xml:space="preserve"> the effectiveness in improving the experience of crime victims.  State constitutional amendments are one type of policy that has been adopted througho</w:t>
      </w:r>
      <w:r w:rsidR="00F53C5B">
        <w:rPr>
          <w:rFonts w:ascii="Times New Roman" w:hAnsi="Times New Roman" w:cs="Times New Roman"/>
          <w:sz w:val="24"/>
          <w:szCs w:val="24"/>
        </w:rPr>
        <w:t xml:space="preserve">ut the states.  Since 1982, approximately two thirds of the U.S. </w:t>
      </w:r>
      <w:r w:rsidRPr="00F53C5B">
        <w:rPr>
          <w:rFonts w:ascii="Times New Roman" w:hAnsi="Times New Roman" w:cs="Times New Roman"/>
          <w:sz w:val="24"/>
          <w:szCs w:val="24"/>
        </w:rPr>
        <w:t>states adopted some form of constitutional amendment while contemporary debates continue in others.</w:t>
      </w:r>
      <w:r w:rsidR="00D67530" w:rsidRPr="00F53C5B">
        <w:rPr>
          <w:rStyle w:val="FootnoteReference"/>
          <w:rFonts w:ascii="Times New Roman" w:hAnsi="Times New Roman" w:cs="Times New Roman"/>
          <w:sz w:val="24"/>
          <w:szCs w:val="24"/>
        </w:rPr>
        <w:footnoteReference w:id="1"/>
      </w:r>
      <w:r w:rsidRPr="00F53C5B">
        <w:rPr>
          <w:rFonts w:ascii="Times New Roman" w:hAnsi="Times New Roman" w:cs="Times New Roman"/>
          <w:sz w:val="24"/>
          <w:szCs w:val="24"/>
        </w:rPr>
        <w:t xml:space="preserve"> </w:t>
      </w:r>
      <w:r w:rsidR="00D67530" w:rsidRPr="00F53C5B">
        <w:rPr>
          <w:rFonts w:ascii="Times New Roman" w:hAnsi="Times New Roman" w:cs="Times New Roman"/>
          <w:sz w:val="24"/>
          <w:szCs w:val="24"/>
        </w:rPr>
        <w:t>This study</w:t>
      </w:r>
      <w:r w:rsidRPr="00F53C5B">
        <w:rPr>
          <w:rFonts w:ascii="Times New Roman" w:hAnsi="Times New Roman" w:cs="Times New Roman"/>
          <w:sz w:val="24"/>
          <w:szCs w:val="24"/>
        </w:rPr>
        <w:t xml:space="preserve"> examines state responses to these actions in the form of constitutional amendments.  This exploratory </w:t>
      </w:r>
      <w:r w:rsidR="00D67530" w:rsidRPr="00F53C5B">
        <w:rPr>
          <w:rFonts w:ascii="Times New Roman" w:hAnsi="Times New Roman" w:cs="Times New Roman"/>
          <w:sz w:val="24"/>
          <w:szCs w:val="24"/>
        </w:rPr>
        <w:t xml:space="preserve">content </w:t>
      </w:r>
      <w:r w:rsidRPr="00F53C5B">
        <w:rPr>
          <w:rFonts w:ascii="Times New Roman" w:hAnsi="Times New Roman" w:cs="Times New Roman"/>
          <w:sz w:val="24"/>
          <w:szCs w:val="24"/>
        </w:rPr>
        <w:t xml:space="preserve">analysis focuses on the variation between specific aspects of victims’ rights constitutional amendments.  </w:t>
      </w:r>
      <w:r w:rsidR="00D67530" w:rsidRPr="00F53C5B">
        <w:rPr>
          <w:rFonts w:ascii="Times New Roman" w:hAnsi="Times New Roman" w:cs="Times New Roman"/>
          <w:sz w:val="24"/>
          <w:szCs w:val="24"/>
        </w:rPr>
        <w:t>The study focuses on</w:t>
      </w:r>
      <w:r w:rsidRPr="00F53C5B">
        <w:rPr>
          <w:rFonts w:ascii="Times New Roman" w:hAnsi="Times New Roman" w:cs="Times New Roman"/>
          <w:sz w:val="24"/>
          <w:szCs w:val="24"/>
        </w:rPr>
        <w:t xml:space="preserve"> the </w:t>
      </w:r>
      <w:r w:rsidRPr="00F53C5B">
        <w:rPr>
          <w:rFonts w:ascii="Times New Roman" w:hAnsi="Times New Roman" w:cs="Times New Roman"/>
          <w:sz w:val="24"/>
          <w:szCs w:val="24"/>
        </w:rPr>
        <w:lastRenderedPageBreak/>
        <w:t>participatory rights of “the right to attend, the right to be hear</w:t>
      </w:r>
      <w:r w:rsidR="00AA6671" w:rsidRPr="00F53C5B">
        <w:rPr>
          <w:rFonts w:ascii="Times New Roman" w:hAnsi="Times New Roman" w:cs="Times New Roman"/>
          <w:sz w:val="24"/>
          <w:szCs w:val="24"/>
        </w:rPr>
        <w:t>d, and the right to be informed</w:t>
      </w:r>
      <w:r w:rsidRPr="00F53C5B">
        <w:rPr>
          <w:rFonts w:ascii="Times New Roman" w:hAnsi="Times New Roman" w:cs="Times New Roman"/>
          <w:sz w:val="24"/>
          <w:szCs w:val="24"/>
        </w:rPr>
        <w:t>”</w:t>
      </w:r>
      <w:r w:rsidR="00AA6671" w:rsidRPr="00F53C5B">
        <w:rPr>
          <w:rFonts w:ascii="Times New Roman" w:hAnsi="Times New Roman" w:cs="Times New Roman"/>
          <w:sz w:val="24"/>
          <w:szCs w:val="24"/>
        </w:rPr>
        <w:t xml:space="preserve"> that are present in most state constitutional amendments.  </w:t>
      </w:r>
      <w:r w:rsidRPr="00F53C5B">
        <w:rPr>
          <w:rFonts w:ascii="Times New Roman" w:hAnsi="Times New Roman" w:cs="Times New Roman"/>
          <w:sz w:val="24"/>
          <w:szCs w:val="24"/>
        </w:rPr>
        <w:t xml:space="preserve"> </w:t>
      </w:r>
    </w:p>
    <w:p w:rsidR="00393984" w:rsidRDefault="00393984" w:rsidP="0094300D">
      <w:pPr>
        <w:spacing w:line="480" w:lineRule="auto"/>
        <w:rPr>
          <w:rFonts w:ascii="Times New Roman" w:hAnsi="Times New Roman" w:cs="Times New Roman"/>
          <w:b/>
          <w:sz w:val="24"/>
          <w:szCs w:val="24"/>
        </w:rPr>
      </w:pPr>
    </w:p>
    <w:p w:rsidR="007434AF" w:rsidRPr="00F53C5B" w:rsidRDefault="00D67530" w:rsidP="0094300D">
      <w:pPr>
        <w:spacing w:line="480" w:lineRule="auto"/>
        <w:rPr>
          <w:rFonts w:ascii="Times New Roman" w:hAnsi="Times New Roman" w:cs="Times New Roman"/>
          <w:b/>
          <w:sz w:val="24"/>
          <w:szCs w:val="24"/>
        </w:rPr>
      </w:pPr>
      <w:r w:rsidRPr="00F53C5B">
        <w:rPr>
          <w:rFonts w:ascii="Times New Roman" w:hAnsi="Times New Roman" w:cs="Times New Roman"/>
          <w:b/>
          <w:sz w:val="24"/>
          <w:szCs w:val="24"/>
        </w:rPr>
        <w:t>The Crime Victims’ Movement</w:t>
      </w:r>
      <w:r w:rsidR="007434AF" w:rsidRPr="00F53C5B">
        <w:rPr>
          <w:rFonts w:ascii="Times New Roman" w:hAnsi="Times New Roman" w:cs="Times New Roman"/>
          <w:b/>
          <w:sz w:val="24"/>
          <w:szCs w:val="24"/>
        </w:rPr>
        <w:t xml:space="preserve"> </w:t>
      </w:r>
    </w:p>
    <w:p w:rsidR="004D4671" w:rsidRPr="00F53C5B" w:rsidRDefault="007434AF" w:rsidP="0094300D">
      <w:pPr>
        <w:spacing w:after="0" w:line="480" w:lineRule="auto"/>
        <w:ind w:firstLine="720"/>
        <w:rPr>
          <w:rFonts w:ascii="Times New Roman" w:hAnsi="Times New Roman" w:cs="Times New Roman"/>
          <w:color w:val="000000" w:themeColor="text1"/>
          <w:sz w:val="24"/>
          <w:szCs w:val="24"/>
        </w:rPr>
      </w:pPr>
      <w:r w:rsidRPr="00F53C5B">
        <w:rPr>
          <w:rFonts w:ascii="Times New Roman" w:hAnsi="Times New Roman" w:cs="Times New Roman"/>
          <w:sz w:val="24"/>
          <w:szCs w:val="24"/>
        </w:rPr>
        <w:t>A number of developments are credite</w:t>
      </w:r>
      <w:r w:rsidR="00656A6A" w:rsidRPr="00F53C5B">
        <w:rPr>
          <w:rFonts w:ascii="Times New Roman" w:hAnsi="Times New Roman" w:cs="Times New Roman"/>
          <w:sz w:val="24"/>
          <w:szCs w:val="24"/>
        </w:rPr>
        <w:t>d to contributing to</w:t>
      </w:r>
      <w:r w:rsidRPr="00F53C5B">
        <w:rPr>
          <w:rFonts w:ascii="Times New Roman" w:hAnsi="Times New Roman" w:cs="Times New Roman"/>
          <w:sz w:val="24"/>
          <w:szCs w:val="24"/>
        </w:rPr>
        <w:t xml:space="preserve"> the </w:t>
      </w:r>
      <w:r w:rsidR="00656A6A" w:rsidRPr="00F53C5B">
        <w:rPr>
          <w:rFonts w:ascii="Times New Roman" w:hAnsi="Times New Roman" w:cs="Times New Roman"/>
          <w:sz w:val="24"/>
          <w:szCs w:val="24"/>
        </w:rPr>
        <w:t>era known as the “</w:t>
      </w:r>
      <w:r w:rsidRPr="00F53C5B">
        <w:rPr>
          <w:rFonts w:ascii="Times New Roman" w:hAnsi="Times New Roman" w:cs="Times New Roman"/>
          <w:sz w:val="24"/>
          <w:szCs w:val="24"/>
        </w:rPr>
        <w:t>crime victims’ movement</w:t>
      </w:r>
      <w:r w:rsidR="00656A6A" w:rsidRPr="00F53C5B">
        <w:rPr>
          <w:rFonts w:ascii="Times New Roman" w:hAnsi="Times New Roman" w:cs="Times New Roman"/>
          <w:sz w:val="24"/>
          <w:szCs w:val="24"/>
        </w:rPr>
        <w:t>”</w:t>
      </w:r>
      <w:r w:rsidRPr="00F53C5B">
        <w:rPr>
          <w:rFonts w:ascii="Times New Roman" w:hAnsi="Times New Roman" w:cs="Times New Roman"/>
          <w:sz w:val="24"/>
          <w:szCs w:val="24"/>
        </w:rPr>
        <w:t xml:space="preserve"> in the mid-1960s.  These include </w:t>
      </w:r>
      <w:r w:rsidR="00656A6A" w:rsidRPr="00F53C5B">
        <w:rPr>
          <w:rFonts w:ascii="Times New Roman" w:hAnsi="Times New Roman" w:cs="Times New Roman"/>
          <w:sz w:val="24"/>
          <w:szCs w:val="24"/>
        </w:rPr>
        <w:t xml:space="preserve">the </w:t>
      </w:r>
      <w:r w:rsidR="00431FFD" w:rsidRPr="00F53C5B">
        <w:rPr>
          <w:rFonts w:ascii="Times New Roman" w:hAnsi="Times New Roman" w:cs="Times New Roman"/>
          <w:sz w:val="24"/>
          <w:szCs w:val="24"/>
        </w:rPr>
        <w:t xml:space="preserve">rising crime rates that </w:t>
      </w:r>
      <w:r w:rsidR="00431FFD" w:rsidRPr="00F53C5B">
        <w:rPr>
          <w:rFonts w:ascii="Times New Roman" w:eastAsia="Calibri" w:hAnsi="Times New Roman" w:cs="Times New Roman"/>
          <w:sz w:val="24"/>
          <w:szCs w:val="24"/>
        </w:rPr>
        <w:t xml:space="preserve">saw increases from </w:t>
      </w:r>
      <w:r w:rsidR="00431FFD" w:rsidRPr="00F53C5B">
        <w:rPr>
          <w:rFonts w:ascii="Times New Roman" w:eastAsia="Calibri" w:hAnsi="Times New Roman" w:cs="Times New Roman"/>
          <w:color w:val="000000" w:themeColor="text1"/>
          <w:sz w:val="24"/>
          <w:szCs w:val="24"/>
        </w:rPr>
        <w:t>200.2 in 1965 to 461.1 in 1974 to 539.9 in 1984 and finally to a peak rate of</w:t>
      </w:r>
      <w:r w:rsidR="00431FFD" w:rsidRPr="00F53C5B">
        <w:rPr>
          <w:rFonts w:ascii="Times New Roman" w:eastAsia="Calibri" w:hAnsi="Times New Roman" w:cs="Times New Roman"/>
          <w:sz w:val="24"/>
          <w:szCs w:val="24"/>
        </w:rPr>
        <w:t xml:space="preserve"> 758.2 in 1992.</w:t>
      </w:r>
      <w:r w:rsidR="00431FFD" w:rsidRPr="00F53C5B">
        <w:rPr>
          <w:rFonts w:ascii="Times New Roman" w:eastAsia="Calibri" w:hAnsi="Times New Roman" w:cs="Times New Roman"/>
          <w:color w:val="000000" w:themeColor="text1"/>
          <w:sz w:val="24"/>
          <w:szCs w:val="24"/>
        </w:rPr>
        <w:t xml:space="preserve">  </w:t>
      </w:r>
      <w:r w:rsidR="00656A6A" w:rsidRPr="00F53C5B">
        <w:rPr>
          <w:rFonts w:ascii="Times New Roman" w:eastAsia="Calibri" w:hAnsi="Times New Roman" w:cs="Times New Roman"/>
          <w:color w:val="000000" w:themeColor="text1"/>
          <w:sz w:val="24"/>
          <w:szCs w:val="24"/>
        </w:rPr>
        <w:t>The trend changed course a</w:t>
      </w:r>
      <w:r w:rsidR="00431FFD" w:rsidRPr="00F53C5B">
        <w:rPr>
          <w:rFonts w:ascii="Times New Roman" w:eastAsia="Calibri" w:hAnsi="Times New Roman" w:cs="Times New Roman"/>
          <w:color w:val="000000" w:themeColor="text1"/>
          <w:sz w:val="24"/>
          <w:szCs w:val="24"/>
        </w:rPr>
        <w:t xml:space="preserve">fter 1992, </w:t>
      </w:r>
      <w:r w:rsidR="00656A6A" w:rsidRPr="00F53C5B">
        <w:rPr>
          <w:rFonts w:ascii="Times New Roman" w:eastAsia="Calibri" w:hAnsi="Times New Roman" w:cs="Times New Roman"/>
          <w:color w:val="000000" w:themeColor="text1"/>
          <w:sz w:val="24"/>
          <w:szCs w:val="24"/>
        </w:rPr>
        <w:t xml:space="preserve">when </w:t>
      </w:r>
      <w:r w:rsidR="00431FFD" w:rsidRPr="00F53C5B">
        <w:rPr>
          <w:rFonts w:ascii="Times New Roman" w:eastAsia="Calibri" w:hAnsi="Times New Roman" w:cs="Times New Roman"/>
          <w:color w:val="000000" w:themeColor="text1"/>
          <w:sz w:val="24"/>
          <w:szCs w:val="24"/>
        </w:rPr>
        <w:t>the rat</w:t>
      </w:r>
      <w:r w:rsidR="00656A6A" w:rsidRPr="00F53C5B">
        <w:rPr>
          <w:rFonts w:ascii="Times New Roman" w:eastAsia="Calibri" w:hAnsi="Times New Roman" w:cs="Times New Roman"/>
          <w:color w:val="000000" w:themeColor="text1"/>
          <w:sz w:val="24"/>
          <w:szCs w:val="24"/>
        </w:rPr>
        <w:t>e progressively fell to 463.2 by</w:t>
      </w:r>
      <w:r w:rsidR="00431FFD" w:rsidRPr="00F53C5B">
        <w:rPr>
          <w:rFonts w:ascii="Times New Roman" w:eastAsia="Calibri" w:hAnsi="Times New Roman" w:cs="Times New Roman"/>
          <w:color w:val="000000" w:themeColor="text1"/>
          <w:sz w:val="24"/>
          <w:szCs w:val="24"/>
        </w:rPr>
        <w:t xml:space="preserve"> 2004 (Federal Bureau of Investigation).  </w:t>
      </w:r>
      <w:r w:rsidR="00431FFD" w:rsidRPr="00F53C5B">
        <w:rPr>
          <w:rFonts w:ascii="Times New Roman" w:hAnsi="Times New Roman" w:cs="Times New Roman"/>
          <w:sz w:val="24"/>
          <w:szCs w:val="24"/>
        </w:rPr>
        <w:t>Th</w:t>
      </w:r>
      <w:r w:rsidR="004D4671" w:rsidRPr="00F53C5B">
        <w:rPr>
          <w:rFonts w:ascii="Times New Roman" w:hAnsi="Times New Roman" w:cs="Times New Roman"/>
          <w:sz w:val="24"/>
          <w:szCs w:val="24"/>
        </w:rPr>
        <w:t>is</w:t>
      </w:r>
      <w:r w:rsidR="00431FFD" w:rsidRPr="00F53C5B">
        <w:rPr>
          <w:rFonts w:ascii="Times New Roman" w:hAnsi="Times New Roman" w:cs="Times New Roman"/>
          <w:sz w:val="24"/>
          <w:szCs w:val="24"/>
        </w:rPr>
        <w:t xml:space="preserve"> rise in crime </w:t>
      </w:r>
      <w:r w:rsidR="004D4E6A" w:rsidRPr="00F53C5B">
        <w:rPr>
          <w:rFonts w:ascii="Times New Roman" w:hAnsi="Times New Roman" w:cs="Times New Roman"/>
          <w:sz w:val="24"/>
          <w:szCs w:val="24"/>
        </w:rPr>
        <w:t xml:space="preserve">occurred within the context of a </w:t>
      </w:r>
      <w:r w:rsidR="00436BFC" w:rsidRPr="00521A36">
        <w:rPr>
          <w:rFonts w:ascii="Times New Roman" w:hAnsi="Times New Roman" w:cs="Times New Roman"/>
          <w:sz w:val="24"/>
          <w:szCs w:val="24"/>
        </w:rPr>
        <w:t>lack of satisfaction w</w:t>
      </w:r>
      <w:r w:rsidR="00436BFC" w:rsidRPr="00F53C5B">
        <w:rPr>
          <w:rFonts w:ascii="Times New Roman" w:hAnsi="Times New Roman" w:cs="Times New Roman"/>
          <w:sz w:val="24"/>
          <w:szCs w:val="24"/>
        </w:rPr>
        <w:t xml:space="preserve">ith the criminal justice system </w:t>
      </w:r>
      <w:r w:rsidR="00431FFD" w:rsidRPr="00521A36">
        <w:rPr>
          <w:rFonts w:ascii="Times New Roman" w:hAnsi="Times New Roman" w:cs="Times New Roman"/>
          <w:sz w:val="24"/>
          <w:szCs w:val="24"/>
        </w:rPr>
        <w:t xml:space="preserve">(Young and Stein 2004). </w:t>
      </w:r>
      <w:r w:rsidR="00431FFD" w:rsidRPr="00F53C5B">
        <w:rPr>
          <w:rFonts w:ascii="Times New Roman" w:hAnsi="Times New Roman" w:cs="Times New Roman"/>
          <w:sz w:val="24"/>
          <w:szCs w:val="24"/>
        </w:rPr>
        <w:t xml:space="preserve"> </w:t>
      </w:r>
      <w:r w:rsidR="004D4671" w:rsidRPr="00F53C5B">
        <w:rPr>
          <w:rFonts w:ascii="Times New Roman" w:hAnsi="Times New Roman" w:cs="Times New Roman"/>
          <w:color w:val="000000" w:themeColor="text1"/>
          <w:sz w:val="24"/>
          <w:szCs w:val="24"/>
        </w:rPr>
        <w:t>Juxtaposed to rising crime rates, the due process rights of criminal defendants were nationalized to the states by the U.S. Supreme Court under Chief Justice Earl Warren.  Protections, such as involving the admissibility of illegally obtained evidence (</w:t>
      </w:r>
      <w:r w:rsidR="004D4671" w:rsidRPr="00F53C5B">
        <w:rPr>
          <w:rFonts w:ascii="Times New Roman" w:hAnsi="Times New Roman" w:cs="Times New Roman"/>
          <w:i/>
          <w:color w:val="000000" w:themeColor="text1"/>
          <w:sz w:val="24"/>
          <w:szCs w:val="24"/>
        </w:rPr>
        <w:t>Mapp v. Ohio</w:t>
      </w:r>
      <w:r w:rsidR="004D4671" w:rsidRPr="00F53C5B">
        <w:rPr>
          <w:rFonts w:ascii="Times New Roman" w:hAnsi="Times New Roman" w:cs="Times New Roman"/>
          <w:color w:val="000000" w:themeColor="text1"/>
          <w:sz w:val="24"/>
          <w:szCs w:val="24"/>
        </w:rPr>
        <w:t>), counsel for indigent defendants (</w:t>
      </w:r>
      <w:r w:rsidR="004D4671" w:rsidRPr="00F53C5B">
        <w:rPr>
          <w:rFonts w:ascii="Times New Roman" w:hAnsi="Times New Roman" w:cs="Times New Roman"/>
          <w:i/>
          <w:color w:val="000000" w:themeColor="text1"/>
          <w:sz w:val="24"/>
          <w:szCs w:val="24"/>
        </w:rPr>
        <w:t>Gideon v. Wainwright</w:t>
      </w:r>
      <w:r w:rsidR="004D4671" w:rsidRPr="00F53C5B">
        <w:rPr>
          <w:rFonts w:ascii="Times New Roman" w:hAnsi="Times New Roman" w:cs="Times New Roman"/>
          <w:color w:val="000000" w:themeColor="text1"/>
          <w:sz w:val="24"/>
          <w:szCs w:val="24"/>
        </w:rPr>
        <w:t>), and the right to be informed of one’s ability to remain silent and have a lawyer present while in custody and questioned by the police (</w:t>
      </w:r>
      <w:r w:rsidR="004D4671" w:rsidRPr="00F53C5B">
        <w:rPr>
          <w:rFonts w:ascii="Times New Roman" w:hAnsi="Times New Roman" w:cs="Times New Roman"/>
          <w:i/>
          <w:color w:val="000000" w:themeColor="text1"/>
          <w:sz w:val="24"/>
          <w:szCs w:val="24"/>
        </w:rPr>
        <w:t>Miranda v. Arizona</w:t>
      </w:r>
      <w:r w:rsidR="004D4671" w:rsidRPr="00F53C5B">
        <w:rPr>
          <w:rFonts w:ascii="Times New Roman" w:hAnsi="Times New Roman" w:cs="Times New Roman"/>
          <w:color w:val="000000" w:themeColor="text1"/>
          <w:sz w:val="24"/>
          <w:szCs w:val="24"/>
        </w:rPr>
        <w:t>), underscored the lack of protection and rights of victims in the criminal justice system (</w:t>
      </w:r>
      <w:proofErr w:type="spellStart"/>
      <w:r w:rsidR="004D4671" w:rsidRPr="00F53C5B">
        <w:rPr>
          <w:rFonts w:ascii="Times New Roman" w:hAnsi="Times New Roman" w:cs="Times New Roman"/>
          <w:color w:val="000000" w:themeColor="text1"/>
          <w:sz w:val="24"/>
          <w:szCs w:val="24"/>
        </w:rPr>
        <w:t>Mastrocinque</w:t>
      </w:r>
      <w:proofErr w:type="spellEnd"/>
      <w:r w:rsidR="004D4671" w:rsidRPr="00F53C5B">
        <w:rPr>
          <w:rFonts w:ascii="Times New Roman" w:hAnsi="Times New Roman" w:cs="Times New Roman"/>
          <w:color w:val="000000" w:themeColor="text1"/>
          <w:sz w:val="24"/>
          <w:szCs w:val="24"/>
        </w:rPr>
        <w:t xml:space="preserve"> 2010, 96). </w:t>
      </w:r>
    </w:p>
    <w:p w:rsidR="00A64DD8" w:rsidRPr="00F53C5B" w:rsidRDefault="004D4671" w:rsidP="0094300D">
      <w:pPr>
        <w:spacing w:after="0" w:line="480" w:lineRule="auto"/>
        <w:ind w:firstLine="720"/>
        <w:rPr>
          <w:rFonts w:ascii="Times New Roman" w:eastAsia="Calibri" w:hAnsi="Times New Roman" w:cs="Times New Roman"/>
          <w:sz w:val="24"/>
          <w:szCs w:val="24"/>
        </w:rPr>
      </w:pPr>
      <w:r w:rsidRPr="00F53C5B">
        <w:rPr>
          <w:rFonts w:ascii="Times New Roman" w:hAnsi="Times New Roman" w:cs="Times New Roman"/>
          <w:color w:val="000000" w:themeColor="text1"/>
          <w:sz w:val="24"/>
          <w:szCs w:val="24"/>
        </w:rPr>
        <w:t>Additional developments characterizing the crime victims’ movement included rising victim activism, the women’s movement, t</w:t>
      </w:r>
      <w:r w:rsidR="007434AF" w:rsidRPr="00521A36">
        <w:rPr>
          <w:rFonts w:ascii="Times New Roman" w:hAnsi="Times New Roman" w:cs="Times New Roman"/>
          <w:sz w:val="24"/>
          <w:szCs w:val="24"/>
        </w:rPr>
        <w:t xml:space="preserve">he </w:t>
      </w:r>
      <w:r w:rsidR="007434AF" w:rsidRPr="00F53C5B">
        <w:rPr>
          <w:rFonts w:ascii="Times New Roman" w:hAnsi="Times New Roman" w:cs="Times New Roman"/>
          <w:sz w:val="24"/>
          <w:szCs w:val="24"/>
        </w:rPr>
        <w:t xml:space="preserve">growing </w:t>
      </w:r>
      <w:r w:rsidR="007434AF" w:rsidRPr="00521A36">
        <w:rPr>
          <w:rFonts w:ascii="Times New Roman" w:hAnsi="Times New Roman" w:cs="Times New Roman"/>
          <w:sz w:val="24"/>
          <w:szCs w:val="24"/>
        </w:rPr>
        <w:t xml:space="preserve">field of victimology </w:t>
      </w:r>
      <w:r w:rsidR="007434AF" w:rsidRPr="00F53C5B">
        <w:rPr>
          <w:rFonts w:ascii="Times New Roman" w:hAnsi="Times New Roman" w:cs="Times New Roman"/>
          <w:sz w:val="24"/>
          <w:szCs w:val="24"/>
        </w:rPr>
        <w:t>emerging</w:t>
      </w:r>
      <w:r w:rsidR="007434AF" w:rsidRPr="00521A36">
        <w:rPr>
          <w:rFonts w:ascii="Times New Roman" w:hAnsi="Times New Roman" w:cs="Times New Roman"/>
          <w:sz w:val="24"/>
          <w:szCs w:val="24"/>
        </w:rPr>
        <w:t xml:space="preserve"> in </w:t>
      </w:r>
      <w:r w:rsidRPr="00F53C5B">
        <w:rPr>
          <w:rFonts w:ascii="Times New Roman" w:hAnsi="Times New Roman" w:cs="Times New Roman"/>
          <w:sz w:val="24"/>
          <w:szCs w:val="24"/>
        </w:rPr>
        <w:t>criminal justice and the</w:t>
      </w:r>
      <w:r w:rsidR="007434AF" w:rsidRPr="00521A36">
        <w:rPr>
          <w:rFonts w:ascii="Times New Roman" w:hAnsi="Times New Roman" w:cs="Times New Roman"/>
          <w:sz w:val="24"/>
          <w:szCs w:val="24"/>
        </w:rPr>
        <w:t xml:space="preserve"> </w:t>
      </w:r>
      <w:r w:rsidR="007434AF" w:rsidRPr="00F53C5B">
        <w:rPr>
          <w:rFonts w:ascii="Times New Roman" w:hAnsi="Times New Roman" w:cs="Times New Roman"/>
          <w:sz w:val="24"/>
          <w:szCs w:val="24"/>
        </w:rPr>
        <w:t xml:space="preserve">adoption of </w:t>
      </w:r>
      <w:r w:rsidR="007434AF" w:rsidRPr="00521A36">
        <w:rPr>
          <w:rFonts w:ascii="Times New Roman" w:hAnsi="Times New Roman" w:cs="Times New Roman"/>
          <w:sz w:val="24"/>
          <w:szCs w:val="24"/>
        </w:rPr>
        <w:t>victim compensation programs at the state level</w:t>
      </w:r>
      <w:r w:rsidRPr="00F53C5B">
        <w:rPr>
          <w:rFonts w:ascii="Times New Roman" w:hAnsi="Times New Roman" w:cs="Times New Roman"/>
          <w:sz w:val="24"/>
          <w:szCs w:val="24"/>
        </w:rPr>
        <w:t xml:space="preserve"> (Y</w:t>
      </w:r>
      <w:r w:rsidR="004D4E6A" w:rsidRPr="00F53C5B">
        <w:rPr>
          <w:rFonts w:ascii="Times New Roman" w:hAnsi="Times New Roman" w:cs="Times New Roman"/>
          <w:sz w:val="24"/>
          <w:szCs w:val="24"/>
        </w:rPr>
        <w:t>oung and Stein 2004), as well as t</w:t>
      </w:r>
      <w:r w:rsidRPr="00F53C5B">
        <w:rPr>
          <w:rFonts w:ascii="Times New Roman" w:hAnsi="Times New Roman" w:cs="Times New Roman"/>
          <w:sz w:val="24"/>
          <w:szCs w:val="24"/>
        </w:rPr>
        <w:t xml:space="preserve">he role of </w:t>
      </w:r>
      <w:r w:rsidR="007434AF" w:rsidRPr="00521A36">
        <w:rPr>
          <w:rFonts w:ascii="Times New Roman" w:hAnsi="Times New Roman" w:cs="Times New Roman"/>
          <w:sz w:val="24"/>
          <w:szCs w:val="24"/>
        </w:rPr>
        <w:t>presidential initiatives</w:t>
      </w:r>
      <w:r w:rsidRPr="00F53C5B">
        <w:rPr>
          <w:rFonts w:ascii="Times New Roman" w:hAnsi="Times New Roman" w:cs="Times New Roman"/>
          <w:sz w:val="24"/>
          <w:szCs w:val="24"/>
        </w:rPr>
        <w:t xml:space="preserve">, </w:t>
      </w:r>
      <w:r w:rsidR="007434AF" w:rsidRPr="00521A36">
        <w:rPr>
          <w:rFonts w:ascii="Times New Roman" w:hAnsi="Times New Roman" w:cs="Times New Roman"/>
          <w:sz w:val="24"/>
          <w:szCs w:val="24"/>
        </w:rPr>
        <w:t>federal and state legislation, and the emergence of victim organizations (</w:t>
      </w:r>
      <w:proofErr w:type="spellStart"/>
      <w:r w:rsidR="007434AF" w:rsidRPr="00521A36">
        <w:rPr>
          <w:rFonts w:ascii="Times New Roman" w:hAnsi="Times New Roman" w:cs="Times New Roman"/>
          <w:sz w:val="24"/>
          <w:szCs w:val="24"/>
        </w:rPr>
        <w:t>Mastrocinque</w:t>
      </w:r>
      <w:proofErr w:type="spellEnd"/>
      <w:r w:rsidR="007434AF" w:rsidRPr="00521A36">
        <w:rPr>
          <w:rFonts w:ascii="Times New Roman" w:hAnsi="Times New Roman" w:cs="Times New Roman"/>
          <w:sz w:val="24"/>
          <w:szCs w:val="24"/>
        </w:rPr>
        <w:t xml:space="preserve"> 2010).  </w:t>
      </w:r>
      <w:r w:rsidR="007434AF" w:rsidRPr="00521A36">
        <w:rPr>
          <w:rFonts w:ascii="Times New Roman" w:eastAsia="Calibri" w:hAnsi="Times New Roman" w:cs="Times New Roman"/>
          <w:sz w:val="24"/>
          <w:szCs w:val="24"/>
        </w:rPr>
        <w:t xml:space="preserve">Among </w:t>
      </w:r>
      <w:r w:rsidRPr="00F53C5B">
        <w:rPr>
          <w:rFonts w:ascii="Times New Roman" w:eastAsia="Calibri" w:hAnsi="Times New Roman" w:cs="Times New Roman"/>
          <w:sz w:val="24"/>
          <w:szCs w:val="24"/>
        </w:rPr>
        <w:t xml:space="preserve">presidential initiatives, </w:t>
      </w:r>
      <w:r w:rsidR="00A64DD8" w:rsidRPr="00F53C5B">
        <w:rPr>
          <w:rFonts w:ascii="Times New Roman" w:eastAsia="Calibri" w:hAnsi="Times New Roman" w:cs="Times New Roman"/>
          <w:sz w:val="24"/>
          <w:szCs w:val="24"/>
        </w:rPr>
        <w:t xml:space="preserve">Ronald </w:t>
      </w:r>
      <w:r w:rsidR="007434AF" w:rsidRPr="00521A36">
        <w:rPr>
          <w:rFonts w:ascii="Times New Roman" w:eastAsia="Calibri" w:hAnsi="Times New Roman" w:cs="Times New Roman"/>
          <w:sz w:val="24"/>
          <w:szCs w:val="24"/>
        </w:rPr>
        <w:t xml:space="preserve">Reagan established National Crime Victims’ Rights Week in 1981 and commissioned the President’s Task Force on Victims of Crime in 1982.  The Task Force’s Final Report included </w:t>
      </w:r>
      <w:r w:rsidR="007434AF" w:rsidRPr="00521A36">
        <w:rPr>
          <w:rFonts w:ascii="Times New Roman" w:eastAsia="Calibri" w:hAnsi="Times New Roman" w:cs="Times New Roman"/>
          <w:sz w:val="24"/>
          <w:szCs w:val="24"/>
        </w:rPr>
        <w:lastRenderedPageBreak/>
        <w:t xml:space="preserve">over 65 recommendations which involved police, courts, prosecutors, hospitals, mental health providers, and schools (President’s Task Force 1982).  </w:t>
      </w:r>
    </w:p>
    <w:p w:rsidR="00B36DDF" w:rsidRPr="00F53C5B" w:rsidRDefault="004D4671" w:rsidP="0094300D">
      <w:pPr>
        <w:spacing w:after="0" w:line="480" w:lineRule="auto"/>
        <w:ind w:firstLine="720"/>
        <w:rPr>
          <w:rFonts w:ascii="Times New Roman" w:eastAsia="Calibri" w:hAnsi="Times New Roman" w:cs="Times New Roman"/>
          <w:sz w:val="24"/>
          <w:szCs w:val="24"/>
        </w:rPr>
      </w:pPr>
      <w:r w:rsidRPr="00F53C5B">
        <w:rPr>
          <w:rFonts w:ascii="Times New Roman" w:eastAsia="Calibri" w:hAnsi="Times New Roman" w:cs="Times New Roman"/>
          <w:sz w:val="24"/>
          <w:szCs w:val="24"/>
        </w:rPr>
        <w:t xml:space="preserve">According to </w:t>
      </w:r>
      <w:proofErr w:type="spellStart"/>
      <w:r w:rsidRPr="00F53C5B">
        <w:rPr>
          <w:rFonts w:ascii="Times New Roman" w:eastAsia="Calibri" w:hAnsi="Times New Roman" w:cs="Times New Roman"/>
          <w:sz w:val="24"/>
          <w:szCs w:val="24"/>
        </w:rPr>
        <w:t>Mastrocinque</w:t>
      </w:r>
      <w:proofErr w:type="spellEnd"/>
      <w:r w:rsidRPr="00F53C5B">
        <w:rPr>
          <w:rFonts w:ascii="Times New Roman" w:eastAsia="Calibri" w:hAnsi="Times New Roman" w:cs="Times New Roman"/>
          <w:sz w:val="24"/>
          <w:szCs w:val="24"/>
        </w:rPr>
        <w:t>, s</w:t>
      </w:r>
      <w:r w:rsidR="007434AF" w:rsidRPr="00521A36">
        <w:rPr>
          <w:rFonts w:ascii="Times New Roman" w:eastAsia="Calibri" w:hAnsi="Times New Roman" w:cs="Times New Roman"/>
          <w:sz w:val="24"/>
          <w:szCs w:val="24"/>
        </w:rPr>
        <w:t>tates</w:t>
      </w:r>
      <w:r w:rsidR="00B36DDF" w:rsidRPr="00F53C5B">
        <w:rPr>
          <w:rFonts w:ascii="Times New Roman" w:eastAsia="Calibri" w:hAnsi="Times New Roman" w:cs="Times New Roman"/>
          <w:sz w:val="24"/>
          <w:szCs w:val="24"/>
        </w:rPr>
        <w:t xml:space="preserve"> responded</w:t>
      </w:r>
      <w:r w:rsidR="007434AF" w:rsidRPr="00521A36">
        <w:rPr>
          <w:rFonts w:ascii="Times New Roman" w:eastAsia="Calibri" w:hAnsi="Times New Roman" w:cs="Times New Roman"/>
          <w:sz w:val="24"/>
          <w:szCs w:val="24"/>
        </w:rPr>
        <w:t xml:space="preserve"> to the </w:t>
      </w:r>
      <w:r w:rsidR="00B36DDF" w:rsidRPr="00F53C5B">
        <w:rPr>
          <w:rFonts w:ascii="Times New Roman" w:eastAsia="Calibri" w:hAnsi="Times New Roman" w:cs="Times New Roman"/>
          <w:sz w:val="24"/>
          <w:szCs w:val="24"/>
        </w:rPr>
        <w:t xml:space="preserve">Task Force’s </w:t>
      </w:r>
      <w:r w:rsidR="001E5618" w:rsidRPr="00F53C5B">
        <w:rPr>
          <w:rFonts w:ascii="Times New Roman" w:eastAsia="Calibri" w:hAnsi="Times New Roman" w:cs="Times New Roman"/>
          <w:sz w:val="24"/>
          <w:szCs w:val="24"/>
        </w:rPr>
        <w:t xml:space="preserve">Final </w:t>
      </w:r>
      <w:r w:rsidR="007434AF" w:rsidRPr="00521A36">
        <w:rPr>
          <w:rFonts w:ascii="Times New Roman" w:eastAsia="Calibri" w:hAnsi="Times New Roman" w:cs="Times New Roman"/>
          <w:sz w:val="24"/>
          <w:szCs w:val="24"/>
        </w:rPr>
        <w:t xml:space="preserve">Report </w:t>
      </w:r>
      <w:r w:rsidR="00B36DDF" w:rsidRPr="00F53C5B">
        <w:rPr>
          <w:rFonts w:ascii="Times New Roman" w:eastAsia="Calibri" w:hAnsi="Times New Roman" w:cs="Times New Roman"/>
          <w:sz w:val="24"/>
          <w:szCs w:val="24"/>
        </w:rPr>
        <w:t xml:space="preserve">by </w:t>
      </w:r>
      <w:r w:rsidR="007434AF" w:rsidRPr="00521A36">
        <w:rPr>
          <w:rFonts w:ascii="Times New Roman" w:eastAsia="Calibri" w:hAnsi="Times New Roman" w:cs="Times New Roman"/>
          <w:sz w:val="24"/>
          <w:szCs w:val="24"/>
        </w:rPr>
        <w:t>adopting provisions for victim impact statements as well as passing bills of rights for c</w:t>
      </w:r>
      <w:r w:rsidR="00A64DD8" w:rsidRPr="00F53C5B">
        <w:rPr>
          <w:rFonts w:ascii="Times New Roman" w:eastAsia="Calibri" w:hAnsi="Times New Roman" w:cs="Times New Roman"/>
          <w:sz w:val="24"/>
          <w:szCs w:val="24"/>
        </w:rPr>
        <w:t xml:space="preserve">rime victims in state statutes; additionally, </w:t>
      </w:r>
      <w:r w:rsidRPr="00F53C5B">
        <w:rPr>
          <w:rFonts w:ascii="Times New Roman" w:eastAsia="Calibri" w:hAnsi="Times New Roman" w:cs="Times New Roman"/>
          <w:sz w:val="24"/>
          <w:szCs w:val="24"/>
        </w:rPr>
        <w:t>s</w:t>
      </w:r>
      <w:r w:rsidR="007434AF" w:rsidRPr="00521A36">
        <w:rPr>
          <w:rFonts w:ascii="Times New Roman" w:eastAsia="Calibri" w:hAnsi="Times New Roman" w:cs="Times New Roman"/>
          <w:sz w:val="24"/>
          <w:szCs w:val="24"/>
        </w:rPr>
        <w:t xml:space="preserve">ome states provided victim rights as amendments to their </w:t>
      </w:r>
      <w:r w:rsidR="001E5618" w:rsidRPr="00F53C5B">
        <w:rPr>
          <w:rFonts w:ascii="Times New Roman" w:eastAsia="Calibri" w:hAnsi="Times New Roman" w:cs="Times New Roman"/>
          <w:sz w:val="24"/>
          <w:szCs w:val="24"/>
        </w:rPr>
        <w:t xml:space="preserve">constitution </w:t>
      </w:r>
      <w:r w:rsidR="00A64DD8" w:rsidRPr="00F53C5B">
        <w:rPr>
          <w:rFonts w:ascii="Times New Roman" w:eastAsia="Calibri" w:hAnsi="Times New Roman" w:cs="Times New Roman"/>
          <w:sz w:val="24"/>
          <w:szCs w:val="24"/>
        </w:rPr>
        <w:t>(</w:t>
      </w:r>
      <w:r w:rsidR="001E5618" w:rsidRPr="00521A36">
        <w:rPr>
          <w:rFonts w:ascii="Times New Roman" w:eastAsia="Calibri" w:hAnsi="Times New Roman" w:cs="Times New Roman"/>
          <w:sz w:val="24"/>
          <w:szCs w:val="24"/>
        </w:rPr>
        <w:t xml:space="preserve">2010, </w:t>
      </w:r>
      <w:r w:rsidR="00A64DD8" w:rsidRPr="00F53C5B">
        <w:rPr>
          <w:rFonts w:ascii="Times New Roman" w:eastAsia="Calibri" w:hAnsi="Times New Roman" w:cs="Times New Roman"/>
          <w:sz w:val="24"/>
          <w:szCs w:val="24"/>
        </w:rPr>
        <w:t>98-</w:t>
      </w:r>
      <w:r w:rsidR="001E5618" w:rsidRPr="00521A36">
        <w:rPr>
          <w:rFonts w:ascii="Times New Roman" w:eastAsia="Calibri" w:hAnsi="Times New Roman" w:cs="Times New Roman"/>
          <w:sz w:val="24"/>
          <w:szCs w:val="24"/>
        </w:rPr>
        <w:t>101).</w:t>
      </w:r>
      <w:r w:rsidR="007434AF" w:rsidRPr="00521A36">
        <w:rPr>
          <w:rFonts w:ascii="Times New Roman" w:eastAsia="Calibri" w:hAnsi="Times New Roman" w:cs="Times New Roman"/>
          <w:sz w:val="24"/>
          <w:szCs w:val="24"/>
        </w:rPr>
        <w:t xml:space="preserve"> </w:t>
      </w:r>
      <w:r w:rsidR="001E5618" w:rsidRPr="00F53C5B">
        <w:rPr>
          <w:rFonts w:ascii="Times New Roman" w:eastAsia="Calibri" w:hAnsi="Times New Roman" w:cs="Times New Roman"/>
          <w:sz w:val="24"/>
          <w:szCs w:val="24"/>
        </w:rPr>
        <w:t xml:space="preserve"> </w:t>
      </w:r>
      <w:r w:rsidR="00B36DDF" w:rsidRPr="00F53C5B">
        <w:rPr>
          <w:rFonts w:ascii="Times New Roman" w:eastAsia="Calibri" w:hAnsi="Times New Roman" w:cs="Times New Roman"/>
          <w:sz w:val="24"/>
          <w:szCs w:val="24"/>
        </w:rPr>
        <w:t>The content of the victims’ r</w:t>
      </w:r>
      <w:r w:rsidR="00A64DD8" w:rsidRPr="00F53C5B">
        <w:rPr>
          <w:rFonts w:ascii="Times New Roman" w:eastAsia="Calibri" w:hAnsi="Times New Roman" w:cs="Times New Roman"/>
          <w:sz w:val="24"/>
          <w:szCs w:val="24"/>
        </w:rPr>
        <w:t>ights statutory provisions and constitutional amendment</w:t>
      </w:r>
      <w:r w:rsidR="001E5618" w:rsidRPr="00F53C5B">
        <w:rPr>
          <w:rFonts w:ascii="Times New Roman" w:eastAsia="Calibri" w:hAnsi="Times New Roman" w:cs="Times New Roman"/>
          <w:sz w:val="24"/>
          <w:szCs w:val="24"/>
        </w:rPr>
        <w:t xml:space="preserve"> provisions </w:t>
      </w:r>
      <w:r w:rsidR="00A64DD8" w:rsidRPr="00F53C5B">
        <w:rPr>
          <w:rFonts w:ascii="Times New Roman" w:eastAsia="Calibri" w:hAnsi="Times New Roman" w:cs="Times New Roman"/>
          <w:sz w:val="24"/>
          <w:szCs w:val="24"/>
        </w:rPr>
        <w:t>vary, however.</w:t>
      </w:r>
      <w:r w:rsidR="001E5618" w:rsidRPr="00F53C5B">
        <w:rPr>
          <w:rFonts w:ascii="Times New Roman" w:eastAsia="Calibri" w:hAnsi="Times New Roman" w:cs="Times New Roman"/>
          <w:sz w:val="24"/>
          <w:szCs w:val="24"/>
        </w:rPr>
        <w:t xml:space="preserve"> </w:t>
      </w:r>
      <w:r w:rsidR="00A32EA4" w:rsidRPr="00F53C5B">
        <w:rPr>
          <w:rFonts w:ascii="Times New Roman" w:eastAsia="Calibri" w:hAnsi="Times New Roman" w:cs="Times New Roman"/>
          <w:sz w:val="24"/>
          <w:szCs w:val="24"/>
        </w:rPr>
        <w:t xml:space="preserve"> The Victim </w:t>
      </w:r>
      <w:r w:rsidR="00B36DDF" w:rsidRPr="00F53C5B">
        <w:rPr>
          <w:rFonts w:ascii="Times New Roman" w:eastAsia="Calibri" w:hAnsi="Times New Roman" w:cs="Times New Roman"/>
          <w:sz w:val="24"/>
          <w:szCs w:val="24"/>
        </w:rPr>
        <w:t xml:space="preserve">Law </w:t>
      </w:r>
      <w:r w:rsidR="00A32EA4" w:rsidRPr="00F53C5B">
        <w:rPr>
          <w:rFonts w:ascii="Times New Roman" w:eastAsia="Calibri" w:hAnsi="Times New Roman" w:cs="Times New Roman"/>
          <w:sz w:val="24"/>
          <w:szCs w:val="24"/>
        </w:rPr>
        <w:t>da</w:t>
      </w:r>
      <w:r w:rsidR="00B36DDF" w:rsidRPr="00F53C5B">
        <w:rPr>
          <w:rFonts w:ascii="Times New Roman" w:eastAsia="Calibri" w:hAnsi="Times New Roman" w:cs="Times New Roman"/>
          <w:sz w:val="24"/>
          <w:szCs w:val="24"/>
        </w:rPr>
        <w:t>tabase</w:t>
      </w:r>
      <w:r w:rsidR="00A32EA4" w:rsidRPr="00F53C5B">
        <w:rPr>
          <w:rFonts w:ascii="Times New Roman" w:eastAsia="Calibri" w:hAnsi="Times New Roman" w:cs="Times New Roman"/>
          <w:sz w:val="24"/>
          <w:szCs w:val="24"/>
        </w:rPr>
        <w:t xml:space="preserve">, coordinated through the Office of Victims of Crime, provides provisions for constitutions, statutes, court rules, as well as administrative rules for federal, </w:t>
      </w:r>
      <w:r w:rsidR="00557144" w:rsidRPr="00F53C5B">
        <w:rPr>
          <w:rFonts w:ascii="Times New Roman" w:eastAsia="Calibri" w:hAnsi="Times New Roman" w:cs="Times New Roman"/>
          <w:sz w:val="24"/>
          <w:szCs w:val="24"/>
        </w:rPr>
        <w:t>state, territories, and tribal justice systems</w:t>
      </w:r>
      <w:r w:rsidR="00A32EA4" w:rsidRPr="00F53C5B">
        <w:rPr>
          <w:rFonts w:ascii="Times New Roman" w:eastAsia="Calibri" w:hAnsi="Times New Roman" w:cs="Times New Roman"/>
          <w:sz w:val="24"/>
          <w:szCs w:val="24"/>
        </w:rPr>
        <w:t xml:space="preserve">, and categorizes victims’ rights into ten different rights including the right to attend, the right to be informed, the right to be heard, the right to receive compensation, the right to receive restitution, the right to have property returned, the right to have protection, the right to have privacy, the right to have a speedy trial, and the right to have enforcement of victim remedies.    </w:t>
      </w:r>
    </w:p>
    <w:p w:rsidR="004D4E6A" w:rsidRPr="00F53C5B" w:rsidRDefault="00557144" w:rsidP="0094300D">
      <w:pPr>
        <w:spacing w:after="0" w:line="480" w:lineRule="auto"/>
        <w:ind w:firstLine="720"/>
        <w:rPr>
          <w:rFonts w:ascii="Times New Roman" w:eastAsia="Calibri" w:hAnsi="Times New Roman" w:cs="Times New Roman"/>
          <w:sz w:val="24"/>
          <w:szCs w:val="24"/>
        </w:rPr>
      </w:pPr>
      <w:r w:rsidRPr="00F53C5B">
        <w:rPr>
          <w:rFonts w:ascii="Times New Roman" w:eastAsia="Calibri" w:hAnsi="Times New Roman" w:cs="Times New Roman"/>
          <w:sz w:val="24"/>
          <w:szCs w:val="24"/>
        </w:rPr>
        <w:t xml:space="preserve">A cursory examination </w:t>
      </w:r>
      <w:r w:rsidR="004D4E6A" w:rsidRPr="00F53C5B">
        <w:rPr>
          <w:rFonts w:ascii="Times New Roman" w:eastAsia="Calibri" w:hAnsi="Times New Roman" w:cs="Times New Roman"/>
          <w:sz w:val="24"/>
          <w:szCs w:val="24"/>
        </w:rPr>
        <w:t xml:space="preserve">of these rights </w:t>
      </w:r>
      <w:r w:rsidRPr="00F53C5B">
        <w:rPr>
          <w:rFonts w:ascii="Times New Roman" w:eastAsia="Calibri" w:hAnsi="Times New Roman" w:cs="Times New Roman"/>
          <w:sz w:val="24"/>
          <w:szCs w:val="24"/>
        </w:rPr>
        <w:t>suggests there</w:t>
      </w:r>
      <w:r w:rsidR="00B36DDF" w:rsidRPr="00F53C5B">
        <w:rPr>
          <w:rFonts w:ascii="Times New Roman" w:eastAsia="Calibri" w:hAnsi="Times New Roman" w:cs="Times New Roman"/>
          <w:sz w:val="24"/>
          <w:szCs w:val="24"/>
        </w:rPr>
        <w:t xml:space="preserve"> may be qualitative differences among the rights themselves</w:t>
      </w:r>
      <w:r w:rsidR="004D4E6A" w:rsidRPr="00F53C5B">
        <w:rPr>
          <w:rFonts w:ascii="Times New Roman" w:eastAsia="Calibri" w:hAnsi="Times New Roman" w:cs="Times New Roman"/>
          <w:sz w:val="24"/>
          <w:szCs w:val="24"/>
        </w:rPr>
        <w:t xml:space="preserve">.  </w:t>
      </w:r>
      <w:r w:rsidR="00A32EA4" w:rsidRPr="00F53C5B">
        <w:rPr>
          <w:rFonts w:ascii="Times New Roman" w:eastAsia="Calibri" w:hAnsi="Times New Roman" w:cs="Times New Roman"/>
          <w:sz w:val="24"/>
          <w:szCs w:val="24"/>
        </w:rPr>
        <w:t xml:space="preserve">For example, some provisions, such as the right to receive compensation, may ensure victims receive financial assistance to meet the </w:t>
      </w:r>
      <w:r w:rsidRPr="00F53C5B">
        <w:rPr>
          <w:rFonts w:ascii="Times New Roman" w:eastAsia="Calibri" w:hAnsi="Times New Roman" w:cs="Times New Roman"/>
          <w:sz w:val="24"/>
          <w:szCs w:val="24"/>
        </w:rPr>
        <w:t>burdens of victimization (such as paying for burial expenses), whereas others</w:t>
      </w:r>
      <w:r w:rsidR="00B36DDF" w:rsidRPr="00F53C5B">
        <w:rPr>
          <w:rFonts w:ascii="Times New Roman" w:eastAsia="Calibri" w:hAnsi="Times New Roman" w:cs="Times New Roman"/>
          <w:sz w:val="24"/>
          <w:szCs w:val="24"/>
        </w:rPr>
        <w:t xml:space="preserve"> (such as the right to be informed, the right to attend proceedings, and the right to be heard) </w:t>
      </w:r>
      <w:r w:rsidRPr="00F53C5B">
        <w:rPr>
          <w:rFonts w:ascii="Times New Roman" w:eastAsia="Calibri" w:hAnsi="Times New Roman" w:cs="Times New Roman"/>
          <w:sz w:val="24"/>
          <w:szCs w:val="24"/>
        </w:rPr>
        <w:t>appear to h</w:t>
      </w:r>
      <w:r w:rsidR="00B36DDF" w:rsidRPr="00F53C5B">
        <w:rPr>
          <w:rFonts w:ascii="Times New Roman" w:eastAsia="Calibri" w:hAnsi="Times New Roman" w:cs="Times New Roman"/>
          <w:sz w:val="24"/>
          <w:szCs w:val="24"/>
        </w:rPr>
        <w:t xml:space="preserve">ave a participatory quality </w:t>
      </w:r>
      <w:r w:rsidR="004D4E6A" w:rsidRPr="00F53C5B">
        <w:rPr>
          <w:rFonts w:ascii="Times New Roman" w:eastAsia="Calibri" w:hAnsi="Times New Roman" w:cs="Times New Roman"/>
          <w:sz w:val="24"/>
          <w:szCs w:val="24"/>
        </w:rPr>
        <w:t>enabling</w:t>
      </w:r>
      <w:r w:rsidRPr="00F53C5B">
        <w:rPr>
          <w:rFonts w:ascii="Times New Roman" w:eastAsia="Calibri" w:hAnsi="Times New Roman" w:cs="Times New Roman"/>
          <w:sz w:val="24"/>
          <w:szCs w:val="24"/>
        </w:rPr>
        <w:t xml:space="preserve"> the victim </w:t>
      </w:r>
      <w:r w:rsidR="004D4E6A" w:rsidRPr="00F53C5B">
        <w:rPr>
          <w:rFonts w:ascii="Times New Roman" w:eastAsia="Calibri" w:hAnsi="Times New Roman" w:cs="Times New Roman"/>
          <w:sz w:val="24"/>
          <w:szCs w:val="24"/>
        </w:rPr>
        <w:t xml:space="preserve">to become actively involved </w:t>
      </w:r>
      <w:r w:rsidRPr="00F53C5B">
        <w:rPr>
          <w:rFonts w:ascii="Times New Roman" w:eastAsia="Calibri" w:hAnsi="Times New Roman" w:cs="Times New Roman"/>
          <w:sz w:val="24"/>
          <w:szCs w:val="24"/>
        </w:rPr>
        <w:t>in the criminal justice process</w:t>
      </w:r>
      <w:r w:rsidR="004D4E6A" w:rsidRPr="00F53C5B">
        <w:rPr>
          <w:rFonts w:ascii="Times New Roman" w:eastAsia="Calibri" w:hAnsi="Times New Roman" w:cs="Times New Roman"/>
          <w:sz w:val="24"/>
          <w:szCs w:val="24"/>
        </w:rPr>
        <w:t xml:space="preserve">; this latter group of rights </w:t>
      </w:r>
      <w:r w:rsidR="00B36DDF" w:rsidRPr="00F53C5B">
        <w:rPr>
          <w:rFonts w:ascii="Times New Roman" w:eastAsia="Calibri" w:hAnsi="Times New Roman" w:cs="Times New Roman"/>
          <w:sz w:val="24"/>
          <w:szCs w:val="24"/>
        </w:rPr>
        <w:t xml:space="preserve">may be </w:t>
      </w:r>
      <w:r w:rsidR="004D4E6A" w:rsidRPr="00F53C5B">
        <w:rPr>
          <w:rFonts w:ascii="Times New Roman" w:eastAsia="Calibri" w:hAnsi="Times New Roman" w:cs="Times New Roman"/>
          <w:sz w:val="24"/>
          <w:szCs w:val="24"/>
        </w:rPr>
        <w:t>qualitatively different from the former in its potential ability to have an</w:t>
      </w:r>
      <w:r w:rsidRPr="00F53C5B">
        <w:rPr>
          <w:rFonts w:ascii="Times New Roman" w:eastAsia="Calibri" w:hAnsi="Times New Roman" w:cs="Times New Roman"/>
          <w:sz w:val="24"/>
          <w:szCs w:val="24"/>
        </w:rPr>
        <w:t xml:space="preserve"> effect on a defendant’s trial, sentence or parole.  </w:t>
      </w:r>
    </w:p>
    <w:p w:rsidR="008E0D0C" w:rsidRPr="00F53C5B" w:rsidRDefault="008E0D0C" w:rsidP="00393984">
      <w:pPr>
        <w:spacing w:line="480" w:lineRule="auto"/>
        <w:ind w:firstLine="720"/>
        <w:rPr>
          <w:rFonts w:ascii="Times New Roman" w:hAnsi="Times New Roman" w:cs="Times New Roman"/>
          <w:sz w:val="24"/>
          <w:szCs w:val="24"/>
        </w:rPr>
      </w:pPr>
      <w:r w:rsidRPr="00F53C5B">
        <w:rPr>
          <w:rFonts w:ascii="Times New Roman" w:eastAsia="Calibri" w:hAnsi="Times New Roman" w:cs="Times New Roman"/>
          <w:sz w:val="24"/>
          <w:szCs w:val="24"/>
        </w:rPr>
        <w:t>Because of the potential qualitative difference between these “participatory” rights and other victims’ rights as well as their potential to implicate defendants’ rights</w:t>
      </w:r>
      <w:r w:rsidR="00557144" w:rsidRPr="00F53C5B">
        <w:rPr>
          <w:rFonts w:ascii="Times New Roman" w:eastAsia="Calibri" w:hAnsi="Times New Roman" w:cs="Times New Roman"/>
          <w:sz w:val="24"/>
          <w:szCs w:val="24"/>
        </w:rPr>
        <w:t>,</w:t>
      </w:r>
      <w:r w:rsidRPr="00F53C5B">
        <w:rPr>
          <w:rFonts w:ascii="Times New Roman" w:eastAsia="Calibri" w:hAnsi="Times New Roman" w:cs="Times New Roman"/>
          <w:sz w:val="24"/>
          <w:szCs w:val="24"/>
        </w:rPr>
        <w:t xml:space="preserve"> the present study </w:t>
      </w:r>
      <w:r w:rsidRPr="00F53C5B">
        <w:rPr>
          <w:rFonts w:ascii="Times New Roman" w:eastAsia="Calibri" w:hAnsi="Times New Roman" w:cs="Times New Roman"/>
          <w:sz w:val="24"/>
          <w:szCs w:val="24"/>
        </w:rPr>
        <w:lastRenderedPageBreak/>
        <w:t>will focus on the</w:t>
      </w:r>
      <w:r w:rsidR="00557144" w:rsidRPr="00F53C5B">
        <w:rPr>
          <w:rFonts w:ascii="Times New Roman" w:eastAsia="Calibri" w:hAnsi="Times New Roman" w:cs="Times New Roman"/>
          <w:sz w:val="24"/>
          <w:szCs w:val="24"/>
        </w:rPr>
        <w:t xml:space="preserve"> three rights</w:t>
      </w:r>
      <w:r w:rsidRPr="00F53C5B">
        <w:rPr>
          <w:rFonts w:ascii="Times New Roman" w:eastAsia="Calibri" w:hAnsi="Times New Roman" w:cs="Times New Roman"/>
          <w:sz w:val="24"/>
          <w:szCs w:val="24"/>
        </w:rPr>
        <w:t xml:space="preserve"> - </w:t>
      </w:r>
      <w:r w:rsidR="00557144" w:rsidRPr="00F53C5B">
        <w:rPr>
          <w:rFonts w:ascii="Times New Roman" w:eastAsia="Calibri" w:hAnsi="Times New Roman" w:cs="Times New Roman"/>
          <w:sz w:val="24"/>
          <w:szCs w:val="24"/>
        </w:rPr>
        <w:t xml:space="preserve">the right to attend, the right to be informed, and the right to be heard.  </w:t>
      </w:r>
      <w:r w:rsidRPr="00F53C5B">
        <w:rPr>
          <w:rFonts w:ascii="Times New Roman" w:eastAsia="Calibri" w:hAnsi="Times New Roman" w:cs="Times New Roman"/>
          <w:sz w:val="24"/>
          <w:szCs w:val="24"/>
        </w:rPr>
        <w:t xml:space="preserve">It is important to understand how states have constructed such provisions and the extent to which they vary.  Understanding variation is important because it may suggest very different experiences for victims in justice systems.  It is important, as well, to the extent that victim participation may </w:t>
      </w:r>
      <w:r w:rsidR="00557144" w:rsidRPr="00F53C5B">
        <w:rPr>
          <w:rFonts w:ascii="Times New Roman" w:eastAsia="Calibri" w:hAnsi="Times New Roman" w:cs="Times New Roman"/>
          <w:sz w:val="24"/>
          <w:szCs w:val="24"/>
        </w:rPr>
        <w:t>affect a criminal defendant</w:t>
      </w:r>
      <w:r w:rsidRPr="00F53C5B">
        <w:rPr>
          <w:rFonts w:ascii="Times New Roman" w:eastAsia="Calibri" w:hAnsi="Times New Roman" w:cs="Times New Roman"/>
          <w:sz w:val="24"/>
          <w:szCs w:val="24"/>
        </w:rPr>
        <w:t xml:space="preserve"> or be associated with justice outcomes, such as higher incarceration rates</w:t>
      </w:r>
      <w:r w:rsidR="00557144" w:rsidRPr="00F53C5B">
        <w:rPr>
          <w:rFonts w:ascii="Times New Roman" w:eastAsia="Calibri" w:hAnsi="Times New Roman" w:cs="Times New Roman"/>
          <w:sz w:val="24"/>
          <w:szCs w:val="24"/>
        </w:rPr>
        <w:t xml:space="preserve">. </w:t>
      </w:r>
      <w:r w:rsidRPr="00F53C5B">
        <w:rPr>
          <w:rFonts w:ascii="Times New Roman" w:hAnsi="Times New Roman" w:cs="Times New Roman"/>
          <w:sz w:val="24"/>
          <w:szCs w:val="24"/>
        </w:rPr>
        <w:t>The research questions in the study are, “How do states vary in the strength of constitutional provisions for crime victims?” and “Which states have the strongest participatory provisions for crime victims?”</w:t>
      </w:r>
    </w:p>
    <w:p w:rsidR="000B17BF" w:rsidRPr="00F53C5B" w:rsidRDefault="00557144" w:rsidP="0094300D">
      <w:pPr>
        <w:spacing w:after="0" w:line="480" w:lineRule="auto"/>
        <w:ind w:firstLine="720"/>
        <w:rPr>
          <w:rFonts w:ascii="Times New Roman" w:hAnsi="Times New Roman" w:cs="Times New Roman"/>
          <w:b/>
          <w:sz w:val="24"/>
          <w:szCs w:val="24"/>
        </w:rPr>
      </w:pPr>
      <w:r w:rsidRPr="00F53C5B">
        <w:rPr>
          <w:rFonts w:ascii="Times New Roman" w:eastAsia="Calibri" w:hAnsi="Times New Roman" w:cs="Times New Roman"/>
          <w:sz w:val="24"/>
          <w:szCs w:val="24"/>
        </w:rPr>
        <w:t xml:space="preserve">   </w:t>
      </w:r>
    </w:p>
    <w:p w:rsidR="00521A36" w:rsidRPr="00F53C5B" w:rsidRDefault="00521A36" w:rsidP="0094300D">
      <w:pPr>
        <w:spacing w:line="480" w:lineRule="auto"/>
        <w:rPr>
          <w:rFonts w:ascii="Times New Roman" w:hAnsi="Times New Roman" w:cs="Times New Roman"/>
          <w:b/>
          <w:sz w:val="24"/>
          <w:szCs w:val="24"/>
        </w:rPr>
      </w:pPr>
      <w:r w:rsidRPr="00F53C5B">
        <w:rPr>
          <w:rFonts w:ascii="Times New Roman" w:hAnsi="Times New Roman" w:cs="Times New Roman"/>
          <w:b/>
          <w:sz w:val="24"/>
          <w:szCs w:val="24"/>
        </w:rPr>
        <w:t>Victims’ Rights</w:t>
      </w:r>
      <w:r w:rsidR="000B17BF" w:rsidRPr="00F53C5B">
        <w:rPr>
          <w:rFonts w:ascii="Times New Roman" w:hAnsi="Times New Roman" w:cs="Times New Roman"/>
          <w:b/>
          <w:sz w:val="24"/>
          <w:szCs w:val="24"/>
        </w:rPr>
        <w:t xml:space="preserve"> Literature</w:t>
      </w:r>
    </w:p>
    <w:p w:rsidR="00336D1C" w:rsidRPr="00F53C5B" w:rsidRDefault="000B17BF" w:rsidP="0094300D">
      <w:pPr>
        <w:spacing w:after="0" w:line="480" w:lineRule="auto"/>
        <w:ind w:firstLine="720"/>
        <w:rPr>
          <w:rFonts w:ascii="Times New Roman" w:eastAsia="Calibri" w:hAnsi="Times New Roman" w:cs="Times New Roman"/>
          <w:sz w:val="24"/>
          <w:szCs w:val="24"/>
        </w:rPr>
      </w:pPr>
      <w:r w:rsidRPr="00F53C5B">
        <w:rPr>
          <w:rFonts w:ascii="Times New Roman" w:eastAsia="Calibri" w:hAnsi="Times New Roman" w:cs="Times New Roman"/>
          <w:sz w:val="24"/>
          <w:szCs w:val="24"/>
        </w:rPr>
        <w:t>The manner</w:t>
      </w:r>
      <w:r w:rsidR="00336D1C" w:rsidRPr="00F53C5B">
        <w:rPr>
          <w:rFonts w:ascii="Times New Roman" w:eastAsia="Calibri" w:hAnsi="Times New Roman" w:cs="Times New Roman"/>
          <w:sz w:val="24"/>
          <w:szCs w:val="24"/>
        </w:rPr>
        <w:t xml:space="preserve"> in which crime victims have been affected by the criminal justice has since been an area of research investigation since the 1960s survey by the Law Enforcement Assistance Administration which found that rates of victimization were higher than law enforcement statistics had indicated.  This discrepancy focused scholarly attention on crime victims and their lack of trust of the criminal justice system (Young and Stein 2004).  Both domestic and internat</w:t>
      </w:r>
      <w:r w:rsidR="00A6170A" w:rsidRPr="00F53C5B">
        <w:rPr>
          <w:rFonts w:ascii="Times New Roman" w:eastAsia="Calibri" w:hAnsi="Times New Roman" w:cs="Times New Roman"/>
          <w:sz w:val="24"/>
          <w:szCs w:val="24"/>
        </w:rPr>
        <w:t xml:space="preserve">ional studies have conceptualized the notion of </w:t>
      </w:r>
      <w:r w:rsidR="00336D1C" w:rsidRPr="00F53C5B">
        <w:rPr>
          <w:rFonts w:ascii="Times New Roman" w:eastAsia="Calibri" w:hAnsi="Times New Roman" w:cs="Times New Roman"/>
          <w:sz w:val="24"/>
          <w:szCs w:val="24"/>
        </w:rPr>
        <w:t xml:space="preserve">“secondary victimization” </w:t>
      </w:r>
      <w:r w:rsidR="00A6170A" w:rsidRPr="00F53C5B">
        <w:rPr>
          <w:rFonts w:ascii="Times New Roman" w:eastAsia="Calibri" w:hAnsi="Times New Roman" w:cs="Times New Roman"/>
          <w:sz w:val="24"/>
          <w:szCs w:val="24"/>
        </w:rPr>
        <w:t xml:space="preserve">that </w:t>
      </w:r>
      <w:r w:rsidR="00336D1C" w:rsidRPr="00F53C5B">
        <w:rPr>
          <w:rFonts w:ascii="Times New Roman" w:eastAsia="Calibri" w:hAnsi="Times New Roman" w:cs="Times New Roman"/>
          <w:sz w:val="24"/>
          <w:szCs w:val="24"/>
        </w:rPr>
        <w:t>a crime victim may experience by participating in the criminal justice system (</w:t>
      </w:r>
      <w:proofErr w:type="spellStart"/>
      <w:r w:rsidR="00336D1C" w:rsidRPr="00F53C5B">
        <w:rPr>
          <w:rFonts w:ascii="Times New Roman" w:eastAsia="Calibri" w:hAnsi="Times New Roman" w:cs="Times New Roman"/>
          <w:sz w:val="24"/>
          <w:szCs w:val="24"/>
        </w:rPr>
        <w:t>Wemmers</w:t>
      </w:r>
      <w:proofErr w:type="spellEnd"/>
      <w:r w:rsidR="00336D1C" w:rsidRPr="00F53C5B">
        <w:rPr>
          <w:rFonts w:ascii="Times New Roman" w:eastAsia="Calibri" w:hAnsi="Times New Roman" w:cs="Times New Roman"/>
          <w:sz w:val="24"/>
          <w:szCs w:val="24"/>
        </w:rPr>
        <w:t xml:space="preserve"> 2013; </w:t>
      </w:r>
      <w:proofErr w:type="spellStart"/>
      <w:r w:rsidR="00336D1C" w:rsidRPr="00F53C5B">
        <w:rPr>
          <w:rFonts w:ascii="Times New Roman" w:eastAsia="Calibri" w:hAnsi="Times New Roman" w:cs="Times New Roman"/>
          <w:sz w:val="24"/>
          <w:szCs w:val="24"/>
        </w:rPr>
        <w:t>Gekoski</w:t>
      </w:r>
      <w:proofErr w:type="spellEnd"/>
      <w:r w:rsidR="00336D1C" w:rsidRPr="00F53C5B">
        <w:rPr>
          <w:rFonts w:ascii="Times New Roman" w:eastAsia="Calibri" w:hAnsi="Times New Roman" w:cs="Times New Roman"/>
          <w:sz w:val="24"/>
          <w:szCs w:val="24"/>
        </w:rPr>
        <w:t xml:space="preserve">, Adler and Gray’s 2013).  </w:t>
      </w:r>
    </w:p>
    <w:p w:rsidR="00336D1C" w:rsidRPr="00336D1C" w:rsidRDefault="00336D1C" w:rsidP="0094300D">
      <w:pPr>
        <w:spacing w:after="0" w:line="480" w:lineRule="auto"/>
        <w:ind w:firstLine="720"/>
        <w:rPr>
          <w:rFonts w:ascii="Times New Roman" w:eastAsia="Calibri" w:hAnsi="Times New Roman" w:cs="Times New Roman"/>
          <w:sz w:val="24"/>
          <w:szCs w:val="24"/>
        </w:rPr>
      </w:pPr>
      <w:r w:rsidRPr="00336D1C">
        <w:rPr>
          <w:rFonts w:ascii="Times New Roman" w:eastAsia="Calibri" w:hAnsi="Times New Roman" w:cs="Times New Roman"/>
          <w:sz w:val="24"/>
          <w:szCs w:val="24"/>
        </w:rPr>
        <w:t xml:space="preserve">The perception of shortcomings in the victims’ criminal justice experience </w:t>
      </w:r>
      <w:r w:rsidR="00A6170A" w:rsidRPr="00F53C5B">
        <w:rPr>
          <w:rFonts w:ascii="Times New Roman" w:eastAsia="Calibri" w:hAnsi="Times New Roman" w:cs="Times New Roman"/>
          <w:sz w:val="24"/>
          <w:szCs w:val="24"/>
        </w:rPr>
        <w:t xml:space="preserve">has </w:t>
      </w:r>
      <w:r w:rsidRPr="00336D1C">
        <w:rPr>
          <w:rFonts w:ascii="Times New Roman" w:eastAsia="Calibri" w:hAnsi="Times New Roman" w:cs="Times New Roman"/>
          <w:sz w:val="24"/>
          <w:szCs w:val="24"/>
        </w:rPr>
        <w:t>led to</w:t>
      </w:r>
      <w:r w:rsidR="00A6170A" w:rsidRPr="00F53C5B">
        <w:rPr>
          <w:rFonts w:ascii="Times New Roman" w:eastAsia="Calibri" w:hAnsi="Times New Roman" w:cs="Times New Roman"/>
          <w:sz w:val="24"/>
          <w:szCs w:val="24"/>
        </w:rPr>
        <w:t xml:space="preserve"> the</w:t>
      </w:r>
      <w:r w:rsidRPr="00336D1C">
        <w:rPr>
          <w:rFonts w:ascii="Times New Roman" w:eastAsia="Calibri" w:hAnsi="Times New Roman" w:cs="Times New Roman"/>
          <w:sz w:val="24"/>
          <w:szCs w:val="24"/>
        </w:rPr>
        <w:t xml:space="preserve"> development of victim-centered approaches</w:t>
      </w:r>
      <w:r w:rsidR="00A6170A" w:rsidRPr="00F53C5B">
        <w:rPr>
          <w:rFonts w:ascii="Times New Roman" w:eastAsia="Calibri" w:hAnsi="Times New Roman" w:cs="Times New Roman"/>
          <w:sz w:val="24"/>
          <w:szCs w:val="24"/>
        </w:rPr>
        <w:t xml:space="preserve"> in the justice system.  R</w:t>
      </w:r>
      <w:r w:rsidRPr="00336D1C">
        <w:rPr>
          <w:rFonts w:ascii="Times New Roman" w:eastAsia="Calibri" w:hAnsi="Times New Roman" w:cs="Times New Roman"/>
          <w:sz w:val="24"/>
          <w:szCs w:val="24"/>
        </w:rPr>
        <w:t>estorative justice</w:t>
      </w:r>
      <w:r w:rsidR="00A6170A" w:rsidRPr="00F53C5B">
        <w:rPr>
          <w:rFonts w:ascii="Times New Roman" w:eastAsia="Calibri" w:hAnsi="Times New Roman" w:cs="Times New Roman"/>
          <w:sz w:val="24"/>
          <w:szCs w:val="24"/>
        </w:rPr>
        <w:t xml:space="preserve"> exemplifies such an approach by facilitating </w:t>
      </w:r>
      <w:r w:rsidRPr="00336D1C">
        <w:rPr>
          <w:rFonts w:ascii="Times New Roman" w:eastAsia="Calibri" w:hAnsi="Times New Roman" w:cs="Times New Roman"/>
          <w:sz w:val="24"/>
          <w:szCs w:val="24"/>
        </w:rPr>
        <w:t xml:space="preserve">interaction between the parties involved (victim, offender and community) toward finding a mutually acceptable resolution for the crime that had been committed </w:t>
      </w:r>
      <w:r w:rsidR="00A6170A" w:rsidRPr="00F53C5B">
        <w:rPr>
          <w:rFonts w:ascii="Times New Roman" w:eastAsia="Calibri" w:hAnsi="Times New Roman" w:cs="Times New Roman"/>
          <w:sz w:val="24"/>
          <w:szCs w:val="24"/>
        </w:rPr>
        <w:t>as well as focusing</w:t>
      </w:r>
      <w:r w:rsidRPr="00336D1C">
        <w:rPr>
          <w:rFonts w:ascii="Times New Roman" w:eastAsia="Calibri" w:hAnsi="Times New Roman" w:cs="Times New Roman"/>
          <w:sz w:val="24"/>
          <w:szCs w:val="24"/>
        </w:rPr>
        <w:t xml:space="preserve"> on healing for all involved parties (Van Camp and </w:t>
      </w:r>
      <w:proofErr w:type="spellStart"/>
      <w:r w:rsidRPr="00336D1C">
        <w:rPr>
          <w:rFonts w:ascii="Times New Roman" w:eastAsia="Calibri" w:hAnsi="Times New Roman" w:cs="Times New Roman"/>
          <w:sz w:val="24"/>
          <w:szCs w:val="24"/>
        </w:rPr>
        <w:t>Wemmers</w:t>
      </w:r>
      <w:proofErr w:type="spellEnd"/>
      <w:r w:rsidRPr="00336D1C">
        <w:rPr>
          <w:rFonts w:ascii="Times New Roman" w:eastAsia="Calibri" w:hAnsi="Times New Roman" w:cs="Times New Roman"/>
          <w:sz w:val="24"/>
          <w:szCs w:val="24"/>
        </w:rPr>
        <w:t xml:space="preserve"> </w:t>
      </w:r>
      <w:r w:rsidRPr="00336D1C">
        <w:rPr>
          <w:rFonts w:ascii="Times New Roman" w:eastAsia="Calibri" w:hAnsi="Times New Roman" w:cs="Times New Roman"/>
          <w:sz w:val="24"/>
          <w:szCs w:val="24"/>
        </w:rPr>
        <w:lastRenderedPageBreak/>
        <w:t xml:space="preserve">2013, 118-119).  </w:t>
      </w:r>
      <w:r w:rsidR="00A6170A" w:rsidRPr="00F53C5B">
        <w:rPr>
          <w:rFonts w:ascii="Times New Roman" w:eastAsia="Calibri" w:hAnsi="Times New Roman" w:cs="Times New Roman"/>
          <w:sz w:val="24"/>
          <w:szCs w:val="24"/>
        </w:rPr>
        <w:t xml:space="preserve">In turn, researchers have investigated </w:t>
      </w:r>
      <w:r w:rsidRPr="00336D1C">
        <w:rPr>
          <w:rFonts w:ascii="Times New Roman" w:eastAsia="Calibri" w:hAnsi="Times New Roman" w:cs="Times New Roman"/>
          <w:sz w:val="24"/>
          <w:szCs w:val="24"/>
        </w:rPr>
        <w:t xml:space="preserve">how victims experience such programs. Such studies have attempted to flesh out principles that are important to a victim-centered system as well as underscore the potential difference between the principles of a criminal justice program and the manner in which it is experience in real-world practice.    </w:t>
      </w:r>
    </w:p>
    <w:p w:rsidR="00A6170A" w:rsidRPr="00336D1C" w:rsidRDefault="00A6170A" w:rsidP="0094300D">
      <w:pPr>
        <w:spacing w:after="0" w:line="480" w:lineRule="auto"/>
        <w:ind w:firstLine="720"/>
        <w:rPr>
          <w:rFonts w:ascii="Times New Roman" w:eastAsia="Calibri" w:hAnsi="Times New Roman" w:cs="Times New Roman"/>
          <w:sz w:val="24"/>
          <w:szCs w:val="24"/>
        </w:rPr>
      </w:pPr>
      <w:r w:rsidRPr="00F53C5B">
        <w:rPr>
          <w:rFonts w:ascii="Times New Roman" w:eastAsia="Calibri" w:hAnsi="Times New Roman" w:cs="Times New Roman"/>
          <w:sz w:val="24"/>
          <w:szCs w:val="24"/>
        </w:rPr>
        <w:t>Among these, victim “s</w:t>
      </w:r>
      <w:r w:rsidR="00336D1C" w:rsidRPr="00336D1C">
        <w:rPr>
          <w:rFonts w:ascii="Times New Roman" w:eastAsia="Calibri" w:hAnsi="Times New Roman" w:cs="Times New Roman"/>
          <w:sz w:val="24"/>
          <w:szCs w:val="24"/>
        </w:rPr>
        <w:t>atisfaction</w:t>
      </w:r>
      <w:r w:rsidRPr="00F53C5B">
        <w:rPr>
          <w:rFonts w:ascii="Times New Roman" w:eastAsia="Calibri" w:hAnsi="Times New Roman" w:cs="Times New Roman"/>
          <w:sz w:val="24"/>
          <w:szCs w:val="24"/>
        </w:rPr>
        <w:t>” has been utilized as the dependent variable in a number of studies.  S</w:t>
      </w:r>
      <w:r w:rsidR="00336D1C" w:rsidRPr="00336D1C">
        <w:rPr>
          <w:rFonts w:ascii="Times New Roman" w:eastAsia="Calibri" w:hAnsi="Times New Roman" w:cs="Times New Roman"/>
          <w:sz w:val="24"/>
          <w:szCs w:val="24"/>
        </w:rPr>
        <w:t xml:space="preserve">atisfaction </w:t>
      </w:r>
      <w:r w:rsidRPr="00F53C5B">
        <w:rPr>
          <w:rFonts w:ascii="Times New Roman" w:eastAsia="Calibri" w:hAnsi="Times New Roman" w:cs="Times New Roman"/>
          <w:sz w:val="24"/>
          <w:szCs w:val="24"/>
        </w:rPr>
        <w:t xml:space="preserve">has been supported to be </w:t>
      </w:r>
      <w:r w:rsidR="00336D1C" w:rsidRPr="00336D1C">
        <w:rPr>
          <w:rFonts w:ascii="Times New Roman" w:eastAsia="Calibri" w:hAnsi="Times New Roman" w:cs="Times New Roman"/>
          <w:sz w:val="24"/>
          <w:szCs w:val="24"/>
        </w:rPr>
        <w:t>related to procedural justice, flexibility, caring by mediators, provision of dialogue and the possibility of pro-social effects – that is, the ability to help society by, for example, letting others know about how crime impacts people (</w:t>
      </w:r>
      <w:r w:rsidRPr="00F53C5B">
        <w:rPr>
          <w:rFonts w:ascii="Times New Roman" w:eastAsia="Calibri" w:hAnsi="Times New Roman" w:cs="Times New Roman"/>
          <w:sz w:val="24"/>
          <w:szCs w:val="24"/>
        </w:rPr>
        <w:t xml:space="preserve">Van Camp and </w:t>
      </w:r>
      <w:proofErr w:type="spellStart"/>
      <w:r w:rsidRPr="00F53C5B">
        <w:rPr>
          <w:rFonts w:ascii="Times New Roman" w:eastAsia="Calibri" w:hAnsi="Times New Roman" w:cs="Times New Roman"/>
          <w:sz w:val="24"/>
          <w:szCs w:val="24"/>
        </w:rPr>
        <w:t>Wemmers</w:t>
      </w:r>
      <w:proofErr w:type="spellEnd"/>
      <w:r w:rsidRPr="00F53C5B">
        <w:rPr>
          <w:rFonts w:ascii="Times New Roman" w:eastAsia="Calibri" w:hAnsi="Times New Roman" w:cs="Times New Roman"/>
          <w:sz w:val="24"/>
          <w:szCs w:val="24"/>
        </w:rPr>
        <w:t xml:space="preserve"> </w:t>
      </w:r>
      <w:r w:rsidR="00336D1C" w:rsidRPr="00336D1C">
        <w:rPr>
          <w:rFonts w:ascii="Times New Roman" w:eastAsia="Calibri" w:hAnsi="Times New Roman" w:cs="Times New Roman"/>
          <w:sz w:val="24"/>
          <w:szCs w:val="24"/>
        </w:rPr>
        <w:t>2013, 129-134</w:t>
      </w:r>
      <w:r w:rsidRPr="00F53C5B">
        <w:rPr>
          <w:rFonts w:ascii="Times New Roman" w:eastAsia="Calibri" w:hAnsi="Times New Roman" w:cs="Times New Roman"/>
          <w:sz w:val="24"/>
          <w:szCs w:val="24"/>
        </w:rPr>
        <w:t>), although there was no apparent relationship found with the use of victim impact statements (Davis and Smith 1994, 1).  Other studies have looked beyond victim satisfaction at such outcomes as</w:t>
      </w:r>
      <w:r w:rsidR="00581AEB" w:rsidRPr="00F53C5B">
        <w:rPr>
          <w:rFonts w:ascii="Times New Roman" w:eastAsia="Calibri" w:hAnsi="Times New Roman" w:cs="Times New Roman"/>
          <w:sz w:val="24"/>
          <w:szCs w:val="24"/>
        </w:rPr>
        <w:t xml:space="preserve"> emotional recovery</w:t>
      </w:r>
      <w:r w:rsidRPr="00F53C5B">
        <w:rPr>
          <w:rFonts w:ascii="Times New Roman" w:eastAsia="Calibri" w:hAnsi="Times New Roman" w:cs="Times New Roman"/>
          <w:sz w:val="24"/>
          <w:szCs w:val="24"/>
        </w:rPr>
        <w:t xml:space="preserve"> and increased psychological fun</w:t>
      </w:r>
      <w:r w:rsidR="00581AEB" w:rsidRPr="00F53C5B">
        <w:rPr>
          <w:rFonts w:ascii="Times New Roman" w:eastAsia="Calibri" w:hAnsi="Times New Roman" w:cs="Times New Roman"/>
          <w:sz w:val="24"/>
          <w:szCs w:val="24"/>
        </w:rPr>
        <w:t>ctioning (</w:t>
      </w:r>
      <w:r w:rsidRPr="00F53C5B">
        <w:rPr>
          <w:rFonts w:ascii="Times New Roman" w:eastAsia="Calibri" w:hAnsi="Times New Roman" w:cs="Times New Roman"/>
          <w:sz w:val="24"/>
          <w:szCs w:val="24"/>
        </w:rPr>
        <w:t xml:space="preserve">Kunst, </w:t>
      </w:r>
      <w:proofErr w:type="spellStart"/>
      <w:r w:rsidRPr="00F53C5B">
        <w:rPr>
          <w:rFonts w:ascii="Times New Roman" w:eastAsia="Calibri" w:hAnsi="Times New Roman" w:cs="Times New Roman"/>
          <w:sz w:val="24"/>
          <w:szCs w:val="24"/>
        </w:rPr>
        <w:t>Popelier</w:t>
      </w:r>
      <w:proofErr w:type="spellEnd"/>
      <w:r w:rsidRPr="00F53C5B">
        <w:rPr>
          <w:rFonts w:ascii="Times New Roman" w:eastAsia="Calibri" w:hAnsi="Times New Roman" w:cs="Times New Roman"/>
          <w:sz w:val="24"/>
          <w:szCs w:val="24"/>
        </w:rPr>
        <w:t xml:space="preserve"> and </w:t>
      </w:r>
      <w:proofErr w:type="spellStart"/>
      <w:r w:rsidRPr="00F53C5B">
        <w:rPr>
          <w:rFonts w:ascii="Times New Roman" w:eastAsia="Calibri" w:hAnsi="Times New Roman" w:cs="Times New Roman"/>
          <w:sz w:val="24"/>
          <w:szCs w:val="24"/>
        </w:rPr>
        <w:t>Varekamp</w:t>
      </w:r>
      <w:proofErr w:type="spellEnd"/>
      <w:r w:rsidRPr="00F53C5B">
        <w:rPr>
          <w:rFonts w:ascii="Times New Roman" w:eastAsia="Calibri" w:hAnsi="Times New Roman" w:cs="Times New Roman"/>
          <w:sz w:val="24"/>
          <w:szCs w:val="24"/>
        </w:rPr>
        <w:t xml:space="preserve"> 2014; Sims, Yost, and Abbott 2006). </w:t>
      </w:r>
      <w:r w:rsidR="00581AEB" w:rsidRPr="00F53C5B">
        <w:rPr>
          <w:rFonts w:ascii="Times New Roman" w:eastAsia="Calibri" w:hAnsi="Times New Roman" w:cs="Times New Roman"/>
          <w:sz w:val="24"/>
          <w:szCs w:val="24"/>
        </w:rPr>
        <w:t xml:space="preserve"> Some of these studies question the utility of programs, </w:t>
      </w:r>
      <w:r w:rsidRPr="00F53C5B">
        <w:rPr>
          <w:rFonts w:ascii="Times New Roman" w:eastAsia="Calibri" w:hAnsi="Times New Roman" w:cs="Times New Roman"/>
          <w:sz w:val="24"/>
          <w:szCs w:val="24"/>
        </w:rPr>
        <w:t xml:space="preserve">such as </w:t>
      </w:r>
      <w:r w:rsidR="00581AEB" w:rsidRPr="00F53C5B">
        <w:rPr>
          <w:rFonts w:ascii="Times New Roman" w:eastAsia="Calibri" w:hAnsi="Times New Roman" w:cs="Times New Roman"/>
          <w:sz w:val="24"/>
          <w:szCs w:val="24"/>
        </w:rPr>
        <w:t>Sims, Yost, and Abbott</w:t>
      </w:r>
      <w:r w:rsidR="00C36A59" w:rsidRPr="00F53C5B">
        <w:rPr>
          <w:rFonts w:ascii="Times New Roman" w:eastAsia="Calibri" w:hAnsi="Times New Roman" w:cs="Times New Roman"/>
          <w:sz w:val="24"/>
          <w:szCs w:val="24"/>
        </w:rPr>
        <w:t>’s</w:t>
      </w:r>
      <w:r w:rsidR="00581AEB" w:rsidRPr="00F53C5B">
        <w:rPr>
          <w:rFonts w:ascii="Times New Roman" w:eastAsia="Calibri" w:hAnsi="Times New Roman" w:cs="Times New Roman"/>
          <w:sz w:val="24"/>
          <w:szCs w:val="24"/>
        </w:rPr>
        <w:t xml:space="preserve"> 2006</w:t>
      </w:r>
      <w:r w:rsidRPr="00F53C5B">
        <w:rPr>
          <w:rFonts w:ascii="Times New Roman" w:eastAsia="Calibri" w:hAnsi="Times New Roman" w:cs="Times New Roman"/>
          <w:sz w:val="24"/>
          <w:szCs w:val="24"/>
        </w:rPr>
        <w:t xml:space="preserve"> finding that </w:t>
      </w:r>
      <w:r w:rsidRPr="00336D1C">
        <w:rPr>
          <w:rFonts w:ascii="Times New Roman" w:eastAsia="Calibri" w:hAnsi="Times New Roman" w:cs="Times New Roman"/>
          <w:sz w:val="24"/>
          <w:szCs w:val="24"/>
        </w:rPr>
        <w:t xml:space="preserve">victims who used victim services did not have statistically significant increased psychological functioning than those that did not.  </w:t>
      </w:r>
      <w:r w:rsidRPr="00F53C5B">
        <w:rPr>
          <w:rFonts w:ascii="Times New Roman" w:eastAsia="Calibri" w:hAnsi="Times New Roman" w:cs="Times New Roman"/>
          <w:sz w:val="24"/>
          <w:szCs w:val="24"/>
        </w:rPr>
        <w:t>H</w:t>
      </w:r>
      <w:r w:rsidRPr="00336D1C">
        <w:rPr>
          <w:rFonts w:ascii="Times New Roman" w:eastAsia="Calibri" w:hAnsi="Times New Roman" w:cs="Times New Roman"/>
          <w:sz w:val="24"/>
          <w:szCs w:val="24"/>
        </w:rPr>
        <w:t xml:space="preserve">igher scores of psychological functioning </w:t>
      </w:r>
      <w:r w:rsidRPr="00F53C5B">
        <w:rPr>
          <w:rFonts w:ascii="Times New Roman" w:eastAsia="Calibri" w:hAnsi="Times New Roman" w:cs="Times New Roman"/>
          <w:sz w:val="24"/>
          <w:szCs w:val="24"/>
        </w:rPr>
        <w:t xml:space="preserve">instead </w:t>
      </w:r>
      <w:r w:rsidRPr="00336D1C">
        <w:rPr>
          <w:rFonts w:ascii="Times New Roman" w:eastAsia="Calibri" w:hAnsi="Times New Roman" w:cs="Times New Roman"/>
          <w:sz w:val="24"/>
          <w:szCs w:val="24"/>
        </w:rPr>
        <w:t xml:space="preserve">correlated with </w:t>
      </w:r>
      <w:r w:rsidRPr="00F53C5B">
        <w:rPr>
          <w:rFonts w:ascii="Times New Roman" w:eastAsia="Calibri" w:hAnsi="Times New Roman" w:cs="Times New Roman"/>
          <w:sz w:val="24"/>
          <w:szCs w:val="24"/>
        </w:rPr>
        <w:t xml:space="preserve">demographic variables, such as being married and having higher education and income </w:t>
      </w:r>
      <w:r w:rsidRPr="00336D1C">
        <w:rPr>
          <w:rFonts w:ascii="Times New Roman" w:eastAsia="Calibri" w:hAnsi="Times New Roman" w:cs="Times New Roman"/>
          <w:sz w:val="24"/>
          <w:szCs w:val="24"/>
        </w:rPr>
        <w:t xml:space="preserve">(Sims, Yost, and Abbott 2006). </w:t>
      </w:r>
    </w:p>
    <w:p w:rsidR="00A6170A" w:rsidRPr="00336D1C" w:rsidRDefault="00D83C8E" w:rsidP="0094300D">
      <w:pPr>
        <w:spacing w:after="0" w:line="480" w:lineRule="auto"/>
        <w:ind w:firstLine="720"/>
        <w:rPr>
          <w:rFonts w:ascii="Times New Roman" w:eastAsia="Calibri" w:hAnsi="Times New Roman" w:cs="Times New Roman"/>
          <w:sz w:val="24"/>
          <w:szCs w:val="24"/>
        </w:rPr>
      </w:pPr>
      <w:r w:rsidRPr="00F53C5B">
        <w:rPr>
          <w:rFonts w:ascii="Times New Roman" w:eastAsia="Calibri" w:hAnsi="Times New Roman" w:cs="Times New Roman"/>
          <w:sz w:val="24"/>
          <w:szCs w:val="24"/>
        </w:rPr>
        <w:t xml:space="preserve">Other victim-centered approaches have been studied as well.  </w:t>
      </w:r>
      <w:r w:rsidR="00C36A59" w:rsidRPr="00F53C5B">
        <w:rPr>
          <w:rFonts w:ascii="Times New Roman" w:eastAsia="Calibri" w:hAnsi="Times New Roman" w:cs="Times New Roman"/>
          <w:sz w:val="24"/>
          <w:szCs w:val="24"/>
        </w:rPr>
        <w:t xml:space="preserve">Choi, Green and </w:t>
      </w:r>
      <w:proofErr w:type="spellStart"/>
      <w:r w:rsidR="00C36A59" w:rsidRPr="00F53C5B">
        <w:rPr>
          <w:rFonts w:ascii="Times New Roman" w:eastAsia="Calibri" w:hAnsi="Times New Roman" w:cs="Times New Roman"/>
          <w:sz w:val="24"/>
          <w:szCs w:val="24"/>
        </w:rPr>
        <w:t>Kapp</w:t>
      </w:r>
      <w:r w:rsidR="00A6170A" w:rsidRPr="00336D1C">
        <w:rPr>
          <w:rFonts w:ascii="Times New Roman" w:eastAsia="Calibri" w:hAnsi="Times New Roman" w:cs="Times New Roman"/>
          <w:sz w:val="24"/>
          <w:szCs w:val="24"/>
        </w:rPr>
        <w:t>’s</w:t>
      </w:r>
      <w:proofErr w:type="spellEnd"/>
      <w:r w:rsidR="00A6170A" w:rsidRPr="00336D1C">
        <w:rPr>
          <w:rFonts w:ascii="Times New Roman" w:eastAsia="Calibri" w:hAnsi="Times New Roman" w:cs="Times New Roman"/>
          <w:sz w:val="24"/>
          <w:szCs w:val="24"/>
        </w:rPr>
        <w:t xml:space="preserve"> 2010 study looked at one type of restorative justice program, victim offender mediation, which involves putting victims in a safe environment with the offender where they can agree on a redress to the</w:t>
      </w:r>
      <w:r w:rsidR="007266C6">
        <w:rPr>
          <w:rFonts w:ascii="Times New Roman" w:eastAsia="Calibri" w:hAnsi="Times New Roman" w:cs="Times New Roman"/>
          <w:sz w:val="24"/>
          <w:szCs w:val="24"/>
        </w:rPr>
        <w:t xml:space="preserve"> harm committed (270).  In this</w:t>
      </w:r>
      <w:r w:rsidR="00A6170A" w:rsidRPr="00336D1C">
        <w:rPr>
          <w:rFonts w:ascii="Times New Roman" w:eastAsia="Calibri" w:hAnsi="Times New Roman" w:cs="Times New Roman"/>
          <w:sz w:val="24"/>
          <w:szCs w:val="24"/>
        </w:rPr>
        <w:t xml:space="preserve"> exploratory study, Choi</w:t>
      </w:r>
      <w:r w:rsidR="00C36A59" w:rsidRPr="00F53C5B">
        <w:rPr>
          <w:rFonts w:ascii="Times New Roman" w:eastAsia="Calibri" w:hAnsi="Times New Roman" w:cs="Times New Roman"/>
          <w:sz w:val="24"/>
          <w:szCs w:val="24"/>
        </w:rPr>
        <w:t xml:space="preserve"> et al. </w:t>
      </w:r>
      <w:r w:rsidR="00A6170A" w:rsidRPr="00336D1C">
        <w:rPr>
          <w:rFonts w:ascii="Times New Roman" w:eastAsia="Calibri" w:hAnsi="Times New Roman" w:cs="Times New Roman"/>
          <w:sz w:val="24"/>
          <w:szCs w:val="24"/>
        </w:rPr>
        <w:t>found that victim empowerment was facilitated when victims were able to share their experience and receive information about the crime</w:t>
      </w:r>
      <w:r w:rsidRPr="00F53C5B">
        <w:rPr>
          <w:rFonts w:ascii="Times New Roman" w:eastAsia="Calibri" w:hAnsi="Times New Roman" w:cs="Times New Roman"/>
          <w:sz w:val="24"/>
          <w:szCs w:val="24"/>
        </w:rPr>
        <w:t xml:space="preserve">.  However, </w:t>
      </w:r>
      <w:r w:rsidR="007266C6">
        <w:rPr>
          <w:rFonts w:ascii="Times New Roman" w:eastAsia="Calibri" w:hAnsi="Times New Roman" w:cs="Times New Roman"/>
          <w:sz w:val="24"/>
          <w:szCs w:val="24"/>
        </w:rPr>
        <w:t xml:space="preserve">the authors </w:t>
      </w:r>
      <w:r w:rsidRPr="00F53C5B">
        <w:rPr>
          <w:rFonts w:ascii="Times New Roman" w:eastAsia="Calibri" w:hAnsi="Times New Roman" w:cs="Times New Roman"/>
          <w:sz w:val="24"/>
          <w:szCs w:val="24"/>
        </w:rPr>
        <w:t xml:space="preserve">also called attention to challenges associated </w:t>
      </w:r>
      <w:r w:rsidRPr="00F53C5B">
        <w:rPr>
          <w:rFonts w:ascii="Times New Roman" w:eastAsia="Calibri" w:hAnsi="Times New Roman" w:cs="Times New Roman"/>
          <w:sz w:val="24"/>
          <w:szCs w:val="24"/>
        </w:rPr>
        <w:lastRenderedPageBreak/>
        <w:t xml:space="preserve">with such practices.  They found that </w:t>
      </w:r>
      <w:r w:rsidR="00A6170A" w:rsidRPr="00336D1C">
        <w:rPr>
          <w:rFonts w:ascii="Times New Roman" w:eastAsia="Calibri" w:hAnsi="Times New Roman" w:cs="Times New Roman"/>
          <w:sz w:val="24"/>
          <w:szCs w:val="24"/>
        </w:rPr>
        <w:t>when victims felt apologies were not made sincerely, some reported that the process was insensitive to their needs and that they were prevented from expressing their sincere feelings or compelled by the process to accept the offender apologies when they felt they were insincere (Choi</w:t>
      </w:r>
      <w:r w:rsidR="00C36A59" w:rsidRPr="00F53C5B">
        <w:rPr>
          <w:rFonts w:ascii="Times New Roman" w:eastAsia="Calibri" w:hAnsi="Times New Roman" w:cs="Times New Roman"/>
          <w:sz w:val="24"/>
          <w:szCs w:val="24"/>
        </w:rPr>
        <w:t xml:space="preserve"> et al.</w:t>
      </w:r>
      <w:r w:rsidR="00A6170A" w:rsidRPr="00336D1C">
        <w:rPr>
          <w:rFonts w:ascii="Times New Roman" w:eastAsia="Calibri" w:hAnsi="Times New Roman" w:cs="Times New Roman"/>
          <w:sz w:val="24"/>
          <w:szCs w:val="24"/>
        </w:rPr>
        <w:t xml:space="preserve"> 2010, 285). </w:t>
      </w:r>
    </w:p>
    <w:p w:rsidR="00336D1C" w:rsidRPr="00336D1C" w:rsidRDefault="00D83C8E" w:rsidP="0094300D">
      <w:pPr>
        <w:spacing w:after="0" w:line="480" w:lineRule="auto"/>
        <w:rPr>
          <w:rFonts w:ascii="Times New Roman" w:eastAsia="Calibri" w:hAnsi="Times New Roman" w:cs="Times New Roman"/>
          <w:sz w:val="24"/>
          <w:szCs w:val="24"/>
        </w:rPr>
      </w:pPr>
      <w:r w:rsidRPr="00F53C5B">
        <w:rPr>
          <w:rFonts w:ascii="Times New Roman" w:eastAsia="Calibri" w:hAnsi="Times New Roman" w:cs="Times New Roman"/>
          <w:sz w:val="24"/>
          <w:szCs w:val="24"/>
        </w:rPr>
        <w:tab/>
        <w:t xml:space="preserve">Similarly, </w:t>
      </w:r>
      <w:r w:rsidR="00336D1C" w:rsidRPr="00336D1C">
        <w:rPr>
          <w:rFonts w:ascii="Times New Roman" w:eastAsia="Calibri" w:hAnsi="Times New Roman" w:cs="Times New Roman"/>
          <w:sz w:val="24"/>
          <w:szCs w:val="24"/>
        </w:rPr>
        <w:t xml:space="preserve">De </w:t>
      </w:r>
      <w:proofErr w:type="spellStart"/>
      <w:r w:rsidR="00336D1C" w:rsidRPr="00336D1C">
        <w:rPr>
          <w:rFonts w:ascii="Times New Roman" w:eastAsia="Calibri" w:hAnsi="Times New Roman" w:cs="Times New Roman"/>
          <w:sz w:val="24"/>
          <w:szCs w:val="24"/>
        </w:rPr>
        <w:t>Mesmaecker’s</w:t>
      </w:r>
      <w:proofErr w:type="spellEnd"/>
      <w:r w:rsidR="00336D1C" w:rsidRPr="00336D1C">
        <w:rPr>
          <w:rFonts w:ascii="Times New Roman" w:eastAsia="Calibri" w:hAnsi="Times New Roman" w:cs="Times New Roman"/>
          <w:sz w:val="24"/>
          <w:szCs w:val="24"/>
        </w:rPr>
        <w:t xml:space="preserve"> study, while underscoring the potential benefit for victim impact statements, also outlines challenges victims face regarding the </w:t>
      </w:r>
      <w:r w:rsidRPr="00F53C5B">
        <w:rPr>
          <w:rFonts w:ascii="Times New Roman" w:eastAsia="Calibri" w:hAnsi="Times New Roman" w:cs="Times New Roman"/>
          <w:sz w:val="24"/>
          <w:szCs w:val="24"/>
        </w:rPr>
        <w:t xml:space="preserve">use of victim impact statements.  These include aspects which may be promote confusion, such as </w:t>
      </w:r>
      <w:r w:rsidR="00336D1C" w:rsidRPr="00336D1C">
        <w:rPr>
          <w:rFonts w:ascii="Times New Roman" w:eastAsia="Calibri" w:hAnsi="Times New Roman" w:cs="Times New Roman"/>
          <w:sz w:val="24"/>
          <w:szCs w:val="24"/>
        </w:rPr>
        <w:t>preparing the statement</w:t>
      </w:r>
      <w:r w:rsidRPr="00F53C5B">
        <w:rPr>
          <w:rFonts w:ascii="Times New Roman" w:eastAsia="Calibri" w:hAnsi="Times New Roman" w:cs="Times New Roman"/>
          <w:sz w:val="24"/>
          <w:szCs w:val="24"/>
        </w:rPr>
        <w:t>,</w:t>
      </w:r>
      <w:r w:rsidR="00336D1C" w:rsidRPr="00336D1C">
        <w:rPr>
          <w:rFonts w:ascii="Times New Roman" w:eastAsia="Calibri" w:hAnsi="Times New Roman" w:cs="Times New Roman"/>
          <w:sz w:val="24"/>
          <w:szCs w:val="24"/>
        </w:rPr>
        <w:t xml:space="preserve"> </w:t>
      </w:r>
      <w:r w:rsidRPr="00F53C5B">
        <w:rPr>
          <w:rFonts w:ascii="Times New Roman" w:eastAsia="Calibri" w:hAnsi="Times New Roman" w:cs="Times New Roman"/>
          <w:sz w:val="24"/>
          <w:szCs w:val="24"/>
        </w:rPr>
        <w:t xml:space="preserve">understanding </w:t>
      </w:r>
      <w:r w:rsidR="00336D1C" w:rsidRPr="00336D1C">
        <w:rPr>
          <w:rFonts w:ascii="Times New Roman" w:eastAsia="Calibri" w:hAnsi="Times New Roman" w:cs="Times New Roman"/>
          <w:sz w:val="24"/>
          <w:szCs w:val="24"/>
        </w:rPr>
        <w:t>the access the defenda</w:t>
      </w:r>
      <w:r w:rsidRPr="00F53C5B">
        <w:rPr>
          <w:rFonts w:ascii="Times New Roman" w:eastAsia="Calibri" w:hAnsi="Times New Roman" w:cs="Times New Roman"/>
          <w:sz w:val="24"/>
          <w:szCs w:val="24"/>
        </w:rPr>
        <w:t xml:space="preserve">nt may have to the statement, </w:t>
      </w:r>
      <w:r w:rsidR="00336D1C" w:rsidRPr="00336D1C">
        <w:rPr>
          <w:rFonts w:ascii="Times New Roman" w:eastAsia="Calibri" w:hAnsi="Times New Roman" w:cs="Times New Roman"/>
          <w:sz w:val="24"/>
          <w:szCs w:val="24"/>
        </w:rPr>
        <w:t>prese</w:t>
      </w:r>
      <w:r w:rsidRPr="00F53C5B">
        <w:rPr>
          <w:rFonts w:ascii="Times New Roman" w:eastAsia="Calibri" w:hAnsi="Times New Roman" w:cs="Times New Roman"/>
          <w:sz w:val="24"/>
          <w:szCs w:val="24"/>
        </w:rPr>
        <w:t xml:space="preserve">nting the statement in court, and </w:t>
      </w:r>
      <w:r w:rsidR="00336D1C" w:rsidRPr="00336D1C">
        <w:rPr>
          <w:rFonts w:ascii="Times New Roman" w:eastAsia="Calibri" w:hAnsi="Times New Roman" w:cs="Times New Roman"/>
          <w:sz w:val="24"/>
          <w:szCs w:val="24"/>
        </w:rPr>
        <w:t xml:space="preserve">not </w:t>
      </w:r>
      <w:r w:rsidRPr="00F53C5B">
        <w:rPr>
          <w:rFonts w:ascii="Times New Roman" w:eastAsia="Calibri" w:hAnsi="Times New Roman" w:cs="Times New Roman"/>
          <w:sz w:val="24"/>
          <w:szCs w:val="24"/>
        </w:rPr>
        <w:t xml:space="preserve">comprehending the purpose for the statements </w:t>
      </w:r>
      <w:r w:rsidR="00336D1C" w:rsidRPr="00336D1C">
        <w:rPr>
          <w:rFonts w:ascii="Times New Roman" w:eastAsia="Calibri" w:hAnsi="Times New Roman" w:cs="Times New Roman"/>
          <w:sz w:val="24"/>
          <w:szCs w:val="24"/>
        </w:rPr>
        <w:t xml:space="preserve">(De </w:t>
      </w:r>
      <w:proofErr w:type="spellStart"/>
      <w:r w:rsidR="00336D1C" w:rsidRPr="00336D1C">
        <w:rPr>
          <w:rFonts w:ascii="Times New Roman" w:eastAsia="Calibri" w:hAnsi="Times New Roman" w:cs="Times New Roman"/>
          <w:sz w:val="24"/>
          <w:szCs w:val="24"/>
        </w:rPr>
        <w:t>Mesmaecker</w:t>
      </w:r>
      <w:proofErr w:type="spellEnd"/>
      <w:r w:rsidR="00336D1C" w:rsidRPr="00336D1C">
        <w:rPr>
          <w:rFonts w:ascii="Times New Roman" w:eastAsia="Calibri" w:hAnsi="Times New Roman" w:cs="Times New Roman"/>
          <w:sz w:val="24"/>
          <w:szCs w:val="24"/>
        </w:rPr>
        <w:t xml:space="preserve"> 2012, 145).  </w:t>
      </w:r>
    </w:p>
    <w:p w:rsidR="00D83C8E" w:rsidRPr="00F53C5B" w:rsidRDefault="00D83C8E" w:rsidP="0094300D">
      <w:pPr>
        <w:spacing w:after="0" w:line="480" w:lineRule="auto"/>
        <w:ind w:firstLine="720"/>
        <w:rPr>
          <w:rFonts w:ascii="Times New Roman" w:eastAsia="Calibri" w:hAnsi="Times New Roman" w:cs="Times New Roman"/>
          <w:sz w:val="24"/>
          <w:szCs w:val="24"/>
        </w:rPr>
      </w:pPr>
      <w:r w:rsidRPr="00F53C5B">
        <w:rPr>
          <w:rFonts w:ascii="Times New Roman" w:eastAsia="Calibri" w:hAnsi="Times New Roman" w:cs="Times New Roman"/>
          <w:sz w:val="24"/>
          <w:szCs w:val="24"/>
        </w:rPr>
        <w:t xml:space="preserve">In addition to the manner in which policies affect victims, the manner in which </w:t>
      </w:r>
      <w:r w:rsidR="00336D1C" w:rsidRPr="00336D1C">
        <w:rPr>
          <w:rFonts w:ascii="Times New Roman" w:eastAsia="Calibri" w:hAnsi="Times New Roman" w:cs="Times New Roman"/>
          <w:sz w:val="24"/>
          <w:szCs w:val="24"/>
        </w:rPr>
        <w:t>victims’ policies affect the criminal justice system has also been studied.</w:t>
      </w:r>
      <w:r w:rsidR="00581AEB" w:rsidRPr="00F53C5B">
        <w:rPr>
          <w:rFonts w:ascii="Times New Roman" w:eastAsia="Calibri" w:hAnsi="Times New Roman" w:cs="Times New Roman"/>
          <w:sz w:val="24"/>
          <w:szCs w:val="24"/>
        </w:rPr>
        <w:t xml:space="preserve"> </w:t>
      </w:r>
      <w:r w:rsidRPr="00F53C5B">
        <w:rPr>
          <w:rFonts w:ascii="Times New Roman" w:eastAsia="Calibri" w:hAnsi="Times New Roman" w:cs="Times New Roman"/>
          <w:sz w:val="24"/>
          <w:szCs w:val="24"/>
        </w:rPr>
        <w:t xml:space="preserve"> Policies such as allowing victim impact statements have been suggested as a means to increase involvement in the justice system while providing </w:t>
      </w:r>
      <w:r w:rsidR="00336D1C" w:rsidRPr="00336D1C">
        <w:rPr>
          <w:rFonts w:ascii="Times New Roman" w:eastAsia="Calibri" w:hAnsi="Times New Roman" w:cs="Times New Roman"/>
          <w:sz w:val="24"/>
          <w:szCs w:val="24"/>
        </w:rPr>
        <w:t>restitution was associated with victims’ willingness to report crimes</w:t>
      </w:r>
      <w:r w:rsidRPr="00F53C5B">
        <w:rPr>
          <w:rFonts w:ascii="Times New Roman" w:eastAsia="Calibri" w:hAnsi="Times New Roman" w:cs="Times New Roman"/>
          <w:sz w:val="24"/>
          <w:szCs w:val="24"/>
        </w:rPr>
        <w:t xml:space="preserve"> (Davis and Smith 2004; </w:t>
      </w:r>
      <w:proofErr w:type="spellStart"/>
      <w:r w:rsidRPr="00F53C5B">
        <w:rPr>
          <w:rFonts w:ascii="Times New Roman" w:eastAsia="Calibri" w:hAnsi="Times New Roman" w:cs="Times New Roman"/>
          <w:sz w:val="24"/>
          <w:szCs w:val="24"/>
        </w:rPr>
        <w:t>Ruback</w:t>
      </w:r>
      <w:proofErr w:type="spellEnd"/>
      <w:r w:rsidRPr="00F53C5B">
        <w:rPr>
          <w:rFonts w:ascii="Times New Roman" w:eastAsia="Calibri" w:hAnsi="Times New Roman" w:cs="Times New Roman"/>
          <w:sz w:val="24"/>
          <w:szCs w:val="24"/>
        </w:rPr>
        <w:t>, Cares and Hoskins’ 2008)</w:t>
      </w:r>
      <w:r w:rsidR="00336D1C" w:rsidRPr="00336D1C">
        <w:rPr>
          <w:rFonts w:ascii="Times New Roman" w:eastAsia="Calibri" w:hAnsi="Times New Roman" w:cs="Times New Roman"/>
          <w:sz w:val="24"/>
          <w:szCs w:val="24"/>
        </w:rPr>
        <w:t xml:space="preserve">.  Haynes found that community victim resource availability were associated with increased victim participation as well as longer periods of incarceration (2011).  </w:t>
      </w:r>
      <w:proofErr w:type="spellStart"/>
      <w:r w:rsidR="00336D1C" w:rsidRPr="00336D1C">
        <w:rPr>
          <w:rFonts w:ascii="Times New Roman" w:eastAsia="Calibri" w:hAnsi="Times New Roman" w:cs="Times New Roman"/>
          <w:sz w:val="24"/>
          <w:szCs w:val="24"/>
        </w:rPr>
        <w:t>Laxminarayan</w:t>
      </w:r>
      <w:proofErr w:type="spellEnd"/>
      <w:r w:rsidR="00336D1C" w:rsidRPr="00336D1C">
        <w:rPr>
          <w:rFonts w:ascii="Times New Roman" w:eastAsia="Calibri" w:hAnsi="Times New Roman" w:cs="Times New Roman"/>
          <w:sz w:val="24"/>
          <w:szCs w:val="24"/>
        </w:rPr>
        <w:t xml:space="preserve"> found that the use of victim impact statements were associated with trust in the Dutch legal system by crime victims, which may in turn positively influence the functioning of the criminal justice system (2015, 283). </w:t>
      </w:r>
    </w:p>
    <w:p w:rsidR="00336D1C" w:rsidRPr="00336D1C" w:rsidRDefault="00336D1C" w:rsidP="0094300D">
      <w:pPr>
        <w:spacing w:after="0" w:line="480" w:lineRule="auto"/>
        <w:ind w:firstLine="720"/>
        <w:rPr>
          <w:rFonts w:ascii="Times New Roman" w:eastAsia="Calibri" w:hAnsi="Times New Roman" w:cs="Times New Roman"/>
          <w:sz w:val="24"/>
          <w:szCs w:val="24"/>
        </w:rPr>
      </w:pPr>
      <w:r w:rsidRPr="00336D1C">
        <w:rPr>
          <w:rFonts w:ascii="Times New Roman" w:eastAsia="Calibri" w:hAnsi="Times New Roman" w:cs="Times New Roman"/>
          <w:sz w:val="24"/>
          <w:szCs w:val="24"/>
        </w:rPr>
        <w:t xml:space="preserve">The impact of victims’ rights </w:t>
      </w:r>
      <w:r w:rsidR="00D83C8E" w:rsidRPr="00F53C5B">
        <w:rPr>
          <w:rFonts w:ascii="Times New Roman" w:eastAsia="Calibri" w:hAnsi="Times New Roman" w:cs="Times New Roman"/>
          <w:sz w:val="24"/>
          <w:szCs w:val="24"/>
        </w:rPr>
        <w:t>on</w:t>
      </w:r>
      <w:r w:rsidRPr="00336D1C">
        <w:rPr>
          <w:rFonts w:ascii="Times New Roman" w:eastAsia="Calibri" w:hAnsi="Times New Roman" w:cs="Times New Roman"/>
          <w:sz w:val="24"/>
          <w:szCs w:val="24"/>
        </w:rPr>
        <w:t xml:space="preserve"> defendants and criminal justice actors, has also received scholarly attention.  Concerns with victims’ rights have included creating disparities in sentences and conflicting with the rights of defendants (</w:t>
      </w:r>
      <w:proofErr w:type="spellStart"/>
      <w:r w:rsidRPr="00336D1C">
        <w:rPr>
          <w:rFonts w:ascii="Times New Roman" w:eastAsia="Calibri" w:hAnsi="Times New Roman" w:cs="Times New Roman"/>
          <w:sz w:val="24"/>
          <w:szCs w:val="24"/>
        </w:rPr>
        <w:t>Erez</w:t>
      </w:r>
      <w:proofErr w:type="spellEnd"/>
      <w:r w:rsidRPr="00336D1C">
        <w:rPr>
          <w:rFonts w:ascii="Times New Roman" w:eastAsia="Calibri" w:hAnsi="Times New Roman" w:cs="Times New Roman"/>
          <w:sz w:val="24"/>
          <w:szCs w:val="24"/>
        </w:rPr>
        <w:t xml:space="preserve">, </w:t>
      </w:r>
      <w:proofErr w:type="spellStart"/>
      <w:r w:rsidRPr="00336D1C">
        <w:rPr>
          <w:rFonts w:ascii="Times New Roman" w:eastAsia="Calibri" w:hAnsi="Times New Roman" w:cs="Times New Roman"/>
          <w:sz w:val="24"/>
          <w:szCs w:val="24"/>
        </w:rPr>
        <w:t>Globokar</w:t>
      </w:r>
      <w:proofErr w:type="spellEnd"/>
      <w:r w:rsidRPr="00336D1C">
        <w:rPr>
          <w:rFonts w:ascii="Times New Roman" w:eastAsia="Calibri" w:hAnsi="Times New Roman" w:cs="Times New Roman"/>
          <w:sz w:val="24"/>
          <w:szCs w:val="24"/>
        </w:rPr>
        <w:t xml:space="preserve"> and Ibarra 2014, 171). Gordon and Brodsky’s examined the effect of victim impact statements in capital cases but found little </w:t>
      </w:r>
      <w:r w:rsidRPr="00336D1C">
        <w:rPr>
          <w:rFonts w:ascii="Times New Roman" w:eastAsia="Calibri" w:hAnsi="Times New Roman" w:cs="Times New Roman"/>
          <w:sz w:val="24"/>
          <w:szCs w:val="24"/>
        </w:rPr>
        <w:lastRenderedPageBreak/>
        <w:t xml:space="preserve">relationship between the use of victim impact statements and the participants’ view of mitigation and aggravation issues.  That is, the participant groups viewed these factors similarly whether or not a victim impact statement had been used (2007, 51).  Although </w:t>
      </w:r>
      <w:proofErr w:type="spellStart"/>
      <w:r w:rsidRPr="00336D1C">
        <w:rPr>
          <w:rFonts w:ascii="Times New Roman" w:eastAsia="Calibri" w:hAnsi="Times New Roman" w:cs="Times New Roman"/>
          <w:sz w:val="24"/>
          <w:szCs w:val="24"/>
        </w:rPr>
        <w:t>Erez</w:t>
      </w:r>
      <w:proofErr w:type="spellEnd"/>
      <w:r w:rsidRPr="00336D1C">
        <w:rPr>
          <w:rFonts w:ascii="Times New Roman" w:eastAsia="Calibri" w:hAnsi="Times New Roman" w:cs="Times New Roman"/>
          <w:sz w:val="24"/>
          <w:szCs w:val="24"/>
        </w:rPr>
        <w:t xml:space="preserve"> and Rogers acknowledged concerns regarding the effect of crime victims’ policies on the criminal justice system in their 1993 study, their qualitative study of criminal justice actors in Australia, highlights the strategies used to minimize the impact of victims’ input.  They conclude that victim impact statements in Australia as well as other jurisdictions have been “successful in maintaining the </w:t>
      </w:r>
      <w:proofErr w:type="spellStart"/>
      <w:r w:rsidRPr="00336D1C">
        <w:rPr>
          <w:rFonts w:ascii="Times New Roman" w:eastAsia="Calibri" w:hAnsi="Times New Roman" w:cs="Times New Roman"/>
          <w:sz w:val="24"/>
          <w:szCs w:val="24"/>
        </w:rPr>
        <w:t>time-honoured</w:t>
      </w:r>
      <w:proofErr w:type="spellEnd"/>
      <w:r w:rsidRPr="00336D1C">
        <w:rPr>
          <w:rFonts w:ascii="Times New Roman" w:eastAsia="Calibri" w:hAnsi="Times New Roman" w:cs="Times New Roman"/>
          <w:sz w:val="24"/>
          <w:szCs w:val="24"/>
        </w:rPr>
        <w:t xml:space="preserve"> tradition of excluding victims from criminal justice with a thin veneer of being part of it” (1999, 235).   </w:t>
      </w:r>
      <w:proofErr w:type="spellStart"/>
      <w:r w:rsidRPr="00336D1C">
        <w:rPr>
          <w:rFonts w:ascii="Times New Roman" w:eastAsia="Calibri" w:hAnsi="Times New Roman" w:cs="Times New Roman"/>
          <w:sz w:val="24"/>
          <w:szCs w:val="24"/>
        </w:rPr>
        <w:t>Erez</w:t>
      </w:r>
      <w:proofErr w:type="spellEnd"/>
      <w:r w:rsidRPr="00336D1C">
        <w:rPr>
          <w:rFonts w:ascii="Times New Roman" w:eastAsia="Calibri" w:hAnsi="Times New Roman" w:cs="Times New Roman"/>
          <w:sz w:val="24"/>
          <w:szCs w:val="24"/>
        </w:rPr>
        <w:t xml:space="preserve">, </w:t>
      </w:r>
      <w:proofErr w:type="spellStart"/>
      <w:r w:rsidRPr="00336D1C">
        <w:rPr>
          <w:rFonts w:ascii="Times New Roman" w:eastAsia="Calibri" w:hAnsi="Times New Roman" w:cs="Times New Roman"/>
          <w:sz w:val="24"/>
          <w:szCs w:val="24"/>
        </w:rPr>
        <w:t>Globokar</w:t>
      </w:r>
      <w:proofErr w:type="spellEnd"/>
      <w:r w:rsidRPr="00336D1C">
        <w:rPr>
          <w:rFonts w:ascii="Times New Roman" w:eastAsia="Calibri" w:hAnsi="Times New Roman" w:cs="Times New Roman"/>
          <w:sz w:val="24"/>
          <w:szCs w:val="24"/>
        </w:rPr>
        <w:t xml:space="preserve"> and Ibarra (2014) describe the types of strategies court personnel employ to more effectively manage victims who are participating in the criminal justice system.  </w:t>
      </w:r>
    </w:p>
    <w:p w:rsidR="00336D1C" w:rsidRPr="00336D1C" w:rsidRDefault="00336D1C" w:rsidP="0094300D">
      <w:pPr>
        <w:spacing w:after="0" w:line="480" w:lineRule="auto"/>
        <w:ind w:firstLine="720"/>
        <w:rPr>
          <w:rFonts w:ascii="Times New Roman" w:eastAsia="Calibri" w:hAnsi="Times New Roman" w:cs="Times New Roman"/>
          <w:sz w:val="24"/>
          <w:szCs w:val="24"/>
        </w:rPr>
      </w:pPr>
      <w:r w:rsidRPr="00336D1C">
        <w:rPr>
          <w:rFonts w:ascii="Times New Roman" w:eastAsia="Calibri" w:hAnsi="Times New Roman" w:cs="Times New Roman"/>
          <w:sz w:val="24"/>
          <w:szCs w:val="24"/>
        </w:rPr>
        <w:t xml:space="preserve">In addition to the effect of victims’ rights defendants and criminal justice actors, scholars have also argued that politics are affected by victims’ rights.  For example, Elias asserts that the real beneficiaries of victim legislation are not victims, but politicians who have gained political and ideological benefits through the positive construction of victim groups, such as females, children, and the elderly (Elias 1990, 243-244).  Similarly, </w:t>
      </w:r>
      <w:proofErr w:type="spellStart"/>
      <w:r w:rsidRPr="00336D1C">
        <w:rPr>
          <w:rFonts w:ascii="Times New Roman" w:eastAsia="Calibri" w:hAnsi="Times New Roman" w:cs="Times New Roman"/>
          <w:sz w:val="24"/>
          <w:szCs w:val="24"/>
        </w:rPr>
        <w:t>Spalek</w:t>
      </w:r>
      <w:proofErr w:type="spellEnd"/>
      <w:r w:rsidRPr="00336D1C">
        <w:rPr>
          <w:rFonts w:ascii="Times New Roman" w:eastAsia="Calibri" w:hAnsi="Times New Roman" w:cs="Times New Roman"/>
          <w:sz w:val="24"/>
          <w:szCs w:val="24"/>
        </w:rPr>
        <w:t xml:space="preserve"> suggests victims’ utility toward passage of certain crime policies.  </w:t>
      </w:r>
      <w:proofErr w:type="spellStart"/>
      <w:r w:rsidRPr="00336D1C">
        <w:rPr>
          <w:rFonts w:ascii="Times New Roman" w:eastAsia="Calibri" w:hAnsi="Times New Roman" w:cs="Times New Roman"/>
          <w:sz w:val="24"/>
          <w:szCs w:val="24"/>
        </w:rPr>
        <w:t>Spalek</w:t>
      </w:r>
      <w:proofErr w:type="spellEnd"/>
      <w:r w:rsidRPr="00336D1C">
        <w:rPr>
          <w:rFonts w:ascii="Times New Roman" w:eastAsia="Calibri" w:hAnsi="Times New Roman" w:cs="Times New Roman"/>
          <w:sz w:val="24"/>
          <w:szCs w:val="24"/>
        </w:rPr>
        <w:t xml:space="preserve"> describes an “ideal victim” as one who reflects a particular gender, race, and class image and who is innocent from bringing the crime onto oneself; it is through these victims as the “mechanism” by which tough on crime programs may be</w:t>
      </w:r>
      <w:r w:rsidR="007266C6">
        <w:rPr>
          <w:rFonts w:ascii="Times New Roman" w:eastAsia="Calibri" w:hAnsi="Times New Roman" w:cs="Times New Roman"/>
          <w:sz w:val="24"/>
          <w:szCs w:val="24"/>
        </w:rPr>
        <w:t xml:space="preserve"> adopted (</w:t>
      </w:r>
      <w:r w:rsidRPr="00336D1C">
        <w:rPr>
          <w:rFonts w:ascii="Times New Roman" w:eastAsia="Calibri" w:hAnsi="Times New Roman" w:cs="Times New Roman"/>
          <w:sz w:val="24"/>
          <w:szCs w:val="24"/>
        </w:rPr>
        <w:t xml:space="preserve">22; 27).  </w:t>
      </w:r>
      <w:r w:rsidRPr="00336D1C">
        <w:rPr>
          <w:rFonts w:ascii="Times New Roman" w:eastAsia="Calibri" w:hAnsi="Times New Roman" w:cs="Times New Roman"/>
          <w:sz w:val="24"/>
          <w:szCs w:val="24"/>
        </w:rPr>
        <w:tab/>
      </w:r>
    </w:p>
    <w:p w:rsidR="00521A36" w:rsidRDefault="00521A36" w:rsidP="0094300D">
      <w:pPr>
        <w:spacing w:after="0" w:line="480" w:lineRule="auto"/>
        <w:ind w:firstLine="720"/>
        <w:rPr>
          <w:rFonts w:ascii="Times New Roman" w:eastAsia="Calibri" w:hAnsi="Times New Roman" w:cs="Times New Roman"/>
          <w:sz w:val="24"/>
          <w:szCs w:val="24"/>
        </w:rPr>
      </w:pPr>
    </w:p>
    <w:p w:rsidR="00393984" w:rsidRDefault="00393984" w:rsidP="0094300D">
      <w:pPr>
        <w:spacing w:after="0" w:line="480" w:lineRule="auto"/>
        <w:ind w:firstLine="720"/>
        <w:rPr>
          <w:rFonts w:ascii="Times New Roman" w:eastAsia="Calibri" w:hAnsi="Times New Roman" w:cs="Times New Roman"/>
          <w:sz w:val="24"/>
          <w:szCs w:val="24"/>
        </w:rPr>
      </w:pPr>
    </w:p>
    <w:p w:rsidR="00393984" w:rsidRPr="00F53C5B" w:rsidRDefault="00393984" w:rsidP="0094300D">
      <w:pPr>
        <w:spacing w:after="0" w:line="480" w:lineRule="auto"/>
        <w:ind w:firstLine="720"/>
        <w:rPr>
          <w:rFonts w:ascii="Times New Roman" w:eastAsia="Calibri" w:hAnsi="Times New Roman" w:cs="Times New Roman"/>
          <w:sz w:val="24"/>
          <w:szCs w:val="24"/>
        </w:rPr>
      </w:pPr>
    </w:p>
    <w:p w:rsidR="00521A36" w:rsidRPr="00F53C5B" w:rsidRDefault="00D67530" w:rsidP="0094300D">
      <w:pPr>
        <w:spacing w:line="480" w:lineRule="auto"/>
        <w:rPr>
          <w:rFonts w:ascii="Times New Roman" w:hAnsi="Times New Roman" w:cs="Times New Roman"/>
          <w:b/>
          <w:sz w:val="24"/>
          <w:szCs w:val="24"/>
        </w:rPr>
      </w:pPr>
      <w:r w:rsidRPr="00F53C5B">
        <w:rPr>
          <w:rFonts w:ascii="Times New Roman" w:hAnsi="Times New Roman" w:cs="Times New Roman"/>
          <w:b/>
          <w:sz w:val="24"/>
          <w:szCs w:val="24"/>
        </w:rPr>
        <w:lastRenderedPageBreak/>
        <w:t xml:space="preserve">Study </w:t>
      </w:r>
    </w:p>
    <w:p w:rsidR="00A41CCB" w:rsidRDefault="00A41CCB" w:rsidP="0094300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present study sought</w:t>
      </w:r>
      <w:r w:rsidRPr="00F53C5B">
        <w:rPr>
          <w:rFonts w:ascii="Times New Roman" w:hAnsi="Times New Roman" w:cs="Times New Roman"/>
          <w:sz w:val="24"/>
          <w:szCs w:val="24"/>
        </w:rPr>
        <w:t xml:space="preserve"> to understand the variation within </w:t>
      </w:r>
      <w:r>
        <w:rPr>
          <w:rFonts w:ascii="Times New Roman" w:hAnsi="Times New Roman" w:cs="Times New Roman"/>
          <w:sz w:val="24"/>
          <w:szCs w:val="24"/>
        </w:rPr>
        <w:t xml:space="preserve">state victims’ rights. </w:t>
      </w:r>
      <w:r w:rsidR="008D6412" w:rsidRPr="00F53C5B">
        <w:rPr>
          <w:rFonts w:ascii="Times New Roman" w:hAnsi="Times New Roman" w:cs="Times New Roman"/>
          <w:sz w:val="24"/>
          <w:szCs w:val="24"/>
        </w:rPr>
        <w:t>T</w:t>
      </w:r>
      <w:r>
        <w:rPr>
          <w:rFonts w:ascii="Times New Roman" w:hAnsi="Times New Roman" w:cs="Times New Roman"/>
          <w:sz w:val="24"/>
          <w:szCs w:val="24"/>
        </w:rPr>
        <w:t>he study focuses</w:t>
      </w:r>
      <w:r w:rsidR="007266C6">
        <w:rPr>
          <w:rFonts w:ascii="Times New Roman" w:hAnsi="Times New Roman" w:cs="Times New Roman"/>
          <w:sz w:val="24"/>
          <w:szCs w:val="24"/>
        </w:rPr>
        <w:t xml:space="preserve"> </w:t>
      </w:r>
      <w:r>
        <w:rPr>
          <w:rFonts w:ascii="Times New Roman" w:hAnsi="Times New Roman" w:cs="Times New Roman"/>
          <w:sz w:val="24"/>
          <w:szCs w:val="24"/>
        </w:rPr>
        <w:t xml:space="preserve">at the state constitutional level. </w:t>
      </w:r>
      <w:r w:rsidRPr="00F53C5B">
        <w:rPr>
          <w:rFonts w:ascii="Times New Roman" w:hAnsi="Times New Roman" w:cs="Times New Roman"/>
          <w:sz w:val="24"/>
          <w:szCs w:val="24"/>
        </w:rPr>
        <w:t>Although a more comprehensive understanding of these rights would entail an analysis of both constitutional amendments and statuto</w:t>
      </w:r>
      <w:r>
        <w:rPr>
          <w:rFonts w:ascii="Times New Roman" w:hAnsi="Times New Roman" w:cs="Times New Roman"/>
          <w:sz w:val="24"/>
          <w:szCs w:val="24"/>
        </w:rPr>
        <w:t>ry rights, this s</w:t>
      </w:r>
      <w:r w:rsidR="00DF4268">
        <w:rPr>
          <w:rFonts w:ascii="Times New Roman" w:hAnsi="Times New Roman" w:cs="Times New Roman"/>
          <w:sz w:val="24"/>
          <w:szCs w:val="24"/>
        </w:rPr>
        <w:t xml:space="preserve">tudy </w:t>
      </w:r>
      <w:r>
        <w:rPr>
          <w:rFonts w:ascii="Times New Roman" w:hAnsi="Times New Roman" w:cs="Times New Roman"/>
          <w:sz w:val="24"/>
          <w:szCs w:val="24"/>
        </w:rPr>
        <w:t>begins with the</w:t>
      </w:r>
      <w:r w:rsidRPr="00F53C5B">
        <w:rPr>
          <w:rFonts w:ascii="Times New Roman" w:hAnsi="Times New Roman" w:cs="Times New Roman"/>
          <w:sz w:val="24"/>
          <w:szCs w:val="24"/>
        </w:rPr>
        <w:t xml:space="preserve"> assessment of how these rights are </w:t>
      </w:r>
      <w:r w:rsidR="00DF4268">
        <w:rPr>
          <w:rFonts w:ascii="Times New Roman" w:hAnsi="Times New Roman" w:cs="Times New Roman"/>
          <w:sz w:val="24"/>
          <w:szCs w:val="24"/>
        </w:rPr>
        <w:t>contained within constitutional provisions</w:t>
      </w:r>
      <w:r w:rsidRPr="00F53C5B">
        <w:rPr>
          <w:rFonts w:ascii="Times New Roman" w:hAnsi="Times New Roman" w:cs="Times New Roman"/>
          <w:sz w:val="24"/>
          <w:szCs w:val="24"/>
        </w:rPr>
        <w:t xml:space="preserve">. </w:t>
      </w:r>
      <w:r w:rsidR="00DF4268">
        <w:rPr>
          <w:rFonts w:ascii="Times New Roman" w:hAnsi="Times New Roman" w:cs="Times New Roman"/>
          <w:sz w:val="24"/>
          <w:szCs w:val="24"/>
        </w:rPr>
        <w:t xml:space="preserve">Constitutional provisions are important for a number of reasons. </w:t>
      </w:r>
      <w:proofErr w:type="spellStart"/>
      <w:r w:rsidR="00DF4268" w:rsidRPr="00DF4268">
        <w:rPr>
          <w:rFonts w:ascii="Times New Roman" w:hAnsi="Times New Roman" w:cs="Times New Roman"/>
          <w:sz w:val="24"/>
          <w:szCs w:val="24"/>
        </w:rPr>
        <w:t>Lupia</w:t>
      </w:r>
      <w:proofErr w:type="spellEnd"/>
      <w:r w:rsidR="00DF4268" w:rsidRPr="00DF4268">
        <w:rPr>
          <w:rFonts w:ascii="Times New Roman" w:hAnsi="Times New Roman" w:cs="Times New Roman"/>
          <w:sz w:val="24"/>
          <w:szCs w:val="24"/>
        </w:rPr>
        <w:t xml:space="preserve"> et al. highlig</w:t>
      </w:r>
      <w:r w:rsidR="00DF4268">
        <w:rPr>
          <w:rFonts w:ascii="Times New Roman" w:hAnsi="Times New Roman" w:cs="Times New Roman"/>
          <w:sz w:val="24"/>
          <w:szCs w:val="24"/>
        </w:rPr>
        <w:t xml:space="preserve">hts that </w:t>
      </w:r>
      <w:r w:rsidR="00DF4268" w:rsidRPr="00DF4268">
        <w:rPr>
          <w:rFonts w:ascii="Times New Roman" w:hAnsi="Times New Roman" w:cs="Times New Roman"/>
          <w:sz w:val="24"/>
          <w:szCs w:val="24"/>
        </w:rPr>
        <w:t>the legal status</w:t>
      </w:r>
      <w:r w:rsidR="00DF4268">
        <w:rPr>
          <w:rFonts w:ascii="Times New Roman" w:hAnsi="Times New Roman" w:cs="Times New Roman"/>
          <w:sz w:val="24"/>
          <w:szCs w:val="24"/>
        </w:rPr>
        <w:t xml:space="preserve"> of constitutional amendments </w:t>
      </w:r>
      <w:r w:rsidR="00DF4268" w:rsidRPr="00DF4268">
        <w:rPr>
          <w:rFonts w:ascii="Times New Roman" w:hAnsi="Times New Roman" w:cs="Times New Roman"/>
          <w:sz w:val="24"/>
          <w:szCs w:val="24"/>
        </w:rPr>
        <w:t>is more intractable than that of statutory legislation (2010, 1222).  Hume calls attention to the notion that constitutional amendments carry not only “policy consequences” but they also carry “institutional consequences” as they restrict the actions of state political institutions (2011, 1098).</w:t>
      </w:r>
      <w:r w:rsidR="003B12F0">
        <w:rPr>
          <w:rFonts w:ascii="Times New Roman" w:hAnsi="Times New Roman" w:cs="Times New Roman"/>
          <w:sz w:val="24"/>
          <w:szCs w:val="24"/>
        </w:rPr>
        <w:t xml:space="preserve">  Because constitutional amendments are </w:t>
      </w:r>
      <w:r w:rsidR="007266C6">
        <w:rPr>
          <w:rFonts w:ascii="Times New Roman" w:hAnsi="Times New Roman" w:cs="Times New Roman"/>
          <w:sz w:val="24"/>
          <w:szCs w:val="24"/>
        </w:rPr>
        <w:t>important</w:t>
      </w:r>
      <w:r w:rsidR="003B12F0">
        <w:rPr>
          <w:rFonts w:ascii="Times New Roman" w:hAnsi="Times New Roman" w:cs="Times New Roman"/>
          <w:sz w:val="24"/>
          <w:szCs w:val="24"/>
        </w:rPr>
        <w:t xml:space="preserve">, it is </w:t>
      </w:r>
      <w:r w:rsidR="007266C6">
        <w:rPr>
          <w:rFonts w:ascii="Times New Roman" w:hAnsi="Times New Roman" w:cs="Times New Roman"/>
          <w:sz w:val="24"/>
          <w:szCs w:val="24"/>
        </w:rPr>
        <w:t>necessary</w:t>
      </w:r>
      <w:r w:rsidR="003B12F0">
        <w:rPr>
          <w:rFonts w:ascii="Times New Roman" w:hAnsi="Times New Roman" w:cs="Times New Roman"/>
          <w:sz w:val="24"/>
          <w:szCs w:val="24"/>
        </w:rPr>
        <w:t xml:space="preserve"> to understand the way in which state provisions may vary.</w:t>
      </w:r>
    </w:p>
    <w:p w:rsidR="003B12F0" w:rsidRDefault="003B12F0" w:rsidP="007322F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w:t>
      </w:r>
      <w:r w:rsidR="00A41CCB">
        <w:rPr>
          <w:rFonts w:ascii="Times New Roman" w:hAnsi="Times New Roman" w:cs="Times New Roman"/>
          <w:sz w:val="24"/>
          <w:szCs w:val="24"/>
        </w:rPr>
        <w:t xml:space="preserve"> examine victims’ rights constitutional amendments, </w:t>
      </w:r>
      <w:r w:rsidR="008D6412" w:rsidRPr="00F53C5B">
        <w:rPr>
          <w:rFonts w:ascii="Times New Roman" w:hAnsi="Times New Roman" w:cs="Times New Roman"/>
          <w:sz w:val="24"/>
          <w:szCs w:val="24"/>
        </w:rPr>
        <w:t>a content analysis was performed utilizing the Victim Law database, provided by th</w:t>
      </w:r>
      <w:r w:rsidR="00CE49CF" w:rsidRPr="00F53C5B">
        <w:rPr>
          <w:rFonts w:ascii="Times New Roman" w:hAnsi="Times New Roman" w:cs="Times New Roman"/>
          <w:sz w:val="24"/>
          <w:szCs w:val="24"/>
        </w:rPr>
        <w:t xml:space="preserve">e Office of Victims of Crime and available </w:t>
      </w:r>
      <w:r w:rsidR="00E425CB" w:rsidRPr="00F53C5B">
        <w:rPr>
          <w:rFonts w:ascii="Times New Roman" w:hAnsi="Times New Roman" w:cs="Times New Roman"/>
          <w:sz w:val="24"/>
          <w:szCs w:val="24"/>
        </w:rPr>
        <w:t xml:space="preserve">at https://www.victimlaw.org/.  </w:t>
      </w:r>
      <w:r w:rsidR="00CE49CF" w:rsidRPr="00F53C5B">
        <w:rPr>
          <w:rFonts w:ascii="Times New Roman" w:hAnsi="Times New Roman" w:cs="Times New Roman"/>
          <w:sz w:val="24"/>
          <w:szCs w:val="24"/>
        </w:rPr>
        <w:t>The Victim Law database categorizes victi</w:t>
      </w:r>
      <w:r>
        <w:rPr>
          <w:rFonts w:ascii="Times New Roman" w:hAnsi="Times New Roman" w:cs="Times New Roman"/>
          <w:sz w:val="24"/>
          <w:szCs w:val="24"/>
        </w:rPr>
        <w:t>ms’ rights under the topics of 1)</w:t>
      </w:r>
      <w:r w:rsidR="00CE49CF" w:rsidRPr="00F53C5B">
        <w:rPr>
          <w:rFonts w:ascii="Times New Roman" w:hAnsi="Times New Roman" w:cs="Times New Roman"/>
          <w:sz w:val="24"/>
          <w:szCs w:val="24"/>
        </w:rPr>
        <w:t xml:space="preserve"> the right to attend, 2) the right to be heard; 3) the right to be informed; 4) the right to protection; 5) the right to privacy; 6) the right to request compensation; 7) the right to restitution; 8) th</w:t>
      </w:r>
      <w:r w:rsidR="007266C6">
        <w:rPr>
          <w:rFonts w:ascii="Times New Roman" w:hAnsi="Times New Roman" w:cs="Times New Roman"/>
          <w:sz w:val="24"/>
          <w:szCs w:val="24"/>
        </w:rPr>
        <w:t>e right to return of property; 9</w:t>
      </w:r>
      <w:r w:rsidR="00CE49CF" w:rsidRPr="00F53C5B">
        <w:rPr>
          <w:rFonts w:ascii="Times New Roman" w:hAnsi="Times New Roman" w:cs="Times New Roman"/>
          <w:sz w:val="24"/>
          <w:szCs w:val="24"/>
        </w:rPr>
        <w:t>) the right to speedy trial; 10) the r</w:t>
      </w:r>
      <w:r>
        <w:rPr>
          <w:rFonts w:ascii="Times New Roman" w:hAnsi="Times New Roman" w:cs="Times New Roman"/>
          <w:sz w:val="24"/>
          <w:szCs w:val="24"/>
        </w:rPr>
        <w:t>ight to enforcement</w:t>
      </w:r>
      <w:r w:rsidR="00CE49CF" w:rsidRPr="00F53C5B">
        <w:rPr>
          <w:rFonts w:ascii="Times New Roman" w:hAnsi="Times New Roman" w:cs="Times New Roman"/>
          <w:sz w:val="24"/>
          <w:szCs w:val="24"/>
        </w:rPr>
        <w:t xml:space="preserve">.  </w:t>
      </w:r>
      <w:r>
        <w:rPr>
          <w:rFonts w:ascii="Times New Roman" w:hAnsi="Times New Roman" w:cs="Times New Roman"/>
          <w:sz w:val="24"/>
          <w:szCs w:val="24"/>
        </w:rPr>
        <w:t>Within the ten</w:t>
      </w:r>
      <w:r w:rsidR="00A41CCB" w:rsidRPr="00F53C5B">
        <w:rPr>
          <w:rFonts w:ascii="Times New Roman" w:hAnsi="Times New Roman" w:cs="Times New Roman"/>
          <w:sz w:val="24"/>
          <w:szCs w:val="24"/>
        </w:rPr>
        <w:t xml:space="preserve"> rights categories, the present study </w:t>
      </w:r>
      <w:r w:rsidR="00A41CCB">
        <w:rPr>
          <w:rFonts w:ascii="Times New Roman" w:hAnsi="Times New Roman" w:cs="Times New Roman"/>
          <w:sz w:val="24"/>
          <w:szCs w:val="24"/>
        </w:rPr>
        <w:t xml:space="preserve">focused on </w:t>
      </w:r>
      <w:r w:rsidR="00A41CCB" w:rsidRPr="00F53C5B">
        <w:rPr>
          <w:rFonts w:ascii="Times New Roman" w:hAnsi="Times New Roman" w:cs="Times New Roman"/>
          <w:sz w:val="24"/>
          <w:szCs w:val="24"/>
        </w:rPr>
        <w:t>legal provisions for the three rights “right to attend</w:t>
      </w:r>
      <w:r w:rsidR="00A41CCB">
        <w:rPr>
          <w:rFonts w:ascii="Times New Roman" w:hAnsi="Times New Roman" w:cs="Times New Roman"/>
          <w:sz w:val="24"/>
          <w:szCs w:val="24"/>
        </w:rPr>
        <w:t>,</w:t>
      </w:r>
      <w:r w:rsidR="00A41CCB" w:rsidRPr="00F53C5B">
        <w:rPr>
          <w:rFonts w:ascii="Times New Roman" w:hAnsi="Times New Roman" w:cs="Times New Roman"/>
          <w:sz w:val="24"/>
          <w:szCs w:val="24"/>
        </w:rPr>
        <w:t xml:space="preserve">” “right to be heard,” and “right to be informed” for each of the 50 states in the United States.  </w:t>
      </w:r>
      <w:r w:rsidR="00A41CCB">
        <w:rPr>
          <w:rFonts w:ascii="Times New Roman" w:hAnsi="Times New Roman" w:cs="Times New Roman"/>
          <w:sz w:val="24"/>
          <w:szCs w:val="24"/>
        </w:rPr>
        <w:t xml:space="preserve">These rights were selected as they may </w:t>
      </w:r>
      <w:r>
        <w:rPr>
          <w:rFonts w:ascii="Times New Roman" w:hAnsi="Times New Roman" w:cs="Times New Roman"/>
          <w:sz w:val="24"/>
          <w:szCs w:val="24"/>
        </w:rPr>
        <w:t>be considered to expand</w:t>
      </w:r>
      <w:r w:rsidR="00A41CCB" w:rsidRPr="00F53C5B">
        <w:rPr>
          <w:rFonts w:ascii="Times New Roman" w:hAnsi="Times New Roman" w:cs="Times New Roman"/>
          <w:sz w:val="24"/>
          <w:szCs w:val="24"/>
        </w:rPr>
        <w:t xml:space="preserve"> victims’ ability to participate in the criminal justice process and</w:t>
      </w:r>
      <w:r w:rsidR="00A41CCB">
        <w:rPr>
          <w:rFonts w:ascii="Times New Roman" w:hAnsi="Times New Roman" w:cs="Times New Roman"/>
          <w:sz w:val="24"/>
          <w:szCs w:val="24"/>
        </w:rPr>
        <w:t>, as such, may</w:t>
      </w:r>
      <w:r>
        <w:rPr>
          <w:rFonts w:ascii="Times New Roman" w:hAnsi="Times New Roman" w:cs="Times New Roman"/>
          <w:sz w:val="24"/>
          <w:szCs w:val="24"/>
        </w:rPr>
        <w:t xml:space="preserve"> implicate defendants’ rights in the justice system.</w:t>
      </w:r>
    </w:p>
    <w:p w:rsidR="00A41CCB" w:rsidRDefault="002552C1" w:rsidP="007322FF">
      <w:pPr>
        <w:spacing w:after="0" w:line="480" w:lineRule="auto"/>
        <w:ind w:firstLine="720"/>
        <w:rPr>
          <w:rFonts w:ascii="Times New Roman" w:hAnsi="Times New Roman" w:cs="Times New Roman"/>
          <w:sz w:val="24"/>
          <w:szCs w:val="24"/>
        </w:rPr>
      </w:pPr>
      <w:r w:rsidRPr="00F53C5B">
        <w:rPr>
          <w:rFonts w:ascii="Times New Roman" w:hAnsi="Times New Roman" w:cs="Times New Roman"/>
          <w:sz w:val="24"/>
          <w:szCs w:val="24"/>
        </w:rPr>
        <w:lastRenderedPageBreak/>
        <w:t>Within each of the</w:t>
      </w:r>
      <w:r w:rsidR="00A41CCB">
        <w:rPr>
          <w:rFonts w:ascii="Times New Roman" w:hAnsi="Times New Roman" w:cs="Times New Roman"/>
          <w:sz w:val="24"/>
          <w:szCs w:val="24"/>
        </w:rPr>
        <w:t>se</w:t>
      </w:r>
      <w:r w:rsidRPr="00F53C5B">
        <w:rPr>
          <w:rFonts w:ascii="Times New Roman" w:hAnsi="Times New Roman" w:cs="Times New Roman"/>
          <w:sz w:val="24"/>
          <w:szCs w:val="24"/>
        </w:rPr>
        <w:t xml:space="preserve"> rights, the Victim Law database further </w:t>
      </w:r>
      <w:r w:rsidR="00E304B4">
        <w:rPr>
          <w:rFonts w:ascii="Times New Roman" w:hAnsi="Times New Roman" w:cs="Times New Roman"/>
          <w:sz w:val="24"/>
          <w:szCs w:val="24"/>
        </w:rPr>
        <w:t xml:space="preserve">sub-categorizes each </w:t>
      </w:r>
      <w:r w:rsidR="00A41CCB">
        <w:rPr>
          <w:rFonts w:ascii="Times New Roman" w:hAnsi="Times New Roman" w:cs="Times New Roman"/>
          <w:sz w:val="24"/>
          <w:szCs w:val="24"/>
        </w:rPr>
        <w:t>provision</w:t>
      </w:r>
      <w:r w:rsidR="003E2EB5">
        <w:rPr>
          <w:rFonts w:ascii="Times New Roman" w:hAnsi="Times New Roman" w:cs="Times New Roman"/>
          <w:sz w:val="24"/>
          <w:szCs w:val="24"/>
        </w:rPr>
        <w:t xml:space="preserve"> (See Table 1). </w:t>
      </w:r>
      <w:r w:rsidR="00A41CCB">
        <w:rPr>
          <w:rFonts w:ascii="Times New Roman" w:hAnsi="Times New Roman" w:cs="Times New Roman"/>
          <w:sz w:val="24"/>
          <w:szCs w:val="24"/>
        </w:rPr>
        <w:t xml:space="preserve"> For example, the right to be informed is further differentiated into the subcategories of “notice of information”</w:t>
      </w:r>
      <w:r w:rsidR="002D3615">
        <w:rPr>
          <w:rFonts w:ascii="Times New Roman" w:hAnsi="Times New Roman" w:cs="Times New Roman"/>
          <w:sz w:val="24"/>
          <w:szCs w:val="24"/>
        </w:rPr>
        <w:t xml:space="preserve"> (such as</w:t>
      </w:r>
      <w:r w:rsidR="00A41CCB">
        <w:rPr>
          <w:rFonts w:ascii="Times New Roman" w:hAnsi="Times New Roman" w:cs="Times New Roman"/>
          <w:sz w:val="24"/>
          <w:szCs w:val="24"/>
        </w:rPr>
        <w:t xml:space="preserve"> in regard to the criminal justice process, the status of the defendant, as well as rights and benefits available to the victim</w:t>
      </w:r>
      <w:r w:rsidR="002D3615">
        <w:rPr>
          <w:rFonts w:ascii="Times New Roman" w:hAnsi="Times New Roman" w:cs="Times New Roman"/>
          <w:sz w:val="24"/>
          <w:szCs w:val="24"/>
        </w:rPr>
        <w:t>); “review or obtain information” (such as in regard to requesting contact or additional information); and “victim notification systems” (such as referencing the mechanism by which victims receive information).</w:t>
      </w:r>
    </w:p>
    <w:p w:rsidR="003E2EB5" w:rsidRDefault="003E2EB5" w:rsidP="007322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E2EB5" w:rsidRDefault="003E2EB5" w:rsidP="007322FF">
      <w:pPr>
        <w:spacing w:after="0" w:line="240" w:lineRule="auto"/>
        <w:rPr>
          <w:rFonts w:ascii="Times New Roman" w:hAnsi="Times New Roman" w:cs="Times New Roman"/>
          <w:sz w:val="24"/>
          <w:szCs w:val="24"/>
        </w:rPr>
      </w:pPr>
      <w:r w:rsidRPr="00F53C5B">
        <w:rPr>
          <w:rFonts w:ascii="Times New Roman" w:hAnsi="Times New Roman" w:cs="Times New Roman"/>
          <w:sz w:val="24"/>
          <w:szCs w:val="24"/>
        </w:rPr>
        <w:t xml:space="preserve"> </w:t>
      </w:r>
      <w:r>
        <w:rPr>
          <w:rFonts w:ascii="Times New Roman" w:hAnsi="Times New Roman" w:cs="Times New Roman"/>
          <w:sz w:val="24"/>
          <w:szCs w:val="24"/>
        </w:rPr>
        <w:t>Table 1. Categories and Sub-categories of Three Victims’ Rights</w:t>
      </w:r>
    </w:p>
    <w:p w:rsidR="001414B9" w:rsidRPr="00F53C5B" w:rsidRDefault="001414B9" w:rsidP="007322FF">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3E2EB5" w:rsidTr="001414B9">
        <w:tc>
          <w:tcPr>
            <w:tcW w:w="3116" w:type="dxa"/>
            <w:shd w:val="clear" w:color="auto" w:fill="D9D9D9" w:themeFill="background1" w:themeFillShade="D9"/>
          </w:tcPr>
          <w:p w:rsidR="003E2EB5" w:rsidRPr="00AF5211" w:rsidRDefault="003E2EB5" w:rsidP="007322FF">
            <w:pPr>
              <w:rPr>
                <w:rFonts w:ascii="Times New Roman" w:hAnsi="Times New Roman" w:cs="Times New Roman"/>
                <w:b/>
                <w:sz w:val="24"/>
                <w:szCs w:val="24"/>
              </w:rPr>
            </w:pPr>
            <w:r w:rsidRPr="00AF5211">
              <w:rPr>
                <w:rFonts w:ascii="Times New Roman" w:hAnsi="Times New Roman" w:cs="Times New Roman"/>
                <w:b/>
                <w:sz w:val="24"/>
                <w:szCs w:val="24"/>
              </w:rPr>
              <w:t>Right to Attend</w:t>
            </w:r>
          </w:p>
        </w:tc>
        <w:tc>
          <w:tcPr>
            <w:tcW w:w="3117" w:type="dxa"/>
            <w:shd w:val="clear" w:color="auto" w:fill="D9D9D9" w:themeFill="background1" w:themeFillShade="D9"/>
          </w:tcPr>
          <w:p w:rsidR="003E2EB5" w:rsidRPr="00AF5211" w:rsidRDefault="003E2EB5" w:rsidP="007322FF">
            <w:pPr>
              <w:rPr>
                <w:rFonts w:ascii="Times New Roman" w:hAnsi="Times New Roman" w:cs="Times New Roman"/>
                <w:b/>
                <w:sz w:val="24"/>
                <w:szCs w:val="24"/>
              </w:rPr>
            </w:pPr>
            <w:r w:rsidRPr="00AF5211">
              <w:rPr>
                <w:rFonts w:ascii="Times New Roman" w:hAnsi="Times New Roman" w:cs="Times New Roman"/>
                <w:b/>
                <w:sz w:val="24"/>
                <w:szCs w:val="24"/>
              </w:rPr>
              <w:t>Right to be Informed</w:t>
            </w:r>
          </w:p>
        </w:tc>
        <w:tc>
          <w:tcPr>
            <w:tcW w:w="3117" w:type="dxa"/>
            <w:shd w:val="clear" w:color="auto" w:fill="D9D9D9" w:themeFill="background1" w:themeFillShade="D9"/>
          </w:tcPr>
          <w:p w:rsidR="003E2EB5" w:rsidRPr="00AF5211" w:rsidRDefault="003E2EB5" w:rsidP="007322FF">
            <w:pPr>
              <w:rPr>
                <w:rFonts w:ascii="Times New Roman" w:hAnsi="Times New Roman" w:cs="Times New Roman"/>
                <w:b/>
                <w:sz w:val="24"/>
                <w:szCs w:val="24"/>
              </w:rPr>
            </w:pPr>
            <w:r w:rsidRPr="00AF5211">
              <w:rPr>
                <w:rFonts w:ascii="Times New Roman" w:hAnsi="Times New Roman" w:cs="Times New Roman"/>
                <w:b/>
                <w:sz w:val="24"/>
                <w:szCs w:val="24"/>
              </w:rPr>
              <w:t>Right to be Heard</w:t>
            </w:r>
          </w:p>
        </w:tc>
      </w:tr>
      <w:tr w:rsidR="003E2EB5" w:rsidTr="009D33F3">
        <w:tc>
          <w:tcPr>
            <w:tcW w:w="3116" w:type="dxa"/>
          </w:tcPr>
          <w:p w:rsidR="003E2EB5" w:rsidRDefault="003E2EB5" w:rsidP="007322FF">
            <w:pPr>
              <w:rPr>
                <w:rFonts w:ascii="Times New Roman" w:hAnsi="Times New Roman" w:cs="Times New Roman"/>
                <w:sz w:val="24"/>
                <w:szCs w:val="24"/>
              </w:rPr>
            </w:pPr>
            <w:r>
              <w:rPr>
                <w:rFonts w:ascii="Times New Roman" w:hAnsi="Times New Roman" w:cs="Times New Roman"/>
                <w:sz w:val="24"/>
                <w:szCs w:val="24"/>
              </w:rPr>
              <w:t>Proceedings</w:t>
            </w:r>
          </w:p>
        </w:tc>
        <w:tc>
          <w:tcPr>
            <w:tcW w:w="3117" w:type="dxa"/>
          </w:tcPr>
          <w:p w:rsidR="003E2EB5" w:rsidRDefault="003E2EB5" w:rsidP="007322FF">
            <w:pPr>
              <w:rPr>
                <w:rFonts w:ascii="Times New Roman" w:hAnsi="Times New Roman" w:cs="Times New Roman"/>
                <w:sz w:val="24"/>
                <w:szCs w:val="24"/>
              </w:rPr>
            </w:pPr>
            <w:r>
              <w:rPr>
                <w:rFonts w:ascii="Times New Roman" w:hAnsi="Times New Roman" w:cs="Times New Roman"/>
                <w:sz w:val="24"/>
                <w:szCs w:val="24"/>
              </w:rPr>
              <w:t>Notice of information</w:t>
            </w:r>
          </w:p>
        </w:tc>
        <w:tc>
          <w:tcPr>
            <w:tcW w:w="3117" w:type="dxa"/>
          </w:tcPr>
          <w:p w:rsidR="003E2EB5" w:rsidRDefault="003E2EB5" w:rsidP="007322FF">
            <w:pPr>
              <w:rPr>
                <w:rFonts w:ascii="Times New Roman" w:hAnsi="Times New Roman" w:cs="Times New Roman"/>
                <w:sz w:val="24"/>
                <w:szCs w:val="24"/>
              </w:rPr>
            </w:pPr>
            <w:r>
              <w:rPr>
                <w:rFonts w:ascii="Times New Roman" w:hAnsi="Times New Roman" w:cs="Times New Roman"/>
                <w:sz w:val="24"/>
                <w:szCs w:val="24"/>
              </w:rPr>
              <w:t>Confer with prosecutor</w:t>
            </w:r>
          </w:p>
        </w:tc>
      </w:tr>
      <w:tr w:rsidR="003E2EB5" w:rsidTr="009D33F3">
        <w:tc>
          <w:tcPr>
            <w:tcW w:w="3116" w:type="dxa"/>
          </w:tcPr>
          <w:p w:rsidR="003E2EB5" w:rsidRDefault="003E2EB5" w:rsidP="007322FF">
            <w:pPr>
              <w:rPr>
                <w:rFonts w:ascii="Times New Roman" w:hAnsi="Times New Roman" w:cs="Times New Roman"/>
                <w:sz w:val="24"/>
                <w:szCs w:val="24"/>
              </w:rPr>
            </w:pPr>
            <w:r>
              <w:rPr>
                <w:rFonts w:ascii="Times New Roman" w:hAnsi="Times New Roman" w:cs="Times New Roman"/>
                <w:sz w:val="24"/>
                <w:szCs w:val="24"/>
              </w:rPr>
              <w:t>Victim cannot be excluded as witness</w:t>
            </w:r>
          </w:p>
        </w:tc>
        <w:tc>
          <w:tcPr>
            <w:tcW w:w="3117" w:type="dxa"/>
          </w:tcPr>
          <w:p w:rsidR="003E2EB5" w:rsidRDefault="003E2EB5" w:rsidP="007322FF">
            <w:pPr>
              <w:rPr>
                <w:rFonts w:ascii="Times New Roman" w:hAnsi="Times New Roman" w:cs="Times New Roman"/>
                <w:sz w:val="24"/>
                <w:szCs w:val="24"/>
              </w:rPr>
            </w:pPr>
            <w:r>
              <w:rPr>
                <w:rFonts w:ascii="Times New Roman" w:hAnsi="Times New Roman" w:cs="Times New Roman"/>
                <w:sz w:val="24"/>
                <w:szCs w:val="24"/>
              </w:rPr>
              <w:t>Review or obtain information</w:t>
            </w:r>
          </w:p>
        </w:tc>
        <w:tc>
          <w:tcPr>
            <w:tcW w:w="3117" w:type="dxa"/>
          </w:tcPr>
          <w:p w:rsidR="003E2EB5" w:rsidRDefault="003E2EB5" w:rsidP="007322FF">
            <w:pPr>
              <w:rPr>
                <w:rFonts w:ascii="Times New Roman" w:hAnsi="Times New Roman" w:cs="Times New Roman"/>
                <w:sz w:val="24"/>
                <w:szCs w:val="24"/>
              </w:rPr>
            </w:pPr>
            <w:r>
              <w:rPr>
                <w:rFonts w:ascii="Times New Roman" w:hAnsi="Times New Roman" w:cs="Times New Roman"/>
                <w:sz w:val="24"/>
                <w:szCs w:val="24"/>
              </w:rPr>
              <w:t>Communicate with court or other</w:t>
            </w:r>
          </w:p>
        </w:tc>
      </w:tr>
      <w:tr w:rsidR="003E2EB5" w:rsidTr="009D33F3">
        <w:tc>
          <w:tcPr>
            <w:tcW w:w="3116" w:type="dxa"/>
          </w:tcPr>
          <w:p w:rsidR="003E2EB5" w:rsidRDefault="003E2EB5" w:rsidP="007322FF">
            <w:pPr>
              <w:rPr>
                <w:rFonts w:ascii="Times New Roman" w:hAnsi="Times New Roman" w:cs="Times New Roman"/>
                <w:sz w:val="24"/>
                <w:szCs w:val="24"/>
              </w:rPr>
            </w:pPr>
            <w:r>
              <w:rPr>
                <w:rFonts w:ascii="Times New Roman" w:hAnsi="Times New Roman" w:cs="Times New Roman"/>
                <w:sz w:val="24"/>
                <w:szCs w:val="24"/>
              </w:rPr>
              <w:t>Presence of support</w:t>
            </w:r>
          </w:p>
        </w:tc>
        <w:tc>
          <w:tcPr>
            <w:tcW w:w="3117" w:type="dxa"/>
          </w:tcPr>
          <w:p w:rsidR="003E2EB5" w:rsidRDefault="003E2EB5" w:rsidP="007322FF">
            <w:pPr>
              <w:rPr>
                <w:rFonts w:ascii="Times New Roman" w:hAnsi="Times New Roman" w:cs="Times New Roman"/>
                <w:sz w:val="24"/>
                <w:szCs w:val="24"/>
              </w:rPr>
            </w:pPr>
            <w:r>
              <w:rPr>
                <w:rFonts w:ascii="Times New Roman" w:hAnsi="Times New Roman" w:cs="Times New Roman"/>
                <w:sz w:val="24"/>
                <w:szCs w:val="24"/>
              </w:rPr>
              <w:t>Victim notification systems</w:t>
            </w:r>
          </w:p>
        </w:tc>
        <w:tc>
          <w:tcPr>
            <w:tcW w:w="3117" w:type="dxa"/>
          </w:tcPr>
          <w:p w:rsidR="003E2EB5" w:rsidRDefault="003E2EB5" w:rsidP="007322FF">
            <w:pPr>
              <w:rPr>
                <w:rFonts w:ascii="Times New Roman" w:hAnsi="Times New Roman" w:cs="Times New Roman"/>
                <w:sz w:val="24"/>
                <w:szCs w:val="24"/>
              </w:rPr>
            </w:pPr>
            <w:r>
              <w:rPr>
                <w:rFonts w:ascii="Times New Roman" w:hAnsi="Times New Roman" w:cs="Times New Roman"/>
                <w:sz w:val="24"/>
                <w:szCs w:val="24"/>
              </w:rPr>
              <w:t>Communicate with defendant</w:t>
            </w:r>
          </w:p>
        </w:tc>
      </w:tr>
      <w:tr w:rsidR="003E2EB5" w:rsidTr="009D33F3">
        <w:tc>
          <w:tcPr>
            <w:tcW w:w="3116" w:type="dxa"/>
          </w:tcPr>
          <w:p w:rsidR="003E2EB5" w:rsidRDefault="003E2EB5" w:rsidP="007322FF">
            <w:pPr>
              <w:rPr>
                <w:rFonts w:ascii="Times New Roman" w:hAnsi="Times New Roman" w:cs="Times New Roman"/>
                <w:sz w:val="24"/>
                <w:szCs w:val="24"/>
              </w:rPr>
            </w:pPr>
            <w:r>
              <w:rPr>
                <w:rFonts w:ascii="Times New Roman" w:hAnsi="Times New Roman" w:cs="Times New Roman"/>
                <w:sz w:val="24"/>
                <w:szCs w:val="24"/>
              </w:rPr>
              <w:t>Employment protections</w:t>
            </w:r>
          </w:p>
        </w:tc>
        <w:tc>
          <w:tcPr>
            <w:tcW w:w="3117" w:type="dxa"/>
          </w:tcPr>
          <w:p w:rsidR="003E2EB5" w:rsidRDefault="003E2EB5" w:rsidP="007322FF">
            <w:pPr>
              <w:rPr>
                <w:rFonts w:ascii="Times New Roman" w:hAnsi="Times New Roman" w:cs="Times New Roman"/>
                <w:sz w:val="24"/>
                <w:szCs w:val="24"/>
              </w:rPr>
            </w:pPr>
          </w:p>
        </w:tc>
        <w:tc>
          <w:tcPr>
            <w:tcW w:w="3117" w:type="dxa"/>
          </w:tcPr>
          <w:p w:rsidR="003E2EB5" w:rsidRDefault="003E2EB5" w:rsidP="007322FF">
            <w:pPr>
              <w:rPr>
                <w:rFonts w:ascii="Times New Roman" w:hAnsi="Times New Roman" w:cs="Times New Roman"/>
                <w:sz w:val="24"/>
                <w:szCs w:val="24"/>
              </w:rPr>
            </w:pPr>
          </w:p>
        </w:tc>
      </w:tr>
    </w:tbl>
    <w:p w:rsidR="003E2EB5" w:rsidRPr="00393984" w:rsidRDefault="003E2EB5" w:rsidP="007322FF">
      <w:pPr>
        <w:spacing w:line="240" w:lineRule="auto"/>
        <w:rPr>
          <w:rFonts w:ascii="Times New Roman" w:hAnsi="Times New Roman" w:cs="Times New Roman"/>
          <w:sz w:val="20"/>
          <w:szCs w:val="20"/>
        </w:rPr>
      </w:pPr>
      <w:r>
        <w:rPr>
          <w:rFonts w:ascii="Times New Roman" w:hAnsi="Times New Roman" w:cs="Times New Roman"/>
          <w:sz w:val="20"/>
          <w:szCs w:val="20"/>
        </w:rPr>
        <w:t>(</w:t>
      </w:r>
      <w:r w:rsidRPr="00393984">
        <w:rPr>
          <w:rFonts w:ascii="Times New Roman" w:hAnsi="Times New Roman" w:cs="Times New Roman"/>
          <w:sz w:val="20"/>
          <w:szCs w:val="20"/>
        </w:rPr>
        <w:t>Victim Law database)</w:t>
      </w:r>
    </w:p>
    <w:p w:rsidR="003E2EB5" w:rsidRDefault="003E2EB5" w:rsidP="007322FF">
      <w:pPr>
        <w:spacing w:after="0" w:line="240" w:lineRule="auto"/>
        <w:ind w:firstLine="720"/>
        <w:rPr>
          <w:rFonts w:ascii="Times New Roman" w:hAnsi="Times New Roman" w:cs="Times New Roman"/>
          <w:sz w:val="24"/>
          <w:szCs w:val="24"/>
        </w:rPr>
      </w:pPr>
    </w:p>
    <w:p w:rsidR="002D3615" w:rsidRDefault="002D3615" w:rsidP="007322F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number of these subcategories had further subdivisions.  </w:t>
      </w:r>
      <w:r w:rsidR="00A41CCB" w:rsidRPr="00F53C5B">
        <w:rPr>
          <w:rFonts w:ascii="Times New Roman" w:hAnsi="Times New Roman" w:cs="Times New Roman"/>
          <w:sz w:val="24"/>
          <w:szCs w:val="24"/>
        </w:rPr>
        <w:t>For example, within the right to be heard, the subcategory “communications wi</w:t>
      </w:r>
      <w:r>
        <w:rPr>
          <w:rFonts w:ascii="Times New Roman" w:hAnsi="Times New Roman" w:cs="Times New Roman"/>
          <w:sz w:val="24"/>
          <w:szCs w:val="24"/>
        </w:rPr>
        <w:t>th court of other authority</w:t>
      </w:r>
      <w:r w:rsidR="00A41CCB" w:rsidRPr="00F53C5B">
        <w:rPr>
          <w:rFonts w:ascii="Times New Roman" w:hAnsi="Times New Roman" w:cs="Times New Roman"/>
          <w:sz w:val="24"/>
          <w:szCs w:val="24"/>
        </w:rPr>
        <w:t>,</w:t>
      </w:r>
      <w:r>
        <w:rPr>
          <w:rFonts w:ascii="Times New Roman" w:hAnsi="Times New Roman" w:cs="Times New Roman"/>
          <w:sz w:val="24"/>
          <w:szCs w:val="24"/>
        </w:rPr>
        <w:t>”</w:t>
      </w:r>
      <w:r w:rsidR="00A41CCB" w:rsidRPr="00F53C5B">
        <w:rPr>
          <w:rFonts w:ascii="Times New Roman" w:hAnsi="Times New Roman" w:cs="Times New Roman"/>
          <w:sz w:val="24"/>
          <w:szCs w:val="24"/>
        </w:rPr>
        <w:t xml:space="preserve"> included further subdivisions of “impact of crime on victim,”</w:t>
      </w:r>
      <w:r>
        <w:rPr>
          <w:rFonts w:ascii="Times New Roman" w:hAnsi="Times New Roman" w:cs="Times New Roman"/>
          <w:sz w:val="24"/>
          <w:szCs w:val="24"/>
        </w:rPr>
        <w:t xml:space="preserve"> “victim opinion,” or “other.”  However, the present study did </w:t>
      </w:r>
      <w:r w:rsidR="003B12F0">
        <w:rPr>
          <w:rFonts w:ascii="Times New Roman" w:hAnsi="Times New Roman" w:cs="Times New Roman"/>
          <w:sz w:val="24"/>
          <w:szCs w:val="24"/>
        </w:rPr>
        <w:t>not differentiate by</w:t>
      </w:r>
      <w:r>
        <w:rPr>
          <w:rFonts w:ascii="Times New Roman" w:hAnsi="Times New Roman" w:cs="Times New Roman"/>
          <w:sz w:val="24"/>
          <w:szCs w:val="24"/>
        </w:rPr>
        <w:t xml:space="preserve"> these additional divisions, but rather, searches were conducted by topic (such as “right to attend”) and then individual categories within each of these rights (such as “communications with court or other authority”).</w:t>
      </w:r>
    </w:p>
    <w:p w:rsidR="00A41CCB" w:rsidRDefault="003B12F0" w:rsidP="007322F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Once </w:t>
      </w:r>
      <w:r w:rsidR="00186327">
        <w:rPr>
          <w:rFonts w:ascii="Times New Roman" w:hAnsi="Times New Roman" w:cs="Times New Roman"/>
          <w:sz w:val="24"/>
          <w:szCs w:val="24"/>
        </w:rPr>
        <w:t xml:space="preserve">the </w:t>
      </w:r>
      <w:r>
        <w:rPr>
          <w:rFonts w:ascii="Times New Roman" w:hAnsi="Times New Roman" w:cs="Times New Roman"/>
          <w:sz w:val="24"/>
          <w:szCs w:val="24"/>
        </w:rPr>
        <w:t>topic and categories were selected, t</w:t>
      </w:r>
      <w:r w:rsidR="00A41CCB" w:rsidRPr="00F53C5B">
        <w:rPr>
          <w:rFonts w:ascii="Times New Roman" w:hAnsi="Times New Roman" w:cs="Times New Roman"/>
          <w:sz w:val="24"/>
          <w:szCs w:val="24"/>
        </w:rPr>
        <w:t xml:space="preserve">he next search filter within the database was used to narrow the results by state.  This study proceeded through the states in alphabetical order.  </w:t>
      </w:r>
      <w:r>
        <w:rPr>
          <w:rFonts w:ascii="Times New Roman" w:hAnsi="Times New Roman" w:cs="Times New Roman"/>
          <w:sz w:val="24"/>
          <w:szCs w:val="24"/>
        </w:rPr>
        <w:t>Following the selection of the individual state, th</w:t>
      </w:r>
      <w:r w:rsidR="00A41CCB" w:rsidRPr="00F53C5B">
        <w:rPr>
          <w:rFonts w:ascii="Times New Roman" w:hAnsi="Times New Roman" w:cs="Times New Roman"/>
          <w:sz w:val="24"/>
          <w:szCs w:val="24"/>
        </w:rPr>
        <w:t>e subsequent search filter</w:t>
      </w:r>
      <w:r>
        <w:rPr>
          <w:rFonts w:ascii="Times New Roman" w:hAnsi="Times New Roman" w:cs="Times New Roman"/>
          <w:sz w:val="24"/>
          <w:szCs w:val="24"/>
        </w:rPr>
        <w:t xml:space="preserve"> differentiated between t</w:t>
      </w:r>
      <w:r w:rsidR="00A41CCB" w:rsidRPr="00F53C5B">
        <w:rPr>
          <w:rFonts w:ascii="Times New Roman" w:hAnsi="Times New Roman" w:cs="Times New Roman"/>
          <w:sz w:val="24"/>
          <w:szCs w:val="24"/>
        </w:rPr>
        <w:t>he type</w:t>
      </w:r>
      <w:r>
        <w:rPr>
          <w:rFonts w:ascii="Times New Roman" w:hAnsi="Times New Roman" w:cs="Times New Roman"/>
          <w:sz w:val="24"/>
          <w:szCs w:val="24"/>
        </w:rPr>
        <w:t>s</w:t>
      </w:r>
      <w:r w:rsidR="00A41CCB" w:rsidRPr="00F53C5B">
        <w:rPr>
          <w:rFonts w:ascii="Times New Roman" w:hAnsi="Times New Roman" w:cs="Times New Roman"/>
          <w:sz w:val="24"/>
          <w:szCs w:val="24"/>
        </w:rPr>
        <w:t xml:space="preserve"> of documents to search.  This study searched within state constitutions, statutes, court rules, and administrative rules.  The comprehensive search was conducted to obtain additional information regarding variation between policies, but only results from the analysis of </w:t>
      </w:r>
      <w:r w:rsidR="00A41CCB" w:rsidRPr="00F53C5B">
        <w:rPr>
          <w:rFonts w:ascii="Times New Roman" w:hAnsi="Times New Roman" w:cs="Times New Roman"/>
          <w:sz w:val="24"/>
          <w:szCs w:val="24"/>
        </w:rPr>
        <w:lastRenderedPageBreak/>
        <w:t xml:space="preserve">constitutional amendments are reported in the present study.  </w:t>
      </w:r>
      <w:r>
        <w:rPr>
          <w:rFonts w:ascii="Times New Roman" w:hAnsi="Times New Roman" w:cs="Times New Roman"/>
          <w:sz w:val="24"/>
          <w:szCs w:val="24"/>
        </w:rPr>
        <w:t>After the types of documents were selected, t</w:t>
      </w:r>
      <w:r w:rsidR="00A41CCB" w:rsidRPr="00F53C5B">
        <w:rPr>
          <w:rFonts w:ascii="Times New Roman" w:hAnsi="Times New Roman" w:cs="Times New Roman"/>
          <w:sz w:val="24"/>
          <w:szCs w:val="24"/>
        </w:rPr>
        <w:t xml:space="preserve">he final search filter involved the type of victim.  The database allows users to narrow the results by type of victim such as by characteristic of the victim, crime, or offender.  For example, characteristic of victims could include being a child, elderly person, or person with a disability.  Characteristic of crime could include domestic violence, financial/property crime, human trafficking, sexual assault or stalking.  Characteristic of offender could include juvenile offender or offender with mental illness.  However, for the purpose of this study, the category “general” was selected, which means it did not cover those laws which applied to only special groups of victims.  </w:t>
      </w:r>
    </w:p>
    <w:p w:rsidR="003B12F0" w:rsidRDefault="007512BC" w:rsidP="005864EE">
      <w:pPr>
        <w:spacing w:line="480" w:lineRule="auto"/>
        <w:ind w:firstLine="720"/>
        <w:rPr>
          <w:rFonts w:ascii="Times New Roman" w:hAnsi="Times New Roman" w:cs="Times New Roman"/>
          <w:sz w:val="24"/>
          <w:szCs w:val="24"/>
        </w:rPr>
      </w:pPr>
      <w:r w:rsidRPr="00F53C5B">
        <w:rPr>
          <w:rFonts w:ascii="Times New Roman" w:hAnsi="Times New Roman" w:cs="Times New Roman"/>
          <w:sz w:val="24"/>
          <w:szCs w:val="24"/>
        </w:rPr>
        <w:t>A</w:t>
      </w:r>
      <w:r w:rsidR="00696FD1" w:rsidRPr="00F53C5B">
        <w:rPr>
          <w:rFonts w:ascii="Times New Roman" w:hAnsi="Times New Roman" w:cs="Times New Roman"/>
          <w:sz w:val="24"/>
          <w:szCs w:val="24"/>
        </w:rPr>
        <w:t xml:space="preserve"> content analysis was performed using</w:t>
      </w:r>
      <w:r w:rsidRPr="00F53C5B">
        <w:rPr>
          <w:rFonts w:ascii="Times New Roman" w:hAnsi="Times New Roman" w:cs="Times New Roman"/>
          <w:sz w:val="24"/>
          <w:szCs w:val="24"/>
        </w:rPr>
        <w:t xml:space="preserve"> a coding sheet for each state</w:t>
      </w:r>
      <w:r w:rsidR="005864EE">
        <w:rPr>
          <w:rFonts w:ascii="Times New Roman" w:hAnsi="Times New Roman" w:cs="Times New Roman"/>
          <w:sz w:val="24"/>
          <w:szCs w:val="24"/>
        </w:rPr>
        <w:t xml:space="preserve"> </w:t>
      </w:r>
      <w:r w:rsidRPr="00F53C5B">
        <w:rPr>
          <w:rFonts w:ascii="Times New Roman" w:hAnsi="Times New Roman" w:cs="Times New Roman"/>
          <w:sz w:val="24"/>
          <w:szCs w:val="24"/>
        </w:rPr>
        <w:t>(See Appendix</w:t>
      </w:r>
      <w:r w:rsidR="003E2EB5">
        <w:rPr>
          <w:rFonts w:ascii="Times New Roman" w:hAnsi="Times New Roman" w:cs="Times New Roman"/>
          <w:sz w:val="24"/>
          <w:szCs w:val="24"/>
        </w:rPr>
        <w:t xml:space="preserve"> A</w:t>
      </w:r>
      <w:r w:rsidR="00186327">
        <w:rPr>
          <w:rFonts w:ascii="Times New Roman" w:hAnsi="Times New Roman" w:cs="Times New Roman"/>
          <w:sz w:val="24"/>
          <w:szCs w:val="24"/>
        </w:rPr>
        <w:t xml:space="preserve"> for coding sheet example</w:t>
      </w:r>
      <w:r w:rsidRPr="00F53C5B">
        <w:rPr>
          <w:rFonts w:ascii="Times New Roman" w:hAnsi="Times New Roman" w:cs="Times New Roman"/>
          <w:sz w:val="24"/>
          <w:szCs w:val="24"/>
        </w:rPr>
        <w:t>).</w:t>
      </w:r>
      <w:r w:rsidR="00696FD1" w:rsidRPr="00F53C5B">
        <w:rPr>
          <w:rFonts w:ascii="Times New Roman" w:hAnsi="Times New Roman" w:cs="Times New Roman"/>
          <w:sz w:val="24"/>
          <w:szCs w:val="24"/>
        </w:rPr>
        <w:t xml:space="preserve"> </w:t>
      </w:r>
      <w:r w:rsidR="00FF7FBE" w:rsidRPr="00F53C5B">
        <w:rPr>
          <w:rFonts w:ascii="Times New Roman" w:hAnsi="Times New Roman" w:cs="Times New Roman"/>
          <w:sz w:val="24"/>
          <w:szCs w:val="24"/>
        </w:rPr>
        <w:t xml:space="preserve"> For each state’s constitution, the </w:t>
      </w:r>
      <w:r w:rsidR="007C6367" w:rsidRPr="00F53C5B">
        <w:rPr>
          <w:rFonts w:ascii="Times New Roman" w:hAnsi="Times New Roman" w:cs="Times New Roman"/>
          <w:sz w:val="24"/>
          <w:szCs w:val="24"/>
        </w:rPr>
        <w:t>y-axis</w:t>
      </w:r>
      <w:r w:rsidR="00FF7FBE" w:rsidRPr="00F53C5B">
        <w:rPr>
          <w:rFonts w:ascii="Times New Roman" w:hAnsi="Times New Roman" w:cs="Times New Roman"/>
          <w:sz w:val="24"/>
          <w:szCs w:val="24"/>
        </w:rPr>
        <w:t xml:space="preserve"> of the table</w:t>
      </w:r>
      <w:r w:rsidR="007C6367" w:rsidRPr="00F53C5B">
        <w:rPr>
          <w:rFonts w:ascii="Times New Roman" w:hAnsi="Times New Roman" w:cs="Times New Roman"/>
          <w:sz w:val="24"/>
          <w:szCs w:val="24"/>
        </w:rPr>
        <w:t xml:space="preserve"> listed</w:t>
      </w:r>
      <w:r w:rsidR="00696FD1" w:rsidRPr="00F53C5B">
        <w:rPr>
          <w:rFonts w:ascii="Times New Roman" w:hAnsi="Times New Roman" w:cs="Times New Roman"/>
          <w:sz w:val="24"/>
          <w:szCs w:val="24"/>
        </w:rPr>
        <w:t xml:space="preserve"> each ri</w:t>
      </w:r>
      <w:r w:rsidR="007C6367" w:rsidRPr="00F53C5B">
        <w:rPr>
          <w:rFonts w:ascii="Times New Roman" w:hAnsi="Times New Roman" w:cs="Times New Roman"/>
          <w:sz w:val="24"/>
          <w:szCs w:val="24"/>
        </w:rPr>
        <w:t>ght (such as right to attend)</w:t>
      </w:r>
      <w:r w:rsidR="00696FD1" w:rsidRPr="00F53C5B">
        <w:rPr>
          <w:rFonts w:ascii="Times New Roman" w:hAnsi="Times New Roman" w:cs="Times New Roman"/>
          <w:sz w:val="24"/>
          <w:szCs w:val="24"/>
        </w:rPr>
        <w:t xml:space="preserve"> with each respective sub</w:t>
      </w:r>
      <w:r w:rsidR="007C6367" w:rsidRPr="00F53C5B">
        <w:rPr>
          <w:rFonts w:ascii="Times New Roman" w:hAnsi="Times New Roman" w:cs="Times New Roman"/>
          <w:sz w:val="24"/>
          <w:szCs w:val="24"/>
        </w:rPr>
        <w:t>section</w:t>
      </w:r>
      <w:r w:rsidRPr="00F53C5B">
        <w:rPr>
          <w:rFonts w:ascii="Times New Roman" w:hAnsi="Times New Roman" w:cs="Times New Roman"/>
          <w:sz w:val="24"/>
          <w:szCs w:val="24"/>
        </w:rPr>
        <w:t xml:space="preserve"> (s</w:t>
      </w:r>
      <w:r w:rsidR="00696FD1" w:rsidRPr="00F53C5B">
        <w:rPr>
          <w:rFonts w:ascii="Times New Roman" w:hAnsi="Times New Roman" w:cs="Times New Roman"/>
          <w:sz w:val="24"/>
          <w:szCs w:val="24"/>
        </w:rPr>
        <w:t>uch as attend proceedings, witness exclusion, support p</w:t>
      </w:r>
      <w:r w:rsidRPr="00F53C5B">
        <w:rPr>
          <w:rFonts w:ascii="Times New Roman" w:hAnsi="Times New Roman" w:cs="Times New Roman"/>
          <w:sz w:val="24"/>
          <w:szCs w:val="24"/>
        </w:rPr>
        <w:t xml:space="preserve">erson, and employer protections).  The content analysis involved a </w:t>
      </w:r>
      <w:r w:rsidR="007C6367" w:rsidRPr="00F53C5B">
        <w:rPr>
          <w:rFonts w:ascii="Times New Roman" w:hAnsi="Times New Roman" w:cs="Times New Roman"/>
          <w:sz w:val="24"/>
          <w:szCs w:val="24"/>
        </w:rPr>
        <w:t>search of each of these subsections.  When the database returned search items, the items were manually reviewed to confirm relevance.  Returns that indicated a state possessed that particular provision were marked in th</w:t>
      </w:r>
      <w:r w:rsidR="00582777" w:rsidRPr="00F53C5B">
        <w:rPr>
          <w:rFonts w:ascii="Times New Roman" w:hAnsi="Times New Roman" w:cs="Times New Roman"/>
          <w:sz w:val="24"/>
          <w:szCs w:val="24"/>
        </w:rPr>
        <w:t xml:space="preserve">e coding sheet as a check mark and assigned a value of 1.  </w:t>
      </w:r>
    </w:p>
    <w:p w:rsidR="004A1D23" w:rsidRDefault="007512BC" w:rsidP="007266C6">
      <w:pPr>
        <w:spacing w:after="0" w:line="480" w:lineRule="auto"/>
        <w:ind w:firstLine="720"/>
        <w:rPr>
          <w:rFonts w:ascii="Times New Roman" w:hAnsi="Times New Roman" w:cs="Times New Roman"/>
          <w:sz w:val="24"/>
          <w:szCs w:val="24"/>
        </w:rPr>
      </w:pPr>
      <w:r w:rsidRPr="00F53C5B">
        <w:rPr>
          <w:rFonts w:ascii="Times New Roman" w:hAnsi="Times New Roman" w:cs="Times New Roman"/>
          <w:sz w:val="24"/>
          <w:szCs w:val="24"/>
        </w:rPr>
        <w:t>After t</w:t>
      </w:r>
      <w:r w:rsidR="00582777" w:rsidRPr="00F53C5B">
        <w:rPr>
          <w:rFonts w:ascii="Times New Roman" w:hAnsi="Times New Roman" w:cs="Times New Roman"/>
          <w:sz w:val="24"/>
          <w:szCs w:val="24"/>
        </w:rPr>
        <w:t>allying the points for each right</w:t>
      </w:r>
      <w:r w:rsidR="004A1D23">
        <w:rPr>
          <w:rFonts w:ascii="Times New Roman" w:hAnsi="Times New Roman" w:cs="Times New Roman"/>
          <w:sz w:val="24"/>
          <w:szCs w:val="24"/>
        </w:rPr>
        <w:t>’s provisions</w:t>
      </w:r>
      <w:r w:rsidRPr="00F53C5B">
        <w:rPr>
          <w:rFonts w:ascii="Times New Roman" w:hAnsi="Times New Roman" w:cs="Times New Roman"/>
          <w:sz w:val="24"/>
          <w:szCs w:val="24"/>
        </w:rPr>
        <w:t xml:space="preserve">, each </w:t>
      </w:r>
      <w:r w:rsidR="004A1D23">
        <w:rPr>
          <w:rFonts w:ascii="Times New Roman" w:hAnsi="Times New Roman" w:cs="Times New Roman"/>
          <w:sz w:val="24"/>
          <w:szCs w:val="24"/>
        </w:rPr>
        <w:t xml:space="preserve">category of </w:t>
      </w:r>
      <w:r w:rsidRPr="00F53C5B">
        <w:rPr>
          <w:rFonts w:ascii="Times New Roman" w:hAnsi="Times New Roman" w:cs="Times New Roman"/>
          <w:sz w:val="24"/>
          <w:szCs w:val="24"/>
        </w:rPr>
        <w:t>right was given a</w:t>
      </w:r>
      <w:r w:rsidR="004A1D23">
        <w:rPr>
          <w:rFonts w:ascii="Times New Roman" w:hAnsi="Times New Roman" w:cs="Times New Roman"/>
          <w:sz w:val="24"/>
          <w:szCs w:val="24"/>
        </w:rPr>
        <w:t>n individual</w:t>
      </w:r>
      <w:r w:rsidRPr="00F53C5B">
        <w:rPr>
          <w:rFonts w:ascii="Times New Roman" w:hAnsi="Times New Roman" w:cs="Times New Roman"/>
          <w:sz w:val="24"/>
          <w:szCs w:val="24"/>
        </w:rPr>
        <w:t xml:space="preserve"> score</w:t>
      </w:r>
      <w:r w:rsidR="007266C6">
        <w:rPr>
          <w:rFonts w:ascii="Times New Roman" w:hAnsi="Times New Roman" w:cs="Times New Roman"/>
          <w:sz w:val="24"/>
          <w:szCs w:val="24"/>
        </w:rPr>
        <w:t xml:space="preserve"> representing its strength</w:t>
      </w:r>
      <w:r w:rsidRPr="00F53C5B">
        <w:rPr>
          <w:rFonts w:ascii="Times New Roman" w:hAnsi="Times New Roman" w:cs="Times New Roman"/>
          <w:sz w:val="24"/>
          <w:szCs w:val="24"/>
        </w:rPr>
        <w:t>.</w:t>
      </w:r>
      <w:r w:rsidR="007266C6">
        <w:rPr>
          <w:rFonts w:ascii="Times New Roman" w:hAnsi="Times New Roman" w:cs="Times New Roman"/>
          <w:sz w:val="24"/>
          <w:szCs w:val="24"/>
        </w:rPr>
        <w:t xml:space="preserve">  </w:t>
      </w:r>
      <w:r w:rsidR="004A1D23">
        <w:rPr>
          <w:rFonts w:ascii="Times New Roman" w:hAnsi="Times New Roman" w:cs="Times New Roman"/>
          <w:sz w:val="24"/>
          <w:szCs w:val="24"/>
        </w:rPr>
        <w:t>(For exa</w:t>
      </w:r>
      <w:r w:rsidR="004A1D23">
        <w:rPr>
          <w:rFonts w:ascii="Times New Roman" w:hAnsi="Times New Roman" w:cs="Times New Roman"/>
          <w:sz w:val="24"/>
          <w:szCs w:val="24"/>
        </w:rPr>
        <w:t>mple</w:t>
      </w:r>
      <w:r w:rsidR="004A1D23" w:rsidRPr="00F53C5B">
        <w:rPr>
          <w:rFonts w:ascii="Times New Roman" w:hAnsi="Times New Roman" w:cs="Times New Roman"/>
          <w:sz w:val="24"/>
          <w:szCs w:val="24"/>
        </w:rPr>
        <w:t>, the State of Alabama had a score of 1 for the right to attend, a score of 1 of right to be informed, and a score of 1 for right to be heard.</w:t>
      </w:r>
      <w:r w:rsidR="004A1D23">
        <w:rPr>
          <w:rFonts w:ascii="Times New Roman" w:hAnsi="Times New Roman" w:cs="Times New Roman"/>
          <w:sz w:val="24"/>
          <w:szCs w:val="24"/>
        </w:rPr>
        <w:t>)</w:t>
      </w:r>
      <w:r w:rsidR="004A1D23" w:rsidRPr="00F53C5B">
        <w:rPr>
          <w:rFonts w:ascii="Times New Roman" w:hAnsi="Times New Roman" w:cs="Times New Roman"/>
          <w:sz w:val="24"/>
          <w:szCs w:val="24"/>
        </w:rPr>
        <w:t xml:space="preserve">  </w:t>
      </w:r>
      <w:r w:rsidR="008D5D34">
        <w:rPr>
          <w:rFonts w:ascii="Times New Roman" w:hAnsi="Times New Roman" w:cs="Times New Roman"/>
          <w:sz w:val="24"/>
          <w:szCs w:val="24"/>
        </w:rPr>
        <w:t xml:space="preserve">The score of 0 represented the weakest provision a state could have (essentially, non-existent) while the score of 3 represented the strongest.  </w:t>
      </w:r>
      <w:r w:rsidR="00C57A0D">
        <w:rPr>
          <w:rFonts w:ascii="Times New Roman" w:hAnsi="Times New Roman" w:cs="Times New Roman"/>
          <w:sz w:val="24"/>
          <w:szCs w:val="24"/>
        </w:rPr>
        <w:t>The number of provisions included in each constitutional amendme</w:t>
      </w:r>
      <w:r w:rsidR="002A6E93">
        <w:rPr>
          <w:rFonts w:ascii="Times New Roman" w:hAnsi="Times New Roman" w:cs="Times New Roman"/>
          <w:sz w:val="24"/>
          <w:szCs w:val="24"/>
        </w:rPr>
        <w:t>nt is argued within this study to</w:t>
      </w:r>
      <w:r w:rsidR="004A1D23">
        <w:rPr>
          <w:rFonts w:ascii="Times New Roman" w:hAnsi="Times New Roman" w:cs="Times New Roman"/>
          <w:sz w:val="24"/>
          <w:szCs w:val="24"/>
        </w:rPr>
        <w:t xml:space="preserve"> represent a provision’s</w:t>
      </w:r>
      <w:r w:rsidR="00C57A0D">
        <w:rPr>
          <w:rFonts w:ascii="Times New Roman" w:hAnsi="Times New Roman" w:cs="Times New Roman"/>
          <w:sz w:val="24"/>
          <w:szCs w:val="24"/>
        </w:rPr>
        <w:t xml:space="preserve"> strength because </w:t>
      </w:r>
      <w:r w:rsidR="00C57A0D">
        <w:rPr>
          <w:rFonts w:ascii="Times New Roman" w:hAnsi="Times New Roman" w:cs="Times New Roman"/>
          <w:sz w:val="24"/>
          <w:szCs w:val="24"/>
        </w:rPr>
        <w:lastRenderedPageBreak/>
        <w:t>a constitutional amendment whic</w:t>
      </w:r>
      <w:r w:rsidR="002A6E93">
        <w:rPr>
          <w:rFonts w:ascii="Times New Roman" w:hAnsi="Times New Roman" w:cs="Times New Roman"/>
          <w:sz w:val="24"/>
          <w:szCs w:val="24"/>
        </w:rPr>
        <w:t xml:space="preserve">h </w:t>
      </w:r>
      <w:r w:rsidR="00C57A0D">
        <w:rPr>
          <w:rFonts w:ascii="Times New Roman" w:hAnsi="Times New Roman" w:cs="Times New Roman"/>
          <w:sz w:val="24"/>
          <w:szCs w:val="24"/>
        </w:rPr>
        <w:t>explicitly</w:t>
      </w:r>
      <w:r w:rsidR="002A6E93">
        <w:rPr>
          <w:rFonts w:ascii="Times New Roman" w:hAnsi="Times New Roman" w:cs="Times New Roman"/>
          <w:sz w:val="24"/>
          <w:szCs w:val="24"/>
        </w:rPr>
        <w:t xml:space="preserve"> and expansively </w:t>
      </w:r>
      <w:r w:rsidR="00C57A0D">
        <w:rPr>
          <w:rFonts w:ascii="Times New Roman" w:hAnsi="Times New Roman" w:cs="Times New Roman"/>
          <w:sz w:val="24"/>
          <w:szCs w:val="24"/>
        </w:rPr>
        <w:t>acknowledge</w:t>
      </w:r>
      <w:r w:rsidR="002A6E93">
        <w:rPr>
          <w:rFonts w:ascii="Times New Roman" w:hAnsi="Times New Roman" w:cs="Times New Roman"/>
          <w:sz w:val="24"/>
          <w:szCs w:val="24"/>
        </w:rPr>
        <w:t>s</w:t>
      </w:r>
      <w:r w:rsidR="00C57A0D">
        <w:rPr>
          <w:rFonts w:ascii="Times New Roman" w:hAnsi="Times New Roman" w:cs="Times New Roman"/>
          <w:sz w:val="24"/>
          <w:szCs w:val="24"/>
        </w:rPr>
        <w:t xml:space="preserve"> a victims’ </w:t>
      </w:r>
      <w:r w:rsidR="002A6E93">
        <w:rPr>
          <w:rFonts w:ascii="Times New Roman" w:hAnsi="Times New Roman" w:cs="Times New Roman"/>
          <w:sz w:val="24"/>
          <w:szCs w:val="24"/>
        </w:rPr>
        <w:t xml:space="preserve">right may be regarded as more decisive than one that does not.  </w:t>
      </w:r>
      <w:r w:rsidR="00C57A0D">
        <w:rPr>
          <w:rFonts w:ascii="Times New Roman" w:hAnsi="Times New Roman" w:cs="Times New Roman"/>
          <w:sz w:val="24"/>
          <w:szCs w:val="24"/>
        </w:rPr>
        <w:t xml:space="preserve">  </w:t>
      </w:r>
    </w:p>
    <w:p w:rsidR="007266C6" w:rsidRDefault="007512BC" w:rsidP="007266C6">
      <w:pPr>
        <w:spacing w:after="0" w:line="480" w:lineRule="auto"/>
        <w:ind w:firstLine="720"/>
        <w:rPr>
          <w:rFonts w:ascii="Times New Roman" w:hAnsi="Times New Roman" w:cs="Times New Roman"/>
          <w:sz w:val="24"/>
          <w:szCs w:val="24"/>
        </w:rPr>
      </w:pPr>
      <w:r w:rsidRPr="00F53C5B">
        <w:rPr>
          <w:rFonts w:ascii="Times New Roman" w:hAnsi="Times New Roman" w:cs="Times New Roman"/>
          <w:sz w:val="24"/>
          <w:szCs w:val="24"/>
        </w:rPr>
        <w:t xml:space="preserve">Results are differentiated among these rights. </w:t>
      </w:r>
      <w:r w:rsidR="005864EE">
        <w:rPr>
          <w:rFonts w:ascii="Times New Roman" w:hAnsi="Times New Roman" w:cs="Times New Roman"/>
          <w:sz w:val="24"/>
          <w:szCs w:val="24"/>
        </w:rPr>
        <w:t xml:space="preserve">Although states without constitutional amendments were included in the content analysis and scored at 0, they were excluded from the results to illustrate the variation between </w:t>
      </w:r>
      <w:r w:rsidR="003B12F0">
        <w:rPr>
          <w:rFonts w:ascii="Times New Roman" w:hAnsi="Times New Roman" w:cs="Times New Roman"/>
          <w:sz w:val="24"/>
          <w:szCs w:val="24"/>
        </w:rPr>
        <w:t xml:space="preserve">those states and </w:t>
      </w:r>
      <w:r w:rsidR="005864EE">
        <w:rPr>
          <w:rFonts w:ascii="Times New Roman" w:hAnsi="Times New Roman" w:cs="Times New Roman"/>
          <w:sz w:val="24"/>
          <w:szCs w:val="24"/>
        </w:rPr>
        <w:t xml:space="preserve">states that have constitutional amendments.  This was done so states which received a 0 for a particular provision would not be conflated with states that received a 0 because they did not possess </w:t>
      </w:r>
      <w:r w:rsidR="00AD04BC">
        <w:rPr>
          <w:rFonts w:ascii="Times New Roman" w:hAnsi="Times New Roman" w:cs="Times New Roman"/>
          <w:sz w:val="24"/>
          <w:szCs w:val="24"/>
        </w:rPr>
        <w:t xml:space="preserve">an amendment.  </w:t>
      </w:r>
    </w:p>
    <w:p w:rsidR="00A948DE" w:rsidRDefault="00A948DE" w:rsidP="00393984">
      <w:pPr>
        <w:spacing w:line="480" w:lineRule="auto"/>
        <w:rPr>
          <w:rFonts w:ascii="Times New Roman" w:hAnsi="Times New Roman" w:cs="Times New Roman"/>
          <w:b/>
          <w:sz w:val="24"/>
          <w:szCs w:val="24"/>
        </w:rPr>
      </w:pPr>
    </w:p>
    <w:p w:rsidR="00521A36" w:rsidRPr="00F53C5B" w:rsidRDefault="00521A36" w:rsidP="00393984">
      <w:pPr>
        <w:spacing w:line="480" w:lineRule="auto"/>
        <w:rPr>
          <w:rFonts w:ascii="Times New Roman" w:hAnsi="Times New Roman" w:cs="Times New Roman"/>
          <w:b/>
          <w:sz w:val="24"/>
          <w:szCs w:val="24"/>
        </w:rPr>
      </w:pPr>
      <w:r w:rsidRPr="00F53C5B">
        <w:rPr>
          <w:rFonts w:ascii="Times New Roman" w:hAnsi="Times New Roman" w:cs="Times New Roman"/>
          <w:b/>
          <w:sz w:val="24"/>
          <w:szCs w:val="24"/>
        </w:rPr>
        <w:t>Results</w:t>
      </w:r>
      <w:r w:rsidR="00435107" w:rsidRPr="00F53C5B">
        <w:rPr>
          <w:rFonts w:ascii="Times New Roman" w:hAnsi="Times New Roman" w:cs="Times New Roman"/>
          <w:b/>
          <w:sz w:val="24"/>
          <w:szCs w:val="24"/>
        </w:rPr>
        <w:tab/>
      </w:r>
      <w:r w:rsidR="00435107" w:rsidRPr="00F53C5B">
        <w:rPr>
          <w:rFonts w:ascii="Times New Roman" w:hAnsi="Times New Roman" w:cs="Times New Roman"/>
          <w:b/>
          <w:sz w:val="24"/>
          <w:szCs w:val="24"/>
        </w:rPr>
        <w:tab/>
      </w:r>
    </w:p>
    <w:p w:rsidR="003B12F0" w:rsidRDefault="00E1747F" w:rsidP="00B1090A">
      <w:pPr>
        <w:spacing w:after="0" w:line="480" w:lineRule="auto"/>
        <w:ind w:firstLine="720"/>
        <w:rPr>
          <w:rFonts w:ascii="Times New Roman" w:hAnsi="Times New Roman" w:cs="Times New Roman"/>
          <w:noProof/>
          <w:sz w:val="24"/>
          <w:szCs w:val="24"/>
        </w:rPr>
      </w:pPr>
      <w:r w:rsidRPr="00F53C5B">
        <w:rPr>
          <w:rFonts w:ascii="Times New Roman" w:hAnsi="Times New Roman" w:cs="Times New Roman"/>
          <w:noProof/>
          <w:sz w:val="24"/>
          <w:szCs w:val="24"/>
        </w:rPr>
        <w:t>Result</w:t>
      </w:r>
      <w:r w:rsidR="00393984">
        <w:rPr>
          <w:rFonts w:ascii="Times New Roman" w:hAnsi="Times New Roman" w:cs="Times New Roman"/>
          <w:noProof/>
          <w:sz w:val="24"/>
          <w:szCs w:val="24"/>
        </w:rPr>
        <w:t>s</w:t>
      </w:r>
      <w:r w:rsidRPr="00F53C5B">
        <w:rPr>
          <w:rFonts w:ascii="Times New Roman" w:hAnsi="Times New Roman" w:cs="Times New Roman"/>
          <w:noProof/>
          <w:sz w:val="24"/>
          <w:szCs w:val="24"/>
        </w:rPr>
        <w:t xml:space="preserve"> of the study suggested </w:t>
      </w:r>
      <w:r w:rsidR="0042415D" w:rsidRPr="00F53C5B">
        <w:rPr>
          <w:rFonts w:ascii="Times New Roman" w:hAnsi="Times New Roman" w:cs="Times New Roman"/>
          <w:noProof/>
          <w:sz w:val="24"/>
          <w:szCs w:val="24"/>
        </w:rPr>
        <w:t>variation between the states in each of</w:t>
      </w:r>
      <w:r w:rsidR="00D25311">
        <w:rPr>
          <w:rFonts w:ascii="Times New Roman" w:hAnsi="Times New Roman" w:cs="Times New Roman"/>
          <w:noProof/>
          <w:sz w:val="24"/>
          <w:szCs w:val="24"/>
        </w:rPr>
        <w:t xml:space="preserve"> the rights examined although </w:t>
      </w:r>
      <w:r w:rsidR="003B12F0">
        <w:rPr>
          <w:rFonts w:ascii="Times New Roman" w:hAnsi="Times New Roman" w:cs="Times New Roman"/>
          <w:noProof/>
          <w:sz w:val="24"/>
          <w:szCs w:val="24"/>
        </w:rPr>
        <w:t xml:space="preserve">it was apparent that </w:t>
      </w:r>
      <w:r w:rsidR="00D25311">
        <w:rPr>
          <w:rFonts w:ascii="Times New Roman" w:hAnsi="Times New Roman" w:cs="Times New Roman"/>
          <w:noProof/>
          <w:sz w:val="24"/>
          <w:szCs w:val="24"/>
        </w:rPr>
        <w:t>some of the rights had more variation than others.</w:t>
      </w:r>
      <w:r w:rsidR="00252E57">
        <w:rPr>
          <w:rFonts w:ascii="Times New Roman" w:hAnsi="Times New Roman" w:cs="Times New Roman"/>
          <w:noProof/>
          <w:sz w:val="24"/>
          <w:szCs w:val="24"/>
        </w:rPr>
        <w:t xml:space="preserve">  </w:t>
      </w:r>
      <w:r w:rsidR="003B12F0">
        <w:rPr>
          <w:rFonts w:ascii="Times New Roman" w:hAnsi="Times New Roman" w:cs="Times New Roman"/>
          <w:noProof/>
          <w:sz w:val="24"/>
          <w:szCs w:val="24"/>
        </w:rPr>
        <w:t>(</w:t>
      </w:r>
      <w:r w:rsidR="00252E57">
        <w:rPr>
          <w:rFonts w:ascii="Times New Roman" w:hAnsi="Times New Roman" w:cs="Times New Roman"/>
          <w:noProof/>
          <w:sz w:val="24"/>
          <w:szCs w:val="24"/>
        </w:rPr>
        <w:t>See Table 2 for results.</w:t>
      </w:r>
      <w:r w:rsidR="003B12F0">
        <w:rPr>
          <w:rFonts w:ascii="Times New Roman" w:hAnsi="Times New Roman" w:cs="Times New Roman"/>
          <w:noProof/>
          <w:sz w:val="24"/>
          <w:szCs w:val="24"/>
        </w:rPr>
        <w:t>)</w:t>
      </w:r>
      <w:r w:rsidR="00D25311">
        <w:rPr>
          <w:rFonts w:ascii="Times New Roman" w:hAnsi="Times New Roman" w:cs="Times New Roman"/>
          <w:noProof/>
          <w:sz w:val="24"/>
          <w:szCs w:val="24"/>
        </w:rPr>
        <w:t xml:space="preserve"> </w:t>
      </w:r>
      <w:r w:rsidR="00252E57">
        <w:rPr>
          <w:rFonts w:ascii="Times New Roman" w:hAnsi="Times New Roman" w:cs="Times New Roman"/>
          <w:noProof/>
          <w:sz w:val="24"/>
          <w:szCs w:val="24"/>
        </w:rPr>
        <w:t xml:space="preserve"> </w:t>
      </w:r>
      <w:r w:rsidR="003B12F0">
        <w:rPr>
          <w:rFonts w:ascii="Times New Roman" w:hAnsi="Times New Roman" w:cs="Times New Roman"/>
          <w:noProof/>
          <w:sz w:val="24"/>
          <w:szCs w:val="24"/>
        </w:rPr>
        <w:t>Specifically, all of the state values for each right ranged between 0-2, although the frequency distribution indicates that</w:t>
      </w:r>
      <w:r w:rsidR="007266C6">
        <w:rPr>
          <w:rFonts w:ascii="Times New Roman" w:hAnsi="Times New Roman" w:cs="Times New Roman"/>
          <w:noProof/>
          <w:sz w:val="24"/>
          <w:szCs w:val="24"/>
        </w:rPr>
        <w:t xml:space="preserve"> some rights demonstrated difference</w:t>
      </w:r>
      <w:r w:rsidR="003B12F0">
        <w:rPr>
          <w:rFonts w:ascii="Times New Roman" w:hAnsi="Times New Roman" w:cs="Times New Roman"/>
          <w:noProof/>
          <w:sz w:val="24"/>
          <w:szCs w:val="24"/>
        </w:rPr>
        <w:t xml:space="preserve"> between more states.  For example, the right to attend had 12 states that did not score the modal score of 1 compared to that</w:t>
      </w:r>
      <w:r w:rsidR="00B1090A">
        <w:rPr>
          <w:rFonts w:ascii="Times New Roman" w:hAnsi="Times New Roman" w:cs="Times New Roman"/>
          <w:noProof/>
          <w:sz w:val="24"/>
          <w:szCs w:val="24"/>
        </w:rPr>
        <w:t xml:space="preserve"> of the right to be heard in which this number was 17.  Additionally, the scores for the right to be heard reflected a more even balance between states which scored a 2 and those which scored a 3 whereas the right to attend as well as the right to be informed had many more states scoring the modal score of 1.  </w:t>
      </w:r>
    </w:p>
    <w:p w:rsidR="00252E57" w:rsidRDefault="00B1090A" w:rsidP="00B1090A">
      <w:pPr>
        <w:spacing w:after="0" w:line="480" w:lineRule="auto"/>
        <w:ind w:firstLine="720"/>
        <w:rPr>
          <w:rFonts w:ascii="Times New Roman" w:hAnsi="Times New Roman" w:cs="Times New Roman"/>
          <w:noProof/>
          <w:sz w:val="24"/>
          <w:szCs w:val="24"/>
        </w:rPr>
      </w:pPr>
      <w:r>
        <w:rPr>
          <w:rFonts w:ascii="Times New Roman" w:hAnsi="Times New Roman" w:cs="Times New Roman"/>
          <w:noProof/>
          <w:sz w:val="24"/>
          <w:szCs w:val="24"/>
        </w:rPr>
        <w:t>The results show which states</w:t>
      </w:r>
      <w:r w:rsidR="007266C6">
        <w:rPr>
          <w:rFonts w:ascii="Times New Roman" w:hAnsi="Times New Roman" w:cs="Times New Roman"/>
          <w:noProof/>
          <w:sz w:val="24"/>
          <w:szCs w:val="24"/>
        </w:rPr>
        <w:t xml:space="preserve"> may be regarded as </w:t>
      </w:r>
      <w:r w:rsidR="008D5D34">
        <w:rPr>
          <w:rFonts w:ascii="Times New Roman" w:hAnsi="Times New Roman" w:cs="Times New Roman"/>
          <w:noProof/>
          <w:sz w:val="24"/>
          <w:szCs w:val="24"/>
        </w:rPr>
        <w:t>having weaker provisions</w:t>
      </w:r>
      <w:r w:rsidR="007266C6">
        <w:rPr>
          <w:rFonts w:ascii="Times New Roman" w:hAnsi="Times New Roman" w:cs="Times New Roman"/>
          <w:noProof/>
          <w:sz w:val="24"/>
          <w:szCs w:val="24"/>
        </w:rPr>
        <w:t xml:space="preserve"> as wel</w:t>
      </w:r>
      <w:r w:rsidR="008D5D34">
        <w:rPr>
          <w:rFonts w:ascii="Times New Roman" w:hAnsi="Times New Roman" w:cs="Times New Roman"/>
          <w:noProof/>
          <w:sz w:val="24"/>
          <w:szCs w:val="24"/>
        </w:rPr>
        <w:t xml:space="preserve">l as those which may be regarded as having stronger </w:t>
      </w:r>
      <w:r>
        <w:rPr>
          <w:rFonts w:ascii="Times New Roman" w:hAnsi="Times New Roman" w:cs="Times New Roman"/>
          <w:noProof/>
          <w:sz w:val="24"/>
          <w:szCs w:val="24"/>
        </w:rPr>
        <w:t xml:space="preserve">provisions.  For the right to attend, a state such as </w:t>
      </w:r>
      <w:r w:rsidR="00252E57">
        <w:rPr>
          <w:rFonts w:ascii="Times New Roman" w:hAnsi="Times New Roman" w:cs="Times New Roman"/>
          <w:noProof/>
          <w:sz w:val="24"/>
          <w:szCs w:val="24"/>
        </w:rPr>
        <w:t>Rhode Island represent</w:t>
      </w:r>
      <w:r w:rsidR="008D5D34">
        <w:rPr>
          <w:rFonts w:ascii="Times New Roman" w:hAnsi="Times New Roman" w:cs="Times New Roman"/>
          <w:noProof/>
          <w:sz w:val="24"/>
          <w:szCs w:val="24"/>
        </w:rPr>
        <w:t xml:space="preserve">ed the weaker </w:t>
      </w:r>
      <w:r>
        <w:rPr>
          <w:rFonts w:ascii="Times New Roman" w:hAnsi="Times New Roman" w:cs="Times New Roman"/>
          <w:noProof/>
          <w:sz w:val="24"/>
          <w:szCs w:val="24"/>
        </w:rPr>
        <w:t>end of the spectrum</w:t>
      </w:r>
      <w:r w:rsidR="00252E57">
        <w:rPr>
          <w:rFonts w:ascii="Times New Roman" w:hAnsi="Times New Roman" w:cs="Times New Roman"/>
          <w:noProof/>
          <w:sz w:val="24"/>
          <w:szCs w:val="24"/>
        </w:rPr>
        <w:t xml:space="preserve"> and a state s</w:t>
      </w:r>
      <w:r>
        <w:rPr>
          <w:rFonts w:ascii="Times New Roman" w:hAnsi="Times New Roman" w:cs="Times New Roman"/>
          <w:noProof/>
          <w:sz w:val="24"/>
          <w:szCs w:val="24"/>
        </w:rPr>
        <w:t xml:space="preserve">uch as </w:t>
      </w:r>
      <w:r w:rsidR="008D5D34">
        <w:rPr>
          <w:rFonts w:ascii="Times New Roman" w:hAnsi="Times New Roman" w:cs="Times New Roman"/>
          <w:noProof/>
          <w:sz w:val="24"/>
          <w:szCs w:val="24"/>
        </w:rPr>
        <w:t>Illinois represented the stronger end</w:t>
      </w:r>
      <w:r>
        <w:rPr>
          <w:rFonts w:ascii="Times New Roman" w:hAnsi="Times New Roman" w:cs="Times New Roman"/>
          <w:noProof/>
          <w:sz w:val="24"/>
          <w:szCs w:val="24"/>
        </w:rPr>
        <w:t xml:space="preserve"> while most states fell in between (</w:t>
      </w:r>
      <w:r w:rsidR="00186327">
        <w:rPr>
          <w:rFonts w:ascii="Times New Roman" w:hAnsi="Times New Roman" w:cs="Times New Roman"/>
          <w:noProof/>
          <w:sz w:val="24"/>
          <w:szCs w:val="24"/>
        </w:rPr>
        <w:t>S</w:t>
      </w:r>
      <w:r>
        <w:rPr>
          <w:rFonts w:ascii="Times New Roman" w:hAnsi="Times New Roman" w:cs="Times New Roman"/>
          <w:noProof/>
          <w:sz w:val="24"/>
          <w:szCs w:val="24"/>
        </w:rPr>
        <w:t xml:space="preserve">ee Appendix </w:t>
      </w:r>
      <w:r w:rsidR="00186327">
        <w:rPr>
          <w:rFonts w:ascii="Times New Roman" w:hAnsi="Times New Roman" w:cs="Times New Roman"/>
          <w:noProof/>
          <w:sz w:val="24"/>
          <w:szCs w:val="24"/>
        </w:rPr>
        <w:t xml:space="preserve">B </w:t>
      </w:r>
      <w:r>
        <w:rPr>
          <w:rFonts w:ascii="Times New Roman" w:hAnsi="Times New Roman" w:cs="Times New Roman"/>
          <w:noProof/>
          <w:sz w:val="24"/>
          <w:szCs w:val="24"/>
        </w:rPr>
        <w:t>for the Rhode Island and Illinois provisions).</w:t>
      </w:r>
      <w:r w:rsidR="00252E57">
        <w:rPr>
          <w:rFonts w:ascii="Times New Roman" w:hAnsi="Times New Roman" w:cs="Times New Roman"/>
          <w:noProof/>
          <w:sz w:val="24"/>
          <w:szCs w:val="24"/>
        </w:rPr>
        <w:t xml:space="preserve"> </w:t>
      </w:r>
      <w:r>
        <w:rPr>
          <w:rFonts w:ascii="Times New Roman" w:hAnsi="Times New Roman" w:cs="Times New Roman"/>
          <w:noProof/>
          <w:sz w:val="24"/>
          <w:szCs w:val="24"/>
        </w:rPr>
        <w:t xml:space="preserve"> T</w:t>
      </w:r>
      <w:r w:rsidR="00252E57">
        <w:rPr>
          <w:rFonts w:ascii="Times New Roman" w:hAnsi="Times New Roman" w:cs="Times New Roman"/>
          <w:noProof/>
          <w:sz w:val="24"/>
          <w:szCs w:val="24"/>
        </w:rPr>
        <w:t xml:space="preserve">he </w:t>
      </w:r>
      <w:r w:rsidR="008D5D34">
        <w:rPr>
          <w:rFonts w:ascii="Times New Roman" w:hAnsi="Times New Roman" w:cs="Times New Roman"/>
          <w:noProof/>
          <w:sz w:val="24"/>
          <w:szCs w:val="24"/>
        </w:rPr>
        <w:t>weak-strong</w:t>
      </w:r>
      <w:r>
        <w:rPr>
          <w:rFonts w:ascii="Times New Roman" w:hAnsi="Times New Roman" w:cs="Times New Roman"/>
          <w:noProof/>
          <w:sz w:val="24"/>
          <w:szCs w:val="24"/>
        </w:rPr>
        <w:t xml:space="preserve"> differences between states varied, to some </w:t>
      </w:r>
      <w:r>
        <w:rPr>
          <w:rFonts w:ascii="Times New Roman" w:hAnsi="Times New Roman" w:cs="Times New Roman"/>
          <w:noProof/>
          <w:sz w:val="24"/>
          <w:szCs w:val="24"/>
        </w:rPr>
        <w:lastRenderedPageBreak/>
        <w:t xml:space="preserve">extent, by right, in that a state, such as New Jersey, which scored a 2 on the right to attend, scored a 0 on the right to be informed.  The New Jersey provision represented a </w:t>
      </w:r>
      <w:r w:rsidR="008D5D34">
        <w:rPr>
          <w:rFonts w:ascii="Times New Roman" w:hAnsi="Times New Roman" w:cs="Times New Roman"/>
          <w:noProof/>
          <w:sz w:val="24"/>
          <w:szCs w:val="24"/>
        </w:rPr>
        <w:t xml:space="preserve">weak </w:t>
      </w:r>
      <w:r>
        <w:rPr>
          <w:rFonts w:ascii="Times New Roman" w:hAnsi="Times New Roman" w:cs="Times New Roman"/>
          <w:noProof/>
          <w:sz w:val="24"/>
          <w:szCs w:val="24"/>
        </w:rPr>
        <w:t>right to be informed while the state of Arizona represented a strong one</w:t>
      </w:r>
      <w:r w:rsidR="00252E57">
        <w:rPr>
          <w:rFonts w:ascii="Times New Roman" w:hAnsi="Times New Roman" w:cs="Times New Roman"/>
          <w:noProof/>
          <w:sz w:val="24"/>
          <w:szCs w:val="24"/>
        </w:rPr>
        <w:t xml:space="preserve">.  </w:t>
      </w:r>
      <w:r>
        <w:rPr>
          <w:rFonts w:ascii="Times New Roman" w:hAnsi="Times New Roman" w:cs="Times New Roman"/>
          <w:noProof/>
          <w:sz w:val="24"/>
          <w:szCs w:val="24"/>
        </w:rPr>
        <w:t xml:space="preserve">New Jersey similarly ranked 0 for the right to be heard while a state such as Wisconsin ranked on the more powerful end, with a score of 2.  </w:t>
      </w:r>
      <w:r w:rsidR="00AD04BC">
        <w:rPr>
          <w:rFonts w:ascii="Times New Roman" w:hAnsi="Times New Roman" w:cs="Times New Roman"/>
          <w:noProof/>
          <w:sz w:val="24"/>
          <w:szCs w:val="24"/>
        </w:rPr>
        <w:t xml:space="preserve">  </w:t>
      </w:r>
      <w:r w:rsidR="00F4297A">
        <w:rPr>
          <w:rFonts w:ascii="Times New Roman" w:hAnsi="Times New Roman" w:cs="Times New Roman"/>
          <w:noProof/>
          <w:sz w:val="24"/>
          <w:szCs w:val="24"/>
        </w:rPr>
        <w:t xml:space="preserve">  </w:t>
      </w:r>
    </w:p>
    <w:p w:rsidR="00F4297A" w:rsidRDefault="00F4297A" w:rsidP="00393984">
      <w:pPr>
        <w:spacing w:line="240" w:lineRule="auto"/>
        <w:rPr>
          <w:rFonts w:ascii="Times New Roman" w:hAnsi="Times New Roman" w:cs="Times New Roman"/>
          <w:noProof/>
          <w:sz w:val="24"/>
          <w:szCs w:val="24"/>
        </w:rPr>
      </w:pPr>
    </w:p>
    <w:p w:rsidR="00F4297A" w:rsidRDefault="00F4297A" w:rsidP="00393984">
      <w:pPr>
        <w:spacing w:line="240" w:lineRule="auto"/>
        <w:rPr>
          <w:rFonts w:ascii="Times New Roman" w:hAnsi="Times New Roman" w:cs="Times New Roman"/>
          <w:noProof/>
          <w:sz w:val="24"/>
          <w:szCs w:val="24"/>
        </w:rPr>
      </w:pPr>
      <w:r>
        <w:rPr>
          <w:rFonts w:ascii="Times New Roman" w:hAnsi="Times New Roman" w:cs="Times New Roman"/>
          <w:noProof/>
          <w:sz w:val="24"/>
          <w:szCs w:val="24"/>
        </w:rPr>
        <w:t xml:space="preserve">Table 2. </w:t>
      </w:r>
      <w:r w:rsidR="00695960">
        <w:rPr>
          <w:rFonts w:ascii="Times New Roman" w:hAnsi="Times New Roman" w:cs="Times New Roman"/>
          <w:noProof/>
          <w:sz w:val="24"/>
          <w:szCs w:val="24"/>
        </w:rPr>
        <w:t xml:space="preserve">Individual Provision </w:t>
      </w:r>
      <w:r>
        <w:rPr>
          <w:rFonts w:ascii="Times New Roman" w:hAnsi="Times New Roman" w:cs="Times New Roman"/>
          <w:noProof/>
          <w:sz w:val="24"/>
          <w:szCs w:val="24"/>
        </w:rPr>
        <w:t xml:space="preserve">Scores </w:t>
      </w:r>
    </w:p>
    <w:tbl>
      <w:tblPr>
        <w:tblStyle w:val="TableGrid1"/>
        <w:tblW w:w="9946" w:type="dxa"/>
        <w:jc w:val="center"/>
        <w:tblLook w:val="04A0" w:firstRow="1" w:lastRow="0" w:firstColumn="1" w:lastColumn="0" w:noHBand="0" w:noVBand="1"/>
      </w:tblPr>
      <w:tblGrid>
        <w:gridCol w:w="1988"/>
        <w:gridCol w:w="1988"/>
        <w:gridCol w:w="1990"/>
        <w:gridCol w:w="1990"/>
        <w:gridCol w:w="1990"/>
      </w:tblGrid>
      <w:tr w:rsidR="00393984" w:rsidRPr="00252E57" w:rsidTr="00393984">
        <w:trPr>
          <w:trHeight w:val="373"/>
          <w:jc w:val="center"/>
        </w:trPr>
        <w:tc>
          <w:tcPr>
            <w:tcW w:w="1988" w:type="dxa"/>
            <w:vAlign w:val="center"/>
          </w:tcPr>
          <w:p w:rsidR="00393984" w:rsidRPr="00252E57" w:rsidRDefault="00393984" w:rsidP="00393984">
            <w:pPr>
              <w:rPr>
                <w:rFonts w:ascii="Times New Roman" w:hAnsi="Times New Roman" w:cs="Times New Roman"/>
                <w:b/>
                <w:sz w:val="24"/>
                <w:szCs w:val="24"/>
              </w:rPr>
            </w:pPr>
          </w:p>
        </w:tc>
        <w:tc>
          <w:tcPr>
            <w:tcW w:w="1988" w:type="dxa"/>
            <w:vAlign w:val="center"/>
          </w:tcPr>
          <w:p w:rsidR="00393984" w:rsidRPr="00252E57" w:rsidRDefault="00393984" w:rsidP="008D5D34">
            <w:pPr>
              <w:rPr>
                <w:rFonts w:ascii="Times New Roman" w:hAnsi="Times New Roman" w:cs="Times New Roman"/>
                <w:b/>
                <w:sz w:val="24"/>
                <w:szCs w:val="24"/>
              </w:rPr>
            </w:pPr>
            <w:r w:rsidRPr="00252E57">
              <w:rPr>
                <w:rFonts w:ascii="Times New Roman" w:hAnsi="Times New Roman" w:cs="Times New Roman"/>
                <w:b/>
                <w:sz w:val="24"/>
                <w:szCs w:val="24"/>
              </w:rPr>
              <w:t>0</w:t>
            </w:r>
            <w:r w:rsidR="008D5D34">
              <w:rPr>
                <w:rFonts w:ascii="Times New Roman" w:hAnsi="Times New Roman" w:cs="Times New Roman"/>
                <w:b/>
                <w:sz w:val="24"/>
                <w:szCs w:val="24"/>
              </w:rPr>
              <w:t xml:space="preserve"> </w:t>
            </w:r>
          </w:p>
        </w:tc>
        <w:tc>
          <w:tcPr>
            <w:tcW w:w="1990" w:type="dxa"/>
            <w:vAlign w:val="center"/>
          </w:tcPr>
          <w:p w:rsidR="00393984" w:rsidRPr="00252E57" w:rsidRDefault="00393984" w:rsidP="00393984">
            <w:pPr>
              <w:rPr>
                <w:rFonts w:ascii="Times New Roman" w:hAnsi="Times New Roman" w:cs="Times New Roman"/>
                <w:b/>
                <w:sz w:val="24"/>
                <w:szCs w:val="24"/>
              </w:rPr>
            </w:pPr>
            <w:r w:rsidRPr="00252E57">
              <w:rPr>
                <w:rFonts w:ascii="Times New Roman" w:hAnsi="Times New Roman" w:cs="Times New Roman"/>
                <w:b/>
                <w:sz w:val="24"/>
                <w:szCs w:val="24"/>
              </w:rPr>
              <w:t>1</w:t>
            </w:r>
          </w:p>
        </w:tc>
        <w:tc>
          <w:tcPr>
            <w:tcW w:w="1990" w:type="dxa"/>
            <w:vAlign w:val="center"/>
          </w:tcPr>
          <w:p w:rsidR="00393984" w:rsidRPr="00252E57" w:rsidRDefault="00393984" w:rsidP="00393984">
            <w:pPr>
              <w:rPr>
                <w:rFonts w:ascii="Times New Roman" w:hAnsi="Times New Roman" w:cs="Times New Roman"/>
                <w:b/>
                <w:sz w:val="24"/>
                <w:szCs w:val="24"/>
              </w:rPr>
            </w:pPr>
            <w:r w:rsidRPr="00252E57">
              <w:rPr>
                <w:rFonts w:ascii="Times New Roman" w:hAnsi="Times New Roman" w:cs="Times New Roman"/>
                <w:b/>
                <w:sz w:val="24"/>
                <w:szCs w:val="24"/>
              </w:rPr>
              <w:t>2</w:t>
            </w:r>
          </w:p>
        </w:tc>
        <w:tc>
          <w:tcPr>
            <w:tcW w:w="1990" w:type="dxa"/>
            <w:vAlign w:val="center"/>
          </w:tcPr>
          <w:p w:rsidR="00393984" w:rsidRPr="00252E57" w:rsidRDefault="00393984" w:rsidP="00393984">
            <w:pPr>
              <w:rPr>
                <w:rFonts w:ascii="Times New Roman" w:hAnsi="Times New Roman" w:cs="Times New Roman"/>
                <w:b/>
                <w:sz w:val="24"/>
                <w:szCs w:val="24"/>
              </w:rPr>
            </w:pPr>
            <w:r w:rsidRPr="00252E57">
              <w:rPr>
                <w:rFonts w:ascii="Times New Roman" w:hAnsi="Times New Roman" w:cs="Times New Roman"/>
                <w:b/>
                <w:sz w:val="24"/>
                <w:szCs w:val="24"/>
              </w:rPr>
              <w:t>3</w:t>
            </w:r>
            <w:r w:rsidR="008D5D34">
              <w:rPr>
                <w:rFonts w:ascii="Times New Roman" w:hAnsi="Times New Roman" w:cs="Times New Roman"/>
                <w:b/>
                <w:sz w:val="24"/>
                <w:szCs w:val="24"/>
              </w:rPr>
              <w:t xml:space="preserve"> </w:t>
            </w:r>
          </w:p>
        </w:tc>
      </w:tr>
      <w:tr w:rsidR="00393984" w:rsidRPr="00252E57" w:rsidTr="00393984">
        <w:trPr>
          <w:trHeight w:val="2303"/>
          <w:jc w:val="center"/>
        </w:trPr>
        <w:tc>
          <w:tcPr>
            <w:tcW w:w="1988" w:type="dxa"/>
            <w:vAlign w:val="center"/>
          </w:tcPr>
          <w:p w:rsidR="00393984" w:rsidRPr="00252E57" w:rsidRDefault="00393984" w:rsidP="00393984">
            <w:pPr>
              <w:rPr>
                <w:rFonts w:ascii="Times New Roman" w:hAnsi="Times New Roman" w:cs="Times New Roman"/>
                <w:b/>
                <w:sz w:val="24"/>
                <w:szCs w:val="24"/>
              </w:rPr>
            </w:pPr>
            <w:r w:rsidRPr="00252E57">
              <w:rPr>
                <w:rFonts w:ascii="Times New Roman" w:hAnsi="Times New Roman" w:cs="Times New Roman"/>
                <w:b/>
                <w:sz w:val="24"/>
                <w:szCs w:val="24"/>
              </w:rPr>
              <w:t>Right to Attend</w:t>
            </w:r>
          </w:p>
        </w:tc>
        <w:tc>
          <w:tcPr>
            <w:tcW w:w="1988" w:type="dxa"/>
            <w:vAlign w:val="center"/>
          </w:tcPr>
          <w:p w:rsidR="00393984" w:rsidRPr="00252E57" w:rsidRDefault="00145EF9" w:rsidP="00393984">
            <w:pPr>
              <w:rPr>
                <w:rFonts w:ascii="Times New Roman" w:hAnsi="Times New Roman" w:cs="Times New Roman"/>
                <w:sz w:val="24"/>
                <w:szCs w:val="24"/>
              </w:rPr>
            </w:pPr>
            <w:r>
              <w:rPr>
                <w:rFonts w:ascii="Times New Roman" w:hAnsi="Times New Roman" w:cs="Times New Roman"/>
                <w:sz w:val="24"/>
                <w:szCs w:val="24"/>
              </w:rPr>
              <w:t>CA</w:t>
            </w:r>
            <w:r w:rsidR="00995682">
              <w:rPr>
                <w:rFonts w:ascii="Times New Roman" w:hAnsi="Times New Roman" w:cs="Times New Roman"/>
                <w:sz w:val="24"/>
                <w:szCs w:val="24"/>
              </w:rPr>
              <w:t>*</w:t>
            </w:r>
            <w:r>
              <w:rPr>
                <w:rFonts w:ascii="Times New Roman" w:hAnsi="Times New Roman" w:cs="Times New Roman"/>
                <w:sz w:val="24"/>
                <w:szCs w:val="24"/>
              </w:rPr>
              <w:t>, OH, RI, VA</w:t>
            </w:r>
            <w:r w:rsidR="00995682">
              <w:rPr>
                <w:rFonts w:ascii="Times New Roman" w:hAnsi="Times New Roman" w:cs="Times New Roman"/>
                <w:sz w:val="24"/>
                <w:szCs w:val="24"/>
              </w:rPr>
              <w:t>*</w:t>
            </w:r>
          </w:p>
        </w:tc>
        <w:tc>
          <w:tcPr>
            <w:tcW w:w="1990" w:type="dxa"/>
            <w:vAlign w:val="center"/>
          </w:tcPr>
          <w:p w:rsidR="00393984" w:rsidRPr="00252E57" w:rsidRDefault="00393984" w:rsidP="00E67B1D">
            <w:pPr>
              <w:rPr>
                <w:rFonts w:ascii="Times New Roman" w:hAnsi="Times New Roman" w:cs="Times New Roman"/>
                <w:sz w:val="24"/>
                <w:szCs w:val="24"/>
              </w:rPr>
            </w:pPr>
            <w:r w:rsidRPr="00252E57">
              <w:rPr>
                <w:rFonts w:ascii="Times New Roman" w:hAnsi="Times New Roman" w:cs="Times New Roman"/>
                <w:sz w:val="24"/>
                <w:szCs w:val="24"/>
              </w:rPr>
              <w:t>AL, AK, AZ, CO, CT, FL, ID, IN, KS, LA, MD</w:t>
            </w:r>
            <w:r w:rsidR="009911DA">
              <w:rPr>
                <w:rFonts w:ascii="Times New Roman" w:hAnsi="Times New Roman" w:cs="Times New Roman"/>
                <w:sz w:val="24"/>
                <w:szCs w:val="24"/>
              </w:rPr>
              <w:t>**</w:t>
            </w:r>
            <w:r w:rsidRPr="00252E57">
              <w:rPr>
                <w:rFonts w:ascii="Times New Roman" w:hAnsi="Times New Roman" w:cs="Times New Roman"/>
                <w:sz w:val="24"/>
                <w:szCs w:val="24"/>
              </w:rPr>
              <w:t>, MI, MS</w:t>
            </w:r>
            <w:r w:rsidR="007940FB">
              <w:rPr>
                <w:rFonts w:ascii="Times New Roman" w:hAnsi="Times New Roman" w:cs="Times New Roman"/>
                <w:sz w:val="24"/>
                <w:szCs w:val="24"/>
              </w:rPr>
              <w:t>**</w:t>
            </w:r>
            <w:r w:rsidR="00E67B1D">
              <w:rPr>
                <w:rFonts w:ascii="Times New Roman" w:hAnsi="Times New Roman" w:cs="Times New Roman"/>
                <w:sz w:val="24"/>
                <w:szCs w:val="24"/>
              </w:rPr>
              <w:t xml:space="preserve">, MO, NE, NV, </w:t>
            </w:r>
            <w:r w:rsidRPr="00252E57">
              <w:rPr>
                <w:rFonts w:ascii="Times New Roman" w:hAnsi="Times New Roman" w:cs="Times New Roman"/>
                <w:sz w:val="24"/>
                <w:szCs w:val="24"/>
              </w:rPr>
              <w:t>NC</w:t>
            </w:r>
            <w:r w:rsidR="007940FB">
              <w:rPr>
                <w:rFonts w:ascii="Times New Roman" w:hAnsi="Times New Roman" w:cs="Times New Roman"/>
                <w:sz w:val="24"/>
                <w:szCs w:val="24"/>
              </w:rPr>
              <w:t>, OK, OR, SC, TN, TX, UT, WA</w:t>
            </w:r>
          </w:p>
        </w:tc>
        <w:tc>
          <w:tcPr>
            <w:tcW w:w="1990" w:type="dxa"/>
            <w:vAlign w:val="center"/>
          </w:tcPr>
          <w:p w:rsidR="00393984" w:rsidRPr="00252E57" w:rsidRDefault="008A0407" w:rsidP="00393984">
            <w:pPr>
              <w:rPr>
                <w:rFonts w:ascii="Times New Roman" w:hAnsi="Times New Roman" w:cs="Times New Roman"/>
                <w:sz w:val="24"/>
                <w:szCs w:val="24"/>
              </w:rPr>
            </w:pPr>
            <w:r>
              <w:rPr>
                <w:rFonts w:ascii="Times New Roman" w:hAnsi="Times New Roman" w:cs="Times New Roman"/>
                <w:sz w:val="24"/>
                <w:szCs w:val="24"/>
              </w:rPr>
              <w:t>IL</w:t>
            </w:r>
            <w:r w:rsidR="007940FB">
              <w:rPr>
                <w:rFonts w:ascii="Times New Roman" w:hAnsi="Times New Roman" w:cs="Times New Roman"/>
                <w:sz w:val="24"/>
                <w:szCs w:val="24"/>
              </w:rPr>
              <w:t xml:space="preserve">, </w:t>
            </w:r>
            <w:r w:rsidR="00E67B1D">
              <w:rPr>
                <w:rFonts w:ascii="Times New Roman" w:hAnsi="Times New Roman" w:cs="Times New Roman"/>
                <w:sz w:val="24"/>
                <w:szCs w:val="24"/>
              </w:rPr>
              <w:t xml:space="preserve">NJ, </w:t>
            </w:r>
            <w:r w:rsidR="00995682">
              <w:rPr>
                <w:rFonts w:ascii="Times New Roman" w:hAnsi="Times New Roman" w:cs="Times New Roman"/>
                <w:sz w:val="24"/>
                <w:szCs w:val="24"/>
              </w:rPr>
              <w:t xml:space="preserve">NM, </w:t>
            </w:r>
            <w:r w:rsidR="007940FB">
              <w:rPr>
                <w:rFonts w:ascii="Times New Roman" w:hAnsi="Times New Roman" w:cs="Times New Roman"/>
                <w:sz w:val="24"/>
                <w:szCs w:val="24"/>
              </w:rPr>
              <w:t>WI</w:t>
            </w:r>
          </w:p>
        </w:tc>
        <w:tc>
          <w:tcPr>
            <w:tcW w:w="1990" w:type="dxa"/>
            <w:vAlign w:val="center"/>
          </w:tcPr>
          <w:p w:rsidR="00393984" w:rsidRPr="00252E57" w:rsidRDefault="008A0407" w:rsidP="00393984">
            <w:pPr>
              <w:rPr>
                <w:rFonts w:ascii="Times New Roman" w:hAnsi="Times New Roman" w:cs="Times New Roman"/>
                <w:sz w:val="24"/>
                <w:szCs w:val="24"/>
              </w:rPr>
            </w:pPr>
            <w:r>
              <w:rPr>
                <w:rFonts w:ascii="Times New Roman" w:hAnsi="Times New Roman" w:cs="Times New Roman"/>
                <w:sz w:val="24"/>
                <w:szCs w:val="24"/>
              </w:rPr>
              <w:t>N/A</w:t>
            </w:r>
          </w:p>
        </w:tc>
      </w:tr>
      <w:tr w:rsidR="00393984" w:rsidRPr="00252E57" w:rsidTr="00393984">
        <w:trPr>
          <w:trHeight w:val="352"/>
          <w:jc w:val="center"/>
        </w:trPr>
        <w:tc>
          <w:tcPr>
            <w:tcW w:w="1988" w:type="dxa"/>
            <w:vAlign w:val="center"/>
          </w:tcPr>
          <w:p w:rsidR="00393984" w:rsidRPr="00252E57" w:rsidRDefault="00393984" w:rsidP="00393984">
            <w:pPr>
              <w:rPr>
                <w:rFonts w:ascii="Times New Roman" w:hAnsi="Times New Roman" w:cs="Times New Roman"/>
                <w:b/>
                <w:sz w:val="24"/>
                <w:szCs w:val="24"/>
              </w:rPr>
            </w:pPr>
            <w:r w:rsidRPr="00252E57">
              <w:rPr>
                <w:rFonts w:ascii="Times New Roman" w:hAnsi="Times New Roman" w:cs="Times New Roman"/>
                <w:b/>
                <w:sz w:val="24"/>
                <w:szCs w:val="24"/>
              </w:rPr>
              <w:t>Right to Be Informed</w:t>
            </w:r>
          </w:p>
        </w:tc>
        <w:tc>
          <w:tcPr>
            <w:tcW w:w="1988" w:type="dxa"/>
            <w:vAlign w:val="center"/>
          </w:tcPr>
          <w:p w:rsidR="00393984" w:rsidRPr="00252E57" w:rsidRDefault="00531666" w:rsidP="00393984">
            <w:pPr>
              <w:rPr>
                <w:rFonts w:ascii="Times New Roman" w:hAnsi="Times New Roman" w:cs="Times New Roman"/>
                <w:sz w:val="24"/>
                <w:szCs w:val="24"/>
              </w:rPr>
            </w:pPr>
            <w:r>
              <w:rPr>
                <w:rFonts w:ascii="Times New Roman" w:hAnsi="Times New Roman" w:cs="Times New Roman"/>
                <w:sz w:val="24"/>
                <w:szCs w:val="24"/>
              </w:rPr>
              <w:t>NJ, RI</w:t>
            </w:r>
          </w:p>
        </w:tc>
        <w:tc>
          <w:tcPr>
            <w:tcW w:w="1990" w:type="dxa"/>
            <w:vAlign w:val="center"/>
          </w:tcPr>
          <w:p w:rsidR="00393984" w:rsidRPr="00252E57" w:rsidRDefault="00393984" w:rsidP="00393984">
            <w:pPr>
              <w:rPr>
                <w:rFonts w:ascii="Times New Roman" w:hAnsi="Times New Roman" w:cs="Times New Roman"/>
                <w:sz w:val="24"/>
                <w:szCs w:val="24"/>
              </w:rPr>
            </w:pPr>
            <w:r w:rsidRPr="00252E57">
              <w:rPr>
                <w:rFonts w:ascii="Times New Roman" w:hAnsi="Times New Roman" w:cs="Times New Roman"/>
                <w:sz w:val="24"/>
                <w:szCs w:val="24"/>
              </w:rPr>
              <w:t>AL, AK, CA, CO, CT, FL, ID, IL, IN, KS, MD, MI, MS</w:t>
            </w:r>
            <w:r w:rsidR="007940FB">
              <w:rPr>
                <w:rFonts w:ascii="Times New Roman" w:hAnsi="Times New Roman" w:cs="Times New Roman"/>
                <w:sz w:val="24"/>
                <w:szCs w:val="24"/>
              </w:rPr>
              <w:t>**</w:t>
            </w:r>
            <w:r w:rsidRPr="00252E57">
              <w:rPr>
                <w:rFonts w:ascii="Times New Roman" w:hAnsi="Times New Roman" w:cs="Times New Roman"/>
                <w:sz w:val="24"/>
                <w:szCs w:val="24"/>
              </w:rPr>
              <w:t>, NE, NV, NM, NC, OH, OK, TN, TX, UT, VA, W</w:t>
            </w:r>
            <w:r w:rsidR="00531666">
              <w:rPr>
                <w:rFonts w:ascii="Times New Roman" w:hAnsi="Times New Roman" w:cs="Times New Roman"/>
                <w:sz w:val="24"/>
                <w:szCs w:val="24"/>
              </w:rPr>
              <w:t>A, W</w:t>
            </w:r>
            <w:r w:rsidRPr="00252E57">
              <w:rPr>
                <w:rFonts w:ascii="Times New Roman" w:hAnsi="Times New Roman" w:cs="Times New Roman"/>
                <w:sz w:val="24"/>
                <w:szCs w:val="24"/>
              </w:rPr>
              <w:t>I</w:t>
            </w:r>
          </w:p>
        </w:tc>
        <w:tc>
          <w:tcPr>
            <w:tcW w:w="1990" w:type="dxa"/>
            <w:vAlign w:val="center"/>
          </w:tcPr>
          <w:p w:rsidR="00393984" w:rsidRPr="00252E57" w:rsidRDefault="00393984" w:rsidP="00393984">
            <w:pPr>
              <w:rPr>
                <w:rFonts w:ascii="Times New Roman" w:hAnsi="Times New Roman" w:cs="Times New Roman"/>
                <w:sz w:val="24"/>
                <w:szCs w:val="24"/>
              </w:rPr>
            </w:pPr>
            <w:r w:rsidRPr="00252E57">
              <w:rPr>
                <w:rFonts w:ascii="Times New Roman" w:hAnsi="Times New Roman" w:cs="Times New Roman"/>
                <w:sz w:val="24"/>
                <w:szCs w:val="24"/>
              </w:rPr>
              <w:t>AZ, LA, MO, OR, SC</w:t>
            </w:r>
          </w:p>
        </w:tc>
        <w:tc>
          <w:tcPr>
            <w:tcW w:w="1990" w:type="dxa"/>
            <w:vAlign w:val="center"/>
          </w:tcPr>
          <w:p w:rsidR="00393984" w:rsidRPr="00252E57" w:rsidRDefault="00393984" w:rsidP="00393984">
            <w:pPr>
              <w:rPr>
                <w:rFonts w:ascii="Times New Roman" w:hAnsi="Times New Roman" w:cs="Times New Roman"/>
                <w:sz w:val="24"/>
                <w:szCs w:val="24"/>
              </w:rPr>
            </w:pPr>
            <w:r w:rsidRPr="00252E57">
              <w:rPr>
                <w:rFonts w:ascii="Times New Roman" w:hAnsi="Times New Roman" w:cs="Times New Roman"/>
                <w:sz w:val="24"/>
                <w:szCs w:val="24"/>
              </w:rPr>
              <w:t>N/A</w:t>
            </w:r>
          </w:p>
        </w:tc>
      </w:tr>
      <w:tr w:rsidR="00393984" w:rsidRPr="00252E57" w:rsidTr="00393984">
        <w:trPr>
          <w:trHeight w:val="1700"/>
          <w:jc w:val="center"/>
        </w:trPr>
        <w:tc>
          <w:tcPr>
            <w:tcW w:w="1988" w:type="dxa"/>
            <w:vAlign w:val="center"/>
          </w:tcPr>
          <w:p w:rsidR="00393984" w:rsidRPr="00252E57" w:rsidRDefault="00393984" w:rsidP="00393984">
            <w:pPr>
              <w:rPr>
                <w:rFonts w:ascii="Times New Roman" w:hAnsi="Times New Roman" w:cs="Times New Roman"/>
                <w:b/>
                <w:sz w:val="24"/>
                <w:szCs w:val="24"/>
              </w:rPr>
            </w:pPr>
            <w:r w:rsidRPr="00252E57">
              <w:rPr>
                <w:rFonts w:ascii="Times New Roman" w:hAnsi="Times New Roman" w:cs="Times New Roman"/>
                <w:b/>
                <w:sz w:val="24"/>
                <w:szCs w:val="24"/>
              </w:rPr>
              <w:t>Right to Be Heard</w:t>
            </w:r>
          </w:p>
        </w:tc>
        <w:tc>
          <w:tcPr>
            <w:tcW w:w="1988" w:type="dxa"/>
            <w:vAlign w:val="center"/>
          </w:tcPr>
          <w:p w:rsidR="00393984" w:rsidRPr="00252E57" w:rsidRDefault="00393984" w:rsidP="00393984">
            <w:pPr>
              <w:rPr>
                <w:rFonts w:ascii="Times New Roman" w:hAnsi="Times New Roman" w:cs="Times New Roman"/>
                <w:sz w:val="24"/>
                <w:szCs w:val="24"/>
              </w:rPr>
            </w:pPr>
            <w:r w:rsidRPr="00252E57">
              <w:rPr>
                <w:rFonts w:ascii="Times New Roman" w:hAnsi="Times New Roman" w:cs="Times New Roman"/>
                <w:sz w:val="24"/>
                <w:szCs w:val="24"/>
              </w:rPr>
              <w:t>NJ, OH</w:t>
            </w:r>
            <w:r w:rsidR="00995682">
              <w:rPr>
                <w:rFonts w:ascii="Times New Roman" w:hAnsi="Times New Roman" w:cs="Times New Roman"/>
                <w:sz w:val="24"/>
                <w:szCs w:val="24"/>
              </w:rPr>
              <w:t>***</w:t>
            </w:r>
          </w:p>
        </w:tc>
        <w:tc>
          <w:tcPr>
            <w:tcW w:w="1990" w:type="dxa"/>
            <w:vAlign w:val="center"/>
          </w:tcPr>
          <w:p w:rsidR="00393984" w:rsidRPr="00252E57" w:rsidRDefault="00075541" w:rsidP="00075541">
            <w:pPr>
              <w:rPr>
                <w:rFonts w:ascii="Times New Roman" w:hAnsi="Times New Roman" w:cs="Times New Roman"/>
                <w:sz w:val="24"/>
                <w:szCs w:val="24"/>
              </w:rPr>
            </w:pPr>
            <w:r>
              <w:rPr>
                <w:rFonts w:ascii="Times New Roman" w:hAnsi="Times New Roman" w:cs="Times New Roman"/>
                <w:sz w:val="24"/>
                <w:szCs w:val="24"/>
              </w:rPr>
              <w:t xml:space="preserve">AL, CO, </w:t>
            </w:r>
            <w:r w:rsidR="00145EF9">
              <w:rPr>
                <w:rFonts w:ascii="Times New Roman" w:hAnsi="Times New Roman" w:cs="Times New Roman"/>
                <w:sz w:val="24"/>
                <w:szCs w:val="24"/>
              </w:rPr>
              <w:t xml:space="preserve">FL, </w:t>
            </w:r>
            <w:r w:rsidR="00393984" w:rsidRPr="00252E57">
              <w:rPr>
                <w:rFonts w:ascii="Times New Roman" w:hAnsi="Times New Roman" w:cs="Times New Roman"/>
                <w:sz w:val="24"/>
                <w:szCs w:val="24"/>
              </w:rPr>
              <w:t>IN, KS, MD</w:t>
            </w:r>
            <w:r w:rsidR="009911DA">
              <w:rPr>
                <w:rFonts w:ascii="Times New Roman" w:hAnsi="Times New Roman" w:cs="Times New Roman"/>
                <w:sz w:val="24"/>
                <w:szCs w:val="24"/>
              </w:rPr>
              <w:t>**</w:t>
            </w:r>
            <w:r w:rsidR="00393984" w:rsidRPr="00252E57">
              <w:rPr>
                <w:rFonts w:ascii="Times New Roman" w:hAnsi="Times New Roman" w:cs="Times New Roman"/>
                <w:sz w:val="24"/>
                <w:szCs w:val="24"/>
              </w:rPr>
              <w:t>, MS</w:t>
            </w:r>
            <w:r w:rsidR="007940FB">
              <w:rPr>
                <w:rFonts w:ascii="Times New Roman" w:hAnsi="Times New Roman" w:cs="Times New Roman"/>
                <w:sz w:val="24"/>
                <w:szCs w:val="24"/>
              </w:rPr>
              <w:t>**</w:t>
            </w:r>
            <w:r w:rsidR="00393984" w:rsidRPr="00252E57">
              <w:rPr>
                <w:rFonts w:ascii="Times New Roman" w:hAnsi="Times New Roman" w:cs="Times New Roman"/>
                <w:sz w:val="24"/>
                <w:szCs w:val="24"/>
              </w:rPr>
              <w:t>, MO, NB, NV, OK, RI, TX, UT, WA</w:t>
            </w:r>
          </w:p>
        </w:tc>
        <w:tc>
          <w:tcPr>
            <w:tcW w:w="1990" w:type="dxa"/>
            <w:vAlign w:val="center"/>
          </w:tcPr>
          <w:p w:rsidR="00393984" w:rsidRPr="00252E57" w:rsidRDefault="00393984" w:rsidP="00393984">
            <w:pPr>
              <w:rPr>
                <w:rFonts w:ascii="Times New Roman" w:hAnsi="Times New Roman" w:cs="Times New Roman"/>
                <w:sz w:val="24"/>
                <w:szCs w:val="24"/>
              </w:rPr>
            </w:pPr>
            <w:r w:rsidRPr="00252E57">
              <w:rPr>
                <w:rFonts w:ascii="Times New Roman" w:hAnsi="Times New Roman" w:cs="Times New Roman"/>
                <w:sz w:val="24"/>
                <w:szCs w:val="24"/>
              </w:rPr>
              <w:t xml:space="preserve">AK, AZ, CA, </w:t>
            </w:r>
            <w:r w:rsidR="00075541">
              <w:rPr>
                <w:rFonts w:ascii="Times New Roman" w:hAnsi="Times New Roman" w:cs="Times New Roman"/>
                <w:sz w:val="24"/>
                <w:szCs w:val="24"/>
              </w:rPr>
              <w:t>CT,</w:t>
            </w:r>
            <w:r w:rsidR="00145EF9">
              <w:rPr>
                <w:rFonts w:ascii="Times New Roman" w:hAnsi="Times New Roman" w:cs="Times New Roman"/>
                <w:sz w:val="24"/>
                <w:szCs w:val="24"/>
              </w:rPr>
              <w:t xml:space="preserve"> ID,</w:t>
            </w:r>
            <w:r w:rsidR="00075541">
              <w:rPr>
                <w:rFonts w:ascii="Times New Roman" w:hAnsi="Times New Roman" w:cs="Times New Roman"/>
                <w:sz w:val="24"/>
                <w:szCs w:val="24"/>
              </w:rPr>
              <w:t xml:space="preserve"> </w:t>
            </w:r>
            <w:r w:rsidRPr="00252E57">
              <w:rPr>
                <w:rFonts w:ascii="Times New Roman" w:hAnsi="Times New Roman" w:cs="Times New Roman"/>
                <w:sz w:val="24"/>
                <w:szCs w:val="24"/>
              </w:rPr>
              <w:t>IL, LA, MI, NM, NC, OR, SC, TN, VA, WI</w:t>
            </w:r>
          </w:p>
        </w:tc>
        <w:tc>
          <w:tcPr>
            <w:tcW w:w="1990" w:type="dxa"/>
            <w:vAlign w:val="center"/>
          </w:tcPr>
          <w:p w:rsidR="00393984" w:rsidRPr="00252E57" w:rsidRDefault="00393984" w:rsidP="00393984">
            <w:pPr>
              <w:rPr>
                <w:rFonts w:ascii="Times New Roman" w:hAnsi="Times New Roman" w:cs="Times New Roman"/>
                <w:sz w:val="24"/>
                <w:szCs w:val="24"/>
              </w:rPr>
            </w:pPr>
            <w:r w:rsidRPr="00252E57">
              <w:rPr>
                <w:rFonts w:ascii="Times New Roman" w:hAnsi="Times New Roman" w:cs="Times New Roman"/>
                <w:sz w:val="24"/>
                <w:szCs w:val="24"/>
              </w:rPr>
              <w:t>N/A</w:t>
            </w:r>
          </w:p>
        </w:tc>
      </w:tr>
    </w:tbl>
    <w:p w:rsidR="00252E57" w:rsidRPr="008D5D34" w:rsidRDefault="00145EF9" w:rsidP="00393984">
      <w:pPr>
        <w:spacing w:line="240" w:lineRule="auto"/>
        <w:rPr>
          <w:rFonts w:ascii="Times New Roman" w:hAnsi="Times New Roman" w:cs="Times New Roman"/>
          <w:sz w:val="20"/>
          <w:szCs w:val="20"/>
        </w:rPr>
      </w:pPr>
      <w:r w:rsidRPr="008D5D34">
        <w:rPr>
          <w:rFonts w:ascii="Times New Roman" w:hAnsi="Times New Roman" w:cs="Times New Roman"/>
          <w:sz w:val="20"/>
          <w:szCs w:val="20"/>
        </w:rPr>
        <w:t>*These states do not have particular provisions for these rights, however, the language regarding the right may be implicit, in some cases, within the right to address the court (the right to be heard)</w:t>
      </w:r>
      <w:r w:rsidR="009911DA">
        <w:rPr>
          <w:rFonts w:ascii="Times New Roman" w:hAnsi="Times New Roman" w:cs="Times New Roman"/>
          <w:sz w:val="20"/>
          <w:szCs w:val="20"/>
        </w:rPr>
        <w:t>.</w:t>
      </w:r>
      <w:r w:rsidRPr="008D5D34">
        <w:rPr>
          <w:rFonts w:ascii="Times New Roman" w:hAnsi="Times New Roman" w:cs="Times New Roman"/>
          <w:sz w:val="20"/>
          <w:szCs w:val="20"/>
        </w:rPr>
        <w:t xml:space="preserve">  </w:t>
      </w:r>
    </w:p>
    <w:p w:rsidR="007940FB" w:rsidRPr="008D5D34" w:rsidRDefault="007940FB" w:rsidP="00393984">
      <w:pPr>
        <w:spacing w:line="240" w:lineRule="auto"/>
        <w:rPr>
          <w:rFonts w:ascii="Times New Roman" w:hAnsi="Times New Roman" w:cs="Times New Roman"/>
          <w:color w:val="000000"/>
          <w:sz w:val="20"/>
          <w:szCs w:val="20"/>
        </w:rPr>
      </w:pPr>
      <w:r w:rsidRPr="008D5D34">
        <w:rPr>
          <w:rFonts w:ascii="Times New Roman" w:hAnsi="Times New Roman" w:cs="Times New Roman"/>
          <w:sz w:val="20"/>
          <w:szCs w:val="20"/>
        </w:rPr>
        <w:t xml:space="preserve">**A search for provisions is returned with 0 results, however, a manual analysis of the constitution </w:t>
      </w:r>
      <w:r w:rsidR="009911DA">
        <w:rPr>
          <w:rFonts w:ascii="Times New Roman" w:hAnsi="Times New Roman" w:cs="Times New Roman"/>
          <w:sz w:val="20"/>
          <w:szCs w:val="20"/>
        </w:rPr>
        <w:t>suggests the presence of such a provision.  (See Appendix C for coding notes.)</w:t>
      </w:r>
    </w:p>
    <w:p w:rsidR="00995682" w:rsidRPr="008D5D34" w:rsidRDefault="00995682" w:rsidP="00393984">
      <w:pPr>
        <w:spacing w:line="240" w:lineRule="auto"/>
        <w:rPr>
          <w:rFonts w:ascii="Times New Roman" w:hAnsi="Times New Roman" w:cs="Times New Roman"/>
          <w:sz w:val="20"/>
          <w:szCs w:val="20"/>
        </w:rPr>
      </w:pPr>
      <w:r w:rsidRPr="008D5D34">
        <w:rPr>
          <w:rFonts w:ascii="Times New Roman" w:hAnsi="Times New Roman" w:cs="Times New Roman"/>
          <w:color w:val="000000"/>
          <w:sz w:val="20"/>
          <w:szCs w:val="20"/>
        </w:rPr>
        <w:t>***</w:t>
      </w:r>
      <w:r w:rsidR="008D5D34">
        <w:rPr>
          <w:rFonts w:ascii="Times New Roman" w:hAnsi="Times New Roman" w:cs="Times New Roman"/>
          <w:color w:val="000000"/>
          <w:sz w:val="20"/>
          <w:szCs w:val="20"/>
        </w:rPr>
        <w:t>A search for Ohio provisions results in a return under</w:t>
      </w:r>
      <w:r w:rsidRPr="008D5D34">
        <w:rPr>
          <w:rFonts w:ascii="Times New Roman" w:hAnsi="Times New Roman" w:cs="Times New Roman"/>
          <w:color w:val="000000"/>
          <w:sz w:val="20"/>
          <w:szCs w:val="20"/>
        </w:rPr>
        <w:t xml:space="preserve"> </w:t>
      </w:r>
      <w:r w:rsidR="008D5D34">
        <w:rPr>
          <w:rFonts w:ascii="Times New Roman" w:hAnsi="Times New Roman" w:cs="Times New Roman"/>
          <w:color w:val="000000"/>
          <w:sz w:val="20"/>
          <w:szCs w:val="20"/>
        </w:rPr>
        <w:t>“</w:t>
      </w:r>
      <w:r w:rsidRPr="008D5D34">
        <w:rPr>
          <w:rFonts w:ascii="Times New Roman" w:hAnsi="Times New Roman" w:cs="Times New Roman"/>
          <w:color w:val="000000"/>
          <w:sz w:val="20"/>
          <w:szCs w:val="20"/>
        </w:rPr>
        <w:t>communications with court</w:t>
      </w:r>
      <w:r w:rsidR="008D5D34">
        <w:rPr>
          <w:rFonts w:ascii="Times New Roman" w:hAnsi="Times New Roman" w:cs="Times New Roman"/>
          <w:color w:val="000000"/>
          <w:sz w:val="20"/>
          <w:szCs w:val="20"/>
        </w:rPr>
        <w:t>”</w:t>
      </w:r>
      <w:r w:rsidRPr="008D5D34">
        <w:rPr>
          <w:rFonts w:ascii="Times New Roman" w:hAnsi="Times New Roman" w:cs="Times New Roman"/>
          <w:color w:val="000000"/>
          <w:sz w:val="20"/>
          <w:szCs w:val="20"/>
        </w:rPr>
        <w:t xml:space="preserve"> but </w:t>
      </w:r>
      <w:r w:rsidR="008D5D34">
        <w:rPr>
          <w:rFonts w:ascii="Times New Roman" w:hAnsi="Times New Roman" w:cs="Times New Roman"/>
          <w:color w:val="000000"/>
          <w:sz w:val="20"/>
          <w:szCs w:val="20"/>
        </w:rPr>
        <w:t xml:space="preserve">manual analysis indicates that </w:t>
      </w:r>
      <w:r w:rsidRPr="008D5D34">
        <w:rPr>
          <w:rFonts w:ascii="Times New Roman" w:hAnsi="Times New Roman" w:cs="Times New Roman"/>
          <w:color w:val="000000"/>
          <w:sz w:val="20"/>
          <w:szCs w:val="20"/>
        </w:rPr>
        <w:t>provision does not explicitly specify a right to be heard</w:t>
      </w:r>
      <w:r w:rsidR="008D5D34">
        <w:rPr>
          <w:rFonts w:ascii="Times New Roman" w:hAnsi="Times New Roman" w:cs="Times New Roman"/>
          <w:color w:val="000000"/>
          <w:sz w:val="20"/>
          <w:szCs w:val="20"/>
        </w:rPr>
        <w:t>.</w:t>
      </w:r>
    </w:p>
    <w:p w:rsidR="00252E57" w:rsidRDefault="00252E57" w:rsidP="00393984">
      <w:pPr>
        <w:spacing w:line="240" w:lineRule="auto"/>
        <w:rPr>
          <w:rFonts w:ascii="Times New Roman" w:hAnsi="Times New Roman" w:cs="Times New Roman"/>
          <w:b/>
          <w:sz w:val="24"/>
          <w:szCs w:val="24"/>
        </w:rPr>
      </w:pPr>
    </w:p>
    <w:p w:rsidR="00BE4EFE" w:rsidRDefault="00BE4EFE" w:rsidP="00A948DE">
      <w:p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The results</w:t>
      </w:r>
      <w:r w:rsidR="00B1090A">
        <w:rPr>
          <w:rFonts w:ascii="Times New Roman" w:hAnsi="Times New Roman" w:cs="Times New Roman"/>
          <w:sz w:val="24"/>
          <w:szCs w:val="24"/>
        </w:rPr>
        <w:t xml:space="preserve"> suggest that some states’ victims’ rights constitutional amendments are stronger than others.  </w:t>
      </w:r>
      <w:r>
        <w:rPr>
          <w:rFonts w:ascii="Times New Roman" w:hAnsi="Times New Roman" w:cs="Times New Roman"/>
          <w:sz w:val="24"/>
          <w:szCs w:val="24"/>
        </w:rPr>
        <w:t xml:space="preserve">States such as Ohio, New Jersey and Rhode Island each have 0 scores in two of the three rights examined, suggesting </w:t>
      </w:r>
      <w:r w:rsidR="00B1090A">
        <w:rPr>
          <w:rFonts w:ascii="Times New Roman" w:hAnsi="Times New Roman" w:cs="Times New Roman"/>
          <w:sz w:val="24"/>
          <w:szCs w:val="24"/>
        </w:rPr>
        <w:t xml:space="preserve">less explicit or less expansive </w:t>
      </w:r>
      <w:r>
        <w:rPr>
          <w:rFonts w:ascii="Times New Roman" w:hAnsi="Times New Roman" w:cs="Times New Roman"/>
          <w:sz w:val="24"/>
          <w:szCs w:val="24"/>
        </w:rPr>
        <w:t xml:space="preserve">provisions than those of the other states.  Conversely, states such as </w:t>
      </w:r>
      <w:r w:rsidR="00A948DE">
        <w:rPr>
          <w:rFonts w:ascii="Times New Roman" w:hAnsi="Times New Roman" w:cs="Times New Roman"/>
          <w:sz w:val="24"/>
          <w:szCs w:val="24"/>
        </w:rPr>
        <w:t>Oregon, Arizona</w:t>
      </w:r>
      <w:r w:rsidR="00995682">
        <w:rPr>
          <w:rFonts w:ascii="Times New Roman" w:hAnsi="Times New Roman" w:cs="Times New Roman"/>
          <w:sz w:val="24"/>
          <w:szCs w:val="24"/>
        </w:rPr>
        <w:t xml:space="preserve">, South Carolina, </w:t>
      </w:r>
      <w:r w:rsidR="00A948DE">
        <w:rPr>
          <w:rFonts w:ascii="Times New Roman" w:hAnsi="Times New Roman" w:cs="Times New Roman"/>
          <w:sz w:val="24"/>
          <w:szCs w:val="24"/>
        </w:rPr>
        <w:t>Illinois</w:t>
      </w:r>
      <w:r w:rsidR="00995682">
        <w:rPr>
          <w:rFonts w:ascii="Times New Roman" w:hAnsi="Times New Roman" w:cs="Times New Roman"/>
          <w:sz w:val="24"/>
          <w:szCs w:val="24"/>
        </w:rPr>
        <w:t>, Louisiana and New Mexico</w:t>
      </w:r>
      <w:r w:rsidR="00A948DE">
        <w:rPr>
          <w:rFonts w:ascii="Times New Roman" w:hAnsi="Times New Roman" w:cs="Times New Roman"/>
          <w:sz w:val="24"/>
          <w:szCs w:val="24"/>
        </w:rPr>
        <w:t xml:space="preserve"> have scores of 2 in two of the three rights examined, suggesting their constitutional provisions are more complex than those of the other states.  </w:t>
      </w:r>
    </w:p>
    <w:p w:rsidR="00B1090A" w:rsidRDefault="00B1090A" w:rsidP="00A948DE">
      <w:pPr>
        <w:spacing w:line="480" w:lineRule="auto"/>
        <w:rPr>
          <w:rFonts w:ascii="Times New Roman" w:hAnsi="Times New Roman" w:cs="Times New Roman"/>
          <w:sz w:val="24"/>
          <w:szCs w:val="24"/>
        </w:rPr>
      </w:pPr>
      <w:r>
        <w:rPr>
          <w:rFonts w:ascii="Times New Roman" w:hAnsi="Times New Roman" w:cs="Times New Roman"/>
          <w:sz w:val="24"/>
          <w:szCs w:val="24"/>
        </w:rPr>
        <w:tab/>
        <w:t>Scores for each state could be further analyzed by adding them together to get an overall score.</w:t>
      </w:r>
      <w:r w:rsidR="00695960">
        <w:rPr>
          <w:rFonts w:ascii="Times New Roman" w:hAnsi="Times New Roman" w:cs="Times New Roman"/>
          <w:sz w:val="24"/>
          <w:szCs w:val="24"/>
        </w:rPr>
        <w:t xml:space="preserve">  (See Table 3.)</w:t>
      </w:r>
      <w:r>
        <w:rPr>
          <w:rFonts w:ascii="Times New Roman" w:hAnsi="Times New Roman" w:cs="Times New Roman"/>
          <w:sz w:val="24"/>
          <w:szCs w:val="24"/>
        </w:rPr>
        <w:t xml:space="preserve">  Results for this</w:t>
      </w:r>
      <w:r w:rsidR="005043F6">
        <w:rPr>
          <w:rFonts w:ascii="Times New Roman" w:hAnsi="Times New Roman" w:cs="Times New Roman"/>
          <w:sz w:val="24"/>
          <w:szCs w:val="24"/>
        </w:rPr>
        <w:t xml:space="preserve"> indicated states such as Ohio and Rhode Island scored the lowest with a total score of 1 while states such as Arizona, Illinois, Lou</w:t>
      </w:r>
      <w:r w:rsidR="007D74EC">
        <w:rPr>
          <w:rFonts w:ascii="Times New Roman" w:hAnsi="Times New Roman" w:cs="Times New Roman"/>
          <w:sz w:val="24"/>
          <w:szCs w:val="24"/>
        </w:rPr>
        <w:t xml:space="preserve">isiana, New Mexico, Oregon, </w:t>
      </w:r>
      <w:r w:rsidR="005043F6">
        <w:rPr>
          <w:rFonts w:ascii="Times New Roman" w:hAnsi="Times New Roman" w:cs="Times New Roman"/>
          <w:sz w:val="24"/>
          <w:szCs w:val="24"/>
        </w:rPr>
        <w:t>South Carolina</w:t>
      </w:r>
      <w:r w:rsidR="007D74EC">
        <w:rPr>
          <w:rFonts w:ascii="Times New Roman" w:hAnsi="Times New Roman" w:cs="Times New Roman"/>
          <w:sz w:val="24"/>
          <w:szCs w:val="24"/>
        </w:rPr>
        <w:t>, and Wisconsin</w:t>
      </w:r>
      <w:r w:rsidR="005043F6">
        <w:rPr>
          <w:rFonts w:ascii="Times New Roman" w:hAnsi="Times New Roman" w:cs="Times New Roman"/>
          <w:sz w:val="24"/>
          <w:szCs w:val="24"/>
        </w:rPr>
        <w:t xml:space="preserve"> scored </w:t>
      </w:r>
      <w:r w:rsidR="007D74EC">
        <w:rPr>
          <w:rFonts w:ascii="Times New Roman" w:hAnsi="Times New Roman" w:cs="Times New Roman"/>
          <w:sz w:val="24"/>
          <w:szCs w:val="24"/>
        </w:rPr>
        <w:t xml:space="preserve">the highest with scores </w:t>
      </w:r>
      <w:r w:rsidR="001067A2">
        <w:rPr>
          <w:rFonts w:ascii="Times New Roman" w:hAnsi="Times New Roman" w:cs="Times New Roman"/>
          <w:sz w:val="24"/>
          <w:szCs w:val="24"/>
        </w:rPr>
        <w:t>of 5.  Eight states scored 4, 14</w:t>
      </w:r>
      <w:r w:rsidR="005043F6">
        <w:rPr>
          <w:rFonts w:ascii="Times New Roman" w:hAnsi="Times New Roman" w:cs="Times New Roman"/>
          <w:sz w:val="24"/>
          <w:szCs w:val="24"/>
        </w:rPr>
        <w:t xml:space="preserve"> states scored 3 and </w:t>
      </w:r>
      <w:r w:rsidR="007D74EC">
        <w:rPr>
          <w:rFonts w:ascii="Times New Roman" w:hAnsi="Times New Roman" w:cs="Times New Roman"/>
          <w:sz w:val="24"/>
          <w:szCs w:val="24"/>
        </w:rPr>
        <w:t>one</w:t>
      </w:r>
      <w:r w:rsidR="005043F6">
        <w:rPr>
          <w:rFonts w:ascii="Times New Roman" w:hAnsi="Times New Roman" w:cs="Times New Roman"/>
          <w:sz w:val="24"/>
          <w:szCs w:val="24"/>
        </w:rPr>
        <w:t xml:space="preserve"> state scored 2.  </w:t>
      </w:r>
    </w:p>
    <w:p w:rsidR="007D74EC" w:rsidRDefault="007D74EC" w:rsidP="00A948DE">
      <w:pPr>
        <w:spacing w:line="480" w:lineRule="auto"/>
        <w:rPr>
          <w:rFonts w:ascii="Times New Roman" w:hAnsi="Times New Roman" w:cs="Times New Roman"/>
          <w:sz w:val="24"/>
          <w:szCs w:val="24"/>
        </w:rPr>
      </w:pPr>
    </w:p>
    <w:p w:rsidR="007D74EC" w:rsidRDefault="007D74EC" w:rsidP="00A948DE">
      <w:pPr>
        <w:spacing w:line="480" w:lineRule="auto"/>
        <w:rPr>
          <w:rFonts w:ascii="Times New Roman" w:hAnsi="Times New Roman" w:cs="Times New Roman"/>
          <w:sz w:val="24"/>
          <w:szCs w:val="24"/>
        </w:rPr>
      </w:pPr>
      <w:r>
        <w:rPr>
          <w:rFonts w:ascii="Times New Roman" w:hAnsi="Times New Roman" w:cs="Times New Roman"/>
          <w:sz w:val="24"/>
          <w:szCs w:val="24"/>
        </w:rPr>
        <w:t xml:space="preserve">Table 3. </w:t>
      </w:r>
      <w:r>
        <w:rPr>
          <w:rFonts w:ascii="Times New Roman" w:hAnsi="Times New Roman" w:cs="Times New Roman"/>
          <w:sz w:val="24"/>
          <w:szCs w:val="24"/>
        </w:rPr>
        <w:t>Overall Provision Scores by State</w:t>
      </w:r>
    </w:p>
    <w:p w:rsidR="00695960" w:rsidRDefault="007D74EC" w:rsidP="00A948DE">
      <w:pPr>
        <w:spacing w:line="480" w:lineRule="auto"/>
        <w:rPr>
          <w:rFonts w:ascii="Times New Roman" w:hAnsi="Times New Roman" w:cs="Times New Roman"/>
          <w:sz w:val="24"/>
          <w:szCs w:val="24"/>
        </w:rPr>
      </w:pPr>
      <w:r>
        <w:rPr>
          <w:noProof/>
        </w:rPr>
        <w:drawing>
          <wp:inline distT="0" distB="0" distL="0" distR="0" wp14:anchorId="163AC3E7" wp14:editId="7564EFFC">
            <wp:extent cx="5943600" cy="2637790"/>
            <wp:effectExtent l="0" t="0" r="0" b="101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043F6" w:rsidRDefault="005043F6" w:rsidP="00393984">
      <w:pPr>
        <w:spacing w:line="480" w:lineRule="auto"/>
        <w:rPr>
          <w:rFonts w:ascii="Times New Roman" w:hAnsi="Times New Roman" w:cs="Times New Roman"/>
          <w:b/>
          <w:sz w:val="24"/>
          <w:szCs w:val="24"/>
        </w:rPr>
      </w:pPr>
    </w:p>
    <w:p w:rsidR="00521A36" w:rsidRPr="00F53C5B" w:rsidRDefault="00521A36" w:rsidP="00393984">
      <w:pPr>
        <w:spacing w:line="480" w:lineRule="auto"/>
        <w:rPr>
          <w:rFonts w:ascii="Times New Roman" w:hAnsi="Times New Roman" w:cs="Times New Roman"/>
          <w:b/>
          <w:sz w:val="24"/>
          <w:szCs w:val="24"/>
        </w:rPr>
      </w:pPr>
      <w:r w:rsidRPr="00F53C5B">
        <w:rPr>
          <w:rFonts w:ascii="Times New Roman" w:hAnsi="Times New Roman" w:cs="Times New Roman"/>
          <w:b/>
          <w:sz w:val="24"/>
          <w:szCs w:val="24"/>
        </w:rPr>
        <w:lastRenderedPageBreak/>
        <w:t>Conclusion</w:t>
      </w:r>
    </w:p>
    <w:p w:rsidR="007434AF" w:rsidRPr="00F53C5B" w:rsidRDefault="00961A31" w:rsidP="00393984">
      <w:pPr>
        <w:spacing w:after="0" w:line="480" w:lineRule="auto"/>
        <w:ind w:firstLine="720"/>
        <w:rPr>
          <w:rFonts w:ascii="Times New Roman" w:hAnsi="Times New Roman" w:cs="Times New Roman"/>
          <w:sz w:val="24"/>
          <w:szCs w:val="24"/>
        </w:rPr>
      </w:pPr>
      <w:r w:rsidRPr="00F53C5B">
        <w:rPr>
          <w:rFonts w:ascii="Times New Roman" w:hAnsi="Times New Roman" w:cs="Times New Roman"/>
          <w:sz w:val="24"/>
          <w:szCs w:val="24"/>
        </w:rPr>
        <w:t>The content analysis suggested</w:t>
      </w:r>
      <w:r w:rsidR="00435107" w:rsidRPr="00F53C5B">
        <w:rPr>
          <w:rFonts w:ascii="Times New Roman" w:hAnsi="Times New Roman" w:cs="Times New Roman"/>
          <w:sz w:val="24"/>
          <w:szCs w:val="24"/>
        </w:rPr>
        <w:t xml:space="preserve"> important methodological limitations of the study.  Use of the Victim Law database </w:t>
      </w:r>
      <w:r w:rsidRPr="00F53C5B">
        <w:rPr>
          <w:rFonts w:ascii="Times New Roman" w:hAnsi="Times New Roman" w:cs="Times New Roman"/>
          <w:sz w:val="24"/>
          <w:szCs w:val="24"/>
        </w:rPr>
        <w:t>generat</w:t>
      </w:r>
      <w:r w:rsidR="00964EDA">
        <w:rPr>
          <w:rFonts w:ascii="Times New Roman" w:hAnsi="Times New Roman" w:cs="Times New Roman"/>
          <w:sz w:val="24"/>
          <w:szCs w:val="24"/>
        </w:rPr>
        <w:t xml:space="preserve">ed some concern </w:t>
      </w:r>
      <w:r w:rsidRPr="00F53C5B">
        <w:rPr>
          <w:rFonts w:ascii="Times New Roman" w:hAnsi="Times New Roman" w:cs="Times New Roman"/>
          <w:sz w:val="24"/>
          <w:szCs w:val="24"/>
        </w:rPr>
        <w:t>as the coder experienced a small number of search returns that appeared to reveal errors.  O</w:t>
      </w:r>
      <w:r w:rsidR="00964EDA">
        <w:rPr>
          <w:rFonts w:ascii="Times New Roman" w:hAnsi="Times New Roman" w:cs="Times New Roman"/>
          <w:sz w:val="24"/>
          <w:szCs w:val="24"/>
        </w:rPr>
        <w:t xml:space="preserve">ne type of error involved </w:t>
      </w:r>
      <w:r w:rsidRPr="00F53C5B">
        <w:rPr>
          <w:rFonts w:ascii="Times New Roman" w:hAnsi="Times New Roman" w:cs="Times New Roman"/>
          <w:sz w:val="24"/>
          <w:szCs w:val="24"/>
        </w:rPr>
        <w:t>search</w:t>
      </w:r>
      <w:r w:rsidR="00964EDA">
        <w:rPr>
          <w:rFonts w:ascii="Times New Roman" w:hAnsi="Times New Roman" w:cs="Times New Roman"/>
          <w:sz w:val="24"/>
          <w:szCs w:val="24"/>
        </w:rPr>
        <w:t xml:space="preserve">es </w:t>
      </w:r>
      <w:r w:rsidRPr="00F53C5B">
        <w:rPr>
          <w:rFonts w:ascii="Times New Roman" w:hAnsi="Times New Roman" w:cs="Times New Roman"/>
          <w:sz w:val="24"/>
          <w:szCs w:val="24"/>
        </w:rPr>
        <w:t xml:space="preserve">that returned a notice indicating one or more provisions had been located that represented a particular right, however no provisions were provided.  These search returns suggest some errors in the database that may affect the results of the study.  It is unknown to what extent the database accurately reflects the host of victims’ rights provisions throughout the United States. </w:t>
      </w:r>
      <w:r w:rsidR="00F609F9">
        <w:rPr>
          <w:rFonts w:ascii="Times New Roman" w:hAnsi="Times New Roman" w:cs="Times New Roman"/>
          <w:sz w:val="24"/>
          <w:szCs w:val="24"/>
        </w:rPr>
        <w:t xml:space="preserve">  A related issue that arose during coding involved a search return indicating that no provision for a particular right was found but a manual analysis by the coder determined that the provision may be </w:t>
      </w:r>
      <w:r w:rsidR="00964EDA">
        <w:rPr>
          <w:rFonts w:ascii="Times New Roman" w:hAnsi="Times New Roman" w:cs="Times New Roman"/>
          <w:sz w:val="24"/>
          <w:szCs w:val="24"/>
        </w:rPr>
        <w:t xml:space="preserve">implicit (See </w:t>
      </w:r>
      <w:r w:rsidR="00F609F9">
        <w:rPr>
          <w:rFonts w:ascii="Times New Roman" w:hAnsi="Times New Roman" w:cs="Times New Roman"/>
          <w:sz w:val="24"/>
          <w:szCs w:val="24"/>
        </w:rPr>
        <w:t>Appendix</w:t>
      </w:r>
      <w:r w:rsidR="00B830CA">
        <w:rPr>
          <w:rFonts w:ascii="Times New Roman" w:hAnsi="Times New Roman" w:cs="Times New Roman"/>
          <w:sz w:val="24"/>
          <w:szCs w:val="24"/>
        </w:rPr>
        <w:t xml:space="preserve"> C for coding notes</w:t>
      </w:r>
      <w:r w:rsidR="00F609F9">
        <w:rPr>
          <w:rFonts w:ascii="Times New Roman" w:hAnsi="Times New Roman" w:cs="Times New Roman"/>
          <w:sz w:val="24"/>
          <w:szCs w:val="24"/>
        </w:rPr>
        <w:t>).</w:t>
      </w:r>
      <w:r w:rsidR="00964EDA">
        <w:rPr>
          <w:rFonts w:ascii="Times New Roman" w:hAnsi="Times New Roman" w:cs="Times New Roman"/>
          <w:sz w:val="24"/>
          <w:szCs w:val="24"/>
        </w:rPr>
        <w:t xml:space="preserve">  As indicated in the table notes, on one occasion, a search resulted in a return (for an Ohio provision), but manual analysis suggested the provision was sufficiently vague to be counted.  </w:t>
      </w:r>
      <w:r w:rsidR="00F609F9">
        <w:rPr>
          <w:rFonts w:ascii="Times New Roman" w:hAnsi="Times New Roman" w:cs="Times New Roman"/>
          <w:sz w:val="24"/>
          <w:szCs w:val="24"/>
        </w:rPr>
        <w:t xml:space="preserve"> </w:t>
      </w:r>
    </w:p>
    <w:p w:rsidR="00FB46D8" w:rsidRDefault="00961A31" w:rsidP="00393984">
      <w:pPr>
        <w:spacing w:after="0" w:line="480" w:lineRule="auto"/>
        <w:ind w:firstLine="720"/>
        <w:rPr>
          <w:rFonts w:ascii="Times New Roman" w:hAnsi="Times New Roman" w:cs="Times New Roman"/>
          <w:sz w:val="24"/>
          <w:szCs w:val="24"/>
        </w:rPr>
      </w:pPr>
      <w:r w:rsidRPr="00F53C5B">
        <w:rPr>
          <w:rFonts w:ascii="Times New Roman" w:hAnsi="Times New Roman" w:cs="Times New Roman"/>
          <w:sz w:val="24"/>
          <w:szCs w:val="24"/>
        </w:rPr>
        <w:t xml:space="preserve">An additional limitation of the study involves the exclusion of </w:t>
      </w:r>
      <w:r w:rsidR="00C24017">
        <w:rPr>
          <w:rFonts w:ascii="Times New Roman" w:hAnsi="Times New Roman" w:cs="Times New Roman"/>
          <w:sz w:val="24"/>
          <w:szCs w:val="24"/>
        </w:rPr>
        <w:t>“limiting clauses”</w:t>
      </w:r>
      <w:r w:rsidRPr="00F53C5B">
        <w:rPr>
          <w:rFonts w:ascii="Times New Roman" w:hAnsi="Times New Roman" w:cs="Times New Roman"/>
          <w:sz w:val="24"/>
          <w:szCs w:val="24"/>
        </w:rPr>
        <w:t xml:space="preserve"> from consideration.  </w:t>
      </w:r>
      <w:r w:rsidR="00FB46D8" w:rsidRPr="00F53C5B">
        <w:rPr>
          <w:rFonts w:ascii="Times New Roman" w:hAnsi="Times New Roman" w:cs="Times New Roman"/>
          <w:sz w:val="24"/>
          <w:szCs w:val="24"/>
        </w:rPr>
        <w:t>Limiting clauses appear in a number of victims’ righ</w:t>
      </w:r>
      <w:r w:rsidRPr="00F53C5B">
        <w:rPr>
          <w:rFonts w:ascii="Times New Roman" w:hAnsi="Times New Roman" w:cs="Times New Roman"/>
          <w:sz w:val="24"/>
          <w:szCs w:val="24"/>
        </w:rPr>
        <w:t xml:space="preserve">ts constitutional amendments ostensibly for the purpose of ensuring that victims’ rights do not infringe upon the rights of defendants or subject a state to a lawsuit.  </w:t>
      </w:r>
      <w:r w:rsidR="00E3209D" w:rsidRPr="00F53C5B">
        <w:rPr>
          <w:rFonts w:ascii="Times New Roman" w:hAnsi="Times New Roman" w:cs="Times New Roman"/>
          <w:sz w:val="24"/>
          <w:szCs w:val="24"/>
        </w:rPr>
        <w:t>For example, the Alabama constitution</w:t>
      </w:r>
      <w:r w:rsidR="00FF5BBF">
        <w:rPr>
          <w:rFonts w:ascii="Times New Roman" w:hAnsi="Times New Roman" w:cs="Times New Roman"/>
          <w:sz w:val="24"/>
          <w:szCs w:val="24"/>
        </w:rPr>
        <w:t xml:space="preserve"> at Article 1, Section 6.01</w:t>
      </w:r>
      <w:r w:rsidR="00E3209D" w:rsidRPr="00F53C5B">
        <w:rPr>
          <w:rFonts w:ascii="Times New Roman" w:hAnsi="Times New Roman" w:cs="Times New Roman"/>
          <w:sz w:val="24"/>
          <w:szCs w:val="24"/>
        </w:rPr>
        <w:t xml:space="preserve"> provides victims a number of basic rights but indicates, “to the extent that these rights do not interfere with the constitutional rights of the person accused of committing the </w:t>
      </w:r>
      <w:r w:rsidR="00FF5BBF">
        <w:rPr>
          <w:rStyle w:val="term"/>
          <w:rFonts w:ascii="Times New Roman" w:hAnsi="Times New Roman" w:cs="Times New Roman"/>
          <w:sz w:val="24"/>
          <w:szCs w:val="24"/>
        </w:rPr>
        <w:t>crime.”</w:t>
      </w:r>
      <w:r w:rsidR="00E3209D" w:rsidRPr="00F53C5B">
        <w:rPr>
          <w:rStyle w:val="term"/>
          <w:rFonts w:ascii="Times New Roman" w:hAnsi="Times New Roman" w:cs="Times New Roman"/>
          <w:sz w:val="24"/>
          <w:szCs w:val="24"/>
        </w:rPr>
        <w:t xml:space="preserve"> </w:t>
      </w:r>
      <w:r w:rsidRPr="00F53C5B">
        <w:rPr>
          <w:rFonts w:ascii="Times New Roman" w:hAnsi="Times New Roman" w:cs="Times New Roman"/>
          <w:sz w:val="24"/>
          <w:szCs w:val="24"/>
        </w:rPr>
        <w:t xml:space="preserve">As such, it is possible that limiting clauses represent an important qualitative difference between provisions that have them and those that do not.  For example, a state which provides a number of provisions for crime victims but explicitly limits them through a clause may be argued to represent weaker victims’ rights than a state which provides for a number of provisions for </w:t>
      </w:r>
      <w:r w:rsidRPr="00F53C5B">
        <w:rPr>
          <w:rFonts w:ascii="Times New Roman" w:hAnsi="Times New Roman" w:cs="Times New Roman"/>
          <w:sz w:val="24"/>
          <w:szCs w:val="24"/>
        </w:rPr>
        <w:lastRenderedPageBreak/>
        <w:t>crime victims without a limiting clause.  This is because the limiting clause may provide sufficient room for interpretation for when victims’ rights must be upheld.  That is, i</w:t>
      </w:r>
      <w:r w:rsidR="00FB46D8" w:rsidRPr="00F53C5B">
        <w:rPr>
          <w:rFonts w:ascii="Times New Roman" w:hAnsi="Times New Roman" w:cs="Times New Roman"/>
          <w:sz w:val="24"/>
          <w:szCs w:val="24"/>
        </w:rPr>
        <w:t>t seems the limiting clauses could provide qualitative differences in how the victims’ rights provisions could be u</w:t>
      </w:r>
      <w:r w:rsidRPr="00F53C5B">
        <w:rPr>
          <w:rFonts w:ascii="Times New Roman" w:hAnsi="Times New Roman" w:cs="Times New Roman"/>
          <w:sz w:val="24"/>
          <w:szCs w:val="24"/>
        </w:rPr>
        <w:t xml:space="preserve">tilized; however, </w:t>
      </w:r>
      <w:r w:rsidR="00FB46D8" w:rsidRPr="00F53C5B">
        <w:rPr>
          <w:rFonts w:ascii="Times New Roman" w:hAnsi="Times New Roman" w:cs="Times New Roman"/>
          <w:sz w:val="24"/>
          <w:szCs w:val="24"/>
        </w:rPr>
        <w:t xml:space="preserve">more research is necessary to determine whether these limiting clauses actually results in a limit to victims’ rights.  </w:t>
      </w:r>
    </w:p>
    <w:p w:rsidR="00C24017" w:rsidRPr="00F53C5B" w:rsidRDefault="00C24017" w:rsidP="0094300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Furthermore, additional variation within the clauses appeared to be present but was not captured by the methods contained in this study.  That is, the yes or no system of coding that resulted in scores for each right by state appeared to provide more general information that might otherwise be </w:t>
      </w:r>
      <w:r w:rsidRPr="000E6935">
        <w:rPr>
          <w:rFonts w:ascii="Times New Roman" w:hAnsi="Times New Roman" w:cs="Times New Roman"/>
          <w:sz w:val="24"/>
          <w:szCs w:val="24"/>
        </w:rPr>
        <w:t xml:space="preserve">gleaned by a </w:t>
      </w:r>
      <w:r w:rsidR="002D3615" w:rsidRPr="000E6935">
        <w:rPr>
          <w:rFonts w:ascii="Times New Roman" w:hAnsi="Times New Roman" w:cs="Times New Roman"/>
          <w:sz w:val="24"/>
          <w:szCs w:val="24"/>
        </w:rPr>
        <w:t xml:space="preserve">more </w:t>
      </w:r>
      <w:r w:rsidRPr="000E6935">
        <w:rPr>
          <w:rFonts w:ascii="Times New Roman" w:hAnsi="Times New Roman" w:cs="Times New Roman"/>
          <w:sz w:val="24"/>
          <w:szCs w:val="24"/>
        </w:rPr>
        <w:t>refined method.  For example, both</w:t>
      </w:r>
      <w:r w:rsidR="002D3615" w:rsidRPr="000E6935">
        <w:rPr>
          <w:rFonts w:ascii="Times New Roman" w:hAnsi="Times New Roman" w:cs="Times New Roman"/>
          <w:sz w:val="24"/>
          <w:szCs w:val="24"/>
        </w:rPr>
        <w:t xml:space="preserve"> </w:t>
      </w:r>
      <w:r w:rsidR="000E6935" w:rsidRPr="000E6935">
        <w:rPr>
          <w:rFonts w:ascii="Times New Roman" w:hAnsi="Times New Roman" w:cs="Times New Roman"/>
          <w:sz w:val="24"/>
          <w:szCs w:val="24"/>
        </w:rPr>
        <w:t xml:space="preserve">of the states </w:t>
      </w:r>
      <w:r w:rsidR="000E6935">
        <w:rPr>
          <w:rFonts w:ascii="Times New Roman" w:hAnsi="Times New Roman" w:cs="Times New Roman"/>
          <w:sz w:val="24"/>
          <w:szCs w:val="24"/>
        </w:rPr>
        <w:t xml:space="preserve">of </w:t>
      </w:r>
      <w:r w:rsidR="000E6935" w:rsidRPr="000E6935">
        <w:rPr>
          <w:rFonts w:ascii="Times New Roman" w:hAnsi="Times New Roman" w:cs="Times New Roman"/>
          <w:sz w:val="24"/>
          <w:szCs w:val="24"/>
        </w:rPr>
        <w:t xml:space="preserve">Oregon </w:t>
      </w:r>
      <w:r w:rsidR="000E6935">
        <w:rPr>
          <w:rFonts w:ascii="Times New Roman" w:hAnsi="Times New Roman" w:cs="Times New Roman"/>
          <w:sz w:val="24"/>
          <w:szCs w:val="24"/>
        </w:rPr>
        <w:t xml:space="preserve">and Alaska </w:t>
      </w:r>
      <w:r w:rsidRPr="000E6935">
        <w:rPr>
          <w:rFonts w:ascii="Times New Roman" w:hAnsi="Times New Roman" w:cs="Times New Roman"/>
          <w:sz w:val="24"/>
          <w:szCs w:val="24"/>
        </w:rPr>
        <w:t>returned a “yes” in regard to the presence of the provision</w:t>
      </w:r>
      <w:r w:rsidR="000E6935" w:rsidRPr="000E6935">
        <w:rPr>
          <w:rFonts w:ascii="Times New Roman" w:hAnsi="Times New Roman" w:cs="Times New Roman"/>
          <w:sz w:val="24"/>
          <w:szCs w:val="24"/>
        </w:rPr>
        <w:t xml:space="preserve"> that allows victims to attend proceedings </w:t>
      </w:r>
      <w:r w:rsidRPr="000E6935">
        <w:rPr>
          <w:rFonts w:ascii="Times New Roman" w:hAnsi="Times New Roman" w:cs="Times New Roman"/>
          <w:sz w:val="24"/>
          <w:szCs w:val="24"/>
        </w:rPr>
        <w:t xml:space="preserve">(and thus, each state scored one point for these provisions); however, these provisions may be further differentiated </w:t>
      </w:r>
      <w:r w:rsidR="000E6935" w:rsidRPr="000E6935">
        <w:rPr>
          <w:rFonts w:ascii="Times New Roman" w:hAnsi="Times New Roman" w:cs="Times New Roman"/>
          <w:sz w:val="24"/>
          <w:szCs w:val="24"/>
        </w:rPr>
        <w:t xml:space="preserve">in a closer analysis. Oregon’s constitution, Article 1, Section 42, reads that victims have “the right to be </w:t>
      </w:r>
      <w:r w:rsidR="000E6935" w:rsidRPr="000E6935">
        <w:rPr>
          <w:rFonts w:ascii="Times New Roman" w:hAnsi="Times New Roman" w:cs="Times New Roman"/>
          <w:bCs/>
          <w:sz w:val="24"/>
          <w:szCs w:val="24"/>
        </w:rPr>
        <w:t>present</w:t>
      </w:r>
      <w:r w:rsidR="000E6935" w:rsidRPr="000E6935">
        <w:rPr>
          <w:rFonts w:ascii="Times New Roman" w:hAnsi="Times New Roman" w:cs="Times New Roman"/>
          <w:sz w:val="24"/>
          <w:szCs w:val="24"/>
        </w:rPr>
        <w:t xml:space="preserve"> at and, upon specific request, to be informed in advance of any critical stage of the proceedings held in open court when the defendant will be </w:t>
      </w:r>
      <w:r w:rsidR="000E6935" w:rsidRPr="000E6935">
        <w:rPr>
          <w:rFonts w:ascii="Times New Roman" w:hAnsi="Times New Roman" w:cs="Times New Roman"/>
          <w:bCs/>
          <w:sz w:val="24"/>
          <w:szCs w:val="24"/>
        </w:rPr>
        <w:t>present.</w:t>
      </w:r>
      <w:r w:rsidR="000E6935" w:rsidRPr="000E6935">
        <w:rPr>
          <w:rFonts w:ascii="Times New Roman" w:hAnsi="Times New Roman" w:cs="Times New Roman"/>
          <w:sz w:val="24"/>
          <w:szCs w:val="24"/>
        </w:rPr>
        <w:t xml:space="preserve">”  Similarly, Alaska’s constitution, Article 1, Section 24, indicates that victims have ”the right to obtain information about and be allowed to be </w:t>
      </w:r>
      <w:r w:rsidR="000E6935" w:rsidRPr="000E6935">
        <w:rPr>
          <w:rFonts w:ascii="Times New Roman" w:hAnsi="Times New Roman" w:cs="Times New Roman"/>
          <w:bCs/>
          <w:sz w:val="24"/>
          <w:szCs w:val="24"/>
        </w:rPr>
        <w:t>present</w:t>
      </w:r>
      <w:r w:rsidR="000E6935" w:rsidRPr="000E6935">
        <w:rPr>
          <w:rFonts w:ascii="Times New Roman" w:hAnsi="Times New Roman" w:cs="Times New Roman"/>
          <w:sz w:val="24"/>
          <w:szCs w:val="24"/>
        </w:rPr>
        <w:t xml:space="preserve"> at all criminal or juvenile proceedings where the accused has the right to be </w:t>
      </w:r>
      <w:r w:rsidR="000E6935" w:rsidRPr="000E6935">
        <w:rPr>
          <w:rFonts w:ascii="Times New Roman" w:hAnsi="Times New Roman" w:cs="Times New Roman"/>
          <w:bCs/>
          <w:sz w:val="24"/>
          <w:szCs w:val="24"/>
        </w:rPr>
        <w:t>present</w:t>
      </w:r>
      <w:r w:rsidR="000E6935" w:rsidRPr="000E6935">
        <w:rPr>
          <w:rFonts w:ascii="Times New Roman" w:hAnsi="Times New Roman" w:cs="Times New Roman"/>
          <w:sz w:val="24"/>
          <w:szCs w:val="24"/>
        </w:rPr>
        <w:t>.”  While these provisions are similarly worded, a closer analysis may find that the Alaska provision doesn’</w:t>
      </w:r>
      <w:r w:rsidR="000E6935">
        <w:rPr>
          <w:rFonts w:ascii="Times New Roman" w:hAnsi="Times New Roman" w:cs="Times New Roman"/>
          <w:sz w:val="24"/>
          <w:szCs w:val="24"/>
        </w:rPr>
        <w:t xml:space="preserve">t differentiate </w:t>
      </w:r>
      <w:r w:rsidR="000E6935" w:rsidRPr="000E6935">
        <w:rPr>
          <w:rFonts w:ascii="Times New Roman" w:hAnsi="Times New Roman" w:cs="Times New Roman"/>
          <w:sz w:val="24"/>
          <w:szCs w:val="24"/>
        </w:rPr>
        <w:t>between “</w:t>
      </w:r>
      <w:r w:rsidR="000E6935">
        <w:rPr>
          <w:rFonts w:ascii="Times New Roman" w:hAnsi="Times New Roman" w:cs="Times New Roman"/>
          <w:sz w:val="24"/>
          <w:szCs w:val="24"/>
        </w:rPr>
        <w:t xml:space="preserve">any </w:t>
      </w:r>
      <w:r w:rsidR="000E6935" w:rsidRPr="000E6935">
        <w:rPr>
          <w:rFonts w:ascii="Times New Roman" w:hAnsi="Times New Roman" w:cs="Times New Roman"/>
          <w:sz w:val="24"/>
          <w:szCs w:val="24"/>
        </w:rPr>
        <w:t xml:space="preserve">critical </w:t>
      </w:r>
      <w:proofErr w:type="gramStart"/>
      <w:r w:rsidR="000E6935" w:rsidRPr="000E6935">
        <w:rPr>
          <w:rFonts w:ascii="Times New Roman" w:hAnsi="Times New Roman" w:cs="Times New Roman"/>
          <w:sz w:val="24"/>
          <w:szCs w:val="24"/>
        </w:rPr>
        <w:t>stage</w:t>
      </w:r>
      <w:proofErr w:type="gramEnd"/>
      <w:r w:rsidR="000E6935" w:rsidRPr="000E6935">
        <w:rPr>
          <w:rFonts w:ascii="Times New Roman" w:hAnsi="Times New Roman" w:cs="Times New Roman"/>
          <w:sz w:val="24"/>
          <w:szCs w:val="24"/>
        </w:rPr>
        <w:t xml:space="preserve"> of the proceedings”</w:t>
      </w:r>
      <w:r w:rsidR="000E6935">
        <w:rPr>
          <w:rFonts w:ascii="Times New Roman" w:hAnsi="Times New Roman" w:cs="Times New Roman"/>
          <w:sz w:val="24"/>
          <w:szCs w:val="24"/>
        </w:rPr>
        <w:t xml:space="preserve"> as Oregon’s does</w:t>
      </w:r>
      <w:r w:rsidR="000E6935" w:rsidRPr="000E6935">
        <w:rPr>
          <w:rFonts w:ascii="Times New Roman" w:hAnsi="Times New Roman" w:cs="Times New Roman"/>
          <w:sz w:val="24"/>
          <w:szCs w:val="24"/>
        </w:rPr>
        <w:t xml:space="preserve"> but rather</w:t>
      </w:r>
      <w:r w:rsidR="000E6935">
        <w:rPr>
          <w:rFonts w:ascii="Times New Roman" w:hAnsi="Times New Roman" w:cs="Times New Roman"/>
          <w:sz w:val="24"/>
          <w:szCs w:val="24"/>
        </w:rPr>
        <w:t xml:space="preserve"> includes</w:t>
      </w:r>
      <w:r w:rsidR="000E6935" w:rsidRPr="000E6935">
        <w:rPr>
          <w:rFonts w:ascii="Times New Roman" w:hAnsi="Times New Roman" w:cs="Times New Roman"/>
          <w:sz w:val="24"/>
          <w:szCs w:val="24"/>
        </w:rPr>
        <w:t xml:space="preserve"> “all proceedings” which may entitle victims to more expansive rights.  </w:t>
      </w:r>
      <w:r w:rsidRPr="000E6935">
        <w:rPr>
          <w:rFonts w:ascii="Times New Roman" w:hAnsi="Times New Roman" w:cs="Times New Roman"/>
          <w:sz w:val="24"/>
          <w:szCs w:val="24"/>
        </w:rPr>
        <w:t>Refining a study through the creation of categories of provision strength would produce finer results.</w:t>
      </w:r>
      <w:r>
        <w:rPr>
          <w:rFonts w:ascii="Times New Roman" w:hAnsi="Times New Roman" w:cs="Times New Roman"/>
          <w:sz w:val="24"/>
          <w:szCs w:val="24"/>
        </w:rPr>
        <w:t xml:space="preserve">   </w:t>
      </w:r>
    </w:p>
    <w:p w:rsidR="007373CB" w:rsidRPr="00F53C5B" w:rsidRDefault="00A02F74" w:rsidP="0094300D">
      <w:pPr>
        <w:spacing w:after="0" w:line="480" w:lineRule="auto"/>
        <w:ind w:firstLine="720"/>
        <w:rPr>
          <w:rFonts w:ascii="Times New Roman" w:hAnsi="Times New Roman" w:cs="Times New Roman"/>
          <w:sz w:val="24"/>
          <w:szCs w:val="24"/>
        </w:rPr>
      </w:pPr>
      <w:r w:rsidRPr="00F53C5B">
        <w:rPr>
          <w:rFonts w:ascii="Times New Roman" w:hAnsi="Times New Roman" w:cs="Times New Roman"/>
          <w:sz w:val="24"/>
          <w:szCs w:val="24"/>
        </w:rPr>
        <w:t>Another important limitation of this study is that, w</w:t>
      </w:r>
      <w:r w:rsidR="00F53C5B">
        <w:rPr>
          <w:rFonts w:ascii="Times New Roman" w:hAnsi="Times New Roman" w:cs="Times New Roman"/>
          <w:sz w:val="24"/>
          <w:szCs w:val="24"/>
        </w:rPr>
        <w:t xml:space="preserve">hile approximately two thirds of the </w:t>
      </w:r>
      <w:r w:rsidR="007373CB" w:rsidRPr="00F53C5B">
        <w:rPr>
          <w:rFonts w:ascii="Times New Roman" w:hAnsi="Times New Roman" w:cs="Times New Roman"/>
          <w:sz w:val="24"/>
          <w:szCs w:val="24"/>
        </w:rPr>
        <w:t xml:space="preserve">states have constitutional amendments for victims’ rights, all states have some type of statutory </w:t>
      </w:r>
      <w:r w:rsidR="007373CB" w:rsidRPr="00F53C5B">
        <w:rPr>
          <w:rFonts w:ascii="Times New Roman" w:hAnsi="Times New Roman" w:cs="Times New Roman"/>
          <w:sz w:val="24"/>
          <w:szCs w:val="24"/>
        </w:rPr>
        <w:lastRenderedPageBreak/>
        <w:t>rights for crime victims.  A more comprehensive understanding of the strength of rights victims possess across the states would utilize an analysis of statutory provisions as well.</w:t>
      </w:r>
      <w:r w:rsidRPr="00F53C5B">
        <w:rPr>
          <w:rFonts w:ascii="Times New Roman" w:hAnsi="Times New Roman" w:cs="Times New Roman"/>
          <w:sz w:val="24"/>
          <w:szCs w:val="24"/>
        </w:rPr>
        <w:t xml:space="preserve">  </w:t>
      </w:r>
      <w:r w:rsidR="007373CB" w:rsidRPr="00F53C5B">
        <w:rPr>
          <w:rFonts w:ascii="Times New Roman" w:hAnsi="Times New Roman" w:cs="Times New Roman"/>
          <w:sz w:val="24"/>
          <w:szCs w:val="24"/>
        </w:rPr>
        <w:t xml:space="preserve">  </w:t>
      </w:r>
    </w:p>
    <w:p w:rsidR="007434AF" w:rsidRPr="00F53C5B" w:rsidRDefault="007B4BC9" w:rsidP="0094300D">
      <w:pPr>
        <w:spacing w:after="0" w:line="480" w:lineRule="auto"/>
        <w:ind w:firstLine="720"/>
        <w:rPr>
          <w:rFonts w:ascii="Times New Roman" w:hAnsi="Times New Roman" w:cs="Times New Roman"/>
          <w:sz w:val="24"/>
          <w:szCs w:val="24"/>
        </w:rPr>
      </w:pPr>
      <w:r w:rsidRPr="00F53C5B">
        <w:rPr>
          <w:rFonts w:ascii="Times New Roman" w:hAnsi="Times New Roman" w:cs="Times New Roman"/>
          <w:sz w:val="24"/>
          <w:szCs w:val="24"/>
        </w:rPr>
        <w:t xml:space="preserve">The content analysis here provided a basic glimpse into the variation between particular victims’ rights embodied in state constitutional amendments adopted in response to the developments which comprise the era known as the victims’ rights movement.  As victims’ rights to attend, </w:t>
      </w:r>
      <w:r w:rsidR="00CB568F">
        <w:rPr>
          <w:rFonts w:ascii="Times New Roman" w:hAnsi="Times New Roman" w:cs="Times New Roman"/>
          <w:sz w:val="24"/>
          <w:szCs w:val="24"/>
        </w:rPr>
        <w:t xml:space="preserve">to </w:t>
      </w:r>
      <w:r w:rsidRPr="00F53C5B">
        <w:rPr>
          <w:rFonts w:ascii="Times New Roman" w:hAnsi="Times New Roman" w:cs="Times New Roman"/>
          <w:sz w:val="24"/>
          <w:szCs w:val="24"/>
        </w:rPr>
        <w:t xml:space="preserve">be informed, and </w:t>
      </w:r>
      <w:r w:rsidR="00CB568F">
        <w:rPr>
          <w:rFonts w:ascii="Times New Roman" w:hAnsi="Times New Roman" w:cs="Times New Roman"/>
          <w:sz w:val="24"/>
          <w:szCs w:val="24"/>
        </w:rPr>
        <w:t xml:space="preserve">to </w:t>
      </w:r>
      <w:r w:rsidRPr="00F53C5B">
        <w:rPr>
          <w:rFonts w:ascii="Times New Roman" w:hAnsi="Times New Roman" w:cs="Times New Roman"/>
          <w:sz w:val="24"/>
          <w:szCs w:val="24"/>
        </w:rPr>
        <w:t>be heard vary throughout the states with some states having no constitutional provisions for such and other states having relatively stronger constit</w:t>
      </w:r>
      <w:r w:rsidR="007373CB" w:rsidRPr="00F53C5B">
        <w:rPr>
          <w:rFonts w:ascii="Times New Roman" w:hAnsi="Times New Roman" w:cs="Times New Roman"/>
          <w:sz w:val="24"/>
          <w:szCs w:val="24"/>
        </w:rPr>
        <w:t xml:space="preserve">utional provisions for such, this study has suggested that state provisions can be categorized as weak and strong.  The significance of weaker and stronger provisions may be important to those concerned with participation of victims in the criminal justice system as well as those who are concerned with how these provisions might affect defendants’ rights within the criminal justice system.  </w:t>
      </w:r>
      <w:r w:rsidRPr="00F53C5B">
        <w:rPr>
          <w:rFonts w:ascii="Times New Roman" w:hAnsi="Times New Roman" w:cs="Times New Roman"/>
          <w:sz w:val="24"/>
          <w:szCs w:val="24"/>
        </w:rPr>
        <w:t xml:space="preserve"> </w:t>
      </w:r>
    </w:p>
    <w:p w:rsidR="00F609F9" w:rsidRDefault="00F609F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rsidR="00F609F9" w:rsidRDefault="00F609F9" w:rsidP="00393984">
      <w:pPr>
        <w:spacing w:line="480" w:lineRule="auto"/>
        <w:jc w:val="center"/>
        <w:rPr>
          <w:rFonts w:ascii="Times New Roman" w:eastAsia="Times New Roman" w:hAnsi="Times New Roman" w:cs="Times New Roman"/>
          <w:bCs/>
          <w:sz w:val="24"/>
          <w:szCs w:val="24"/>
        </w:rPr>
      </w:pPr>
      <w:r w:rsidRPr="001205DA">
        <w:rPr>
          <w:rFonts w:ascii="Times New Roman" w:eastAsia="Times New Roman" w:hAnsi="Times New Roman" w:cs="Times New Roman"/>
          <w:bCs/>
          <w:sz w:val="24"/>
          <w:szCs w:val="24"/>
        </w:rPr>
        <w:lastRenderedPageBreak/>
        <w:t>Appendi</w:t>
      </w:r>
      <w:r w:rsidR="00F96327">
        <w:rPr>
          <w:rFonts w:ascii="Times New Roman" w:eastAsia="Times New Roman" w:hAnsi="Times New Roman" w:cs="Times New Roman"/>
          <w:bCs/>
          <w:sz w:val="24"/>
          <w:szCs w:val="24"/>
        </w:rPr>
        <w:t>x</w:t>
      </w:r>
      <w:r w:rsidR="00186327">
        <w:rPr>
          <w:rFonts w:ascii="Times New Roman" w:eastAsia="Times New Roman" w:hAnsi="Times New Roman" w:cs="Times New Roman"/>
          <w:bCs/>
          <w:sz w:val="24"/>
          <w:szCs w:val="24"/>
        </w:rPr>
        <w:t xml:space="preserve"> A</w:t>
      </w:r>
    </w:p>
    <w:p w:rsidR="00186327" w:rsidRDefault="00186327" w:rsidP="00186327">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Coding Sheet</w:t>
      </w:r>
      <w:r w:rsidR="007322FF">
        <w:rPr>
          <w:rFonts w:ascii="Times New Roman" w:eastAsia="Times New Roman" w:hAnsi="Times New Roman" w:cs="Times New Roman"/>
          <w:bCs/>
          <w:sz w:val="24"/>
          <w:szCs w:val="24"/>
        </w:rPr>
        <w:t xml:space="preserve"> Example</w:t>
      </w:r>
    </w:p>
    <w:tbl>
      <w:tblPr>
        <w:tblStyle w:val="TableGrid"/>
        <w:tblW w:w="0" w:type="auto"/>
        <w:tblLook w:val="04A0" w:firstRow="1" w:lastRow="0" w:firstColumn="1" w:lastColumn="0" w:noHBand="0" w:noVBand="1"/>
      </w:tblPr>
      <w:tblGrid>
        <w:gridCol w:w="4765"/>
        <w:gridCol w:w="4585"/>
      </w:tblGrid>
      <w:tr w:rsidR="007322FF" w:rsidTr="007322FF">
        <w:tc>
          <w:tcPr>
            <w:tcW w:w="4765" w:type="dxa"/>
          </w:tcPr>
          <w:p w:rsidR="007322FF" w:rsidRDefault="007322FF" w:rsidP="00186327">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State</w:t>
            </w:r>
          </w:p>
        </w:tc>
        <w:tc>
          <w:tcPr>
            <w:tcW w:w="4585" w:type="dxa"/>
          </w:tcPr>
          <w:p w:rsidR="007322FF" w:rsidRDefault="007322FF" w:rsidP="007322FF">
            <w:pPr>
              <w:spacing w:line="48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Notes</w:t>
            </w:r>
          </w:p>
        </w:tc>
      </w:tr>
      <w:tr w:rsidR="007322FF" w:rsidTr="007322FF">
        <w:tc>
          <w:tcPr>
            <w:tcW w:w="4765" w:type="dxa"/>
            <w:shd w:val="clear" w:color="auto" w:fill="D9D9D9" w:themeFill="background1" w:themeFillShade="D9"/>
          </w:tcPr>
          <w:p w:rsidR="007322FF" w:rsidRPr="007322FF" w:rsidRDefault="007322FF" w:rsidP="00186327">
            <w:pPr>
              <w:spacing w:line="480" w:lineRule="auto"/>
              <w:rPr>
                <w:rFonts w:ascii="Times New Roman" w:eastAsia="Times New Roman" w:hAnsi="Times New Roman" w:cs="Times New Roman"/>
                <w:b/>
                <w:bCs/>
                <w:sz w:val="24"/>
                <w:szCs w:val="24"/>
              </w:rPr>
            </w:pPr>
            <w:r w:rsidRPr="007322FF">
              <w:rPr>
                <w:rFonts w:ascii="Times New Roman" w:eastAsia="Times New Roman" w:hAnsi="Times New Roman" w:cs="Times New Roman"/>
                <w:b/>
                <w:bCs/>
                <w:sz w:val="24"/>
                <w:szCs w:val="24"/>
              </w:rPr>
              <w:t>Right to Attend</w:t>
            </w:r>
          </w:p>
        </w:tc>
        <w:tc>
          <w:tcPr>
            <w:tcW w:w="4585" w:type="dxa"/>
            <w:shd w:val="clear" w:color="auto" w:fill="D9D9D9" w:themeFill="background1" w:themeFillShade="D9"/>
          </w:tcPr>
          <w:p w:rsidR="007322FF" w:rsidRDefault="007322FF" w:rsidP="00186327">
            <w:pPr>
              <w:spacing w:line="480" w:lineRule="auto"/>
              <w:rPr>
                <w:rFonts w:ascii="Times New Roman" w:eastAsia="Times New Roman" w:hAnsi="Times New Roman" w:cs="Times New Roman"/>
                <w:bCs/>
                <w:sz w:val="24"/>
                <w:szCs w:val="24"/>
              </w:rPr>
            </w:pPr>
          </w:p>
        </w:tc>
      </w:tr>
      <w:tr w:rsidR="007322FF" w:rsidTr="007322FF">
        <w:tc>
          <w:tcPr>
            <w:tcW w:w="4765" w:type="dxa"/>
          </w:tcPr>
          <w:p w:rsidR="007322FF" w:rsidRDefault="007322FF" w:rsidP="00186327">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Proceedings</w:t>
            </w:r>
          </w:p>
        </w:tc>
        <w:tc>
          <w:tcPr>
            <w:tcW w:w="4585" w:type="dxa"/>
          </w:tcPr>
          <w:p w:rsidR="007322FF" w:rsidRDefault="007322FF" w:rsidP="00186327">
            <w:pPr>
              <w:spacing w:line="480" w:lineRule="auto"/>
              <w:rPr>
                <w:rFonts w:ascii="Times New Roman" w:eastAsia="Times New Roman" w:hAnsi="Times New Roman" w:cs="Times New Roman"/>
                <w:bCs/>
                <w:sz w:val="24"/>
                <w:szCs w:val="24"/>
              </w:rPr>
            </w:pPr>
          </w:p>
        </w:tc>
      </w:tr>
      <w:tr w:rsidR="007322FF" w:rsidTr="007322FF">
        <w:tc>
          <w:tcPr>
            <w:tcW w:w="4765" w:type="dxa"/>
          </w:tcPr>
          <w:p w:rsidR="007322FF" w:rsidRDefault="007322FF" w:rsidP="00186327">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Victim Cannot be Excluded as Witness</w:t>
            </w:r>
          </w:p>
        </w:tc>
        <w:tc>
          <w:tcPr>
            <w:tcW w:w="4585" w:type="dxa"/>
          </w:tcPr>
          <w:p w:rsidR="007322FF" w:rsidRDefault="007322FF" w:rsidP="00186327">
            <w:pPr>
              <w:spacing w:line="480" w:lineRule="auto"/>
              <w:rPr>
                <w:rFonts w:ascii="Times New Roman" w:eastAsia="Times New Roman" w:hAnsi="Times New Roman" w:cs="Times New Roman"/>
                <w:bCs/>
                <w:sz w:val="24"/>
                <w:szCs w:val="24"/>
              </w:rPr>
            </w:pPr>
          </w:p>
        </w:tc>
      </w:tr>
      <w:tr w:rsidR="007322FF" w:rsidTr="007322FF">
        <w:tc>
          <w:tcPr>
            <w:tcW w:w="4765" w:type="dxa"/>
          </w:tcPr>
          <w:p w:rsidR="007322FF" w:rsidRDefault="007322FF" w:rsidP="00186327">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Presence of Support</w:t>
            </w:r>
          </w:p>
        </w:tc>
        <w:tc>
          <w:tcPr>
            <w:tcW w:w="4585" w:type="dxa"/>
          </w:tcPr>
          <w:p w:rsidR="007322FF" w:rsidRDefault="007322FF" w:rsidP="00186327">
            <w:pPr>
              <w:spacing w:line="480" w:lineRule="auto"/>
              <w:rPr>
                <w:rFonts w:ascii="Times New Roman" w:eastAsia="Times New Roman" w:hAnsi="Times New Roman" w:cs="Times New Roman"/>
                <w:bCs/>
                <w:sz w:val="24"/>
                <w:szCs w:val="24"/>
              </w:rPr>
            </w:pPr>
          </w:p>
        </w:tc>
      </w:tr>
      <w:tr w:rsidR="007322FF" w:rsidTr="007322FF">
        <w:tc>
          <w:tcPr>
            <w:tcW w:w="4765" w:type="dxa"/>
          </w:tcPr>
          <w:p w:rsidR="007322FF" w:rsidRDefault="007322FF" w:rsidP="00186327">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Employment Protections</w:t>
            </w:r>
          </w:p>
        </w:tc>
        <w:tc>
          <w:tcPr>
            <w:tcW w:w="4585" w:type="dxa"/>
          </w:tcPr>
          <w:p w:rsidR="007322FF" w:rsidRDefault="007322FF" w:rsidP="00186327">
            <w:pPr>
              <w:spacing w:line="480" w:lineRule="auto"/>
              <w:rPr>
                <w:rFonts w:ascii="Times New Roman" w:eastAsia="Times New Roman" w:hAnsi="Times New Roman" w:cs="Times New Roman"/>
                <w:bCs/>
                <w:sz w:val="24"/>
                <w:szCs w:val="24"/>
              </w:rPr>
            </w:pPr>
          </w:p>
        </w:tc>
      </w:tr>
      <w:tr w:rsidR="007322FF" w:rsidTr="007322FF">
        <w:tc>
          <w:tcPr>
            <w:tcW w:w="4765" w:type="dxa"/>
            <w:shd w:val="clear" w:color="auto" w:fill="D9D9D9" w:themeFill="background1" w:themeFillShade="D9"/>
          </w:tcPr>
          <w:p w:rsidR="007322FF" w:rsidRPr="007322FF" w:rsidRDefault="007322FF" w:rsidP="00186327">
            <w:pPr>
              <w:spacing w:line="480" w:lineRule="auto"/>
              <w:rPr>
                <w:rFonts w:ascii="Times New Roman" w:eastAsia="Times New Roman" w:hAnsi="Times New Roman" w:cs="Times New Roman"/>
                <w:b/>
                <w:bCs/>
                <w:sz w:val="24"/>
                <w:szCs w:val="24"/>
              </w:rPr>
            </w:pPr>
            <w:r w:rsidRPr="007322FF">
              <w:rPr>
                <w:rFonts w:ascii="Times New Roman" w:eastAsia="Times New Roman" w:hAnsi="Times New Roman" w:cs="Times New Roman"/>
                <w:b/>
                <w:bCs/>
                <w:sz w:val="24"/>
                <w:szCs w:val="24"/>
              </w:rPr>
              <w:t>Right to be Informed</w:t>
            </w:r>
          </w:p>
        </w:tc>
        <w:tc>
          <w:tcPr>
            <w:tcW w:w="4585" w:type="dxa"/>
            <w:shd w:val="clear" w:color="auto" w:fill="D9D9D9" w:themeFill="background1" w:themeFillShade="D9"/>
          </w:tcPr>
          <w:p w:rsidR="007322FF" w:rsidRDefault="007322FF" w:rsidP="00186327">
            <w:pPr>
              <w:spacing w:line="480" w:lineRule="auto"/>
              <w:rPr>
                <w:rFonts w:ascii="Times New Roman" w:eastAsia="Times New Roman" w:hAnsi="Times New Roman" w:cs="Times New Roman"/>
                <w:bCs/>
                <w:sz w:val="24"/>
                <w:szCs w:val="24"/>
              </w:rPr>
            </w:pPr>
          </w:p>
        </w:tc>
      </w:tr>
      <w:tr w:rsidR="007322FF" w:rsidTr="007322FF">
        <w:tc>
          <w:tcPr>
            <w:tcW w:w="4765" w:type="dxa"/>
          </w:tcPr>
          <w:p w:rsidR="007322FF" w:rsidRDefault="007322FF" w:rsidP="00186327">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Notice of Information</w:t>
            </w:r>
          </w:p>
        </w:tc>
        <w:tc>
          <w:tcPr>
            <w:tcW w:w="4585" w:type="dxa"/>
          </w:tcPr>
          <w:p w:rsidR="007322FF" w:rsidRDefault="007322FF" w:rsidP="00186327">
            <w:pPr>
              <w:spacing w:line="480" w:lineRule="auto"/>
              <w:rPr>
                <w:rFonts w:ascii="Times New Roman" w:eastAsia="Times New Roman" w:hAnsi="Times New Roman" w:cs="Times New Roman"/>
                <w:bCs/>
                <w:sz w:val="24"/>
                <w:szCs w:val="24"/>
              </w:rPr>
            </w:pPr>
          </w:p>
        </w:tc>
      </w:tr>
      <w:tr w:rsidR="007322FF" w:rsidTr="007322FF">
        <w:tc>
          <w:tcPr>
            <w:tcW w:w="4765" w:type="dxa"/>
          </w:tcPr>
          <w:p w:rsidR="007322FF" w:rsidRDefault="007322FF" w:rsidP="00186327">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Review or Obtain Information</w:t>
            </w:r>
          </w:p>
        </w:tc>
        <w:tc>
          <w:tcPr>
            <w:tcW w:w="4585" w:type="dxa"/>
          </w:tcPr>
          <w:p w:rsidR="007322FF" w:rsidRDefault="007322FF" w:rsidP="00186327">
            <w:pPr>
              <w:spacing w:line="480" w:lineRule="auto"/>
              <w:rPr>
                <w:rFonts w:ascii="Times New Roman" w:eastAsia="Times New Roman" w:hAnsi="Times New Roman" w:cs="Times New Roman"/>
                <w:bCs/>
                <w:sz w:val="24"/>
                <w:szCs w:val="24"/>
              </w:rPr>
            </w:pPr>
          </w:p>
        </w:tc>
      </w:tr>
      <w:tr w:rsidR="007322FF" w:rsidTr="007322FF">
        <w:tc>
          <w:tcPr>
            <w:tcW w:w="4765" w:type="dxa"/>
          </w:tcPr>
          <w:p w:rsidR="007322FF" w:rsidRDefault="007322FF" w:rsidP="00186327">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Victim Notification Systems</w:t>
            </w:r>
          </w:p>
        </w:tc>
        <w:tc>
          <w:tcPr>
            <w:tcW w:w="4585" w:type="dxa"/>
          </w:tcPr>
          <w:p w:rsidR="007322FF" w:rsidRDefault="007322FF" w:rsidP="00186327">
            <w:pPr>
              <w:spacing w:line="480" w:lineRule="auto"/>
              <w:rPr>
                <w:rFonts w:ascii="Times New Roman" w:eastAsia="Times New Roman" w:hAnsi="Times New Roman" w:cs="Times New Roman"/>
                <w:bCs/>
                <w:sz w:val="24"/>
                <w:szCs w:val="24"/>
              </w:rPr>
            </w:pPr>
          </w:p>
        </w:tc>
      </w:tr>
      <w:tr w:rsidR="007322FF" w:rsidTr="007322FF">
        <w:tc>
          <w:tcPr>
            <w:tcW w:w="4765" w:type="dxa"/>
            <w:shd w:val="clear" w:color="auto" w:fill="D9D9D9" w:themeFill="background1" w:themeFillShade="D9"/>
          </w:tcPr>
          <w:p w:rsidR="007322FF" w:rsidRPr="007322FF" w:rsidRDefault="007322FF" w:rsidP="00186327">
            <w:pPr>
              <w:spacing w:line="480" w:lineRule="auto"/>
              <w:rPr>
                <w:rFonts w:ascii="Times New Roman" w:eastAsia="Times New Roman" w:hAnsi="Times New Roman" w:cs="Times New Roman"/>
                <w:b/>
                <w:bCs/>
                <w:sz w:val="24"/>
                <w:szCs w:val="24"/>
              </w:rPr>
            </w:pPr>
            <w:r w:rsidRPr="007322FF">
              <w:rPr>
                <w:rFonts w:ascii="Times New Roman" w:eastAsia="Times New Roman" w:hAnsi="Times New Roman" w:cs="Times New Roman"/>
                <w:b/>
                <w:bCs/>
                <w:sz w:val="24"/>
                <w:szCs w:val="24"/>
              </w:rPr>
              <w:t>Right to be Heard</w:t>
            </w:r>
          </w:p>
        </w:tc>
        <w:tc>
          <w:tcPr>
            <w:tcW w:w="4585" w:type="dxa"/>
            <w:shd w:val="clear" w:color="auto" w:fill="D9D9D9" w:themeFill="background1" w:themeFillShade="D9"/>
          </w:tcPr>
          <w:p w:rsidR="007322FF" w:rsidRDefault="007322FF" w:rsidP="00186327">
            <w:pPr>
              <w:spacing w:line="480" w:lineRule="auto"/>
              <w:rPr>
                <w:rFonts w:ascii="Times New Roman" w:eastAsia="Times New Roman" w:hAnsi="Times New Roman" w:cs="Times New Roman"/>
                <w:bCs/>
                <w:sz w:val="24"/>
                <w:szCs w:val="24"/>
              </w:rPr>
            </w:pPr>
          </w:p>
        </w:tc>
      </w:tr>
      <w:tr w:rsidR="007322FF" w:rsidTr="007322FF">
        <w:tc>
          <w:tcPr>
            <w:tcW w:w="4765" w:type="dxa"/>
          </w:tcPr>
          <w:p w:rsidR="007322FF" w:rsidRDefault="007322FF" w:rsidP="00186327">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Conferral with Prosecutor</w:t>
            </w:r>
          </w:p>
        </w:tc>
        <w:tc>
          <w:tcPr>
            <w:tcW w:w="4585" w:type="dxa"/>
          </w:tcPr>
          <w:p w:rsidR="007322FF" w:rsidRDefault="007322FF" w:rsidP="00186327">
            <w:pPr>
              <w:spacing w:line="480" w:lineRule="auto"/>
              <w:rPr>
                <w:rFonts w:ascii="Times New Roman" w:eastAsia="Times New Roman" w:hAnsi="Times New Roman" w:cs="Times New Roman"/>
                <w:bCs/>
                <w:sz w:val="24"/>
                <w:szCs w:val="24"/>
              </w:rPr>
            </w:pPr>
          </w:p>
        </w:tc>
      </w:tr>
      <w:tr w:rsidR="007322FF" w:rsidTr="007322FF">
        <w:tc>
          <w:tcPr>
            <w:tcW w:w="4765" w:type="dxa"/>
          </w:tcPr>
          <w:p w:rsidR="007322FF" w:rsidRDefault="007322FF" w:rsidP="007322FF">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Communication with Court/Other Authority</w:t>
            </w:r>
          </w:p>
        </w:tc>
        <w:tc>
          <w:tcPr>
            <w:tcW w:w="4585" w:type="dxa"/>
          </w:tcPr>
          <w:p w:rsidR="007322FF" w:rsidRDefault="007322FF" w:rsidP="00186327">
            <w:pPr>
              <w:spacing w:line="480" w:lineRule="auto"/>
              <w:rPr>
                <w:rFonts w:ascii="Times New Roman" w:eastAsia="Times New Roman" w:hAnsi="Times New Roman" w:cs="Times New Roman"/>
                <w:bCs/>
                <w:sz w:val="24"/>
                <w:szCs w:val="24"/>
              </w:rPr>
            </w:pPr>
          </w:p>
        </w:tc>
      </w:tr>
      <w:tr w:rsidR="007322FF" w:rsidTr="007322FF">
        <w:trPr>
          <w:trHeight w:val="782"/>
        </w:trPr>
        <w:tc>
          <w:tcPr>
            <w:tcW w:w="4765" w:type="dxa"/>
          </w:tcPr>
          <w:p w:rsidR="007322FF" w:rsidRDefault="007322FF" w:rsidP="00186327">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Communication with Defendant</w:t>
            </w:r>
          </w:p>
        </w:tc>
        <w:tc>
          <w:tcPr>
            <w:tcW w:w="4585" w:type="dxa"/>
          </w:tcPr>
          <w:p w:rsidR="007322FF" w:rsidRDefault="007322FF" w:rsidP="00186327">
            <w:pPr>
              <w:spacing w:line="480" w:lineRule="auto"/>
              <w:rPr>
                <w:rFonts w:ascii="Times New Roman" w:eastAsia="Times New Roman" w:hAnsi="Times New Roman" w:cs="Times New Roman"/>
                <w:bCs/>
                <w:sz w:val="24"/>
                <w:szCs w:val="24"/>
              </w:rPr>
            </w:pPr>
          </w:p>
        </w:tc>
      </w:tr>
    </w:tbl>
    <w:p w:rsidR="00186327" w:rsidRDefault="00186327" w:rsidP="00186327">
      <w:pPr>
        <w:spacing w:line="480" w:lineRule="auto"/>
        <w:rPr>
          <w:rFonts w:ascii="Times New Roman" w:eastAsia="Times New Roman" w:hAnsi="Times New Roman" w:cs="Times New Roman"/>
          <w:bCs/>
          <w:sz w:val="24"/>
          <w:szCs w:val="24"/>
        </w:rPr>
      </w:pPr>
    </w:p>
    <w:p w:rsidR="00186327" w:rsidRDefault="00186327" w:rsidP="00186327">
      <w:pPr>
        <w:spacing w:line="480" w:lineRule="auto"/>
        <w:rPr>
          <w:rFonts w:ascii="Times New Roman" w:eastAsia="Times New Roman" w:hAnsi="Times New Roman" w:cs="Times New Roman"/>
          <w:bCs/>
          <w:sz w:val="24"/>
          <w:szCs w:val="24"/>
        </w:rPr>
      </w:pPr>
    </w:p>
    <w:p w:rsidR="00186327" w:rsidRDefault="00186327" w:rsidP="00186327">
      <w:pPr>
        <w:spacing w:line="480" w:lineRule="auto"/>
        <w:rPr>
          <w:rFonts w:ascii="Times New Roman" w:eastAsia="Times New Roman" w:hAnsi="Times New Roman" w:cs="Times New Roman"/>
          <w:bCs/>
          <w:sz w:val="24"/>
          <w:szCs w:val="24"/>
        </w:rPr>
      </w:pPr>
    </w:p>
    <w:p w:rsidR="00186327" w:rsidRDefault="00186327" w:rsidP="00186327">
      <w:pPr>
        <w:spacing w:line="480" w:lineRule="auto"/>
        <w:rPr>
          <w:rFonts w:ascii="Times New Roman" w:eastAsia="Times New Roman" w:hAnsi="Times New Roman" w:cs="Times New Roman"/>
          <w:bCs/>
          <w:sz w:val="24"/>
          <w:szCs w:val="24"/>
        </w:rPr>
      </w:pPr>
    </w:p>
    <w:p w:rsidR="00186327" w:rsidRDefault="00186327" w:rsidP="00186327">
      <w:pPr>
        <w:spacing w:line="480" w:lineRule="auto"/>
        <w:rPr>
          <w:rFonts w:ascii="Times New Roman" w:eastAsia="Times New Roman" w:hAnsi="Times New Roman" w:cs="Times New Roman"/>
          <w:bCs/>
          <w:sz w:val="24"/>
          <w:szCs w:val="24"/>
        </w:rPr>
      </w:pPr>
    </w:p>
    <w:p w:rsidR="00186327" w:rsidRPr="001205DA" w:rsidRDefault="009911DA" w:rsidP="00186327">
      <w:pPr>
        <w:spacing w:line="48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A</w:t>
      </w:r>
      <w:r w:rsidR="00186327">
        <w:rPr>
          <w:rFonts w:ascii="Times New Roman" w:eastAsia="Times New Roman" w:hAnsi="Times New Roman" w:cs="Times New Roman"/>
          <w:bCs/>
          <w:sz w:val="24"/>
          <w:szCs w:val="24"/>
        </w:rPr>
        <w:t>ppendix B</w:t>
      </w:r>
    </w:p>
    <w:p w:rsidR="007322FF" w:rsidRPr="007322FF" w:rsidRDefault="009911DA" w:rsidP="007322F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Example of Weak Provision - </w:t>
      </w:r>
      <w:r w:rsidR="007322FF" w:rsidRPr="007322FF">
        <w:rPr>
          <w:rFonts w:ascii="Times New Roman" w:eastAsia="Times New Roman" w:hAnsi="Times New Roman" w:cs="Times New Roman"/>
          <w:b/>
          <w:bCs/>
          <w:color w:val="000000"/>
          <w:sz w:val="24"/>
          <w:szCs w:val="24"/>
        </w:rPr>
        <w:t>Rhode Island</w:t>
      </w:r>
    </w:p>
    <w:p w:rsidR="007322FF" w:rsidRPr="007322FF" w:rsidRDefault="007322FF" w:rsidP="007322FF">
      <w:pPr>
        <w:shd w:val="clear" w:color="auto" w:fill="FFFFFF"/>
        <w:spacing w:after="0" w:line="240" w:lineRule="auto"/>
        <w:rPr>
          <w:rFonts w:ascii="Times New Roman" w:eastAsia="Times New Roman" w:hAnsi="Times New Roman" w:cs="Times New Roman"/>
          <w:color w:val="000000"/>
          <w:sz w:val="24"/>
          <w:szCs w:val="24"/>
        </w:rPr>
      </w:pPr>
      <w:r w:rsidRPr="007322FF">
        <w:rPr>
          <w:rFonts w:ascii="Times New Roman" w:eastAsia="Times New Roman" w:hAnsi="Times New Roman" w:cs="Times New Roman"/>
          <w:b/>
          <w:bCs/>
          <w:color w:val="000000"/>
          <w:sz w:val="24"/>
          <w:szCs w:val="24"/>
        </w:rPr>
        <w:t> </w:t>
      </w:r>
    </w:p>
    <w:p w:rsidR="007322FF" w:rsidRPr="007322FF" w:rsidRDefault="007322FF" w:rsidP="007322FF">
      <w:pPr>
        <w:shd w:val="clear" w:color="auto" w:fill="FFFFFF"/>
        <w:spacing w:after="0" w:line="240" w:lineRule="auto"/>
        <w:rPr>
          <w:rFonts w:ascii="Times New Roman" w:eastAsia="Times New Roman" w:hAnsi="Times New Roman" w:cs="Times New Roman"/>
          <w:color w:val="000000"/>
          <w:sz w:val="24"/>
          <w:szCs w:val="24"/>
        </w:rPr>
      </w:pPr>
      <w:r w:rsidRPr="007322FF">
        <w:rPr>
          <w:rFonts w:ascii="Times New Roman" w:eastAsia="Times New Roman" w:hAnsi="Times New Roman" w:cs="Times New Roman"/>
          <w:b/>
          <w:bCs/>
          <w:color w:val="000000"/>
          <w:sz w:val="24"/>
          <w:szCs w:val="24"/>
        </w:rPr>
        <w:t>Section 23.</w:t>
      </w:r>
      <w:r w:rsidRPr="007322FF">
        <w:rPr>
          <w:rFonts w:ascii="Times New Roman" w:eastAsia="Times New Roman" w:hAnsi="Times New Roman" w:cs="Times New Roman"/>
          <w:color w:val="000000"/>
          <w:sz w:val="24"/>
          <w:szCs w:val="24"/>
        </w:rPr>
        <w:t> Rights of victims of crime. -- A victim of crime shall, as a matter of right, be treated by agents of the state with dignity, respect and sensitivity during all phases of the criminal justice process. Such person shall be entitled to receive, from the perpetrator of the crime, financial compensation for any injury or loss caused by the perpetrator of the crime, and shall receive such other compensation as the state may provide. Before sentencing, a victim shall have the right to address the court regarding the impact which the perpetrator's conduct has had upon the victim.</w:t>
      </w:r>
    </w:p>
    <w:p w:rsidR="007322FF" w:rsidRDefault="007322FF" w:rsidP="007322FF">
      <w:pPr>
        <w:shd w:val="clear" w:color="auto" w:fill="FFFFFF"/>
        <w:spacing w:after="0" w:line="240" w:lineRule="auto"/>
        <w:rPr>
          <w:rFonts w:ascii="Times New Roman" w:eastAsia="Times New Roman" w:hAnsi="Times New Roman" w:cs="Times New Roman"/>
          <w:color w:val="000000"/>
          <w:sz w:val="24"/>
          <w:szCs w:val="24"/>
        </w:rPr>
      </w:pPr>
      <w:r w:rsidRPr="007322FF">
        <w:rPr>
          <w:rFonts w:ascii="Times New Roman" w:eastAsia="Times New Roman" w:hAnsi="Times New Roman" w:cs="Times New Roman"/>
          <w:color w:val="000000"/>
          <w:sz w:val="24"/>
          <w:szCs w:val="24"/>
        </w:rPr>
        <w:t> </w:t>
      </w:r>
    </w:p>
    <w:p w:rsidR="001414B9" w:rsidRDefault="001414B9" w:rsidP="007322F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[Source: State of Rhode Island]</w:t>
      </w:r>
    </w:p>
    <w:p w:rsidR="007322FF" w:rsidRPr="007322FF" w:rsidRDefault="007322FF" w:rsidP="007322FF">
      <w:pPr>
        <w:shd w:val="clear" w:color="auto" w:fill="FFFFFF"/>
        <w:spacing w:after="0" w:line="240" w:lineRule="auto"/>
        <w:rPr>
          <w:rFonts w:ascii="Times New Roman" w:eastAsia="Times New Roman" w:hAnsi="Times New Roman" w:cs="Times New Roman"/>
          <w:color w:val="000000"/>
          <w:sz w:val="24"/>
          <w:szCs w:val="24"/>
        </w:rPr>
      </w:pPr>
      <w:r w:rsidRPr="007322FF">
        <w:rPr>
          <w:rFonts w:ascii="Times New Roman" w:eastAsia="Times New Roman" w:hAnsi="Times New Roman" w:cs="Times New Roman"/>
          <w:color w:val="000000"/>
          <w:sz w:val="24"/>
          <w:szCs w:val="24"/>
        </w:rPr>
        <w:t> </w:t>
      </w:r>
    </w:p>
    <w:p w:rsidR="007322FF" w:rsidRPr="007322FF" w:rsidRDefault="009911DA" w:rsidP="007322F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Example of Strong Provision - </w:t>
      </w:r>
      <w:r w:rsidR="007322FF" w:rsidRPr="007322FF">
        <w:rPr>
          <w:rFonts w:ascii="Times New Roman" w:eastAsia="Times New Roman" w:hAnsi="Times New Roman" w:cs="Times New Roman"/>
          <w:b/>
          <w:bCs/>
          <w:color w:val="000000"/>
          <w:sz w:val="24"/>
          <w:szCs w:val="24"/>
        </w:rPr>
        <w:t>New Mexico</w:t>
      </w:r>
    </w:p>
    <w:p w:rsidR="007322FF" w:rsidRPr="007322FF" w:rsidRDefault="007322FF" w:rsidP="007322FF">
      <w:pPr>
        <w:shd w:val="clear" w:color="auto" w:fill="FFFFFF"/>
        <w:spacing w:after="0" w:line="240" w:lineRule="auto"/>
        <w:rPr>
          <w:rFonts w:ascii="Times New Roman" w:eastAsia="Times New Roman" w:hAnsi="Times New Roman" w:cs="Times New Roman"/>
          <w:color w:val="000000"/>
          <w:sz w:val="24"/>
          <w:szCs w:val="24"/>
        </w:rPr>
      </w:pPr>
      <w:r w:rsidRPr="007322FF">
        <w:rPr>
          <w:rFonts w:ascii="Times New Roman" w:eastAsia="Times New Roman" w:hAnsi="Times New Roman" w:cs="Times New Roman"/>
          <w:color w:val="000000"/>
          <w:sz w:val="24"/>
          <w:szCs w:val="24"/>
        </w:rPr>
        <w:t> </w:t>
      </w:r>
    </w:p>
    <w:p w:rsidR="00186327" w:rsidRPr="007322FF" w:rsidRDefault="007322FF" w:rsidP="007322FF">
      <w:pPr>
        <w:spacing w:line="240" w:lineRule="auto"/>
        <w:rPr>
          <w:rFonts w:ascii="Times New Roman" w:eastAsia="Times New Roman" w:hAnsi="Times New Roman" w:cs="Times New Roman"/>
          <w:bCs/>
          <w:sz w:val="24"/>
          <w:szCs w:val="24"/>
        </w:rPr>
      </w:pPr>
      <w:r w:rsidRPr="007322FF">
        <w:rPr>
          <w:rFonts w:ascii="Times New Roman" w:eastAsia="Times New Roman" w:hAnsi="Times New Roman" w:cs="Times New Roman"/>
          <w:b/>
          <w:color w:val="000000"/>
          <w:sz w:val="24"/>
          <w:szCs w:val="24"/>
        </w:rPr>
        <w:t>Sec. 24.</w:t>
      </w:r>
      <w:r w:rsidRPr="007322FF">
        <w:rPr>
          <w:rFonts w:ascii="Times New Roman" w:eastAsia="Times New Roman" w:hAnsi="Times New Roman" w:cs="Times New Roman"/>
          <w:color w:val="000000"/>
          <w:sz w:val="24"/>
          <w:szCs w:val="24"/>
        </w:rPr>
        <w:t xml:space="preserve"> [Victim's rights.] A. A victim of arson resulting in bodily injury, aggravated arson, aggravated assault, aggravated battery, dangerous use of explosives, negligent use of a deadly weapon, murder, voluntary manslaughter, involuntary manslaughter, kidnapping, criminal sexual penetration, criminal sexual contact of a minor, homicide by vehicle, great bodily injury by vehicle or abandonment or abuse of a child or that victim's representative shall have the following rights as provided by law: (1) the right to be treated with fairness and respect for the victim's dignity and privacy throughout the criminal justice process; 13 © 2013 State of New Mexico. New Mexico Compilation Commission. All rights reserved. Article II – Bill of Rights (2) the right to timely disposition of the case; (3) the right to be reasonably protected from the accused throughout the criminal justice process; (4) the right to notification of court proceedings; (5) the right to attend all public court proceedings the accused has the right to attend; (6) the right to confer with the prosecution; (7) the right to make a statement to the court at sentencing and at any post-sentencing hearings for the accused; (8) the right to restitution from the person convicted of the criminal conduct that caused the victim's loss or injury; (9) the right to information about the conviction, sentencing, imprisonment, escape or release of the accused; (10) the right to have the prosecuting attorney notify the victim's employer, if requested by the victim, of the necessity of the victim's cooperation and testimony in a court proceeding that may necessitate the absence of the victim from work for good cause; and 14 © 2013 State of New Mexico. New Mexico Compilation Commission. All rights reserved. Article III – Distribution of Powers (11) the right to promptly receive any property belonging to the victim that is being held for evidentiary purposes by a law enforcement agency or the prosecuting attorney, unless there are compelling evidentiary reasons for retention of the victim's property. B. A person accused or convicted of a crime against a victim shall have no standing to object to any failure by any person to comply with the provisions of Subsection </w:t>
      </w:r>
      <w:proofErr w:type="gramStart"/>
      <w:r w:rsidRPr="007322FF">
        <w:rPr>
          <w:rFonts w:ascii="Times New Roman" w:eastAsia="Times New Roman" w:hAnsi="Times New Roman" w:cs="Times New Roman"/>
          <w:color w:val="000000"/>
          <w:sz w:val="24"/>
          <w:szCs w:val="24"/>
        </w:rPr>
        <w:t>A</w:t>
      </w:r>
      <w:proofErr w:type="gramEnd"/>
      <w:r w:rsidRPr="007322FF">
        <w:rPr>
          <w:rFonts w:ascii="Times New Roman" w:eastAsia="Times New Roman" w:hAnsi="Times New Roman" w:cs="Times New Roman"/>
          <w:color w:val="000000"/>
          <w:sz w:val="24"/>
          <w:szCs w:val="24"/>
        </w:rPr>
        <w:t xml:space="preserve"> of Section 24 of Article 2 of the constitution of New Mexico. C. The provisions of this amendment shall not take effect until the legislature enacts</w:t>
      </w:r>
      <w:r>
        <w:rPr>
          <w:rFonts w:ascii="Times New Roman" w:eastAsia="Times New Roman" w:hAnsi="Times New Roman" w:cs="Times New Roman"/>
          <w:color w:val="000000"/>
          <w:sz w:val="24"/>
          <w:szCs w:val="24"/>
        </w:rPr>
        <w:t xml:space="preserve"> </w:t>
      </w:r>
      <w:r w:rsidRPr="007322FF">
        <w:rPr>
          <w:rFonts w:ascii="Times New Roman" w:eastAsia="Times New Roman" w:hAnsi="Times New Roman" w:cs="Times New Roman"/>
          <w:color w:val="000000"/>
          <w:sz w:val="24"/>
          <w:szCs w:val="24"/>
        </w:rPr>
        <w:t>laws</w:t>
      </w:r>
      <w:r>
        <w:rPr>
          <w:rFonts w:ascii="Times New Roman" w:eastAsia="Times New Roman" w:hAnsi="Times New Roman" w:cs="Times New Roman"/>
          <w:color w:val="000000"/>
          <w:sz w:val="24"/>
          <w:szCs w:val="24"/>
        </w:rPr>
        <w:t xml:space="preserve"> </w:t>
      </w:r>
      <w:r w:rsidRPr="007322FF">
        <w:rPr>
          <w:rFonts w:ascii="Times New Roman" w:eastAsia="Times New Roman" w:hAnsi="Times New Roman" w:cs="Times New Roman"/>
          <w:color w:val="000000"/>
          <w:sz w:val="24"/>
          <w:szCs w:val="24"/>
        </w:rPr>
        <w:t>to implement this amendment. (As added November 3, 1992.)</w:t>
      </w:r>
    </w:p>
    <w:p w:rsidR="007322FF" w:rsidRDefault="007322F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1414B9">
        <w:rPr>
          <w:rFonts w:ascii="Times New Roman" w:eastAsia="Times New Roman" w:hAnsi="Times New Roman" w:cs="Times New Roman"/>
          <w:bCs/>
          <w:sz w:val="24"/>
          <w:szCs w:val="24"/>
        </w:rPr>
        <w:t>Source: State of New Mexico]</w:t>
      </w:r>
    </w:p>
    <w:p w:rsidR="001414B9" w:rsidRDefault="001414B9" w:rsidP="00186327">
      <w:pPr>
        <w:spacing w:line="480" w:lineRule="auto"/>
        <w:jc w:val="center"/>
        <w:rPr>
          <w:rFonts w:ascii="Times New Roman" w:eastAsia="Times New Roman" w:hAnsi="Times New Roman" w:cs="Times New Roman"/>
          <w:bCs/>
          <w:sz w:val="24"/>
          <w:szCs w:val="24"/>
        </w:rPr>
      </w:pPr>
    </w:p>
    <w:p w:rsidR="001205DA" w:rsidRDefault="00186327" w:rsidP="00186327">
      <w:pPr>
        <w:spacing w:line="48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Appendix C</w:t>
      </w:r>
    </w:p>
    <w:p w:rsidR="00186327" w:rsidRDefault="00186327" w:rsidP="00186327">
      <w:pPr>
        <w:spacing w:line="480" w:lineRule="auto"/>
        <w:rPr>
          <w:rFonts w:ascii="Times New Roman" w:hAnsi="Times New Roman" w:cs="Times New Roman"/>
          <w:sz w:val="24"/>
          <w:szCs w:val="24"/>
        </w:rPr>
      </w:pPr>
      <w:r>
        <w:rPr>
          <w:rFonts w:ascii="Times New Roman" w:hAnsi="Times New Roman" w:cs="Times New Roman"/>
          <w:sz w:val="24"/>
          <w:szCs w:val="24"/>
        </w:rPr>
        <w:t>Coding Notes</w:t>
      </w:r>
    </w:p>
    <w:p w:rsidR="009911DA" w:rsidRPr="009911DA" w:rsidRDefault="009911DA" w:rsidP="009911DA">
      <w:pPr>
        <w:spacing w:line="480" w:lineRule="auto"/>
        <w:ind w:firstLine="720"/>
        <w:rPr>
          <w:rFonts w:ascii="Times New Roman" w:hAnsi="Times New Roman" w:cs="Times New Roman"/>
          <w:sz w:val="24"/>
          <w:szCs w:val="24"/>
        </w:rPr>
      </w:pPr>
      <w:r>
        <w:rPr>
          <w:rFonts w:ascii="Times New Roman" w:hAnsi="Times New Roman" w:cs="Times New Roman"/>
          <w:color w:val="000000"/>
          <w:sz w:val="24"/>
          <w:szCs w:val="24"/>
        </w:rPr>
        <w:t xml:space="preserve">**A search of </w:t>
      </w:r>
      <w:r w:rsidR="00186327">
        <w:rPr>
          <w:rFonts w:ascii="Times New Roman" w:hAnsi="Times New Roman" w:cs="Times New Roman"/>
          <w:color w:val="000000"/>
          <w:sz w:val="24"/>
          <w:szCs w:val="24"/>
        </w:rPr>
        <w:t>Maryland’s right to atte</w:t>
      </w:r>
      <w:r>
        <w:rPr>
          <w:rFonts w:ascii="Times New Roman" w:hAnsi="Times New Roman" w:cs="Times New Roman"/>
          <w:color w:val="000000"/>
          <w:sz w:val="24"/>
          <w:szCs w:val="24"/>
        </w:rPr>
        <w:t xml:space="preserve">nd and to be heard do not return with results; </w:t>
      </w:r>
      <w:r w:rsidR="00186327">
        <w:rPr>
          <w:rFonts w:ascii="Times New Roman" w:hAnsi="Times New Roman" w:cs="Times New Roman"/>
          <w:color w:val="000000"/>
          <w:sz w:val="24"/>
          <w:szCs w:val="24"/>
        </w:rPr>
        <w:t>however</w:t>
      </w:r>
      <w:r>
        <w:rPr>
          <w:rFonts w:ascii="Times New Roman" w:hAnsi="Times New Roman" w:cs="Times New Roman"/>
          <w:color w:val="000000"/>
          <w:sz w:val="24"/>
          <w:szCs w:val="24"/>
        </w:rPr>
        <w:t>,</w:t>
      </w:r>
      <w:r w:rsidR="00186327">
        <w:rPr>
          <w:rFonts w:ascii="Times New Roman" w:hAnsi="Times New Roman" w:cs="Times New Roman"/>
          <w:color w:val="000000"/>
          <w:sz w:val="24"/>
          <w:szCs w:val="24"/>
        </w:rPr>
        <w:t xml:space="preserve"> a review of Maryland’s constitution </w:t>
      </w:r>
      <w:r>
        <w:rPr>
          <w:rFonts w:ascii="Times New Roman" w:hAnsi="Times New Roman" w:cs="Times New Roman"/>
          <w:color w:val="000000"/>
          <w:sz w:val="24"/>
          <w:szCs w:val="24"/>
        </w:rPr>
        <w:t xml:space="preserve">through the Victim Law database </w:t>
      </w:r>
      <w:r w:rsidR="00186327">
        <w:rPr>
          <w:rFonts w:ascii="Times New Roman" w:hAnsi="Times New Roman" w:cs="Times New Roman"/>
          <w:color w:val="000000"/>
          <w:sz w:val="24"/>
          <w:szCs w:val="24"/>
        </w:rPr>
        <w:t xml:space="preserve">indicates that the victim has </w:t>
      </w:r>
      <w:r w:rsidR="00186327" w:rsidRPr="001C6F09">
        <w:rPr>
          <w:rFonts w:ascii="Times New Roman" w:hAnsi="Times New Roman" w:cs="Times New Roman"/>
          <w:color w:val="000000"/>
          <w:sz w:val="24"/>
          <w:szCs w:val="24"/>
        </w:rPr>
        <w:t>“</w:t>
      </w:r>
      <w:r w:rsidR="00186327" w:rsidRPr="001C6F09">
        <w:rPr>
          <w:rFonts w:ascii="Times New Roman" w:hAnsi="Times New Roman" w:cs="Times New Roman"/>
          <w:sz w:val="24"/>
          <w:szCs w:val="24"/>
        </w:rPr>
        <w:t xml:space="preserve">the right to be </w:t>
      </w:r>
      <w:r w:rsidR="00186327" w:rsidRPr="001C6F09">
        <w:rPr>
          <w:rFonts w:ascii="Times New Roman" w:hAnsi="Times New Roman" w:cs="Times New Roman"/>
          <w:bCs/>
          <w:sz w:val="24"/>
          <w:szCs w:val="24"/>
        </w:rPr>
        <w:t>informed</w:t>
      </w:r>
      <w:r w:rsidR="00186327" w:rsidRPr="001C6F09">
        <w:rPr>
          <w:rFonts w:ascii="Times New Roman" w:hAnsi="Times New Roman" w:cs="Times New Roman"/>
          <w:sz w:val="24"/>
          <w:szCs w:val="24"/>
        </w:rPr>
        <w:t xml:space="preserve"> of the rights established in this Article and, upon request and if practicable, to be </w:t>
      </w:r>
      <w:r w:rsidR="00186327" w:rsidRPr="001C6F09">
        <w:rPr>
          <w:rFonts w:ascii="Times New Roman" w:hAnsi="Times New Roman" w:cs="Times New Roman"/>
          <w:bCs/>
          <w:sz w:val="24"/>
          <w:szCs w:val="24"/>
        </w:rPr>
        <w:t>notified</w:t>
      </w:r>
      <w:r w:rsidR="00186327" w:rsidRPr="001C6F09">
        <w:rPr>
          <w:rFonts w:ascii="Times New Roman" w:hAnsi="Times New Roman" w:cs="Times New Roman"/>
          <w:sz w:val="24"/>
          <w:szCs w:val="24"/>
        </w:rPr>
        <w:t xml:space="preserve"> of, to attend, and to be heard at a criminal justice proceeding, as these rights are implemented and the terms "crime", "criminal justice proceeding", and "victim" are specified by law.”</w:t>
      </w:r>
      <w:r>
        <w:rPr>
          <w:rFonts w:ascii="Times New Roman" w:hAnsi="Times New Roman" w:cs="Times New Roman"/>
          <w:sz w:val="24"/>
          <w:szCs w:val="24"/>
        </w:rPr>
        <w:t xml:space="preserve">  As such, these were counted.  </w:t>
      </w:r>
      <w:r w:rsidRPr="009911DA">
        <w:rPr>
          <w:rFonts w:ascii="Times New Roman" w:hAnsi="Times New Roman" w:cs="Times New Roman"/>
          <w:sz w:val="24"/>
          <w:szCs w:val="24"/>
        </w:rPr>
        <w:t>Similarly, a</w:t>
      </w:r>
      <w:r w:rsidRPr="009911DA">
        <w:rPr>
          <w:rFonts w:ascii="Times New Roman" w:hAnsi="Times New Roman" w:cs="Times New Roman"/>
          <w:sz w:val="24"/>
          <w:szCs w:val="24"/>
        </w:rPr>
        <w:t xml:space="preserve"> search for Mississippi provisions returned with </w:t>
      </w:r>
      <w:r w:rsidRPr="009911DA">
        <w:rPr>
          <w:rFonts w:ascii="Times New Roman" w:hAnsi="Times New Roman" w:cs="Times New Roman"/>
          <w:sz w:val="24"/>
          <w:szCs w:val="24"/>
        </w:rPr>
        <w:t>no</w:t>
      </w:r>
      <w:r w:rsidRPr="009911DA">
        <w:rPr>
          <w:rFonts w:ascii="Times New Roman" w:hAnsi="Times New Roman" w:cs="Times New Roman"/>
          <w:sz w:val="24"/>
          <w:szCs w:val="24"/>
        </w:rPr>
        <w:t xml:space="preserve"> results, however, a manual analysis of the </w:t>
      </w:r>
      <w:r>
        <w:rPr>
          <w:rFonts w:ascii="Times New Roman" w:hAnsi="Times New Roman" w:cs="Times New Roman"/>
          <w:sz w:val="24"/>
          <w:szCs w:val="24"/>
        </w:rPr>
        <w:t xml:space="preserve">Mississippi </w:t>
      </w:r>
      <w:r w:rsidRPr="009911DA">
        <w:rPr>
          <w:rFonts w:ascii="Times New Roman" w:hAnsi="Times New Roman" w:cs="Times New Roman"/>
          <w:sz w:val="24"/>
          <w:szCs w:val="24"/>
        </w:rPr>
        <w:t>constitution</w:t>
      </w:r>
      <w:r>
        <w:rPr>
          <w:rFonts w:ascii="Times New Roman" w:hAnsi="Times New Roman" w:cs="Times New Roman"/>
          <w:sz w:val="24"/>
          <w:szCs w:val="24"/>
        </w:rPr>
        <w:t xml:space="preserve"> through the Victim Law database</w:t>
      </w:r>
      <w:r w:rsidRPr="009911DA">
        <w:rPr>
          <w:rFonts w:ascii="Times New Roman" w:hAnsi="Times New Roman" w:cs="Times New Roman"/>
          <w:sz w:val="24"/>
          <w:szCs w:val="24"/>
        </w:rPr>
        <w:t xml:space="preserve"> indicates victims have the right “</w:t>
      </w:r>
      <w:r w:rsidRPr="009911DA">
        <w:rPr>
          <w:rFonts w:ascii="Times New Roman" w:hAnsi="Times New Roman" w:cs="Times New Roman"/>
          <w:color w:val="000000"/>
          <w:sz w:val="24"/>
          <w:szCs w:val="24"/>
        </w:rPr>
        <w:t>to be informed, to be present and to be heard, when authorized by law, during public hearings.”</w:t>
      </w:r>
      <w:r w:rsidRPr="009911DA">
        <w:rPr>
          <w:rFonts w:ascii="Times New Roman" w:hAnsi="Times New Roman" w:cs="Times New Roman"/>
          <w:color w:val="000000"/>
          <w:sz w:val="24"/>
          <w:szCs w:val="24"/>
        </w:rPr>
        <w:t xml:space="preserve">  As such, these were counted.  </w:t>
      </w:r>
    </w:p>
    <w:p w:rsidR="009911DA" w:rsidRDefault="009911DA" w:rsidP="009911DA">
      <w:pPr>
        <w:spacing w:line="480" w:lineRule="auto"/>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 xml:space="preserve">1.  </w:t>
      </w:r>
      <w:r>
        <w:rPr>
          <w:rFonts w:ascii="Times New Roman" w:hAnsi="Times New Roman" w:cs="Times New Roman"/>
          <w:sz w:val="24"/>
          <w:szCs w:val="24"/>
        </w:rPr>
        <w:t xml:space="preserve">A search of </w:t>
      </w:r>
      <w:r w:rsidRPr="003075B2">
        <w:rPr>
          <w:rFonts w:ascii="Times New Roman" w:hAnsi="Times New Roman" w:cs="Times New Roman"/>
          <w:sz w:val="24"/>
          <w:szCs w:val="24"/>
        </w:rPr>
        <w:t>Louisiana’s right to be heard</w:t>
      </w:r>
      <w:r>
        <w:rPr>
          <w:rFonts w:ascii="Times New Roman" w:hAnsi="Times New Roman" w:cs="Times New Roman"/>
          <w:sz w:val="24"/>
          <w:szCs w:val="24"/>
        </w:rPr>
        <w:t xml:space="preserve"> (</w:t>
      </w:r>
      <w:r w:rsidRPr="003075B2">
        <w:rPr>
          <w:rFonts w:ascii="Times New Roman" w:hAnsi="Times New Roman" w:cs="Times New Roman"/>
          <w:sz w:val="24"/>
          <w:szCs w:val="24"/>
        </w:rPr>
        <w:t>confer with the prosecutor</w:t>
      </w:r>
      <w:r>
        <w:rPr>
          <w:rFonts w:ascii="Times New Roman" w:hAnsi="Times New Roman" w:cs="Times New Roman"/>
          <w:sz w:val="24"/>
          <w:szCs w:val="24"/>
        </w:rPr>
        <w:t>)</w:t>
      </w:r>
      <w:r>
        <w:rPr>
          <w:rFonts w:ascii="Times New Roman" w:hAnsi="Times New Roman" w:cs="Times New Roman"/>
          <w:sz w:val="24"/>
          <w:szCs w:val="24"/>
        </w:rPr>
        <w:t xml:space="preserve"> returned with no result; however, a manual </w:t>
      </w:r>
      <w:r w:rsidRPr="003075B2">
        <w:rPr>
          <w:rFonts w:ascii="Times New Roman" w:hAnsi="Times New Roman" w:cs="Times New Roman"/>
          <w:sz w:val="24"/>
          <w:szCs w:val="24"/>
        </w:rPr>
        <w:t>review of Louisiana’s constitution</w:t>
      </w:r>
      <w:r>
        <w:rPr>
          <w:rFonts w:ascii="Times New Roman" w:hAnsi="Times New Roman" w:cs="Times New Roman"/>
          <w:sz w:val="24"/>
          <w:szCs w:val="24"/>
        </w:rPr>
        <w:t xml:space="preserve"> through the Victim Law database</w:t>
      </w:r>
      <w:r w:rsidRPr="003075B2">
        <w:rPr>
          <w:rFonts w:ascii="Times New Roman" w:hAnsi="Times New Roman" w:cs="Times New Roman"/>
          <w:sz w:val="24"/>
          <w:szCs w:val="24"/>
        </w:rPr>
        <w:t xml:space="preserve"> indicates the victim has “</w:t>
      </w:r>
      <w:r w:rsidRPr="003075B2">
        <w:rPr>
          <w:rFonts w:ascii="Times New Roman" w:hAnsi="Times New Roman" w:cs="Times New Roman"/>
          <w:color w:val="000000"/>
          <w:sz w:val="24"/>
          <w:szCs w:val="24"/>
        </w:rPr>
        <w:t xml:space="preserve">the right to confer with the prosecution prior to final disposition of the case.”  As such, this was counted as a provision in Louisiana’s policy.  </w:t>
      </w:r>
    </w:p>
    <w:p w:rsidR="00186327" w:rsidRDefault="00186327" w:rsidP="00F609F9">
      <w:pPr>
        <w:spacing w:line="480" w:lineRule="auto"/>
        <w:rPr>
          <w:rFonts w:ascii="Times New Roman" w:eastAsia="Times New Roman" w:hAnsi="Times New Roman" w:cs="Times New Roman"/>
          <w:bCs/>
          <w:sz w:val="24"/>
          <w:szCs w:val="24"/>
        </w:rPr>
      </w:pPr>
    </w:p>
    <w:p w:rsidR="00F609F9" w:rsidRDefault="00F609F9" w:rsidP="00393984">
      <w:pPr>
        <w:spacing w:line="480" w:lineRule="auto"/>
        <w:jc w:val="center"/>
        <w:rPr>
          <w:rFonts w:ascii="Times New Roman" w:eastAsia="Times New Roman" w:hAnsi="Times New Roman" w:cs="Times New Roman"/>
          <w:bCs/>
          <w:sz w:val="24"/>
          <w:szCs w:val="24"/>
        </w:rPr>
      </w:pPr>
    </w:p>
    <w:p w:rsidR="00C36A59" w:rsidRPr="00F53C5B" w:rsidRDefault="00F53C5B" w:rsidP="00393984">
      <w:pPr>
        <w:spacing w:line="480" w:lineRule="auto"/>
        <w:jc w:val="center"/>
        <w:rPr>
          <w:rFonts w:ascii="Times New Roman" w:eastAsia="Times New Roman" w:hAnsi="Times New Roman" w:cs="Times New Roman"/>
          <w:bCs/>
          <w:sz w:val="24"/>
          <w:szCs w:val="24"/>
        </w:rPr>
      </w:pPr>
      <w:r w:rsidRPr="00F53C5B">
        <w:rPr>
          <w:rFonts w:ascii="Times New Roman" w:eastAsia="Times New Roman" w:hAnsi="Times New Roman" w:cs="Times New Roman"/>
          <w:bCs/>
          <w:sz w:val="24"/>
          <w:szCs w:val="24"/>
        </w:rPr>
        <w:br w:type="page"/>
      </w:r>
      <w:r w:rsidRPr="00F53C5B">
        <w:rPr>
          <w:rFonts w:ascii="Times New Roman" w:eastAsia="Times New Roman" w:hAnsi="Times New Roman" w:cs="Times New Roman"/>
          <w:bCs/>
          <w:sz w:val="24"/>
          <w:szCs w:val="24"/>
        </w:rPr>
        <w:lastRenderedPageBreak/>
        <w:t>Works Cited</w:t>
      </w:r>
    </w:p>
    <w:p w:rsidR="00C36A59" w:rsidRPr="00F53C5B" w:rsidRDefault="00C36A59" w:rsidP="0094300D">
      <w:pPr>
        <w:spacing w:after="0" w:line="480" w:lineRule="auto"/>
        <w:ind w:left="720" w:hanging="720"/>
        <w:outlineLvl w:val="2"/>
        <w:rPr>
          <w:rFonts w:ascii="Times New Roman" w:eastAsia="Times New Roman" w:hAnsi="Times New Roman" w:cs="Times New Roman"/>
          <w:sz w:val="24"/>
          <w:szCs w:val="24"/>
        </w:rPr>
      </w:pPr>
      <w:r w:rsidRPr="00C36A59">
        <w:rPr>
          <w:rFonts w:ascii="Times New Roman" w:eastAsia="Times New Roman" w:hAnsi="Times New Roman" w:cs="Times New Roman"/>
          <w:bCs/>
          <w:sz w:val="24"/>
          <w:szCs w:val="24"/>
        </w:rPr>
        <w:t xml:space="preserve">Choi, Jung </w:t>
      </w:r>
      <w:proofErr w:type="spellStart"/>
      <w:r w:rsidRPr="00C36A59">
        <w:rPr>
          <w:rFonts w:ascii="Times New Roman" w:eastAsia="Times New Roman" w:hAnsi="Times New Roman" w:cs="Times New Roman"/>
          <w:bCs/>
          <w:sz w:val="24"/>
          <w:szCs w:val="24"/>
        </w:rPr>
        <w:t>Jin</w:t>
      </w:r>
      <w:proofErr w:type="spellEnd"/>
      <w:r w:rsidRPr="00C36A59">
        <w:rPr>
          <w:rFonts w:ascii="Times New Roman" w:eastAsia="Times New Roman" w:hAnsi="Times New Roman" w:cs="Times New Roman"/>
          <w:bCs/>
          <w:sz w:val="24"/>
          <w:szCs w:val="24"/>
        </w:rPr>
        <w:t xml:space="preserve">; Green, Diane L; and Stephen A. </w:t>
      </w:r>
      <w:proofErr w:type="spellStart"/>
      <w:r w:rsidRPr="00C36A59">
        <w:rPr>
          <w:rFonts w:ascii="Times New Roman" w:eastAsia="Times New Roman" w:hAnsi="Times New Roman" w:cs="Times New Roman"/>
          <w:bCs/>
          <w:sz w:val="24"/>
          <w:szCs w:val="24"/>
        </w:rPr>
        <w:t>Kapp</w:t>
      </w:r>
      <w:proofErr w:type="spellEnd"/>
      <w:r w:rsidRPr="00C36A59">
        <w:rPr>
          <w:rFonts w:ascii="Times New Roman" w:eastAsia="Times New Roman" w:hAnsi="Times New Roman" w:cs="Times New Roman"/>
          <w:bCs/>
          <w:sz w:val="24"/>
          <w:szCs w:val="24"/>
        </w:rPr>
        <w:t xml:space="preserve">. 2010. “Victimization, Victims’ Needs, and Empowerment in Victim Offender Mediation.” </w:t>
      </w:r>
      <w:r w:rsidRPr="00C36A59">
        <w:rPr>
          <w:rFonts w:ascii="Times New Roman" w:eastAsia="Times New Roman" w:hAnsi="Times New Roman" w:cs="Times New Roman"/>
          <w:i/>
          <w:sz w:val="24"/>
          <w:szCs w:val="24"/>
        </w:rPr>
        <w:t>International Review of Victimology</w:t>
      </w:r>
      <w:r w:rsidRPr="00C36A59">
        <w:rPr>
          <w:rFonts w:ascii="Times New Roman" w:eastAsia="Times New Roman" w:hAnsi="Times New Roman" w:cs="Times New Roman"/>
          <w:sz w:val="24"/>
          <w:szCs w:val="24"/>
        </w:rPr>
        <w:t>, 17(3), pp.267-290.</w:t>
      </w:r>
    </w:p>
    <w:p w:rsidR="00C36A59" w:rsidRPr="00C36A59" w:rsidRDefault="00C36A59" w:rsidP="0094300D">
      <w:pPr>
        <w:spacing w:after="0" w:line="480" w:lineRule="auto"/>
        <w:ind w:left="720" w:hanging="720"/>
        <w:rPr>
          <w:rFonts w:ascii="Times New Roman" w:eastAsia="Calibri" w:hAnsi="Times New Roman" w:cs="Times New Roman"/>
          <w:sz w:val="24"/>
          <w:szCs w:val="24"/>
        </w:rPr>
      </w:pPr>
      <w:r w:rsidRPr="00C36A59">
        <w:rPr>
          <w:rFonts w:ascii="Times New Roman" w:eastAsia="Calibri" w:hAnsi="Times New Roman" w:cs="Times New Roman"/>
          <w:sz w:val="24"/>
          <w:szCs w:val="24"/>
        </w:rPr>
        <w:t xml:space="preserve">Davis, Robert C. and Barbara E. Smith. 1994. “Victim Impact Statements and Victim Satisfaction: An Unfilled Promise?” </w:t>
      </w:r>
      <w:r w:rsidRPr="00C36A59">
        <w:rPr>
          <w:rFonts w:ascii="Times New Roman" w:eastAsia="Calibri" w:hAnsi="Times New Roman" w:cs="Times New Roman"/>
          <w:i/>
          <w:sz w:val="24"/>
          <w:szCs w:val="24"/>
        </w:rPr>
        <w:t>Journal of Criminal Justice</w:t>
      </w:r>
      <w:r w:rsidRPr="00C36A59">
        <w:rPr>
          <w:rFonts w:ascii="Times New Roman" w:eastAsia="Calibri" w:hAnsi="Times New Roman" w:cs="Times New Roman"/>
          <w:sz w:val="24"/>
          <w:szCs w:val="24"/>
        </w:rPr>
        <w:t>, 22(1), pp. 1-12.</w:t>
      </w:r>
    </w:p>
    <w:p w:rsidR="00C36A59" w:rsidRPr="00F53C5B" w:rsidRDefault="00C36A59" w:rsidP="0094300D">
      <w:pPr>
        <w:spacing w:after="0" w:line="480" w:lineRule="auto"/>
        <w:ind w:left="720" w:hanging="720"/>
        <w:outlineLvl w:val="1"/>
        <w:rPr>
          <w:rFonts w:ascii="Times New Roman" w:eastAsia="Times New Roman" w:hAnsi="Times New Roman" w:cs="Times New Roman"/>
          <w:sz w:val="24"/>
          <w:szCs w:val="24"/>
        </w:rPr>
      </w:pPr>
      <w:r w:rsidRPr="00C36A59">
        <w:rPr>
          <w:rFonts w:ascii="Times New Roman" w:eastAsia="Times New Roman" w:hAnsi="Times New Roman" w:cs="Times New Roman"/>
          <w:bCs/>
          <w:sz w:val="24"/>
          <w:szCs w:val="24"/>
        </w:rPr>
        <w:t xml:space="preserve">De </w:t>
      </w:r>
      <w:proofErr w:type="spellStart"/>
      <w:r w:rsidRPr="00C36A59">
        <w:rPr>
          <w:rFonts w:ascii="Times New Roman" w:eastAsia="Times New Roman" w:hAnsi="Times New Roman" w:cs="Times New Roman"/>
          <w:bCs/>
          <w:sz w:val="24"/>
          <w:szCs w:val="24"/>
        </w:rPr>
        <w:t>Mesmaecker</w:t>
      </w:r>
      <w:proofErr w:type="spellEnd"/>
      <w:r w:rsidRPr="00C36A59">
        <w:rPr>
          <w:rFonts w:ascii="Times New Roman" w:eastAsia="Times New Roman" w:hAnsi="Times New Roman" w:cs="Times New Roman"/>
          <w:bCs/>
          <w:sz w:val="24"/>
          <w:szCs w:val="24"/>
        </w:rPr>
        <w:t xml:space="preserve">, Vicky. 2012. “Antidotes </w:t>
      </w:r>
      <w:hyperlink r:id="rId9" w:history="1">
        <w:r w:rsidRPr="00C36A59">
          <w:rPr>
            <w:rFonts w:ascii="Times New Roman" w:eastAsia="Times New Roman" w:hAnsi="Times New Roman" w:cs="Times New Roman"/>
            <w:bCs/>
            <w:sz w:val="24"/>
            <w:szCs w:val="24"/>
          </w:rPr>
          <w:t>to Injustice? Victim Statements' Impact on Victims' Sense of Security</w:t>
        </w:r>
      </w:hyperlink>
      <w:r w:rsidRPr="00C36A59">
        <w:rPr>
          <w:rFonts w:ascii="Times New Roman" w:eastAsia="Times New Roman" w:hAnsi="Times New Roman" w:cs="Times New Roman"/>
          <w:bCs/>
          <w:sz w:val="24"/>
          <w:szCs w:val="24"/>
        </w:rPr>
        <w:t xml:space="preserve">.” </w:t>
      </w:r>
      <w:r w:rsidRPr="00C36A59">
        <w:rPr>
          <w:rFonts w:ascii="Times New Roman" w:eastAsia="Times New Roman" w:hAnsi="Times New Roman" w:cs="Times New Roman"/>
          <w:bCs/>
          <w:i/>
          <w:sz w:val="24"/>
          <w:szCs w:val="24"/>
        </w:rPr>
        <w:t>I</w:t>
      </w:r>
      <w:r w:rsidRPr="00C36A59">
        <w:rPr>
          <w:rFonts w:ascii="Times New Roman" w:eastAsia="Times New Roman" w:hAnsi="Times New Roman" w:cs="Times New Roman"/>
          <w:i/>
          <w:sz w:val="24"/>
          <w:szCs w:val="24"/>
        </w:rPr>
        <w:t>nternational Review of Victimology</w:t>
      </w:r>
      <w:r w:rsidR="00F53C5B">
        <w:rPr>
          <w:rFonts w:ascii="Times New Roman" w:eastAsia="Times New Roman" w:hAnsi="Times New Roman" w:cs="Times New Roman"/>
          <w:sz w:val="24"/>
          <w:szCs w:val="24"/>
        </w:rPr>
        <w:t xml:space="preserve">, 18(2), pp. </w:t>
      </w:r>
      <w:r w:rsidRPr="00C36A59">
        <w:rPr>
          <w:rFonts w:ascii="Times New Roman" w:eastAsia="Times New Roman" w:hAnsi="Times New Roman" w:cs="Times New Roman"/>
          <w:sz w:val="24"/>
          <w:szCs w:val="24"/>
        </w:rPr>
        <w:t>133-153.</w:t>
      </w:r>
    </w:p>
    <w:p w:rsidR="00F53C5B" w:rsidRPr="00F53C5B" w:rsidRDefault="00F53C5B" w:rsidP="0094300D">
      <w:pPr>
        <w:spacing w:after="0" w:line="480" w:lineRule="auto"/>
        <w:ind w:left="720" w:hanging="720"/>
        <w:rPr>
          <w:rFonts w:ascii="Times New Roman" w:eastAsia="Calibri" w:hAnsi="Times New Roman" w:cs="Times New Roman"/>
          <w:sz w:val="24"/>
          <w:szCs w:val="24"/>
        </w:rPr>
      </w:pPr>
      <w:r w:rsidRPr="00F53C5B">
        <w:rPr>
          <w:rFonts w:ascii="Times New Roman" w:eastAsia="Calibri" w:hAnsi="Times New Roman" w:cs="Times New Roman"/>
          <w:sz w:val="24"/>
          <w:szCs w:val="24"/>
        </w:rPr>
        <w:t xml:space="preserve">Elias, R. 1990.  “Which Victim Movement? The Politics of Victim Policy.” In A. </w:t>
      </w:r>
      <w:proofErr w:type="spellStart"/>
      <w:r w:rsidRPr="00F53C5B">
        <w:rPr>
          <w:rFonts w:ascii="Times New Roman" w:eastAsia="Calibri" w:hAnsi="Times New Roman" w:cs="Times New Roman"/>
          <w:sz w:val="24"/>
          <w:szCs w:val="24"/>
        </w:rPr>
        <w:t>Lurigio</w:t>
      </w:r>
      <w:proofErr w:type="spellEnd"/>
      <w:r w:rsidRPr="00F53C5B">
        <w:rPr>
          <w:rFonts w:ascii="Times New Roman" w:eastAsia="Calibri" w:hAnsi="Times New Roman" w:cs="Times New Roman"/>
          <w:sz w:val="24"/>
          <w:szCs w:val="24"/>
        </w:rPr>
        <w:t xml:space="preserve">, W. </w:t>
      </w:r>
      <w:proofErr w:type="spellStart"/>
      <w:r w:rsidRPr="00F53C5B">
        <w:rPr>
          <w:rFonts w:ascii="Times New Roman" w:eastAsia="Calibri" w:hAnsi="Times New Roman" w:cs="Times New Roman"/>
          <w:sz w:val="24"/>
          <w:szCs w:val="24"/>
        </w:rPr>
        <w:t>Skogan</w:t>
      </w:r>
      <w:proofErr w:type="spellEnd"/>
      <w:r w:rsidRPr="00F53C5B">
        <w:rPr>
          <w:rFonts w:ascii="Times New Roman" w:eastAsia="Calibri" w:hAnsi="Times New Roman" w:cs="Times New Roman"/>
          <w:sz w:val="24"/>
          <w:szCs w:val="24"/>
        </w:rPr>
        <w:t xml:space="preserve"> &amp; R. Davis (Eds.), </w:t>
      </w:r>
      <w:r w:rsidRPr="00F53C5B">
        <w:rPr>
          <w:rFonts w:ascii="Times New Roman" w:eastAsia="Calibri" w:hAnsi="Times New Roman" w:cs="Times New Roman"/>
          <w:i/>
          <w:sz w:val="24"/>
          <w:szCs w:val="24"/>
        </w:rPr>
        <w:t>Victims of Crime: Problems, Policies, and Programs</w:t>
      </w:r>
      <w:r w:rsidRPr="00F53C5B">
        <w:rPr>
          <w:rFonts w:ascii="Times New Roman" w:eastAsia="Calibri" w:hAnsi="Times New Roman" w:cs="Times New Roman"/>
          <w:sz w:val="24"/>
          <w:szCs w:val="24"/>
        </w:rPr>
        <w:t xml:space="preserve">.  Newbury Park: Sage Publications.    </w:t>
      </w:r>
    </w:p>
    <w:p w:rsidR="00F53C5B" w:rsidRPr="00F53C5B" w:rsidRDefault="00F53C5B" w:rsidP="0094300D">
      <w:pPr>
        <w:spacing w:after="0" w:line="480" w:lineRule="auto"/>
        <w:ind w:left="720" w:hanging="720"/>
        <w:rPr>
          <w:rFonts w:ascii="Times New Roman" w:eastAsia="Times New Roman" w:hAnsi="Times New Roman" w:cs="Times New Roman"/>
          <w:i/>
          <w:vanish/>
          <w:sz w:val="24"/>
          <w:szCs w:val="24"/>
        </w:rPr>
      </w:pPr>
      <w:proofErr w:type="spellStart"/>
      <w:r w:rsidRPr="00F53C5B">
        <w:rPr>
          <w:rFonts w:ascii="Times New Roman" w:eastAsia="Calibri" w:hAnsi="Times New Roman" w:cs="Times New Roman"/>
          <w:sz w:val="24"/>
          <w:szCs w:val="24"/>
        </w:rPr>
        <w:t>Erez</w:t>
      </w:r>
      <w:proofErr w:type="spellEnd"/>
      <w:r w:rsidRPr="00F53C5B">
        <w:rPr>
          <w:rFonts w:ascii="Times New Roman" w:eastAsia="Calibri" w:hAnsi="Times New Roman" w:cs="Times New Roman"/>
          <w:sz w:val="24"/>
          <w:szCs w:val="24"/>
        </w:rPr>
        <w:t xml:space="preserve">, Edna, </w:t>
      </w:r>
      <w:proofErr w:type="spellStart"/>
      <w:r w:rsidRPr="00F53C5B">
        <w:rPr>
          <w:rFonts w:ascii="Times New Roman" w:eastAsia="Calibri" w:hAnsi="Times New Roman" w:cs="Times New Roman"/>
          <w:sz w:val="24"/>
          <w:szCs w:val="24"/>
        </w:rPr>
        <w:t>Globokar</w:t>
      </w:r>
      <w:proofErr w:type="spellEnd"/>
      <w:r w:rsidRPr="00F53C5B">
        <w:rPr>
          <w:rFonts w:ascii="Times New Roman" w:eastAsia="Calibri" w:hAnsi="Times New Roman" w:cs="Times New Roman"/>
          <w:sz w:val="24"/>
          <w:szCs w:val="24"/>
        </w:rPr>
        <w:t>, Julie and Peter Ibarra. 2014. “Outsiders Inside: Victim Management in an Era of Participatory Reforms.”</w:t>
      </w:r>
      <w:r w:rsidRPr="00F53C5B">
        <w:rPr>
          <w:rFonts w:ascii="Times New Roman" w:eastAsia="Calibri" w:hAnsi="Times New Roman" w:cs="Times New Roman"/>
          <w:b/>
          <w:sz w:val="24"/>
          <w:szCs w:val="24"/>
        </w:rPr>
        <w:t xml:space="preserve"> </w:t>
      </w:r>
      <w:hyperlink r:id="rId10" w:tgtFrame="_blank" w:tooltip="Add to Folder" w:history="1">
        <w:r w:rsidRPr="00F53C5B">
          <w:rPr>
            <w:rFonts w:ascii="Times New Roman" w:eastAsia="Times New Roman" w:hAnsi="Times New Roman" w:cs="Times New Roman"/>
            <w:i/>
            <w:vanish/>
            <w:sz w:val="24"/>
            <w:szCs w:val="24"/>
          </w:rPr>
          <w:t xml:space="preserve">Add to Folder </w:t>
        </w:r>
      </w:hyperlink>
      <w:hyperlink r:id="rId11" w:tgtFrame="_blank" w:tooltip="Remove from Folder" w:history="1">
        <w:r w:rsidRPr="00F53C5B">
          <w:rPr>
            <w:rFonts w:ascii="Times New Roman" w:eastAsia="Times New Roman" w:hAnsi="Times New Roman" w:cs="Times New Roman"/>
            <w:i/>
            <w:vanish/>
            <w:sz w:val="24"/>
            <w:szCs w:val="24"/>
          </w:rPr>
          <w:t xml:space="preserve">Remove from Folder </w:t>
        </w:r>
      </w:hyperlink>
    </w:p>
    <w:p w:rsidR="00F53C5B" w:rsidRPr="00F53C5B" w:rsidRDefault="002D6AEB" w:rsidP="0094300D">
      <w:pPr>
        <w:numPr>
          <w:ilvl w:val="1"/>
          <w:numId w:val="2"/>
        </w:numPr>
        <w:pBdr>
          <w:top w:val="single" w:sz="6" w:space="2" w:color="E1E1E1"/>
          <w:left w:val="single" w:sz="6" w:space="6" w:color="E4E4E4"/>
          <w:bottom w:val="single" w:sz="6" w:space="2" w:color="E4E4E4"/>
          <w:right w:val="single" w:sz="6" w:space="0" w:color="E4E4E4"/>
        </w:pBdr>
        <w:shd w:val="clear" w:color="auto" w:fill="F8F8F8"/>
        <w:spacing w:before="100" w:beforeAutospacing="1" w:after="100" w:afterAutospacing="1" w:line="480" w:lineRule="auto"/>
        <w:ind w:left="1380" w:hanging="720"/>
        <w:rPr>
          <w:rFonts w:ascii="Times New Roman" w:eastAsia="Times New Roman" w:hAnsi="Times New Roman" w:cs="Times New Roman"/>
          <w:i/>
          <w:vanish/>
          <w:sz w:val="24"/>
          <w:szCs w:val="24"/>
        </w:rPr>
      </w:pPr>
      <w:hyperlink r:id="rId12" w:tgtFrame="_blank" w:tooltip="Send record by Email(opens in a new window)" w:history="1">
        <w:r w:rsidR="00F53C5B" w:rsidRPr="00F53C5B">
          <w:rPr>
            <w:rFonts w:ascii="Times New Roman" w:eastAsia="Times New Roman" w:hAnsi="Times New Roman" w:cs="Times New Roman"/>
            <w:i/>
            <w:vanish/>
            <w:sz w:val="24"/>
            <w:szCs w:val="24"/>
          </w:rPr>
          <w:t xml:space="preserve">Email </w:t>
        </w:r>
      </w:hyperlink>
    </w:p>
    <w:p w:rsidR="00F53C5B" w:rsidRPr="00F53C5B" w:rsidRDefault="002D6AEB" w:rsidP="0094300D">
      <w:pPr>
        <w:numPr>
          <w:ilvl w:val="1"/>
          <w:numId w:val="2"/>
        </w:numPr>
        <w:pBdr>
          <w:top w:val="single" w:sz="6" w:space="2" w:color="E1E1E1"/>
          <w:left w:val="single" w:sz="6" w:space="6" w:color="E4E4E4"/>
          <w:bottom w:val="single" w:sz="6" w:space="2" w:color="E4E4E4"/>
          <w:right w:val="single" w:sz="6" w:space="0" w:color="E4E4E4"/>
        </w:pBdr>
        <w:shd w:val="clear" w:color="auto" w:fill="F8F8F8"/>
        <w:spacing w:before="100" w:beforeAutospacing="1" w:after="100" w:afterAutospacing="1" w:line="480" w:lineRule="auto"/>
        <w:ind w:left="1380" w:hanging="720"/>
        <w:rPr>
          <w:rFonts w:ascii="Times New Roman" w:eastAsia="Times New Roman" w:hAnsi="Times New Roman" w:cs="Times New Roman"/>
          <w:i/>
          <w:vanish/>
          <w:sz w:val="24"/>
          <w:szCs w:val="24"/>
        </w:rPr>
      </w:pPr>
      <w:hyperlink r:id="rId13" w:tgtFrame="_blank" w:tooltip="Print record (opens in a new window)" w:history="1">
        <w:r w:rsidR="00F53C5B" w:rsidRPr="00F53C5B">
          <w:rPr>
            <w:rFonts w:ascii="Times New Roman" w:eastAsia="Times New Roman" w:hAnsi="Times New Roman" w:cs="Times New Roman"/>
            <w:i/>
            <w:vanish/>
            <w:sz w:val="24"/>
            <w:szCs w:val="24"/>
          </w:rPr>
          <w:t xml:space="preserve">Print </w:t>
        </w:r>
      </w:hyperlink>
    </w:p>
    <w:p w:rsidR="00F53C5B" w:rsidRPr="00F53C5B" w:rsidRDefault="002D6AEB" w:rsidP="0094300D">
      <w:pPr>
        <w:numPr>
          <w:ilvl w:val="1"/>
          <w:numId w:val="2"/>
        </w:numPr>
        <w:pBdr>
          <w:top w:val="single" w:sz="6" w:space="2" w:color="E1E1E1"/>
          <w:left w:val="single" w:sz="6" w:space="6" w:color="E4E4E4"/>
          <w:bottom w:val="single" w:sz="6" w:space="2" w:color="E4E4E4"/>
          <w:right w:val="single" w:sz="6" w:space="0" w:color="E4E4E4"/>
        </w:pBdr>
        <w:shd w:val="clear" w:color="auto" w:fill="F8F8F8"/>
        <w:spacing w:before="100" w:beforeAutospacing="1" w:after="100" w:afterAutospacing="1" w:line="480" w:lineRule="auto"/>
        <w:ind w:left="1380" w:hanging="720"/>
        <w:rPr>
          <w:rFonts w:ascii="Times New Roman" w:eastAsia="Times New Roman" w:hAnsi="Times New Roman" w:cs="Times New Roman"/>
          <w:i/>
          <w:vanish/>
          <w:sz w:val="24"/>
          <w:szCs w:val="24"/>
        </w:rPr>
      </w:pPr>
      <w:hyperlink r:id="rId14" w:tgtFrame="_blank" w:tooltip="Permanent URL for this record" w:history="1">
        <w:r w:rsidR="00F53C5B" w:rsidRPr="00F53C5B">
          <w:rPr>
            <w:rFonts w:ascii="Times New Roman" w:eastAsia="Times New Roman" w:hAnsi="Times New Roman" w:cs="Times New Roman"/>
            <w:i/>
            <w:vanish/>
            <w:sz w:val="24"/>
            <w:szCs w:val="24"/>
          </w:rPr>
          <w:t xml:space="preserve">Link/URL </w:t>
        </w:r>
      </w:hyperlink>
    </w:p>
    <w:p w:rsidR="00F53C5B" w:rsidRPr="00F53C5B" w:rsidRDefault="002D6AEB" w:rsidP="0094300D">
      <w:pPr>
        <w:numPr>
          <w:ilvl w:val="1"/>
          <w:numId w:val="2"/>
        </w:numPr>
        <w:pBdr>
          <w:top w:val="single" w:sz="6" w:space="2" w:color="E1E1E1"/>
          <w:left w:val="single" w:sz="6" w:space="6" w:color="E4E4E4"/>
          <w:bottom w:val="single" w:sz="6" w:space="2" w:color="E4E4E4"/>
          <w:right w:val="single" w:sz="6" w:space="0" w:color="E4E4E4"/>
        </w:pBdr>
        <w:shd w:val="clear" w:color="auto" w:fill="F8F8F8"/>
        <w:spacing w:before="100" w:beforeAutospacing="1" w:after="100" w:afterAutospacing="1" w:line="480" w:lineRule="auto"/>
        <w:ind w:left="1380" w:hanging="720"/>
        <w:rPr>
          <w:rFonts w:ascii="Times New Roman" w:eastAsia="Times New Roman" w:hAnsi="Times New Roman" w:cs="Times New Roman"/>
          <w:i/>
          <w:vanish/>
          <w:sz w:val="24"/>
          <w:szCs w:val="24"/>
        </w:rPr>
      </w:pPr>
      <w:hyperlink r:id="rId15" w:tgtFrame="_blank" w:tooltip="Bibliographic citation for this title" w:history="1">
        <w:r w:rsidR="00F53C5B" w:rsidRPr="00F53C5B">
          <w:rPr>
            <w:rFonts w:ascii="Times New Roman" w:eastAsia="Times New Roman" w:hAnsi="Times New Roman" w:cs="Times New Roman"/>
            <w:i/>
            <w:vanish/>
            <w:sz w:val="24"/>
            <w:szCs w:val="24"/>
          </w:rPr>
          <w:t xml:space="preserve">Citation </w:t>
        </w:r>
      </w:hyperlink>
    </w:p>
    <w:p w:rsidR="00F53C5B" w:rsidRPr="00F53C5B" w:rsidRDefault="002D6AEB" w:rsidP="0094300D">
      <w:pPr>
        <w:numPr>
          <w:ilvl w:val="1"/>
          <w:numId w:val="2"/>
        </w:numPr>
        <w:pBdr>
          <w:top w:val="single" w:sz="6" w:space="2" w:color="E1E1E1"/>
          <w:left w:val="single" w:sz="6" w:space="6" w:color="E4E4E4"/>
          <w:bottom w:val="single" w:sz="6" w:space="2" w:color="E4E4E4"/>
          <w:right w:val="single" w:sz="6" w:space="0" w:color="E4E4E4"/>
        </w:pBdr>
        <w:shd w:val="clear" w:color="auto" w:fill="F8F8F8"/>
        <w:spacing w:before="100" w:beforeAutospacing="1" w:after="100" w:afterAutospacing="1" w:line="480" w:lineRule="auto"/>
        <w:ind w:left="1380" w:hanging="720"/>
        <w:rPr>
          <w:rFonts w:ascii="Times New Roman" w:eastAsia="Times New Roman" w:hAnsi="Times New Roman" w:cs="Times New Roman"/>
          <w:i/>
          <w:vanish/>
          <w:sz w:val="24"/>
          <w:szCs w:val="24"/>
        </w:rPr>
      </w:pPr>
      <w:hyperlink r:id="rId16" w:tgtFrame="_blank" w:tooltip="Add to EndNote" w:history="1">
        <w:r w:rsidR="00F53C5B" w:rsidRPr="00F53C5B">
          <w:rPr>
            <w:rFonts w:ascii="Times New Roman" w:eastAsia="Times New Roman" w:hAnsi="Times New Roman" w:cs="Times New Roman"/>
            <w:i/>
            <w:vanish/>
            <w:sz w:val="24"/>
            <w:szCs w:val="24"/>
          </w:rPr>
          <w:t xml:space="preserve">EndNote </w:t>
        </w:r>
      </w:hyperlink>
    </w:p>
    <w:p w:rsidR="00F53C5B" w:rsidRPr="00F53C5B" w:rsidRDefault="002D6AEB" w:rsidP="0094300D">
      <w:pPr>
        <w:numPr>
          <w:ilvl w:val="1"/>
          <w:numId w:val="2"/>
        </w:numPr>
        <w:pBdr>
          <w:top w:val="single" w:sz="6" w:space="2" w:color="E1E1E1"/>
          <w:left w:val="single" w:sz="6" w:space="6" w:color="E4E4E4"/>
          <w:bottom w:val="single" w:sz="6" w:space="2" w:color="E4E4E4"/>
          <w:right w:val="single" w:sz="6" w:space="0" w:color="E4E4E4"/>
        </w:pBdr>
        <w:shd w:val="clear" w:color="auto" w:fill="F8F8F8"/>
        <w:spacing w:before="100" w:beforeAutospacing="1" w:after="100" w:afterAutospacing="1" w:line="480" w:lineRule="auto"/>
        <w:ind w:left="1380" w:hanging="720"/>
        <w:rPr>
          <w:rFonts w:ascii="Times New Roman" w:eastAsia="Times New Roman" w:hAnsi="Times New Roman" w:cs="Times New Roman"/>
          <w:i/>
          <w:vanish/>
          <w:sz w:val="24"/>
          <w:szCs w:val="24"/>
        </w:rPr>
      </w:pPr>
      <w:hyperlink r:id="rId17" w:tgtFrame="_blank" w:tooltip="Add to RefWorks" w:history="1">
        <w:r w:rsidR="00F53C5B" w:rsidRPr="00F53C5B">
          <w:rPr>
            <w:rFonts w:ascii="Times New Roman" w:eastAsia="Times New Roman" w:hAnsi="Times New Roman" w:cs="Times New Roman"/>
            <w:i/>
            <w:vanish/>
            <w:sz w:val="24"/>
            <w:szCs w:val="24"/>
          </w:rPr>
          <w:t xml:space="preserve">RefWorks </w:t>
        </w:r>
      </w:hyperlink>
    </w:p>
    <w:p w:rsidR="00F53C5B" w:rsidRPr="00F53C5B" w:rsidRDefault="002D6AEB" w:rsidP="0094300D">
      <w:pPr>
        <w:numPr>
          <w:ilvl w:val="1"/>
          <w:numId w:val="2"/>
        </w:numPr>
        <w:pBdr>
          <w:top w:val="single" w:sz="6" w:space="2" w:color="E1E1E1"/>
          <w:left w:val="single" w:sz="6" w:space="6" w:color="E4E4E4"/>
          <w:bottom w:val="single" w:sz="6" w:space="2" w:color="E4E4E4"/>
          <w:right w:val="single" w:sz="6" w:space="0" w:color="E4E4E4"/>
        </w:pBdr>
        <w:shd w:val="clear" w:color="auto" w:fill="F8F8F8"/>
        <w:spacing w:before="100" w:beforeAutospacing="1" w:after="100" w:afterAutospacing="1" w:line="480" w:lineRule="auto"/>
        <w:ind w:left="1380" w:hanging="720"/>
        <w:rPr>
          <w:rFonts w:ascii="Times New Roman" w:eastAsia="Times New Roman" w:hAnsi="Times New Roman" w:cs="Times New Roman"/>
          <w:i/>
          <w:vanish/>
          <w:sz w:val="24"/>
          <w:szCs w:val="24"/>
        </w:rPr>
      </w:pPr>
      <w:hyperlink r:id="rId18" w:tgtFrame="blank" w:tooltip="Add to Delicious" w:history="1">
        <w:r w:rsidR="00F53C5B" w:rsidRPr="00F53C5B">
          <w:rPr>
            <w:rFonts w:ascii="Times New Roman" w:eastAsia="Times New Roman" w:hAnsi="Times New Roman" w:cs="Times New Roman"/>
            <w:i/>
            <w:vanish/>
            <w:sz w:val="24"/>
            <w:szCs w:val="24"/>
          </w:rPr>
          <w:t xml:space="preserve">del.icio.us </w:t>
        </w:r>
      </w:hyperlink>
    </w:p>
    <w:p w:rsidR="00F53C5B" w:rsidRPr="00F53C5B" w:rsidRDefault="002D6AEB" w:rsidP="0094300D">
      <w:pPr>
        <w:numPr>
          <w:ilvl w:val="1"/>
          <w:numId w:val="2"/>
        </w:numPr>
        <w:pBdr>
          <w:top w:val="single" w:sz="6" w:space="2" w:color="E1E1E1"/>
          <w:left w:val="single" w:sz="6" w:space="6" w:color="E4E4E4"/>
          <w:bottom w:val="single" w:sz="6" w:space="2" w:color="E4E4E4"/>
          <w:right w:val="single" w:sz="6" w:space="0" w:color="E4E4E4"/>
        </w:pBdr>
        <w:shd w:val="clear" w:color="auto" w:fill="F8F8F8"/>
        <w:spacing w:before="100" w:beforeAutospacing="1" w:after="100" w:afterAutospacing="1" w:line="480" w:lineRule="auto"/>
        <w:ind w:left="1380" w:hanging="720"/>
        <w:rPr>
          <w:rFonts w:ascii="Times New Roman" w:eastAsia="Times New Roman" w:hAnsi="Times New Roman" w:cs="Times New Roman"/>
          <w:i/>
          <w:vanish/>
          <w:sz w:val="24"/>
          <w:szCs w:val="24"/>
        </w:rPr>
      </w:pPr>
      <w:hyperlink r:id="rId19" w:tgtFrame="_blank" w:tooltip="Add to RISPushTo" w:history="1">
        <w:r w:rsidR="00F53C5B" w:rsidRPr="00F53C5B">
          <w:rPr>
            <w:rFonts w:ascii="Times New Roman" w:eastAsia="Times New Roman" w:hAnsi="Times New Roman" w:cs="Times New Roman"/>
            <w:i/>
            <w:vanish/>
            <w:sz w:val="24"/>
            <w:szCs w:val="24"/>
          </w:rPr>
          <w:t xml:space="preserve">Mendeley/Zotero </w:t>
        </w:r>
      </w:hyperlink>
    </w:p>
    <w:p w:rsidR="00F53C5B" w:rsidRPr="00F53C5B" w:rsidRDefault="002D6AEB" w:rsidP="0094300D">
      <w:pPr>
        <w:numPr>
          <w:ilvl w:val="1"/>
          <w:numId w:val="2"/>
        </w:numPr>
        <w:pBdr>
          <w:top w:val="single" w:sz="6" w:space="2" w:color="E1E1E1"/>
          <w:left w:val="single" w:sz="6" w:space="6" w:color="E4E4E4"/>
          <w:bottom w:val="single" w:sz="6" w:space="2" w:color="E4E4E4"/>
          <w:right w:val="single" w:sz="6" w:space="0" w:color="E4E4E4"/>
        </w:pBdr>
        <w:shd w:val="clear" w:color="auto" w:fill="F8F8F8"/>
        <w:spacing w:before="100" w:beforeAutospacing="1" w:after="100" w:afterAutospacing="1" w:line="480" w:lineRule="auto"/>
        <w:ind w:left="1380" w:hanging="720"/>
        <w:rPr>
          <w:rFonts w:ascii="Times New Roman" w:eastAsia="Times New Roman" w:hAnsi="Times New Roman" w:cs="Times New Roman"/>
          <w:i/>
          <w:vanish/>
          <w:sz w:val="24"/>
          <w:szCs w:val="24"/>
        </w:rPr>
      </w:pPr>
      <w:hyperlink r:id="rId20" w:tgtFrame="_blank" w:tooltip="Send via Text" w:history="1">
        <w:r w:rsidR="00F53C5B" w:rsidRPr="00F53C5B">
          <w:rPr>
            <w:rFonts w:ascii="Times New Roman" w:eastAsia="Times New Roman" w:hAnsi="Times New Roman" w:cs="Times New Roman"/>
            <w:i/>
            <w:vanish/>
            <w:sz w:val="24"/>
            <w:szCs w:val="24"/>
          </w:rPr>
          <w:t xml:space="preserve">Send via Text </w:t>
        </w:r>
      </w:hyperlink>
    </w:p>
    <w:p w:rsidR="00F53C5B" w:rsidRPr="00F53C5B" w:rsidRDefault="002D6AEB" w:rsidP="0094300D">
      <w:pPr>
        <w:numPr>
          <w:ilvl w:val="1"/>
          <w:numId w:val="2"/>
        </w:numPr>
        <w:pBdr>
          <w:top w:val="single" w:sz="6" w:space="2" w:color="E1E1E1"/>
          <w:left w:val="single" w:sz="6" w:space="6" w:color="E4E4E4"/>
          <w:bottom w:val="single" w:sz="6" w:space="2" w:color="E4E4E4"/>
          <w:right w:val="single" w:sz="6" w:space="0" w:color="E4E4E4"/>
        </w:pBdr>
        <w:shd w:val="clear" w:color="auto" w:fill="F8F8F8"/>
        <w:spacing w:before="100" w:beforeAutospacing="1" w:after="100" w:afterAutospacing="1" w:line="480" w:lineRule="auto"/>
        <w:ind w:left="1380" w:hanging="720"/>
        <w:rPr>
          <w:rFonts w:ascii="Times New Roman" w:eastAsia="Times New Roman" w:hAnsi="Times New Roman" w:cs="Times New Roman"/>
          <w:i/>
          <w:vanish/>
          <w:sz w:val="24"/>
          <w:szCs w:val="24"/>
        </w:rPr>
      </w:pPr>
      <w:hyperlink r:id="rId21" w:tgtFrame="_blank" w:tooltip="Report an Error" w:history="1">
        <w:r w:rsidR="00F53C5B" w:rsidRPr="00F53C5B">
          <w:rPr>
            <w:rFonts w:ascii="Times New Roman" w:eastAsia="Times New Roman" w:hAnsi="Times New Roman" w:cs="Times New Roman"/>
            <w:i/>
            <w:vanish/>
            <w:sz w:val="24"/>
            <w:szCs w:val="24"/>
          </w:rPr>
          <w:t xml:space="preserve">Report an Error </w:t>
        </w:r>
      </w:hyperlink>
    </w:p>
    <w:p w:rsidR="00F53C5B" w:rsidRPr="00F53C5B" w:rsidRDefault="00F53C5B" w:rsidP="0094300D">
      <w:pPr>
        <w:spacing w:after="0" w:line="480" w:lineRule="auto"/>
        <w:ind w:hanging="720"/>
        <w:rPr>
          <w:rFonts w:ascii="Times New Roman" w:eastAsia="Times New Roman" w:hAnsi="Times New Roman" w:cs="Times New Roman"/>
          <w:sz w:val="24"/>
          <w:szCs w:val="24"/>
        </w:rPr>
      </w:pPr>
      <w:r w:rsidRPr="00F53C5B">
        <w:rPr>
          <w:rFonts w:ascii="Times New Roman" w:eastAsia="Times New Roman" w:hAnsi="Times New Roman" w:cs="Times New Roman"/>
          <w:i/>
          <w:sz w:val="24"/>
          <w:szCs w:val="24"/>
        </w:rPr>
        <w:t>International Review of Victimology</w:t>
      </w:r>
      <w:r w:rsidRPr="00F53C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 pp.</w:t>
      </w:r>
      <w:r w:rsidRPr="00F53C5B">
        <w:rPr>
          <w:rFonts w:ascii="Times New Roman" w:eastAsia="Times New Roman" w:hAnsi="Times New Roman" w:cs="Times New Roman"/>
          <w:sz w:val="24"/>
          <w:szCs w:val="24"/>
        </w:rPr>
        <w:t>169-188.</w:t>
      </w:r>
    </w:p>
    <w:p w:rsidR="00C36A59" w:rsidRPr="00F53C5B" w:rsidRDefault="00C36A59" w:rsidP="0094300D">
      <w:pPr>
        <w:spacing w:after="0" w:line="480" w:lineRule="auto"/>
        <w:ind w:left="720" w:hanging="720"/>
        <w:rPr>
          <w:rFonts w:ascii="Times New Roman" w:eastAsia="Calibri" w:hAnsi="Times New Roman" w:cs="Times New Roman"/>
          <w:sz w:val="24"/>
          <w:szCs w:val="24"/>
        </w:rPr>
      </w:pPr>
      <w:r w:rsidRPr="00C36A59">
        <w:rPr>
          <w:rFonts w:ascii="Times New Roman" w:hAnsi="Times New Roman" w:cs="Times New Roman"/>
          <w:color w:val="000000" w:themeColor="text1"/>
          <w:sz w:val="24"/>
          <w:szCs w:val="24"/>
        </w:rPr>
        <w:t xml:space="preserve">Federal Bureau of Investigation. </w:t>
      </w:r>
      <w:r w:rsidRPr="00C36A59">
        <w:rPr>
          <w:rFonts w:ascii="Times New Roman" w:hAnsi="Times New Roman" w:cs="Times New Roman"/>
          <w:i/>
          <w:color w:val="000000" w:themeColor="text1"/>
          <w:sz w:val="24"/>
          <w:szCs w:val="24"/>
        </w:rPr>
        <w:t>Uniform Crime Reports</w:t>
      </w:r>
      <w:r w:rsidRPr="00C36A59">
        <w:rPr>
          <w:rFonts w:ascii="Times New Roman" w:hAnsi="Times New Roman" w:cs="Times New Roman"/>
          <w:color w:val="000000" w:themeColor="text1"/>
          <w:sz w:val="24"/>
          <w:szCs w:val="24"/>
        </w:rPr>
        <w:t>. Available: http://www.ucrdatatool.gov/Search/Crime/State/RunCrimeStatebyState.cfm</w:t>
      </w:r>
      <w:r w:rsidRPr="00F53C5B">
        <w:rPr>
          <w:rFonts w:ascii="Times New Roman" w:eastAsia="Calibri" w:hAnsi="Times New Roman" w:cs="Times New Roman"/>
          <w:sz w:val="24"/>
          <w:szCs w:val="24"/>
        </w:rPr>
        <w:t xml:space="preserve"> </w:t>
      </w:r>
    </w:p>
    <w:p w:rsidR="00C36A59" w:rsidRPr="00C36A59" w:rsidRDefault="00C36A59" w:rsidP="0094300D">
      <w:pPr>
        <w:spacing w:after="0" w:line="480" w:lineRule="auto"/>
        <w:rPr>
          <w:rFonts w:ascii="Times New Roman" w:eastAsia="Times New Roman" w:hAnsi="Times New Roman" w:cs="Times New Roman"/>
          <w:bCs/>
          <w:sz w:val="24"/>
          <w:szCs w:val="24"/>
        </w:rPr>
      </w:pPr>
      <w:proofErr w:type="spellStart"/>
      <w:r w:rsidRPr="00C36A59">
        <w:rPr>
          <w:rFonts w:ascii="Times New Roman" w:eastAsia="Times New Roman" w:hAnsi="Times New Roman" w:cs="Times New Roman"/>
          <w:bCs/>
          <w:sz w:val="24"/>
          <w:szCs w:val="24"/>
        </w:rPr>
        <w:t>Gekoski</w:t>
      </w:r>
      <w:proofErr w:type="spellEnd"/>
      <w:r w:rsidRPr="00C36A59">
        <w:rPr>
          <w:rFonts w:ascii="Times New Roman" w:eastAsia="Times New Roman" w:hAnsi="Times New Roman" w:cs="Times New Roman"/>
          <w:bCs/>
          <w:sz w:val="24"/>
          <w:szCs w:val="24"/>
        </w:rPr>
        <w:t xml:space="preserve">, </w:t>
      </w:r>
      <w:proofErr w:type="gramStart"/>
      <w:r w:rsidRPr="00C36A59">
        <w:rPr>
          <w:rFonts w:ascii="Times New Roman" w:eastAsia="Times New Roman" w:hAnsi="Times New Roman" w:cs="Times New Roman"/>
          <w:bCs/>
          <w:sz w:val="24"/>
          <w:szCs w:val="24"/>
        </w:rPr>
        <w:t>Anna ;</w:t>
      </w:r>
      <w:proofErr w:type="gramEnd"/>
      <w:r w:rsidRPr="00C36A59">
        <w:rPr>
          <w:rFonts w:ascii="Times New Roman" w:eastAsia="Times New Roman" w:hAnsi="Times New Roman" w:cs="Times New Roman"/>
          <w:bCs/>
          <w:sz w:val="24"/>
          <w:szCs w:val="24"/>
        </w:rPr>
        <w:t xml:space="preserve"> Adler, Joanna R ; and Jacqueline M Gray. 2013. “Interviewing Women </w:t>
      </w:r>
    </w:p>
    <w:p w:rsidR="00C36A59" w:rsidRPr="00F53C5B" w:rsidRDefault="00C36A59" w:rsidP="0094300D">
      <w:pPr>
        <w:spacing w:after="0" w:line="480" w:lineRule="auto"/>
        <w:ind w:left="720"/>
        <w:rPr>
          <w:rFonts w:ascii="Times New Roman" w:eastAsia="Calibri" w:hAnsi="Times New Roman" w:cs="Times New Roman"/>
          <w:sz w:val="24"/>
          <w:szCs w:val="24"/>
        </w:rPr>
      </w:pPr>
      <w:r w:rsidRPr="00C36A59">
        <w:rPr>
          <w:rFonts w:ascii="Times New Roman" w:eastAsia="Times New Roman" w:hAnsi="Times New Roman" w:cs="Times New Roman"/>
          <w:bCs/>
          <w:sz w:val="24"/>
          <w:szCs w:val="24"/>
        </w:rPr>
        <w:t xml:space="preserve">Bereaved by Homicide: Reports of Secondary Victimization by the Criminal Justice System.” </w:t>
      </w:r>
      <w:r w:rsidRPr="00C36A59">
        <w:rPr>
          <w:rFonts w:ascii="Times New Roman" w:eastAsia="Times New Roman" w:hAnsi="Times New Roman" w:cs="Times New Roman"/>
          <w:i/>
          <w:sz w:val="24"/>
          <w:szCs w:val="24"/>
        </w:rPr>
        <w:t>International Review of Victimology</w:t>
      </w:r>
      <w:r w:rsidRPr="00C36A59">
        <w:rPr>
          <w:rFonts w:ascii="Times New Roman" w:eastAsia="Times New Roman" w:hAnsi="Times New Roman" w:cs="Times New Roman"/>
          <w:sz w:val="24"/>
          <w:szCs w:val="24"/>
        </w:rPr>
        <w:t>, 19(3), pp.307-329</w:t>
      </w:r>
      <w:r w:rsidRPr="00C36A59">
        <w:rPr>
          <w:rFonts w:ascii="Times New Roman" w:eastAsia="Calibri" w:hAnsi="Times New Roman" w:cs="Times New Roman"/>
          <w:sz w:val="24"/>
          <w:szCs w:val="24"/>
        </w:rPr>
        <w:t xml:space="preserve">. </w:t>
      </w:r>
    </w:p>
    <w:p w:rsidR="00F53C5B" w:rsidRPr="00F53C5B" w:rsidRDefault="00F53C5B" w:rsidP="0094300D">
      <w:pPr>
        <w:spacing w:after="0" w:line="480" w:lineRule="auto"/>
        <w:ind w:left="720" w:hanging="720"/>
        <w:rPr>
          <w:rFonts w:ascii="Times New Roman" w:eastAsia="Calibri" w:hAnsi="Times New Roman" w:cs="Times New Roman"/>
          <w:sz w:val="24"/>
          <w:szCs w:val="24"/>
        </w:rPr>
      </w:pPr>
      <w:r w:rsidRPr="00F53C5B">
        <w:rPr>
          <w:rFonts w:ascii="Times New Roman" w:eastAsia="Calibri" w:hAnsi="Times New Roman" w:cs="Times New Roman"/>
          <w:sz w:val="24"/>
          <w:szCs w:val="24"/>
        </w:rPr>
        <w:t xml:space="preserve">Gordon, Trina M. and Stanley L. Brodsky. 2007. “The Influence of Victim Impact Statements on Sentencing in Capital Cases,” </w:t>
      </w:r>
      <w:r w:rsidRPr="00F53C5B">
        <w:rPr>
          <w:rFonts w:ascii="Times New Roman" w:eastAsia="Calibri" w:hAnsi="Times New Roman" w:cs="Times New Roman"/>
          <w:i/>
          <w:sz w:val="24"/>
          <w:szCs w:val="24"/>
        </w:rPr>
        <w:t>Journal of Forensic Psychology Practice</w:t>
      </w:r>
      <w:r w:rsidRPr="00F53C5B">
        <w:rPr>
          <w:rFonts w:ascii="Times New Roman" w:eastAsia="Calibri" w:hAnsi="Times New Roman" w:cs="Times New Roman"/>
          <w:sz w:val="24"/>
          <w:szCs w:val="24"/>
        </w:rPr>
        <w:t>, 7(2), pp. 45-52, DOI: 10.1300/J158v07n02_03</w:t>
      </w:r>
    </w:p>
    <w:p w:rsidR="00F53C5B" w:rsidRPr="00C36A59" w:rsidRDefault="00F53C5B" w:rsidP="0094300D">
      <w:pPr>
        <w:spacing w:after="0" w:line="480" w:lineRule="auto"/>
        <w:ind w:left="720"/>
        <w:rPr>
          <w:rFonts w:ascii="Times New Roman" w:eastAsia="Calibri" w:hAnsi="Times New Roman" w:cs="Times New Roman"/>
          <w:sz w:val="24"/>
          <w:szCs w:val="24"/>
        </w:rPr>
      </w:pPr>
      <w:bookmarkStart w:id="0" w:name="_GoBack"/>
      <w:bookmarkEnd w:id="0"/>
    </w:p>
    <w:p w:rsidR="00F53C5B" w:rsidRPr="00F53C5B" w:rsidRDefault="00F53C5B" w:rsidP="0094300D">
      <w:pPr>
        <w:spacing w:after="0" w:line="480" w:lineRule="auto"/>
        <w:ind w:left="720" w:hanging="720"/>
        <w:rPr>
          <w:rFonts w:ascii="Times New Roman" w:eastAsia="Calibri" w:hAnsi="Times New Roman" w:cs="Times New Roman"/>
          <w:sz w:val="24"/>
          <w:szCs w:val="24"/>
        </w:rPr>
      </w:pPr>
      <w:r w:rsidRPr="00F53C5B">
        <w:rPr>
          <w:rFonts w:ascii="Times New Roman" w:eastAsia="Calibri" w:hAnsi="Times New Roman" w:cs="Times New Roman"/>
          <w:sz w:val="24"/>
          <w:szCs w:val="24"/>
        </w:rPr>
        <w:lastRenderedPageBreak/>
        <w:t xml:space="preserve">Haynes, S. H. 2011. “The Effects of Victim-Related Contextual Factors on the Criminal Justice System.” </w:t>
      </w:r>
      <w:r w:rsidRPr="00F53C5B">
        <w:rPr>
          <w:rFonts w:ascii="Times New Roman" w:eastAsia="Calibri" w:hAnsi="Times New Roman" w:cs="Times New Roman"/>
          <w:i/>
          <w:sz w:val="24"/>
          <w:szCs w:val="24"/>
        </w:rPr>
        <w:t>Crime &amp; Delinquency, 57</w:t>
      </w:r>
      <w:r w:rsidRPr="00F53C5B">
        <w:rPr>
          <w:rFonts w:ascii="Times New Roman" w:eastAsia="Calibri" w:hAnsi="Times New Roman" w:cs="Times New Roman"/>
          <w:sz w:val="24"/>
          <w:szCs w:val="24"/>
        </w:rPr>
        <w:t xml:space="preserve">(2), pp. 298-328. </w:t>
      </w:r>
    </w:p>
    <w:p w:rsidR="00F53C5B" w:rsidRPr="00F53C5B" w:rsidRDefault="00F53C5B" w:rsidP="0094300D">
      <w:pPr>
        <w:spacing w:after="0" w:line="480" w:lineRule="auto"/>
        <w:ind w:left="720" w:hanging="720"/>
        <w:rPr>
          <w:rFonts w:ascii="Times New Roman" w:eastAsia="Calibri" w:hAnsi="Times New Roman" w:cs="Times New Roman"/>
          <w:sz w:val="24"/>
          <w:szCs w:val="24"/>
        </w:rPr>
      </w:pPr>
      <w:r w:rsidRPr="00F53C5B">
        <w:rPr>
          <w:rFonts w:ascii="Times New Roman" w:eastAsia="Calibri" w:hAnsi="Times New Roman" w:cs="Times New Roman"/>
          <w:sz w:val="24"/>
          <w:szCs w:val="24"/>
        </w:rPr>
        <w:t xml:space="preserve">Hume, R. J. 2011. “Comparing Institutional and Policy Explanations for the Adoption of State Constitutional Amendments: The Case of Same-Sex Marriage.” </w:t>
      </w:r>
      <w:r w:rsidRPr="00F53C5B">
        <w:rPr>
          <w:rFonts w:ascii="Times New Roman" w:eastAsia="Calibri" w:hAnsi="Times New Roman" w:cs="Times New Roman"/>
          <w:i/>
          <w:iCs/>
          <w:sz w:val="24"/>
          <w:szCs w:val="24"/>
        </w:rPr>
        <w:t>American Politics Research</w:t>
      </w:r>
      <w:r w:rsidRPr="00F53C5B">
        <w:rPr>
          <w:rFonts w:ascii="Times New Roman" w:eastAsia="Calibri" w:hAnsi="Times New Roman" w:cs="Times New Roman"/>
          <w:iCs/>
          <w:sz w:val="24"/>
          <w:szCs w:val="24"/>
        </w:rPr>
        <w:t>,</w:t>
      </w:r>
      <w:r w:rsidRPr="00F53C5B">
        <w:rPr>
          <w:rFonts w:ascii="Times New Roman" w:eastAsia="Calibri" w:hAnsi="Times New Roman" w:cs="Times New Roman"/>
          <w:sz w:val="24"/>
          <w:szCs w:val="24"/>
        </w:rPr>
        <w:t xml:space="preserve"> 39, pp.1097–1126. </w:t>
      </w:r>
      <w:proofErr w:type="gramStart"/>
      <w:r w:rsidRPr="00F53C5B">
        <w:rPr>
          <w:rFonts w:ascii="Times New Roman" w:eastAsia="Calibri" w:hAnsi="Times New Roman" w:cs="Times New Roman"/>
          <w:sz w:val="24"/>
          <w:szCs w:val="24"/>
        </w:rPr>
        <w:t>doi:</w:t>
      </w:r>
      <w:proofErr w:type="gramEnd"/>
      <w:r w:rsidRPr="00F53C5B">
        <w:rPr>
          <w:rFonts w:ascii="Times New Roman" w:eastAsia="Calibri" w:hAnsi="Times New Roman" w:cs="Times New Roman"/>
          <w:sz w:val="24"/>
          <w:szCs w:val="24"/>
        </w:rPr>
        <w:t>10.1177/1532673X11402598.</w:t>
      </w:r>
    </w:p>
    <w:p w:rsidR="00C36A59" w:rsidRPr="00C36A59" w:rsidRDefault="00C36A59" w:rsidP="0094300D">
      <w:pPr>
        <w:spacing w:after="0" w:line="480" w:lineRule="auto"/>
        <w:rPr>
          <w:rFonts w:ascii="Times New Roman" w:eastAsia="Calibri" w:hAnsi="Times New Roman" w:cs="Times New Roman"/>
          <w:sz w:val="24"/>
          <w:szCs w:val="24"/>
        </w:rPr>
      </w:pPr>
      <w:r w:rsidRPr="00C36A59">
        <w:rPr>
          <w:rFonts w:ascii="Times New Roman" w:eastAsia="Calibri" w:hAnsi="Times New Roman" w:cs="Times New Roman"/>
          <w:sz w:val="24"/>
          <w:szCs w:val="24"/>
        </w:rPr>
        <w:t xml:space="preserve">Kunst, Maarten, </w:t>
      </w:r>
      <w:proofErr w:type="spellStart"/>
      <w:r w:rsidRPr="00C36A59">
        <w:rPr>
          <w:rFonts w:ascii="Times New Roman" w:eastAsia="Calibri" w:hAnsi="Times New Roman" w:cs="Times New Roman"/>
          <w:sz w:val="24"/>
          <w:szCs w:val="24"/>
        </w:rPr>
        <w:t>Popelier</w:t>
      </w:r>
      <w:proofErr w:type="spellEnd"/>
      <w:r w:rsidRPr="00C36A59">
        <w:rPr>
          <w:rFonts w:ascii="Times New Roman" w:eastAsia="Calibri" w:hAnsi="Times New Roman" w:cs="Times New Roman"/>
          <w:sz w:val="24"/>
          <w:szCs w:val="24"/>
        </w:rPr>
        <w:t xml:space="preserve">, </w:t>
      </w:r>
      <w:proofErr w:type="spellStart"/>
      <w:r w:rsidRPr="00C36A59">
        <w:rPr>
          <w:rFonts w:ascii="Times New Roman" w:eastAsia="Calibri" w:hAnsi="Times New Roman" w:cs="Times New Roman"/>
          <w:sz w:val="24"/>
          <w:szCs w:val="24"/>
        </w:rPr>
        <w:t>Lieke</w:t>
      </w:r>
      <w:proofErr w:type="spellEnd"/>
      <w:r w:rsidRPr="00C36A59">
        <w:rPr>
          <w:rFonts w:ascii="Times New Roman" w:eastAsia="Calibri" w:hAnsi="Times New Roman" w:cs="Times New Roman"/>
          <w:sz w:val="24"/>
          <w:szCs w:val="24"/>
        </w:rPr>
        <w:t xml:space="preserve">, and Ellen </w:t>
      </w:r>
      <w:proofErr w:type="spellStart"/>
      <w:r w:rsidRPr="00C36A59">
        <w:rPr>
          <w:rFonts w:ascii="Times New Roman" w:eastAsia="Calibri" w:hAnsi="Times New Roman" w:cs="Times New Roman"/>
          <w:sz w:val="24"/>
          <w:szCs w:val="24"/>
        </w:rPr>
        <w:t>Varekamp</w:t>
      </w:r>
      <w:proofErr w:type="spellEnd"/>
      <w:r w:rsidRPr="00C36A59">
        <w:rPr>
          <w:rFonts w:ascii="Times New Roman" w:eastAsia="Calibri" w:hAnsi="Times New Roman" w:cs="Times New Roman"/>
          <w:sz w:val="24"/>
          <w:szCs w:val="24"/>
        </w:rPr>
        <w:t xml:space="preserve">. 2014. “Victim Satisfaction With </w:t>
      </w:r>
    </w:p>
    <w:p w:rsidR="00C36A59" w:rsidRPr="00F53C5B" w:rsidRDefault="00C36A59" w:rsidP="0094300D">
      <w:pPr>
        <w:spacing w:after="0" w:line="480" w:lineRule="auto"/>
        <w:ind w:left="720"/>
        <w:rPr>
          <w:rFonts w:ascii="Times New Roman" w:eastAsia="Calibri" w:hAnsi="Times New Roman" w:cs="Times New Roman"/>
          <w:sz w:val="24"/>
          <w:szCs w:val="24"/>
        </w:rPr>
      </w:pPr>
      <w:proofErr w:type="gramStart"/>
      <w:r w:rsidRPr="00C36A59">
        <w:rPr>
          <w:rFonts w:ascii="Times New Roman" w:eastAsia="Calibri" w:hAnsi="Times New Roman" w:cs="Times New Roman"/>
          <w:sz w:val="24"/>
          <w:szCs w:val="24"/>
        </w:rPr>
        <w:t>the</w:t>
      </w:r>
      <w:proofErr w:type="gramEnd"/>
      <w:r w:rsidRPr="00C36A59">
        <w:rPr>
          <w:rFonts w:ascii="Times New Roman" w:eastAsia="Calibri" w:hAnsi="Times New Roman" w:cs="Times New Roman"/>
          <w:sz w:val="24"/>
          <w:szCs w:val="24"/>
        </w:rPr>
        <w:t xml:space="preserve"> Criminal Justice System and Emotional Recovery: A Systematic and Critical Review of the Literature.” </w:t>
      </w:r>
      <w:r w:rsidRPr="00C36A59">
        <w:rPr>
          <w:rFonts w:ascii="Times New Roman" w:eastAsia="Calibri" w:hAnsi="Times New Roman" w:cs="Times New Roman"/>
          <w:i/>
          <w:sz w:val="24"/>
          <w:szCs w:val="24"/>
        </w:rPr>
        <w:t>Trauma, Violence &amp; Abuse</w:t>
      </w:r>
      <w:r w:rsidRPr="00C36A59">
        <w:rPr>
          <w:rFonts w:ascii="Times New Roman" w:eastAsia="Calibri" w:hAnsi="Times New Roman" w:cs="Times New Roman"/>
          <w:sz w:val="24"/>
          <w:szCs w:val="24"/>
        </w:rPr>
        <w:t xml:space="preserve">. DOI: 10.1177/1524838014555034. </w:t>
      </w:r>
    </w:p>
    <w:p w:rsidR="00F53C5B" w:rsidRPr="00F53C5B" w:rsidRDefault="00F53C5B" w:rsidP="0094300D">
      <w:pPr>
        <w:spacing w:after="0" w:line="480" w:lineRule="auto"/>
        <w:ind w:left="720" w:hanging="720"/>
        <w:rPr>
          <w:rFonts w:ascii="Times New Roman" w:eastAsia="Times New Roman" w:hAnsi="Times New Roman" w:cs="Times New Roman"/>
          <w:bCs/>
          <w:sz w:val="24"/>
          <w:szCs w:val="24"/>
        </w:rPr>
      </w:pPr>
      <w:proofErr w:type="spellStart"/>
      <w:r w:rsidRPr="00F53C5B">
        <w:rPr>
          <w:rFonts w:ascii="Times New Roman" w:eastAsia="Times New Roman" w:hAnsi="Times New Roman" w:cs="Times New Roman"/>
          <w:bCs/>
          <w:sz w:val="24"/>
          <w:szCs w:val="24"/>
        </w:rPr>
        <w:t>Laxminarayan</w:t>
      </w:r>
      <w:proofErr w:type="spellEnd"/>
      <w:r w:rsidRPr="00F53C5B">
        <w:rPr>
          <w:rFonts w:ascii="Times New Roman" w:eastAsia="Times New Roman" w:hAnsi="Times New Roman" w:cs="Times New Roman"/>
          <w:bCs/>
          <w:sz w:val="24"/>
          <w:szCs w:val="24"/>
        </w:rPr>
        <w:t xml:space="preserve">, </w:t>
      </w:r>
      <w:proofErr w:type="spellStart"/>
      <w:r w:rsidRPr="00F53C5B">
        <w:rPr>
          <w:rFonts w:ascii="Times New Roman" w:eastAsia="Times New Roman" w:hAnsi="Times New Roman" w:cs="Times New Roman"/>
          <w:bCs/>
          <w:sz w:val="24"/>
          <w:szCs w:val="24"/>
        </w:rPr>
        <w:t>Malini</w:t>
      </w:r>
      <w:proofErr w:type="spellEnd"/>
      <w:r w:rsidRPr="00F53C5B">
        <w:rPr>
          <w:rFonts w:ascii="Times New Roman" w:eastAsia="Times New Roman" w:hAnsi="Times New Roman" w:cs="Times New Roman"/>
          <w:bCs/>
          <w:sz w:val="24"/>
          <w:szCs w:val="24"/>
        </w:rPr>
        <w:t>.</w:t>
      </w:r>
      <w:r w:rsidRPr="00F53C5B">
        <w:rPr>
          <w:rFonts w:ascii="Times New Roman" w:eastAsia="Times New Roman" w:hAnsi="Times New Roman" w:cs="Times New Roman"/>
          <w:b/>
          <w:bCs/>
          <w:sz w:val="24"/>
          <w:szCs w:val="24"/>
        </w:rPr>
        <w:t xml:space="preserve"> </w:t>
      </w:r>
      <w:r w:rsidRPr="00F53C5B">
        <w:rPr>
          <w:rFonts w:ascii="Times New Roman" w:eastAsia="Times New Roman" w:hAnsi="Times New Roman" w:cs="Times New Roman"/>
          <w:sz w:val="24"/>
          <w:szCs w:val="24"/>
        </w:rPr>
        <w:t>2015.</w:t>
      </w:r>
      <w:r w:rsidRPr="00F53C5B">
        <w:rPr>
          <w:rFonts w:ascii="Times New Roman" w:eastAsia="Calibri" w:hAnsi="Times New Roman" w:cs="Times New Roman"/>
          <w:sz w:val="24"/>
          <w:szCs w:val="24"/>
        </w:rPr>
        <w:t xml:space="preserve"> “</w:t>
      </w:r>
      <w:r w:rsidRPr="00F53C5B">
        <w:rPr>
          <w:rFonts w:ascii="Times New Roman" w:eastAsia="Times New Roman" w:hAnsi="Times New Roman" w:cs="Times New Roman"/>
          <w:sz w:val="24"/>
          <w:szCs w:val="24"/>
        </w:rPr>
        <w:t xml:space="preserve">Enhancing trust in the legal system through victims’ rights mechanisms.” </w:t>
      </w:r>
      <w:r w:rsidRPr="00F53C5B">
        <w:rPr>
          <w:rFonts w:ascii="Times New Roman" w:eastAsia="Times New Roman" w:hAnsi="Times New Roman" w:cs="Times New Roman"/>
          <w:bCs/>
          <w:i/>
          <w:sz w:val="24"/>
          <w:szCs w:val="24"/>
        </w:rPr>
        <w:t>I</w:t>
      </w:r>
      <w:r w:rsidRPr="00F53C5B">
        <w:rPr>
          <w:rFonts w:ascii="Times New Roman" w:eastAsia="Times New Roman" w:hAnsi="Times New Roman" w:cs="Times New Roman"/>
          <w:i/>
          <w:sz w:val="24"/>
          <w:szCs w:val="24"/>
        </w:rPr>
        <w:t>nternational Review of Victimology</w:t>
      </w:r>
      <w:r w:rsidRPr="00F53C5B">
        <w:rPr>
          <w:rFonts w:ascii="Times New Roman" w:eastAsia="Times New Roman" w:hAnsi="Times New Roman" w:cs="Times New Roman"/>
          <w:sz w:val="24"/>
          <w:szCs w:val="24"/>
        </w:rPr>
        <w:t>, 21(3), pp.273-286.</w:t>
      </w:r>
    </w:p>
    <w:p w:rsidR="00F53C5B" w:rsidRPr="00F53C5B" w:rsidRDefault="00F53C5B" w:rsidP="0094300D">
      <w:pPr>
        <w:spacing w:after="0" w:line="480" w:lineRule="auto"/>
        <w:ind w:left="720" w:hanging="720"/>
        <w:outlineLvl w:val="2"/>
        <w:rPr>
          <w:rFonts w:ascii="Times New Roman" w:eastAsia="Times New Roman" w:hAnsi="Times New Roman" w:cs="Times New Roman"/>
          <w:bCs/>
          <w:sz w:val="24"/>
          <w:szCs w:val="24"/>
        </w:rPr>
      </w:pPr>
      <w:proofErr w:type="spellStart"/>
      <w:r w:rsidRPr="00F53C5B">
        <w:rPr>
          <w:rFonts w:ascii="Times New Roman" w:eastAsia="Times New Roman" w:hAnsi="Times New Roman" w:cs="Times New Roman"/>
          <w:bCs/>
          <w:sz w:val="24"/>
          <w:szCs w:val="24"/>
        </w:rPr>
        <w:t>Lupia</w:t>
      </w:r>
      <w:proofErr w:type="spellEnd"/>
      <w:r w:rsidRPr="00F53C5B">
        <w:rPr>
          <w:rFonts w:ascii="Times New Roman" w:eastAsia="Times New Roman" w:hAnsi="Times New Roman" w:cs="Times New Roman"/>
          <w:bCs/>
          <w:sz w:val="24"/>
          <w:szCs w:val="24"/>
        </w:rPr>
        <w:t xml:space="preserve">. Arthur; </w:t>
      </w:r>
      <w:proofErr w:type="spellStart"/>
      <w:r w:rsidRPr="00F53C5B">
        <w:rPr>
          <w:rFonts w:ascii="Times New Roman" w:eastAsia="Times New Roman" w:hAnsi="Times New Roman" w:cs="Times New Roman"/>
          <w:bCs/>
          <w:sz w:val="24"/>
          <w:szCs w:val="24"/>
        </w:rPr>
        <w:t>Krupnikov</w:t>
      </w:r>
      <w:proofErr w:type="spellEnd"/>
      <w:r w:rsidRPr="00F53C5B">
        <w:rPr>
          <w:rFonts w:ascii="Times New Roman" w:eastAsia="Times New Roman" w:hAnsi="Times New Roman" w:cs="Times New Roman"/>
          <w:bCs/>
          <w:sz w:val="24"/>
          <w:szCs w:val="24"/>
        </w:rPr>
        <w:t xml:space="preserve">, </w:t>
      </w:r>
      <w:proofErr w:type="spellStart"/>
      <w:r w:rsidRPr="00F53C5B">
        <w:rPr>
          <w:rFonts w:ascii="Times New Roman" w:eastAsia="Times New Roman" w:hAnsi="Times New Roman" w:cs="Times New Roman"/>
          <w:bCs/>
          <w:sz w:val="24"/>
          <w:szCs w:val="24"/>
        </w:rPr>
        <w:t>Yanna</w:t>
      </w:r>
      <w:proofErr w:type="spellEnd"/>
      <w:r w:rsidRPr="00F53C5B">
        <w:rPr>
          <w:rFonts w:ascii="Times New Roman" w:eastAsia="Times New Roman" w:hAnsi="Times New Roman" w:cs="Times New Roman"/>
          <w:bCs/>
          <w:sz w:val="24"/>
          <w:szCs w:val="24"/>
        </w:rPr>
        <w:t xml:space="preserve">; Levine, Adam Seth; Piston, Spencer and Alexander Von Hagen-Jamar. 2010. Why State Constitutions Differ in their Treatment of Same-Sex. </w:t>
      </w:r>
      <w:r w:rsidRPr="00F53C5B">
        <w:rPr>
          <w:rFonts w:ascii="Times New Roman" w:eastAsia="Times New Roman" w:hAnsi="Times New Roman" w:cs="Times New Roman"/>
          <w:bCs/>
          <w:i/>
          <w:sz w:val="24"/>
          <w:szCs w:val="24"/>
        </w:rPr>
        <w:t>The Journal of Politics</w:t>
      </w:r>
      <w:r w:rsidRPr="00F53C5B">
        <w:rPr>
          <w:rFonts w:ascii="Times New Roman" w:eastAsia="Times New Roman" w:hAnsi="Times New Roman" w:cs="Times New Roman"/>
          <w:bCs/>
          <w:sz w:val="24"/>
          <w:szCs w:val="24"/>
        </w:rPr>
        <w:t>, 72(4), pp. 1222-1235.</w:t>
      </w:r>
    </w:p>
    <w:p w:rsidR="00C36A59" w:rsidRPr="00F53C5B" w:rsidRDefault="00C36A59" w:rsidP="0094300D">
      <w:pPr>
        <w:spacing w:after="0" w:line="480" w:lineRule="auto"/>
        <w:ind w:left="720" w:hanging="720"/>
        <w:rPr>
          <w:rFonts w:ascii="Times New Roman" w:eastAsia="Calibri" w:hAnsi="Times New Roman" w:cs="Times New Roman"/>
          <w:sz w:val="24"/>
          <w:szCs w:val="24"/>
        </w:rPr>
      </w:pPr>
      <w:proofErr w:type="spellStart"/>
      <w:r w:rsidRPr="00F53C5B">
        <w:rPr>
          <w:rFonts w:ascii="Times New Roman" w:eastAsia="Calibri" w:hAnsi="Times New Roman" w:cs="Times New Roman"/>
          <w:sz w:val="24"/>
          <w:szCs w:val="24"/>
        </w:rPr>
        <w:t>Mastrocinque</w:t>
      </w:r>
      <w:proofErr w:type="spellEnd"/>
      <w:r w:rsidRPr="00F53C5B">
        <w:rPr>
          <w:rFonts w:ascii="Times New Roman" w:eastAsia="Calibri" w:hAnsi="Times New Roman" w:cs="Times New Roman"/>
          <w:sz w:val="24"/>
          <w:szCs w:val="24"/>
        </w:rPr>
        <w:t xml:space="preserve">, </w:t>
      </w:r>
      <w:proofErr w:type="spellStart"/>
      <w:r w:rsidRPr="00F53C5B">
        <w:rPr>
          <w:rFonts w:ascii="Times New Roman" w:eastAsia="Calibri" w:hAnsi="Times New Roman" w:cs="Times New Roman"/>
          <w:sz w:val="24"/>
          <w:szCs w:val="24"/>
        </w:rPr>
        <w:t>Jeanna</w:t>
      </w:r>
      <w:proofErr w:type="spellEnd"/>
      <w:r w:rsidRPr="00F53C5B">
        <w:rPr>
          <w:rFonts w:ascii="Times New Roman" w:eastAsia="Calibri" w:hAnsi="Times New Roman" w:cs="Times New Roman"/>
          <w:sz w:val="24"/>
          <w:szCs w:val="24"/>
        </w:rPr>
        <w:t xml:space="preserve"> M. 2010. “An Overview of the Victims’ Rights Movement : Historical, Legislative, and Research Development.” </w:t>
      </w:r>
      <w:r w:rsidRPr="00F53C5B">
        <w:rPr>
          <w:rFonts w:ascii="Times New Roman" w:eastAsia="Calibri" w:hAnsi="Times New Roman" w:cs="Times New Roman"/>
          <w:i/>
          <w:sz w:val="24"/>
          <w:szCs w:val="24"/>
        </w:rPr>
        <w:t>Sociology Compass</w:t>
      </w:r>
      <w:r w:rsidRPr="00F53C5B">
        <w:rPr>
          <w:rFonts w:ascii="Times New Roman" w:eastAsia="Calibri" w:hAnsi="Times New Roman" w:cs="Times New Roman"/>
          <w:sz w:val="24"/>
          <w:szCs w:val="24"/>
        </w:rPr>
        <w:t>, 2, pp. 95–110.</w:t>
      </w:r>
    </w:p>
    <w:p w:rsidR="00C36A59" w:rsidRPr="00C36A59" w:rsidRDefault="00C36A59" w:rsidP="0094300D">
      <w:pPr>
        <w:spacing w:after="0" w:line="480" w:lineRule="auto"/>
        <w:outlineLvl w:val="2"/>
        <w:rPr>
          <w:rFonts w:ascii="Times New Roman" w:eastAsia="Times New Roman" w:hAnsi="Times New Roman" w:cs="Times New Roman"/>
          <w:bCs/>
          <w:sz w:val="24"/>
          <w:szCs w:val="24"/>
        </w:rPr>
      </w:pPr>
      <w:proofErr w:type="spellStart"/>
      <w:r w:rsidRPr="00C36A59">
        <w:rPr>
          <w:rFonts w:ascii="Times New Roman" w:eastAsia="Times New Roman" w:hAnsi="Times New Roman" w:cs="Times New Roman"/>
          <w:bCs/>
          <w:sz w:val="24"/>
          <w:szCs w:val="24"/>
        </w:rPr>
        <w:t>Ruback</w:t>
      </w:r>
      <w:proofErr w:type="spellEnd"/>
      <w:r w:rsidRPr="00C36A59">
        <w:rPr>
          <w:rFonts w:ascii="Times New Roman" w:eastAsia="Times New Roman" w:hAnsi="Times New Roman" w:cs="Times New Roman"/>
          <w:bCs/>
          <w:sz w:val="24"/>
          <w:szCs w:val="24"/>
        </w:rPr>
        <w:t xml:space="preserve">, R. B., Cares, A. C., &amp; S. N. Hoskins. 2008. “Crime Victims’ Perceptions of Restitution: </w:t>
      </w:r>
    </w:p>
    <w:p w:rsidR="00C36A59" w:rsidRPr="00C36A59" w:rsidRDefault="00C36A59" w:rsidP="0094300D">
      <w:pPr>
        <w:spacing w:after="0" w:line="480" w:lineRule="auto"/>
        <w:ind w:firstLine="720"/>
        <w:outlineLvl w:val="2"/>
        <w:rPr>
          <w:rFonts w:ascii="Times New Roman" w:eastAsia="Times New Roman" w:hAnsi="Times New Roman" w:cs="Times New Roman"/>
          <w:bCs/>
          <w:sz w:val="24"/>
          <w:szCs w:val="24"/>
        </w:rPr>
      </w:pPr>
      <w:r w:rsidRPr="00C36A59">
        <w:rPr>
          <w:rFonts w:ascii="Times New Roman" w:eastAsia="Times New Roman" w:hAnsi="Times New Roman" w:cs="Times New Roman"/>
          <w:bCs/>
          <w:sz w:val="24"/>
          <w:szCs w:val="24"/>
        </w:rPr>
        <w:t xml:space="preserve">The Importance of Payment and Understanding.” </w:t>
      </w:r>
      <w:r w:rsidRPr="00C36A59">
        <w:rPr>
          <w:rFonts w:ascii="Times New Roman" w:eastAsia="Times New Roman" w:hAnsi="Times New Roman" w:cs="Times New Roman"/>
          <w:bCs/>
          <w:i/>
          <w:sz w:val="24"/>
          <w:szCs w:val="24"/>
        </w:rPr>
        <w:t>Violence and Victims</w:t>
      </w:r>
      <w:r w:rsidRPr="00C36A59">
        <w:rPr>
          <w:rFonts w:ascii="Times New Roman" w:eastAsia="Times New Roman" w:hAnsi="Times New Roman" w:cs="Times New Roman"/>
          <w:bCs/>
          <w:sz w:val="24"/>
          <w:szCs w:val="24"/>
        </w:rPr>
        <w:t>, 23, pp. 697-710.</w:t>
      </w:r>
    </w:p>
    <w:p w:rsidR="00C36A59" w:rsidRPr="00F53C5B" w:rsidRDefault="00C36A59" w:rsidP="0094300D">
      <w:pPr>
        <w:spacing w:after="0" w:line="480" w:lineRule="auto"/>
        <w:ind w:left="720" w:hanging="720"/>
        <w:rPr>
          <w:rFonts w:ascii="Times New Roman" w:eastAsia="Calibri" w:hAnsi="Times New Roman" w:cs="Times New Roman"/>
          <w:iCs/>
          <w:sz w:val="24"/>
          <w:szCs w:val="24"/>
          <w:lang w:val="en"/>
        </w:rPr>
      </w:pPr>
      <w:r w:rsidRPr="00F53C5B">
        <w:rPr>
          <w:rFonts w:ascii="Times New Roman" w:eastAsia="Calibri" w:hAnsi="Times New Roman" w:cs="Times New Roman"/>
          <w:iCs/>
          <w:sz w:val="24"/>
          <w:szCs w:val="24"/>
          <w:lang w:val="en"/>
        </w:rPr>
        <w:t>Sims, B., Yost. B. and Abbott, C. 2006. “The Efficacy of Victim Services Programs: Alleviating the Psychological Suffering of Crime Victims</w:t>
      </w:r>
      <w:proofErr w:type="gramStart"/>
      <w:r w:rsidRPr="00F53C5B">
        <w:rPr>
          <w:rFonts w:ascii="Times New Roman" w:eastAsia="Calibri" w:hAnsi="Times New Roman" w:cs="Times New Roman"/>
          <w:iCs/>
          <w:sz w:val="24"/>
          <w:szCs w:val="24"/>
          <w:lang w:val="en"/>
        </w:rPr>
        <w:t>?,</w:t>
      </w:r>
      <w:proofErr w:type="gramEnd"/>
      <w:r w:rsidRPr="00F53C5B">
        <w:rPr>
          <w:rFonts w:ascii="Times New Roman" w:eastAsia="Calibri" w:hAnsi="Times New Roman" w:cs="Times New Roman"/>
          <w:iCs/>
          <w:sz w:val="24"/>
          <w:szCs w:val="24"/>
          <w:lang w:val="en"/>
        </w:rPr>
        <w:t xml:space="preserve">” </w:t>
      </w:r>
      <w:r w:rsidRPr="00F53C5B">
        <w:rPr>
          <w:rFonts w:ascii="Times New Roman" w:eastAsia="Calibri" w:hAnsi="Times New Roman" w:cs="Times New Roman"/>
          <w:i/>
          <w:iCs/>
          <w:sz w:val="24"/>
          <w:szCs w:val="24"/>
          <w:lang w:val="en"/>
        </w:rPr>
        <w:t xml:space="preserve">Criminal Justice Policy Review, </w:t>
      </w:r>
      <w:r w:rsidRPr="00F53C5B">
        <w:rPr>
          <w:rFonts w:ascii="Times New Roman" w:eastAsia="Calibri" w:hAnsi="Times New Roman" w:cs="Times New Roman"/>
          <w:iCs/>
          <w:sz w:val="24"/>
          <w:szCs w:val="24"/>
          <w:lang w:val="en"/>
        </w:rPr>
        <w:t>(17)4, pp. 387-406.</w:t>
      </w:r>
    </w:p>
    <w:p w:rsidR="00C36A59" w:rsidRPr="00C36A59" w:rsidRDefault="00C36A59" w:rsidP="0094300D">
      <w:pPr>
        <w:spacing w:after="0" w:line="480" w:lineRule="auto"/>
        <w:ind w:left="720" w:hanging="720"/>
        <w:rPr>
          <w:rFonts w:ascii="Times New Roman" w:eastAsia="Calibri" w:hAnsi="Times New Roman" w:cs="Times New Roman"/>
          <w:sz w:val="24"/>
          <w:szCs w:val="24"/>
        </w:rPr>
      </w:pPr>
      <w:proofErr w:type="spellStart"/>
      <w:r w:rsidRPr="00C36A59">
        <w:rPr>
          <w:rFonts w:ascii="Times New Roman" w:eastAsia="Calibri" w:hAnsi="Times New Roman" w:cs="Times New Roman"/>
          <w:sz w:val="24"/>
          <w:szCs w:val="24"/>
        </w:rPr>
        <w:t>Spalek</w:t>
      </w:r>
      <w:proofErr w:type="spellEnd"/>
      <w:r w:rsidRPr="00C36A59">
        <w:rPr>
          <w:rFonts w:ascii="Times New Roman" w:eastAsia="Calibri" w:hAnsi="Times New Roman" w:cs="Times New Roman"/>
          <w:sz w:val="24"/>
          <w:szCs w:val="24"/>
        </w:rPr>
        <w:t xml:space="preserve">, </w:t>
      </w:r>
      <w:proofErr w:type="spellStart"/>
      <w:r w:rsidRPr="00C36A59">
        <w:rPr>
          <w:rFonts w:ascii="Times New Roman" w:eastAsia="Calibri" w:hAnsi="Times New Roman" w:cs="Times New Roman"/>
          <w:sz w:val="24"/>
          <w:szCs w:val="24"/>
        </w:rPr>
        <w:t>Basia</w:t>
      </w:r>
      <w:proofErr w:type="spellEnd"/>
      <w:r w:rsidRPr="00C36A59">
        <w:rPr>
          <w:rFonts w:ascii="Times New Roman" w:eastAsia="Calibri" w:hAnsi="Times New Roman" w:cs="Times New Roman"/>
          <w:sz w:val="24"/>
          <w:szCs w:val="24"/>
        </w:rPr>
        <w:t xml:space="preserve">. 2006. </w:t>
      </w:r>
      <w:r w:rsidRPr="00C36A59">
        <w:rPr>
          <w:rFonts w:ascii="Times New Roman" w:eastAsia="Calibri" w:hAnsi="Times New Roman" w:cs="Times New Roman"/>
          <w:i/>
          <w:sz w:val="24"/>
          <w:szCs w:val="24"/>
        </w:rPr>
        <w:t>Crime victims: Theory, Policy, and Practices</w:t>
      </w:r>
      <w:r w:rsidRPr="00C36A59">
        <w:rPr>
          <w:rFonts w:ascii="Times New Roman" w:eastAsia="Calibri" w:hAnsi="Times New Roman" w:cs="Times New Roman"/>
          <w:sz w:val="24"/>
          <w:szCs w:val="24"/>
        </w:rPr>
        <w:t xml:space="preserve">.  New York: </w:t>
      </w:r>
      <w:proofErr w:type="spellStart"/>
      <w:r w:rsidRPr="00C36A59">
        <w:rPr>
          <w:rFonts w:ascii="Times New Roman" w:eastAsia="Calibri" w:hAnsi="Times New Roman" w:cs="Times New Roman"/>
          <w:sz w:val="24"/>
          <w:szCs w:val="24"/>
        </w:rPr>
        <w:t>Palgave</w:t>
      </w:r>
      <w:proofErr w:type="spellEnd"/>
      <w:r w:rsidRPr="00C36A59">
        <w:rPr>
          <w:rFonts w:ascii="Times New Roman" w:eastAsia="Calibri" w:hAnsi="Times New Roman" w:cs="Times New Roman"/>
          <w:sz w:val="24"/>
          <w:szCs w:val="24"/>
        </w:rPr>
        <w:t xml:space="preserve"> Macmillan.</w:t>
      </w:r>
    </w:p>
    <w:p w:rsidR="00C36A59" w:rsidRPr="00C36A59" w:rsidRDefault="00C36A59" w:rsidP="0094300D">
      <w:pPr>
        <w:keepNext/>
        <w:keepLines/>
        <w:spacing w:after="0" w:line="480" w:lineRule="auto"/>
        <w:ind w:left="720" w:hanging="720"/>
        <w:outlineLvl w:val="2"/>
        <w:rPr>
          <w:rFonts w:ascii="Times New Roman" w:eastAsiaTheme="majorEastAsia" w:hAnsi="Times New Roman" w:cs="Times New Roman"/>
          <w:sz w:val="24"/>
          <w:szCs w:val="24"/>
        </w:rPr>
      </w:pPr>
      <w:r w:rsidRPr="00C36A59">
        <w:rPr>
          <w:rFonts w:ascii="Times New Roman" w:eastAsia="Times New Roman" w:hAnsi="Times New Roman" w:cs="Times New Roman"/>
          <w:bCs/>
          <w:sz w:val="24"/>
          <w:szCs w:val="24"/>
        </w:rPr>
        <w:lastRenderedPageBreak/>
        <w:t xml:space="preserve">Van Camp, </w:t>
      </w:r>
      <w:proofErr w:type="spellStart"/>
      <w:r w:rsidRPr="00C36A59">
        <w:rPr>
          <w:rFonts w:ascii="Times New Roman" w:eastAsia="Times New Roman" w:hAnsi="Times New Roman" w:cs="Times New Roman"/>
          <w:bCs/>
          <w:sz w:val="24"/>
          <w:szCs w:val="24"/>
        </w:rPr>
        <w:t>Tinneke</w:t>
      </w:r>
      <w:proofErr w:type="spellEnd"/>
      <w:r w:rsidRPr="00C36A59">
        <w:rPr>
          <w:rFonts w:ascii="Times New Roman" w:eastAsia="Times New Roman" w:hAnsi="Times New Roman" w:cs="Times New Roman"/>
          <w:bCs/>
          <w:sz w:val="24"/>
          <w:szCs w:val="24"/>
        </w:rPr>
        <w:t xml:space="preserve"> and Jo-Anne </w:t>
      </w:r>
      <w:proofErr w:type="spellStart"/>
      <w:r w:rsidRPr="00C36A59">
        <w:rPr>
          <w:rFonts w:ascii="Times New Roman" w:eastAsia="Times New Roman" w:hAnsi="Times New Roman" w:cs="Times New Roman"/>
          <w:bCs/>
          <w:sz w:val="24"/>
          <w:szCs w:val="24"/>
        </w:rPr>
        <w:t>Wemmers</w:t>
      </w:r>
      <w:proofErr w:type="spellEnd"/>
      <w:r w:rsidRPr="00C36A59">
        <w:rPr>
          <w:rFonts w:ascii="Times New Roman" w:eastAsia="Times New Roman" w:hAnsi="Times New Roman" w:cs="Times New Roman"/>
          <w:bCs/>
          <w:sz w:val="24"/>
          <w:szCs w:val="24"/>
        </w:rPr>
        <w:t xml:space="preserve">. 2013. “Victim Satisfaction with Restorative Justice.” </w:t>
      </w:r>
      <w:r w:rsidRPr="00C36A59">
        <w:rPr>
          <w:rFonts w:ascii="Times New Roman" w:eastAsia="Times New Roman" w:hAnsi="Times New Roman" w:cs="Times New Roman"/>
          <w:i/>
          <w:sz w:val="24"/>
          <w:szCs w:val="24"/>
        </w:rPr>
        <w:t>International Review of Victimology</w:t>
      </w:r>
      <w:r w:rsidRPr="00C36A59">
        <w:rPr>
          <w:rFonts w:ascii="Times New Roman" w:eastAsia="Times New Roman" w:hAnsi="Times New Roman" w:cs="Times New Roman"/>
          <w:sz w:val="24"/>
          <w:szCs w:val="24"/>
        </w:rPr>
        <w:t>, 19(2), pp.117-143.</w:t>
      </w:r>
    </w:p>
    <w:p w:rsidR="00C36A59" w:rsidRPr="00C36A59" w:rsidRDefault="00C36A59" w:rsidP="0094300D">
      <w:pPr>
        <w:spacing w:after="0" w:line="480" w:lineRule="auto"/>
        <w:ind w:hanging="720"/>
        <w:rPr>
          <w:rFonts w:ascii="Times New Roman" w:eastAsia="Calibri" w:hAnsi="Times New Roman" w:cs="Times New Roman"/>
          <w:sz w:val="24"/>
          <w:szCs w:val="24"/>
        </w:rPr>
      </w:pPr>
      <w:r w:rsidRPr="00C36A59">
        <w:rPr>
          <w:rFonts w:ascii="Times New Roman" w:eastAsia="Calibri" w:hAnsi="Times New Roman" w:cs="Times New Roman"/>
          <w:sz w:val="24"/>
          <w:szCs w:val="24"/>
        </w:rPr>
        <w:tab/>
      </w:r>
      <w:proofErr w:type="spellStart"/>
      <w:r w:rsidRPr="00C36A59">
        <w:rPr>
          <w:rFonts w:ascii="Times New Roman" w:eastAsia="Calibri" w:hAnsi="Times New Roman" w:cs="Times New Roman"/>
          <w:sz w:val="24"/>
          <w:szCs w:val="24"/>
        </w:rPr>
        <w:t>Wemmers</w:t>
      </w:r>
      <w:proofErr w:type="spellEnd"/>
      <w:r w:rsidRPr="00C36A59">
        <w:rPr>
          <w:rFonts w:ascii="Times New Roman" w:eastAsia="Calibri" w:hAnsi="Times New Roman" w:cs="Times New Roman"/>
          <w:sz w:val="24"/>
          <w:szCs w:val="24"/>
        </w:rPr>
        <w:t xml:space="preserve">, J. 2013. “Victim Experiences with the Criminal Justice System and Their </w:t>
      </w:r>
    </w:p>
    <w:p w:rsidR="00C36A59" w:rsidRPr="00C36A59" w:rsidRDefault="00C36A59" w:rsidP="0094300D">
      <w:pPr>
        <w:spacing w:after="0" w:line="480" w:lineRule="auto"/>
        <w:ind w:firstLine="720"/>
        <w:rPr>
          <w:rFonts w:ascii="Times New Roman" w:eastAsia="Calibri" w:hAnsi="Times New Roman" w:cs="Times New Roman"/>
          <w:sz w:val="24"/>
          <w:szCs w:val="24"/>
        </w:rPr>
      </w:pPr>
      <w:r w:rsidRPr="00C36A59">
        <w:rPr>
          <w:rFonts w:ascii="Times New Roman" w:eastAsia="Calibri" w:hAnsi="Times New Roman" w:cs="Times New Roman"/>
          <w:sz w:val="24"/>
          <w:szCs w:val="24"/>
        </w:rPr>
        <w:t xml:space="preserve">Recovery from Crime.” </w:t>
      </w:r>
      <w:r w:rsidRPr="00C36A59">
        <w:rPr>
          <w:rFonts w:ascii="Times New Roman" w:eastAsia="Calibri" w:hAnsi="Times New Roman" w:cs="Times New Roman"/>
          <w:i/>
          <w:sz w:val="24"/>
          <w:szCs w:val="24"/>
        </w:rPr>
        <w:t>International Review of Victimology</w:t>
      </w:r>
      <w:r w:rsidRPr="00C36A59">
        <w:rPr>
          <w:rFonts w:ascii="Times New Roman" w:eastAsia="Calibri" w:hAnsi="Times New Roman" w:cs="Times New Roman"/>
          <w:sz w:val="24"/>
          <w:szCs w:val="24"/>
        </w:rPr>
        <w:t xml:space="preserve"> 19(3): </w:t>
      </w:r>
      <w:r w:rsidR="00F53C5B">
        <w:rPr>
          <w:rFonts w:ascii="Times New Roman" w:eastAsia="Calibri" w:hAnsi="Times New Roman" w:cs="Times New Roman"/>
          <w:sz w:val="24"/>
          <w:szCs w:val="24"/>
        </w:rPr>
        <w:t xml:space="preserve">pp. </w:t>
      </w:r>
      <w:r w:rsidRPr="00C36A59">
        <w:rPr>
          <w:rFonts w:ascii="Times New Roman" w:eastAsia="Calibri" w:hAnsi="Times New Roman" w:cs="Times New Roman"/>
          <w:sz w:val="24"/>
          <w:szCs w:val="24"/>
        </w:rPr>
        <w:t>221-233.</w:t>
      </w:r>
    </w:p>
    <w:p w:rsidR="00C36A59" w:rsidRPr="00C36A59" w:rsidRDefault="00C36A59" w:rsidP="0094300D">
      <w:pPr>
        <w:spacing w:after="0" w:line="480" w:lineRule="auto"/>
        <w:ind w:left="720" w:hanging="720"/>
        <w:rPr>
          <w:rFonts w:ascii="Times New Roman" w:eastAsia="Calibri" w:hAnsi="Times New Roman" w:cs="Times New Roman"/>
          <w:sz w:val="24"/>
          <w:szCs w:val="24"/>
        </w:rPr>
      </w:pPr>
      <w:r w:rsidRPr="00C36A59">
        <w:rPr>
          <w:rFonts w:ascii="Times New Roman" w:eastAsia="Calibri" w:hAnsi="Times New Roman" w:cs="Times New Roman"/>
          <w:color w:val="000000" w:themeColor="text1"/>
          <w:sz w:val="24"/>
          <w:szCs w:val="24"/>
        </w:rPr>
        <w:t>Young, Marlene and John Stein. 2004. “The History of the Crime Victims’ Movement in the United States.” Office for Victims of Crime. Office of Justice Programs.  US Department of Justice.</w:t>
      </w:r>
    </w:p>
    <w:p w:rsidR="00C36A59" w:rsidRPr="00F53C5B" w:rsidRDefault="00C36A59" w:rsidP="0094300D">
      <w:pPr>
        <w:spacing w:line="480" w:lineRule="auto"/>
        <w:rPr>
          <w:rFonts w:ascii="Times New Roman" w:hAnsi="Times New Roman" w:cs="Times New Roman"/>
          <w:sz w:val="24"/>
          <w:szCs w:val="24"/>
        </w:rPr>
      </w:pPr>
    </w:p>
    <w:sectPr w:rsidR="00C36A59" w:rsidRPr="00F53C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AEB" w:rsidRDefault="002D6AEB" w:rsidP="00D67530">
      <w:pPr>
        <w:spacing w:after="0" w:line="240" w:lineRule="auto"/>
      </w:pPr>
      <w:r>
        <w:separator/>
      </w:r>
    </w:p>
  </w:endnote>
  <w:endnote w:type="continuationSeparator" w:id="0">
    <w:p w:rsidR="002D6AEB" w:rsidRDefault="002D6AEB" w:rsidP="00D67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AEB" w:rsidRDefault="002D6AEB" w:rsidP="00D67530">
      <w:pPr>
        <w:spacing w:after="0" w:line="240" w:lineRule="auto"/>
      </w:pPr>
      <w:r>
        <w:separator/>
      </w:r>
    </w:p>
  </w:footnote>
  <w:footnote w:type="continuationSeparator" w:id="0">
    <w:p w:rsidR="002D6AEB" w:rsidRDefault="002D6AEB" w:rsidP="00D67530">
      <w:pPr>
        <w:spacing w:after="0" w:line="240" w:lineRule="auto"/>
      </w:pPr>
      <w:r>
        <w:continuationSeparator/>
      </w:r>
    </w:p>
  </w:footnote>
  <w:footnote w:id="1">
    <w:p w:rsidR="00AF5211" w:rsidRDefault="00AF5211">
      <w:pPr>
        <w:pStyle w:val="FootnoteText"/>
      </w:pPr>
      <w:r>
        <w:rPr>
          <w:rStyle w:val="FootnoteReference"/>
        </w:rPr>
        <w:footnoteRef/>
      </w:r>
      <w:r>
        <w:t xml:space="preserve"> </w:t>
      </w:r>
      <w:r w:rsidR="0094300D">
        <w:t>The Hawaii Legislature considered a victims’ rights constitutional amendment in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50222"/>
    <w:multiLevelType w:val="multilevel"/>
    <w:tmpl w:val="EFA66A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A5CE5"/>
    <w:multiLevelType w:val="multilevel"/>
    <w:tmpl w:val="09FC8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DF660F"/>
    <w:multiLevelType w:val="multilevel"/>
    <w:tmpl w:val="16AAC0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83F"/>
    <w:rsid w:val="00075541"/>
    <w:rsid w:val="000B17BF"/>
    <w:rsid w:val="000E6935"/>
    <w:rsid w:val="001067A2"/>
    <w:rsid w:val="001205DA"/>
    <w:rsid w:val="001414B9"/>
    <w:rsid w:val="00145EF9"/>
    <w:rsid w:val="00186327"/>
    <w:rsid w:val="00195D02"/>
    <w:rsid w:val="001C6F09"/>
    <w:rsid w:val="001E5618"/>
    <w:rsid w:val="00252E57"/>
    <w:rsid w:val="002552C1"/>
    <w:rsid w:val="002A6E93"/>
    <w:rsid w:val="002D3615"/>
    <w:rsid w:val="002D6AEB"/>
    <w:rsid w:val="003046CE"/>
    <w:rsid w:val="003075B2"/>
    <w:rsid w:val="00336D1C"/>
    <w:rsid w:val="0037728E"/>
    <w:rsid w:val="00393984"/>
    <w:rsid w:val="00395D22"/>
    <w:rsid w:val="003B12F0"/>
    <w:rsid w:val="003E2EB5"/>
    <w:rsid w:val="0040571E"/>
    <w:rsid w:val="0042415D"/>
    <w:rsid w:val="00431FFD"/>
    <w:rsid w:val="00435107"/>
    <w:rsid w:val="00436BFC"/>
    <w:rsid w:val="004A1D23"/>
    <w:rsid w:val="004D4671"/>
    <w:rsid w:val="004D4E6A"/>
    <w:rsid w:val="005043F6"/>
    <w:rsid w:val="00521A36"/>
    <w:rsid w:val="00531666"/>
    <w:rsid w:val="00557144"/>
    <w:rsid w:val="00574402"/>
    <w:rsid w:val="00581AEB"/>
    <w:rsid w:val="00582777"/>
    <w:rsid w:val="005864EE"/>
    <w:rsid w:val="00655B46"/>
    <w:rsid w:val="00656A6A"/>
    <w:rsid w:val="00695960"/>
    <w:rsid w:val="00696FD1"/>
    <w:rsid w:val="007266C6"/>
    <w:rsid w:val="007322FF"/>
    <w:rsid w:val="007373CB"/>
    <w:rsid w:val="007434AF"/>
    <w:rsid w:val="007512BC"/>
    <w:rsid w:val="00772692"/>
    <w:rsid w:val="00784FB2"/>
    <w:rsid w:val="007940FB"/>
    <w:rsid w:val="007B4BC9"/>
    <w:rsid w:val="007C6367"/>
    <w:rsid w:val="007D74EC"/>
    <w:rsid w:val="008A0407"/>
    <w:rsid w:val="008D5D34"/>
    <w:rsid w:val="008D6412"/>
    <w:rsid w:val="008E0D0C"/>
    <w:rsid w:val="008E36DF"/>
    <w:rsid w:val="008F7BE7"/>
    <w:rsid w:val="0094112E"/>
    <w:rsid w:val="0094300D"/>
    <w:rsid w:val="00947C41"/>
    <w:rsid w:val="00961A31"/>
    <w:rsid w:val="00964EDA"/>
    <w:rsid w:val="009911DA"/>
    <w:rsid w:val="00995682"/>
    <w:rsid w:val="00A02F74"/>
    <w:rsid w:val="00A32EA4"/>
    <w:rsid w:val="00A41CCB"/>
    <w:rsid w:val="00A6170A"/>
    <w:rsid w:val="00A64DD8"/>
    <w:rsid w:val="00A81C2A"/>
    <w:rsid w:val="00A948DE"/>
    <w:rsid w:val="00AA6671"/>
    <w:rsid w:val="00AD04BC"/>
    <w:rsid w:val="00AF2531"/>
    <w:rsid w:val="00AF5211"/>
    <w:rsid w:val="00B1090A"/>
    <w:rsid w:val="00B11B47"/>
    <w:rsid w:val="00B36DDF"/>
    <w:rsid w:val="00B56402"/>
    <w:rsid w:val="00B830CA"/>
    <w:rsid w:val="00B8587A"/>
    <w:rsid w:val="00BE2609"/>
    <w:rsid w:val="00BE326E"/>
    <w:rsid w:val="00BE4EFE"/>
    <w:rsid w:val="00C01BB1"/>
    <w:rsid w:val="00C24017"/>
    <w:rsid w:val="00C36A59"/>
    <w:rsid w:val="00C57A0D"/>
    <w:rsid w:val="00CB568F"/>
    <w:rsid w:val="00CE49CF"/>
    <w:rsid w:val="00CF2E52"/>
    <w:rsid w:val="00D1783F"/>
    <w:rsid w:val="00D25311"/>
    <w:rsid w:val="00D67530"/>
    <w:rsid w:val="00D83C8E"/>
    <w:rsid w:val="00DF014E"/>
    <w:rsid w:val="00DF4268"/>
    <w:rsid w:val="00E1747F"/>
    <w:rsid w:val="00E304B4"/>
    <w:rsid w:val="00E3209D"/>
    <w:rsid w:val="00E425CB"/>
    <w:rsid w:val="00E67B1D"/>
    <w:rsid w:val="00F3082E"/>
    <w:rsid w:val="00F4297A"/>
    <w:rsid w:val="00F53C5B"/>
    <w:rsid w:val="00F609F9"/>
    <w:rsid w:val="00F67BF5"/>
    <w:rsid w:val="00F96327"/>
    <w:rsid w:val="00F9683D"/>
    <w:rsid w:val="00FB46D8"/>
    <w:rsid w:val="00FE1752"/>
    <w:rsid w:val="00FF5BBF"/>
    <w:rsid w:val="00FF7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1EADA-13D5-421A-82AF-072FA27C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5CB"/>
    <w:rPr>
      <w:color w:val="0563C1" w:themeColor="hyperlink"/>
      <w:u w:val="single"/>
    </w:rPr>
  </w:style>
  <w:style w:type="paragraph" w:styleId="FootnoteText">
    <w:name w:val="footnote text"/>
    <w:basedOn w:val="Normal"/>
    <w:link w:val="FootnoteTextChar"/>
    <w:uiPriority w:val="99"/>
    <w:semiHidden/>
    <w:unhideWhenUsed/>
    <w:rsid w:val="00D675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7530"/>
    <w:rPr>
      <w:sz w:val="20"/>
      <w:szCs w:val="20"/>
    </w:rPr>
  </w:style>
  <w:style w:type="character" w:styleId="FootnoteReference">
    <w:name w:val="footnote reference"/>
    <w:basedOn w:val="DefaultParagraphFont"/>
    <w:uiPriority w:val="99"/>
    <w:semiHidden/>
    <w:unhideWhenUsed/>
    <w:rsid w:val="00D67530"/>
    <w:rPr>
      <w:vertAlign w:val="superscript"/>
    </w:rPr>
  </w:style>
  <w:style w:type="character" w:customStyle="1" w:styleId="term">
    <w:name w:val="term"/>
    <w:basedOn w:val="DefaultParagraphFont"/>
    <w:rsid w:val="00E3209D"/>
  </w:style>
  <w:style w:type="table" w:styleId="TableGrid">
    <w:name w:val="Table Grid"/>
    <w:basedOn w:val="TableNormal"/>
    <w:uiPriority w:val="39"/>
    <w:rsid w:val="00AF5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52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iv6909258731">
    <w:name w:val="yiv6909258731"/>
    <w:basedOn w:val="DefaultParagraphFont"/>
    <w:rsid w:val="00732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076262">
      <w:bodyDiv w:val="1"/>
      <w:marLeft w:val="0"/>
      <w:marRight w:val="0"/>
      <w:marTop w:val="0"/>
      <w:marBottom w:val="0"/>
      <w:divBdr>
        <w:top w:val="none" w:sz="0" w:space="0" w:color="auto"/>
        <w:left w:val="none" w:sz="0" w:space="0" w:color="auto"/>
        <w:bottom w:val="none" w:sz="0" w:space="0" w:color="auto"/>
        <w:right w:val="none" w:sz="0" w:space="0" w:color="auto"/>
      </w:divBdr>
      <w:divsChild>
        <w:div w:id="618952210">
          <w:marLeft w:val="0"/>
          <w:marRight w:val="0"/>
          <w:marTop w:val="0"/>
          <w:marBottom w:val="0"/>
          <w:divBdr>
            <w:top w:val="none" w:sz="0" w:space="0" w:color="auto"/>
            <w:left w:val="none" w:sz="0" w:space="0" w:color="auto"/>
            <w:bottom w:val="none" w:sz="0" w:space="0" w:color="auto"/>
            <w:right w:val="none" w:sz="0" w:space="0" w:color="auto"/>
          </w:divBdr>
          <w:divsChild>
            <w:div w:id="2136950303">
              <w:marLeft w:val="0"/>
              <w:marRight w:val="0"/>
              <w:marTop w:val="0"/>
              <w:marBottom w:val="0"/>
              <w:divBdr>
                <w:top w:val="none" w:sz="0" w:space="0" w:color="auto"/>
                <w:left w:val="none" w:sz="0" w:space="0" w:color="auto"/>
                <w:bottom w:val="none" w:sz="0" w:space="0" w:color="auto"/>
                <w:right w:val="none" w:sz="0" w:space="0" w:color="auto"/>
              </w:divBdr>
              <w:divsChild>
                <w:div w:id="739249403">
                  <w:marLeft w:val="0"/>
                  <w:marRight w:val="0"/>
                  <w:marTop w:val="0"/>
                  <w:marBottom w:val="0"/>
                  <w:divBdr>
                    <w:top w:val="none" w:sz="0" w:space="0" w:color="auto"/>
                    <w:left w:val="none" w:sz="0" w:space="0" w:color="auto"/>
                    <w:bottom w:val="none" w:sz="0" w:space="0" w:color="auto"/>
                    <w:right w:val="none" w:sz="0" w:space="0" w:color="auto"/>
                  </w:divBdr>
                  <w:divsChild>
                    <w:div w:id="2011256495">
                      <w:marLeft w:val="0"/>
                      <w:marRight w:val="0"/>
                      <w:marTop w:val="0"/>
                      <w:marBottom w:val="0"/>
                      <w:divBdr>
                        <w:top w:val="none" w:sz="0" w:space="0" w:color="auto"/>
                        <w:left w:val="none" w:sz="0" w:space="0" w:color="auto"/>
                        <w:bottom w:val="none" w:sz="0" w:space="0" w:color="auto"/>
                        <w:right w:val="none" w:sz="0" w:space="0" w:color="auto"/>
                      </w:divBdr>
                      <w:divsChild>
                        <w:div w:id="1165166372">
                          <w:marLeft w:val="0"/>
                          <w:marRight w:val="0"/>
                          <w:marTop w:val="0"/>
                          <w:marBottom w:val="0"/>
                          <w:divBdr>
                            <w:top w:val="none" w:sz="0" w:space="0" w:color="auto"/>
                            <w:left w:val="none" w:sz="0" w:space="0" w:color="auto"/>
                            <w:bottom w:val="none" w:sz="0" w:space="0" w:color="auto"/>
                            <w:right w:val="none" w:sz="0" w:space="0" w:color="auto"/>
                          </w:divBdr>
                          <w:divsChild>
                            <w:div w:id="1624145203">
                              <w:marLeft w:val="0"/>
                              <w:marRight w:val="0"/>
                              <w:marTop w:val="0"/>
                              <w:marBottom w:val="0"/>
                              <w:divBdr>
                                <w:top w:val="none" w:sz="0" w:space="0" w:color="auto"/>
                                <w:left w:val="none" w:sz="0" w:space="0" w:color="auto"/>
                                <w:bottom w:val="none" w:sz="0" w:space="0" w:color="auto"/>
                                <w:right w:val="none" w:sz="0" w:space="0" w:color="auto"/>
                              </w:divBdr>
                              <w:divsChild>
                                <w:div w:id="940987295">
                                  <w:marLeft w:val="0"/>
                                  <w:marRight w:val="0"/>
                                  <w:marTop w:val="0"/>
                                  <w:marBottom w:val="0"/>
                                  <w:divBdr>
                                    <w:top w:val="none" w:sz="0" w:space="0" w:color="auto"/>
                                    <w:left w:val="none" w:sz="0" w:space="0" w:color="auto"/>
                                    <w:bottom w:val="none" w:sz="0" w:space="0" w:color="auto"/>
                                    <w:right w:val="none" w:sz="0" w:space="0" w:color="auto"/>
                                  </w:divBdr>
                                  <w:divsChild>
                                    <w:div w:id="1817839685">
                                      <w:marLeft w:val="0"/>
                                      <w:marRight w:val="0"/>
                                      <w:marTop w:val="0"/>
                                      <w:marBottom w:val="0"/>
                                      <w:divBdr>
                                        <w:top w:val="none" w:sz="0" w:space="0" w:color="auto"/>
                                        <w:left w:val="none" w:sz="0" w:space="0" w:color="auto"/>
                                        <w:bottom w:val="none" w:sz="0" w:space="0" w:color="auto"/>
                                        <w:right w:val="none" w:sz="0" w:space="0" w:color="auto"/>
                                      </w:divBdr>
                                      <w:divsChild>
                                        <w:div w:id="981154876">
                                          <w:marLeft w:val="0"/>
                                          <w:marRight w:val="0"/>
                                          <w:marTop w:val="0"/>
                                          <w:marBottom w:val="0"/>
                                          <w:divBdr>
                                            <w:top w:val="none" w:sz="0" w:space="0" w:color="auto"/>
                                            <w:left w:val="none" w:sz="0" w:space="0" w:color="auto"/>
                                            <w:bottom w:val="none" w:sz="0" w:space="0" w:color="auto"/>
                                            <w:right w:val="none" w:sz="0" w:space="0" w:color="auto"/>
                                          </w:divBdr>
                                          <w:divsChild>
                                            <w:div w:id="451286446">
                                              <w:marLeft w:val="0"/>
                                              <w:marRight w:val="0"/>
                                              <w:marTop w:val="0"/>
                                              <w:marBottom w:val="0"/>
                                              <w:divBdr>
                                                <w:top w:val="none" w:sz="0" w:space="0" w:color="auto"/>
                                                <w:left w:val="none" w:sz="0" w:space="0" w:color="auto"/>
                                                <w:bottom w:val="none" w:sz="0" w:space="0" w:color="auto"/>
                                                <w:right w:val="none" w:sz="0" w:space="0" w:color="auto"/>
                                              </w:divBdr>
                                              <w:divsChild>
                                                <w:div w:id="88281473">
                                                  <w:marLeft w:val="0"/>
                                                  <w:marRight w:val="0"/>
                                                  <w:marTop w:val="0"/>
                                                  <w:marBottom w:val="0"/>
                                                  <w:divBdr>
                                                    <w:top w:val="none" w:sz="0" w:space="0" w:color="auto"/>
                                                    <w:left w:val="none" w:sz="0" w:space="0" w:color="auto"/>
                                                    <w:bottom w:val="none" w:sz="0" w:space="0" w:color="auto"/>
                                                    <w:right w:val="none" w:sz="0" w:space="0" w:color="auto"/>
                                                  </w:divBdr>
                                                  <w:divsChild>
                                                    <w:div w:id="695160871">
                                                      <w:marLeft w:val="0"/>
                                                      <w:marRight w:val="0"/>
                                                      <w:marTop w:val="0"/>
                                                      <w:marBottom w:val="0"/>
                                                      <w:divBdr>
                                                        <w:top w:val="none" w:sz="0" w:space="0" w:color="auto"/>
                                                        <w:left w:val="none" w:sz="0" w:space="0" w:color="auto"/>
                                                        <w:bottom w:val="none" w:sz="0" w:space="0" w:color="auto"/>
                                                        <w:right w:val="none" w:sz="0" w:space="0" w:color="auto"/>
                                                      </w:divBdr>
                                                      <w:divsChild>
                                                        <w:div w:id="438137033">
                                                          <w:marLeft w:val="0"/>
                                                          <w:marRight w:val="0"/>
                                                          <w:marTop w:val="0"/>
                                                          <w:marBottom w:val="0"/>
                                                          <w:divBdr>
                                                            <w:top w:val="none" w:sz="0" w:space="0" w:color="auto"/>
                                                            <w:left w:val="none" w:sz="0" w:space="0" w:color="auto"/>
                                                            <w:bottom w:val="none" w:sz="0" w:space="0" w:color="auto"/>
                                                            <w:right w:val="none" w:sz="0" w:space="0" w:color="auto"/>
                                                          </w:divBdr>
                                                        </w:div>
                                                        <w:div w:id="186259426">
                                                          <w:marLeft w:val="0"/>
                                                          <w:marRight w:val="0"/>
                                                          <w:marTop w:val="0"/>
                                                          <w:marBottom w:val="0"/>
                                                          <w:divBdr>
                                                            <w:top w:val="none" w:sz="0" w:space="0" w:color="auto"/>
                                                            <w:left w:val="none" w:sz="0" w:space="0" w:color="auto"/>
                                                            <w:bottom w:val="none" w:sz="0" w:space="0" w:color="auto"/>
                                                            <w:right w:val="none" w:sz="0" w:space="0" w:color="auto"/>
                                                          </w:divBdr>
                                                        </w:div>
                                                        <w:div w:id="969242768">
                                                          <w:marLeft w:val="0"/>
                                                          <w:marRight w:val="0"/>
                                                          <w:marTop w:val="0"/>
                                                          <w:marBottom w:val="0"/>
                                                          <w:divBdr>
                                                            <w:top w:val="none" w:sz="0" w:space="0" w:color="auto"/>
                                                            <w:left w:val="none" w:sz="0" w:space="0" w:color="auto"/>
                                                            <w:bottom w:val="none" w:sz="0" w:space="0" w:color="auto"/>
                                                            <w:right w:val="none" w:sz="0" w:space="0" w:color="auto"/>
                                                          </w:divBdr>
                                                        </w:div>
                                                        <w:div w:id="1543441912">
                                                          <w:marLeft w:val="0"/>
                                                          <w:marRight w:val="0"/>
                                                          <w:marTop w:val="0"/>
                                                          <w:marBottom w:val="0"/>
                                                          <w:divBdr>
                                                            <w:top w:val="none" w:sz="0" w:space="0" w:color="auto"/>
                                                            <w:left w:val="none" w:sz="0" w:space="0" w:color="auto"/>
                                                            <w:bottom w:val="none" w:sz="0" w:space="0" w:color="auto"/>
                                                            <w:right w:val="none" w:sz="0" w:space="0" w:color="auto"/>
                                                          </w:divBdr>
                                                        </w:div>
                                                        <w:div w:id="1951159609">
                                                          <w:marLeft w:val="0"/>
                                                          <w:marRight w:val="0"/>
                                                          <w:marTop w:val="0"/>
                                                          <w:marBottom w:val="0"/>
                                                          <w:divBdr>
                                                            <w:top w:val="none" w:sz="0" w:space="0" w:color="auto"/>
                                                            <w:left w:val="none" w:sz="0" w:space="0" w:color="auto"/>
                                                            <w:bottom w:val="none" w:sz="0" w:space="0" w:color="auto"/>
                                                            <w:right w:val="none" w:sz="0" w:space="0" w:color="auto"/>
                                                          </w:divBdr>
                                                        </w:div>
                                                        <w:div w:id="240260917">
                                                          <w:marLeft w:val="0"/>
                                                          <w:marRight w:val="0"/>
                                                          <w:marTop w:val="0"/>
                                                          <w:marBottom w:val="0"/>
                                                          <w:divBdr>
                                                            <w:top w:val="none" w:sz="0" w:space="0" w:color="auto"/>
                                                            <w:left w:val="none" w:sz="0" w:space="0" w:color="auto"/>
                                                            <w:bottom w:val="none" w:sz="0" w:space="0" w:color="auto"/>
                                                            <w:right w:val="none" w:sz="0" w:space="0" w:color="auto"/>
                                                          </w:divBdr>
                                                        </w:div>
                                                        <w:div w:id="17715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4855868">
      <w:bodyDiv w:val="1"/>
      <w:marLeft w:val="0"/>
      <w:marRight w:val="0"/>
      <w:marTop w:val="0"/>
      <w:marBottom w:val="0"/>
      <w:divBdr>
        <w:top w:val="none" w:sz="0" w:space="0" w:color="auto"/>
        <w:left w:val="none" w:sz="0" w:space="0" w:color="auto"/>
        <w:bottom w:val="none" w:sz="0" w:space="0" w:color="auto"/>
        <w:right w:val="none" w:sz="0" w:space="0" w:color="auto"/>
      </w:divBdr>
      <w:divsChild>
        <w:div w:id="1022123834">
          <w:marLeft w:val="0"/>
          <w:marRight w:val="0"/>
          <w:marTop w:val="300"/>
          <w:marBottom w:val="0"/>
          <w:divBdr>
            <w:top w:val="none" w:sz="0" w:space="0" w:color="auto"/>
            <w:left w:val="none" w:sz="0" w:space="0" w:color="auto"/>
            <w:bottom w:val="none" w:sz="0" w:space="0" w:color="auto"/>
            <w:right w:val="none" w:sz="0" w:space="0" w:color="auto"/>
          </w:divBdr>
          <w:divsChild>
            <w:div w:id="485126544">
              <w:marLeft w:val="0"/>
              <w:marRight w:val="0"/>
              <w:marTop w:val="0"/>
              <w:marBottom w:val="0"/>
              <w:divBdr>
                <w:top w:val="none" w:sz="0" w:space="0" w:color="auto"/>
                <w:left w:val="none" w:sz="0" w:space="0" w:color="auto"/>
                <w:bottom w:val="none" w:sz="0" w:space="0" w:color="auto"/>
                <w:right w:val="none" w:sz="0" w:space="0" w:color="auto"/>
              </w:divBdr>
              <w:divsChild>
                <w:div w:id="7648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04378">
      <w:bodyDiv w:val="1"/>
      <w:marLeft w:val="0"/>
      <w:marRight w:val="0"/>
      <w:marTop w:val="0"/>
      <w:marBottom w:val="0"/>
      <w:divBdr>
        <w:top w:val="none" w:sz="0" w:space="0" w:color="auto"/>
        <w:left w:val="none" w:sz="0" w:space="0" w:color="auto"/>
        <w:bottom w:val="none" w:sz="0" w:space="0" w:color="auto"/>
        <w:right w:val="none" w:sz="0" w:space="0" w:color="auto"/>
      </w:divBdr>
      <w:divsChild>
        <w:div w:id="98533166">
          <w:marLeft w:val="90"/>
          <w:marRight w:val="90"/>
          <w:marTop w:val="9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earch.library.pdx.edu/primo_library/libweb/action/display.do?fn=print&amp;tab=default_tab&amp;indx=1&amp;display=print&amp;docs=TN_gale_ofa360026325&amp;" TargetMode="External"/><Relationship Id="rId18" Type="http://schemas.openxmlformats.org/officeDocument/2006/relationships/hyperlink" Target="http://search.library.pdx.edu/primo_library/libweb/action/PushToAction.do?recId=TN_gale_ofa360026325&amp;pushToType=Delicious&amp;fromEshelf=false" TargetMode="External"/><Relationship Id="rId3" Type="http://schemas.openxmlformats.org/officeDocument/2006/relationships/styles" Target="styles.xml"/><Relationship Id="rId21" Type="http://schemas.openxmlformats.org/officeDocument/2006/relationships/hyperlink" Target="http://search.library.pdx.edu/primo_library/libweb/action/search.do?fn=search&amp;ct=search&amp;initialSearch=true&amp;mode=Basic&amp;tab=default_tab&amp;indx=1&amp;dum=true&amp;srt=rank&amp;vid=PSU&amp;frbg=&amp;tb=t&amp;vl%28freeText0%29=Outsiders+inside%3A+victim+management&amp;scp.scps=scope%3A%28PSU%29%2Cscope%3A%28PSU_CR%29%2Cscope%3A%28PDXSCHOLAR+%29%2Cscope%3A%28P%29%2Cscope%3A%28E-PSU%29%2CEbscoLocal_PSU%2Cprimo_central_multiple_fe" TargetMode="External"/><Relationship Id="rId7" Type="http://schemas.openxmlformats.org/officeDocument/2006/relationships/endnotes" Target="endnotes.xml"/><Relationship Id="rId12" Type="http://schemas.openxmlformats.org/officeDocument/2006/relationships/hyperlink" Target="http://search.library.pdx.edu/primo_library/libweb/action/email.do?fn=email&amp;docs=TN_gale_ofa360026325&amp;vid=PSU&amp;fromCommand=true&amp;doc=TN_gale_ofa360026325&amp;scope=scope%3A%28PSU%29%2Cscope%3A%28PSU_CR%29%2Cscope%3A%28PDXSCHOLAR%20%29%2Cscope%3A%28P%29%2Cscope%3A%28E-PSU%29%2CEbscoLocal_PSU%2Cprimo_central_multiple_fe&amp;indx=1&amp;" TargetMode="External"/><Relationship Id="rId17" Type="http://schemas.openxmlformats.org/officeDocument/2006/relationships/hyperlink" Target="http://search.library.pdx.edu/primo_library/libweb/action/PushToAction.do?recId=TN_gale_ofa360026325&amp;pushToType=RefWorks&amp;fromEshelf=false" TargetMode="External"/><Relationship Id="rId2" Type="http://schemas.openxmlformats.org/officeDocument/2006/relationships/numbering" Target="numbering.xml"/><Relationship Id="rId16" Type="http://schemas.openxmlformats.org/officeDocument/2006/relationships/hyperlink" Target="http://search.library.pdx.edu/primo_library/libweb/action/PushToAction.do?recId=TN_gale_ofa360026325&amp;pushToType=EndNote&amp;fromEshelf=false" TargetMode="External"/><Relationship Id="rId20" Type="http://schemas.openxmlformats.org/officeDocument/2006/relationships/hyperlink" Target="http://search.library.pdx.edu/primo_library/libweb/action/search.do?fn=search&amp;ct=search&amp;initialSearch=true&amp;mode=Basic&amp;tab=default_tab&amp;indx=1&amp;dum=true&amp;srt=rank&amp;vid=PSU&amp;frbg=&amp;tb=t&amp;vl%28freeText0%29=Outsiders+inside%3A+victim+management&amp;scp.scps=scope%3A%28PSU%29%2Cscope%3A%28PSU_CR%29%2Cscope%3A%28PDXSCHOLAR+%29%2Cscope%3A%28P%29%2Cscope%3A%28E-PSU%29%2CEbscoLocal_PSU%2Cprimo_central_multiple_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brary.pdx.edu/primo_library/libweb/action/basket.do?fn=remove&amp;docs=TN_gale_ofa360026325&amp;exemode=async" TargetMode="External"/><Relationship Id="rId5" Type="http://schemas.openxmlformats.org/officeDocument/2006/relationships/webSettings" Target="webSettings.xml"/><Relationship Id="rId15" Type="http://schemas.openxmlformats.org/officeDocument/2006/relationships/hyperlink" Target="http://search.library.pdx.edu/primo_library/libweb/action/search.do?fn=search&amp;ct=search&amp;initialSearch=true&amp;mode=Basic&amp;tab=default_tab&amp;indx=1&amp;dum=true&amp;srt=rank&amp;vid=PSU&amp;frbg=&amp;tb=t&amp;vl%28freeText0%29=Outsiders+inside%3A+victim+management&amp;scp.scps=scope%3A%28PSU%29%2Cscope%3A%28PSU_CR%29%2Cscope%3A%28PDXSCHOLAR+%29%2Cscope%3A%28P%29%2Cscope%3A%28E-PSU%29%2CEbscoLocal_PSU%2Cprimo_central_multiple_fe" TargetMode="External"/><Relationship Id="rId23" Type="http://schemas.openxmlformats.org/officeDocument/2006/relationships/theme" Target="theme/theme1.xml"/><Relationship Id="rId10" Type="http://schemas.openxmlformats.org/officeDocument/2006/relationships/hyperlink" Target="http://search.library.pdx.edu/primo_library/libweb/action/basket.do?fn=create&amp;docs=TN_gale_ofa360026325&amp;exemode=async" TargetMode="External"/><Relationship Id="rId19" Type="http://schemas.openxmlformats.org/officeDocument/2006/relationships/hyperlink" Target="http://search.library.pdx.edu/primo_library/libweb/action/PushToAction.do?recId=TN_gale_ofa360026325&amp;pushToType=RISPushTo&amp;fromEshelf=false" TargetMode="External"/><Relationship Id="rId4" Type="http://schemas.openxmlformats.org/officeDocument/2006/relationships/settings" Target="settings.xml"/><Relationship Id="rId9" Type="http://schemas.openxmlformats.org/officeDocument/2006/relationships/hyperlink" Target="http://search.library.pdx.edu/primo_library/libweb/action/display.do;jsessionid=14096A60D1B6A376AA53C7121F26CC88?frbrVersion=2&amp;tabs=viewOnlineTab&amp;ct=display&amp;fn=search&amp;doc=TN_gale_ofa303562275&amp;indx=1&amp;recIds=TN_gale_ofa303562275&amp;recIdxs=0&amp;elementId=0&amp;renderMode=poppedOut&amp;displayMode=full&amp;frbrVersion=2&amp;dscnt=0&amp;onCampus=false&amp;query=any%2Ccontains%2Cantidotes+to+injustice%3F&amp;scp.scps=scope%3A%28PSU%29%2Cscope%3A%28PSU_CR%29%2Cscope%3A%28PDXSCHOLAR+%29%2Cscope%3A%28P%29%2Cscope%3A%28E-PSU%29%2CEbscoLocal_PSU%2Cprimo_central_multiple_fe&amp;tab=default_tab&amp;dstmp=1448468645031&amp;highlight=true&amp;vl(3157244UI0)=any&amp;mode=Basic&amp;dum=true&amp;search_scope=all&amp;displayField=all&amp;bulkSize=10&amp;pcAvailabiltyMode=true&amp;vl(freeText0)=antidotes%20to%20injustice%3F&amp;vid=PSU&amp;institution=PSU" TargetMode="External"/><Relationship Id="rId14" Type="http://schemas.openxmlformats.org/officeDocument/2006/relationships/hyperlink" Target="http://search.library.pdx.edu/primo_library/libweb/action/permalink.do?docId=TN_gale_ofa360026325&amp;vid=PSU&amp;fn=permalink"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Overall</c:v>
                </c:pt>
              </c:strCache>
            </c:strRef>
          </c:tx>
          <c:spPr>
            <a:solidFill>
              <a:schemeClr val="accent1"/>
            </a:solidFill>
            <a:ln>
              <a:noFill/>
            </a:ln>
            <a:effectLst/>
          </c:spPr>
          <c:invertIfNegative val="0"/>
          <c:cat>
            <c:strRef>
              <c:f>Sheet1!$A$2:$A$33</c:f>
              <c:strCache>
                <c:ptCount val="32"/>
                <c:pt idx="0">
                  <c:v>Alabama</c:v>
                </c:pt>
                <c:pt idx="1">
                  <c:v>Alaska</c:v>
                </c:pt>
                <c:pt idx="2">
                  <c:v>Arizona</c:v>
                </c:pt>
                <c:pt idx="3">
                  <c:v>California</c:v>
                </c:pt>
                <c:pt idx="4">
                  <c:v>Colorado</c:v>
                </c:pt>
                <c:pt idx="5">
                  <c:v>Connecticut</c:v>
                </c:pt>
                <c:pt idx="6">
                  <c:v>Florida</c:v>
                </c:pt>
                <c:pt idx="7">
                  <c:v>Idaho</c:v>
                </c:pt>
                <c:pt idx="8">
                  <c:v>Illinois</c:v>
                </c:pt>
                <c:pt idx="9">
                  <c:v>Indiana</c:v>
                </c:pt>
                <c:pt idx="10">
                  <c:v>Kansas</c:v>
                </c:pt>
                <c:pt idx="11">
                  <c:v>Louisiana</c:v>
                </c:pt>
                <c:pt idx="12">
                  <c:v>Maryland</c:v>
                </c:pt>
                <c:pt idx="13">
                  <c:v>Michigan</c:v>
                </c:pt>
                <c:pt idx="14">
                  <c:v>Mississippi</c:v>
                </c:pt>
                <c:pt idx="15">
                  <c:v>Missouri</c:v>
                </c:pt>
                <c:pt idx="16">
                  <c:v>Nebraska</c:v>
                </c:pt>
                <c:pt idx="17">
                  <c:v>Nevada</c:v>
                </c:pt>
                <c:pt idx="18">
                  <c:v>New Jersey</c:v>
                </c:pt>
                <c:pt idx="19">
                  <c:v>New Mexico</c:v>
                </c:pt>
                <c:pt idx="20">
                  <c:v>North Carolina</c:v>
                </c:pt>
                <c:pt idx="21">
                  <c:v>Ohio</c:v>
                </c:pt>
                <c:pt idx="22">
                  <c:v>Oklahoma</c:v>
                </c:pt>
                <c:pt idx="23">
                  <c:v>Oregon</c:v>
                </c:pt>
                <c:pt idx="24">
                  <c:v>Rhode Island</c:v>
                </c:pt>
                <c:pt idx="25">
                  <c:v>South Carolina</c:v>
                </c:pt>
                <c:pt idx="26">
                  <c:v>Tennessee</c:v>
                </c:pt>
                <c:pt idx="27">
                  <c:v>Texas</c:v>
                </c:pt>
                <c:pt idx="28">
                  <c:v>Utah</c:v>
                </c:pt>
                <c:pt idx="29">
                  <c:v>Virginia</c:v>
                </c:pt>
                <c:pt idx="30">
                  <c:v>Washington</c:v>
                </c:pt>
                <c:pt idx="31">
                  <c:v>Wisconsin</c:v>
                </c:pt>
              </c:strCache>
            </c:strRef>
          </c:cat>
          <c:val>
            <c:numRef>
              <c:f>Sheet1!$B$2:$B$33</c:f>
              <c:numCache>
                <c:formatCode>General</c:formatCode>
                <c:ptCount val="32"/>
                <c:pt idx="0">
                  <c:v>3</c:v>
                </c:pt>
                <c:pt idx="1">
                  <c:v>4</c:v>
                </c:pt>
                <c:pt idx="2">
                  <c:v>5</c:v>
                </c:pt>
                <c:pt idx="3">
                  <c:v>3</c:v>
                </c:pt>
                <c:pt idx="4">
                  <c:v>3</c:v>
                </c:pt>
                <c:pt idx="5">
                  <c:v>4</c:v>
                </c:pt>
                <c:pt idx="6">
                  <c:v>3</c:v>
                </c:pt>
                <c:pt idx="7">
                  <c:v>4</c:v>
                </c:pt>
                <c:pt idx="8">
                  <c:v>5</c:v>
                </c:pt>
                <c:pt idx="9">
                  <c:v>3</c:v>
                </c:pt>
                <c:pt idx="10">
                  <c:v>3</c:v>
                </c:pt>
                <c:pt idx="11">
                  <c:v>5</c:v>
                </c:pt>
                <c:pt idx="12">
                  <c:v>3</c:v>
                </c:pt>
                <c:pt idx="13">
                  <c:v>4</c:v>
                </c:pt>
                <c:pt idx="14">
                  <c:v>3</c:v>
                </c:pt>
                <c:pt idx="15">
                  <c:v>4</c:v>
                </c:pt>
                <c:pt idx="16">
                  <c:v>3</c:v>
                </c:pt>
                <c:pt idx="17">
                  <c:v>3</c:v>
                </c:pt>
                <c:pt idx="18">
                  <c:v>2</c:v>
                </c:pt>
                <c:pt idx="19">
                  <c:v>5</c:v>
                </c:pt>
                <c:pt idx="20">
                  <c:v>4</c:v>
                </c:pt>
                <c:pt idx="21">
                  <c:v>1</c:v>
                </c:pt>
                <c:pt idx="22">
                  <c:v>3</c:v>
                </c:pt>
                <c:pt idx="23">
                  <c:v>5</c:v>
                </c:pt>
                <c:pt idx="24">
                  <c:v>1</c:v>
                </c:pt>
                <c:pt idx="25">
                  <c:v>5</c:v>
                </c:pt>
                <c:pt idx="26">
                  <c:v>4</c:v>
                </c:pt>
                <c:pt idx="27">
                  <c:v>3</c:v>
                </c:pt>
                <c:pt idx="28">
                  <c:v>3</c:v>
                </c:pt>
                <c:pt idx="29">
                  <c:v>4</c:v>
                </c:pt>
                <c:pt idx="30">
                  <c:v>3</c:v>
                </c:pt>
                <c:pt idx="31">
                  <c:v>5</c:v>
                </c:pt>
              </c:numCache>
            </c:numRef>
          </c:val>
        </c:ser>
        <c:dLbls>
          <c:showLegendKey val="0"/>
          <c:showVal val="0"/>
          <c:showCatName val="0"/>
          <c:showSerName val="0"/>
          <c:showPercent val="0"/>
          <c:showBubbleSize val="0"/>
        </c:dLbls>
        <c:gapWidth val="219"/>
        <c:overlap val="-27"/>
        <c:axId val="611159392"/>
        <c:axId val="611156256"/>
      </c:barChart>
      <c:catAx>
        <c:axId val="611159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156256"/>
        <c:crosses val="autoZero"/>
        <c:auto val="1"/>
        <c:lblAlgn val="ctr"/>
        <c:lblOffset val="100"/>
        <c:noMultiLvlLbl val="0"/>
      </c:catAx>
      <c:valAx>
        <c:axId val="611156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159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29708-80D0-4DCC-B126-696EA7143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6375</Words>
  <Characters>35770</Characters>
  <Application>Microsoft Office Word</Application>
  <DocSecurity>0</DocSecurity>
  <Lines>518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Jeffries</dc:creator>
  <cp:keywords/>
  <dc:description/>
  <cp:lastModifiedBy>Vicki Jeffries</cp:lastModifiedBy>
  <cp:revision>2</cp:revision>
  <dcterms:created xsi:type="dcterms:W3CDTF">2016-03-01T20:55:00Z</dcterms:created>
  <dcterms:modified xsi:type="dcterms:W3CDTF">2016-03-01T20:55:00Z</dcterms:modified>
</cp:coreProperties>
</file>