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2B" w:rsidRDefault="0028702B" w:rsidP="0028702B">
      <w:pPr>
        <w:spacing w:line="480" w:lineRule="auto"/>
        <w:jc w:val="center"/>
        <w:rPr>
          <w:rFonts w:ascii="Times New Roman" w:hAnsi="Times New Roman" w:cs="Times New Roman"/>
          <w:b/>
          <w:bCs/>
          <w:sz w:val="24"/>
          <w:szCs w:val="24"/>
        </w:rPr>
      </w:pPr>
      <w:bookmarkStart w:id="0" w:name="_GoBack"/>
      <w:bookmarkEnd w:id="0"/>
    </w:p>
    <w:p w:rsidR="001B0A0F" w:rsidRDefault="001B0A0F" w:rsidP="0028702B">
      <w:pPr>
        <w:spacing w:line="480" w:lineRule="auto"/>
        <w:jc w:val="center"/>
        <w:rPr>
          <w:rFonts w:ascii="Times New Roman" w:hAnsi="Times New Roman" w:cs="Times New Roman"/>
          <w:b/>
          <w:bCs/>
          <w:sz w:val="24"/>
          <w:szCs w:val="24"/>
        </w:rPr>
      </w:pPr>
    </w:p>
    <w:p w:rsidR="0028702B" w:rsidRDefault="0028702B" w:rsidP="0028702B">
      <w:pPr>
        <w:spacing w:line="480" w:lineRule="auto"/>
        <w:jc w:val="center"/>
        <w:rPr>
          <w:rFonts w:ascii="Times New Roman" w:hAnsi="Times New Roman" w:cs="Times New Roman"/>
          <w:b/>
          <w:bCs/>
          <w:sz w:val="24"/>
          <w:szCs w:val="24"/>
        </w:rPr>
      </w:pPr>
    </w:p>
    <w:p w:rsidR="0028702B" w:rsidRDefault="0028702B" w:rsidP="00FD3B43">
      <w:pPr>
        <w:spacing w:line="360" w:lineRule="auto"/>
        <w:jc w:val="center"/>
        <w:rPr>
          <w:rFonts w:ascii="Times New Roman" w:hAnsi="Times New Roman" w:cs="Times New Roman"/>
          <w:b/>
          <w:bCs/>
          <w:sz w:val="24"/>
          <w:szCs w:val="24"/>
        </w:rPr>
      </w:pPr>
    </w:p>
    <w:p w:rsidR="0028702B" w:rsidRDefault="00185E87" w:rsidP="00FD3B43">
      <w:pPr>
        <w:spacing w:line="360" w:lineRule="auto"/>
        <w:jc w:val="center"/>
        <w:rPr>
          <w:rFonts w:ascii="Times New Roman" w:hAnsi="Times New Roman" w:cs="Times New Roman"/>
          <w:b/>
          <w:bCs/>
          <w:sz w:val="32"/>
          <w:szCs w:val="32"/>
        </w:rPr>
      </w:pPr>
      <w:r w:rsidRPr="004C31F5">
        <w:rPr>
          <w:rFonts w:ascii="Times New Roman" w:hAnsi="Times New Roman" w:cs="Times New Roman"/>
          <w:b/>
          <w:bCs/>
          <w:sz w:val="32"/>
          <w:szCs w:val="32"/>
        </w:rPr>
        <w:t xml:space="preserve">Filling the Gap: The Role of Voluntary Contributions and Parcel Taxes in Supplementing K-12 Spending in California </w:t>
      </w:r>
    </w:p>
    <w:p w:rsidR="00FD3B43" w:rsidRPr="004C31F5" w:rsidRDefault="00FD3B43" w:rsidP="00FD3B43">
      <w:pPr>
        <w:spacing w:line="360" w:lineRule="auto"/>
        <w:jc w:val="center"/>
        <w:rPr>
          <w:rFonts w:ascii="Times New Roman" w:hAnsi="Times New Roman" w:cs="Times New Roman"/>
          <w:b/>
          <w:bCs/>
          <w:sz w:val="32"/>
          <w:szCs w:val="32"/>
        </w:rPr>
      </w:pPr>
    </w:p>
    <w:p w:rsidR="0028702B" w:rsidRDefault="0028702B" w:rsidP="002870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Sarah A. Hill</w:t>
      </w:r>
    </w:p>
    <w:p w:rsidR="0028702B" w:rsidRDefault="0028702B" w:rsidP="002870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California State University, Fullerton</w:t>
      </w:r>
    </w:p>
    <w:p w:rsidR="0028702B" w:rsidRDefault="00AB12BF" w:rsidP="0028702B">
      <w:pPr>
        <w:spacing w:after="0" w:line="240" w:lineRule="auto"/>
        <w:jc w:val="center"/>
        <w:rPr>
          <w:rFonts w:ascii="Times New Roman" w:hAnsi="Times New Roman" w:cs="Times New Roman"/>
          <w:bCs/>
          <w:sz w:val="24"/>
          <w:szCs w:val="24"/>
        </w:rPr>
      </w:pPr>
      <w:r w:rsidRPr="00AB12BF">
        <w:rPr>
          <w:rFonts w:ascii="Times New Roman" w:hAnsi="Times New Roman" w:cs="Times New Roman"/>
          <w:bCs/>
          <w:sz w:val="24"/>
          <w:szCs w:val="24"/>
        </w:rPr>
        <w:t>shill@fullerton.edu</w:t>
      </w:r>
    </w:p>
    <w:p w:rsidR="001B0A0F" w:rsidRDefault="001B0A0F" w:rsidP="0028702B">
      <w:pPr>
        <w:spacing w:after="0" w:line="240" w:lineRule="auto"/>
        <w:jc w:val="center"/>
        <w:rPr>
          <w:rFonts w:ascii="Times New Roman" w:hAnsi="Times New Roman" w:cs="Times New Roman"/>
          <w:bCs/>
          <w:sz w:val="24"/>
          <w:szCs w:val="24"/>
        </w:rPr>
      </w:pPr>
    </w:p>
    <w:p w:rsidR="0028702B" w:rsidRDefault="0028702B" w:rsidP="002870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D. Roderick Kiewiet</w:t>
      </w:r>
    </w:p>
    <w:p w:rsidR="0028702B" w:rsidRDefault="0028702B" w:rsidP="002870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California Institute of Technology</w:t>
      </w:r>
    </w:p>
    <w:p w:rsidR="0028702B" w:rsidRDefault="0028702B" w:rsidP="002870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drk@caltech.edu</w:t>
      </w:r>
    </w:p>
    <w:p w:rsidR="0028702B" w:rsidRDefault="0028702B" w:rsidP="0028702B">
      <w:pPr>
        <w:spacing w:after="0" w:line="240" w:lineRule="auto"/>
        <w:jc w:val="center"/>
        <w:rPr>
          <w:rFonts w:ascii="Times New Roman" w:hAnsi="Times New Roman" w:cs="Times New Roman"/>
          <w:bCs/>
          <w:sz w:val="24"/>
          <w:szCs w:val="24"/>
        </w:rPr>
      </w:pPr>
    </w:p>
    <w:p w:rsidR="000B47EC" w:rsidRDefault="000B47EC" w:rsidP="000B47E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Shelly Arsneault</w:t>
      </w:r>
    </w:p>
    <w:p w:rsidR="000B47EC" w:rsidRDefault="000B47EC" w:rsidP="000B47E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California State University, Fullerton</w:t>
      </w:r>
    </w:p>
    <w:p w:rsidR="000B47EC" w:rsidRPr="009B01E9" w:rsidRDefault="000B47EC" w:rsidP="009B01E9">
      <w:pPr>
        <w:spacing w:after="0" w:line="240" w:lineRule="auto"/>
        <w:ind w:left="360"/>
        <w:jc w:val="center"/>
        <w:rPr>
          <w:rFonts w:ascii="Times New Roman" w:hAnsi="Times New Roman" w:cs="Times New Roman"/>
          <w:bCs/>
          <w:sz w:val="24"/>
          <w:szCs w:val="24"/>
        </w:rPr>
      </w:pPr>
      <w:r w:rsidRPr="009B01E9">
        <w:rPr>
          <w:rFonts w:ascii="Times New Roman" w:hAnsi="Times New Roman" w:cs="Times New Roman"/>
          <w:bCs/>
          <w:sz w:val="24"/>
          <w:szCs w:val="24"/>
        </w:rPr>
        <w:t>sarsneault@fullerton.edu</w:t>
      </w:r>
    </w:p>
    <w:p w:rsidR="000B47EC" w:rsidRDefault="000B47EC" w:rsidP="0028702B">
      <w:pPr>
        <w:spacing w:after="0" w:line="240" w:lineRule="auto"/>
        <w:jc w:val="center"/>
        <w:rPr>
          <w:rFonts w:ascii="Times New Roman" w:hAnsi="Times New Roman" w:cs="Times New Roman"/>
          <w:bCs/>
          <w:sz w:val="24"/>
          <w:szCs w:val="24"/>
        </w:rPr>
      </w:pPr>
    </w:p>
    <w:p w:rsidR="000B47EC" w:rsidRDefault="000B47EC" w:rsidP="0028702B">
      <w:pPr>
        <w:spacing w:after="0" w:line="240" w:lineRule="auto"/>
        <w:jc w:val="center"/>
        <w:rPr>
          <w:rFonts w:ascii="Times New Roman" w:hAnsi="Times New Roman" w:cs="Times New Roman"/>
          <w:bCs/>
          <w:sz w:val="24"/>
          <w:szCs w:val="24"/>
        </w:rPr>
      </w:pPr>
    </w:p>
    <w:p w:rsidR="008B627D" w:rsidRDefault="008B627D" w:rsidP="000402EE">
      <w:pPr>
        <w:spacing w:after="0" w:line="240" w:lineRule="auto"/>
        <w:rPr>
          <w:rFonts w:ascii="Times New Roman" w:hAnsi="Times New Roman" w:cs="Times New Roman"/>
          <w:bCs/>
          <w:sz w:val="24"/>
          <w:szCs w:val="24"/>
        </w:rPr>
      </w:pPr>
    </w:p>
    <w:p w:rsidR="00815680" w:rsidRDefault="00815680" w:rsidP="000402EE">
      <w:pPr>
        <w:spacing w:after="0" w:line="240" w:lineRule="auto"/>
        <w:rPr>
          <w:rFonts w:ascii="Times New Roman" w:hAnsi="Times New Roman" w:cs="Times New Roman"/>
          <w:bCs/>
          <w:sz w:val="24"/>
          <w:szCs w:val="24"/>
        </w:rPr>
      </w:pPr>
    </w:p>
    <w:p w:rsidR="00815680" w:rsidRDefault="00815680" w:rsidP="000402EE">
      <w:pPr>
        <w:spacing w:after="0" w:line="240" w:lineRule="auto"/>
        <w:rPr>
          <w:rFonts w:ascii="Times New Roman" w:hAnsi="Times New Roman" w:cs="Times New Roman"/>
          <w:bCs/>
          <w:sz w:val="24"/>
          <w:szCs w:val="24"/>
        </w:rPr>
      </w:pPr>
    </w:p>
    <w:p w:rsidR="00815680" w:rsidRDefault="00815680" w:rsidP="00815680">
      <w:pPr>
        <w:spacing w:after="0" w:line="360" w:lineRule="auto"/>
        <w:rPr>
          <w:rFonts w:ascii="Times New Roman" w:hAnsi="Times New Roman" w:cs="Times New Roman"/>
          <w:bCs/>
          <w:sz w:val="24"/>
          <w:szCs w:val="24"/>
        </w:rPr>
      </w:pPr>
    </w:p>
    <w:p w:rsidR="00815680" w:rsidRDefault="00815680" w:rsidP="0081568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Paper prepared for delivery at the Annual Meeting of the Western Political Science Association, Seattle Washington, April 17-19, 2014. We thank Lorraine Kiewiet, Matthew Kiewiet, and Jocelyn Kishi for their research assistance, and </w:t>
      </w:r>
      <w:r w:rsidR="00485E3B">
        <w:rPr>
          <w:rFonts w:ascii="Times New Roman" w:hAnsi="Times New Roman" w:cs="Times New Roman"/>
          <w:bCs/>
          <w:sz w:val="24"/>
          <w:szCs w:val="24"/>
        </w:rPr>
        <w:t xml:space="preserve">Tim Davidson, </w:t>
      </w:r>
      <w:r>
        <w:rPr>
          <w:rFonts w:ascii="Times New Roman" w:hAnsi="Times New Roman" w:cs="Times New Roman"/>
          <w:bCs/>
          <w:sz w:val="24"/>
          <w:szCs w:val="24"/>
        </w:rPr>
        <w:t xml:space="preserve">David Grether, John Ledyard, </w:t>
      </w:r>
      <w:r w:rsidR="00485E3B">
        <w:rPr>
          <w:rFonts w:ascii="Times New Roman" w:hAnsi="Times New Roman" w:cs="Times New Roman"/>
          <w:bCs/>
          <w:sz w:val="24"/>
          <w:szCs w:val="24"/>
        </w:rPr>
        <w:t xml:space="preserve">Carole Uhlaner, </w:t>
      </w:r>
      <w:r>
        <w:rPr>
          <w:rFonts w:ascii="Times New Roman" w:hAnsi="Times New Roman" w:cs="Times New Roman"/>
          <w:bCs/>
          <w:sz w:val="24"/>
          <w:szCs w:val="24"/>
        </w:rPr>
        <w:t>and whoever Sar</w:t>
      </w:r>
      <w:r w:rsidR="00AA029B">
        <w:rPr>
          <w:rFonts w:ascii="Times New Roman" w:hAnsi="Times New Roman" w:cs="Times New Roman"/>
          <w:bCs/>
          <w:sz w:val="24"/>
          <w:szCs w:val="24"/>
        </w:rPr>
        <w:t xml:space="preserve">ah has talked to for comments. </w:t>
      </w:r>
    </w:p>
    <w:p w:rsidR="00815680" w:rsidRDefault="00815680" w:rsidP="000402EE">
      <w:pPr>
        <w:spacing w:after="0" w:line="240" w:lineRule="auto"/>
        <w:rPr>
          <w:rFonts w:ascii="Times New Roman" w:hAnsi="Times New Roman" w:cs="Times New Roman"/>
          <w:bCs/>
          <w:sz w:val="24"/>
          <w:szCs w:val="24"/>
        </w:rPr>
      </w:pPr>
    </w:p>
    <w:p w:rsidR="00815680" w:rsidRDefault="00815680" w:rsidP="000402EE">
      <w:pPr>
        <w:spacing w:after="0" w:line="240" w:lineRule="auto"/>
        <w:rPr>
          <w:rFonts w:ascii="Times New Roman" w:hAnsi="Times New Roman" w:cs="Times New Roman"/>
          <w:bCs/>
          <w:sz w:val="24"/>
          <w:szCs w:val="24"/>
        </w:rPr>
      </w:pPr>
    </w:p>
    <w:p w:rsidR="00815680" w:rsidRDefault="00815680" w:rsidP="000402EE">
      <w:pPr>
        <w:spacing w:after="0" w:line="240" w:lineRule="auto"/>
        <w:rPr>
          <w:rFonts w:ascii="Times New Roman" w:hAnsi="Times New Roman" w:cs="Times New Roman"/>
          <w:bCs/>
          <w:sz w:val="24"/>
          <w:szCs w:val="24"/>
        </w:rPr>
      </w:pPr>
    </w:p>
    <w:p w:rsidR="00815680" w:rsidRDefault="00815680" w:rsidP="000402EE">
      <w:pPr>
        <w:spacing w:after="0" w:line="240" w:lineRule="auto"/>
        <w:rPr>
          <w:rFonts w:ascii="Times New Roman" w:hAnsi="Times New Roman" w:cs="Times New Roman"/>
          <w:bCs/>
          <w:sz w:val="24"/>
          <w:szCs w:val="24"/>
        </w:rPr>
      </w:pPr>
    </w:p>
    <w:p w:rsidR="00815680" w:rsidRDefault="00815680" w:rsidP="000402EE">
      <w:pPr>
        <w:spacing w:after="0" w:line="240" w:lineRule="auto"/>
        <w:rPr>
          <w:rFonts w:ascii="Times New Roman" w:hAnsi="Times New Roman" w:cs="Times New Roman"/>
          <w:bCs/>
          <w:sz w:val="24"/>
          <w:szCs w:val="24"/>
        </w:rPr>
      </w:pPr>
    </w:p>
    <w:p w:rsidR="008B627D" w:rsidRPr="001C161F" w:rsidRDefault="00815680" w:rsidP="001C161F">
      <w:pPr>
        <w:spacing w:after="0" w:line="360" w:lineRule="auto"/>
        <w:jc w:val="both"/>
        <w:rPr>
          <w:rFonts w:ascii="Times New Roman" w:hAnsi="Times New Roman" w:cs="Times New Roman"/>
          <w:b/>
          <w:bCs/>
          <w:sz w:val="24"/>
          <w:szCs w:val="24"/>
        </w:rPr>
      </w:pPr>
      <w:r w:rsidRPr="001C161F">
        <w:rPr>
          <w:rFonts w:ascii="Times New Roman" w:hAnsi="Times New Roman" w:cs="Times New Roman"/>
          <w:b/>
          <w:bCs/>
          <w:sz w:val="24"/>
          <w:szCs w:val="24"/>
        </w:rPr>
        <w:lastRenderedPageBreak/>
        <w:t>A</w:t>
      </w:r>
      <w:r w:rsidR="008B627D" w:rsidRPr="001C161F">
        <w:rPr>
          <w:rFonts w:ascii="Times New Roman" w:hAnsi="Times New Roman" w:cs="Times New Roman"/>
          <w:b/>
          <w:bCs/>
          <w:sz w:val="24"/>
          <w:szCs w:val="24"/>
        </w:rPr>
        <w:t>bstract</w:t>
      </w:r>
    </w:p>
    <w:p w:rsidR="00815680" w:rsidRPr="001C161F" w:rsidRDefault="00815680" w:rsidP="001C161F">
      <w:pPr>
        <w:spacing w:after="0" w:line="360" w:lineRule="auto"/>
        <w:jc w:val="both"/>
        <w:rPr>
          <w:rFonts w:ascii="Times New Roman" w:hAnsi="Times New Roman" w:cs="Times New Roman"/>
          <w:b/>
          <w:bCs/>
          <w:sz w:val="24"/>
          <w:szCs w:val="24"/>
        </w:rPr>
      </w:pPr>
    </w:p>
    <w:p w:rsidR="00815680" w:rsidRPr="001C161F" w:rsidRDefault="00485E3B" w:rsidP="001C16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California allocates a significantly smaller portion of state and local government revenue to K-12 education than most other states. State revenue limits </w:t>
      </w:r>
      <w:r w:rsidR="00815680" w:rsidRPr="001C161F">
        <w:rPr>
          <w:rFonts w:ascii="Times New Roman" w:hAnsi="Times New Roman" w:cs="Times New Roman"/>
          <w:sz w:val="24"/>
          <w:szCs w:val="24"/>
        </w:rPr>
        <w:t xml:space="preserve">establish spending levels that are, in many school districts, substantially lower than </w:t>
      </w:r>
      <w:r>
        <w:rPr>
          <w:rFonts w:ascii="Times New Roman" w:hAnsi="Times New Roman" w:cs="Times New Roman"/>
          <w:sz w:val="24"/>
          <w:szCs w:val="24"/>
        </w:rPr>
        <w:t xml:space="preserve">a large majority of residents would prefer. In order to increase public school expenditures, </w:t>
      </w:r>
      <w:r w:rsidR="00544009">
        <w:rPr>
          <w:rFonts w:ascii="Times New Roman" w:hAnsi="Times New Roman" w:cs="Times New Roman"/>
          <w:sz w:val="24"/>
          <w:szCs w:val="24"/>
        </w:rPr>
        <w:t xml:space="preserve">citizens of California </w:t>
      </w:r>
      <w:r>
        <w:rPr>
          <w:rFonts w:ascii="Times New Roman" w:hAnsi="Times New Roman" w:cs="Times New Roman"/>
          <w:sz w:val="24"/>
          <w:szCs w:val="24"/>
        </w:rPr>
        <w:t xml:space="preserve">have </w:t>
      </w:r>
      <w:r w:rsidR="00815680" w:rsidRPr="001C161F">
        <w:rPr>
          <w:rFonts w:ascii="Times New Roman" w:hAnsi="Times New Roman" w:cs="Times New Roman"/>
          <w:sz w:val="24"/>
          <w:szCs w:val="24"/>
        </w:rPr>
        <w:t>1) establish</w:t>
      </w:r>
      <w:r w:rsidR="009F0E27">
        <w:rPr>
          <w:rFonts w:ascii="Times New Roman" w:hAnsi="Times New Roman" w:cs="Times New Roman"/>
          <w:sz w:val="24"/>
          <w:szCs w:val="24"/>
        </w:rPr>
        <w:t>ed</w:t>
      </w:r>
      <w:r w:rsidR="00815680" w:rsidRPr="001C161F">
        <w:rPr>
          <w:rFonts w:ascii="Times New Roman" w:hAnsi="Times New Roman" w:cs="Times New Roman"/>
          <w:sz w:val="24"/>
          <w:szCs w:val="24"/>
        </w:rPr>
        <w:t xml:space="preserve"> local education foundations, booster clubs, </w:t>
      </w:r>
      <w:r w:rsidR="009F0E27">
        <w:rPr>
          <w:rFonts w:ascii="Times New Roman" w:hAnsi="Times New Roman" w:cs="Times New Roman"/>
          <w:sz w:val="24"/>
          <w:szCs w:val="24"/>
        </w:rPr>
        <w:t xml:space="preserve">parent-teacher associations, </w:t>
      </w:r>
      <w:r w:rsidR="00815680" w:rsidRPr="001C161F">
        <w:rPr>
          <w:rFonts w:ascii="Times New Roman" w:hAnsi="Times New Roman" w:cs="Times New Roman"/>
          <w:sz w:val="24"/>
          <w:szCs w:val="24"/>
        </w:rPr>
        <w:t xml:space="preserve">and </w:t>
      </w:r>
      <w:r w:rsidR="009F0E27">
        <w:rPr>
          <w:rFonts w:ascii="Times New Roman" w:hAnsi="Times New Roman" w:cs="Times New Roman"/>
          <w:sz w:val="24"/>
          <w:szCs w:val="24"/>
        </w:rPr>
        <w:t xml:space="preserve">other </w:t>
      </w:r>
      <w:r w:rsidR="00815680" w:rsidRPr="001C161F">
        <w:rPr>
          <w:rFonts w:ascii="Times New Roman" w:hAnsi="Times New Roman" w:cs="Times New Roman"/>
          <w:sz w:val="24"/>
          <w:szCs w:val="24"/>
        </w:rPr>
        <w:t>groups t</w:t>
      </w:r>
      <w:r>
        <w:rPr>
          <w:rFonts w:ascii="Times New Roman" w:hAnsi="Times New Roman" w:cs="Times New Roman"/>
          <w:sz w:val="24"/>
          <w:szCs w:val="24"/>
        </w:rPr>
        <w:t xml:space="preserve">o </w:t>
      </w:r>
      <w:r w:rsidR="00815680" w:rsidRPr="001C161F">
        <w:rPr>
          <w:rFonts w:ascii="Times New Roman" w:hAnsi="Times New Roman" w:cs="Times New Roman"/>
          <w:sz w:val="24"/>
          <w:szCs w:val="24"/>
        </w:rPr>
        <w:t xml:space="preserve">raise money by soliciting voluntary contributions, and 2) </w:t>
      </w:r>
      <w:r w:rsidR="009F0E27">
        <w:rPr>
          <w:rFonts w:ascii="Times New Roman" w:hAnsi="Times New Roman" w:cs="Times New Roman"/>
          <w:sz w:val="24"/>
          <w:szCs w:val="24"/>
        </w:rPr>
        <w:t xml:space="preserve">sought to </w:t>
      </w:r>
      <w:r w:rsidR="00815680" w:rsidRPr="001C161F">
        <w:rPr>
          <w:rFonts w:ascii="Times New Roman" w:hAnsi="Times New Roman" w:cs="Times New Roman"/>
          <w:sz w:val="24"/>
          <w:szCs w:val="24"/>
        </w:rPr>
        <w:t>enact parcel tax</w:t>
      </w:r>
      <w:r w:rsidR="009F0E27">
        <w:rPr>
          <w:rFonts w:ascii="Times New Roman" w:hAnsi="Times New Roman" w:cs="Times New Roman"/>
          <w:sz w:val="24"/>
          <w:szCs w:val="24"/>
        </w:rPr>
        <w:t>es</w:t>
      </w:r>
      <w:r w:rsidR="00815680" w:rsidRPr="001C161F">
        <w:rPr>
          <w:rFonts w:ascii="Times New Roman" w:hAnsi="Times New Roman" w:cs="Times New Roman"/>
          <w:sz w:val="24"/>
          <w:szCs w:val="24"/>
        </w:rPr>
        <w:t xml:space="preserve">, which Proposition 13 </w:t>
      </w:r>
      <w:r>
        <w:rPr>
          <w:rFonts w:ascii="Times New Roman" w:hAnsi="Times New Roman" w:cs="Times New Roman"/>
          <w:sz w:val="24"/>
          <w:szCs w:val="24"/>
        </w:rPr>
        <w:t>authorizes.</w:t>
      </w:r>
      <w:r w:rsidR="00815680" w:rsidRPr="001C161F">
        <w:rPr>
          <w:rFonts w:ascii="Times New Roman" w:hAnsi="Times New Roman" w:cs="Times New Roman"/>
          <w:sz w:val="24"/>
          <w:szCs w:val="24"/>
        </w:rPr>
        <w:t xml:space="preserve"> A parcel tax requires the approval of two-thirds of the voters</w:t>
      </w:r>
      <w:r>
        <w:rPr>
          <w:rFonts w:ascii="Times New Roman" w:hAnsi="Times New Roman" w:cs="Times New Roman"/>
          <w:sz w:val="24"/>
          <w:szCs w:val="24"/>
        </w:rPr>
        <w:t xml:space="preserve"> in a jurisdiction</w:t>
      </w:r>
      <w:r w:rsidR="00815680" w:rsidRPr="001C161F">
        <w:rPr>
          <w:rFonts w:ascii="Times New Roman" w:hAnsi="Times New Roman" w:cs="Times New Roman"/>
          <w:sz w:val="24"/>
          <w:szCs w:val="24"/>
        </w:rPr>
        <w:t xml:space="preserve">, and requires that all individual parcels of property pay the same tax regardless of their value. </w:t>
      </w:r>
    </w:p>
    <w:p w:rsidR="00815680" w:rsidRDefault="00815680" w:rsidP="00485E3B">
      <w:pPr>
        <w:spacing w:line="360" w:lineRule="auto"/>
        <w:jc w:val="both"/>
        <w:rPr>
          <w:rFonts w:ascii="Times New Roman" w:hAnsi="Times New Roman" w:cs="Times New Roman"/>
          <w:b/>
          <w:bCs/>
          <w:sz w:val="24"/>
          <w:szCs w:val="24"/>
        </w:rPr>
      </w:pPr>
      <w:r w:rsidRPr="001C161F">
        <w:rPr>
          <w:rFonts w:ascii="Times New Roman" w:hAnsi="Times New Roman" w:cs="Times New Roman"/>
          <w:sz w:val="24"/>
          <w:szCs w:val="24"/>
        </w:rPr>
        <w:t>In this paper we report and analyze data on voluntary contributions to local school districts in California</w:t>
      </w:r>
      <w:r w:rsidR="00485E3B">
        <w:rPr>
          <w:rFonts w:ascii="Times New Roman" w:hAnsi="Times New Roman" w:cs="Times New Roman"/>
          <w:sz w:val="24"/>
          <w:szCs w:val="24"/>
        </w:rPr>
        <w:t>,</w:t>
      </w:r>
      <w:r w:rsidRPr="001C161F">
        <w:rPr>
          <w:rFonts w:ascii="Times New Roman" w:hAnsi="Times New Roman" w:cs="Times New Roman"/>
          <w:sz w:val="24"/>
          <w:szCs w:val="24"/>
        </w:rPr>
        <w:t xml:space="preserve"> and on parcel taxes. Our analyses, consistent with previous findings, indicate that wealthy districts, as well as </w:t>
      </w:r>
      <w:r w:rsidR="001C161F">
        <w:rPr>
          <w:rFonts w:ascii="Times New Roman" w:hAnsi="Times New Roman" w:cs="Times New Roman"/>
          <w:sz w:val="24"/>
          <w:szCs w:val="24"/>
        </w:rPr>
        <w:t xml:space="preserve">those with </w:t>
      </w:r>
      <w:r w:rsidRPr="001C161F">
        <w:rPr>
          <w:rFonts w:ascii="Times New Roman" w:hAnsi="Times New Roman" w:cs="Times New Roman"/>
          <w:sz w:val="24"/>
          <w:szCs w:val="24"/>
        </w:rPr>
        <w:t>relatively smaller student enrollments, raise disproportionately higher levels of voluntary contributions and are much more likely to approve parcel tax measures. Wh</w:t>
      </w:r>
      <w:r w:rsidR="0061624D">
        <w:rPr>
          <w:rFonts w:ascii="Times New Roman" w:hAnsi="Times New Roman" w:cs="Times New Roman"/>
          <w:sz w:val="24"/>
          <w:szCs w:val="24"/>
        </w:rPr>
        <w:t xml:space="preserve">ile the excess property tax revenue collected by basic aid districts discourages them from seeking additional parcel tax revenue, it does not </w:t>
      </w:r>
      <w:r w:rsidRPr="001C161F">
        <w:rPr>
          <w:rFonts w:ascii="Times New Roman" w:hAnsi="Times New Roman" w:cs="Times New Roman"/>
          <w:sz w:val="24"/>
          <w:szCs w:val="24"/>
        </w:rPr>
        <w:t>a</w:t>
      </w:r>
      <w:r w:rsidR="0061624D">
        <w:rPr>
          <w:rFonts w:ascii="Times New Roman" w:hAnsi="Times New Roman" w:cs="Times New Roman"/>
          <w:sz w:val="24"/>
          <w:szCs w:val="24"/>
        </w:rPr>
        <w:t>ppear to discourage voluntary contributions. Parcel taxes and voluntary contributions, in contrast, are complements, in that districts that have parcel taxes also tend to have higher levels of voluntary contributions, and vice versa.</w:t>
      </w:r>
    </w:p>
    <w:p w:rsidR="000402EE" w:rsidRDefault="000402EE" w:rsidP="0028702B">
      <w:pPr>
        <w:spacing w:line="480" w:lineRule="auto"/>
        <w:jc w:val="center"/>
        <w:rPr>
          <w:rFonts w:ascii="Times New Roman" w:hAnsi="Times New Roman" w:cs="Times New Roman"/>
          <w:b/>
          <w:bCs/>
          <w:sz w:val="24"/>
          <w:szCs w:val="24"/>
        </w:rPr>
      </w:pPr>
    </w:p>
    <w:p w:rsidR="0028702B" w:rsidRPr="000A2375" w:rsidRDefault="0028702B" w:rsidP="0028702B">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br w:type="page"/>
      </w:r>
    </w:p>
    <w:p w:rsidR="00D762DA" w:rsidRPr="00D762DA" w:rsidRDefault="00D762DA" w:rsidP="001C161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C547A5" w:rsidRDefault="009367C2" w:rsidP="001C16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9E709C">
        <w:rPr>
          <w:rFonts w:ascii="Times New Roman" w:hAnsi="Times New Roman" w:cs="Times New Roman"/>
          <w:sz w:val="24"/>
          <w:szCs w:val="24"/>
        </w:rPr>
        <w:t xml:space="preserve">Census Bureau </w:t>
      </w:r>
      <w:r>
        <w:rPr>
          <w:rFonts w:ascii="Times New Roman" w:hAnsi="Times New Roman" w:cs="Times New Roman"/>
          <w:sz w:val="24"/>
          <w:szCs w:val="24"/>
        </w:rPr>
        <w:t xml:space="preserve">figures, in the </w:t>
      </w:r>
      <w:r w:rsidRPr="009E709C">
        <w:rPr>
          <w:rFonts w:ascii="Times New Roman" w:hAnsi="Times New Roman" w:cs="Times New Roman"/>
          <w:sz w:val="24"/>
          <w:szCs w:val="24"/>
        </w:rPr>
        <w:t>2009-10</w:t>
      </w:r>
      <w:r>
        <w:rPr>
          <w:rFonts w:ascii="Times New Roman" w:hAnsi="Times New Roman" w:cs="Times New Roman"/>
          <w:sz w:val="24"/>
          <w:szCs w:val="24"/>
        </w:rPr>
        <w:t xml:space="preserve"> school year </w:t>
      </w:r>
      <w:r w:rsidRPr="009E709C">
        <w:rPr>
          <w:rFonts w:ascii="Times New Roman" w:hAnsi="Times New Roman" w:cs="Times New Roman"/>
          <w:sz w:val="24"/>
          <w:szCs w:val="24"/>
        </w:rPr>
        <w:t xml:space="preserve">California </w:t>
      </w:r>
      <w:r>
        <w:rPr>
          <w:rFonts w:ascii="Times New Roman" w:hAnsi="Times New Roman" w:cs="Times New Roman"/>
          <w:sz w:val="24"/>
          <w:szCs w:val="24"/>
        </w:rPr>
        <w:t xml:space="preserve">public schools ranked </w:t>
      </w:r>
      <w:r w:rsidRPr="009E709C">
        <w:rPr>
          <w:rFonts w:ascii="Times New Roman" w:hAnsi="Times New Roman" w:cs="Times New Roman"/>
          <w:sz w:val="24"/>
          <w:szCs w:val="24"/>
        </w:rPr>
        <w:t>35</w:t>
      </w:r>
      <w:r w:rsidRPr="009E709C">
        <w:rPr>
          <w:rFonts w:ascii="Times New Roman" w:hAnsi="Times New Roman" w:cs="Times New Roman"/>
          <w:sz w:val="24"/>
          <w:szCs w:val="24"/>
          <w:vertAlign w:val="superscript"/>
        </w:rPr>
        <w:t>th</w:t>
      </w:r>
      <w:r w:rsidRPr="009E709C">
        <w:rPr>
          <w:rFonts w:ascii="Times New Roman" w:hAnsi="Times New Roman" w:cs="Times New Roman"/>
          <w:sz w:val="24"/>
          <w:szCs w:val="24"/>
        </w:rPr>
        <w:t xml:space="preserve"> </w:t>
      </w:r>
      <w:r w:rsidR="00C547A5">
        <w:rPr>
          <w:rFonts w:ascii="Times New Roman" w:hAnsi="Times New Roman" w:cs="Times New Roman"/>
          <w:sz w:val="24"/>
          <w:szCs w:val="24"/>
        </w:rPr>
        <w:t xml:space="preserve">among the states </w:t>
      </w:r>
      <w:r w:rsidRPr="009E709C">
        <w:rPr>
          <w:rFonts w:ascii="Times New Roman" w:hAnsi="Times New Roman" w:cs="Times New Roman"/>
          <w:sz w:val="24"/>
          <w:szCs w:val="24"/>
        </w:rPr>
        <w:t>in per-pupil spending</w:t>
      </w:r>
      <w:r>
        <w:rPr>
          <w:rFonts w:ascii="Times New Roman" w:hAnsi="Times New Roman" w:cs="Times New Roman"/>
          <w:sz w:val="24"/>
          <w:szCs w:val="24"/>
        </w:rPr>
        <w:t>--$1</w:t>
      </w:r>
      <w:r w:rsidRPr="009E709C">
        <w:rPr>
          <w:rFonts w:ascii="Times New Roman" w:hAnsi="Times New Roman" w:cs="Times New Roman"/>
          <w:sz w:val="24"/>
          <w:szCs w:val="24"/>
        </w:rPr>
        <w:t>,240 below the national average.</w:t>
      </w:r>
      <w:r>
        <w:rPr>
          <w:rFonts w:ascii="Times New Roman" w:hAnsi="Times New Roman" w:cs="Times New Roman"/>
          <w:sz w:val="24"/>
          <w:szCs w:val="24"/>
        </w:rPr>
        <w:t xml:space="preserve"> </w:t>
      </w:r>
      <w:r w:rsidR="00A15A8E">
        <w:rPr>
          <w:rFonts w:ascii="Times New Roman" w:hAnsi="Times New Roman" w:cs="Times New Roman"/>
          <w:sz w:val="24"/>
          <w:szCs w:val="24"/>
        </w:rPr>
        <w:t>When state differences in income and cost-of-living are taken into account California</w:t>
      </w:r>
      <w:r w:rsidR="007A2F8F">
        <w:rPr>
          <w:rFonts w:ascii="Times New Roman" w:hAnsi="Times New Roman" w:cs="Times New Roman"/>
          <w:sz w:val="24"/>
          <w:szCs w:val="24"/>
        </w:rPr>
        <w:t>’s rank in per-pupil spending drops to 4</w:t>
      </w:r>
      <w:r w:rsidR="00377EB8">
        <w:rPr>
          <w:rFonts w:ascii="Times New Roman" w:hAnsi="Times New Roman" w:cs="Times New Roman"/>
          <w:sz w:val="24"/>
          <w:szCs w:val="24"/>
        </w:rPr>
        <w:t>9</w:t>
      </w:r>
      <w:r w:rsidR="007A2F8F">
        <w:rPr>
          <w:rFonts w:ascii="Times New Roman" w:hAnsi="Times New Roman" w:cs="Times New Roman"/>
          <w:sz w:val="24"/>
          <w:szCs w:val="24"/>
        </w:rPr>
        <w:t>th</w:t>
      </w:r>
      <w:r w:rsidR="00A15A8E">
        <w:rPr>
          <w:rFonts w:ascii="Times New Roman" w:hAnsi="Times New Roman" w:cs="Times New Roman"/>
          <w:sz w:val="24"/>
          <w:szCs w:val="24"/>
        </w:rPr>
        <w:t xml:space="preserve"> (Education Week</w:t>
      </w:r>
      <w:r w:rsidR="00F33F7B">
        <w:rPr>
          <w:rFonts w:ascii="Times New Roman" w:hAnsi="Times New Roman" w:cs="Times New Roman"/>
          <w:sz w:val="24"/>
          <w:szCs w:val="24"/>
        </w:rPr>
        <w:t xml:space="preserve"> 2013</w:t>
      </w:r>
      <w:r w:rsidR="00A15A8E">
        <w:rPr>
          <w:rFonts w:ascii="Times New Roman" w:hAnsi="Times New Roman" w:cs="Times New Roman"/>
          <w:sz w:val="24"/>
          <w:szCs w:val="24"/>
        </w:rPr>
        <w:t>)</w:t>
      </w:r>
      <w:r w:rsidR="00A15A8E" w:rsidRPr="009E709C">
        <w:rPr>
          <w:rFonts w:ascii="Times New Roman" w:hAnsi="Times New Roman" w:cs="Times New Roman"/>
          <w:sz w:val="24"/>
          <w:szCs w:val="24"/>
        </w:rPr>
        <w:t xml:space="preserve">.  </w:t>
      </w:r>
      <w:r>
        <w:rPr>
          <w:rFonts w:ascii="Times New Roman" w:hAnsi="Times New Roman" w:cs="Times New Roman"/>
          <w:sz w:val="24"/>
          <w:szCs w:val="24"/>
        </w:rPr>
        <w:t xml:space="preserve">Average educational outcomes for the state are also unimpressive, as California students consistently rank below the national average on National Assessment of Educational Progress (NAEP) reading and math scores. </w:t>
      </w:r>
    </w:p>
    <w:p w:rsidR="00185E87" w:rsidRDefault="00185E87" w:rsidP="001C16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Policy a</w:t>
      </w:r>
      <w:r w:rsidR="009367C2">
        <w:rPr>
          <w:rFonts w:ascii="Times New Roman" w:hAnsi="Times New Roman" w:cs="Times New Roman"/>
          <w:sz w:val="24"/>
          <w:szCs w:val="24"/>
        </w:rPr>
        <w:t>nalysts almost always attribute California’s relatively poor ratings on educational inputs and outputs to the negative synerg</w:t>
      </w:r>
      <w:r w:rsidR="005A57E6">
        <w:rPr>
          <w:rFonts w:ascii="Times New Roman" w:hAnsi="Times New Roman" w:cs="Times New Roman"/>
          <w:sz w:val="24"/>
          <w:szCs w:val="24"/>
        </w:rPr>
        <w:t>y</w:t>
      </w:r>
      <w:r w:rsidR="009367C2">
        <w:rPr>
          <w:rFonts w:ascii="Times New Roman" w:hAnsi="Times New Roman" w:cs="Times New Roman"/>
          <w:sz w:val="24"/>
          <w:szCs w:val="24"/>
        </w:rPr>
        <w:t xml:space="preserve"> produced by two major political developments. </w:t>
      </w:r>
      <w:r w:rsidR="00C547A5">
        <w:rPr>
          <w:rFonts w:ascii="Times New Roman" w:hAnsi="Times New Roman" w:cs="Times New Roman"/>
          <w:sz w:val="24"/>
          <w:szCs w:val="24"/>
        </w:rPr>
        <w:t xml:space="preserve">First, in 1971, the California Supreme Court, in its landmark </w:t>
      </w:r>
      <w:r w:rsidR="00C547A5">
        <w:rPr>
          <w:rFonts w:ascii="Times New Roman" w:hAnsi="Times New Roman" w:cs="Times New Roman"/>
          <w:i/>
          <w:sz w:val="24"/>
          <w:szCs w:val="24"/>
        </w:rPr>
        <w:t xml:space="preserve">Serrano v. Priest </w:t>
      </w:r>
      <w:r w:rsidR="00C547A5">
        <w:rPr>
          <w:rFonts w:ascii="Times New Roman" w:hAnsi="Times New Roman" w:cs="Times New Roman"/>
          <w:sz w:val="24"/>
          <w:szCs w:val="24"/>
        </w:rPr>
        <w:t>decision, ruled that the system of public school finance then in place in California was in violation of the Equal Protection Clause of the Fourteenth Amendment</w:t>
      </w:r>
      <w:r w:rsidR="008976DD">
        <w:rPr>
          <w:rFonts w:ascii="Times New Roman" w:hAnsi="Times New Roman" w:cs="Times New Roman"/>
          <w:sz w:val="24"/>
          <w:szCs w:val="24"/>
        </w:rPr>
        <w:t xml:space="preserve"> and the California Constitution. </w:t>
      </w:r>
      <w:r w:rsidR="00C547A5">
        <w:rPr>
          <w:rFonts w:ascii="Times New Roman" w:hAnsi="Times New Roman" w:cs="Times New Roman"/>
          <w:sz w:val="24"/>
          <w:szCs w:val="24"/>
        </w:rPr>
        <w:t>Because public school funding was largely based on local property taxes, property-rich districts could generate much more revenue per pupil at a given tax rate than property-poor districts. The Court found it unacceptable that the quality of education that students received was tied to the wealth of the school districts in which they resided. Subsequent rulings in the case mandated that differences in per pupil spending across school districts must be kept within a margin of $100</w:t>
      </w:r>
      <w:r w:rsidR="008976DD">
        <w:rPr>
          <w:rFonts w:ascii="Times New Roman" w:hAnsi="Times New Roman" w:cs="Times New Roman"/>
          <w:sz w:val="24"/>
          <w:szCs w:val="24"/>
        </w:rPr>
        <w:t xml:space="preserve"> (an amount that has subsequently been adjusted for inflation)</w:t>
      </w:r>
      <w:r w:rsidR="00C547A5">
        <w:rPr>
          <w:rFonts w:ascii="Times New Roman" w:hAnsi="Times New Roman" w:cs="Times New Roman"/>
          <w:sz w:val="24"/>
          <w:szCs w:val="24"/>
        </w:rPr>
        <w:t xml:space="preserve">. </w:t>
      </w:r>
    </w:p>
    <w:p w:rsidR="005A57E6" w:rsidRDefault="00C547A5" w:rsidP="001C161F">
      <w:pPr>
        <w:spacing w:after="0" w:line="480" w:lineRule="auto"/>
        <w:ind w:firstLine="720"/>
        <w:jc w:val="both"/>
        <w:rPr>
          <w:rFonts w:ascii="Times New Roman" w:hAnsi="Times New Roman" w:cs="Times New Roman"/>
          <w:sz w:val="24"/>
          <w:szCs w:val="24"/>
        </w:rPr>
      </w:pPr>
      <w:r w:rsidRPr="005B3060">
        <w:rPr>
          <w:rFonts w:ascii="Times New Roman" w:hAnsi="Times New Roman" w:cs="Times New Roman"/>
          <w:sz w:val="24"/>
          <w:szCs w:val="24"/>
        </w:rPr>
        <w:t>The</w:t>
      </w:r>
      <w:r>
        <w:rPr>
          <w:rFonts w:ascii="Times New Roman" w:hAnsi="Times New Roman" w:cs="Times New Roman"/>
          <w:sz w:val="24"/>
          <w:szCs w:val="24"/>
        </w:rPr>
        <w:t xml:space="preserve"> </w:t>
      </w:r>
      <w:r w:rsidR="001C161F">
        <w:rPr>
          <w:rFonts w:ascii="Times New Roman" w:hAnsi="Times New Roman" w:cs="Times New Roman"/>
          <w:sz w:val="24"/>
          <w:szCs w:val="24"/>
        </w:rPr>
        <w:t xml:space="preserve">California </w:t>
      </w:r>
      <w:r>
        <w:rPr>
          <w:rFonts w:ascii="Times New Roman" w:hAnsi="Times New Roman" w:cs="Times New Roman"/>
          <w:sz w:val="24"/>
          <w:szCs w:val="24"/>
        </w:rPr>
        <w:t xml:space="preserve">state legislature responded to these rulings by dramatically altering, and centralizing, the state’s education finance system. Every school district is subject to a revenue limit </w:t>
      </w:r>
      <w:r w:rsidR="001C161F">
        <w:rPr>
          <w:rFonts w:ascii="Times New Roman" w:hAnsi="Times New Roman" w:cs="Times New Roman"/>
          <w:sz w:val="24"/>
          <w:szCs w:val="24"/>
        </w:rPr>
        <w:t xml:space="preserve">that is </w:t>
      </w:r>
      <w:r>
        <w:rPr>
          <w:rFonts w:ascii="Times New Roman" w:hAnsi="Times New Roman" w:cs="Times New Roman"/>
          <w:sz w:val="24"/>
          <w:szCs w:val="24"/>
        </w:rPr>
        <w:t xml:space="preserve">set </w:t>
      </w:r>
      <w:r w:rsidR="001C161F">
        <w:rPr>
          <w:rFonts w:ascii="Times New Roman" w:hAnsi="Times New Roman" w:cs="Times New Roman"/>
          <w:sz w:val="24"/>
          <w:szCs w:val="24"/>
        </w:rPr>
        <w:t xml:space="preserve">annually </w:t>
      </w:r>
      <w:r>
        <w:rPr>
          <w:rFonts w:ascii="Times New Roman" w:hAnsi="Times New Roman" w:cs="Times New Roman"/>
          <w:sz w:val="24"/>
          <w:szCs w:val="24"/>
        </w:rPr>
        <w:t xml:space="preserve">by the state. For the vast majority of districts, the state supplements whatever revenue has been raised through the local property tax to bring the district up to </w:t>
      </w:r>
      <w:r w:rsidR="00185E87">
        <w:rPr>
          <w:rFonts w:ascii="Times New Roman" w:hAnsi="Times New Roman" w:cs="Times New Roman"/>
          <w:sz w:val="24"/>
          <w:szCs w:val="24"/>
        </w:rPr>
        <w:t xml:space="preserve">that </w:t>
      </w:r>
      <w:r>
        <w:rPr>
          <w:rFonts w:ascii="Times New Roman" w:hAnsi="Times New Roman" w:cs="Times New Roman"/>
          <w:sz w:val="24"/>
          <w:szCs w:val="24"/>
        </w:rPr>
        <w:t>revenue limit.</w:t>
      </w:r>
      <w:r w:rsidR="001C161F" w:rsidRPr="001C161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185E87">
        <w:rPr>
          <w:rFonts w:ascii="Times New Roman" w:hAnsi="Times New Roman" w:cs="Times New Roman"/>
          <w:sz w:val="24"/>
          <w:szCs w:val="24"/>
        </w:rPr>
        <w:t xml:space="preserve">This system has dramatically equalized per-pupil expenditures across school </w:t>
      </w:r>
      <w:r w:rsidR="00185E87">
        <w:rPr>
          <w:rFonts w:ascii="Times New Roman" w:hAnsi="Times New Roman" w:cs="Times New Roman"/>
          <w:sz w:val="24"/>
          <w:szCs w:val="24"/>
        </w:rPr>
        <w:lastRenderedPageBreak/>
        <w:t>districts in California</w:t>
      </w:r>
      <w:r w:rsidR="001C161F">
        <w:rPr>
          <w:rFonts w:ascii="Times New Roman" w:hAnsi="Times New Roman" w:cs="Times New Roman"/>
          <w:sz w:val="24"/>
          <w:szCs w:val="24"/>
        </w:rPr>
        <w:t xml:space="preserve">. Within a wide range of plausible parameters, </w:t>
      </w:r>
      <w:r w:rsidR="005A57E6">
        <w:rPr>
          <w:rFonts w:ascii="Times New Roman" w:hAnsi="Times New Roman" w:cs="Times New Roman"/>
          <w:sz w:val="24"/>
          <w:szCs w:val="24"/>
        </w:rPr>
        <w:t xml:space="preserve">however, </w:t>
      </w:r>
      <w:r w:rsidR="001C161F">
        <w:rPr>
          <w:rFonts w:ascii="Times New Roman" w:hAnsi="Times New Roman" w:cs="Times New Roman"/>
          <w:sz w:val="24"/>
          <w:szCs w:val="24"/>
        </w:rPr>
        <w:t xml:space="preserve">a centralized state system that severs the connection between local tax revenue and local district expenditures is predicted to produce lower expenditure levels </w:t>
      </w:r>
      <w:r w:rsidR="001C161F" w:rsidRPr="00D762DA">
        <w:rPr>
          <w:rFonts w:ascii="Times New Roman" w:hAnsi="Times New Roman" w:cs="Times New Roman"/>
          <w:sz w:val="24"/>
          <w:szCs w:val="24"/>
        </w:rPr>
        <w:t>Fernández and Rogerson, 1999, 2003</w:t>
      </w:r>
      <w:r w:rsidR="001C161F">
        <w:rPr>
          <w:rFonts w:ascii="Times New Roman" w:hAnsi="Times New Roman" w:cs="Times New Roman"/>
          <w:sz w:val="24"/>
          <w:szCs w:val="24"/>
        </w:rPr>
        <w:t>)</w:t>
      </w:r>
      <w:r w:rsidR="005A57E6">
        <w:rPr>
          <w:rFonts w:ascii="Times New Roman" w:hAnsi="Times New Roman" w:cs="Times New Roman"/>
          <w:sz w:val="24"/>
          <w:szCs w:val="24"/>
        </w:rPr>
        <w:t>.</w:t>
      </w:r>
    </w:p>
    <w:p w:rsidR="00DD7C2E" w:rsidRDefault="00DD7C2E" w:rsidP="00F33F7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second major upheaval in California public school finance was </w:t>
      </w:r>
      <w:r w:rsidR="00F33F7B">
        <w:rPr>
          <w:rFonts w:ascii="Times New Roman" w:hAnsi="Times New Roman" w:cs="Times New Roman"/>
          <w:sz w:val="24"/>
          <w:szCs w:val="24"/>
        </w:rPr>
        <w:t xml:space="preserve">triggered by </w:t>
      </w:r>
      <w:r>
        <w:rPr>
          <w:rFonts w:ascii="Times New Roman" w:hAnsi="Times New Roman" w:cs="Times New Roman"/>
          <w:sz w:val="24"/>
          <w:szCs w:val="24"/>
        </w:rPr>
        <w:t xml:space="preserve">the approval of </w:t>
      </w:r>
      <w:r w:rsidR="00D762DA">
        <w:rPr>
          <w:rFonts w:ascii="Times New Roman" w:hAnsi="Times New Roman" w:cs="Times New Roman"/>
          <w:sz w:val="24"/>
          <w:szCs w:val="24"/>
        </w:rPr>
        <w:t xml:space="preserve">Proposition 13 </w:t>
      </w:r>
      <w:r w:rsidR="00E67A15">
        <w:rPr>
          <w:rFonts w:ascii="Times New Roman" w:hAnsi="Times New Roman" w:cs="Times New Roman"/>
          <w:sz w:val="24"/>
          <w:szCs w:val="24"/>
        </w:rPr>
        <w:t>in</w:t>
      </w:r>
      <w:r w:rsidR="00D762DA">
        <w:rPr>
          <w:rFonts w:ascii="Times New Roman" w:hAnsi="Times New Roman" w:cs="Times New Roman"/>
          <w:sz w:val="24"/>
          <w:szCs w:val="24"/>
        </w:rPr>
        <w:t xml:space="preserve"> 1978.</w:t>
      </w:r>
      <w:r w:rsidR="00E67A15">
        <w:rPr>
          <w:rFonts w:ascii="Times New Roman" w:hAnsi="Times New Roman" w:cs="Times New Roman"/>
          <w:sz w:val="24"/>
          <w:szCs w:val="24"/>
        </w:rPr>
        <w:t xml:space="preserve">  </w:t>
      </w:r>
      <w:r>
        <w:rPr>
          <w:rFonts w:ascii="Times New Roman" w:hAnsi="Times New Roman" w:cs="Times New Roman"/>
          <w:sz w:val="24"/>
          <w:szCs w:val="24"/>
        </w:rPr>
        <w:t xml:space="preserve">Following close upon the </w:t>
      </w:r>
      <w:r w:rsidRPr="00DD7C2E">
        <w:rPr>
          <w:rFonts w:ascii="Times New Roman" w:hAnsi="Times New Roman" w:cs="Times New Roman"/>
          <w:i/>
          <w:sz w:val="24"/>
          <w:szCs w:val="24"/>
        </w:rPr>
        <w:t>Serrano</w:t>
      </w:r>
      <w:r>
        <w:rPr>
          <w:rFonts w:ascii="Times New Roman" w:hAnsi="Times New Roman" w:cs="Times New Roman"/>
          <w:sz w:val="24"/>
          <w:szCs w:val="24"/>
        </w:rPr>
        <w:t xml:space="preserve"> decisions, and, to some degree, a consequence of </w:t>
      </w:r>
      <w:r w:rsidRPr="009F0E27">
        <w:rPr>
          <w:rFonts w:ascii="Times New Roman" w:hAnsi="Times New Roman" w:cs="Times New Roman"/>
          <w:i/>
          <w:sz w:val="24"/>
          <w:szCs w:val="24"/>
        </w:rPr>
        <w:t>Serrano</w:t>
      </w:r>
      <w:r>
        <w:rPr>
          <w:rFonts w:ascii="Times New Roman" w:hAnsi="Times New Roman" w:cs="Times New Roman"/>
          <w:sz w:val="24"/>
          <w:szCs w:val="24"/>
        </w:rPr>
        <w:t xml:space="preserve"> (see Fischel 1989), </w:t>
      </w:r>
      <w:r w:rsidR="00E67A15">
        <w:rPr>
          <w:rFonts w:ascii="Times New Roman" w:hAnsi="Times New Roman" w:cs="Times New Roman"/>
          <w:sz w:val="24"/>
          <w:szCs w:val="24"/>
        </w:rPr>
        <w:t xml:space="preserve">Proposition 13 </w:t>
      </w:r>
      <w:r w:rsidR="009F0E27">
        <w:rPr>
          <w:rFonts w:ascii="Times New Roman" w:hAnsi="Times New Roman" w:cs="Times New Roman"/>
          <w:sz w:val="24"/>
          <w:szCs w:val="24"/>
        </w:rPr>
        <w:t>significantly</w:t>
      </w:r>
      <w:r>
        <w:rPr>
          <w:rFonts w:ascii="Times New Roman" w:hAnsi="Times New Roman" w:cs="Times New Roman"/>
          <w:sz w:val="24"/>
          <w:szCs w:val="24"/>
        </w:rPr>
        <w:t xml:space="preserve"> lowered property tax rates and produced </w:t>
      </w:r>
      <w:r w:rsidR="00E67A15">
        <w:rPr>
          <w:rFonts w:ascii="Times New Roman" w:hAnsi="Times New Roman" w:cs="Times New Roman"/>
          <w:sz w:val="24"/>
          <w:szCs w:val="24"/>
        </w:rPr>
        <w:t>an immediate drop in local government revenue</w:t>
      </w:r>
      <w:r>
        <w:rPr>
          <w:rFonts w:ascii="Times New Roman" w:hAnsi="Times New Roman" w:cs="Times New Roman"/>
          <w:sz w:val="24"/>
          <w:szCs w:val="24"/>
        </w:rPr>
        <w:t xml:space="preserve">. </w:t>
      </w:r>
      <w:r w:rsidR="008F38E9">
        <w:rPr>
          <w:rFonts w:ascii="Times New Roman" w:hAnsi="Times New Roman" w:cs="Times New Roman"/>
          <w:sz w:val="24"/>
          <w:szCs w:val="24"/>
        </w:rPr>
        <w:t xml:space="preserve">The state stepped in to </w:t>
      </w:r>
      <w:r>
        <w:rPr>
          <w:rFonts w:ascii="Times New Roman" w:hAnsi="Times New Roman" w:cs="Times New Roman"/>
          <w:sz w:val="24"/>
          <w:szCs w:val="24"/>
        </w:rPr>
        <w:t xml:space="preserve">supply additional revenue for </w:t>
      </w:r>
      <w:r w:rsidR="008F38E9">
        <w:rPr>
          <w:rFonts w:ascii="Times New Roman" w:hAnsi="Times New Roman" w:cs="Times New Roman"/>
          <w:sz w:val="24"/>
          <w:szCs w:val="24"/>
        </w:rPr>
        <w:t xml:space="preserve">schools and </w:t>
      </w:r>
      <w:r>
        <w:rPr>
          <w:rFonts w:ascii="Times New Roman" w:hAnsi="Times New Roman" w:cs="Times New Roman"/>
          <w:sz w:val="24"/>
          <w:szCs w:val="24"/>
        </w:rPr>
        <w:t xml:space="preserve">other </w:t>
      </w:r>
      <w:r w:rsidR="008F38E9">
        <w:rPr>
          <w:rFonts w:ascii="Times New Roman" w:hAnsi="Times New Roman" w:cs="Times New Roman"/>
          <w:sz w:val="24"/>
          <w:szCs w:val="24"/>
        </w:rPr>
        <w:t xml:space="preserve">local governments, further centralizing the state’s education finance system. </w:t>
      </w:r>
      <w:r w:rsidR="009F0E27">
        <w:rPr>
          <w:rFonts w:ascii="Times New Roman" w:hAnsi="Times New Roman" w:cs="Times New Roman"/>
          <w:sz w:val="24"/>
          <w:szCs w:val="24"/>
        </w:rPr>
        <w:t xml:space="preserve">According to most observers, </w:t>
      </w:r>
      <w:r w:rsidR="00AA029B">
        <w:rPr>
          <w:rFonts w:ascii="Times New Roman" w:hAnsi="Times New Roman" w:cs="Times New Roman"/>
          <w:sz w:val="24"/>
          <w:szCs w:val="24"/>
        </w:rPr>
        <w:t xml:space="preserve">the combination of the </w:t>
      </w:r>
      <w:r w:rsidR="00F33F7B" w:rsidRPr="00AA029B">
        <w:rPr>
          <w:rFonts w:ascii="Times New Roman" w:hAnsi="Times New Roman" w:cs="Times New Roman"/>
          <w:i/>
          <w:sz w:val="24"/>
          <w:szCs w:val="24"/>
        </w:rPr>
        <w:t>Serrano</w:t>
      </w:r>
      <w:r w:rsidR="00AA029B">
        <w:rPr>
          <w:rFonts w:ascii="Times New Roman" w:hAnsi="Times New Roman" w:cs="Times New Roman"/>
          <w:i/>
          <w:sz w:val="24"/>
          <w:szCs w:val="24"/>
        </w:rPr>
        <w:t xml:space="preserve"> </w:t>
      </w:r>
      <w:r w:rsidR="00AA029B">
        <w:rPr>
          <w:rFonts w:ascii="Times New Roman" w:hAnsi="Times New Roman" w:cs="Times New Roman"/>
          <w:sz w:val="24"/>
          <w:szCs w:val="24"/>
        </w:rPr>
        <w:t xml:space="preserve">decisions and </w:t>
      </w:r>
      <w:r w:rsidR="00F33F7B">
        <w:rPr>
          <w:rFonts w:ascii="Times New Roman" w:hAnsi="Times New Roman" w:cs="Times New Roman"/>
          <w:sz w:val="24"/>
          <w:szCs w:val="24"/>
        </w:rPr>
        <w:t>Proposition</w:t>
      </w:r>
      <w:r w:rsidR="00AA029B">
        <w:rPr>
          <w:rFonts w:ascii="Times New Roman" w:hAnsi="Times New Roman" w:cs="Times New Roman"/>
          <w:sz w:val="24"/>
          <w:szCs w:val="24"/>
        </w:rPr>
        <w:t xml:space="preserve"> </w:t>
      </w:r>
      <w:r w:rsidR="00F33F7B">
        <w:rPr>
          <w:rFonts w:ascii="Times New Roman" w:hAnsi="Times New Roman" w:cs="Times New Roman"/>
          <w:sz w:val="24"/>
          <w:szCs w:val="24"/>
        </w:rPr>
        <w:t xml:space="preserve">13 </w:t>
      </w:r>
      <w:r w:rsidRPr="00B872A6">
        <w:rPr>
          <w:rFonts w:ascii="Times New Roman" w:hAnsi="Times New Roman" w:cs="Times New Roman"/>
          <w:sz w:val="24"/>
          <w:szCs w:val="24"/>
        </w:rPr>
        <w:t xml:space="preserve">transformed </w:t>
      </w:r>
      <w:r w:rsidR="00F33F7B">
        <w:rPr>
          <w:rFonts w:ascii="Times New Roman" w:hAnsi="Times New Roman" w:cs="Times New Roman"/>
          <w:sz w:val="24"/>
          <w:szCs w:val="24"/>
        </w:rPr>
        <w:t xml:space="preserve">California’s </w:t>
      </w:r>
      <w:r w:rsidRPr="00B872A6">
        <w:rPr>
          <w:rFonts w:ascii="Times New Roman" w:hAnsi="Times New Roman" w:cs="Times New Roman"/>
          <w:sz w:val="24"/>
          <w:szCs w:val="24"/>
        </w:rPr>
        <w:t>school finance system from one</w:t>
      </w:r>
      <w:r w:rsidRPr="009E709C">
        <w:rPr>
          <w:rFonts w:ascii="Times New Roman" w:hAnsi="Times New Roman" w:cs="Times New Roman"/>
          <w:sz w:val="24"/>
          <w:szCs w:val="24"/>
        </w:rPr>
        <w:t xml:space="preserve"> of the least equitable </w:t>
      </w:r>
      <w:r w:rsidR="00F33F7B">
        <w:rPr>
          <w:rFonts w:ascii="Times New Roman" w:hAnsi="Times New Roman" w:cs="Times New Roman"/>
          <w:sz w:val="24"/>
          <w:szCs w:val="24"/>
        </w:rPr>
        <w:t>t</w:t>
      </w:r>
      <w:r w:rsidRPr="009E709C">
        <w:rPr>
          <w:rFonts w:ascii="Times New Roman" w:hAnsi="Times New Roman" w:cs="Times New Roman"/>
          <w:sz w:val="24"/>
          <w:szCs w:val="24"/>
        </w:rPr>
        <w:t>o one of the most equitable</w:t>
      </w:r>
      <w:r w:rsidR="00F33F7B">
        <w:rPr>
          <w:rFonts w:ascii="Times New Roman" w:hAnsi="Times New Roman" w:cs="Times New Roman"/>
          <w:sz w:val="24"/>
          <w:szCs w:val="24"/>
        </w:rPr>
        <w:t>, but did so by leveling down: “…</w:t>
      </w:r>
      <w:r w:rsidRPr="009E709C">
        <w:rPr>
          <w:rFonts w:ascii="Times New Roman" w:hAnsi="Times New Roman" w:cs="Times New Roman"/>
          <w:sz w:val="24"/>
          <w:szCs w:val="24"/>
        </w:rPr>
        <w:t xml:space="preserve">during the period of reform, spending per pupil in California declined about 20% relative to the rest of the country” (Brunner and Sonstelie, 1997, </w:t>
      </w:r>
      <w:r w:rsidR="00F33F7B">
        <w:rPr>
          <w:rFonts w:ascii="Times New Roman" w:hAnsi="Times New Roman" w:cs="Times New Roman"/>
          <w:sz w:val="24"/>
          <w:szCs w:val="24"/>
        </w:rPr>
        <w:t xml:space="preserve">p. </w:t>
      </w:r>
      <w:r w:rsidRPr="009E709C">
        <w:rPr>
          <w:rFonts w:ascii="Times New Roman" w:hAnsi="Times New Roman" w:cs="Times New Roman"/>
          <w:sz w:val="24"/>
          <w:szCs w:val="24"/>
        </w:rPr>
        <w:t>8).</w:t>
      </w:r>
      <w:r>
        <w:rPr>
          <w:rFonts w:ascii="Times New Roman" w:hAnsi="Times New Roman" w:cs="Times New Roman"/>
          <w:sz w:val="24"/>
          <w:szCs w:val="24"/>
        </w:rPr>
        <w:t xml:space="preserve"> </w:t>
      </w:r>
      <w:r w:rsidR="00600197" w:rsidRPr="00600197">
        <w:rPr>
          <w:rFonts w:ascii="Times New Roman" w:hAnsi="Times New Roman" w:cs="Times New Roman"/>
          <w:sz w:val="24"/>
          <w:szCs w:val="24"/>
          <w:vertAlign w:val="superscript"/>
        </w:rPr>
        <w:t>2</w:t>
      </w:r>
      <w:r w:rsidRPr="00600197">
        <w:rPr>
          <w:rFonts w:ascii="Times New Roman" w:hAnsi="Times New Roman" w:cs="Times New Roman"/>
          <w:sz w:val="24"/>
          <w:szCs w:val="24"/>
          <w:vertAlign w:val="superscript"/>
        </w:rPr>
        <w:t xml:space="preserve"> </w:t>
      </w:r>
    </w:p>
    <w:p w:rsidR="00377EB8" w:rsidRDefault="00F33F7B" w:rsidP="00F376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Some scholars </w:t>
      </w:r>
      <w:r w:rsidR="00377EB8">
        <w:rPr>
          <w:rFonts w:ascii="Times New Roman" w:hAnsi="Times New Roman" w:cs="Times New Roman"/>
          <w:sz w:val="24"/>
          <w:szCs w:val="24"/>
        </w:rPr>
        <w:t xml:space="preserve">have challenged one or more aspects </w:t>
      </w:r>
      <w:r>
        <w:rPr>
          <w:rFonts w:ascii="Times New Roman" w:hAnsi="Times New Roman" w:cs="Times New Roman"/>
          <w:sz w:val="24"/>
          <w:szCs w:val="24"/>
        </w:rPr>
        <w:t xml:space="preserve">this </w:t>
      </w:r>
      <w:r w:rsidR="00377EB8">
        <w:rPr>
          <w:rFonts w:ascii="Times New Roman" w:hAnsi="Times New Roman" w:cs="Times New Roman"/>
          <w:sz w:val="24"/>
          <w:szCs w:val="24"/>
        </w:rPr>
        <w:t>account</w:t>
      </w:r>
      <w:r>
        <w:rPr>
          <w:rFonts w:ascii="Times New Roman" w:hAnsi="Times New Roman" w:cs="Times New Roman"/>
          <w:sz w:val="24"/>
          <w:szCs w:val="24"/>
        </w:rPr>
        <w:t xml:space="preserve">. Gerber </w:t>
      </w:r>
      <w:r w:rsidRPr="00AA029B">
        <w:rPr>
          <w:rFonts w:ascii="Times New Roman" w:hAnsi="Times New Roman" w:cs="Times New Roman"/>
          <w:i/>
          <w:sz w:val="24"/>
          <w:szCs w:val="24"/>
        </w:rPr>
        <w:t>et al</w:t>
      </w:r>
      <w:r w:rsidR="00AA029B">
        <w:rPr>
          <w:rFonts w:ascii="Times New Roman" w:hAnsi="Times New Roman" w:cs="Times New Roman"/>
          <w:sz w:val="24"/>
          <w:szCs w:val="24"/>
        </w:rPr>
        <w:t>.</w:t>
      </w:r>
      <w:r w:rsidR="006170C9">
        <w:rPr>
          <w:rFonts w:ascii="Times New Roman" w:hAnsi="Times New Roman" w:cs="Times New Roman"/>
          <w:sz w:val="24"/>
          <w:szCs w:val="24"/>
        </w:rPr>
        <w:t xml:space="preserve"> (2001)</w:t>
      </w:r>
      <w:r w:rsidR="00AA029B">
        <w:rPr>
          <w:rFonts w:ascii="Times New Roman" w:hAnsi="Times New Roman" w:cs="Times New Roman"/>
          <w:sz w:val="24"/>
          <w:szCs w:val="24"/>
        </w:rPr>
        <w:t xml:space="preserve"> show that </w:t>
      </w:r>
      <w:r>
        <w:rPr>
          <w:rFonts w:ascii="Times New Roman" w:hAnsi="Times New Roman" w:cs="Times New Roman"/>
          <w:sz w:val="24"/>
          <w:szCs w:val="24"/>
        </w:rPr>
        <w:t>California devoted a small</w:t>
      </w:r>
      <w:r w:rsidR="00AA029B">
        <w:rPr>
          <w:rFonts w:ascii="Times New Roman" w:hAnsi="Times New Roman" w:cs="Times New Roman"/>
          <w:sz w:val="24"/>
          <w:szCs w:val="24"/>
        </w:rPr>
        <w:t>er</w:t>
      </w:r>
      <w:r>
        <w:rPr>
          <w:rFonts w:ascii="Times New Roman" w:hAnsi="Times New Roman" w:cs="Times New Roman"/>
          <w:sz w:val="24"/>
          <w:szCs w:val="24"/>
        </w:rPr>
        <w:t xml:space="preserve"> percentage of total state and local revenue to public education</w:t>
      </w:r>
      <w:r w:rsidR="00AA029B">
        <w:rPr>
          <w:rFonts w:ascii="Times New Roman" w:hAnsi="Times New Roman" w:cs="Times New Roman"/>
          <w:sz w:val="24"/>
          <w:szCs w:val="24"/>
        </w:rPr>
        <w:t xml:space="preserve">, compared to most other states, even before Proposition 13. </w:t>
      </w:r>
      <w:r w:rsidR="00600197">
        <w:rPr>
          <w:rFonts w:ascii="Times New Roman" w:hAnsi="Times New Roman" w:cs="Times New Roman"/>
          <w:sz w:val="24"/>
          <w:szCs w:val="24"/>
        </w:rPr>
        <w:t>In their view p</w:t>
      </w:r>
      <w:r>
        <w:rPr>
          <w:rFonts w:ascii="Times New Roman" w:hAnsi="Times New Roman" w:cs="Times New Roman"/>
          <w:sz w:val="24"/>
          <w:szCs w:val="24"/>
        </w:rPr>
        <w:t xml:space="preserve">er-pupil spending </w:t>
      </w:r>
      <w:r w:rsidR="00AA029B">
        <w:rPr>
          <w:rFonts w:ascii="Times New Roman" w:hAnsi="Times New Roman" w:cs="Times New Roman"/>
          <w:sz w:val="24"/>
          <w:szCs w:val="24"/>
        </w:rPr>
        <w:t xml:space="preserve">has subsequently declined, relative to other states, </w:t>
      </w:r>
      <w:r>
        <w:rPr>
          <w:rFonts w:ascii="Times New Roman" w:hAnsi="Times New Roman" w:cs="Times New Roman"/>
          <w:sz w:val="24"/>
          <w:szCs w:val="24"/>
        </w:rPr>
        <w:t>because California has become relatively less wealthy compared to other states.</w:t>
      </w:r>
      <w:r w:rsidR="00AA029B">
        <w:rPr>
          <w:rFonts w:ascii="Times New Roman" w:hAnsi="Times New Roman" w:cs="Times New Roman"/>
          <w:sz w:val="24"/>
          <w:szCs w:val="24"/>
        </w:rPr>
        <w:t xml:space="preserve"> </w:t>
      </w:r>
      <w:r w:rsidR="00377EB8">
        <w:rPr>
          <w:rFonts w:ascii="Times New Roman" w:hAnsi="Times New Roman" w:cs="Times New Roman"/>
          <w:sz w:val="24"/>
          <w:szCs w:val="24"/>
        </w:rPr>
        <w:t xml:space="preserve">More generally, McCubbins and McCubbins (2014)’s comprehensive analysis of state-level tax and expenditure limitations indicates that </w:t>
      </w:r>
      <w:r w:rsidR="00600197">
        <w:rPr>
          <w:rFonts w:ascii="Times New Roman" w:hAnsi="Times New Roman" w:cs="Times New Roman"/>
          <w:sz w:val="24"/>
          <w:szCs w:val="24"/>
        </w:rPr>
        <w:t>such</w:t>
      </w:r>
      <w:r w:rsidR="00377EB8">
        <w:rPr>
          <w:rFonts w:ascii="Times New Roman" w:hAnsi="Times New Roman" w:cs="Times New Roman"/>
          <w:sz w:val="24"/>
          <w:szCs w:val="24"/>
        </w:rPr>
        <w:t xml:space="preserve"> strictures have been ineffective in limiting taxes and expenditures. As for court-mandated equalization reforms, </w:t>
      </w:r>
      <w:r>
        <w:rPr>
          <w:rFonts w:ascii="Times New Roman" w:hAnsi="Times New Roman" w:cs="Times New Roman"/>
          <w:sz w:val="24"/>
          <w:szCs w:val="24"/>
        </w:rPr>
        <w:t>Hill and Kiewiet (2015)</w:t>
      </w:r>
      <w:r w:rsidR="00600197">
        <w:rPr>
          <w:rFonts w:ascii="Times New Roman" w:hAnsi="Times New Roman" w:cs="Times New Roman"/>
          <w:sz w:val="24"/>
          <w:szCs w:val="24"/>
        </w:rPr>
        <w:t>’s analysis of educational finance data indicates t</w:t>
      </w:r>
      <w:r>
        <w:rPr>
          <w:rFonts w:ascii="Times New Roman" w:hAnsi="Times New Roman" w:cs="Times New Roman"/>
          <w:sz w:val="24"/>
          <w:szCs w:val="24"/>
        </w:rPr>
        <w:t xml:space="preserve">hat </w:t>
      </w:r>
      <w:r w:rsidR="00AA029B">
        <w:rPr>
          <w:rFonts w:ascii="Times New Roman" w:hAnsi="Times New Roman" w:cs="Times New Roman"/>
          <w:sz w:val="24"/>
          <w:szCs w:val="24"/>
        </w:rPr>
        <w:t>“</w:t>
      </w:r>
      <w:r>
        <w:rPr>
          <w:rFonts w:ascii="Times New Roman" w:hAnsi="Times New Roman" w:cs="Times New Roman"/>
          <w:sz w:val="24"/>
          <w:szCs w:val="24"/>
        </w:rPr>
        <w:t>equit</w:t>
      </w:r>
      <w:r w:rsidR="00AA029B">
        <w:rPr>
          <w:rFonts w:ascii="Times New Roman" w:hAnsi="Times New Roman" w:cs="Times New Roman"/>
          <w:sz w:val="24"/>
          <w:szCs w:val="24"/>
        </w:rPr>
        <w:t>y</w:t>
      </w:r>
      <w:r>
        <w:rPr>
          <w:rFonts w:ascii="Times New Roman" w:hAnsi="Times New Roman" w:cs="Times New Roman"/>
          <w:sz w:val="24"/>
          <w:szCs w:val="24"/>
        </w:rPr>
        <w:t>-based</w:t>
      </w:r>
      <w:r w:rsidR="00AA029B">
        <w:rPr>
          <w:rFonts w:ascii="Times New Roman" w:hAnsi="Times New Roman" w:cs="Times New Roman"/>
          <w:sz w:val="24"/>
          <w:szCs w:val="24"/>
        </w:rPr>
        <w:t xml:space="preserve">” </w:t>
      </w:r>
      <w:r>
        <w:rPr>
          <w:rFonts w:ascii="Times New Roman" w:hAnsi="Times New Roman" w:cs="Times New Roman"/>
          <w:sz w:val="24"/>
          <w:szCs w:val="24"/>
        </w:rPr>
        <w:t xml:space="preserve">rulings </w:t>
      </w:r>
      <w:r w:rsidR="00AA029B">
        <w:rPr>
          <w:rFonts w:ascii="Times New Roman" w:hAnsi="Times New Roman" w:cs="Times New Roman"/>
          <w:sz w:val="24"/>
          <w:szCs w:val="24"/>
        </w:rPr>
        <w:t xml:space="preserve">such as </w:t>
      </w:r>
      <w:r w:rsidR="00AA029B" w:rsidRPr="00377EB8">
        <w:rPr>
          <w:rFonts w:ascii="Times New Roman" w:hAnsi="Times New Roman" w:cs="Times New Roman"/>
          <w:i/>
          <w:sz w:val="24"/>
          <w:szCs w:val="24"/>
        </w:rPr>
        <w:t xml:space="preserve">Serrano </w:t>
      </w:r>
      <w:r w:rsidR="00600197">
        <w:rPr>
          <w:rFonts w:ascii="Times New Roman" w:hAnsi="Times New Roman" w:cs="Times New Roman"/>
          <w:sz w:val="24"/>
          <w:szCs w:val="24"/>
        </w:rPr>
        <w:t xml:space="preserve">did lead </w:t>
      </w:r>
      <w:r w:rsidR="00AA029B">
        <w:rPr>
          <w:rFonts w:ascii="Times New Roman" w:hAnsi="Times New Roman" w:cs="Times New Roman"/>
          <w:sz w:val="24"/>
          <w:szCs w:val="24"/>
        </w:rPr>
        <w:t xml:space="preserve">to </w:t>
      </w:r>
      <w:r w:rsidR="006170C9">
        <w:rPr>
          <w:rFonts w:ascii="Times New Roman" w:hAnsi="Times New Roman" w:cs="Times New Roman"/>
          <w:sz w:val="24"/>
          <w:szCs w:val="24"/>
        </w:rPr>
        <w:t xml:space="preserve">lower levels of inequality in cross-district </w:t>
      </w:r>
      <w:r w:rsidR="006170C9">
        <w:rPr>
          <w:rFonts w:ascii="Times New Roman" w:hAnsi="Times New Roman" w:cs="Times New Roman"/>
          <w:sz w:val="24"/>
          <w:szCs w:val="24"/>
        </w:rPr>
        <w:lastRenderedPageBreak/>
        <w:t>expenditures</w:t>
      </w:r>
      <w:r w:rsidR="00600197">
        <w:rPr>
          <w:rFonts w:ascii="Times New Roman" w:hAnsi="Times New Roman" w:cs="Times New Roman"/>
          <w:sz w:val="24"/>
          <w:szCs w:val="24"/>
        </w:rPr>
        <w:t xml:space="preserve"> in the states that were subject to them. O</w:t>
      </w:r>
      <w:r w:rsidR="006170C9">
        <w:rPr>
          <w:rFonts w:ascii="Times New Roman" w:hAnsi="Times New Roman" w:cs="Times New Roman"/>
          <w:sz w:val="24"/>
          <w:szCs w:val="24"/>
        </w:rPr>
        <w:t>verall spending levels</w:t>
      </w:r>
      <w:r w:rsidR="00600197">
        <w:rPr>
          <w:rFonts w:ascii="Times New Roman" w:hAnsi="Times New Roman" w:cs="Times New Roman"/>
          <w:sz w:val="24"/>
          <w:szCs w:val="24"/>
        </w:rPr>
        <w:t xml:space="preserve">, however, were not systematically affected. </w:t>
      </w:r>
      <w:r w:rsidR="006170C9">
        <w:rPr>
          <w:rFonts w:ascii="Times New Roman" w:hAnsi="Times New Roman" w:cs="Times New Roman"/>
          <w:sz w:val="24"/>
          <w:szCs w:val="24"/>
        </w:rPr>
        <w:t xml:space="preserve"> </w:t>
      </w:r>
    </w:p>
    <w:p w:rsidR="005A57E6" w:rsidRDefault="00AA029B" w:rsidP="00F376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Whether one is persuaded by the tidy </w:t>
      </w:r>
      <w:r w:rsidRPr="00AA029B">
        <w:rPr>
          <w:rFonts w:ascii="Times New Roman" w:hAnsi="Times New Roman" w:cs="Times New Roman"/>
          <w:i/>
          <w:sz w:val="24"/>
          <w:szCs w:val="24"/>
        </w:rPr>
        <w:t>Serrano</w:t>
      </w:r>
      <w:r>
        <w:rPr>
          <w:rFonts w:ascii="Times New Roman" w:hAnsi="Times New Roman" w:cs="Times New Roman"/>
          <w:sz w:val="24"/>
          <w:szCs w:val="24"/>
        </w:rPr>
        <w:t xml:space="preserve">+13 explanation or not, however, there is no disputing the fact that </w:t>
      </w:r>
      <w:r w:rsidR="00377EB8">
        <w:rPr>
          <w:rFonts w:ascii="Times New Roman" w:hAnsi="Times New Roman" w:cs="Times New Roman"/>
          <w:sz w:val="24"/>
          <w:szCs w:val="24"/>
        </w:rPr>
        <w:t xml:space="preserve">most </w:t>
      </w:r>
      <w:r>
        <w:rPr>
          <w:rFonts w:ascii="Times New Roman" w:hAnsi="Times New Roman" w:cs="Times New Roman"/>
          <w:sz w:val="24"/>
          <w:szCs w:val="24"/>
        </w:rPr>
        <w:t xml:space="preserve">residents of </w:t>
      </w:r>
      <w:r w:rsidR="00377EB8">
        <w:rPr>
          <w:rFonts w:ascii="Times New Roman" w:hAnsi="Times New Roman" w:cs="Times New Roman"/>
          <w:sz w:val="24"/>
          <w:szCs w:val="24"/>
        </w:rPr>
        <w:t>certain</w:t>
      </w:r>
      <w:r>
        <w:rPr>
          <w:rFonts w:ascii="Times New Roman" w:hAnsi="Times New Roman" w:cs="Times New Roman"/>
          <w:sz w:val="24"/>
          <w:szCs w:val="24"/>
        </w:rPr>
        <w:t xml:space="preserve"> school districts—in particular the relatively wealthy ones—favor significantly higher </w:t>
      </w:r>
      <w:r w:rsidR="00377EB8">
        <w:rPr>
          <w:rFonts w:ascii="Times New Roman" w:hAnsi="Times New Roman" w:cs="Times New Roman"/>
          <w:sz w:val="24"/>
          <w:szCs w:val="24"/>
        </w:rPr>
        <w:t xml:space="preserve">levels of </w:t>
      </w:r>
      <w:r>
        <w:rPr>
          <w:rFonts w:ascii="Times New Roman" w:hAnsi="Times New Roman" w:cs="Times New Roman"/>
          <w:sz w:val="24"/>
          <w:szCs w:val="24"/>
        </w:rPr>
        <w:t>expenditures on their school</w:t>
      </w:r>
      <w:r w:rsidR="00377EB8">
        <w:rPr>
          <w:rFonts w:ascii="Times New Roman" w:hAnsi="Times New Roman" w:cs="Times New Roman"/>
          <w:sz w:val="24"/>
          <w:szCs w:val="24"/>
        </w:rPr>
        <w:t xml:space="preserve"> or district </w:t>
      </w:r>
      <w:r>
        <w:rPr>
          <w:rFonts w:ascii="Times New Roman" w:hAnsi="Times New Roman" w:cs="Times New Roman"/>
          <w:sz w:val="24"/>
          <w:szCs w:val="24"/>
        </w:rPr>
        <w:t xml:space="preserve">than the default </w:t>
      </w:r>
      <w:r w:rsidR="00377EB8">
        <w:rPr>
          <w:rFonts w:ascii="Times New Roman" w:hAnsi="Times New Roman" w:cs="Times New Roman"/>
          <w:sz w:val="24"/>
          <w:szCs w:val="24"/>
        </w:rPr>
        <w:t xml:space="preserve">revenue limit </w:t>
      </w:r>
      <w:r w:rsidR="00F3766C">
        <w:rPr>
          <w:rFonts w:ascii="Times New Roman" w:hAnsi="Times New Roman" w:cs="Times New Roman"/>
          <w:sz w:val="24"/>
          <w:szCs w:val="24"/>
        </w:rPr>
        <w:t>dictate</w:t>
      </w:r>
      <w:r w:rsidR="00377EB8">
        <w:rPr>
          <w:rFonts w:ascii="Times New Roman" w:hAnsi="Times New Roman" w:cs="Times New Roman"/>
          <w:sz w:val="24"/>
          <w:szCs w:val="24"/>
        </w:rPr>
        <w:t>s</w:t>
      </w:r>
      <w:r w:rsidR="00F3766C">
        <w:rPr>
          <w:rFonts w:ascii="Times New Roman" w:hAnsi="Times New Roman" w:cs="Times New Roman"/>
          <w:sz w:val="24"/>
          <w:szCs w:val="24"/>
        </w:rPr>
        <w:t xml:space="preserve">. It is the </w:t>
      </w:r>
      <w:r w:rsidR="00617B84">
        <w:rPr>
          <w:rFonts w:ascii="Times New Roman" w:hAnsi="Times New Roman" w:cs="Times New Roman"/>
          <w:sz w:val="24"/>
          <w:szCs w:val="24"/>
        </w:rPr>
        <w:t>w</w:t>
      </w:r>
      <w:r w:rsidR="001A48C0" w:rsidRPr="00F2429D">
        <w:rPr>
          <w:rFonts w:ascii="Times New Roman" w:hAnsi="Times New Roman" w:cs="Times New Roman"/>
          <w:sz w:val="24"/>
          <w:szCs w:val="24"/>
        </w:rPr>
        <w:t xml:space="preserve">ealthy </w:t>
      </w:r>
      <w:r w:rsidR="00F3766C">
        <w:rPr>
          <w:rFonts w:ascii="Times New Roman" w:hAnsi="Times New Roman" w:cs="Times New Roman"/>
          <w:sz w:val="24"/>
          <w:szCs w:val="24"/>
        </w:rPr>
        <w:t xml:space="preserve">districts in the state that </w:t>
      </w:r>
      <w:r w:rsidR="001A48C0" w:rsidRPr="00B872A6">
        <w:rPr>
          <w:rFonts w:ascii="Times New Roman" w:hAnsi="Times New Roman" w:cs="Times New Roman"/>
          <w:sz w:val="24"/>
          <w:szCs w:val="24"/>
        </w:rPr>
        <w:t>lost the most in terms of post-</w:t>
      </w:r>
      <w:r w:rsidR="001A48C0" w:rsidRPr="00B872A6">
        <w:rPr>
          <w:rFonts w:ascii="Times New Roman" w:hAnsi="Times New Roman" w:cs="Times New Roman"/>
          <w:i/>
          <w:sz w:val="24"/>
          <w:szCs w:val="24"/>
        </w:rPr>
        <w:t>Serrano</w:t>
      </w:r>
      <w:r w:rsidR="001A48C0" w:rsidRPr="00B872A6">
        <w:rPr>
          <w:rFonts w:ascii="Times New Roman" w:hAnsi="Times New Roman" w:cs="Times New Roman"/>
          <w:sz w:val="24"/>
          <w:szCs w:val="24"/>
        </w:rPr>
        <w:t xml:space="preserve"> and Prop</w:t>
      </w:r>
      <w:r w:rsidR="00DD40CB">
        <w:rPr>
          <w:rFonts w:ascii="Times New Roman" w:hAnsi="Times New Roman" w:cs="Times New Roman"/>
          <w:sz w:val="24"/>
          <w:szCs w:val="24"/>
        </w:rPr>
        <w:t>osition</w:t>
      </w:r>
      <w:r w:rsidR="006A62C3" w:rsidRPr="00B872A6">
        <w:rPr>
          <w:rFonts w:ascii="Times New Roman" w:hAnsi="Times New Roman" w:cs="Times New Roman"/>
          <w:sz w:val="24"/>
          <w:szCs w:val="24"/>
        </w:rPr>
        <w:t xml:space="preserve"> 13 </w:t>
      </w:r>
      <w:r w:rsidR="00F3766C">
        <w:rPr>
          <w:rFonts w:ascii="Times New Roman" w:hAnsi="Times New Roman" w:cs="Times New Roman"/>
          <w:sz w:val="24"/>
          <w:szCs w:val="24"/>
        </w:rPr>
        <w:t xml:space="preserve">funding levels, </w:t>
      </w:r>
      <w:r w:rsidR="006A62C3" w:rsidRPr="00B872A6">
        <w:rPr>
          <w:rFonts w:ascii="Times New Roman" w:hAnsi="Times New Roman" w:cs="Times New Roman"/>
          <w:sz w:val="24"/>
          <w:szCs w:val="24"/>
        </w:rPr>
        <w:t>(Brunner and Imazeki, 2005)</w:t>
      </w:r>
      <w:r w:rsidR="00F3766C">
        <w:rPr>
          <w:rFonts w:ascii="Times New Roman" w:hAnsi="Times New Roman" w:cs="Times New Roman"/>
          <w:sz w:val="24"/>
          <w:szCs w:val="24"/>
        </w:rPr>
        <w:t xml:space="preserve">, and necessarily the same wealthy districts whose residents have a greater ability to pay for higher expenditures. </w:t>
      </w:r>
      <w:r w:rsidR="006A62C3" w:rsidRPr="00B872A6">
        <w:rPr>
          <w:rFonts w:ascii="Times New Roman" w:hAnsi="Times New Roman" w:cs="Times New Roman"/>
          <w:sz w:val="24"/>
          <w:szCs w:val="24"/>
        </w:rPr>
        <w:t xml:space="preserve"> </w:t>
      </w:r>
      <w:r w:rsidR="00DD7C2E">
        <w:rPr>
          <w:rFonts w:ascii="Times New Roman" w:hAnsi="Times New Roman" w:cs="Times New Roman"/>
          <w:sz w:val="24"/>
          <w:szCs w:val="24"/>
        </w:rPr>
        <w:t xml:space="preserve"> </w:t>
      </w:r>
    </w:p>
    <w:p w:rsidR="00505715" w:rsidRDefault="001B6241" w:rsidP="00F376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3766C">
        <w:rPr>
          <w:rFonts w:ascii="Times New Roman" w:hAnsi="Times New Roman" w:cs="Times New Roman"/>
          <w:sz w:val="24"/>
          <w:szCs w:val="24"/>
        </w:rPr>
        <w:t xml:space="preserve">In seeking to </w:t>
      </w:r>
      <w:r w:rsidR="004275B0">
        <w:rPr>
          <w:rFonts w:ascii="Times New Roman" w:hAnsi="Times New Roman" w:cs="Times New Roman"/>
          <w:sz w:val="24"/>
          <w:szCs w:val="24"/>
        </w:rPr>
        <w:t xml:space="preserve">address </w:t>
      </w:r>
      <w:r w:rsidR="00F3766C">
        <w:rPr>
          <w:rFonts w:ascii="Times New Roman" w:hAnsi="Times New Roman" w:cs="Times New Roman"/>
          <w:sz w:val="24"/>
          <w:szCs w:val="24"/>
        </w:rPr>
        <w:t xml:space="preserve">the gaps in educational services resulting from </w:t>
      </w:r>
      <w:r w:rsidR="004275B0">
        <w:rPr>
          <w:rFonts w:ascii="Times New Roman" w:hAnsi="Times New Roman" w:cs="Times New Roman"/>
          <w:sz w:val="24"/>
          <w:szCs w:val="24"/>
        </w:rPr>
        <w:t xml:space="preserve">funding </w:t>
      </w:r>
      <w:r w:rsidR="005A57E6">
        <w:rPr>
          <w:rFonts w:ascii="Times New Roman" w:hAnsi="Times New Roman" w:cs="Times New Roman"/>
          <w:sz w:val="24"/>
          <w:szCs w:val="24"/>
        </w:rPr>
        <w:t xml:space="preserve">shortfalls, and perhaps also to </w:t>
      </w:r>
      <w:r w:rsidR="00F3766C">
        <w:rPr>
          <w:rFonts w:ascii="Times New Roman" w:hAnsi="Times New Roman" w:cs="Times New Roman"/>
          <w:sz w:val="24"/>
          <w:szCs w:val="24"/>
        </w:rPr>
        <w:t xml:space="preserve">acquire </w:t>
      </w:r>
      <w:r w:rsidR="005A57E6">
        <w:rPr>
          <w:rFonts w:ascii="Times New Roman" w:hAnsi="Times New Roman" w:cs="Times New Roman"/>
          <w:sz w:val="24"/>
          <w:szCs w:val="24"/>
        </w:rPr>
        <w:t xml:space="preserve">some </w:t>
      </w:r>
      <w:r w:rsidR="00F3766C">
        <w:rPr>
          <w:rFonts w:ascii="Times New Roman" w:hAnsi="Times New Roman" w:cs="Times New Roman"/>
          <w:sz w:val="24"/>
          <w:szCs w:val="24"/>
        </w:rPr>
        <w:t>degree</w:t>
      </w:r>
      <w:r w:rsidR="005A57E6">
        <w:rPr>
          <w:rFonts w:ascii="Times New Roman" w:hAnsi="Times New Roman" w:cs="Times New Roman"/>
          <w:sz w:val="24"/>
          <w:szCs w:val="24"/>
        </w:rPr>
        <w:t xml:space="preserve"> of local control </w:t>
      </w:r>
      <w:r w:rsidR="004275B0">
        <w:rPr>
          <w:rFonts w:ascii="Times New Roman" w:hAnsi="Times New Roman" w:cs="Times New Roman"/>
          <w:sz w:val="24"/>
          <w:szCs w:val="24"/>
        </w:rPr>
        <w:t>over public school</w:t>
      </w:r>
      <w:r w:rsidR="00F3766C">
        <w:rPr>
          <w:rFonts w:ascii="Times New Roman" w:hAnsi="Times New Roman" w:cs="Times New Roman"/>
          <w:sz w:val="24"/>
          <w:szCs w:val="24"/>
        </w:rPr>
        <w:t xml:space="preserve"> policies, </w:t>
      </w:r>
      <w:r w:rsidR="005A57E6">
        <w:rPr>
          <w:rFonts w:ascii="Times New Roman" w:hAnsi="Times New Roman" w:cs="Times New Roman"/>
          <w:sz w:val="24"/>
          <w:szCs w:val="24"/>
        </w:rPr>
        <w:t xml:space="preserve">those desiring higher levels of expenditures in local schools have responded in two major ways: 1) to raise </w:t>
      </w:r>
      <w:r w:rsidR="00F3766C">
        <w:rPr>
          <w:rFonts w:ascii="Times New Roman" w:hAnsi="Times New Roman" w:cs="Times New Roman"/>
          <w:sz w:val="24"/>
          <w:szCs w:val="24"/>
        </w:rPr>
        <w:t xml:space="preserve">additional money for the school or district </w:t>
      </w:r>
      <w:r w:rsidR="005A57E6">
        <w:rPr>
          <w:rFonts w:ascii="Times New Roman" w:hAnsi="Times New Roman" w:cs="Times New Roman"/>
          <w:sz w:val="24"/>
          <w:szCs w:val="24"/>
        </w:rPr>
        <w:t xml:space="preserve">through voluntary contributions, and 2) to </w:t>
      </w:r>
      <w:r w:rsidR="00F3766C">
        <w:rPr>
          <w:rFonts w:ascii="Times New Roman" w:hAnsi="Times New Roman" w:cs="Times New Roman"/>
          <w:sz w:val="24"/>
          <w:szCs w:val="24"/>
        </w:rPr>
        <w:t xml:space="preserve">bring in additional tax revenue by obtaining </w:t>
      </w:r>
      <w:r w:rsidR="005A57E6">
        <w:rPr>
          <w:rFonts w:ascii="Times New Roman" w:hAnsi="Times New Roman" w:cs="Times New Roman"/>
          <w:sz w:val="24"/>
          <w:szCs w:val="24"/>
        </w:rPr>
        <w:t>voter approval for a special tax, known as a parcel tax</w:t>
      </w:r>
      <w:r w:rsidR="00344BB0">
        <w:rPr>
          <w:rFonts w:ascii="Times New Roman" w:hAnsi="Times New Roman" w:cs="Times New Roman"/>
          <w:sz w:val="24"/>
          <w:szCs w:val="24"/>
        </w:rPr>
        <w:t>, that is permitted under the terms of Proposition 13.</w:t>
      </w:r>
      <w:r w:rsidR="00505715">
        <w:rPr>
          <w:rFonts w:ascii="Times New Roman" w:hAnsi="Times New Roman" w:cs="Times New Roman"/>
          <w:sz w:val="24"/>
          <w:szCs w:val="24"/>
        </w:rPr>
        <w:t xml:space="preserve"> The following two sections assess the effects of these two supplemental funding mechanisms, respectively. </w:t>
      </w:r>
      <w:r w:rsidR="00854B43">
        <w:rPr>
          <w:rFonts w:ascii="Times New Roman" w:hAnsi="Times New Roman" w:cs="Times New Roman"/>
          <w:sz w:val="24"/>
          <w:szCs w:val="24"/>
        </w:rPr>
        <w:t xml:space="preserve"> Among other things, </w:t>
      </w:r>
      <w:r w:rsidR="00854B43" w:rsidRPr="00C2283C">
        <w:rPr>
          <w:rFonts w:ascii="Times New Roman" w:hAnsi="Times New Roman" w:cs="Times New Roman"/>
          <w:sz w:val="24"/>
          <w:szCs w:val="24"/>
        </w:rPr>
        <w:t xml:space="preserve">we </w:t>
      </w:r>
      <w:r w:rsidR="0009613B">
        <w:rPr>
          <w:rFonts w:ascii="Times New Roman" w:hAnsi="Times New Roman" w:cs="Times New Roman"/>
          <w:sz w:val="24"/>
          <w:szCs w:val="24"/>
        </w:rPr>
        <w:t xml:space="preserve">seek to determine how much money these mechanisms are able to raise, </w:t>
      </w:r>
      <w:r w:rsidR="00854B43">
        <w:rPr>
          <w:rFonts w:ascii="Times New Roman" w:hAnsi="Times New Roman" w:cs="Times New Roman"/>
          <w:sz w:val="24"/>
          <w:szCs w:val="24"/>
        </w:rPr>
        <w:t xml:space="preserve">in </w:t>
      </w:r>
      <w:r w:rsidR="0009613B">
        <w:rPr>
          <w:rFonts w:ascii="Times New Roman" w:hAnsi="Times New Roman" w:cs="Times New Roman"/>
          <w:sz w:val="24"/>
          <w:szCs w:val="24"/>
        </w:rPr>
        <w:t xml:space="preserve">both </w:t>
      </w:r>
      <w:r w:rsidR="00854B43">
        <w:rPr>
          <w:rFonts w:ascii="Times New Roman" w:hAnsi="Times New Roman" w:cs="Times New Roman"/>
          <w:sz w:val="24"/>
          <w:szCs w:val="24"/>
        </w:rPr>
        <w:t>absolute dollar</w:t>
      </w:r>
      <w:r w:rsidR="0009613B">
        <w:rPr>
          <w:rFonts w:ascii="Times New Roman" w:hAnsi="Times New Roman" w:cs="Times New Roman"/>
          <w:sz w:val="24"/>
          <w:szCs w:val="24"/>
        </w:rPr>
        <w:t xml:space="preserve"> and  </w:t>
      </w:r>
      <w:r w:rsidR="00854B43" w:rsidRPr="00C2283C">
        <w:rPr>
          <w:rFonts w:ascii="Times New Roman" w:hAnsi="Times New Roman" w:cs="Times New Roman"/>
          <w:sz w:val="24"/>
          <w:szCs w:val="24"/>
        </w:rPr>
        <w:t xml:space="preserve">  per-pupil</w:t>
      </w:r>
      <w:r w:rsidR="0009613B">
        <w:rPr>
          <w:rFonts w:ascii="Times New Roman" w:hAnsi="Times New Roman" w:cs="Times New Roman"/>
          <w:sz w:val="24"/>
          <w:szCs w:val="24"/>
        </w:rPr>
        <w:t xml:space="preserve"> terms, </w:t>
      </w:r>
      <w:r w:rsidR="00854B43" w:rsidRPr="00C2283C">
        <w:rPr>
          <w:rFonts w:ascii="Times New Roman" w:hAnsi="Times New Roman" w:cs="Times New Roman"/>
          <w:sz w:val="24"/>
          <w:szCs w:val="24"/>
        </w:rPr>
        <w:t>and wh</w:t>
      </w:r>
      <w:r w:rsidR="0009613B">
        <w:rPr>
          <w:rFonts w:ascii="Times New Roman" w:hAnsi="Times New Roman" w:cs="Times New Roman"/>
          <w:sz w:val="24"/>
          <w:szCs w:val="24"/>
        </w:rPr>
        <w:t>at factors make some schools and districts more successful in raising money to supplement the default level received from the state.</w:t>
      </w:r>
    </w:p>
    <w:p w:rsidR="00505715" w:rsidRDefault="00505715" w:rsidP="00505715">
      <w:pPr>
        <w:spacing w:after="0" w:line="480" w:lineRule="auto"/>
        <w:jc w:val="both"/>
        <w:rPr>
          <w:rFonts w:ascii="Times New Roman" w:hAnsi="Times New Roman" w:cs="Times New Roman"/>
          <w:b/>
          <w:sz w:val="24"/>
          <w:szCs w:val="24"/>
        </w:rPr>
      </w:pPr>
      <w:r w:rsidRPr="00505715">
        <w:rPr>
          <w:rFonts w:ascii="Times New Roman" w:hAnsi="Times New Roman" w:cs="Times New Roman"/>
          <w:b/>
          <w:sz w:val="24"/>
          <w:szCs w:val="24"/>
        </w:rPr>
        <w:t>Voluntary Contributions to Local Public Schools</w:t>
      </w:r>
      <w:r w:rsidRPr="00505715">
        <w:rPr>
          <w:rFonts w:ascii="Times New Roman" w:hAnsi="Times New Roman" w:cs="Times New Roman"/>
          <w:b/>
          <w:sz w:val="24"/>
          <w:szCs w:val="24"/>
        </w:rPr>
        <w:tab/>
      </w:r>
    </w:p>
    <w:p w:rsidR="00854B43" w:rsidRDefault="004B679D" w:rsidP="00854B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344BB0">
        <w:rPr>
          <w:rFonts w:ascii="Times New Roman" w:hAnsi="Times New Roman" w:cs="Times New Roman"/>
          <w:sz w:val="24"/>
          <w:szCs w:val="24"/>
        </w:rPr>
        <w:t xml:space="preserve">everal types of organizations raise money for particular </w:t>
      </w:r>
      <w:r w:rsidR="00342E94">
        <w:rPr>
          <w:rFonts w:ascii="Times New Roman" w:hAnsi="Times New Roman" w:cs="Times New Roman"/>
          <w:sz w:val="24"/>
          <w:szCs w:val="24"/>
        </w:rPr>
        <w:t xml:space="preserve">school </w:t>
      </w:r>
      <w:r w:rsidR="00344BB0">
        <w:rPr>
          <w:rFonts w:ascii="Times New Roman" w:hAnsi="Times New Roman" w:cs="Times New Roman"/>
          <w:sz w:val="24"/>
          <w:szCs w:val="24"/>
        </w:rPr>
        <w:t>districts, for particular schools, and for particular activities within a school.</w:t>
      </w:r>
      <w:r>
        <w:rPr>
          <w:rFonts w:ascii="Times New Roman" w:hAnsi="Times New Roman" w:cs="Times New Roman"/>
          <w:sz w:val="24"/>
          <w:szCs w:val="24"/>
        </w:rPr>
        <w:t xml:space="preserve"> Because they can register as </w:t>
      </w:r>
      <w:r w:rsidRPr="007C7072">
        <w:rPr>
          <w:rFonts w:ascii="Times New Roman" w:hAnsi="Times New Roman" w:cs="Times New Roman"/>
          <w:sz w:val="24"/>
          <w:szCs w:val="24"/>
        </w:rPr>
        <w:t>501(c)</w:t>
      </w:r>
      <w:r>
        <w:rPr>
          <w:rFonts w:ascii="Times New Roman" w:hAnsi="Times New Roman" w:cs="Times New Roman"/>
          <w:sz w:val="24"/>
          <w:szCs w:val="24"/>
        </w:rPr>
        <w:t>(</w:t>
      </w:r>
      <w:r w:rsidRPr="007C7072">
        <w:rPr>
          <w:rFonts w:ascii="Times New Roman" w:hAnsi="Times New Roman" w:cs="Times New Roman"/>
          <w:sz w:val="24"/>
          <w:szCs w:val="24"/>
        </w:rPr>
        <w:t>3</w:t>
      </w:r>
      <w:r>
        <w:rPr>
          <w:rFonts w:ascii="Times New Roman" w:hAnsi="Times New Roman" w:cs="Times New Roman"/>
          <w:sz w:val="24"/>
          <w:szCs w:val="24"/>
        </w:rPr>
        <w:t xml:space="preserve">) nonprofit organizations, donations to such organizations are tax deductible. </w:t>
      </w:r>
      <w:r w:rsidR="009D644C">
        <w:rPr>
          <w:rFonts w:ascii="Times New Roman" w:hAnsi="Times New Roman" w:cs="Times New Roman"/>
          <w:sz w:val="24"/>
          <w:szCs w:val="24"/>
        </w:rPr>
        <w:t xml:space="preserve">One of the most common of these organizations is the </w:t>
      </w:r>
      <w:r w:rsidR="00344BB0">
        <w:rPr>
          <w:rFonts w:ascii="Times New Roman" w:hAnsi="Times New Roman" w:cs="Times New Roman"/>
          <w:sz w:val="24"/>
          <w:szCs w:val="24"/>
        </w:rPr>
        <w:t>Parent Teacher Association</w:t>
      </w:r>
      <w:r w:rsidR="009D644C">
        <w:rPr>
          <w:rFonts w:ascii="Times New Roman" w:hAnsi="Times New Roman" w:cs="Times New Roman"/>
          <w:sz w:val="24"/>
          <w:szCs w:val="24"/>
        </w:rPr>
        <w:t xml:space="preserve">. PTA’s </w:t>
      </w:r>
      <w:r w:rsidR="00344BB0">
        <w:rPr>
          <w:rFonts w:ascii="Times New Roman" w:hAnsi="Times New Roman" w:cs="Times New Roman"/>
          <w:sz w:val="24"/>
          <w:szCs w:val="24"/>
        </w:rPr>
        <w:t xml:space="preserve">have existed for many </w:t>
      </w:r>
      <w:r w:rsidR="00344BB0">
        <w:rPr>
          <w:rFonts w:ascii="Times New Roman" w:hAnsi="Times New Roman" w:cs="Times New Roman"/>
          <w:sz w:val="24"/>
          <w:szCs w:val="24"/>
        </w:rPr>
        <w:lastRenderedPageBreak/>
        <w:t>decades and</w:t>
      </w:r>
      <w:r w:rsidR="00145CC8">
        <w:rPr>
          <w:rFonts w:ascii="Times New Roman" w:hAnsi="Times New Roman" w:cs="Times New Roman"/>
          <w:sz w:val="24"/>
          <w:szCs w:val="24"/>
        </w:rPr>
        <w:t>,</w:t>
      </w:r>
      <w:r w:rsidR="00344BB0">
        <w:rPr>
          <w:rFonts w:ascii="Times New Roman" w:hAnsi="Times New Roman" w:cs="Times New Roman"/>
          <w:sz w:val="24"/>
          <w:szCs w:val="24"/>
        </w:rPr>
        <w:t xml:space="preserve"> for the most part, </w:t>
      </w:r>
      <w:r w:rsidR="00145CC8">
        <w:rPr>
          <w:rFonts w:ascii="Times New Roman" w:hAnsi="Times New Roman" w:cs="Times New Roman"/>
          <w:sz w:val="24"/>
          <w:szCs w:val="24"/>
        </w:rPr>
        <w:t xml:space="preserve">are </w:t>
      </w:r>
      <w:r w:rsidR="00344BB0">
        <w:rPr>
          <w:rFonts w:ascii="Times New Roman" w:hAnsi="Times New Roman" w:cs="Times New Roman"/>
          <w:sz w:val="24"/>
          <w:szCs w:val="24"/>
        </w:rPr>
        <w:t>coordinated by the state-level parent organization</w:t>
      </w:r>
      <w:r w:rsidR="00145CC8">
        <w:rPr>
          <w:rFonts w:ascii="Times New Roman" w:hAnsi="Times New Roman" w:cs="Times New Roman"/>
          <w:sz w:val="24"/>
          <w:szCs w:val="24"/>
        </w:rPr>
        <w:t xml:space="preserve"> in California as well as </w:t>
      </w:r>
      <w:r w:rsidR="00B877C1">
        <w:rPr>
          <w:rFonts w:ascii="Times New Roman" w:hAnsi="Times New Roman" w:cs="Times New Roman"/>
          <w:sz w:val="24"/>
          <w:szCs w:val="24"/>
        </w:rPr>
        <w:t xml:space="preserve">in </w:t>
      </w:r>
      <w:r w:rsidR="00145CC8">
        <w:rPr>
          <w:rFonts w:ascii="Times New Roman" w:hAnsi="Times New Roman" w:cs="Times New Roman"/>
          <w:sz w:val="24"/>
          <w:szCs w:val="24"/>
        </w:rPr>
        <w:t xml:space="preserve">most other states. </w:t>
      </w:r>
      <w:r w:rsidR="00377EB8">
        <w:rPr>
          <w:rFonts w:ascii="Times New Roman" w:hAnsi="Times New Roman" w:cs="Times New Roman"/>
          <w:sz w:val="24"/>
          <w:szCs w:val="24"/>
        </w:rPr>
        <w:t>Other groups adopt similar labels</w:t>
      </w:r>
      <w:r w:rsidR="00854B43">
        <w:rPr>
          <w:rFonts w:ascii="Times New Roman" w:hAnsi="Times New Roman" w:cs="Times New Roman"/>
          <w:sz w:val="24"/>
          <w:szCs w:val="24"/>
        </w:rPr>
        <w:t>, e.g., parent-teacher organizations (PTO’s) or parent-teacher-student-associations (PTSA’s)</w:t>
      </w:r>
      <w:r w:rsidR="00A511B2">
        <w:rPr>
          <w:rFonts w:ascii="Times New Roman" w:hAnsi="Times New Roman" w:cs="Times New Roman"/>
          <w:sz w:val="24"/>
          <w:szCs w:val="24"/>
        </w:rPr>
        <w:t xml:space="preserve">. All but a few of these are not </w:t>
      </w:r>
      <w:r w:rsidR="00854B43">
        <w:rPr>
          <w:rFonts w:ascii="Times New Roman" w:hAnsi="Times New Roman" w:cs="Times New Roman"/>
          <w:sz w:val="24"/>
          <w:szCs w:val="24"/>
        </w:rPr>
        <w:t xml:space="preserve">affiliated with </w:t>
      </w:r>
      <w:r w:rsidR="00A511B2">
        <w:rPr>
          <w:rFonts w:ascii="Times New Roman" w:hAnsi="Times New Roman" w:cs="Times New Roman"/>
          <w:sz w:val="24"/>
          <w:szCs w:val="24"/>
        </w:rPr>
        <w:t xml:space="preserve">the </w:t>
      </w:r>
      <w:r w:rsidR="00854B43">
        <w:rPr>
          <w:rFonts w:ascii="Times New Roman" w:hAnsi="Times New Roman" w:cs="Times New Roman"/>
          <w:sz w:val="24"/>
          <w:szCs w:val="24"/>
        </w:rPr>
        <w:t>statewide parent organization</w:t>
      </w:r>
      <w:r w:rsidR="00A511B2">
        <w:rPr>
          <w:rFonts w:ascii="Times New Roman" w:hAnsi="Times New Roman" w:cs="Times New Roman"/>
          <w:sz w:val="24"/>
          <w:szCs w:val="24"/>
        </w:rPr>
        <w:t xml:space="preserve"> and, we presume, desire to differentiate themselves from the PTA. </w:t>
      </w:r>
      <w:r w:rsidR="00145CC8">
        <w:rPr>
          <w:rFonts w:ascii="Times New Roman" w:hAnsi="Times New Roman" w:cs="Times New Roman"/>
          <w:sz w:val="24"/>
          <w:szCs w:val="24"/>
        </w:rPr>
        <w:t>Another long</w:t>
      </w:r>
      <w:r w:rsidR="009D644C">
        <w:rPr>
          <w:rFonts w:ascii="Times New Roman" w:hAnsi="Times New Roman" w:cs="Times New Roman"/>
          <w:sz w:val="24"/>
          <w:szCs w:val="24"/>
        </w:rPr>
        <w:t xml:space="preserve">standing fundraising organization </w:t>
      </w:r>
      <w:r w:rsidR="00854B43">
        <w:rPr>
          <w:rFonts w:ascii="Times New Roman" w:hAnsi="Times New Roman" w:cs="Times New Roman"/>
          <w:sz w:val="24"/>
          <w:szCs w:val="24"/>
        </w:rPr>
        <w:t xml:space="preserve">in public schools </w:t>
      </w:r>
      <w:r w:rsidR="00B877C1">
        <w:rPr>
          <w:rFonts w:ascii="Times New Roman" w:hAnsi="Times New Roman" w:cs="Times New Roman"/>
          <w:sz w:val="24"/>
          <w:szCs w:val="24"/>
        </w:rPr>
        <w:t xml:space="preserve">is the booster club. Boosters typically </w:t>
      </w:r>
      <w:r w:rsidR="009D644C">
        <w:rPr>
          <w:rFonts w:ascii="Times New Roman" w:hAnsi="Times New Roman" w:cs="Times New Roman"/>
          <w:sz w:val="24"/>
          <w:szCs w:val="24"/>
        </w:rPr>
        <w:t xml:space="preserve">contribute to </w:t>
      </w:r>
      <w:r w:rsidR="00B877C1">
        <w:rPr>
          <w:rFonts w:ascii="Times New Roman" w:hAnsi="Times New Roman" w:cs="Times New Roman"/>
          <w:sz w:val="24"/>
          <w:szCs w:val="24"/>
        </w:rPr>
        <w:t xml:space="preserve">specific athletic teams, music and theatre </w:t>
      </w:r>
      <w:r w:rsidR="00854B43">
        <w:rPr>
          <w:rFonts w:ascii="Times New Roman" w:hAnsi="Times New Roman" w:cs="Times New Roman"/>
          <w:sz w:val="24"/>
          <w:szCs w:val="24"/>
        </w:rPr>
        <w:t>groups</w:t>
      </w:r>
      <w:r w:rsidR="00B877C1">
        <w:rPr>
          <w:rFonts w:ascii="Times New Roman" w:hAnsi="Times New Roman" w:cs="Times New Roman"/>
          <w:sz w:val="24"/>
          <w:szCs w:val="24"/>
        </w:rPr>
        <w:t>,</w:t>
      </w:r>
      <w:r w:rsidR="00854B43">
        <w:rPr>
          <w:rFonts w:ascii="Times New Roman" w:hAnsi="Times New Roman" w:cs="Times New Roman"/>
          <w:sz w:val="24"/>
          <w:szCs w:val="24"/>
        </w:rPr>
        <w:t xml:space="preserve"> or to academic initiatives such as international baccalaureate programs or science and language instruction. S</w:t>
      </w:r>
      <w:r w:rsidR="009D644C">
        <w:rPr>
          <w:rFonts w:ascii="Times New Roman" w:hAnsi="Times New Roman" w:cs="Times New Roman"/>
          <w:sz w:val="24"/>
          <w:szCs w:val="24"/>
        </w:rPr>
        <w:t xml:space="preserve">ome direct their monies to a school or district in general. </w:t>
      </w:r>
    </w:p>
    <w:p w:rsidR="00F3766C" w:rsidRDefault="00854B43" w:rsidP="00854B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 type of fundraising organization for public elementary and secondary schools</w:t>
      </w:r>
      <w:r w:rsidR="00B877C1">
        <w:rPr>
          <w:rFonts w:ascii="Times New Roman" w:hAnsi="Times New Roman" w:cs="Times New Roman"/>
          <w:sz w:val="24"/>
          <w:szCs w:val="24"/>
        </w:rPr>
        <w:t xml:space="preserve"> </w:t>
      </w:r>
      <w:r w:rsidR="0009613B">
        <w:rPr>
          <w:rFonts w:ascii="Times New Roman" w:hAnsi="Times New Roman" w:cs="Times New Roman"/>
          <w:sz w:val="24"/>
          <w:szCs w:val="24"/>
        </w:rPr>
        <w:t xml:space="preserve">that has emerged more recently </w:t>
      </w:r>
      <w:r>
        <w:rPr>
          <w:rFonts w:ascii="Times New Roman" w:hAnsi="Times New Roman" w:cs="Times New Roman"/>
          <w:sz w:val="24"/>
          <w:szCs w:val="24"/>
        </w:rPr>
        <w:t>is the local education foundation</w:t>
      </w:r>
      <w:r w:rsidR="00357950">
        <w:rPr>
          <w:rFonts w:ascii="Times New Roman" w:hAnsi="Times New Roman" w:cs="Times New Roman"/>
          <w:sz w:val="24"/>
          <w:szCs w:val="24"/>
        </w:rPr>
        <w:t xml:space="preserve"> </w:t>
      </w:r>
      <w:r w:rsidR="004275B0">
        <w:rPr>
          <w:rFonts w:ascii="Times New Roman" w:hAnsi="Times New Roman" w:cs="Times New Roman"/>
          <w:sz w:val="24"/>
          <w:szCs w:val="24"/>
        </w:rPr>
        <w:t>(LEF)</w:t>
      </w:r>
      <w:r>
        <w:rPr>
          <w:rFonts w:ascii="Times New Roman" w:hAnsi="Times New Roman" w:cs="Times New Roman"/>
          <w:sz w:val="24"/>
          <w:szCs w:val="24"/>
        </w:rPr>
        <w:t xml:space="preserve">. Most such organizations refer to themselves explicitly as foundations, but </w:t>
      </w:r>
      <w:r w:rsidR="00A20224">
        <w:rPr>
          <w:rFonts w:ascii="Times New Roman" w:hAnsi="Times New Roman" w:cs="Times New Roman"/>
          <w:sz w:val="24"/>
          <w:szCs w:val="24"/>
        </w:rPr>
        <w:t xml:space="preserve">in recent years </w:t>
      </w:r>
      <w:r>
        <w:rPr>
          <w:rFonts w:ascii="Times New Roman" w:hAnsi="Times New Roman" w:cs="Times New Roman"/>
          <w:sz w:val="24"/>
          <w:szCs w:val="24"/>
        </w:rPr>
        <w:t xml:space="preserve">it </w:t>
      </w:r>
      <w:r w:rsidR="00A20224">
        <w:rPr>
          <w:rFonts w:ascii="Times New Roman" w:hAnsi="Times New Roman" w:cs="Times New Roman"/>
          <w:sz w:val="24"/>
          <w:szCs w:val="24"/>
        </w:rPr>
        <w:t xml:space="preserve">has become more </w:t>
      </w:r>
      <w:r>
        <w:rPr>
          <w:rFonts w:ascii="Times New Roman" w:hAnsi="Times New Roman" w:cs="Times New Roman"/>
          <w:sz w:val="24"/>
          <w:szCs w:val="24"/>
        </w:rPr>
        <w:t xml:space="preserve">common for them to adopt the moniker of “Friends” of a particular school or district. </w:t>
      </w:r>
      <w:r w:rsidR="0009613B">
        <w:rPr>
          <w:rFonts w:ascii="Times New Roman" w:hAnsi="Times New Roman" w:cs="Times New Roman"/>
          <w:sz w:val="24"/>
          <w:szCs w:val="24"/>
        </w:rPr>
        <w:t>T</w:t>
      </w:r>
      <w:r w:rsidR="007C7072" w:rsidRPr="007C7072">
        <w:rPr>
          <w:rFonts w:ascii="Times New Roman" w:hAnsi="Times New Roman" w:cs="Times New Roman"/>
          <w:sz w:val="24"/>
          <w:szCs w:val="24"/>
        </w:rPr>
        <w:t xml:space="preserve">he California Consortium of Education Foundations (CCEF) </w:t>
      </w:r>
      <w:r w:rsidR="0009613B">
        <w:rPr>
          <w:rFonts w:ascii="Times New Roman" w:hAnsi="Times New Roman" w:cs="Times New Roman"/>
          <w:sz w:val="24"/>
          <w:szCs w:val="24"/>
        </w:rPr>
        <w:t xml:space="preserve">reports that there are currently </w:t>
      </w:r>
      <w:r w:rsidR="007C7072" w:rsidRPr="007C7072">
        <w:rPr>
          <w:rFonts w:ascii="Times New Roman" w:hAnsi="Times New Roman" w:cs="Times New Roman"/>
          <w:sz w:val="24"/>
          <w:szCs w:val="24"/>
        </w:rPr>
        <w:t xml:space="preserve">675 local education foundations active in </w:t>
      </w:r>
      <w:r w:rsidR="0009613B">
        <w:rPr>
          <w:rFonts w:ascii="Times New Roman" w:hAnsi="Times New Roman" w:cs="Times New Roman"/>
          <w:sz w:val="24"/>
          <w:szCs w:val="24"/>
        </w:rPr>
        <w:t xml:space="preserve">the state. This is a large number, but it should be kept in mind that there are nearly 1,000 school districts in California and nearly 14,000 individual schools. </w:t>
      </w:r>
      <w:r w:rsidR="00F3766C">
        <w:rPr>
          <w:rFonts w:ascii="Times New Roman" w:hAnsi="Times New Roman" w:cs="Times New Roman"/>
          <w:sz w:val="24"/>
          <w:szCs w:val="24"/>
        </w:rPr>
        <w:t xml:space="preserve"> </w:t>
      </w:r>
    </w:p>
    <w:p w:rsidR="00145680" w:rsidRDefault="00145680" w:rsidP="00854B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Several scholars have traced the emergence and growth of LEF’s, in California as well as other states, to school finance reforms that have adversely affected school district</w:t>
      </w:r>
      <w:r w:rsidR="008F20C8">
        <w:rPr>
          <w:rFonts w:ascii="Times New Roman" w:hAnsi="Times New Roman" w:cs="Times New Roman"/>
          <w:sz w:val="24"/>
          <w:szCs w:val="24"/>
        </w:rPr>
        <w:t xml:space="preserve"> revenue</w:t>
      </w:r>
      <w:r>
        <w:rPr>
          <w:rFonts w:ascii="Times New Roman" w:hAnsi="Times New Roman" w:cs="Times New Roman"/>
          <w:sz w:val="24"/>
          <w:szCs w:val="24"/>
        </w:rPr>
        <w:t xml:space="preserve"> (</w:t>
      </w:r>
      <w:r w:rsidRPr="009E709C">
        <w:rPr>
          <w:rFonts w:ascii="Times New Roman" w:hAnsi="Times New Roman" w:cs="Times New Roman"/>
          <w:sz w:val="24"/>
          <w:szCs w:val="24"/>
        </w:rPr>
        <w:t>Brunner</w:t>
      </w:r>
      <w:r>
        <w:rPr>
          <w:rFonts w:ascii="Times New Roman" w:hAnsi="Times New Roman" w:cs="Times New Roman"/>
          <w:sz w:val="24"/>
          <w:szCs w:val="24"/>
        </w:rPr>
        <w:t xml:space="preserve"> and Sonstelie</w:t>
      </w:r>
      <w:r w:rsidRPr="009E709C">
        <w:rPr>
          <w:rFonts w:ascii="Times New Roman" w:hAnsi="Times New Roman" w:cs="Times New Roman"/>
          <w:sz w:val="24"/>
          <w:szCs w:val="24"/>
        </w:rPr>
        <w:t xml:space="preserve"> 1997</w:t>
      </w:r>
      <w:r>
        <w:rPr>
          <w:rFonts w:ascii="Times New Roman" w:hAnsi="Times New Roman" w:cs="Times New Roman"/>
          <w:sz w:val="24"/>
          <w:szCs w:val="24"/>
        </w:rPr>
        <w:t>; Zimmer</w:t>
      </w:r>
      <w:r w:rsidR="006C2A63">
        <w:rPr>
          <w:rFonts w:ascii="Times New Roman" w:hAnsi="Times New Roman" w:cs="Times New Roman"/>
          <w:sz w:val="24"/>
          <w:szCs w:val="24"/>
        </w:rPr>
        <w:t xml:space="preserve"> et al. </w:t>
      </w:r>
      <w:r>
        <w:rPr>
          <w:rFonts w:ascii="Times New Roman" w:hAnsi="Times New Roman" w:cs="Times New Roman"/>
          <w:sz w:val="24"/>
          <w:szCs w:val="24"/>
        </w:rPr>
        <w:t>2001;</w:t>
      </w:r>
      <w:r w:rsidR="006C2A63">
        <w:rPr>
          <w:rFonts w:ascii="Times New Roman" w:hAnsi="Times New Roman" w:cs="Times New Roman"/>
          <w:sz w:val="24"/>
          <w:szCs w:val="24"/>
        </w:rPr>
        <w:t xml:space="preserve"> Brunner and Imazeki 2005</w:t>
      </w:r>
      <w:r>
        <w:rPr>
          <w:rFonts w:ascii="Times New Roman" w:hAnsi="Times New Roman" w:cs="Times New Roman"/>
          <w:sz w:val="24"/>
          <w:szCs w:val="24"/>
        </w:rPr>
        <w:t xml:space="preserve">). </w:t>
      </w:r>
      <w:r w:rsidR="00A20224">
        <w:rPr>
          <w:rFonts w:ascii="Times New Roman" w:hAnsi="Times New Roman" w:cs="Times New Roman"/>
          <w:sz w:val="24"/>
          <w:szCs w:val="24"/>
        </w:rPr>
        <w:t xml:space="preserve">As Figures 1 and 2 show, virtually all LEF’s in California have been founded in the years following Proposition 13. </w:t>
      </w:r>
      <w:r>
        <w:rPr>
          <w:rFonts w:ascii="Times New Roman" w:hAnsi="Times New Roman" w:cs="Times New Roman"/>
          <w:sz w:val="24"/>
          <w:szCs w:val="24"/>
        </w:rPr>
        <w:t xml:space="preserve">LEF websites frequently indicate that their mission is to address shortfalls in state funding levels. The following examples are typical:    </w:t>
      </w:r>
    </w:p>
    <w:p w:rsidR="00145680" w:rsidRPr="00AE266F" w:rsidRDefault="00145680" w:rsidP="00A5146F">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E266F">
        <w:rPr>
          <w:rFonts w:ascii="Times New Roman" w:hAnsi="Times New Roman" w:cs="Times New Roman"/>
          <w:sz w:val="24"/>
          <w:szCs w:val="24"/>
        </w:rPr>
        <w:t xml:space="preserve">"With ongoing budget cuts from the State of California, public education is facing more hurdles every year to providing a strong, vibrant education for our children </w:t>
      </w:r>
      <w:r w:rsidRPr="00AE266F">
        <w:rPr>
          <w:rFonts w:ascii="Times New Roman" w:hAnsi="Times New Roman" w:cs="Times New Roman"/>
          <w:sz w:val="24"/>
          <w:szCs w:val="24"/>
        </w:rPr>
        <w:lastRenderedPageBreak/>
        <w:t xml:space="preserve">need.  Simply put, our children would not be educated adequately without private funding."  </w:t>
      </w:r>
      <w:r>
        <w:rPr>
          <w:rFonts w:ascii="Times New Roman" w:hAnsi="Times New Roman" w:cs="Times New Roman"/>
          <w:sz w:val="24"/>
          <w:szCs w:val="24"/>
        </w:rPr>
        <w:t xml:space="preserve">– </w:t>
      </w:r>
      <w:r w:rsidRPr="00AE266F">
        <w:rPr>
          <w:rFonts w:ascii="Times New Roman" w:hAnsi="Times New Roman" w:cs="Times New Roman"/>
          <w:sz w:val="24"/>
          <w:szCs w:val="24"/>
        </w:rPr>
        <w:t>Alameda Education Foundation</w:t>
      </w:r>
      <w:r>
        <w:rPr>
          <w:rFonts w:ascii="Times New Roman" w:hAnsi="Times New Roman" w:cs="Times New Roman"/>
          <w:sz w:val="24"/>
          <w:szCs w:val="24"/>
        </w:rPr>
        <w:t>.</w:t>
      </w:r>
    </w:p>
    <w:p w:rsidR="00145680" w:rsidRPr="00AE266F" w:rsidRDefault="00145680" w:rsidP="00A5146F">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E266F">
        <w:rPr>
          <w:rFonts w:ascii="Times New Roman" w:hAnsi="Times New Roman" w:cs="Times New Roman"/>
          <w:sz w:val="24"/>
          <w:szCs w:val="24"/>
        </w:rPr>
        <w:t xml:space="preserve">“Tax dollars, alone, are not enough to best prepare our students for the world and workforce they will enter.” </w:t>
      </w:r>
      <w:r>
        <w:rPr>
          <w:rFonts w:ascii="Times New Roman" w:hAnsi="Times New Roman" w:cs="Times New Roman"/>
          <w:sz w:val="24"/>
          <w:szCs w:val="24"/>
        </w:rPr>
        <w:t xml:space="preserve">– </w:t>
      </w:r>
      <w:r w:rsidRPr="00AE266F">
        <w:rPr>
          <w:rFonts w:ascii="Times New Roman" w:hAnsi="Times New Roman" w:cs="Times New Roman"/>
          <w:sz w:val="24"/>
          <w:szCs w:val="24"/>
        </w:rPr>
        <w:t>Carlsbad Educational Foundation</w:t>
      </w:r>
      <w:r>
        <w:rPr>
          <w:rFonts w:ascii="Times New Roman" w:hAnsi="Times New Roman" w:cs="Times New Roman"/>
          <w:sz w:val="24"/>
          <w:szCs w:val="24"/>
        </w:rPr>
        <w:t>.</w:t>
      </w:r>
    </w:p>
    <w:p w:rsidR="00145680" w:rsidRDefault="00145680" w:rsidP="00A5146F">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AE266F">
        <w:rPr>
          <w:rFonts w:ascii="Times New Roman" w:hAnsi="Times New Roman" w:cs="Times New Roman"/>
          <w:sz w:val="24"/>
          <w:szCs w:val="24"/>
        </w:rPr>
        <w:t xml:space="preserve">“MBEF helps fill the gap between what the state provides the district and what it costs to provide a well-rounded, quality education for students.”  </w:t>
      </w:r>
      <w:r>
        <w:rPr>
          <w:rFonts w:ascii="Times New Roman" w:hAnsi="Times New Roman" w:cs="Times New Roman"/>
          <w:sz w:val="24"/>
          <w:szCs w:val="24"/>
        </w:rPr>
        <w:t xml:space="preserve">– </w:t>
      </w:r>
      <w:r w:rsidRPr="00AE266F">
        <w:rPr>
          <w:rFonts w:ascii="Times New Roman" w:hAnsi="Times New Roman" w:cs="Times New Roman"/>
          <w:sz w:val="24"/>
          <w:szCs w:val="24"/>
        </w:rPr>
        <w:t>Manhattan Beach Education Foundation</w:t>
      </w:r>
      <w:r>
        <w:rPr>
          <w:rFonts w:ascii="Times New Roman" w:hAnsi="Times New Roman" w:cs="Times New Roman"/>
          <w:sz w:val="24"/>
          <w:szCs w:val="24"/>
        </w:rPr>
        <w:t>.</w:t>
      </w:r>
    </w:p>
    <w:p w:rsidR="00145680" w:rsidRDefault="00145680" w:rsidP="00A5146F">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AE266F">
        <w:rPr>
          <w:rFonts w:ascii="Times New Roman" w:hAnsi="Times New Roman" w:cs="Times New Roman"/>
          <w:sz w:val="24"/>
          <w:szCs w:val="24"/>
        </w:rPr>
        <w:t>Kiddo! was founded in response to the passage of Proposition 13, which drastically reduced property taxes and, correspondingly, public school funding. The school funding situation is no better today – California now ranks 49th in the nation in terms of annual per pupil expenditures.</w:t>
      </w:r>
      <w:r>
        <w:rPr>
          <w:rFonts w:ascii="Times New Roman" w:hAnsi="Times New Roman" w:cs="Times New Roman"/>
          <w:sz w:val="24"/>
          <w:szCs w:val="24"/>
        </w:rPr>
        <w:t>”  – Mill Valley Schools Community Foundation.</w:t>
      </w:r>
    </w:p>
    <w:p w:rsidR="00843961" w:rsidRDefault="00843961" w:rsidP="00843961">
      <w:pPr>
        <w:autoSpaceDE w:val="0"/>
        <w:autoSpaceDN w:val="0"/>
        <w:adjustRightInd w:val="0"/>
        <w:spacing w:after="0" w:line="360" w:lineRule="auto"/>
        <w:rPr>
          <w:rFonts w:ascii="Times New Roman" w:hAnsi="Times New Roman" w:cs="Times New Roman"/>
          <w:sz w:val="24"/>
          <w:szCs w:val="24"/>
        </w:rPr>
      </w:pPr>
    </w:p>
    <w:p w:rsidR="00843961" w:rsidRPr="00843961" w:rsidRDefault="00843961" w:rsidP="00843961">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Figures 1 and 2 about here</w:t>
      </w:r>
    </w:p>
    <w:p w:rsidR="00A20224" w:rsidRPr="00A20224" w:rsidRDefault="00A20224" w:rsidP="00A20224">
      <w:pPr>
        <w:autoSpaceDE w:val="0"/>
        <w:autoSpaceDN w:val="0"/>
        <w:adjustRightInd w:val="0"/>
        <w:spacing w:after="0" w:line="480" w:lineRule="auto"/>
        <w:rPr>
          <w:rFonts w:ascii="Times New Roman" w:hAnsi="Times New Roman" w:cs="Times New Roman"/>
          <w:sz w:val="24"/>
          <w:szCs w:val="24"/>
        </w:rPr>
      </w:pPr>
    </w:p>
    <w:p w:rsidR="00C660CD" w:rsidRDefault="004D6B12" w:rsidP="008976DD">
      <w:pPr>
        <w:autoSpaceDE w:val="0"/>
        <w:autoSpaceDN w:val="0"/>
        <w:adjustRightInd w:val="0"/>
        <w:spacing w:after="0" w:line="480" w:lineRule="auto"/>
        <w:ind w:firstLine="720"/>
        <w:jc w:val="both"/>
        <w:rPr>
          <w:rFonts w:ascii="Times New Roman" w:hAnsi="Times New Roman" w:cs="Times New Roman"/>
          <w:b/>
          <w:sz w:val="24"/>
          <w:szCs w:val="24"/>
        </w:rPr>
      </w:pPr>
      <w:r w:rsidRPr="008F20C8">
        <w:rPr>
          <w:rFonts w:ascii="Times New Roman" w:hAnsi="Times New Roman" w:cs="Times New Roman"/>
          <w:sz w:val="24"/>
          <w:szCs w:val="24"/>
        </w:rPr>
        <w:t xml:space="preserve">Dietrick (2009) </w:t>
      </w:r>
      <w:r w:rsidR="00A5146F">
        <w:rPr>
          <w:rFonts w:ascii="Times New Roman" w:hAnsi="Times New Roman" w:cs="Times New Roman"/>
          <w:sz w:val="24"/>
          <w:szCs w:val="24"/>
        </w:rPr>
        <w:t xml:space="preserve">reports that money raised through contributions is used for a wide variety of purposes. Many supply revenue for programs and services that are typically the first to go on the chopping block—arts and music programs, libraries, and language instruction. Other common uses for the supplemental funds these organizations provide are classroom supplies, field trips, summer science camps, computers and other information technology.  It appears, however, that in many school districts these “supplemental” funds are increasingly underwriting </w:t>
      </w:r>
      <w:r>
        <w:rPr>
          <w:rFonts w:ascii="Times New Roman" w:hAnsi="Times New Roman" w:cs="Times New Roman"/>
          <w:sz w:val="24"/>
          <w:szCs w:val="24"/>
        </w:rPr>
        <w:t xml:space="preserve">core curriculum </w:t>
      </w:r>
      <w:r w:rsidR="00A5146F">
        <w:rPr>
          <w:rFonts w:ascii="Times New Roman" w:hAnsi="Times New Roman" w:cs="Times New Roman"/>
          <w:sz w:val="24"/>
          <w:szCs w:val="24"/>
        </w:rPr>
        <w:t xml:space="preserve">instruction in </w:t>
      </w:r>
      <w:r>
        <w:rPr>
          <w:rFonts w:ascii="Times New Roman" w:hAnsi="Times New Roman" w:cs="Times New Roman"/>
          <w:sz w:val="24"/>
          <w:szCs w:val="24"/>
        </w:rPr>
        <w:t>English, math and the sciences</w:t>
      </w:r>
      <w:r w:rsidR="00A5146F">
        <w:rPr>
          <w:rFonts w:ascii="Times New Roman" w:hAnsi="Times New Roman" w:cs="Times New Roman"/>
          <w:sz w:val="24"/>
          <w:szCs w:val="24"/>
        </w:rPr>
        <w:t xml:space="preserve">: </w:t>
      </w:r>
      <w:r>
        <w:rPr>
          <w:rFonts w:ascii="Times New Roman" w:hAnsi="Times New Roman" w:cs="Times New Roman"/>
          <w:sz w:val="24"/>
          <w:szCs w:val="24"/>
        </w:rPr>
        <w:t xml:space="preserve">“As state funds for key programs continue to be cut, it may be expected that LEFs will move even further into the areas of direct programming and, in the process of doing this, support the payment of teacher salaries” (Deitrick 2009, </w:t>
      </w:r>
      <w:r w:rsidR="00A5146F">
        <w:rPr>
          <w:rFonts w:ascii="Times New Roman" w:hAnsi="Times New Roman" w:cs="Times New Roman"/>
          <w:sz w:val="24"/>
          <w:szCs w:val="24"/>
        </w:rPr>
        <w:t xml:space="preserve">p. </w:t>
      </w:r>
      <w:r>
        <w:rPr>
          <w:rFonts w:ascii="Times New Roman" w:hAnsi="Times New Roman" w:cs="Times New Roman"/>
          <w:sz w:val="24"/>
          <w:szCs w:val="24"/>
        </w:rPr>
        <w:t xml:space="preserve">188).  </w:t>
      </w:r>
    </w:p>
    <w:p w:rsidR="007F53FC" w:rsidRDefault="007F53FC" w:rsidP="00554130">
      <w:pPr>
        <w:autoSpaceDE w:val="0"/>
        <w:autoSpaceDN w:val="0"/>
        <w:adjustRightInd w:val="0"/>
        <w:spacing w:after="0" w:line="480" w:lineRule="auto"/>
        <w:jc w:val="both"/>
        <w:rPr>
          <w:rFonts w:ascii="Times New Roman" w:hAnsi="Times New Roman" w:cs="Times New Roman"/>
          <w:b/>
          <w:sz w:val="24"/>
          <w:szCs w:val="24"/>
        </w:rPr>
      </w:pPr>
      <w:r w:rsidRPr="007F53FC">
        <w:rPr>
          <w:rFonts w:ascii="Times New Roman" w:hAnsi="Times New Roman" w:cs="Times New Roman"/>
          <w:b/>
          <w:sz w:val="24"/>
          <w:szCs w:val="24"/>
        </w:rPr>
        <w:t>Parcel Taxes</w:t>
      </w:r>
    </w:p>
    <w:p w:rsidR="00C660CD" w:rsidRDefault="007F53FC" w:rsidP="008976D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Proposition 13 eliminated the ability of local governments to set property tax rates by establishing a uniform statewide rate: one percent of market value, determined by the price at </w:t>
      </w:r>
      <w:r>
        <w:rPr>
          <w:rFonts w:ascii="Times New Roman" w:hAnsi="Times New Roman" w:cs="Times New Roman"/>
          <w:sz w:val="24"/>
          <w:szCs w:val="24"/>
        </w:rPr>
        <w:lastRenderedPageBreak/>
        <w:t xml:space="preserve">which the property last sold, with a two percent annual adjustment </w:t>
      </w:r>
      <w:r w:rsidR="00727D07">
        <w:rPr>
          <w:rFonts w:ascii="Times New Roman" w:hAnsi="Times New Roman" w:cs="Times New Roman"/>
          <w:sz w:val="24"/>
          <w:szCs w:val="24"/>
        </w:rPr>
        <w:t>for inflation.</w:t>
      </w:r>
      <w:r w:rsidR="00727D07" w:rsidRPr="00727D07">
        <w:rPr>
          <w:rFonts w:ascii="Times New Roman" w:hAnsi="Times New Roman" w:cs="Times New Roman"/>
          <w:sz w:val="24"/>
          <w:szCs w:val="24"/>
          <w:vertAlign w:val="superscript"/>
        </w:rPr>
        <w:t>3</w:t>
      </w:r>
      <w:r w:rsidR="00C660CD">
        <w:rPr>
          <w:rFonts w:ascii="Times New Roman" w:hAnsi="Times New Roman" w:cs="Times New Roman"/>
          <w:sz w:val="24"/>
          <w:szCs w:val="24"/>
          <w:vertAlign w:val="superscript"/>
        </w:rPr>
        <w:t xml:space="preserve"> </w:t>
      </w:r>
      <w:r w:rsidR="00C660CD">
        <w:rPr>
          <w:rFonts w:ascii="Times New Roman" w:hAnsi="Times New Roman" w:cs="Times New Roman"/>
          <w:sz w:val="24"/>
          <w:szCs w:val="24"/>
        </w:rPr>
        <w:t xml:space="preserve"> Proposition 13 is likely the most famous (or infamous) exercises in direct democracy that this country has ever seen.</w:t>
      </w:r>
      <w:r w:rsidR="00600197">
        <w:rPr>
          <w:rFonts w:ascii="Times New Roman" w:hAnsi="Times New Roman" w:cs="Times New Roman"/>
          <w:sz w:val="24"/>
          <w:szCs w:val="24"/>
        </w:rPr>
        <w:t xml:space="preserve"> </w:t>
      </w:r>
      <w:r w:rsidR="00C660CD">
        <w:rPr>
          <w:rFonts w:ascii="Times New Roman" w:hAnsi="Times New Roman" w:cs="Times New Roman"/>
          <w:sz w:val="24"/>
          <w:szCs w:val="24"/>
        </w:rPr>
        <w:t xml:space="preserve"> Few people at the time, though, paid much attention to Section 4 of the proposition:</w:t>
      </w:r>
    </w:p>
    <w:p w:rsidR="007F53FC" w:rsidRPr="007F53FC" w:rsidRDefault="00C660CD" w:rsidP="00C660CD">
      <w:pPr>
        <w:autoSpaceDE w:val="0"/>
        <w:autoSpaceDN w:val="0"/>
        <w:adjustRightInd w:val="0"/>
        <w:spacing w:after="0" w:line="360" w:lineRule="auto"/>
        <w:ind w:left="288" w:right="288"/>
        <w:jc w:val="both"/>
        <w:rPr>
          <w:rFonts w:ascii="Times New Roman" w:hAnsi="Times New Roman" w:cs="Times New Roman"/>
          <w:sz w:val="24"/>
          <w:szCs w:val="24"/>
        </w:rPr>
      </w:pPr>
      <w:r w:rsidRPr="00C660CD">
        <w:rPr>
          <w:rFonts w:ascii="Times New Roman" w:hAnsi="Times New Roman" w:cs="Times New Roman"/>
          <w:color w:val="000000"/>
          <w:sz w:val="24"/>
          <w:szCs w:val="24"/>
        </w:rPr>
        <w:t>Cities, Counties and special districts, by a two-thirds vote of the qualified electors of such district, may impose special taxes on such district, except ad valorem taxes on real property or a transaction tax or sales tax on the sale of real property within such City, County or special district.</w:t>
      </w:r>
    </w:p>
    <w:p w:rsidR="007F53FC" w:rsidRPr="007F53FC" w:rsidRDefault="007F53FC" w:rsidP="00554130">
      <w:pPr>
        <w:autoSpaceDE w:val="0"/>
        <w:autoSpaceDN w:val="0"/>
        <w:adjustRightInd w:val="0"/>
        <w:spacing w:after="0" w:line="480" w:lineRule="auto"/>
        <w:jc w:val="both"/>
        <w:rPr>
          <w:rFonts w:ascii="Times New Roman" w:hAnsi="Times New Roman" w:cs="Times New Roman"/>
          <w:b/>
          <w:sz w:val="24"/>
          <w:szCs w:val="24"/>
        </w:rPr>
      </w:pPr>
    </w:p>
    <w:p w:rsidR="00C05FC0" w:rsidRDefault="00417D00" w:rsidP="00145EDA">
      <w:pPr>
        <w:spacing w:after="0" w:line="480" w:lineRule="auto"/>
        <w:ind w:firstLine="288"/>
        <w:jc w:val="both"/>
        <w:rPr>
          <w:rFonts w:ascii="Times New Roman" w:hAnsi="Times New Roman" w:cs="Times New Roman"/>
          <w:sz w:val="24"/>
          <w:szCs w:val="24"/>
        </w:rPr>
      </w:pPr>
      <w:r>
        <w:rPr>
          <w:rFonts w:ascii="Times New Roman" w:hAnsi="Times New Roman" w:cs="Times New Roman"/>
          <w:sz w:val="24"/>
          <w:szCs w:val="24"/>
        </w:rPr>
        <w:t>A form of taxation that satisfies the strictures of Section 4 is what has become known as the “parcel tax.” A parcel tax sets a specific dollar amount of tax, e.g., $150,</w:t>
      </w:r>
      <w:r w:rsidR="00600197">
        <w:rPr>
          <w:rFonts w:ascii="Times New Roman" w:hAnsi="Times New Roman" w:cs="Times New Roman"/>
          <w:sz w:val="24"/>
          <w:szCs w:val="24"/>
        </w:rPr>
        <w:t xml:space="preserve"> </w:t>
      </w:r>
      <w:r>
        <w:rPr>
          <w:rFonts w:ascii="Times New Roman" w:hAnsi="Times New Roman" w:cs="Times New Roman"/>
          <w:sz w:val="24"/>
          <w:szCs w:val="24"/>
        </w:rPr>
        <w:t>that owners of each parcel of property in the affected jurisdiction, regardless of its value, must pay annually. When parcel tax proposals first appeared on the scene</w:t>
      </w:r>
      <w:r w:rsidR="00F74198">
        <w:rPr>
          <w:rFonts w:ascii="Times New Roman" w:hAnsi="Times New Roman" w:cs="Times New Roman"/>
          <w:sz w:val="24"/>
          <w:szCs w:val="24"/>
        </w:rPr>
        <w:t>, mo</w:t>
      </w:r>
      <w:r>
        <w:rPr>
          <w:rFonts w:ascii="Times New Roman" w:hAnsi="Times New Roman" w:cs="Times New Roman"/>
          <w:sz w:val="24"/>
          <w:szCs w:val="24"/>
        </w:rPr>
        <w:t xml:space="preserve">st </w:t>
      </w:r>
      <w:r w:rsidR="00F74198">
        <w:rPr>
          <w:rFonts w:ascii="Times New Roman" w:hAnsi="Times New Roman" w:cs="Times New Roman"/>
          <w:sz w:val="24"/>
          <w:szCs w:val="24"/>
        </w:rPr>
        <w:t xml:space="preserve">specified a four-year time limit to coincide with the time frame </w:t>
      </w:r>
      <w:r w:rsidR="00C05FC0">
        <w:rPr>
          <w:rFonts w:ascii="Times New Roman" w:hAnsi="Times New Roman" w:cs="Times New Roman"/>
          <w:sz w:val="24"/>
          <w:szCs w:val="24"/>
        </w:rPr>
        <w:t xml:space="preserve">for </w:t>
      </w:r>
      <w:r w:rsidR="00F74198">
        <w:rPr>
          <w:rFonts w:ascii="Times New Roman" w:hAnsi="Times New Roman" w:cs="Times New Roman"/>
          <w:sz w:val="24"/>
          <w:szCs w:val="24"/>
        </w:rPr>
        <w:t>overrid</w:t>
      </w:r>
      <w:r w:rsidR="00C05FC0">
        <w:rPr>
          <w:rFonts w:ascii="Times New Roman" w:hAnsi="Times New Roman" w:cs="Times New Roman"/>
          <w:sz w:val="24"/>
          <w:szCs w:val="24"/>
        </w:rPr>
        <w:t>ing</w:t>
      </w:r>
      <w:r w:rsidR="00F74198">
        <w:rPr>
          <w:rFonts w:ascii="Times New Roman" w:hAnsi="Times New Roman" w:cs="Times New Roman"/>
          <w:sz w:val="24"/>
          <w:szCs w:val="24"/>
        </w:rPr>
        <w:t xml:space="preserve"> Gann (Proposition 4</w:t>
      </w:r>
      <w:r w:rsidR="008976DD">
        <w:rPr>
          <w:rFonts w:ascii="Times New Roman" w:hAnsi="Times New Roman" w:cs="Times New Roman"/>
          <w:sz w:val="24"/>
          <w:szCs w:val="24"/>
        </w:rPr>
        <w:t xml:space="preserve"> of 1979</w:t>
      </w:r>
      <w:r w:rsidR="00F74198">
        <w:rPr>
          <w:rFonts w:ascii="Times New Roman" w:hAnsi="Times New Roman" w:cs="Times New Roman"/>
          <w:sz w:val="24"/>
          <w:szCs w:val="24"/>
        </w:rPr>
        <w:t>) spending limits.</w:t>
      </w:r>
      <w:r w:rsidR="00F74198" w:rsidRPr="00F74198">
        <w:rPr>
          <w:rFonts w:ascii="Times New Roman" w:hAnsi="Times New Roman" w:cs="Times New Roman"/>
          <w:sz w:val="24"/>
          <w:szCs w:val="24"/>
          <w:vertAlign w:val="superscript"/>
        </w:rPr>
        <w:t>4</w:t>
      </w:r>
      <w:r w:rsidR="00F74198">
        <w:rPr>
          <w:rFonts w:ascii="Times New Roman" w:hAnsi="Times New Roman" w:cs="Times New Roman"/>
          <w:sz w:val="24"/>
          <w:szCs w:val="24"/>
        </w:rPr>
        <w:t xml:space="preserve"> </w:t>
      </w:r>
      <w:r w:rsidR="00145EDA">
        <w:rPr>
          <w:rFonts w:ascii="Times New Roman" w:hAnsi="Times New Roman" w:cs="Times New Roman"/>
          <w:sz w:val="24"/>
          <w:szCs w:val="24"/>
        </w:rPr>
        <w:t>Although subsequent elections to extend existing parcel tax levies have enjoyed high rates of success, it</w:t>
      </w:r>
      <w:r w:rsidR="00C05FC0">
        <w:rPr>
          <w:rFonts w:ascii="Times New Roman" w:hAnsi="Times New Roman" w:cs="Times New Roman"/>
          <w:sz w:val="24"/>
          <w:szCs w:val="24"/>
        </w:rPr>
        <w:t xml:space="preserve"> is now more common for them to specify longer time frames, and some proposals now specify the tax to be imposed indefinitely. </w:t>
      </w:r>
    </w:p>
    <w:p w:rsidR="00F74198" w:rsidRDefault="00C05FC0" w:rsidP="00145E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key feature of the parcel tax is obviously the two-thirds threshold for approval. </w:t>
      </w:r>
      <w:r w:rsidR="00544009">
        <w:rPr>
          <w:rFonts w:ascii="Times New Roman" w:hAnsi="Times New Roman" w:cs="Times New Roman"/>
          <w:sz w:val="24"/>
          <w:szCs w:val="24"/>
        </w:rPr>
        <w:t>M</w:t>
      </w:r>
      <w:r>
        <w:rPr>
          <w:rFonts w:ascii="Times New Roman" w:hAnsi="Times New Roman" w:cs="Times New Roman"/>
          <w:sz w:val="24"/>
          <w:szCs w:val="24"/>
        </w:rPr>
        <w:t>cGhee and Weston (2013) estimate that if the threshold were reduced to the 55% requirement that obtains for local bond elections the current approval rate of 60% would increase dramatically to 89%.</w:t>
      </w:r>
      <w:r w:rsidRPr="00C05FC0">
        <w:rPr>
          <w:rFonts w:ascii="Times New Roman" w:hAnsi="Times New Roman" w:cs="Times New Roman"/>
          <w:sz w:val="24"/>
          <w:szCs w:val="24"/>
          <w:vertAlign w:val="superscript"/>
        </w:rPr>
        <w:t>5</w:t>
      </w:r>
      <w:r w:rsidR="00544009">
        <w:rPr>
          <w:rFonts w:ascii="Times New Roman" w:hAnsi="Times New Roman" w:cs="Times New Roman"/>
          <w:sz w:val="24"/>
          <w:szCs w:val="24"/>
          <w:vertAlign w:val="superscript"/>
        </w:rPr>
        <w:t xml:space="preserve"> </w:t>
      </w:r>
      <w:r w:rsidR="00544009">
        <w:rPr>
          <w:rFonts w:ascii="Times New Roman" w:hAnsi="Times New Roman" w:cs="Times New Roman"/>
          <w:sz w:val="24"/>
          <w:szCs w:val="24"/>
        </w:rPr>
        <w:t xml:space="preserve"> Parcel tax proponents </w:t>
      </w:r>
      <w:r>
        <w:rPr>
          <w:rFonts w:ascii="Times New Roman" w:hAnsi="Times New Roman" w:cs="Times New Roman"/>
          <w:sz w:val="24"/>
          <w:szCs w:val="24"/>
        </w:rPr>
        <w:t>have adopted a number of strateg</w:t>
      </w:r>
      <w:r w:rsidR="00544009">
        <w:rPr>
          <w:rFonts w:ascii="Times New Roman" w:hAnsi="Times New Roman" w:cs="Times New Roman"/>
          <w:sz w:val="24"/>
          <w:szCs w:val="24"/>
        </w:rPr>
        <w:t>ems</w:t>
      </w:r>
      <w:r>
        <w:rPr>
          <w:rFonts w:ascii="Times New Roman" w:hAnsi="Times New Roman" w:cs="Times New Roman"/>
          <w:sz w:val="24"/>
          <w:szCs w:val="24"/>
        </w:rPr>
        <w:t xml:space="preserve"> to increase their odds </w:t>
      </w:r>
      <w:r w:rsidR="00544009">
        <w:rPr>
          <w:rFonts w:ascii="Times New Roman" w:hAnsi="Times New Roman" w:cs="Times New Roman"/>
          <w:sz w:val="24"/>
          <w:szCs w:val="24"/>
        </w:rPr>
        <w:t>of achieving two-thirds approval. In 198</w:t>
      </w:r>
      <w:r w:rsidR="001E37D0">
        <w:rPr>
          <w:rFonts w:ascii="Times New Roman" w:hAnsi="Times New Roman" w:cs="Times New Roman"/>
          <w:sz w:val="24"/>
          <w:szCs w:val="24"/>
        </w:rPr>
        <w:t>7</w:t>
      </w:r>
      <w:r w:rsidR="00544009">
        <w:rPr>
          <w:rFonts w:ascii="Times New Roman" w:hAnsi="Times New Roman" w:cs="Times New Roman"/>
          <w:sz w:val="24"/>
          <w:szCs w:val="24"/>
        </w:rPr>
        <w:t xml:space="preserve"> the state legislature enacted legislation t</w:t>
      </w:r>
      <w:r w:rsidR="001E37D0">
        <w:rPr>
          <w:rFonts w:ascii="Times New Roman" w:hAnsi="Times New Roman" w:cs="Times New Roman"/>
          <w:sz w:val="24"/>
          <w:szCs w:val="24"/>
        </w:rPr>
        <w:t>o</w:t>
      </w:r>
      <w:r w:rsidR="00544009">
        <w:rPr>
          <w:rFonts w:ascii="Times New Roman" w:hAnsi="Times New Roman" w:cs="Times New Roman"/>
          <w:sz w:val="24"/>
          <w:szCs w:val="24"/>
        </w:rPr>
        <w:t xml:space="preserve"> permit local jurisdictions to exclude aged (over 65) and disabled property owners from the tax, and the courts have upheld such exclusions.  Others have sought to circumvent the uniformity </w:t>
      </w:r>
      <w:r w:rsidR="00145EDA">
        <w:rPr>
          <w:rFonts w:ascii="Times New Roman" w:hAnsi="Times New Roman" w:cs="Times New Roman"/>
          <w:sz w:val="24"/>
          <w:szCs w:val="24"/>
        </w:rPr>
        <w:t xml:space="preserve">requirement </w:t>
      </w:r>
      <w:r w:rsidR="00544009">
        <w:rPr>
          <w:rFonts w:ascii="Times New Roman" w:hAnsi="Times New Roman" w:cs="Times New Roman"/>
          <w:sz w:val="24"/>
          <w:szCs w:val="24"/>
        </w:rPr>
        <w:t xml:space="preserve">of Proposition 13 by tailoring the tax to characteristics of property that are </w:t>
      </w:r>
      <w:r w:rsidR="00544009">
        <w:rPr>
          <w:rFonts w:ascii="Times New Roman" w:hAnsi="Times New Roman" w:cs="Times New Roman"/>
          <w:sz w:val="24"/>
          <w:szCs w:val="24"/>
        </w:rPr>
        <w:lastRenderedPageBreak/>
        <w:t>correlated with its value, e.g., imposing taxes on a square-foot basis, or setting lower taxes for residential properties than for commercial properties</w:t>
      </w:r>
      <w:r>
        <w:rPr>
          <w:rFonts w:ascii="Times New Roman" w:hAnsi="Times New Roman" w:cs="Times New Roman"/>
          <w:sz w:val="24"/>
          <w:szCs w:val="24"/>
        </w:rPr>
        <w:t>.</w:t>
      </w:r>
      <w:r w:rsidR="001E37D0">
        <w:rPr>
          <w:rFonts w:ascii="Times New Roman" w:hAnsi="Times New Roman" w:cs="Times New Roman"/>
          <w:sz w:val="24"/>
          <w:szCs w:val="24"/>
        </w:rPr>
        <w:t xml:space="preserve"> In </w:t>
      </w:r>
      <w:r w:rsidR="001E37D0" w:rsidRPr="00843961">
        <w:rPr>
          <w:rFonts w:ascii="Times New Roman" w:hAnsi="Times New Roman" w:cs="Times New Roman"/>
          <w:i/>
          <w:sz w:val="24"/>
          <w:szCs w:val="24"/>
        </w:rPr>
        <w:t>Borikas v. Alameda Unified School District</w:t>
      </w:r>
      <w:r w:rsidR="001E37D0">
        <w:rPr>
          <w:rFonts w:ascii="Times New Roman" w:hAnsi="Times New Roman" w:cs="Times New Roman"/>
          <w:sz w:val="24"/>
          <w:szCs w:val="24"/>
        </w:rPr>
        <w:t xml:space="preserve"> (2013)</w:t>
      </w:r>
      <w:r w:rsidR="00145EDA">
        <w:rPr>
          <w:rFonts w:ascii="Times New Roman" w:hAnsi="Times New Roman" w:cs="Times New Roman"/>
          <w:sz w:val="24"/>
          <w:szCs w:val="24"/>
        </w:rPr>
        <w:t>,</w:t>
      </w:r>
      <w:r w:rsidR="001E37D0">
        <w:rPr>
          <w:rFonts w:ascii="Times New Roman" w:hAnsi="Times New Roman" w:cs="Times New Roman"/>
          <w:sz w:val="24"/>
          <w:szCs w:val="24"/>
        </w:rPr>
        <w:t xml:space="preserve"> the First Circuit Court of Appeals invalidated a parcel tax that differentiated between properties in these ways. Unless this decision is overturned by a higher court or the legislature intervenes, future parcel tax proposals will likely not contain such provisos.  </w:t>
      </w:r>
      <w:r w:rsidR="00544009">
        <w:rPr>
          <w:rFonts w:ascii="Times New Roman" w:hAnsi="Times New Roman" w:cs="Times New Roman"/>
          <w:sz w:val="24"/>
          <w:szCs w:val="24"/>
        </w:rPr>
        <w:t xml:space="preserve">  </w:t>
      </w:r>
      <w:r>
        <w:rPr>
          <w:rFonts w:ascii="Times New Roman" w:hAnsi="Times New Roman" w:cs="Times New Roman"/>
          <w:sz w:val="24"/>
          <w:szCs w:val="24"/>
        </w:rPr>
        <w:t xml:space="preserve"> </w:t>
      </w:r>
      <w:r w:rsidR="00F74198">
        <w:rPr>
          <w:rFonts w:ascii="Times New Roman" w:hAnsi="Times New Roman" w:cs="Times New Roman"/>
          <w:sz w:val="24"/>
          <w:szCs w:val="24"/>
        </w:rPr>
        <w:t xml:space="preserve"> </w:t>
      </w:r>
    </w:p>
    <w:p w:rsidR="00C660CD" w:rsidRDefault="00490915" w:rsidP="00754233">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Previous Research </w:t>
      </w:r>
    </w:p>
    <w:p w:rsidR="007A3262" w:rsidRDefault="00490915" w:rsidP="007A326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00145EDA">
        <w:rPr>
          <w:rFonts w:ascii="Times New Roman" w:hAnsi="Times New Roman" w:cs="Times New Roman"/>
          <w:b/>
          <w:sz w:val="24"/>
          <w:szCs w:val="24"/>
        </w:rPr>
        <w:t>S</w:t>
      </w:r>
      <w:r>
        <w:rPr>
          <w:rFonts w:ascii="Times New Roman" w:hAnsi="Times New Roman" w:cs="Times New Roman"/>
          <w:sz w:val="24"/>
          <w:szCs w:val="24"/>
        </w:rPr>
        <w:t>everal studies have assessed the role that voluntary contributions and parcel taxes play in supplementing state-imposed default revenue limits in California school districts. Two common themes run through this research</w:t>
      </w:r>
      <w:r w:rsidR="00145EDA">
        <w:rPr>
          <w:rFonts w:ascii="Times New Roman" w:hAnsi="Times New Roman" w:cs="Times New Roman"/>
          <w:sz w:val="24"/>
          <w:szCs w:val="24"/>
        </w:rPr>
        <w:t>. First, th</w:t>
      </w:r>
      <w:r w:rsidR="00790AAF">
        <w:rPr>
          <w:rFonts w:ascii="Times New Roman" w:hAnsi="Times New Roman" w:cs="Times New Roman"/>
          <w:sz w:val="24"/>
          <w:szCs w:val="24"/>
        </w:rPr>
        <w:t xml:space="preserve">e </w:t>
      </w:r>
      <w:r>
        <w:rPr>
          <w:rFonts w:ascii="Times New Roman" w:hAnsi="Times New Roman" w:cs="Times New Roman"/>
          <w:sz w:val="24"/>
          <w:szCs w:val="24"/>
        </w:rPr>
        <w:t>total amount of rev</w:t>
      </w:r>
      <w:r w:rsidR="006C2A63">
        <w:rPr>
          <w:rFonts w:ascii="Times New Roman" w:hAnsi="Times New Roman" w:cs="Times New Roman"/>
          <w:sz w:val="24"/>
          <w:szCs w:val="24"/>
        </w:rPr>
        <w:t>en</w:t>
      </w:r>
      <w:r>
        <w:rPr>
          <w:rFonts w:ascii="Times New Roman" w:hAnsi="Times New Roman" w:cs="Times New Roman"/>
          <w:sz w:val="24"/>
          <w:szCs w:val="24"/>
        </w:rPr>
        <w:t xml:space="preserve">ue raised by these mechanisms is quite limited, in each case </w:t>
      </w:r>
      <w:r w:rsidR="00145EDA">
        <w:rPr>
          <w:rFonts w:ascii="Times New Roman" w:hAnsi="Times New Roman" w:cs="Times New Roman"/>
          <w:sz w:val="24"/>
          <w:szCs w:val="24"/>
        </w:rPr>
        <w:t xml:space="preserve">less than </w:t>
      </w:r>
      <w:r>
        <w:rPr>
          <w:rFonts w:ascii="Times New Roman" w:hAnsi="Times New Roman" w:cs="Times New Roman"/>
          <w:sz w:val="24"/>
          <w:szCs w:val="24"/>
        </w:rPr>
        <w:t xml:space="preserve">one percent of total state funding form </w:t>
      </w:r>
      <w:r w:rsidR="00790AAF">
        <w:rPr>
          <w:rFonts w:ascii="Times New Roman" w:hAnsi="Times New Roman" w:cs="Times New Roman"/>
          <w:sz w:val="24"/>
          <w:szCs w:val="24"/>
        </w:rPr>
        <w:t>K-12 education</w:t>
      </w:r>
      <w:r w:rsidR="006C2A63">
        <w:rPr>
          <w:rFonts w:ascii="Times New Roman" w:hAnsi="Times New Roman" w:cs="Times New Roman"/>
          <w:sz w:val="24"/>
          <w:szCs w:val="24"/>
        </w:rPr>
        <w:t xml:space="preserve"> (Brunner and Sonstelie 1997, 2003; Brunner and Imazeki 2005; Zimmer et al. 2001; Dietrick 2009; Brunner 2001; Meszaros 2011; McGhee and Weston</w:t>
      </w:r>
      <w:r w:rsidR="007A3262">
        <w:rPr>
          <w:rFonts w:ascii="Times New Roman" w:hAnsi="Times New Roman" w:cs="Times New Roman"/>
          <w:sz w:val="24"/>
          <w:szCs w:val="24"/>
        </w:rPr>
        <w:t xml:space="preserve"> 2013). </w:t>
      </w:r>
      <w:r w:rsidR="00790AAF">
        <w:rPr>
          <w:rFonts w:ascii="Times New Roman" w:hAnsi="Times New Roman" w:cs="Times New Roman"/>
          <w:sz w:val="24"/>
          <w:szCs w:val="24"/>
        </w:rPr>
        <w:t>The reason why only modest amounts are raised through voluntary contributions is self-evident</w:t>
      </w:r>
      <w:r w:rsidR="00145EDA">
        <w:rPr>
          <w:rFonts w:ascii="Times New Roman" w:hAnsi="Times New Roman" w:cs="Times New Roman"/>
          <w:sz w:val="24"/>
          <w:szCs w:val="24"/>
        </w:rPr>
        <w:t xml:space="preserve">; </w:t>
      </w:r>
      <w:r w:rsidR="007A3262">
        <w:rPr>
          <w:rFonts w:ascii="Times New Roman" w:hAnsi="Times New Roman" w:cs="Times New Roman"/>
          <w:sz w:val="24"/>
          <w:szCs w:val="24"/>
        </w:rPr>
        <w:t>w</w:t>
      </w:r>
      <w:r w:rsidR="00790AAF">
        <w:rPr>
          <w:rFonts w:ascii="Times New Roman" w:hAnsi="Times New Roman" w:cs="Times New Roman"/>
          <w:sz w:val="24"/>
          <w:szCs w:val="24"/>
        </w:rPr>
        <w:t xml:space="preserve">hen it comes to contributing voluntarily to the provision of public goods, the dominant strategy of each individual in the jurisdiction is to free-ride (Olson 1965).  Parcel tax revenue is limited because two-thirds approval is possible to obtain in only a small number (currently about 10 percent) of California school districts, and even in these cases only modest assessments levels will win approval. </w:t>
      </w:r>
    </w:p>
    <w:p w:rsidR="007A3262" w:rsidRDefault="007A3262" w:rsidP="007A32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second general finding is ubiquitous (there are no exceptions): revenue raised through both voluntary contributions and parcel taxes is heavily concentrated in the upper tier of California’s wealthiest school districts. Researchers have expended little or no effort to explain why this is the case, and probably should not have. There are additional patterns that have emerged; most notably, school districts in the San Francisco Bay Area are far more likely than </w:t>
      </w:r>
      <w:r>
        <w:rPr>
          <w:rFonts w:ascii="Times New Roman" w:hAnsi="Times New Roman" w:cs="Times New Roman"/>
          <w:sz w:val="24"/>
          <w:szCs w:val="24"/>
        </w:rPr>
        <w:lastRenderedPageBreak/>
        <w:t xml:space="preserve">others to have approved parcel taxes, presumably because the liberal ideology that is so widely shared by residents of this area is more supportive of taxation to support public goods.   </w:t>
      </w:r>
    </w:p>
    <w:p w:rsidR="008F20C8" w:rsidRDefault="007A3262" w:rsidP="006457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If previous findings are </w:t>
      </w:r>
      <w:r w:rsidR="00145EDA">
        <w:rPr>
          <w:rFonts w:ascii="Times New Roman" w:hAnsi="Times New Roman" w:cs="Times New Roman"/>
          <w:sz w:val="24"/>
          <w:szCs w:val="24"/>
        </w:rPr>
        <w:t xml:space="preserve">utterly sensible </w:t>
      </w:r>
      <w:r>
        <w:rPr>
          <w:rFonts w:ascii="Times New Roman" w:hAnsi="Times New Roman" w:cs="Times New Roman"/>
          <w:sz w:val="24"/>
          <w:szCs w:val="24"/>
        </w:rPr>
        <w:t xml:space="preserve">and widely accepted, and there is no controversy in the literature to address, </w:t>
      </w:r>
      <w:r w:rsidR="00145EDA">
        <w:rPr>
          <w:rFonts w:ascii="Times New Roman" w:hAnsi="Times New Roman" w:cs="Times New Roman"/>
          <w:sz w:val="24"/>
          <w:szCs w:val="24"/>
        </w:rPr>
        <w:t>why undertake another study?  W</w:t>
      </w:r>
      <w:r>
        <w:rPr>
          <w:rFonts w:ascii="Times New Roman" w:hAnsi="Times New Roman" w:cs="Times New Roman"/>
          <w:sz w:val="24"/>
          <w:szCs w:val="24"/>
        </w:rPr>
        <w:t xml:space="preserve">hat </w:t>
      </w:r>
      <w:r w:rsidR="00145EDA">
        <w:rPr>
          <w:rFonts w:ascii="Times New Roman" w:hAnsi="Times New Roman" w:cs="Times New Roman"/>
          <w:sz w:val="24"/>
          <w:szCs w:val="24"/>
        </w:rPr>
        <w:t xml:space="preserve">is the potential value </w:t>
      </w:r>
      <w:r>
        <w:rPr>
          <w:rFonts w:ascii="Times New Roman" w:hAnsi="Times New Roman" w:cs="Times New Roman"/>
          <w:sz w:val="24"/>
          <w:szCs w:val="24"/>
        </w:rPr>
        <w:t>add</w:t>
      </w:r>
      <w:r w:rsidR="00145EDA">
        <w:rPr>
          <w:rFonts w:ascii="Times New Roman" w:hAnsi="Times New Roman" w:cs="Times New Roman"/>
          <w:sz w:val="24"/>
          <w:szCs w:val="24"/>
        </w:rPr>
        <w:t>ed</w:t>
      </w:r>
      <w:r w:rsidR="00645722">
        <w:rPr>
          <w:rFonts w:ascii="Times New Roman" w:hAnsi="Times New Roman" w:cs="Times New Roman"/>
          <w:sz w:val="24"/>
          <w:szCs w:val="24"/>
        </w:rPr>
        <w:t xml:space="preserve">? </w:t>
      </w:r>
      <w:r w:rsidR="00145EDA">
        <w:rPr>
          <w:rFonts w:ascii="Times New Roman" w:hAnsi="Times New Roman" w:cs="Times New Roman"/>
          <w:sz w:val="24"/>
          <w:szCs w:val="24"/>
        </w:rPr>
        <w:t xml:space="preserve"> There are, we believe, three major ways </w:t>
      </w:r>
      <w:r w:rsidR="00645722">
        <w:rPr>
          <w:rFonts w:ascii="Times New Roman" w:hAnsi="Times New Roman" w:cs="Times New Roman"/>
          <w:sz w:val="24"/>
          <w:szCs w:val="24"/>
        </w:rPr>
        <w:t xml:space="preserve">that this study can contribute to our understanding of public school finance. First, our analyses are considerably more comprehensive than previous studies, in that we investigate the impact of several variables other than district wealth on the incidence of voluntary contributions and parcel taxes. We also distinguish between the various types of organizations that raise funds for particular schools and school districts. Secondly, we assess the joint impact of voluntary contributions and parcel taxes in supplementing the financial resources available to public schools. Finally, we explore the political and societal implications of voluntary contributions and parcel taxes in what is hopefully a more fair and balanced way than has previously been the case.    </w:t>
      </w:r>
      <w:r w:rsidR="00145EDA">
        <w:rPr>
          <w:rFonts w:ascii="Times New Roman" w:hAnsi="Times New Roman" w:cs="Times New Roman"/>
          <w:sz w:val="24"/>
          <w:szCs w:val="24"/>
        </w:rPr>
        <w:t xml:space="preserve"> </w:t>
      </w:r>
    </w:p>
    <w:p w:rsidR="00A46D3B" w:rsidRPr="00536544" w:rsidRDefault="006C2A63" w:rsidP="00A46D3B">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Data Analysis </w:t>
      </w:r>
    </w:p>
    <w:p w:rsidR="00A46D3B" w:rsidRPr="00536544" w:rsidRDefault="00645722" w:rsidP="0084396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Our first task is to assess the financial impact of voluntary contributions and parcel taxes, both overall and at the level of individual schools and school districts. </w:t>
      </w:r>
      <w:r w:rsidR="006F319D" w:rsidRPr="00536544">
        <w:rPr>
          <w:rFonts w:ascii="Times New Roman" w:hAnsi="Times New Roman" w:cs="Times New Roman"/>
          <w:sz w:val="24"/>
          <w:szCs w:val="24"/>
        </w:rPr>
        <w:t xml:space="preserve">The </w:t>
      </w:r>
      <w:r w:rsidR="00392A8E">
        <w:rPr>
          <w:rFonts w:ascii="Times New Roman" w:hAnsi="Times New Roman" w:cs="Times New Roman"/>
          <w:sz w:val="24"/>
          <w:szCs w:val="24"/>
        </w:rPr>
        <w:t xml:space="preserve">financial </w:t>
      </w:r>
      <w:r w:rsidR="006F319D" w:rsidRPr="00536544">
        <w:rPr>
          <w:rFonts w:ascii="Times New Roman" w:hAnsi="Times New Roman" w:cs="Times New Roman"/>
          <w:sz w:val="24"/>
          <w:szCs w:val="24"/>
        </w:rPr>
        <w:t xml:space="preserve">data </w:t>
      </w:r>
      <w:r w:rsidR="000402EE">
        <w:rPr>
          <w:rFonts w:ascii="Times New Roman" w:hAnsi="Times New Roman" w:cs="Times New Roman"/>
          <w:sz w:val="24"/>
          <w:szCs w:val="24"/>
        </w:rPr>
        <w:t xml:space="preserve">we collected </w:t>
      </w:r>
      <w:r w:rsidR="00F91468">
        <w:rPr>
          <w:rFonts w:ascii="Times New Roman" w:hAnsi="Times New Roman" w:cs="Times New Roman"/>
          <w:sz w:val="24"/>
          <w:szCs w:val="24"/>
        </w:rPr>
        <w:t xml:space="preserve">on voluntary contributions </w:t>
      </w:r>
      <w:r w:rsidR="00392A8E">
        <w:rPr>
          <w:rFonts w:ascii="Times New Roman" w:hAnsi="Times New Roman" w:cs="Times New Roman"/>
          <w:sz w:val="24"/>
          <w:szCs w:val="24"/>
        </w:rPr>
        <w:t xml:space="preserve">are drawn from the Form 990 reports that nonprofits file with the IRS, and which are made available online Guidestar. These organizations do not necessarily file every year, so if 2012 data were not available the figures we analyze are from the most recent year going back to 2008. We converted all financial data to constant (2011) dollars </w:t>
      </w:r>
      <w:r w:rsidR="00F91468">
        <w:rPr>
          <w:rFonts w:ascii="Times New Roman" w:hAnsi="Times New Roman" w:cs="Times New Roman"/>
          <w:sz w:val="24"/>
          <w:szCs w:val="24"/>
        </w:rPr>
        <w:t xml:space="preserve">by adjusting for </w:t>
      </w:r>
      <w:r w:rsidR="006F319D" w:rsidRPr="00536544">
        <w:rPr>
          <w:rFonts w:ascii="Times New Roman" w:hAnsi="Times New Roman" w:cs="Times New Roman"/>
          <w:sz w:val="24"/>
          <w:szCs w:val="24"/>
        </w:rPr>
        <w:t>Consumer Price Index (CPI) reported by the Bureau of Labor Statistics</w:t>
      </w:r>
      <w:r w:rsidR="00F91468">
        <w:rPr>
          <w:rFonts w:ascii="Times New Roman" w:hAnsi="Times New Roman" w:cs="Times New Roman"/>
          <w:sz w:val="24"/>
          <w:szCs w:val="24"/>
        </w:rPr>
        <w:t>. Please refer to the Data Appendix for additional details.</w:t>
      </w:r>
    </w:p>
    <w:p w:rsidR="003A175F" w:rsidRDefault="00ED54E9" w:rsidP="000A308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As indicated in Table 1, t</w:t>
      </w:r>
      <w:r w:rsidR="00974F27" w:rsidRPr="00F90CF3">
        <w:rPr>
          <w:rFonts w:ascii="Times New Roman" w:hAnsi="Times New Roman" w:cs="Times New Roman"/>
          <w:sz w:val="24"/>
          <w:szCs w:val="24"/>
        </w:rPr>
        <w:t xml:space="preserve">he </w:t>
      </w:r>
      <w:r w:rsidR="00361266" w:rsidRPr="00F90CF3">
        <w:rPr>
          <w:rFonts w:ascii="Times New Roman" w:hAnsi="Times New Roman" w:cs="Times New Roman"/>
          <w:sz w:val="24"/>
          <w:szCs w:val="24"/>
        </w:rPr>
        <w:t>1</w:t>
      </w:r>
      <w:r>
        <w:rPr>
          <w:rFonts w:ascii="Times New Roman" w:hAnsi="Times New Roman" w:cs="Times New Roman"/>
          <w:sz w:val="24"/>
          <w:szCs w:val="24"/>
        </w:rPr>
        <w:t>9</w:t>
      </w:r>
      <w:r w:rsidR="00D6262C">
        <w:rPr>
          <w:rFonts w:ascii="Times New Roman" w:hAnsi="Times New Roman" w:cs="Times New Roman"/>
          <w:sz w:val="24"/>
          <w:szCs w:val="24"/>
        </w:rPr>
        <w:t>26</w:t>
      </w:r>
      <w:r w:rsidR="00974F27" w:rsidRPr="00F90CF3">
        <w:rPr>
          <w:rFonts w:ascii="Times New Roman" w:hAnsi="Times New Roman" w:cs="Times New Roman"/>
          <w:sz w:val="24"/>
          <w:szCs w:val="24"/>
        </w:rPr>
        <w:t xml:space="preserve"> </w:t>
      </w:r>
      <w:r>
        <w:rPr>
          <w:rFonts w:ascii="Times New Roman" w:hAnsi="Times New Roman" w:cs="Times New Roman"/>
          <w:sz w:val="24"/>
          <w:szCs w:val="24"/>
        </w:rPr>
        <w:t xml:space="preserve">organizations for which we have </w:t>
      </w:r>
      <w:r w:rsidR="00D6262C">
        <w:rPr>
          <w:rFonts w:ascii="Times New Roman" w:hAnsi="Times New Roman" w:cs="Times New Roman"/>
          <w:sz w:val="24"/>
          <w:szCs w:val="24"/>
        </w:rPr>
        <w:t xml:space="preserve">so far collected </w:t>
      </w:r>
      <w:r>
        <w:rPr>
          <w:rFonts w:ascii="Times New Roman" w:hAnsi="Times New Roman" w:cs="Times New Roman"/>
          <w:sz w:val="24"/>
          <w:szCs w:val="24"/>
        </w:rPr>
        <w:t xml:space="preserve">data include </w:t>
      </w:r>
      <w:r w:rsidR="00D6262C">
        <w:rPr>
          <w:rFonts w:ascii="Times New Roman" w:hAnsi="Times New Roman" w:cs="Times New Roman"/>
          <w:sz w:val="24"/>
          <w:szCs w:val="24"/>
        </w:rPr>
        <w:t xml:space="preserve">509 LEF’s, 363 </w:t>
      </w:r>
      <w:r w:rsidR="00AA11DD">
        <w:rPr>
          <w:rFonts w:ascii="Times New Roman" w:hAnsi="Times New Roman" w:cs="Times New Roman"/>
          <w:sz w:val="24"/>
          <w:szCs w:val="24"/>
        </w:rPr>
        <w:t xml:space="preserve">large </w:t>
      </w:r>
      <w:r>
        <w:rPr>
          <w:rFonts w:ascii="Times New Roman" w:hAnsi="Times New Roman" w:cs="Times New Roman"/>
          <w:sz w:val="24"/>
          <w:szCs w:val="24"/>
        </w:rPr>
        <w:t>PTA’s</w:t>
      </w:r>
      <w:r w:rsidR="00A511B2">
        <w:rPr>
          <w:rFonts w:ascii="Times New Roman" w:hAnsi="Times New Roman" w:cs="Times New Roman"/>
          <w:sz w:val="24"/>
          <w:szCs w:val="24"/>
        </w:rPr>
        <w:t xml:space="preserve">, as well as </w:t>
      </w:r>
      <w:r w:rsidR="00D6262C">
        <w:rPr>
          <w:rFonts w:ascii="Times New Roman" w:hAnsi="Times New Roman" w:cs="Times New Roman"/>
          <w:sz w:val="24"/>
          <w:szCs w:val="24"/>
        </w:rPr>
        <w:t>1054 booster clubs and other types of organizations.</w:t>
      </w:r>
      <w:r w:rsidR="00AA11DD" w:rsidRPr="00AA11DD">
        <w:rPr>
          <w:rFonts w:ascii="Times New Roman" w:hAnsi="Times New Roman" w:cs="Times New Roman"/>
          <w:sz w:val="24"/>
          <w:szCs w:val="24"/>
          <w:vertAlign w:val="superscript"/>
        </w:rPr>
        <w:t>6</w:t>
      </w:r>
      <w:r w:rsidR="00AA11DD">
        <w:rPr>
          <w:rFonts w:ascii="Times New Roman" w:hAnsi="Times New Roman" w:cs="Times New Roman"/>
          <w:sz w:val="24"/>
          <w:szCs w:val="24"/>
        </w:rPr>
        <w:t xml:space="preserve"> </w:t>
      </w:r>
      <w:r w:rsidR="000A308D">
        <w:rPr>
          <w:rFonts w:ascii="Times New Roman" w:hAnsi="Times New Roman" w:cs="Times New Roman"/>
          <w:sz w:val="24"/>
          <w:szCs w:val="24"/>
        </w:rPr>
        <w:t>The entries here report the medians, quartile breakdowns, maxima, and overall averages of revenue raised annually</w:t>
      </w:r>
      <w:r w:rsidR="000A308D" w:rsidRPr="00536544">
        <w:rPr>
          <w:rFonts w:ascii="Times New Roman" w:hAnsi="Times New Roman" w:cs="Times New Roman"/>
          <w:sz w:val="24"/>
          <w:szCs w:val="24"/>
        </w:rPr>
        <w:t>.</w:t>
      </w:r>
      <w:r w:rsidR="000A308D">
        <w:rPr>
          <w:rFonts w:ascii="Times New Roman" w:hAnsi="Times New Roman" w:cs="Times New Roman"/>
          <w:sz w:val="24"/>
          <w:szCs w:val="24"/>
        </w:rPr>
        <w:t xml:space="preserve"> A</w:t>
      </w:r>
      <w:r w:rsidR="007B6FFA">
        <w:rPr>
          <w:rFonts w:ascii="Times New Roman" w:hAnsi="Times New Roman" w:cs="Times New Roman"/>
          <w:sz w:val="24"/>
          <w:szCs w:val="24"/>
        </w:rPr>
        <w:t>ll three categories of educational fund-raising organizations vary greatly in the amount of money they raise. That</w:t>
      </w:r>
      <w:r w:rsidR="005B7EF1">
        <w:rPr>
          <w:rFonts w:ascii="Times New Roman" w:hAnsi="Times New Roman" w:cs="Times New Roman"/>
          <w:sz w:val="24"/>
          <w:szCs w:val="24"/>
        </w:rPr>
        <w:t xml:space="preserve"> </w:t>
      </w:r>
      <w:r w:rsidR="007B6FFA">
        <w:rPr>
          <w:rFonts w:ascii="Times New Roman" w:hAnsi="Times New Roman" w:cs="Times New Roman"/>
          <w:sz w:val="24"/>
          <w:szCs w:val="24"/>
        </w:rPr>
        <w:t xml:space="preserve">LEF’s tend to raise </w:t>
      </w:r>
      <w:r w:rsidR="005B7EF1">
        <w:rPr>
          <w:rFonts w:ascii="Times New Roman" w:hAnsi="Times New Roman" w:cs="Times New Roman"/>
          <w:sz w:val="24"/>
          <w:szCs w:val="24"/>
        </w:rPr>
        <w:t xml:space="preserve">much </w:t>
      </w:r>
      <w:r w:rsidR="007B6FFA">
        <w:rPr>
          <w:rFonts w:ascii="Times New Roman" w:hAnsi="Times New Roman" w:cs="Times New Roman"/>
          <w:sz w:val="24"/>
          <w:szCs w:val="24"/>
        </w:rPr>
        <w:t xml:space="preserve">more on average than PTA’s, and that PTA’s </w:t>
      </w:r>
      <w:r w:rsidR="005B7EF1">
        <w:rPr>
          <w:rFonts w:ascii="Times New Roman" w:hAnsi="Times New Roman" w:cs="Times New Roman"/>
          <w:sz w:val="24"/>
          <w:szCs w:val="24"/>
        </w:rPr>
        <w:t>raise much more money than booster clubs and other organizations</w:t>
      </w:r>
      <w:r w:rsidR="008976DD">
        <w:rPr>
          <w:rFonts w:ascii="Times New Roman" w:hAnsi="Times New Roman" w:cs="Times New Roman"/>
          <w:sz w:val="24"/>
          <w:szCs w:val="24"/>
        </w:rPr>
        <w:t xml:space="preserve">, which </w:t>
      </w:r>
      <w:r w:rsidR="005B7EF1">
        <w:rPr>
          <w:rFonts w:ascii="Times New Roman" w:hAnsi="Times New Roman" w:cs="Times New Roman"/>
          <w:sz w:val="24"/>
          <w:szCs w:val="24"/>
        </w:rPr>
        <w:t>is exactly what should be expected. About a fourth of the LEF’s seek to raise money for entire school districts, and districtwide LEF’s tend to raise the largest sums of money.</w:t>
      </w:r>
      <w:r w:rsidR="005B7EF1" w:rsidRPr="005B7EF1">
        <w:rPr>
          <w:rFonts w:ascii="Times New Roman" w:hAnsi="Times New Roman" w:cs="Times New Roman"/>
          <w:sz w:val="24"/>
          <w:szCs w:val="24"/>
          <w:vertAlign w:val="superscript"/>
        </w:rPr>
        <w:t>7</w:t>
      </w:r>
      <w:r w:rsidR="005B7EF1">
        <w:rPr>
          <w:rFonts w:ascii="Times New Roman" w:hAnsi="Times New Roman" w:cs="Times New Roman"/>
          <w:sz w:val="24"/>
          <w:szCs w:val="24"/>
        </w:rPr>
        <w:t xml:space="preserve"> </w:t>
      </w:r>
      <w:r>
        <w:rPr>
          <w:rFonts w:ascii="Times New Roman" w:hAnsi="Times New Roman" w:cs="Times New Roman"/>
          <w:sz w:val="24"/>
          <w:szCs w:val="24"/>
        </w:rPr>
        <w:t>PTA’s</w:t>
      </w:r>
      <w:r w:rsidR="005B7EF1">
        <w:rPr>
          <w:rFonts w:ascii="Times New Roman" w:hAnsi="Times New Roman" w:cs="Times New Roman"/>
          <w:sz w:val="24"/>
          <w:szCs w:val="24"/>
        </w:rPr>
        <w:t>, on the other hand, a</w:t>
      </w:r>
      <w:r>
        <w:rPr>
          <w:rFonts w:ascii="Times New Roman" w:hAnsi="Times New Roman" w:cs="Times New Roman"/>
          <w:sz w:val="24"/>
          <w:szCs w:val="24"/>
        </w:rPr>
        <w:t>lmost always support specific schools, and booster clubs overwhel</w:t>
      </w:r>
      <w:r w:rsidR="007B6FFA">
        <w:rPr>
          <w:rFonts w:ascii="Times New Roman" w:hAnsi="Times New Roman" w:cs="Times New Roman"/>
          <w:sz w:val="24"/>
          <w:szCs w:val="24"/>
        </w:rPr>
        <w:t>m</w:t>
      </w:r>
      <w:r>
        <w:rPr>
          <w:rFonts w:ascii="Times New Roman" w:hAnsi="Times New Roman" w:cs="Times New Roman"/>
          <w:sz w:val="24"/>
          <w:szCs w:val="24"/>
        </w:rPr>
        <w:t xml:space="preserve">ingly support specific programs within </w:t>
      </w:r>
      <w:r w:rsidR="00843961">
        <w:rPr>
          <w:rFonts w:ascii="Times New Roman" w:hAnsi="Times New Roman" w:cs="Times New Roman"/>
          <w:sz w:val="24"/>
          <w:szCs w:val="24"/>
        </w:rPr>
        <w:t>particular school</w:t>
      </w:r>
      <w:r w:rsidR="005B7EF1">
        <w:rPr>
          <w:rFonts w:ascii="Times New Roman" w:hAnsi="Times New Roman" w:cs="Times New Roman"/>
          <w:sz w:val="24"/>
          <w:szCs w:val="24"/>
        </w:rPr>
        <w:t>s</w:t>
      </w:r>
      <w:r w:rsidR="00974F27" w:rsidRPr="00F90CF3">
        <w:rPr>
          <w:rFonts w:ascii="Times New Roman" w:hAnsi="Times New Roman" w:cs="Times New Roman"/>
          <w:sz w:val="24"/>
          <w:szCs w:val="24"/>
        </w:rPr>
        <w:t>.</w:t>
      </w:r>
      <w:r w:rsidR="005B7EF1">
        <w:rPr>
          <w:rFonts w:ascii="Times New Roman" w:hAnsi="Times New Roman" w:cs="Times New Roman"/>
          <w:sz w:val="24"/>
          <w:szCs w:val="24"/>
        </w:rPr>
        <w:t xml:space="preserve"> Another feature of Table 1 that is readily apparent is that in all cases the average revenue figure is </w:t>
      </w:r>
      <w:r w:rsidR="000149D1">
        <w:rPr>
          <w:rFonts w:ascii="Times New Roman" w:hAnsi="Times New Roman" w:cs="Times New Roman"/>
          <w:sz w:val="24"/>
          <w:szCs w:val="24"/>
        </w:rPr>
        <w:t xml:space="preserve">larger </w:t>
      </w:r>
      <w:r w:rsidR="00974F27" w:rsidRPr="00F90CF3">
        <w:rPr>
          <w:rFonts w:ascii="Times New Roman" w:hAnsi="Times New Roman" w:cs="Times New Roman"/>
          <w:sz w:val="24"/>
          <w:szCs w:val="24"/>
        </w:rPr>
        <w:t xml:space="preserve"> </w:t>
      </w:r>
      <w:r w:rsidR="005B7EF1">
        <w:rPr>
          <w:rFonts w:ascii="Times New Roman" w:hAnsi="Times New Roman" w:cs="Times New Roman"/>
          <w:sz w:val="24"/>
          <w:szCs w:val="24"/>
        </w:rPr>
        <w:t xml:space="preserve"> </w:t>
      </w:r>
      <w:r w:rsidR="000149D1">
        <w:rPr>
          <w:rFonts w:ascii="Times New Roman" w:hAnsi="Times New Roman" w:cs="Times New Roman"/>
          <w:sz w:val="24"/>
          <w:szCs w:val="24"/>
        </w:rPr>
        <w:t>than the median--</w:t>
      </w:r>
      <w:r w:rsidR="005B7EF1">
        <w:rPr>
          <w:rFonts w:ascii="Times New Roman" w:hAnsi="Times New Roman" w:cs="Times New Roman"/>
          <w:sz w:val="24"/>
          <w:szCs w:val="24"/>
        </w:rPr>
        <w:t>The large differences in the mean and median revenues</w:t>
      </w:r>
      <w:r w:rsidR="00D542ED">
        <w:rPr>
          <w:rFonts w:ascii="Times New Roman" w:hAnsi="Times New Roman" w:cs="Times New Roman"/>
          <w:sz w:val="24"/>
          <w:szCs w:val="24"/>
        </w:rPr>
        <w:t xml:space="preserve">, especially for LEF’s, </w:t>
      </w:r>
      <w:r w:rsidR="005B7EF1">
        <w:rPr>
          <w:rFonts w:ascii="Times New Roman" w:hAnsi="Times New Roman" w:cs="Times New Roman"/>
          <w:sz w:val="24"/>
          <w:szCs w:val="24"/>
        </w:rPr>
        <w:t xml:space="preserve"> indicate</w:t>
      </w:r>
      <w:r w:rsidR="005B7EF1" w:rsidRPr="00536544">
        <w:rPr>
          <w:rFonts w:ascii="Times New Roman" w:hAnsi="Times New Roman" w:cs="Times New Roman"/>
          <w:sz w:val="24"/>
          <w:szCs w:val="24"/>
        </w:rPr>
        <w:t xml:space="preserve"> that a few </w:t>
      </w:r>
      <w:r w:rsidR="005B7EF1">
        <w:rPr>
          <w:rFonts w:ascii="Times New Roman" w:hAnsi="Times New Roman" w:cs="Times New Roman"/>
          <w:sz w:val="24"/>
          <w:szCs w:val="24"/>
        </w:rPr>
        <w:t>nonprofits</w:t>
      </w:r>
      <w:r w:rsidR="005B7EF1" w:rsidRPr="00536544">
        <w:rPr>
          <w:rFonts w:ascii="Times New Roman" w:hAnsi="Times New Roman" w:cs="Times New Roman"/>
          <w:sz w:val="24"/>
          <w:szCs w:val="24"/>
        </w:rPr>
        <w:t xml:space="preserve"> are able to raise large amounts of funds</w:t>
      </w:r>
      <w:r w:rsidR="00D542ED">
        <w:rPr>
          <w:rFonts w:ascii="Times New Roman" w:hAnsi="Times New Roman" w:cs="Times New Roman"/>
          <w:sz w:val="24"/>
          <w:szCs w:val="24"/>
        </w:rPr>
        <w:t>,</w:t>
      </w:r>
      <w:r w:rsidR="005B7EF1" w:rsidRPr="00536544">
        <w:rPr>
          <w:rFonts w:ascii="Times New Roman" w:hAnsi="Times New Roman" w:cs="Times New Roman"/>
          <w:sz w:val="24"/>
          <w:szCs w:val="24"/>
        </w:rPr>
        <w:t xml:space="preserve"> while most rais</w:t>
      </w:r>
      <w:r w:rsidR="00D542ED">
        <w:rPr>
          <w:rFonts w:ascii="Times New Roman" w:hAnsi="Times New Roman" w:cs="Times New Roman"/>
          <w:sz w:val="24"/>
          <w:szCs w:val="24"/>
        </w:rPr>
        <w:t>e</w:t>
      </w:r>
      <w:r w:rsidR="005B7EF1" w:rsidRPr="00536544">
        <w:rPr>
          <w:rFonts w:ascii="Times New Roman" w:hAnsi="Times New Roman" w:cs="Times New Roman"/>
          <w:sz w:val="24"/>
          <w:szCs w:val="24"/>
        </w:rPr>
        <w:t xml:space="preserve"> much lower level</w:t>
      </w:r>
      <w:r w:rsidR="000A308D">
        <w:rPr>
          <w:rFonts w:ascii="Times New Roman" w:hAnsi="Times New Roman" w:cs="Times New Roman"/>
          <w:sz w:val="24"/>
          <w:szCs w:val="24"/>
        </w:rPr>
        <w:t>s</w:t>
      </w:r>
      <w:r w:rsidR="005B7EF1" w:rsidRPr="00536544">
        <w:rPr>
          <w:rFonts w:ascii="Times New Roman" w:hAnsi="Times New Roman" w:cs="Times New Roman"/>
          <w:sz w:val="24"/>
          <w:szCs w:val="24"/>
        </w:rPr>
        <w:t xml:space="preserve">. </w:t>
      </w:r>
    </w:p>
    <w:p w:rsidR="003A175F" w:rsidRDefault="003A175F" w:rsidP="003A175F">
      <w:pPr>
        <w:pStyle w:val="ListParagraph"/>
        <w:spacing w:after="0" w:line="480" w:lineRule="auto"/>
        <w:ind w:left="0" w:firstLine="720"/>
        <w:jc w:val="center"/>
        <w:rPr>
          <w:rFonts w:ascii="Times New Roman" w:hAnsi="Times New Roman" w:cs="Times New Roman"/>
          <w:sz w:val="24"/>
          <w:szCs w:val="24"/>
        </w:rPr>
      </w:pPr>
    </w:p>
    <w:p w:rsidR="003A175F" w:rsidRDefault="003A175F" w:rsidP="003A175F">
      <w:pPr>
        <w:pStyle w:val="ListParagraph"/>
        <w:spacing w:after="0" w:line="480" w:lineRule="auto"/>
        <w:ind w:left="0" w:firstLine="720"/>
        <w:jc w:val="center"/>
        <w:rPr>
          <w:rFonts w:ascii="Times New Roman" w:hAnsi="Times New Roman" w:cs="Times New Roman"/>
          <w:sz w:val="24"/>
          <w:szCs w:val="24"/>
        </w:rPr>
      </w:pPr>
      <w:r w:rsidRPr="00843961">
        <w:rPr>
          <w:rFonts w:ascii="Times New Roman" w:hAnsi="Times New Roman" w:cs="Times New Roman"/>
          <w:sz w:val="24"/>
          <w:szCs w:val="24"/>
        </w:rPr>
        <w:t>Table</w:t>
      </w:r>
      <w:r>
        <w:rPr>
          <w:rFonts w:ascii="Times New Roman" w:hAnsi="Times New Roman" w:cs="Times New Roman"/>
          <w:sz w:val="24"/>
          <w:szCs w:val="24"/>
        </w:rPr>
        <w:t>s</w:t>
      </w:r>
      <w:r w:rsidRPr="00843961">
        <w:rPr>
          <w:rFonts w:ascii="Times New Roman" w:hAnsi="Times New Roman" w:cs="Times New Roman"/>
          <w:sz w:val="24"/>
          <w:szCs w:val="24"/>
        </w:rPr>
        <w:t xml:space="preserve"> 1 </w:t>
      </w:r>
      <w:r>
        <w:rPr>
          <w:rFonts w:ascii="Times New Roman" w:hAnsi="Times New Roman" w:cs="Times New Roman"/>
          <w:sz w:val="24"/>
          <w:szCs w:val="24"/>
        </w:rPr>
        <w:t xml:space="preserve">and 2 </w:t>
      </w:r>
      <w:r w:rsidRPr="00843961">
        <w:rPr>
          <w:rFonts w:ascii="Times New Roman" w:hAnsi="Times New Roman" w:cs="Times New Roman"/>
          <w:sz w:val="24"/>
          <w:szCs w:val="24"/>
        </w:rPr>
        <w:t>about here</w:t>
      </w:r>
    </w:p>
    <w:p w:rsidR="008976DD" w:rsidRDefault="008976DD" w:rsidP="00AE4911">
      <w:pPr>
        <w:pStyle w:val="ListParagraph"/>
        <w:spacing w:after="0" w:line="480" w:lineRule="auto"/>
        <w:ind w:left="0" w:firstLine="720"/>
        <w:jc w:val="both"/>
        <w:rPr>
          <w:rFonts w:ascii="Times New Roman" w:hAnsi="Times New Roman" w:cs="Times New Roman"/>
          <w:sz w:val="24"/>
          <w:szCs w:val="24"/>
        </w:rPr>
      </w:pPr>
    </w:p>
    <w:p w:rsidR="001E0A56" w:rsidRDefault="003A175F" w:rsidP="00AE491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entries in Table 2 report the same financial data but on a per-pupil basis.  The major effect of viewing the data this way is to show that PTA’s reach parity with LEF’s in fund-raising ability.  Remarkably, one LEF, the Truckee Charter School Foundation, raised $8780 for each of students. As is usually the case, extreme outliers are the product of special circumstances. It turns out that this foundation had received a $575,000 federal public charter school grant. These funds are to be used primarily to construct new facilities for a very new (2010 start date) and very small school. Another foundation, the Yosemite-Wawona </w:t>
      </w:r>
      <w:r w:rsidR="00AE4911">
        <w:rPr>
          <w:rFonts w:ascii="Times New Roman" w:hAnsi="Times New Roman" w:cs="Times New Roman"/>
          <w:sz w:val="24"/>
          <w:szCs w:val="24"/>
        </w:rPr>
        <w:t xml:space="preserve">Educational Foundation raised </w:t>
      </w:r>
      <w:r w:rsidR="00AE4911">
        <w:rPr>
          <w:rFonts w:ascii="Times New Roman" w:hAnsi="Times New Roman" w:cs="Times New Roman"/>
          <w:sz w:val="24"/>
          <w:szCs w:val="24"/>
        </w:rPr>
        <w:lastRenderedPageBreak/>
        <w:t xml:space="preserve">$54,225, which works out to $6778 for each of the 8 students enrolled in the school. The vast bulk of organizations raising money through voluntary contributions, however, achieve much more modest results. In the 2009-10 school year </w:t>
      </w:r>
      <w:r w:rsidR="005D3E3C" w:rsidRPr="00536544">
        <w:rPr>
          <w:rFonts w:ascii="Times New Roman" w:hAnsi="Times New Roman" w:cs="Times New Roman"/>
          <w:sz w:val="24"/>
          <w:szCs w:val="24"/>
        </w:rPr>
        <w:t>California spent $9</w:t>
      </w:r>
      <w:r w:rsidR="005D3E3C">
        <w:rPr>
          <w:rFonts w:ascii="Times New Roman" w:hAnsi="Times New Roman" w:cs="Times New Roman"/>
          <w:sz w:val="24"/>
          <w:szCs w:val="24"/>
        </w:rPr>
        <w:t>,</w:t>
      </w:r>
      <w:r w:rsidR="005D3E3C" w:rsidRPr="00536544">
        <w:rPr>
          <w:rFonts w:ascii="Times New Roman" w:hAnsi="Times New Roman" w:cs="Times New Roman"/>
          <w:sz w:val="24"/>
          <w:szCs w:val="24"/>
        </w:rPr>
        <w:t>375 per pupil</w:t>
      </w:r>
      <w:r w:rsidR="00AE4911">
        <w:rPr>
          <w:rFonts w:ascii="Times New Roman" w:hAnsi="Times New Roman" w:cs="Times New Roman"/>
          <w:sz w:val="24"/>
          <w:szCs w:val="24"/>
        </w:rPr>
        <w:t xml:space="preserve">. The $100-$200 per pupil they raise </w:t>
      </w:r>
      <w:r w:rsidR="00777F39">
        <w:rPr>
          <w:rFonts w:ascii="Times New Roman" w:hAnsi="Times New Roman" w:cs="Times New Roman"/>
          <w:sz w:val="24"/>
          <w:szCs w:val="24"/>
        </w:rPr>
        <w:t xml:space="preserve">thus </w:t>
      </w:r>
      <w:r w:rsidR="00AE4911">
        <w:rPr>
          <w:rFonts w:ascii="Times New Roman" w:hAnsi="Times New Roman" w:cs="Times New Roman"/>
          <w:sz w:val="24"/>
          <w:szCs w:val="24"/>
        </w:rPr>
        <w:t>amounts to 1-2% of average spending levels</w:t>
      </w:r>
      <w:r w:rsidR="00777F39">
        <w:rPr>
          <w:rFonts w:ascii="Times New Roman" w:hAnsi="Times New Roman" w:cs="Times New Roman"/>
          <w:sz w:val="24"/>
          <w:szCs w:val="24"/>
        </w:rPr>
        <w:t xml:space="preserve">, and we are considering here only those districts that receive voluntary contributions. Many districts receive none. </w:t>
      </w:r>
      <w:r w:rsidR="00AE4911">
        <w:rPr>
          <w:rFonts w:ascii="Times New Roman" w:hAnsi="Times New Roman" w:cs="Times New Roman"/>
          <w:sz w:val="24"/>
          <w:szCs w:val="24"/>
        </w:rPr>
        <w:t xml:space="preserve"> </w:t>
      </w:r>
    </w:p>
    <w:p w:rsidR="00D46BD9" w:rsidRDefault="00D81D07" w:rsidP="00AE491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Table 3 reports the corresponding total and per-pupil revenue figures for parcel taxes. As with voluntary contributions, average figures are considerably larger than medians. This means that there are a relatively small number of districts that raise considerably more revenue from parcel taxes, while most raise much more modest amounts. In general, districts that have parcel taxes raise much more revenue </w:t>
      </w:r>
      <w:r w:rsidR="00D46BD9">
        <w:rPr>
          <w:rFonts w:ascii="Times New Roman" w:hAnsi="Times New Roman" w:cs="Times New Roman"/>
          <w:sz w:val="24"/>
          <w:szCs w:val="24"/>
        </w:rPr>
        <w:t>through this mechanism than through voluntary contributions. On the other hand, there are only 93 school districts in California that collect parcel tax revenues, while about 450 receive at least some money in the form of voluntary contributions.</w:t>
      </w:r>
      <w:r>
        <w:rPr>
          <w:rFonts w:ascii="Times New Roman" w:hAnsi="Times New Roman" w:cs="Times New Roman"/>
          <w:sz w:val="24"/>
          <w:szCs w:val="24"/>
        </w:rPr>
        <w:t xml:space="preserve"> </w:t>
      </w:r>
      <w:r w:rsidR="00D46BD9">
        <w:rPr>
          <w:rFonts w:ascii="Times New Roman" w:hAnsi="Times New Roman" w:cs="Times New Roman"/>
          <w:sz w:val="24"/>
          <w:szCs w:val="24"/>
        </w:rPr>
        <w:t>As we have seen, furthermore, s</w:t>
      </w:r>
      <w:r w:rsidR="00AE4911">
        <w:rPr>
          <w:rFonts w:ascii="Times New Roman" w:hAnsi="Times New Roman" w:cs="Times New Roman"/>
          <w:sz w:val="24"/>
          <w:szCs w:val="24"/>
        </w:rPr>
        <w:t xml:space="preserve">ome organizations raise amounts of money that are far greater than average, and some schools and school districts have several organizations raising money. </w:t>
      </w:r>
    </w:p>
    <w:p w:rsidR="00D46BD9" w:rsidRDefault="00F56310" w:rsidP="00AE491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order </w:t>
      </w:r>
      <w:r w:rsidR="00AE4911">
        <w:rPr>
          <w:rFonts w:ascii="Times New Roman" w:hAnsi="Times New Roman" w:cs="Times New Roman"/>
          <w:sz w:val="24"/>
          <w:szCs w:val="24"/>
        </w:rPr>
        <w:t xml:space="preserve">to </w:t>
      </w:r>
      <w:r>
        <w:rPr>
          <w:rFonts w:ascii="Times New Roman" w:hAnsi="Times New Roman" w:cs="Times New Roman"/>
          <w:sz w:val="24"/>
          <w:szCs w:val="24"/>
        </w:rPr>
        <w:t xml:space="preserve">gain a clearer appreciation of the impact of voluntary contributions </w:t>
      </w:r>
      <w:r w:rsidR="00D46BD9">
        <w:rPr>
          <w:rFonts w:ascii="Times New Roman" w:hAnsi="Times New Roman" w:cs="Times New Roman"/>
          <w:sz w:val="24"/>
          <w:szCs w:val="24"/>
        </w:rPr>
        <w:t xml:space="preserve">vis-à-vis parcel taxes </w:t>
      </w:r>
      <w:r>
        <w:rPr>
          <w:rFonts w:ascii="Times New Roman" w:hAnsi="Times New Roman" w:cs="Times New Roman"/>
          <w:sz w:val="24"/>
          <w:szCs w:val="24"/>
        </w:rPr>
        <w:t>we aggregate the individual organizational voluntary contribution data to the school district level. We then seek to determine</w:t>
      </w:r>
      <w:r w:rsidR="00CD4A80">
        <w:rPr>
          <w:rFonts w:ascii="Times New Roman" w:hAnsi="Times New Roman" w:cs="Times New Roman"/>
          <w:sz w:val="24"/>
          <w:szCs w:val="24"/>
        </w:rPr>
        <w:t xml:space="preserve">, through regression analysis, the major </w:t>
      </w:r>
      <w:r>
        <w:rPr>
          <w:rFonts w:ascii="Times New Roman" w:hAnsi="Times New Roman" w:cs="Times New Roman"/>
          <w:sz w:val="24"/>
          <w:szCs w:val="24"/>
        </w:rPr>
        <w:t xml:space="preserve">factors </w:t>
      </w:r>
      <w:r w:rsidR="00CD4A80">
        <w:rPr>
          <w:rFonts w:ascii="Times New Roman" w:hAnsi="Times New Roman" w:cs="Times New Roman"/>
          <w:sz w:val="24"/>
          <w:szCs w:val="24"/>
        </w:rPr>
        <w:t xml:space="preserve">that </w:t>
      </w:r>
      <w:r>
        <w:rPr>
          <w:rFonts w:ascii="Times New Roman" w:hAnsi="Times New Roman" w:cs="Times New Roman"/>
          <w:sz w:val="24"/>
          <w:szCs w:val="24"/>
        </w:rPr>
        <w:t>account for why some districts benefit from much higher amounts of voluntary contributions</w:t>
      </w:r>
      <w:r w:rsidR="00CD4A80">
        <w:rPr>
          <w:rFonts w:ascii="Times New Roman" w:hAnsi="Times New Roman" w:cs="Times New Roman"/>
          <w:sz w:val="24"/>
          <w:szCs w:val="24"/>
        </w:rPr>
        <w:t xml:space="preserve"> than others</w:t>
      </w:r>
      <w:r>
        <w:rPr>
          <w:rFonts w:ascii="Times New Roman" w:hAnsi="Times New Roman" w:cs="Times New Roman"/>
          <w:sz w:val="24"/>
          <w:szCs w:val="24"/>
        </w:rPr>
        <w:t>.</w:t>
      </w:r>
      <w:r w:rsidR="00CD4A80">
        <w:rPr>
          <w:rFonts w:ascii="Times New Roman" w:hAnsi="Times New Roman" w:cs="Times New Roman"/>
          <w:sz w:val="24"/>
          <w:szCs w:val="24"/>
        </w:rPr>
        <w:t xml:space="preserve"> We also conduct a parallel regression analys</w:t>
      </w:r>
      <w:r w:rsidR="00D46BD9">
        <w:rPr>
          <w:rFonts w:ascii="Times New Roman" w:hAnsi="Times New Roman" w:cs="Times New Roman"/>
          <w:sz w:val="24"/>
          <w:szCs w:val="24"/>
        </w:rPr>
        <w:t>es</w:t>
      </w:r>
      <w:r w:rsidR="00CD4A80">
        <w:rPr>
          <w:rFonts w:ascii="Times New Roman" w:hAnsi="Times New Roman" w:cs="Times New Roman"/>
          <w:sz w:val="24"/>
          <w:szCs w:val="24"/>
        </w:rPr>
        <w:t xml:space="preserve"> to determine the factors that account for the highly differential impact of parcel taxes</w:t>
      </w:r>
      <w:r w:rsidR="00D46BD9">
        <w:rPr>
          <w:rFonts w:ascii="Times New Roman" w:hAnsi="Times New Roman" w:cs="Times New Roman"/>
          <w:sz w:val="24"/>
          <w:szCs w:val="24"/>
        </w:rPr>
        <w:t xml:space="preserve">, as well as for the total amount of money garnered from the combination of voluntary contributions and parcel taxes. </w:t>
      </w:r>
    </w:p>
    <w:p w:rsidR="00AE4911" w:rsidRDefault="00D46BD9" w:rsidP="00AE491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Previous research, combined with an appreciation of the basic principles of social science, points to a number of factors that should help us predict how much money people voluntarily contribute to their local school, as well as how likely residents of a school district are to vote additional taxes upon themselves for this cause. First, and paramount, is the ability to pay. More affluent citizens can be expected to contribute more</w:t>
      </w:r>
      <w:r w:rsidR="00F80683">
        <w:rPr>
          <w:rFonts w:ascii="Times New Roman" w:hAnsi="Times New Roman" w:cs="Times New Roman"/>
          <w:sz w:val="24"/>
          <w:szCs w:val="24"/>
        </w:rPr>
        <w:t>,</w:t>
      </w:r>
      <w:r>
        <w:rPr>
          <w:rFonts w:ascii="Times New Roman" w:hAnsi="Times New Roman" w:cs="Times New Roman"/>
          <w:sz w:val="24"/>
          <w:szCs w:val="24"/>
        </w:rPr>
        <w:t xml:space="preserve"> and </w:t>
      </w:r>
      <w:r w:rsidR="00F80683">
        <w:rPr>
          <w:rFonts w:ascii="Times New Roman" w:hAnsi="Times New Roman" w:cs="Times New Roman"/>
          <w:sz w:val="24"/>
          <w:szCs w:val="24"/>
        </w:rPr>
        <w:t xml:space="preserve">to be more willing to pay a given amount of taxes to support local schools (remember that a parcel tax imposes the same dollar amount of taxes regardless of the value of the parcel of property).  Secondly, Olson (1965) was the first but far from the last to observe that the extent of free-riding in financing public goods increases with the size of the group involved. Per pupil levels of voluntary contributions should thus fall as the size of the school district increases. Olson’s theory of public goods similarly holds that the </w:t>
      </w:r>
      <w:r w:rsidR="0090401B">
        <w:rPr>
          <w:rFonts w:ascii="Times New Roman" w:hAnsi="Times New Roman" w:cs="Times New Roman"/>
          <w:sz w:val="24"/>
          <w:szCs w:val="24"/>
        </w:rPr>
        <w:t xml:space="preserve">amount </w:t>
      </w:r>
      <w:r w:rsidR="00F80683">
        <w:rPr>
          <w:rFonts w:ascii="Times New Roman" w:hAnsi="Times New Roman" w:cs="Times New Roman"/>
          <w:sz w:val="24"/>
          <w:szCs w:val="24"/>
        </w:rPr>
        <w:t xml:space="preserve">of </w:t>
      </w:r>
      <w:r w:rsidR="0090401B">
        <w:rPr>
          <w:rFonts w:ascii="Times New Roman" w:hAnsi="Times New Roman" w:cs="Times New Roman"/>
          <w:sz w:val="24"/>
          <w:szCs w:val="24"/>
        </w:rPr>
        <w:t xml:space="preserve">money raised can greatly benefit from </w:t>
      </w:r>
      <w:r w:rsidR="00F80683">
        <w:rPr>
          <w:rFonts w:ascii="Times New Roman" w:hAnsi="Times New Roman" w:cs="Times New Roman"/>
          <w:sz w:val="24"/>
          <w:szCs w:val="24"/>
        </w:rPr>
        <w:t>contributions</w:t>
      </w:r>
      <w:r w:rsidR="0090401B">
        <w:rPr>
          <w:rFonts w:ascii="Times New Roman" w:hAnsi="Times New Roman" w:cs="Times New Roman"/>
          <w:sz w:val="24"/>
          <w:szCs w:val="24"/>
        </w:rPr>
        <w:t xml:space="preserve"> made by a small number of proponents with a high ability, and willingness, to contribute—what he calls “fat cat” provision. </w:t>
      </w:r>
      <w:r w:rsidR="00F80683">
        <w:rPr>
          <w:rFonts w:ascii="Times New Roman" w:hAnsi="Times New Roman" w:cs="Times New Roman"/>
          <w:sz w:val="24"/>
          <w:szCs w:val="24"/>
        </w:rPr>
        <w:t xml:space="preserve">Olson and other public choice theorists give no guidance as to whether or not support for parcel taxes should increase or decrease as a function of district enrollment numbers, </w:t>
      </w:r>
      <w:r w:rsidR="0090401B">
        <w:rPr>
          <w:rFonts w:ascii="Times New Roman" w:hAnsi="Times New Roman" w:cs="Times New Roman"/>
          <w:sz w:val="24"/>
          <w:szCs w:val="24"/>
        </w:rPr>
        <w:t>or with the likelihood of fat cat provision. B</w:t>
      </w:r>
      <w:r w:rsidR="00F80683">
        <w:rPr>
          <w:rFonts w:ascii="Times New Roman" w:hAnsi="Times New Roman" w:cs="Times New Roman"/>
          <w:sz w:val="24"/>
          <w:szCs w:val="24"/>
        </w:rPr>
        <w:t>ut th</w:t>
      </w:r>
      <w:r w:rsidR="0090401B">
        <w:rPr>
          <w:rFonts w:ascii="Times New Roman" w:hAnsi="Times New Roman" w:cs="Times New Roman"/>
          <w:sz w:val="24"/>
          <w:szCs w:val="24"/>
        </w:rPr>
        <w:t>ese</w:t>
      </w:r>
      <w:r w:rsidR="00F80683">
        <w:rPr>
          <w:rFonts w:ascii="Times New Roman" w:hAnsi="Times New Roman" w:cs="Times New Roman"/>
          <w:sz w:val="24"/>
          <w:szCs w:val="24"/>
        </w:rPr>
        <w:t xml:space="preserve"> of course </w:t>
      </w:r>
      <w:r w:rsidR="0090401B">
        <w:rPr>
          <w:rFonts w:ascii="Times New Roman" w:hAnsi="Times New Roman" w:cs="Times New Roman"/>
          <w:sz w:val="24"/>
          <w:szCs w:val="24"/>
        </w:rPr>
        <w:t xml:space="preserve">are </w:t>
      </w:r>
      <w:r w:rsidR="00F80683">
        <w:rPr>
          <w:rFonts w:ascii="Times New Roman" w:hAnsi="Times New Roman" w:cs="Times New Roman"/>
          <w:sz w:val="24"/>
          <w:szCs w:val="24"/>
        </w:rPr>
        <w:t xml:space="preserve">matter than can be empirically estimated. </w:t>
      </w:r>
    </w:p>
    <w:p w:rsidR="0090401B" w:rsidRDefault="0090401B" w:rsidP="00AE491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It is also important to take into account the basic demographic profile of </w:t>
      </w:r>
      <w:r w:rsidR="00912CC6">
        <w:rPr>
          <w:rFonts w:ascii="Times New Roman" w:hAnsi="Times New Roman" w:cs="Times New Roman"/>
          <w:sz w:val="24"/>
          <w:szCs w:val="24"/>
        </w:rPr>
        <w:t xml:space="preserve">school </w:t>
      </w:r>
      <w:r>
        <w:rPr>
          <w:rFonts w:ascii="Times New Roman" w:hAnsi="Times New Roman" w:cs="Times New Roman"/>
          <w:sz w:val="24"/>
          <w:szCs w:val="24"/>
        </w:rPr>
        <w:t>districts</w:t>
      </w:r>
      <w:r w:rsidR="00912CC6">
        <w:rPr>
          <w:rFonts w:ascii="Times New Roman" w:hAnsi="Times New Roman" w:cs="Times New Roman"/>
          <w:sz w:val="24"/>
          <w:szCs w:val="24"/>
        </w:rPr>
        <w:t>.</w:t>
      </w:r>
      <w:r>
        <w:rPr>
          <w:rFonts w:ascii="Times New Roman" w:hAnsi="Times New Roman" w:cs="Times New Roman"/>
          <w:sz w:val="24"/>
          <w:szCs w:val="24"/>
        </w:rPr>
        <w:t xml:space="preserve"> </w:t>
      </w:r>
      <w:r w:rsidR="00912CC6">
        <w:rPr>
          <w:rFonts w:ascii="Times New Roman" w:hAnsi="Times New Roman" w:cs="Times New Roman"/>
          <w:sz w:val="24"/>
          <w:szCs w:val="24"/>
        </w:rPr>
        <w:t xml:space="preserve">Some have relatively large numbers of children, which we expect to encourage both voluntary contributions </w:t>
      </w:r>
      <w:r w:rsidR="00616688">
        <w:rPr>
          <w:rFonts w:ascii="Times New Roman" w:hAnsi="Times New Roman" w:cs="Times New Roman"/>
          <w:sz w:val="24"/>
          <w:szCs w:val="24"/>
        </w:rPr>
        <w:t xml:space="preserve">and support for parcel taxes. In districts with relatively large numbers of older citizens, public </w:t>
      </w:r>
      <w:r>
        <w:rPr>
          <w:rFonts w:ascii="Times New Roman" w:hAnsi="Times New Roman" w:cs="Times New Roman"/>
          <w:sz w:val="24"/>
          <w:szCs w:val="24"/>
        </w:rPr>
        <w:t xml:space="preserve">schools </w:t>
      </w:r>
      <w:r w:rsidR="00616688">
        <w:rPr>
          <w:rFonts w:ascii="Times New Roman" w:hAnsi="Times New Roman" w:cs="Times New Roman"/>
          <w:sz w:val="24"/>
          <w:szCs w:val="24"/>
        </w:rPr>
        <w:t>may be assigned</w:t>
      </w:r>
      <w:r>
        <w:rPr>
          <w:rFonts w:ascii="Times New Roman" w:hAnsi="Times New Roman" w:cs="Times New Roman"/>
          <w:sz w:val="24"/>
          <w:szCs w:val="24"/>
        </w:rPr>
        <w:t xml:space="preserve"> a lower priority.</w:t>
      </w:r>
      <w:r w:rsidR="00616688">
        <w:rPr>
          <w:rFonts w:ascii="Times New Roman" w:hAnsi="Times New Roman" w:cs="Times New Roman"/>
          <w:sz w:val="24"/>
          <w:szCs w:val="24"/>
        </w:rPr>
        <w:t xml:space="preserve"> As observed earlier, proposals for parcel taxes tend to exclude property owners who are over 65, reflecting a presumption that such individuals would otherwise tend to oppose parcel tax levies.</w:t>
      </w:r>
      <w:r>
        <w:rPr>
          <w:rFonts w:ascii="Times New Roman" w:hAnsi="Times New Roman" w:cs="Times New Roman"/>
          <w:sz w:val="24"/>
          <w:szCs w:val="24"/>
        </w:rPr>
        <w:t xml:space="preserve"> </w:t>
      </w:r>
    </w:p>
    <w:p w:rsidR="00616688" w:rsidRDefault="00616688" w:rsidP="00AE491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Some additional variables that need to be considered derive from the fact that supplemental revenue that school districts derive from one source necessarily affects the amount of supplemental revenue derived from other sources. In the large majority of school districts in California, local property tax revenue is insufficient to reach the statutory revenue limit, and so their budgets are topped off with money received from the state. There are, however, currently 125 school districts in California that generate more local property tax revenue </w:t>
      </w:r>
      <w:r w:rsidR="005B54C6">
        <w:rPr>
          <w:rFonts w:ascii="Times New Roman" w:hAnsi="Times New Roman" w:cs="Times New Roman"/>
          <w:sz w:val="24"/>
          <w:szCs w:val="24"/>
        </w:rPr>
        <w:t xml:space="preserve">than is needed to reach the revenue limit, and they are allowed to retain this “excess” revenue. For many the excess is not excessive—less than a thousand dollars per pupil. For a small number of small, elementary school districts, excess revenue exceeds the revenue limit by more than 400% (Weston 2013). We would expect, though, that the greater the amount of excess revenue generated by the property tax in basic aid districts, the less revenue they will generate, holding all else constant, from voluntary contributions or parcel taxes.  </w:t>
      </w:r>
    </w:p>
    <w:p w:rsidR="00616688" w:rsidRDefault="005B54C6" w:rsidP="00AE491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As for the interplay between voluntary contributions and parcel taxes, there are competing hypotheses to be entertained. There is plenty of reason to expect them to be substitutes. In districts that have succeeded in putting a parcel tax in place, </w:t>
      </w:r>
      <w:r w:rsidR="004D14AF">
        <w:rPr>
          <w:rFonts w:ascii="Times New Roman" w:hAnsi="Times New Roman" w:cs="Times New Roman"/>
          <w:sz w:val="24"/>
          <w:szCs w:val="24"/>
        </w:rPr>
        <w:t xml:space="preserve">residents may be less receptive to appeals for voluntary contributions. But they might well be complementary.  Journalistic accounts of successful parcel tax campaigns frequently credit the PTA or local education foundation as a crucial source of campaign contributions and volunteer labor.  </w:t>
      </w:r>
      <w:r>
        <w:rPr>
          <w:rFonts w:ascii="Times New Roman" w:hAnsi="Times New Roman" w:cs="Times New Roman"/>
          <w:sz w:val="24"/>
          <w:szCs w:val="24"/>
        </w:rPr>
        <w:t xml:space="preserve">  </w:t>
      </w:r>
    </w:p>
    <w:p w:rsidR="0090401B" w:rsidRPr="00777F39" w:rsidRDefault="0090401B" w:rsidP="009040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estimate the impact of these various factors on voluntary contribution levels, revenue raised through parcel taxes, and, finally, by the combination of both these mechanisms, we </w:t>
      </w:r>
      <w:r w:rsidRPr="00777F39">
        <w:rPr>
          <w:rFonts w:ascii="Times New Roman" w:hAnsi="Times New Roman" w:cs="Times New Roman"/>
          <w:sz w:val="24"/>
          <w:szCs w:val="24"/>
        </w:rPr>
        <w:t>estimat</w:t>
      </w:r>
      <w:r>
        <w:rPr>
          <w:rFonts w:ascii="Times New Roman" w:hAnsi="Times New Roman" w:cs="Times New Roman"/>
          <w:sz w:val="24"/>
          <w:szCs w:val="24"/>
        </w:rPr>
        <w:t>e</w:t>
      </w:r>
      <w:r w:rsidRPr="00777F39">
        <w:rPr>
          <w:rFonts w:ascii="Times New Roman" w:hAnsi="Times New Roman" w:cs="Times New Roman"/>
          <w:sz w:val="24"/>
          <w:szCs w:val="24"/>
        </w:rPr>
        <w:t xml:space="preserve"> </w:t>
      </w:r>
      <w:r w:rsidR="004D14AF">
        <w:rPr>
          <w:rFonts w:ascii="Times New Roman" w:hAnsi="Times New Roman" w:cs="Times New Roman"/>
          <w:sz w:val="24"/>
          <w:szCs w:val="24"/>
        </w:rPr>
        <w:t xml:space="preserve">three </w:t>
      </w:r>
      <w:r>
        <w:rPr>
          <w:rFonts w:ascii="Times New Roman" w:hAnsi="Times New Roman" w:cs="Times New Roman"/>
          <w:sz w:val="24"/>
          <w:szCs w:val="24"/>
        </w:rPr>
        <w:t>simple regression equation</w:t>
      </w:r>
      <w:r w:rsidR="004D14AF">
        <w:rPr>
          <w:rFonts w:ascii="Times New Roman" w:hAnsi="Times New Roman" w:cs="Times New Roman"/>
          <w:sz w:val="24"/>
          <w:szCs w:val="24"/>
        </w:rPr>
        <w:t>s</w:t>
      </w:r>
      <w:r>
        <w:rPr>
          <w:rFonts w:ascii="Times New Roman" w:hAnsi="Times New Roman" w:cs="Times New Roman"/>
          <w:sz w:val="24"/>
          <w:szCs w:val="24"/>
        </w:rPr>
        <w:t xml:space="preserve"> </w:t>
      </w:r>
      <w:r w:rsidRPr="00777F39">
        <w:rPr>
          <w:rFonts w:ascii="Times New Roman" w:hAnsi="Times New Roman" w:cs="Times New Roman"/>
          <w:sz w:val="24"/>
          <w:szCs w:val="24"/>
        </w:rPr>
        <w:t xml:space="preserve">of the following form:                                    </w:t>
      </w:r>
    </w:p>
    <w:p w:rsidR="0090401B" w:rsidRPr="004D14AF" w:rsidRDefault="0090401B" w:rsidP="004D14AF">
      <w:pPr>
        <w:spacing w:line="480" w:lineRule="auto"/>
        <w:ind w:left="1440" w:firstLine="720"/>
        <w:rPr>
          <w:rFonts w:ascii="Times New Roman" w:hAnsi="Times New Roman" w:cs="Times New Roman"/>
          <w:sz w:val="24"/>
          <w:szCs w:val="24"/>
        </w:rPr>
      </w:pPr>
      <w:r w:rsidRPr="00FB2BAD">
        <w:rPr>
          <w:rFonts w:ascii="Times New Roman" w:hAnsi="Times New Roman" w:cs="Times New Roman"/>
          <w:sz w:val="28"/>
          <w:szCs w:val="28"/>
        </w:rPr>
        <w:t>Y</w:t>
      </w:r>
      <w:r w:rsidRPr="00FB2BAD">
        <w:rPr>
          <w:rFonts w:ascii="Times New Roman" w:hAnsi="Times New Roman" w:cs="Times New Roman"/>
          <w:i/>
          <w:sz w:val="28"/>
          <w:szCs w:val="28"/>
          <w:vertAlign w:val="subscript"/>
        </w:rPr>
        <w:t>i</w:t>
      </w:r>
      <w:r w:rsidRPr="00FB2BAD">
        <w:rPr>
          <w:rFonts w:ascii="Times New Roman" w:hAnsi="Times New Roman" w:cs="Times New Roman"/>
          <w:sz w:val="28"/>
          <w:szCs w:val="28"/>
          <w:vertAlign w:val="subscript"/>
        </w:rPr>
        <w:t xml:space="preserve"> </w:t>
      </w:r>
      <w:r w:rsidRPr="00FB2BAD">
        <w:rPr>
          <w:rFonts w:ascii="Times New Roman" w:hAnsi="Times New Roman" w:cs="Times New Roman"/>
          <w:sz w:val="28"/>
          <w:szCs w:val="28"/>
        </w:rPr>
        <w:t xml:space="preserve"> =  α + βX</w:t>
      </w:r>
      <w:r w:rsidRPr="00FB2BAD">
        <w:rPr>
          <w:rFonts w:ascii="Times New Roman" w:hAnsi="Times New Roman" w:cs="Times New Roman"/>
          <w:i/>
          <w:sz w:val="28"/>
          <w:szCs w:val="28"/>
          <w:vertAlign w:val="subscript"/>
        </w:rPr>
        <w:t>i</w:t>
      </w:r>
      <w:r w:rsidRPr="00FB2BAD">
        <w:rPr>
          <w:rFonts w:ascii="Times New Roman" w:hAnsi="Times New Roman" w:cs="Times New Roman"/>
          <w:sz w:val="28"/>
          <w:szCs w:val="28"/>
        </w:rPr>
        <w:t xml:space="preserve"> + γZ</w:t>
      </w:r>
      <w:r w:rsidRPr="00FB2BAD">
        <w:rPr>
          <w:rFonts w:ascii="Times New Roman" w:hAnsi="Times New Roman" w:cs="Times New Roman"/>
          <w:i/>
          <w:sz w:val="28"/>
          <w:szCs w:val="28"/>
          <w:vertAlign w:val="subscript"/>
        </w:rPr>
        <w:t>i</w:t>
      </w:r>
      <w:r w:rsidRPr="00FB2BAD">
        <w:rPr>
          <w:rFonts w:ascii="Times New Roman" w:hAnsi="Times New Roman" w:cs="Times New Roman"/>
          <w:sz w:val="28"/>
          <w:szCs w:val="28"/>
          <w:vertAlign w:val="subscript"/>
        </w:rPr>
        <w:t xml:space="preserve"> </w:t>
      </w:r>
      <w:r w:rsidRPr="00FB2BAD">
        <w:rPr>
          <w:rFonts w:ascii="Times New Roman" w:hAnsi="Times New Roman" w:cs="Times New Roman"/>
          <w:sz w:val="28"/>
          <w:szCs w:val="28"/>
        </w:rPr>
        <w:t>+ ε</w:t>
      </w:r>
      <w:r w:rsidRPr="00FB2BAD">
        <w:rPr>
          <w:rFonts w:ascii="Times New Roman" w:hAnsi="Times New Roman" w:cs="Times New Roman"/>
          <w:i/>
          <w:sz w:val="28"/>
          <w:szCs w:val="28"/>
          <w:vertAlign w:val="subscript"/>
        </w:rPr>
        <w:t>i</w:t>
      </w:r>
      <w:r w:rsidRPr="00777F39">
        <w:rPr>
          <w:rFonts w:ascii="Times New Roman" w:hAnsi="Times New Roman" w:cs="Times New Roman"/>
          <w:i/>
          <w:sz w:val="24"/>
          <w:szCs w:val="24"/>
          <w:vertAlign w:val="subscript"/>
        </w:rPr>
        <w:t xml:space="preserve">                                         </w:t>
      </w:r>
    </w:p>
    <w:p w:rsidR="004D14AF" w:rsidRDefault="004D14AF" w:rsidP="004D14A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where:</w:t>
      </w:r>
    </w:p>
    <w:p w:rsidR="004D14AF" w:rsidRDefault="004D14AF" w:rsidP="004D14AF">
      <w:pPr>
        <w:spacing w:after="0" w:line="480" w:lineRule="auto"/>
        <w:jc w:val="both"/>
        <w:rPr>
          <w:rFonts w:ascii="Times New Roman" w:hAnsi="Times New Roman" w:cs="Times New Roman"/>
          <w:sz w:val="24"/>
          <w:szCs w:val="24"/>
        </w:rPr>
      </w:pPr>
      <w:r w:rsidRPr="004D14AF">
        <w:rPr>
          <w:rFonts w:ascii="Times New Roman" w:hAnsi="Times New Roman" w:cs="Times New Roman"/>
          <w:i/>
          <w:sz w:val="28"/>
          <w:szCs w:val="28"/>
        </w:rPr>
        <w:lastRenderedPageBreak/>
        <w:t>Y</w:t>
      </w:r>
      <w:r w:rsidRPr="004D14AF">
        <w:rPr>
          <w:rFonts w:ascii="Times New Roman" w:hAnsi="Times New Roman" w:cs="Times New Roman"/>
          <w:i/>
          <w:sz w:val="28"/>
          <w:szCs w:val="28"/>
          <w:vertAlign w:val="subscript"/>
        </w:rPr>
        <w:t xml:space="preserve">i </w:t>
      </w:r>
      <w:r>
        <w:rPr>
          <w:rFonts w:ascii="Times New Roman" w:hAnsi="Times New Roman" w:cs="Times New Roman"/>
          <w:i/>
          <w:sz w:val="28"/>
          <w:szCs w:val="28"/>
          <w:vertAlign w:val="subscript"/>
        </w:rPr>
        <w:t xml:space="preserve"> </w:t>
      </w:r>
      <w:r>
        <w:rPr>
          <w:rFonts w:ascii="Times New Roman" w:hAnsi="Times New Roman" w:cs="Times New Roman"/>
          <w:sz w:val="24"/>
          <w:szCs w:val="24"/>
        </w:rPr>
        <w:t xml:space="preserve"> =  the amount of per-pupil revenue produced </w:t>
      </w:r>
      <w:r w:rsidR="005C6AAD">
        <w:rPr>
          <w:rFonts w:ascii="Times New Roman" w:hAnsi="Times New Roman" w:cs="Times New Roman"/>
          <w:sz w:val="24"/>
          <w:szCs w:val="24"/>
        </w:rPr>
        <w:t xml:space="preserve">in each school district </w:t>
      </w:r>
      <w:r>
        <w:rPr>
          <w:rFonts w:ascii="Times New Roman" w:hAnsi="Times New Roman" w:cs="Times New Roman"/>
          <w:sz w:val="24"/>
          <w:szCs w:val="24"/>
        </w:rPr>
        <w:t xml:space="preserve">by voluntary contributions, the amount of per-pupil revenue derived from parcel taxes, and the combination of contributions and parcel taxes in the first, second, and third equation, respectively. </w:t>
      </w:r>
    </w:p>
    <w:p w:rsidR="004D14AF" w:rsidRPr="004D14AF" w:rsidRDefault="004D14AF" w:rsidP="004D14AF">
      <w:pPr>
        <w:spacing w:after="0" w:line="480" w:lineRule="auto"/>
        <w:jc w:val="both"/>
        <w:rPr>
          <w:rFonts w:ascii="Times New Roman" w:hAnsi="Times New Roman" w:cs="Times New Roman"/>
          <w:sz w:val="24"/>
          <w:szCs w:val="24"/>
        </w:rPr>
      </w:pPr>
      <w:r w:rsidRPr="004D14AF">
        <w:rPr>
          <w:rFonts w:ascii="Times New Roman" w:hAnsi="Times New Roman" w:cs="Times New Roman"/>
          <w:i/>
          <w:sz w:val="28"/>
          <w:szCs w:val="28"/>
        </w:rPr>
        <w:t>X</w:t>
      </w:r>
      <w:r w:rsidRPr="004D14AF">
        <w:rPr>
          <w:rFonts w:ascii="Times New Roman" w:hAnsi="Times New Roman" w:cs="Times New Roman"/>
          <w:i/>
          <w:sz w:val="28"/>
          <w:szCs w:val="28"/>
          <w:vertAlign w:val="subscript"/>
        </w:rPr>
        <w:t>i</w:t>
      </w:r>
      <w:r>
        <w:rPr>
          <w:rFonts w:ascii="Times New Roman" w:hAnsi="Times New Roman" w:cs="Times New Roman"/>
          <w:i/>
          <w:sz w:val="28"/>
          <w:szCs w:val="28"/>
          <w:vertAlign w:val="subscript"/>
        </w:rPr>
        <w:t xml:space="preserve"> </w:t>
      </w:r>
      <w:r>
        <w:rPr>
          <w:rFonts w:ascii="Times New Roman" w:hAnsi="Times New Roman" w:cs="Times New Roman"/>
          <w:sz w:val="28"/>
          <w:szCs w:val="28"/>
        </w:rPr>
        <w:t xml:space="preserve"> </w:t>
      </w:r>
      <w:r>
        <w:rPr>
          <w:rFonts w:ascii="Times New Roman" w:hAnsi="Times New Roman" w:cs="Times New Roman"/>
          <w:sz w:val="24"/>
          <w:szCs w:val="24"/>
        </w:rPr>
        <w:t>=  a set of variables predicting per-pupil amounts of supplementary revenue. These variables include</w:t>
      </w:r>
      <w:r w:rsidR="005C6AAD">
        <w:rPr>
          <w:rFonts w:ascii="Times New Roman" w:hAnsi="Times New Roman" w:cs="Times New Roman"/>
          <w:sz w:val="24"/>
          <w:szCs w:val="24"/>
        </w:rPr>
        <w:t>:</w:t>
      </w:r>
      <w:r>
        <w:rPr>
          <w:rFonts w:ascii="Times New Roman" w:hAnsi="Times New Roman" w:cs="Times New Roman"/>
          <w:sz w:val="24"/>
          <w:szCs w:val="24"/>
        </w:rPr>
        <w:t xml:space="preserve">   </w:t>
      </w:r>
    </w:p>
    <w:p w:rsidR="00AE4911" w:rsidRDefault="00B657B5" w:rsidP="00C22F7F">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Median family </w:t>
      </w:r>
      <w:r w:rsidR="005C6AAD">
        <w:rPr>
          <w:rFonts w:ascii="Times New Roman" w:hAnsi="Times New Roman" w:cs="Times New Roman"/>
          <w:sz w:val="24"/>
          <w:szCs w:val="24"/>
        </w:rPr>
        <w:t>income in the school district</w:t>
      </w:r>
      <w:r>
        <w:rPr>
          <w:rFonts w:ascii="Times New Roman" w:hAnsi="Times New Roman" w:cs="Times New Roman"/>
          <w:sz w:val="24"/>
          <w:szCs w:val="24"/>
        </w:rPr>
        <w:t xml:space="preserve"> (measured in 2011 dollars). </w:t>
      </w:r>
      <w:r w:rsidR="005C6AAD">
        <w:rPr>
          <w:rFonts w:ascii="Times New Roman" w:hAnsi="Times New Roman" w:cs="Times New Roman"/>
          <w:sz w:val="24"/>
          <w:szCs w:val="24"/>
        </w:rPr>
        <w:t xml:space="preserve">Higher income levels are hypothesized to generate more revenue from voluntary contributions and from parcel taxes. </w:t>
      </w:r>
      <w:r w:rsidR="00A81EE8">
        <w:rPr>
          <w:rFonts w:ascii="Times New Roman" w:hAnsi="Times New Roman" w:cs="Times New Roman"/>
          <w:sz w:val="24"/>
          <w:szCs w:val="24"/>
        </w:rPr>
        <w:t xml:space="preserve">   </w:t>
      </w:r>
    </w:p>
    <w:p w:rsidR="00C22F7F" w:rsidRPr="005C6AAD" w:rsidRDefault="005C6AAD" w:rsidP="00C22F7F">
      <w:pPr>
        <w:pStyle w:val="ListParagraph"/>
        <w:numPr>
          <w:ilvl w:val="0"/>
          <w:numId w:val="4"/>
        </w:numPr>
        <w:spacing w:after="0" w:line="480" w:lineRule="auto"/>
        <w:rPr>
          <w:rFonts w:ascii="Times New Roman" w:hAnsi="Times New Roman" w:cs="Times New Roman"/>
          <w:sz w:val="24"/>
          <w:szCs w:val="24"/>
        </w:rPr>
      </w:pPr>
      <w:r w:rsidRPr="005C6AAD">
        <w:rPr>
          <w:rFonts w:ascii="Times New Roman" w:hAnsi="Times New Roman" w:cs="Times New Roman"/>
          <w:sz w:val="24"/>
          <w:szCs w:val="24"/>
        </w:rPr>
        <w:t xml:space="preserve">The log of district enrollment. Districts with relatively small numbers of students are expected to garner more </w:t>
      </w:r>
      <w:r>
        <w:rPr>
          <w:rFonts w:ascii="Times New Roman" w:hAnsi="Times New Roman" w:cs="Times New Roman"/>
          <w:sz w:val="24"/>
          <w:szCs w:val="24"/>
        </w:rPr>
        <w:t xml:space="preserve">voluntary contributions </w:t>
      </w:r>
      <w:r w:rsidRPr="005C6AAD">
        <w:rPr>
          <w:rFonts w:ascii="Times New Roman" w:hAnsi="Times New Roman" w:cs="Times New Roman"/>
          <w:sz w:val="24"/>
          <w:szCs w:val="24"/>
        </w:rPr>
        <w:t>per pupil.</w:t>
      </w:r>
      <w:r>
        <w:rPr>
          <w:rFonts w:ascii="Times New Roman" w:hAnsi="Times New Roman" w:cs="Times New Roman"/>
          <w:sz w:val="24"/>
          <w:szCs w:val="24"/>
        </w:rPr>
        <w:t xml:space="preserve"> No relationship with parcel taxes is hypothesized. </w:t>
      </w:r>
      <w:r w:rsidRPr="005C6AAD">
        <w:rPr>
          <w:rFonts w:ascii="Times New Roman" w:hAnsi="Times New Roman" w:cs="Times New Roman"/>
          <w:sz w:val="24"/>
          <w:szCs w:val="24"/>
        </w:rPr>
        <w:t xml:space="preserve">  </w:t>
      </w:r>
    </w:p>
    <w:p w:rsidR="00C22F7F" w:rsidRPr="005C6AAD" w:rsidRDefault="00827C52" w:rsidP="00C22F7F">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C22F7F" w:rsidRPr="005C6AAD">
        <w:rPr>
          <w:rFonts w:ascii="Times New Roman" w:hAnsi="Times New Roman" w:cs="Times New Roman"/>
          <w:sz w:val="24"/>
          <w:szCs w:val="24"/>
        </w:rPr>
        <w:t>he Gini Index</w:t>
      </w:r>
      <w:r w:rsidR="005C6AAD" w:rsidRPr="005C6AAD">
        <w:rPr>
          <w:rFonts w:ascii="Times New Roman" w:hAnsi="Times New Roman" w:cs="Times New Roman"/>
          <w:sz w:val="24"/>
          <w:szCs w:val="24"/>
        </w:rPr>
        <w:t xml:space="preserve">, which is an indicator of income inequality. A higher index number is indicative of the presence of more high income individuals who are potential “fat cat” providers of voluntary contributions. </w:t>
      </w:r>
      <w:r w:rsidR="005C6AAD">
        <w:rPr>
          <w:rFonts w:ascii="Times New Roman" w:hAnsi="Times New Roman" w:cs="Times New Roman"/>
          <w:sz w:val="24"/>
          <w:szCs w:val="24"/>
        </w:rPr>
        <w:t xml:space="preserve">No relationship with parcel taxes is hypothesized. </w:t>
      </w:r>
    </w:p>
    <w:p w:rsidR="00B657B5" w:rsidRDefault="00827C52" w:rsidP="00C22F7F">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C22F7F" w:rsidRPr="00C22F7F">
        <w:rPr>
          <w:rFonts w:ascii="Times New Roman" w:hAnsi="Times New Roman" w:cs="Times New Roman"/>
          <w:sz w:val="24"/>
          <w:szCs w:val="24"/>
        </w:rPr>
        <w:t>he percent of the population in the district that is ages 5 to 17</w:t>
      </w:r>
      <w:r w:rsidR="005C6AAD">
        <w:rPr>
          <w:rFonts w:ascii="Times New Roman" w:hAnsi="Times New Roman" w:cs="Times New Roman"/>
          <w:sz w:val="24"/>
          <w:szCs w:val="24"/>
        </w:rPr>
        <w:t xml:space="preserve">, which should be conducive to more voluntary contributions and parcel tax revenue. </w:t>
      </w:r>
      <w:r w:rsidR="00C22F7F" w:rsidRPr="00C22F7F">
        <w:rPr>
          <w:rFonts w:ascii="Times New Roman" w:hAnsi="Times New Roman" w:cs="Times New Roman"/>
          <w:sz w:val="24"/>
          <w:szCs w:val="24"/>
        </w:rPr>
        <w:t xml:space="preserve"> </w:t>
      </w:r>
    </w:p>
    <w:p w:rsidR="00C22F7F" w:rsidRDefault="00B657B5" w:rsidP="00C22F7F">
      <w:pPr>
        <w:pStyle w:val="ListParagraph"/>
        <w:numPr>
          <w:ilvl w:val="0"/>
          <w:numId w:val="4"/>
        </w:numPr>
        <w:spacing w:after="0" w:line="480" w:lineRule="auto"/>
        <w:rPr>
          <w:rFonts w:ascii="Times New Roman" w:hAnsi="Times New Roman" w:cs="Times New Roman"/>
          <w:sz w:val="24"/>
          <w:szCs w:val="24"/>
        </w:rPr>
      </w:pPr>
      <w:r w:rsidRPr="00B657B5">
        <w:rPr>
          <w:rFonts w:ascii="Times New Roman" w:hAnsi="Times New Roman" w:cs="Times New Roman"/>
          <w:sz w:val="24"/>
          <w:szCs w:val="24"/>
        </w:rPr>
        <w:t xml:space="preserve">The percent of the population </w:t>
      </w:r>
      <w:r>
        <w:rPr>
          <w:rFonts w:ascii="Times New Roman" w:hAnsi="Times New Roman" w:cs="Times New Roman"/>
          <w:sz w:val="24"/>
          <w:szCs w:val="24"/>
        </w:rPr>
        <w:t xml:space="preserve">in the district </w:t>
      </w:r>
      <w:r w:rsidRPr="00B657B5">
        <w:rPr>
          <w:rFonts w:ascii="Times New Roman" w:hAnsi="Times New Roman" w:cs="Times New Roman"/>
          <w:sz w:val="24"/>
          <w:szCs w:val="24"/>
        </w:rPr>
        <w:t xml:space="preserve">that is over 65, which should discourage the collection of both voluntary contributions and parcel taxes. </w:t>
      </w:r>
    </w:p>
    <w:p w:rsidR="00A50074" w:rsidRDefault="00A50074" w:rsidP="00A50074">
      <w:pPr>
        <w:spacing w:after="0" w:line="480" w:lineRule="auto"/>
        <w:rPr>
          <w:rFonts w:ascii="Times New Roman" w:hAnsi="Times New Roman" w:cs="Times New Roman"/>
          <w:sz w:val="24"/>
          <w:szCs w:val="24"/>
        </w:rPr>
      </w:pPr>
      <w:r w:rsidRPr="00A50074">
        <w:rPr>
          <w:rFonts w:ascii="Times New Roman" w:hAnsi="Times New Roman" w:cs="Times New Roman"/>
          <w:i/>
          <w:sz w:val="28"/>
          <w:szCs w:val="28"/>
        </w:rPr>
        <w:t>Z</w:t>
      </w:r>
      <w:r w:rsidRPr="00A50074">
        <w:rPr>
          <w:rFonts w:ascii="Times New Roman" w:hAnsi="Times New Roman" w:cs="Times New Roman"/>
          <w:i/>
          <w:sz w:val="28"/>
          <w:szCs w:val="28"/>
          <w:vertAlign w:val="subscript"/>
        </w:rPr>
        <w:t xml:space="preserve">i </w:t>
      </w:r>
      <w:r>
        <w:rPr>
          <w:rFonts w:ascii="Times New Roman" w:hAnsi="Times New Roman" w:cs="Times New Roman"/>
          <w:sz w:val="28"/>
          <w:szCs w:val="28"/>
        </w:rPr>
        <w:t xml:space="preserve"> </w:t>
      </w:r>
      <w:r>
        <w:rPr>
          <w:rFonts w:ascii="Times New Roman" w:hAnsi="Times New Roman" w:cs="Times New Roman"/>
          <w:sz w:val="24"/>
          <w:szCs w:val="24"/>
        </w:rPr>
        <w:t xml:space="preserve">=  variables that register the effect of the different sources of supplementary revenue upon each other.  These include: </w:t>
      </w:r>
    </w:p>
    <w:p w:rsidR="00A50074" w:rsidRPr="006737A1" w:rsidRDefault="00A50074" w:rsidP="006737A1">
      <w:pPr>
        <w:pStyle w:val="ListParagraph"/>
        <w:numPr>
          <w:ilvl w:val="0"/>
          <w:numId w:val="6"/>
        </w:numPr>
        <w:spacing w:after="0" w:line="480" w:lineRule="auto"/>
        <w:rPr>
          <w:rFonts w:ascii="Times New Roman" w:hAnsi="Times New Roman" w:cs="Times New Roman"/>
          <w:sz w:val="24"/>
          <w:szCs w:val="24"/>
        </w:rPr>
      </w:pPr>
      <w:r w:rsidRPr="006737A1">
        <w:rPr>
          <w:rFonts w:ascii="Times New Roman" w:hAnsi="Times New Roman" w:cs="Times New Roman"/>
          <w:sz w:val="24"/>
          <w:szCs w:val="24"/>
        </w:rPr>
        <w:t>“</w:t>
      </w:r>
      <w:r w:rsidR="00827C52">
        <w:rPr>
          <w:rFonts w:ascii="Times New Roman" w:hAnsi="Times New Roman" w:cs="Times New Roman"/>
          <w:sz w:val="24"/>
          <w:szCs w:val="24"/>
        </w:rPr>
        <w:t>E</w:t>
      </w:r>
      <w:r w:rsidRPr="006737A1">
        <w:rPr>
          <w:rFonts w:ascii="Times New Roman" w:hAnsi="Times New Roman" w:cs="Times New Roman"/>
          <w:sz w:val="24"/>
          <w:szCs w:val="24"/>
        </w:rPr>
        <w:t xml:space="preserve">xcess” property tax revenue collected in basic aid districts. This revenue is hypothesized to discourage both voluntary contributions and parcel tax collections.  </w:t>
      </w:r>
    </w:p>
    <w:p w:rsidR="00235E12" w:rsidRPr="006737A1" w:rsidRDefault="00A50074" w:rsidP="006737A1">
      <w:pPr>
        <w:pStyle w:val="ListParagraph"/>
        <w:numPr>
          <w:ilvl w:val="0"/>
          <w:numId w:val="6"/>
        </w:numPr>
        <w:spacing w:after="0" w:line="480" w:lineRule="auto"/>
        <w:rPr>
          <w:rFonts w:ascii="Times New Roman" w:hAnsi="Times New Roman" w:cs="Times New Roman"/>
          <w:b/>
          <w:sz w:val="28"/>
          <w:szCs w:val="24"/>
        </w:rPr>
      </w:pPr>
      <w:r w:rsidRPr="006737A1">
        <w:rPr>
          <w:rFonts w:ascii="Times New Roman" w:hAnsi="Times New Roman" w:cs="Times New Roman"/>
          <w:sz w:val="24"/>
          <w:szCs w:val="24"/>
        </w:rPr>
        <w:lastRenderedPageBreak/>
        <w:t xml:space="preserve">Per-pupil revenue generated by parcel taxes, specified in the first regression equation pertaining to voluntary contributions, and per-pupil revenue generated by voluntary contributions, specified  in the second regression equation pertaining to parcel taxes.  Positive signs on the estimated coefficients indicate that these sources of supplementary revenue are complements, while negative signs would indicate that they are substitutes. </w:t>
      </w:r>
    </w:p>
    <w:p w:rsidR="006737A1" w:rsidRPr="006737A1" w:rsidRDefault="006737A1" w:rsidP="006737A1">
      <w:pPr>
        <w:pStyle w:val="ListParagraph"/>
        <w:spacing w:after="0" w:line="480" w:lineRule="auto"/>
        <w:ind w:left="1080"/>
        <w:jc w:val="both"/>
        <w:rPr>
          <w:rFonts w:ascii="Times New Roman" w:hAnsi="Times New Roman" w:cs="Times New Roman"/>
          <w:b/>
          <w:sz w:val="28"/>
          <w:szCs w:val="24"/>
        </w:rPr>
      </w:pPr>
    </w:p>
    <w:p w:rsidR="006737A1" w:rsidRDefault="006737A1" w:rsidP="008E45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pointed out above, there are a number of very small school districts in California (almost entirely elementary districts) that are characterized by having extremely high levels of voluntary contributions, parcel taxes, excess property tax revenue, or some combination of all of these things. In order to insure that our results were not unduly influenced by these outliers we confined our regression analyses to the 785 districts which had more than 200 students enrolled in the 2011-12 school year.  In the results reported in Table 4 the top number in each entry is the estimated coefficient, and the bottom number in parentheses is the standard error. Coefficients that are twice as large as the corresponding standard errors can be considered to attain conventional levels of statistical significance. </w:t>
      </w:r>
    </w:p>
    <w:p w:rsidR="006737A1" w:rsidRPr="006737A1" w:rsidRDefault="006737A1" w:rsidP="00827C5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Table 4 about here</w:t>
      </w:r>
    </w:p>
    <w:p w:rsidR="00E759D1" w:rsidRDefault="00B657B5" w:rsidP="008E457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w:t>
      </w:r>
      <w:r w:rsidR="001E0A56">
        <w:rPr>
          <w:rFonts w:ascii="Times New Roman" w:hAnsi="Times New Roman" w:cs="Times New Roman"/>
          <w:sz w:val="24"/>
          <w:szCs w:val="24"/>
        </w:rPr>
        <w:t xml:space="preserve">he regression </w:t>
      </w:r>
      <w:r w:rsidR="00E759D1">
        <w:rPr>
          <w:rFonts w:ascii="Times New Roman" w:hAnsi="Times New Roman" w:cs="Times New Roman"/>
          <w:sz w:val="24"/>
          <w:szCs w:val="24"/>
        </w:rPr>
        <w:t xml:space="preserve">results </w:t>
      </w:r>
      <w:r>
        <w:rPr>
          <w:rFonts w:ascii="Times New Roman" w:hAnsi="Times New Roman" w:cs="Times New Roman"/>
          <w:sz w:val="24"/>
          <w:szCs w:val="24"/>
        </w:rPr>
        <w:t xml:space="preserve">are consistent with many of the hypotheses posed above. </w:t>
      </w:r>
      <w:r w:rsidR="00E759D1">
        <w:rPr>
          <w:rFonts w:ascii="Times New Roman" w:hAnsi="Times New Roman" w:cs="Times New Roman"/>
          <w:sz w:val="24"/>
          <w:szCs w:val="24"/>
        </w:rPr>
        <w:t>I</w:t>
      </w:r>
      <w:r w:rsidR="001E0A56">
        <w:rPr>
          <w:rFonts w:ascii="Times New Roman" w:hAnsi="Times New Roman" w:cs="Times New Roman"/>
          <w:sz w:val="24"/>
          <w:szCs w:val="24"/>
        </w:rPr>
        <w:t xml:space="preserve">n </w:t>
      </w:r>
      <w:r w:rsidR="00E759D1">
        <w:rPr>
          <w:rFonts w:ascii="Times New Roman" w:hAnsi="Times New Roman" w:cs="Times New Roman"/>
          <w:sz w:val="24"/>
          <w:szCs w:val="24"/>
        </w:rPr>
        <w:t xml:space="preserve">all three </w:t>
      </w:r>
      <w:r w:rsidR="001E0A56">
        <w:rPr>
          <w:rFonts w:ascii="Times New Roman" w:hAnsi="Times New Roman" w:cs="Times New Roman"/>
          <w:sz w:val="24"/>
          <w:szCs w:val="24"/>
        </w:rPr>
        <w:t xml:space="preserve">regressions </w:t>
      </w:r>
      <w:r w:rsidR="00E759D1">
        <w:rPr>
          <w:rFonts w:ascii="Times New Roman" w:hAnsi="Times New Roman" w:cs="Times New Roman"/>
          <w:sz w:val="24"/>
          <w:szCs w:val="24"/>
        </w:rPr>
        <w:t xml:space="preserve">signs of the median income are very large and in the expected positive direction, indicating that voluntary contributions and parcel tax revenues both increase as people are better able to pay </w:t>
      </w:r>
      <w:r w:rsidR="001B0A0F">
        <w:rPr>
          <w:rFonts w:ascii="Times New Roman" w:hAnsi="Times New Roman" w:cs="Times New Roman"/>
          <w:sz w:val="24"/>
          <w:szCs w:val="24"/>
        </w:rPr>
        <w:t xml:space="preserve">for </w:t>
      </w:r>
      <w:r w:rsidR="00E759D1">
        <w:rPr>
          <w:rFonts w:ascii="Times New Roman" w:hAnsi="Times New Roman" w:cs="Times New Roman"/>
          <w:sz w:val="24"/>
          <w:szCs w:val="24"/>
        </w:rPr>
        <w:t xml:space="preserve">them. Had these results been otherwise we would have called a press conference. We similarly see, as has been observed in all previous research that the larger a school district is in terms of enrollment, the less supplementary revenue they receive.  This is </w:t>
      </w:r>
      <w:r w:rsidR="00E759D1">
        <w:rPr>
          <w:rFonts w:ascii="Times New Roman" w:hAnsi="Times New Roman" w:cs="Times New Roman"/>
          <w:sz w:val="24"/>
          <w:szCs w:val="24"/>
        </w:rPr>
        <w:lastRenderedPageBreak/>
        <w:t xml:space="preserve">consistent with standard results concerning </w:t>
      </w:r>
      <w:r w:rsidR="001E0A56">
        <w:rPr>
          <w:rFonts w:ascii="Times New Roman" w:hAnsi="Times New Roman" w:cs="Times New Roman"/>
          <w:sz w:val="24"/>
          <w:szCs w:val="24"/>
        </w:rPr>
        <w:t>collective action</w:t>
      </w:r>
      <w:r w:rsidR="00E759D1">
        <w:rPr>
          <w:rFonts w:ascii="Times New Roman" w:hAnsi="Times New Roman" w:cs="Times New Roman"/>
          <w:sz w:val="24"/>
          <w:szCs w:val="24"/>
        </w:rPr>
        <w:t xml:space="preserve">, as it indicates that </w:t>
      </w:r>
      <w:r w:rsidR="001E0A56">
        <w:rPr>
          <w:rFonts w:ascii="Times New Roman" w:hAnsi="Times New Roman" w:cs="Times New Roman"/>
          <w:sz w:val="24"/>
          <w:szCs w:val="24"/>
        </w:rPr>
        <w:t xml:space="preserve">smaller communities are better able to come together to raise support for their schools.  </w:t>
      </w:r>
    </w:p>
    <w:p w:rsidR="00862406" w:rsidRDefault="00E759D1" w:rsidP="008E457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Olson’s “fat cat provision” effect is evident in the large positive sign of the Gini </w:t>
      </w:r>
      <w:r w:rsidR="005C4EE3">
        <w:rPr>
          <w:rFonts w:ascii="Times New Roman" w:hAnsi="Times New Roman" w:cs="Times New Roman"/>
          <w:sz w:val="24"/>
          <w:szCs w:val="24"/>
        </w:rPr>
        <w:t xml:space="preserve">Index  </w:t>
      </w:r>
      <w:r>
        <w:rPr>
          <w:rFonts w:ascii="Times New Roman" w:hAnsi="Times New Roman" w:cs="Times New Roman"/>
          <w:sz w:val="24"/>
          <w:szCs w:val="24"/>
        </w:rPr>
        <w:t>coefficient in the voluntary contributions equation</w:t>
      </w:r>
      <w:r w:rsidR="00B34410">
        <w:rPr>
          <w:rFonts w:ascii="Times New Roman" w:hAnsi="Times New Roman" w:cs="Times New Roman"/>
          <w:sz w:val="24"/>
          <w:szCs w:val="24"/>
        </w:rPr>
        <w:t>, suggesting that a small number of high income individuals in these areas give significant support to the schools they perceive to be in  need.</w:t>
      </w:r>
      <w:r w:rsidR="008E4579">
        <w:rPr>
          <w:rFonts w:ascii="Times New Roman" w:hAnsi="Times New Roman" w:cs="Times New Roman"/>
          <w:sz w:val="24"/>
          <w:szCs w:val="24"/>
        </w:rPr>
        <w:t xml:space="preserve"> </w:t>
      </w:r>
      <w:r w:rsidR="00B34410">
        <w:rPr>
          <w:rFonts w:ascii="Times New Roman" w:hAnsi="Times New Roman" w:cs="Times New Roman"/>
          <w:sz w:val="24"/>
          <w:szCs w:val="24"/>
        </w:rPr>
        <w:t xml:space="preserve"> </w:t>
      </w:r>
      <w:r w:rsidR="001B0A0F">
        <w:rPr>
          <w:rFonts w:ascii="Times New Roman" w:hAnsi="Times New Roman" w:cs="Times New Roman"/>
          <w:sz w:val="24"/>
          <w:szCs w:val="24"/>
        </w:rPr>
        <w:t xml:space="preserve">Interestingly, the sign of this coefficient is also large and positive in the parcel tax equation, </w:t>
      </w:r>
      <w:r w:rsidR="008E4579">
        <w:rPr>
          <w:rFonts w:ascii="Times New Roman" w:hAnsi="Times New Roman" w:cs="Times New Roman"/>
          <w:sz w:val="24"/>
          <w:szCs w:val="24"/>
        </w:rPr>
        <w:t xml:space="preserve">where we had no expectations one way or the other. </w:t>
      </w:r>
      <w:r w:rsidR="005C4EE3">
        <w:rPr>
          <w:rFonts w:ascii="Times New Roman" w:hAnsi="Times New Roman" w:cs="Times New Roman"/>
          <w:sz w:val="24"/>
          <w:szCs w:val="24"/>
        </w:rPr>
        <w:t xml:space="preserve"> </w:t>
      </w:r>
      <w:r w:rsidR="001B0A0F">
        <w:rPr>
          <w:rFonts w:ascii="Times New Roman" w:hAnsi="Times New Roman" w:cs="Times New Roman"/>
          <w:sz w:val="24"/>
          <w:szCs w:val="24"/>
        </w:rPr>
        <w:t>Effects of the demographic measures</w:t>
      </w:r>
      <w:r w:rsidR="008E4579">
        <w:rPr>
          <w:rFonts w:ascii="Times New Roman" w:hAnsi="Times New Roman" w:cs="Times New Roman"/>
          <w:sz w:val="24"/>
          <w:szCs w:val="24"/>
        </w:rPr>
        <w:t xml:space="preserve"> </w:t>
      </w:r>
      <w:r w:rsidR="001B0A0F">
        <w:rPr>
          <w:rFonts w:ascii="Times New Roman" w:hAnsi="Times New Roman" w:cs="Times New Roman"/>
          <w:sz w:val="24"/>
          <w:szCs w:val="24"/>
        </w:rPr>
        <w:t>do not present a clear pattern. T</w:t>
      </w:r>
      <w:r w:rsidR="005C4EE3">
        <w:rPr>
          <w:rFonts w:ascii="Times New Roman" w:hAnsi="Times New Roman" w:cs="Times New Roman"/>
          <w:sz w:val="24"/>
          <w:szCs w:val="24"/>
        </w:rPr>
        <w:t xml:space="preserve">he </w:t>
      </w:r>
      <w:r w:rsidR="001B0A0F">
        <w:rPr>
          <w:rFonts w:ascii="Times New Roman" w:hAnsi="Times New Roman" w:cs="Times New Roman"/>
          <w:sz w:val="24"/>
          <w:szCs w:val="24"/>
        </w:rPr>
        <w:t>coefficient of the P</w:t>
      </w:r>
      <w:r w:rsidR="005C4EE3">
        <w:rPr>
          <w:rFonts w:ascii="Times New Roman" w:hAnsi="Times New Roman" w:cs="Times New Roman"/>
          <w:sz w:val="24"/>
          <w:szCs w:val="24"/>
        </w:rPr>
        <w:t xml:space="preserve">ercent 5 to 17 </w:t>
      </w:r>
      <w:r w:rsidR="001B0A0F">
        <w:rPr>
          <w:rFonts w:ascii="Times New Roman" w:hAnsi="Times New Roman" w:cs="Times New Roman"/>
          <w:sz w:val="24"/>
          <w:szCs w:val="24"/>
        </w:rPr>
        <w:t xml:space="preserve">measure is in the predicted positive direction in the voluntary contribution equation and combination equation. However, it has a negative sign </w:t>
      </w:r>
      <w:r w:rsidR="005C4EE3">
        <w:rPr>
          <w:rFonts w:ascii="Times New Roman" w:hAnsi="Times New Roman" w:cs="Times New Roman"/>
          <w:sz w:val="24"/>
          <w:szCs w:val="24"/>
        </w:rPr>
        <w:t>i</w:t>
      </w:r>
      <w:r w:rsidR="001B0A0F">
        <w:rPr>
          <w:rFonts w:ascii="Times New Roman" w:hAnsi="Times New Roman" w:cs="Times New Roman"/>
          <w:sz w:val="24"/>
          <w:szCs w:val="24"/>
        </w:rPr>
        <w:t xml:space="preserve">n the parcel tax equation, which runs counter to our hypothesis. Similarly, the coefficient of the Percent over 65 measure is negative in the parcel tax equation, indicating that provisions to exclude such citizens from paying parcel taxes are not based on mere suspicion.  The sign is positive in the voluntary contributions equation, which is not what we had hypothesized.  </w:t>
      </w:r>
      <w:r w:rsidR="005C4EE3">
        <w:rPr>
          <w:rFonts w:ascii="Times New Roman" w:hAnsi="Times New Roman" w:cs="Times New Roman"/>
          <w:sz w:val="24"/>
          <w:szCs w:val="24"/>
        </w:rPr>
        <w:t xml:space="preserve"> </w:t>
      </w:r>
    </w:p>
    <w:p w:rsidR="008E4579" w:rsidRDefault="008E4579" w:rsidP="008E457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Our results concerning the impact of excess property tax revenue collected in basic aid districts are also inconsistent. There is the hypothesized “crowding out” effect registered by the negative coefficient in the parcel tax equation, but the positive sign of this coefficient in the voluntary contributions equation indicates that the amount of contributions actually increases with the amount of excess property tax revenue collected—a sort of “piling on” effect. Finally, the results of the regression analysis indicate that voluntary contributions and parcel taxes are complementary, in that in both equations higher levels of one source of supplemental revenue are associated with higher levels of the other.      </w:t>
      </w:r>
    </w:p>
    <w:p w:rsidR="00B657B5" w:rsidRDefault="00B657B5" w:rsidP="00536544">
      <w:pPr>
        <w:spacing w:after="0" w:line="480" w:lineRule="auto"/>
        <w:rPr>
          <w:rFonts w:ascii="Times New Roman" w:hAnsi="Times New Roman" w:cs="Times New Roman"/>
          <w:sz w:val="24"/>
          <w:szCs w:val="24"/>
        </w:rPr>
      </w:pPr>
    </w:p>
    <w:p w:rsidR="008F20C8" w:rsidRDefault="008F20C8" w:rsidP="008B627D">
      <w:pPr>
        <w:spacing w:after="0" w:line="480" w:lineRule="auto"/>
        <w:rPr>
          <w:rFonts w:ascii="Times New Roman" w:hAnsi="Times New Roman" w:cs="Times New Roman"/>
          <w:b/>
          <w:sz w:val="24"/>
          <w:szCs w:val="24"/>
        </w:rPr>
      </w:pPr>
      <w:r w:rsidRPr="008F20C8">
        <w:rPr>
          <w:rFonts w:ascii="Times New Roman" w:hAnsi="Times New Roman" w:cs="Times New Roman"/>
          <w:b/>
          <w:sz w:val="24"/>
          <w:szCs w:val="24"/>
        </w:rPr>
        <w:lastRenderedPageBreak/>
        <w:t>Discussion</w:t>
      </w:r>
    </w:p>
    <w:p w:rsidR="00B134CC" w:rsidRDefault="00827C52" w:rsidP="00AA0DF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PTA and LEF websites, as well as campaign materials produced by groups urging approval of a parcel tax, generally point to a gap—a large gap—between what sort of education </w:t>
      </w:r>
      <w:r w:rsidR="00DB141E">
        <w:rPr>
          <w:rFonts w:ascii="Times New Roman" w:hAnsi="Times New Roman" w:cs="Times New Roman"/>
          <w:sz w:val="24"/>
          <w:szCs w:val="24"/>
        </w:rPr>
        <w:t xml:space="preserve">they believe their </w:t>
      </w:r>
      <w:r>
        <w:rPr>
          <w:rFonts w:ascii="Times New Roman" w:hAnsi="Times New Roman" w:cs="Times New Roman"/>
          <w:sz w:val="24"/>
          <w:szCs w:val="24"/>
        </w:rPr>
        <w:t xml:space="preserve">children should receive and what the district is able to provide with the funds </w:t>
      </w:r>
      <w:r w:rsidR="00513471">
        <w:rPr>
          <w:rFonts w:ascii="Times New Roman" w:hAnsi="Times New Roman" w:cs="Times New Roman"/>
          <w:sz w:val="24"/>
          <w:szCs w:val="24"/>
        </w:rPr>
        <w:t>available</w:t>
      </w:r>
      <w:r>
        <w:rPr>
          <w:rFonts w:ascii="Times New Roman" w:hAnsi="Times New Roman" w:cs="Times New Roman"/>
          <w:sz w:val="24"/>
          <w:szCs w:val="24"/>
        </w:rPr>
        <w:t xml:space="preserve"> at the statutory revenue limit. </w:t>
      </w:r>
      <w:r w:rsidR="00DB141E">
        <w:rPr>
          <w:rFonts w:ascii="Times New Roman" w:hAnsi="Times New Roman" w:cs="Times New Roman"/>
          <w:sz w:val="24"/>
          <w:szCs w:val="24"/>
        </w:rPr>
        <w:t xml:space="preserve">They describe their activities as efforts to secure the additional revenue that is needed to fill this gap. </w:t>
      </w:r>
      <w:r w:rsidR="0004220E">
        <w:rPr>
          <w:rFonts w:ascii="Times New Roman" w:hAnsi="Times New Roman" w:cs="Times New Roman"/>
          <w:sz w:val="24"/>
          <w:szCs w:val="24"/>
        </w:rPr>
        <w:t xml:space="preserve">To be sure, there are a handful of small, basic aid school districts in California that are virtually swimming in revenue. What most fund-raising organizations and campaigns aspire to, however, is remarkably modest. </w:t>
      </w:r>
      <w:r w:rsidR="00513471">
        <w:rPr>
          <w:rFonts w:ascii="Times New Roman" w:hAnsi="Times New Roman" w:cs="Times New Roman"/>
          <w:sz w:val="24"/>
          <w:szCs w:val="24"/>
        </w:rPr>
        <w:t>T</w:t>
      </w:r>
      <w:r w:rsidR="0004220E">
        <w:rPr>
          <w:rFonts w:ascii="Times New Roman" w:hAnsi="Times New Roman" w:cs="Times New Roman"/>
          <w:sz w:val="24"/>
          <w:szCs w:val="24"/>
        </w:rPr>
        <w:t xml:space="preserve">he successful ones, by persuading local citizens to dip into their own pockets or to impose an odd and highly regressive tax upon themselves, are able to increase the financial resources in their district to a level that funds per-pupil expenditures at roughly the national average. The additional revenue they </w:t>
      </w:r>
      <w:r w:rsidR="00AA0DF8">
        <w:rPr>
          <w:rFonts w:ascii="Times New Roman" w:hAnsi="Times New Roman" w:cs="Times New Roman"/>
          <w:sz w:val="24"/>
          <w:szCs w:val="24"/>
        </w:rPr>
        <w:t>provide</w:t>
      </w:r>
      <w:r w:rsidR="00DB141E">
        <w:rPr>
          <w:rFonts w:ascii="Times New Roman" w:hAnsi="Times New Roman" w:cs="Times New Roman"/>
          <w:sz w:val="24"/>
          <w:szCs w:val="24"/>
        </w:rPr>
        <w:t xml:space="preserve"> pays for such things as office supplies, audio-visual technology, field trips to local nature sites, and library aides.</w:t>
      </w:r>
      <w:r w:rsidR="00B134CC">
        <w:rPr>
          <w:rFonts w:ascii="Times New Roman" w:hAnsi="Times New Roman" w:cs="Times New Roman"/>
          <w:sz w:val="24"/>
          <w:szCs w:val="24"/>
        </w:rPr>
        <w:t xml:space="preserve"> And there may be other benefits that flow from these fund-raising efforts. There is a good chance that their school’s PTA or one of its </w:t>
      </w:r>
      <w:r w:rsidR="0004220E">
        <w:rPr>
          <w:rFonts w:ascii="Times New Roman" w:hAnsi="Times New Roman" w:cs="Times New Roman"/>
          <w:sz w:val="24"/>
          <w:szCs w:val="24"/>
        </w:rPr>
        <w:t xml:space="preserve">athletic </w:t>
      </w:r>
      <w:r w:rsidR="00B134CC">
        <w:rPr>
          <w:rFonts w:ascii="Times New Roman" w:hAnsi="Times New Roman" w:cs="Times New Roman"/>
          <w:sz w:val="24"/>
          <w:szCs w:val="24"/>
        </w:rPr>
        <w:t>team booster club</w:t>
      </w:r>
      <w:r w:rsidR="0004220E">
        <w:rPr>
          <w:rFonts w:ascii="Times New Roman" w:hAnsi="Times New Roman" w:cs="Times New Roman"/>
          <w:sz w:val="24"/>
          <w:szCs w:val="24"/>
        </w:rPr>
        <w:t>s</w:t>
      </w:r>
      <w:r w:rsidR="00B134CC">
        <w:rPr>
          <w:rFonts w:ascii="Times New Roman" w:hAnsi="Times New Roman" w:cs="Times New Roman"/>
          <w:sz w:val="24"/>
          <w:szCs w:val="24"/>
        </w:rPr>
        <w:t xml:space="preserve"> is the only civic organization that many people </w:t>
      </w:r>
      <w:r w:rsidR="0004220E">
        <w:rPr>
          <w:rFonts w:ascii="Times New Roman" w:hAnsi="Times New Roman" w:cs="Times New Roman"/>
          <w:sz w:val="24"/>
          <w:szCs w:val="24"/>
        </w:rPr>
        <w:t>ever join, thwarting to some extent, the inclination of people to go bowling alone (Putnam 2000).</w:t>
      </w:r>
      <w:r w:rsidR="00B134CC">
        <w:rPr>
          <w:rFonts w:ascii="Times New Roman" w:hAnsi="Times New Roman" w:cs="Times New Roman"/>
          <w:sz w:val="24"/>
          <w:szCs w:val="24"/>
        </w:rPr>
        <w:t xml:space="preserve"> </w:t>
      </w:r>
    </w:p>
    <w:p w:rsidR="00513471" w:rsidRDefault="00AA0DF8" w:rsidP="00B51A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One must respect these efforts, and there are few people who do not. </w:t>
      </w:r>
      <w:r w:rsidR="00513471">
        <w:rPr>
          <w:rFonts w:ascii="Times New Roman" w:hAnsi="Times New Roman" w:cs="Times New Roman"/>
          <w:sz w:val="24"/>
          <w:szCs w:val="24"/>
        </w:rPr>
        <w:t xml:space="preserve">The interface between the public sector (in this case local public schools and school districts) and the nonprofit sector (here private fund-raising organizations) </w:t>
      </w:r>
      <w:r w:rsidR="003C5C23">
        <w:rPr>
          <w:rFonts w:ascii="Times New Roman" w:hAnsi="Times New Roman" w:cs="Times New Roman"/>
          <w:sz w:val="24"/>
          <w:szCs w:val="24"/>
        </w:rPr>
        <w:t xml:space="preserve">can be </w:t>
      </w:r>
      <w:r w:rsidR="00513471">
        <w:rPr>
          <w:rFonts w:ascii="Times New Roman" w:hAnsi="Times New Roman" w:cs="Times New Roman"/>
          <w:sz w:val="24"/>
          <w:szCs w:val="24"/>
        </w:rPr>
        <w:t>complicated</w:t>
      </w:r>
      <w:r w:rsidR="003C5C23">
        <w:rPr>
          <w:rFonts w:ascii="Times New Roman" w:hAnsi="Times New Roman" w:cs="Times New Roman"/>
          <w:sz w:val="24"/>
          <w:szCs w:val="24"/>
        </w:rPr>
        <w:t>. I</w:t>
      </w:r>
      <w:r w:rsidR="00513471">
        <w:rPr>
          <w:rFonts w:ascii="Times New Roman" w:hAnsi="Times New Roman" w:cs="Times New Roman"/>
          <w:sz w:val="24"/>
          <w:szCs w:val="24"/>
        </w:rPr>
        <w:t xml:space="preserve">n </w:t>
      </w:r>
      <w:r w:rsidR="003C5C23">
        <w:rPr>
          <w:rFonts w:ascii="Times New Roman" w:hAnsi="Times New Roman" w:cs="Times New Roman"/>
          <w:sz w:val="24"/>
          <w:szCs w:val="24"/>
        </w:rPr>
        <w:t>some</w:t>
      </w:r>
      <w:r w:rsidR="00513471">
        <w:rPr>
          <w:rFonts w:ascii="Times New Roman" w:hAnsi="Times New Roman" w:cs="Times New Roman"/>
          <w:sz w:val="24"/>
          <w:szCs w:val="24"/>
        </w:rPr>
        <w:t xml:space="preserve"> cases </w:t>
      </w:r>
      <w:r w:rsidR="003C5C23">
        <w:rPr>
          <w:rFonts w:ascii="Times New Roman" w:hAnsi="Times New Roman" w:cs="Times New Roman"/>
          <w:sz w:val="24"/>
          <w:szCs w:val="24"/>
        </w:rPr>
        <w:t xml:space="preserve">they </w:t>
      </w:r>
      <w:r w:rsidR="00513471">
        <w:rPr>
          <w:rFonts w:ascii="Times New Roman" w:hAnsi="Times New Roman" w:cs="Times New Roman"/>
          <w:sz w:val="24"/>
          <w:szCs w:val="24"/>
        </w:rPr>
        <w:t>act as partners</w:t>
      </w:r>
      <w:r w:rsidR="003C5C23">
        <w:rPr>
          <w:rFonts w:ascii="Times New Roman" w:hAnsi="Times New Roman" w:cs="Times New Roman"/>
          <w:sz w:val="24"/>
          <w:szCs w:val="24"/>
        </w:rPr>
        <w:t xml:space="preserve">, </w:t>
      </w:r>
      <w:r w:rsidR="00513471">
        <w:rPr>
          <w:rFonts w:ascii="Times New Roman" w:hAnsi="Times New Roman" w:cs="Times New Roman"/>
          <w:sz w:val="24"/>
          <w:szCs w:val="24"/>
        </w:rPr>
        <w:t xml:space="preserve">in others as competitors, in </w:t>
      </w:r>
      <w:r w:rsidR="003C5C23">
        <w:rPr>
          <w:rFonts w:ascii="Times New Roman" w:hAnsi="Times New Roman" w:cs="Times New Roman"/>
          <w:sz w:val="24"/>
          <w:szCs w:val="24"/>
        </w:rPr>
        <w:t xml:space="preserve">the </w:t>
      </w:r>
      <w:r w:rsidR="00513471">
        <w:rPr>
          <w:rFonts w:ascii="Times New Roman" w:hAnsi="Times New Roman" w:cs="Times New Roman"/>
          <w:sz w:val="24"/>
          <w:szCs w:val="24"/>
        </w:rPr>
        <w:t xml:space="preserve">provision of public services (Salamon, 2012). </w:t>
      </w:r>
      <w:r w:rsidR="003C5C23">
        <w:rPr>
          <w:rFonts w:ascii="Times New Roman" w:hAnsi="Times New Roman" w:cs="Times New Roman"/>
          <w:sz w:val="24"/>
          <w:szCs w:val="24"/>
        </w:rPr>
        <w:t xml:space="preserve">In particular, </w:t>
      </w:r>
      <w:r w:rsidR="00513471">
        <w:rPr>
          <w:rFonts w:ascii="Times New Roman" w:hAnsi="Times New Roman" w:cs="Times New Roman"/>
          <w:sz w:val="24"/>
          <w:szCs w:val="24"/>
        </w:rPr>
        <w:t>low levels of government funding may have a “crowding in” effect, drawing contributions to nonprofits that serve public purposes due to government failure</w:t>
      </w:r>
      <w:r w:rsidR="003C5C23">
        <w:rPr>
          <w:rFonts w:ascii="Times New Roman" w:hAnsi="Times New Roman" w:cs="Times New Roman"/>
          <w:sz w:val="24"/>
          <w:szCs w:val="24"/>
        </w:rPr>
        <w:t xml:space="preserve">. </w:t>
      </w:r>
      <w:r w:rsidR="00513471">
        <w:rPr>
          <w:rFonts w:ascii="Times New Roman" w:hAnsi="Times New Roman" w:cs="Times New Roman"/>
          <w:sz w:val="24"/>
          <w:szCs w:val="24"/>
        </w:rPr>
        <w:t xml:space="preserve">Carroll and Calabrese </w:t>
      </w:r>
      <w:r w:rsidR="003C5C23">
        <w:rPr>
          <w:rFonts w:ascii="Times New Roman" w:hAnsi="Times New Roman" w:cs="Times New Roman"/>
          <w:sz w:val="24"/>
          <w:szCs w:val="24"/>
        </w:rPr>
        <w:t xml:space="preserve">(2013) observe that </w:t>
      </w:r>
      <w:r w:rsidR="00513471">
        <w:rPr>
          <w:rFonts w:ascii="Times New Roman" w:hAnsi="Times New Roman" w:cs="Times New Roman"/>
          <w:sz w:val="24"/>
          <w:szCs w:val="24"/>
        </w:rPr>
        <w:t xml:space="preserve">“government might act as a free rider and reduce its tax burden” </w:t>
      </w:r>
      <w:r w:rsidR="00513471">
        <w:rPr>
          <w:rFonts w:ascii="Times New Roman" w:hAnsi="Times New Roman" w:cs="Times New Roman"/>
          <w:sz w:val="24"/>
          <w:szCs w:val="24"/>
        </w:rPr>
        <w:lastRenderedPageBreak/>
        <w:t>on residents in relation to greater service and funding provision by the nonprofit sector (</w:t>
      </w:r>
      <w:r w:rsidR="003C5C23">
        <w:rPr>
          <w:rFonts w:ascii="Times New Roman" w:hAnsi="Times New Roman" w:cs="Times New Roman"/>
          <w:sz w:val="24"/>
          <w:szCs w:val="24"/>
        </w:rPr>
        <w:t>p.</w:t>
      </w:r>
      <w:r w:rsidR="00513471">
        <w:rPr>
          <w:rFonts w:ascii="Times New Roman" w:hAnsi="Times New Roman" w:cs="Times New Roman"/>
          <w:sz w:val="24"/>
          <w:szCs w:val="24"/>
        </w:rPr>
        <w:t xml:space="preserve"> 213).  If </w:t>
      </w:r>
      <w:r w:rsidR="003C5C23">
        <w:rPr>
          <w:rFonts w:ascii="Times New Roman" w:hAnsi="Times New Roman" w:cs="Times New Roman"/>
          <w:sz w:val="24"/>
          <w:szCs w:val="24"/>
        </w:rPr>
        <w:t xml:space="preserve">an LEF </w:t>
      </w:r>
      <w:r w:rsidR="00513471">
        <w:rPr>
          <w:rFonts w:ascii="Times New Roman" w:hAnsi="Times New Roman" w:cs="Times New Roman"/>
          <w:sz w:val="24"/>
          <w:szCs w:val="24"/>
        </w:rPr>
        <w:t>fund</w:t>
      </w:r>
      <w:r w:rsidR="003C5C23">
        <w:rPr>
          <w:rFonts w:ascii="Times New Roman" w:hAnsi="Times New Roman" w:cs="Times New Roman"/>
          <w:sz w:val="24"/>
          <w:szCs w:val="24"/>
        </w:rPr>
        <w:t>s</w:t>
      </w:r>
      <w:r w:rsidR="00513471">
        <w:rPr>
          <w:rFonts w:ascii="Times New Roman" w:hAnsi="Times New Roman" w:cs="Times New Roman"/>
          <w:sz w:val="24"/>
          <w:szCs w:val="24"/>
        </w:rPr>
        <w:t xml:space="preserve"> a project one year, will they be expected to fund it in the future (Deitrick 2009)?  </w:t>
      </w:r>
    </w:p>
    <w:p w:rsidR="00495EBF" w:rsidRDefault="00AA0DF8" w:rsidP="00B51A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t>
      </w:r>
      <w:r w:rsidR="003C5C23">
        <w:rPr>
          <w:rFonts w:ascii="Times New Roman" w:hAnsi="Times New Roman" w:cs="Times New Roman"/>
          <w:sz w:val="24"/>
          <w:szCs w:val="24"/>
        </w:rPr>
        <w:t xml:space="preserve">any case, </w:t>
      </w:r>
      <w:r>
        <w:rPr>
          <w:rFonts w:ascii="Times New Roman" w:hAnsi="Times New Roman" w:cs="Times New Roman"/>
          <w:sz w:val="24"/>
          <w:szCs w:val="24"/>
        </w:rPr>
        <w:t xml:space="preserve">the large majority of K-12 students in California do not benefit from </w:t>
      </w:r>
      <w:r w:rsidR="003C5C23">
        <w:rPr>
          <w:rFonts w:ascii="Times New Roman" w:hAnsi="Times New Roman" w:cs="Times New Roman"/>
          <w:sz w:val="24"/>
          <w:szCs w:val="24"/>
        </w:rPr>
        <w:t xml:space="preserve">either </w:t>
      </w:r>
      <w:r>
        <w:rPr>
          <w:rFonts w:ascii="Times New Roman" w:hAnsi="Times New Roman" w:cs="Times New Roman"/>
          <w:sz w:val="24"/>
          <w:szCs w:val="24"/>
        </w:rPr>
        <w:t xml:space="preserve">voluntary contributions or parcel taxes. For them there are no efforts to close the gap.  Many observers of public education, then, are dismayed to see the resurgence of large disparities in per-pupil funding that the </w:t>
      </w:r>
      <w:r w:rsidRPr="00AA0DF8">
        <w:rPr>
          <w:rFonts w:ascii="Times New Roman" w:hAnsi="Times New Roman" w:cs="Times New Roman"/>
          <w:i/>
          <w:sz w:val="24"/>
          <w:szCs w:val="24"/>
        </w:rPr>
        <w:t xml:space="preserve">Serrano </w:t>
      </w:r>
      <w:r>
        <w:rPr>
          <w:rFonts w:ascii="Times New Roman" w:hAnsi="Times New Roman" w:cs="Times New Roman"/>
          <w:sz w:val="24"/>
          <w:szCs w:val="24"/>
        </w:rPr>
        <w:t xml:space="preserve">decision was supposed to eliminate so many years ago (Reich 2005).   A related concern is that there arises a mismatch between where supplementary funds are directed and where they would do the most good. Sattem (2007) suggests that there are diminishing marginal returns </w:t>
      </w:r>
      <w:r w:rsidR="00513471">
        <w:rPr>
          <w:rFonts w:ascii="Times New Roman" w:hAnsi="Times New Roman" w:cs="Times New Roman"/>
          <w:sz w:val="24"/>
          <w:szCs w:val="24"/>
        </w:rPr>
        <w:t xml:space="preserve">associated with </w:t>
      </w:r>
      <w:r>
        <w:rPr>
          <w:rFonts w:ascii="Times New Roman" w:hAnsi="Times New Roman" w:cs="Times New Roman"/>
          <w:sz w:val="24"/>
          <w:szCs w:val="24"/>
        </w:rPr>
        <w:t xml:space="preserve">additional education dollars directed to school districts </w:t>
      </w:r>
      <w:r w:rsidR="00513471">
        <w:rPr>
          <w:rFonts w:ascii="Times New Roman" w:hAnsi="Times New Roman" w:cs="Times New Roman"/>
          <w:sz w:val="24"/>
          <w:szCs w:val="24"/>
        </w:rPr>
        <w:t xml:space="preserve">in affluent areas. </w:t>
      </w:r>
      <w:r>
        <w:rPr>
          <w:rFonts w:ascii="Times New Roman" w:hAnsi="Times New Roman" w:cs="Times New Roman"/>
          <w:sz w:val="24"/>
          <w:szCs w:val="24"/>
        </w:rPr>
        <w:t xml:space="preserve">Based on research indicating that school funding is more impactful when directed at minority and disadvantaged students </w:t>
      </w:r>
      <w:r w:rsidRPr="00732BDF">
        <w:rPr>
          <w:rFonts w:ascii="Times New Roman" w:hAnsi="Times New Roman" w:cs="Times New Roman"/>
          <w:sz w:val="24"/>
          <w:szCs w:val="24"/>
        </w:rPr>
        <w:t>(Grissmer, Flanagan and Williamson, 1997)</w:t>
      </w:r>
      <w:r>
        <w:rPr>
          <w:rFonts w:ascii="Times New Roman" w:hAnsi="Times New Roman" w:cs="Times New Roman"/>
          <w:sz w:val="24"/>
          <w:szCs w:val="24"/>
        </w:rPr>
        <w:t xml:space="preserve">, </w:t>
      </w:r>
      <w:r w:rsidR="00513471">
        <w:rPr>
          <w:rFonts w:ascii="Times New Roman" w:hAnsi="Times New Roman" w:cs="Times New Roman"/>
          <w:sz w:val="24"/>
          <w:szCs w:val="24"/>
        </w:rPr>
        <w:t xml:space="preserve">she </w:t>
      </w:r>
      <w:r>
        <w:rPr>
          <w:rFonts w:ascii="Times New Roman" w:hAnsi="Times New Roman" w:cs="Times New Roman"/>
          <w:sz w:val="24"/>
          <w:szCs w:val="24"/>
        </w:rPr>
        <w:t>argue</w:t>
      </w:r>
      <w:r w:rsidR="00513471">
        <w:rPr>
          <w:rFonts w:ascii="Times New Roman" w:hAnsi="Times New Roman" w:cs="Times New Roman"/>
          <w:sz w:val="24"/>
          <w:szCs w:val="24"/>
        </w:rPr>
        <w:t>s</w:t>
      </w:r>
      <w:r>
        <w:rPr>
          <w:rFonts w:ascii="Times New Roman" w:hAnsi="Times New Roman" w:cs="Times New Roman"/>
          <w:sz w:val="24"/>
          <w:szCs w:val="24"/>
        </w:rPr>
        <w:t xml:space="preserve"> that </w:t>
      </w:r>
      <w:r w:rsidR="00513471">
        <w:rPr>
          <w:rFonts w:ascii="Times New Roman" w:hAnsi="Times New Roman" w:cs="Times New Roman"/>
          <w:sz w:val="24"/>
          <w:szCs w:val="24"/>
        </w:rPr>
        <w:t xml:space="preserve">additional </w:t>
      </w:r>
      <w:r>
        <w:rPr>
          <w:rFonts w:ascii="Times New Roman" w:hAnsi="Times New Roman" w:cs="Times New Roman"/>
          <w:sz w:val="24"/>
          <w:szCs w:val="24"/>
        </w:rPr>
        <w:t xml:space="preserve">funds </w:t>
      </w:r>
      <w:r w:rsidR="00513471">
        <w:rPr>
          <w:rFonts w:ascii="Times New Roman" w:hAnsi="Times New Roman" w:cs="Times New Roman"/>
          <w:sz w:val="24"/>
          <w:szCs w:val="24"/>
        </w:rPr>
        <w:t>provided to w</w:t>
      </w:r>
      <w:r>
        <w:rPr>
          <w:rFonts w:ascii="Times New Roman" w:hAnsi="Times New Roman" w:cs="Times New Roman"/>
          <w:sz w:val="24"/>
          <w:szCs w:val="24"/>
        </w:rPr>
        <w:t>ealthier schools</w:t>
      </w:r>
      <w:r w:rsidR="00513471">
        <w:rPr>
          <w:rFonts w:ascii="Times New Roman" w:hAnsi="Times New Roman" w:cs="Times New Roman"/>
          <w:sz w:val="24"/>
          <w:szCs w:val="24"/>
        </w:rPr>
        <w:t xml:space="preserve"> </w:t>
      </w:r>
      <w:r>
        <w:rPr>
          <w:rFonts w:ascii="Times New Roman" w:hAnsi="Times New Roman" w:cs="Times New Roman"/>
          <w:sz w:val="24"/>
          <w:szCs w:val="24"/>
        </w:rPr>
        <w:t xml:space="preserve">have </w:t>
      </w:r>
      <w:r w:rsidR="00513471">
        <w:rPr>
          <w:rFonts w:ascii="Times New Roman" w:hAnsi="Times New Roman" w:cs="Times New Roman"/>
          <w:sz w:val="24"/>
          <w:szCs w:val="24"/>
        </w:rPr>
        <w:t>less</w:t>
      </w:r>
      <w:r>
        <w:rPr>
          <w:rFonts w:ascii="Times New Roman" w:hAnsi="Times New Roman" w:cs="Times New Roman"/>
          <w:sz w:val="24"/>
          <w:szCs w:val="24"/>
        </w:rPr>
        <w:t xml:space="preserve"> </w:t>
      </w:r>
      <w:r w:rsidR="00513471">
        <w:rPr>
          <w:rFonts w:ascii="Times New Roman" w:hAnsi="Times New Roman" w:cs="Times New Roman"/>
          <w:sz w:val="24"/>
          <w:szCs w:val="24"/>
        </w:rPr>
        <w:t xml:space="preserve">positive </w:t>
      </w:r>
      <w:r>
        <w:rPr>
          <w:rFonts w:ascii="Times New Roman" w:hAnsi="Times New Roman" w:cs="Times New Roman"/>
          <w:sz w:val="24"/>
          <w:szCs w:val="24"/>
        </w:rPr>
        <w:t>impact on students than i</w:t>
      </w:r>
      <w:r w:rsidR="00513471">
        <w:rPr>
          <w:rFonts w:ascii="Times New Roman" w:hAnsi="Times New Roman" w:cs="Times New Roman"/>
          <w:sz w:val="24"/>
          <w:szCs w:val="24"/>
        </w:rPr>
        <w:t>f the same money had been spent on</w:t>
      </w:r>
      <w:r>
        <w:rPr>
          <w:rFonts w:ascii="Times New Roman" w:hAnsi="Times New Roman" w:cs="Times New Roman"/>
          <w:sz w:val="24"/>
          <w:szCs w:val="24"/>
        </w:rPr>
        <w:t xml:space="preserve"> students </w:t>
      </w:r>
      <w:r w:rsidR="00513471">
        <w:rPr>
          <w:rFonts w:ascii="Times New Roman" w:hAnsi="Times New Roman" w:cs="Times New Roman"/>
          <w:sz w:val="24"/>
          <w:szCs w:val="24"/>
        </w:rPr>
        <w:t xml:space="preserve">attending schools </w:t>
      </w:r>
      <w:r>
        <w:rPr>
          <w:rFonts w:ascii="Times New Roman" w:hAnsi="Times New Roman" w:cs="Times New Roman"/>
          <w:sz w:val="24"/>
          <w:szCs w:val="24"/>
        </w:rPr>
        <w:t xml:space="preserve">in lower income neighborhoods (2007, </w:t>
      </w:r>
      <w:r w:rsidR="00513471">
        <w:rPr>
          <w:rFonts w:ascii="Times New Roman" w:hAnsi="Times New Roman" w:cs="Times New Roman"/>
          <w:sz w:val="24"/>
          <w:szCs w:val="24"/>
        </w:rPr>
        <w:t xml:space="preserve">p. </w:t>
      </w:r>
      <w:r>
        <w:rPr>
          <w:rFonts w:ascii="Times New Roman" w:hAnsi="Times New Roman" w:cs="Times New Roman"/>
          <w:sz w:val="24"/>
          <w:szCs w:val="24"/>
        </w:rPr>
        <w:t>39)</w:t>
      </w:r>
      <w:r w:rsidR="00513471">
        <w:rPr>
          <w:rFonts w:ascii="Times New Roman" w:hAnsi="Times New Roman" w:cs="Times New Roman"/>
          <w:sz w:val="24"/>
          <w:szCs w:val="24"/>
        </w:rPr>
        <w:t>.</w:t>
      </w:r>
      <w:r w:rsidR="003C5C23">
        <w:rPr>
          <w:rFonts w:ascii="Times New Roman" w:hAnsi="Times New Roman" w:cs="Times New Roman"/>
          <w:sz w:val="24"/>
          <w:szCs w:val="24"/>
        </w:rPr>
        <w:t xml:space="preserve">  Finally, some education policy experts are concerned that </w:t>
      </w:r>
    </w:p>
    <w:p w:rsidR="00B51A14" w:rsidRDefault="003C5C23" w:rsidP="00B51A14">
      <w:pPr>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schools that rely heavily upon revenue raised by private organizations may yield too much influence to these organizations. </w:t>
      </w:r>
      <w:r w:rsidR="00495EBF">
        <w:rPr>
          <w:rFonts w:ascii="Times New Roman" w:hAnsi="Times New Roman" w:cs="Times New Roman"/>
          <w:sz w:val="24"/>
          <w:szCs w:val="24"/>
        </w:rPr>
        <w:t xml:space="preserve">As Deitrick </w:t>
      </w:r>
      <w:r>
        <w:rPr>
          <w:rFonts w:ascii="Times New Roman" w:hAnsi="Times New Roman" w:cs="Times New Roman"/>
          <w:sz w:val="24"/>
          <w:szCs w:val="24"/>
        </w:rPr>
        <w:t xml:space="preserve">puts it, </w:t>
      </w:r>
      <w:r w:rsidR="00495EBF">
        <w:rPr>
          <w:rFonts w:ascii="Times New Roman" w:hAnsi="Times New Roman" w:cs="Times New Roman"/>
          <w:sz w:val="24"/>
          <w:szCs w:val="24"/>
        </w:rPr>
        <w:t xml:space="preserve"> “If and when LEF funds represent a significant portion of a school district’s annual budget, the influence of a private LEF board could become significant to the point of mitigating the decision-making of a publicly elected school board” (2009, 193).</w:t>
      </w:r>
      <w:r>
        <w:rPr>
          <w:rFonts w:ascii="Times New Roman" w:hAnsi="Times New Roman" w:cs="Times New Roman"/>
          <w:sz w:val="24"/>
          <w:szCs w:val="24"/>
        </w:rPr>
        <w:t xml:space="preserve"> Ravitch (2000) </w:t>
      </w:r>
      <w:r w:rsidR="00B51A14">
        <w:rPr>
          <w:rFonts w:ascii="Times New Roman" w:hAnsi="Times New Roman" w:cs="Times New Roman"/>
          <w:sz w:val="24"/>
          <w:szCs w:val="24"/>
        </w:rPr>
        <w:t>expresses this same concern, but much more adamantly.</w:t>
      </w:r>
      <w:r w:rsidRPr="00B51A14">
        <w:rPr>
          <w:rFonts w:ascii="Times New Roman" w:hAnsi="Times New Roman" w:cs="Times New Roman"/>
          <w:sz w:val="24"/>
          <w:szCs w:val="24"/>
          <w:vertAlign w:val="superscript"/>
        </w:rPr>
        <w:t>8</w:t>
      </w:r>
      <w:r w:rsidR="00B51A14">
        <w:rPr>
          <w:rFonts w:ascii="Times New Roman" w:hAnsi="Times New Roman" w:cs="Times New Roman"/>
          <w:sz w:val="24"/>
          <w:szCs w:val="24"/>
          <w:vertAlign w:val="superscript"/>
        </w:rPr>
        <w:t xml:space="preserve">  </w:t>
      </w:r>
    </w:p>
    <w:p w:rsidR="00185E87" w:rsidRDefault="00B51A14" w:rsidP="00B51A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probably inevitable that studies of public education provoke debate over the basic principles of democratic theory. What is the proper relationship between public sector institutions and the private institutions with which they interact? How much disparity in levels of </w:t>
      </w:r>
      <w:r>
        <w:rPr>
          <w:rFonts w:ascii="Times New Roman" w:hAnsi="Times New Roman" w:cs="Times New Roman"/>
          <w:sz w:val="24"/>
          <w:szCs w:val="24"/>
        </w:rPr>
        <w:lastRenderedPageBreak/>
        <w:t xml:space="preserve">public service provision is acceptable, and to what extent may such disparities be functions of wealth and income?  We have broached here some of the issues that arise in this context. To give them adequate consideration, however, must be left for another time, another place, and another paper.    </w:t>
      </w:r>
    </w:p>
    <w:p w:rsidR="00495EBF" w:rsidRDefault="00495EBF">
      <w:pPr>
        <w:rPr>
          <w:rFonts w:ascii="Times New Roman" w:hAnsi="Times New Roman" w:cs="Times New Roman"/>
          <w:sz w:val="24"/>
          <w:szCs w:val="24"/>
        </w:rPr>
      </w:pPr>
      <w:r>
        <w:rPr>
          <w:rFonts w:ascii="Times New Roman" w:hAnsi="Times New Roman" w:cs="Times New Roman"/>
          <w:sz w:val="24"/>
          <w:szCs w:val="24"/>
        </w:rPr>
        <w:br w:type="page"/>
      </w:r>
    </w:p>
    <w:p w:rsidR="00B657B5" w:rsidRDefault="00B657B5">
      <w:pPr>
        <w:rPr>
          <w:rFonts w:ascii="Times New Roman" w:hAnsi="Times New Roman" w:cs="Times New Roman"/>
          <w:sz w:val="24"/>
          <w:szCs w:val="24"/>
        </w:rPr>
      </w:pPr>
    </w:p>
    <w:p w:rsidR="00185E87" w:rsidRPr="00185E87" w:rsidRDefault="00185E87" w:rsidP="008B627D">
      <w:pPr>
        <w:spacing w:after="0" w:line="480" w:lineRule="auto"/>
        <w:rPr>
          <w:rFonts w:ascii="Times New Roman" w:hAnsi="Times New Roman" w:cs="Times New Roman"/>
          <w:b/>
          <w:sz w:val="24"/>
          <w:szCs w:val="24"/>
        </w:rPr>
      </w:pPr>
      <w:r w:rsidRPr="00185E87">
        <w:rPr>
          <w:rFonts w:ascii="Times New Roman" w:hAnsi="Times New Roman" w:cs="Times New Roman"/>
          <w:b/>
          <w:sz w:val="24"/>
          <w:szCs w:val="24"/>
        </w:rPr>
        <w:t xml:space="preserve">Endnotes </w:t>
      </w:r>
    </w:p>
    <w:p w:rsidR="00185E87" w:rsidRDefault="00185E87" w:rsidP="00185E87">
      <w:pPr>
        <w:pStyle w:val="FootnoteText"/>
        <w:rPr>
          <w:rFonts w:ascii="Times New Roman" w:hAnsi="Times New Roman" w:cs="Times New Roman"/>
          <w:sz w:val="24"/>
          <w:szCs w:val="24"/>
        </w:rPr>
      </w:pPr>
      <w:r w:rsidRPr="00185E87">
        <w:rPr>
          <w:rFonts w:ascii="Times New Roman" w:hAnsi="Times New Roman" w:cs="Times New Roman"/>
          <w:sz w:val="24"/>
          <w:szCs w:val="24"/>
        </w:rPr>
        <w:t xml:space="preserve">1. Of the approximately 1000 districts in California, </w:t>
      </w:r>
      <w:r w:rsidR="008976DD">
        <w:rPr>
          <w:rFonts w:ascii="Times New Roman" w:hAnsi="Times New Roman" w:cs="Times New Roman"/>
          <w:sz w:val="24"/>
          <w:szCs w:val="24"/>
        </w:rPr>
        <w:t>125</w:t>
      </w:r>
      <w:r w:rsidRPr="00185E87">
        <w:rPr>
          <w:rFonts w:ascii="Times New Roman" w:hAnsi="Times New Roman" w:cs="Times New Roman"/>
          <w:sz w:val="24"/>
          <w:szCs w:val="24"/>
        </w:rPr>
        <w:t xml:space="preserve"> </w:t>
      </w:r>
      <w:r w:rsidR="008976DD">
        <w:rPr>
          <w:rFonts w:ascii="Times New Roman" w:hAnsi="Times New Roman" w:cs="Times New Roman"/>
          <w:sz w:val="24"/>
          <w:szCs w:val="24"/>
        </w:rPr>
        <w:t xml:space="preserve">currently collect amounts of revenue from local property that exceed the school district </w:t>
      </w:r>
      <w:r w:rsidRPr="00185E87">
        <w:rPr>
          <w:rFonts w:ascii="Times New Roman" w:hAnsi="Times New Roman" w:cs="Times New Roman"/>
          <w:sz w:val="24"/>
          <w:szCs w:val="24"/>
        </w:rPr>
        <w:t>revenue limit. These are called basic aid districts</w:t>
      </w:r>
      <w:r w:rsidR="008976DD">
        <w:rPr>
          <w:rFonts w:ascii="Times New Roman" w:hAnsi="Times New Roman" w:cs="Times New Roman"/>
          <w:sz w:val="24"/>
          <w:szCs w:val="24"/>
        </w:rPr>
        <w:t>,</w:t>
      </w:r>
      <w:r w:rsidRPr="00185E87">
        <w:rPr>
          <w:rFonts w:ascii="Times New Roman" w:hAnsi="Times New Roman" w:cs="Times New Roman"/>
          <w:sz w:val="24"/>
          <w:szCs w:val="24"/>
        </w:rPr>
        <w:t xml:space="preserve"> and they are allowed to </w:t>
      </w:r>
      <w:r w:rsidR="008976DD">
        <w:rPr>
          <w:rFonts w:ascii="Times New Roman" w:hAnsi="Times New Roman" w:cs="Times New Roman"/>
          <w:sz w:val="24"/>
          <w:szCs w:val="24"/>
        </w:rPr>
        <w:t xml:space="preserve">retain </w:t>
      </w:r>
      <w:r w:rsidRPr="00185E87">
        <w:rPr>
          <w:rFonts w:ascii="Times New Roman" w:hAnsi="Times New Roman" w:cs="Times New Roman"/>
          <w:sz w:val="24"/>
          <w:szCs w:val="24"/>
        </w:rPr>
        <w:t xml:space="preserve">this additional revenue. </w:t>
      </w:r>
    </w:p>
    <w:p w:rsidR="00727D07" w:rsidRDefault="00727D07" w:rsidP="00185E87">
      <w:pPr>
        <w:pStyle w:val="FootnoteText"/>
        <w:rPr>
          <w:rFonts w:ascii="Times New Roman" w:hAnsi="Times New Roman" w:cs="Times New Roman"/>
          <w:sz w:val="24"/>
          <w:szCs w:val="24"/>
        </w:rPr>
      </w:pPr>
    </w:p>
    <w:p w:rsidR="00727D07" w:rsidRDefault="00727D07" w:rsidP="00727D07">
      <w:pPr>
        <w:pStyle w:val="FootnoteText"/>
        <w:rPr>
          <w:rFonts w:ascii="Times New Roman" w:hAnsi="Times New Roman" w:cs="Times New Roman"/>
          <w:sz w:val="24"/>
          <w:szCs w:val="24"/>
        </w:rPr>
      </w:pPr>
      <w:r>
        <w:rPr>
          <w:rFonts w:ascii="Times New Roman" w:hAnsi="Times New Roman" w:cs="Times New Roman"/>
          <w:sz w:val="24"/>
          <w:szCs w:val="24"/>
        </w:rPr>
        <w:t xml:space="preserve">2. </w:t>
      </w:r>
      <w:r w:rsidRPr="00B872A6">
        <w:rPr>
          <w:rFonts w:ascii="Times New Roman" w:hAnsi="Times New Roman" w:cs="Times New Roman"/>
          <w:sz w:val="24"/>
          <w:szCs w:val="24"/>
        </w:rPr>
        <w:t>Sattem</w:t>
      </w:r>
      <w:r>
        <w:rPr>
          <w:rFonts w:ascii="Times New Roman" w:hAnsi="Times New Roman" w:cs="Times New Roman"/>
          <w:sz w:val="24"/>
          <w:szCs w:val="24"/>
        </w:rPr>
        <w:t xml:space="preserve"> (2007)</w:t>
      </w:r>
      <w:r w:rsidRPr="00B872A6">
        <w:rPr>
          <w:rFonts w:ascii="Times New Roman" w:hAnsi="Times New Roman" w:cs="Times New Roman"/>
          <w:sz w:val="24"/>
          <w:szCs w:val="24"/>
        </w:rPr>
        <w:t xml:space="preserve"> </w:t>
      </w:r>
      <w:r w:rsidR="00443BCB">
        <w:rPr>
          <w:rFonts w:ascii="Times New Roman" w:hAnsi="Times New Roman" w:cs="Times New Roman"/>
          <w:sz w:val="24"/>
          <w:szCs w:val="24"/>
        </w:rPr>
        <w:t>reports similar r</w:t>
      </w:r>
      <w:r>
        <w:rPr>
          <w:rFonts w:ascii="Times New Roman" w:hAnsi="Times New Roman" w:cs="Times New Roman"/>
          <w:sz w:val="24"/>
          <w:szCs w:val="24"/>
        </w:rPr>
        <w:t>esult</w:t>
      </w:r>
      <w:r w:rsidR="00443BCB">
        <w:rPr>
          <w:rFonts w:ascii="Times New Roman" w:hAnsi="Times New Roman" w:cs="Times New Roman"/>
          <w:sz w:val="24"/>
          <w:szCs w:val="24"/>
        </w:rPr>
        <w:t>s</w:t>
      </w:r>
      <w:r>
        <w:rPr>
          <w:rFonts w:ascii="Times New Roman" w:hAnsi="Times New Roman" w:cs="Times New Roman"/>
          <w:sz w:val="24"/>
          <w:szCs w:val="24"/>
        </w:rPr>
        <w:t xml:space="preserve"> in Oregon </w:t>
      </w:r>
      <w:r w:rsidR="00443BCB">
        <w:rPr>
          <w:rFonts w:ascii="Times New Roman" w:hAnsi="Times New Roman" w:cs="Times New Roman"/>
          <w:sz w:val="24"/>
          <w:szCs w:val="24"/>
        </w:rPr>
        <w:t xml:space="preserve">following approval </w:t>
      </w:r>
      <w:r>
        <w:rPr>
          <w:rFonts w:ascii="Times New Roman" w:hAnsi="Times New Roman" w:cs="Times New Roman"/>
          <w:sz w:val="24"/>
          <w:szCs w:val="24"/>
        </w:rPr>
        <w:t>of Ballot Measure 5</w:t>
      </w:r>
      <w:r w:rsidR="00443BCB">
        <w:rPr>
          <w:rFonts w:ascii="Times New Roman" w:hAnsi="Times New Roman" w:cs="Times New Roman"/>
          <w:sz w:val="24"/>
          <w:szCs w:val="24"/>
        </w:rPr>
        <w:t>,</w:t>
      </w:r>
      <w:r>
        <w:rPr>
          <w:rFonts w:ascii="Times New Roman" w:hAnsi="Times New Roman" w:cs="Times New Roman"/>
          <w:sz w:val="24"/>
          <w:szCs w:val="24"/>
        </w:rPr>
        <w:t xml:space="preserve"> which </w:t>
      </w:r>
      <w:r w:rsidR="00600197">
        <w:rPr>
          <w:rFonts w:ascii="Times New Roman" w:hAnsi="Times New Roman" w:cs="Times New Roman"/>
          <w:sz w:val="24"/>
          <w:szCs w:val="24"/>
        </w:rPr>
        <w:t>also l</w:t>
      </w:r>
      <w:r>
        <w:rPr>
          <w:rFonts w:ascii="Times New Roman" w:hAnsi="Times New Roman" w:cs="Times New Roman"/>
          <w:sz w:val="24"/>
          <w:szCs w:val="24"/>
        </w:rPr>
        <w:t>imited property taxes.</w:t>
      </w:r>
    </w:p>
    <w:p w:rsidR="00727D07" w:rsidRDefault="00727D07" w:rsidP="00727D07">
      <w:pPr>
        <w:pStyle w:val="FootnoteText"/>
        <w:rPr>
          <w:rFonts w:ascii="Times New Roman" w:hAnsi="Times New Roman" w:cs="Times New Roman"/>
          <w:sz w:val="24"/>
          <w:szCs w:val="24"/>
        </w:rPr>
      </w:pPr>
    </w:p>
    <w:p w:rsidR="00727D07" w:rsidRDefault="00727D07" w:rsidP="00727D07">
      <w:pPr>
        <w:pStyle w:val="FootnoteText"/>
        <w:rPr>
          <w:rFonts w:ascii="Times New Roman" w:hAnsi="Times New Roman" w:cs="Times New Roman"/>
          <w:sz w:val="24"/>
          <w:szCs w:val="24"/>
        </w:rPr>
      </w:pPr>
      <w:r>
        <w:rPr>
          <w:rFonts w:ascii="Times New Roman" w:hAnsi="Times New Roman" w:cs="Times New Roman"/>
          <w:sz w:val="24"/>
          <w:szCs w:val="24"/>
        </w:rPr>
        <w:t>3. When Proposition 13 was approved in 1978 valuation was initially set at assessed value</w:t>
      </w:r>
      <w:r w:rsidR="00373A13">
        <w:rPr>
          <w:rFonts w:ascii="Times New Roman" w:hAnsi="Times New Roman" w:cs="Times New Roman"/>
          <w:sz w:val="24"/>
          <w:szCs w:val="24"/>
        </w:rPr>
        <w:t xml:space="preserve"> specified on the 1975-76 tax bill</w:t>
      </w:r>
      <w:r>
        <w:rPr>
          <w:rFonts w:ascii="Times New Roman" w:hAnsi="Times New Roman" w:cs="Times New Roman"/>
          <w:sz w:val="24"/>
          <w:szCs w:val="24"/>
        </w:rPr>
        <w:t>.</w:t>
      </w:r>
      <w:r w:rsidR="00373A13">
        <w:rPr>
          <w:rFonts w:ascii="Times New Roman" w:hAnsi="Times New Roman" w:cs="Times New Roman"/>
          <w:sz w:val="24"/>
          <w:szCs w:val="24"/>
        </w:rPr>
        <w:t xml:space="preserve"> </w:t>
      </w:r>
      <w:r>
        <w:rPr>
          <w:rFonts w:ascii="Times New Roman" w:hAnsi="Times New Roman" w:cs="Times New Roman"/>
          <w:sz w:val="24"/>
          <w:szCs w:val="24"/>
        </w:rPr>
        <w:t>When property values fall during periods or recession, property owners may file a decline-in-value petition to have their property taxes adjusted downward.</w:t>
      </w:r>
      <w:r w:rsidR="00373A13">
        <w:rPr>
          <w:rFonts w:ascii="Times New Roman" w:hAnsi="Times New Roman" w:cs="Times New Roman"/>
          <w:sz w:val="24"/>
          <w:szCs w:val="24"/>
        </w:rPr>
        <w:t xml:space="preserve"> </w:t>
      </w:r>
      <w:r w:rsidR="00C660CD">
        <w:rPr>
          <w:rFonts w:ascii="Times New Roman" w:hAnsi="Times New Roman" w:cs="Times New Roman"/>
          <w:sz w:val="24"/>
          <w:szCs w:val="24"/>
        </w:rPr>
        <w:t>When property values subsequently recover assessed value is restored to its original value.</w:t>
      </w:r>
      <w:r>
        <w:rPr>
          <w:rFonts w:ascii="Times New Roman" w:hAnsi="Times New Roman" w:cs="Times New Roman"/>
          <w:sz w:val="24"/>
          <w:szCs w:val="24"/>
        </w:rPr>
        <w:t xml:space="preserve">  </w:t>
      </w:r>
    </w:p>
    <w:p w:rsidR="00600197" w:rsidRDefault="00600197" w:rsidP="00727D07">
      <w:pPr>
        <w:pStyle w:val="FootnoteText"/>
        <w:rPr>
          <w:rFonts w:ascii="Times New Roman" w:hAnsi="Times New Roman" w:cs="Times New Roman"/>
          <w:sz w:val="24"/>
          <w:szCs w:val="24"/>
        </w:rPr>
      </w:pPr>
    </w:p>
    <w:p w:rsidR="00600197" w:rsidRDefault="00600197" w:rsidP="00727D07">
      <w:pPr>
        <w:pStyle w:val="FootnoteText"/>
        <w:rPr>
          <w:rFonts w:ascii="Times New Roman" w:hAnsi="Times New Roman" w:cs="Times New Roman"/>
          <w:sz w:val="24"/>
          <w:szCs w:val="24"/>
        </w:rPr>
      </w:pPr>
      <w:r>
        <w:rPr>
          <w:rFonts w:ascii="Times New Roman" w:hAnsi="Times New Roman" w:cs="Times New Roman"/>
          <w:sz w:val="24"/>
          <w:szCs w:val="24"/>
        </w:rPr>
        <w:t xml:space="preserve">4. </w:t>
      </w:r>
      <w:r w:rsidR="007B6FFA">
        <w:rPr>
          <w:rFonts w:ascii="Times New Roman" w:hAnsi="Times New Roman" w:cs="Times New Roman"/>
          <w:sz w:val="24"/>
          <w:szCs w:val="24"/>
        </w:rPr>
        <w:t xml:space="preserve">In contrast to the super-majority requirement for approval of parcel taxes, only a simple majority is required to override Gann spending limits. Such ballot measures are almost always approved.  </w:t>
      </w:r>
    </w:p>
    <w:p w:rsidR="00727D07" w:rsidRDefault="00727D07" w:rsidP="00727D07">
      <w:pPr>
        <w:pStyle w:val="FootnoteText"/>
        <w:rPr>
          <w:rFonts w:ascii="Times New Roman" w:hAnsi="Times New Roman" w:cs="Times New Roman"/>
          <w:sz w:val="24"/>
          <w:szCs w:val="24"/>
        </w:rPr>
      </w:pPr>
    </w:p>
    <w:p w:rsidR="007B6FFA" w:rsidRDefault="007B6FFA" w:rsidP="00727D07">
      <w:pPr>
        <w:pStyle w:val="FootnoteText"/>
        <w:rPr>
          <w:rFonts w:ascii="Times New Roman" w:hAnsi="Times New Roman" w:cs="Times New Roman"/>
          <w:sz w:val="24"/>
          <w:szCs w:val="24"/>
        </w:rPr>
      </w:pPr>
      <w:r>
        <w:rPr>
          <w:rFonts w:ascii="Times New Roman" w:hAnsi="Times New Roman" w:cs="Times New Roman"/>
          <w:sz w:val="24"/>
          <w:szCs w:val="24"/>
        </w:rPr>
        <w:t xml:space="preserve">5.  A little more comparative statics needs to be done here. In all likelihood lowering the threshold for approval of parcel taxes to 55% would also encourage proposers to request higher levels of taxation, and so lower the approval rate. </w:t>
      </w:r>
    </w:p>
    <w:p w:rsidR="00AA11DD" w:rsidRDefault="00AA11DD" w:rsidP="00727D07">
      <w:pPr>
        <w:pStyle w:val="FootnoteText"/>
        <w:rPr>
          <w:rFonts w:ascii="Times New Roman" w:hAnsi="Times New Roman" w:cs="Times New Roman"/>
          <w:sz w:val="24"/>
          <w:szCs w:val="24"/>
        </w:rPr>
      </w:pPr>
    </w:p>
    <w:p w:rsidR="00AA11DD" w:rsidRDefault="00AA11DD" w:rsidP="00AA11D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6.  We have not yet collected data on PTA’s with annual revenue below $75,000. We expect that there are well over a thousand such PTA’s. </w:t>
      </w:r>
      <w:r>
        <w:rPr>
          <w:rFonts w:ascii="Times New Roman" w:hAnsi="Times New Roman" w:cs="Times New Roman"/>
          <w:b/>
          <w:sz w:val="24"/>
          <w:szCs w:val="24"/>
        </w:rPr>
        <w:tab/>
      </w:r>
    </w:p>
    <w:p w:rsidR="005B7EF1" w:rsidRDefault="005B7EF1" w:rsidP="00AA11DD">
      <w:pPr>
        <w:pStyle w:val="ListParagraph"/>
        <w:spacing w:after="0" w:line="240" w:lineRule="auto"/>
        <w:ind w:left="0"/>
        <w:jc w:val="both"/>
        <w:rPr>
          <w:rFonts w:ascii="Times New Roman" w:hAnsi="Times New Roman" w:cs="Times New Roman"/>
          <w:b/>
          <w:sz w:val="24"/>
          <w:szCs w:val="24"/>
        </w:rPr>
      </w:pPr>
    </w:p>
    <w:p w:rsidR="005B7EF1" w:rsidRDefault="005B7EF1" w:rsidP="005B7EF1">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It should be noted that some school districts are very small, comprising only one or perhaps two small elementary schools.</w:t>
      </w:r>
    </w:p>
    <w:p w:rsidR="00495EBF" w:rsidRDefault="00495EBF" w:rsidP="005B7EF1">
      <w:pPr>
        <w:pStyle w:val="ListParagraph"/>
        <w:spacing w:after="0" w:line="240" w:lineRule="auto"/>
        <w:ind w:left="0"/>
        <w:jc w:val="both"/>
        <w:rPr>
          <w:rFonts w:ascii="Times New Roman" w:hAnsi="Times New Roman" w:cs="Times New Roman"/>
          <w:sz w:val="24"/>
          <w:szCs w:val="24"/>
        </w:rPr>
      </w:pPr>
    </w:p>
    <w:p w:rsidR="00495EBF" w:rsidRDefault="00495EBF" w:rsidP="00495EB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1B6241">
        <w:rPr>
          <w:rFonts w:ascii="Times New Roman" w:hAnsi="Times New Roman" w:cs="Times New Roman"/>
          <w:sz w:val="24"/>
          <w:szCs w:val="24"/>
        </w:rPr>
        <w:t>Ravitch</w:t>
      </w:r>
      <w:r w:rsidR="003C5C23">
        <w:rPr>
          <w:rFonts w:ascii="Times New Roman" w:hAnsi="Times New Roman" w:cs="Times New Roman"/>
          <w:sz w:val="24"/>
          <w:szCs w:val="24"/>
        </w:rPr>
        <w:t xml:space="preserve"> (2010), </w:t>
      </w:r>
      <w:r w:rsidRPr="001B6241">
        <w:rPr>
          <w:rFonts w:ascii="Times New Roman" w:hAnsi="Times New Roman" w:cs="Times New Roman"/>
          <w:sz w:val="24"/>
          <w:szCs w:val="24"/>
        </w:rPr>
        <w:t>a vocal critic of what she sees as the privatization of public education</w:t>
      </w:r>
      <w:r>
        <w:rPr>
          <w:rFonts w:ascii="Times New Roman" w:hAnsi="Times New Roman" w:cs="Times New Roman"/>
          <w:sz w:val="24"/>
          <w:szCs w:val="24"/>
        </w:rPr>
        <w:t xml:space="preserve"> through nonprofit foundations</w:t>
      </w:r>
      <w:r w:rsidR="003C5C23">
        <w:rPr>
          <w:rFonts w:ascii="Times New Roman" w:hAnsi="Times New Roman" w:cs="Times New Roman"/>
          <w:sz w:val="24"/>
          <w:szCs w:val="24"/>
        </w:rPr>
        <w:t>,</w:t>
      </w:r>
      <w:r w:rsidRPr="001B6241">
        <w:rPr>
          <w:rFonts w:ascii="Times New Roman" w:hAnsi="Times New Roman" w:cs="Times New Roman"/>
          <w:sz w:val="24"/>
          <w:szCs w:val="24"/>
        </w:rPr>
        <w:t xml:space="preserve"> puts it </w:t>
      </w:r>
      <w:r w:rsidR="003C5C23">
        <w:rPr>
          <w:rFonts w:ascii="Times New Roman" w:hAnsi="Times New Roman" w:cs="Times New Roman"/>
          <w:sz w:val="24"/>
          <w:szCs w:val="24"/>
        </w:rPr>
        <w:t>this way</w:t>
      </w:r>
      <w:r>
        <w:rPr>
          <w:rFonts w:ascii="Times New Roman" w:hAnsi="Times New Roman" w:cs="Times New Roman"/>
          <w:color w:val="000000"/>
          <w:sz w:val="24"/>
          <w:szCs w:val="24"/>
        </w:rPr>
        <w:t>:</w:t>
      </w:r>
    </w:p>
    <w:p w:rsidR="00495EBF" w:rsidRDefault="00495EBF" w:rsidP="00495EBF">
      <w:pPr>
        <w:spacing w:after="0" w:line="240" w:lineRule="auto"/>
        <w:ind w:firstLine="720"/>
        <w:rPr>
          <w:rFonts w:ascii="Times New Roman" w:hAnsi="Times New Roman" w:cs="Times New Roman"/>
          <w:color w:val="000000"/>
          <w:sz w:val="24"/>
          <w:szCs w:val="24"/>
        </w:rPr>
      </w:pPr>
      <w:r w:rsidRPr="001B6241">
        <w:rPr>
          <w:rFonts w:ascii="Times New Roman" w:hAnsi="Times New Roman" w:cs="Times New Roman"/>
          <w:color w:val="000000"/>
          <w:sz w:val="24"/>
          <w:szCs w:val="24"/>
        </w:rPr>
        <w:t xml:space="preserve">There is something fundamentally antidemocratic about relinquishing control of </w:t>
      </w:r>
    </w:p>
    <w:p w:rsidR="00495EBF" w:rsidRDefault="00495EBF" w:rsidP="00495EBF">
      <w:pPr>
        <w:spacing w:after="0" w:line="240" w:lineRule="auto"/>
        <w:ind w:left="720"/>
        <w:rPr>
          <w:rFonts w:ascii="Times New Roman" w:hAnsi="Times New Roman" w:cs="Times New Roman"/>
          <w:color w:val="000000"/>
          <w:sz w:val="24"/>
          <w:szCs w:val="24"/>
        </w:rPr>
      </w:pPr>
      <w:r w:rsidRPr="001B6241">
        <w:rPr>
          <w:rFonts w:ascii="Times New Roman" w:hAnsi="Times New Roman" w:cs="Times New Roman"/>
          <w:color w:val="000000"/>
          <w:sz w:val="24"/>
          <w:szCs w:val="24"/>
        </w:rPr>
        <w:t xml:space="preserve">the public education policy agenda to private foundations run by society’s wealthiest people; when the wealthiest of these foundations are joined in common purpose, they represent an unusually powerful force that is beyond the reach of democratic institutions.  These foundations, no matter how worthy and high-minded, are after all, not public agencies. They are not subject to public oversight or review, as a public agency would be.  They have taken it upon themselves to reform public education, perhaps in ways that would never survive the scrutiny of voters in any district or state. </w:t>
      </w:r>
      <w:r w:rsidR="003C5C23">
        <w:rPr>
          <w:rFonts w:ascii="Times New Roman" w:hAnsi="Times New Roman" w:cs="Times New Roman"/>
          <w:color w:val="000000"/>
          <w:sz w:val="24"/>
          <w:szCs w:val="24"/>
        </w:rPr>
        <w:t xml:space="preserve"> </w:t>
      </w:r>
      <w:r w:rsidRPr="001B6241">
        <w:rPr>
          <w:rFonts w:ascii="Times New Roman" w:hAnsi="Times New Roman" w:cs="Times New Roman"/>
          <w:color w:val="000000"/>
          <w:sz w:val="24"/>
          <w:szCs w:val="24"/>
        </w:rPr>
        <w:t>If voters don’t like the foundations’ reform agenda, they can’t vote them out of office. The foundations demand that public schools and teachers be held accountable for performance, but they themselves are accountable to no one. If their plans fail, no sanctions are levied against them. They are bastions of unaccountable power” (</w:t>
      </w:r>
      <w:r w:rsidR="003C5C23">
        <w:rPr>
          <w:rFonts w:ascii="Times New Roman" w:hAnsi="Times New Roman" w:cs="Times New Roman"/>
          <w:color w:val="000000"/>
          <w:sz w:val="24"/>
          <w:szCs w:val="24"/>
        </w:rPr>
        <w:t xml:space="preserve">pp. </w:t>
      </w:r>
      <w:r w:rsidRPr="001B6241">
        <w:rPr>
          <w:rFonts w:ascii="Times New Roman" w:hAnsi="Times New Roman" w:cs="Times New Roman"/>
          <w:color w:val="000000"/>
          <w:sz w:val="24"/>
          <w:szCs w:val="24"/>
        </w:rPr>
        <w:t>200-201).</w:t>
      </w:r>
    </w:p>
    <w:p w:rsidR="00145680" w:rsidRDefault="00145680">
      <w:pPr>
        <w:rPr>
          <w:rFonts w:ascii="Times New Roman" w:hAnsi="Times New Roman" w:cs="Times New Roman"/>
          <w:sz w:val="24"/>
          <w:szCs w:val="24"/>
        </w:rPr>
      </w:pPr>
      <w:r>
        <w:rPr>
          <w:rFonts w:ascii="Times New Roman" w:hAnsi="Times New Roman" w:cs="Times New Roman"/>
          <w:sz w:val="24"/>
          <w:szCs w:val="24"/>
        </w:rPr>
        <w:br w:type="page"/>
      </w:r>
    </w:p>
    <w:p w:rsidR="00625248" w:rsidRDefault="00BA5413" w:rsidP="00625248">
      <w:pPr>
        <w:spacing w:after="0" w:line="480" w:lineRule="auto"/>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Data </w:t>
      </w:r>
      <w:r w:rsidR="0052288B">
        <w:rPr>
          <w:rFonts w:ascii="Times New Roman" w:hAnsi="Times New Roman" w:cs="Times New Roman"/>
          <w:b/>
          <w:color w:val="000000"/>
          <w:sz w:val="24"/>
          <w:szCs w:val="24"/>
        </w:rPr>
        <w:t xml:space="preserve">Appendix </w:t>
      </w:r>
    </w:p>
    <w:p w:rsidR="005B01DB" w:rsidRDefault="0052288B" w:rsidP="00BA541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PTA’s, </w:t>
      </w:r>
      <w:r w:rsidR="00625248">
        <w:rPr>
          <w:rFonts w:ascii="Times New Roman" w:hAnsi="Times New Roman" w:cs="Times New Roman"/>
          <w:sz w:val="24"/>
          <w:szCs w:val="24"/>
        </w:rPr>
        <w:t xml:space="preserve">Booster Clubs, </w:t>
      </w:r>
      <w:r w:rsidR="00ED1F9B">
        <w:rPr>
          <w:rFonts w:ascii="Times New Roman" w:hAnsi="Times New Roman" w:cs="Times New Roman"/>
          <w:sz w:val="24"/>
          <w:szCs w:val="24"/>
        </w:rPr>
        <w:t xml:space="preserve">and </w:t>
      </w:r>
      <w:r w:rsidR="00625248">
        <w:rPr>
          <w:rFonts w:ascii="Times New Roman" w:hAnsi="Times New Roman" w:cs="Times New Roman"/>
          <w:sz w:val="24"/>
          <w:szCs w:val="24"/>
        </w:rPr>
        <w:t>LEF’s are 501</w:t>
      </w:r>
      <w:r w:rsidR="005B01DB">
        <w:rPr>
          <w:rFonts w:ascii="Times New Roman" w:hAnsi="Times New Roman" w:cs="Times New Roman"/>
          <w:sz w:val="24"/>
          <w:szCs w:val="24"/>
        </w:rPr>
        <w:t>(</w:t>
      </w:r>
      <w:r w:rsidR="00625248">
        <w:rPr>
          <w:rFonts w:ascii="Times New Roman" w:hAnsi="Times New Roman" w:cs="Times New Roman"/>
          <w:sz w:val="24"/>
          <w:szCs w:val="24"/>
        </w:rPr>
        <w:t>c)(3)</w:t>
      </w:r>
      <w:r w:rsidR="005B01DB">
        <w:rPr>
          <w:rFonts w:ascii="Times New Roman" w:hAnsi="Times New Roman" w:cs="Times New Roman"/>
          <w:sz w:val="24"/>
          <w:szCs w:val="24"/>
        </w:rPr>
        <w:t xml:space="preserve"> nonprofits, and c</w:t>
      </w:r>
      <w:r w:rsidRPr="00536544">
        <w:rPr>
          <w:rFonts w:ascii="Times New Roman" w:hAnsi="Times New Roman" w:cs="Times New Roman"/>
          <w:sz w:val="24"/>
          <w:szCs w:val="24"/>
        </w:rPr>
        <w:t xml:space="preserve">ollecting reliable, consistent data on </w:t>
      </w:r>
      <w:r>
        <w:rPr>
          <w:rFonts w:ascii="Times New Roman" w:hAnsi="Times New Roman" w:cs="Times New Roman"/>
          <w:sz w:val="24"/>
          <w:szCs w:val="24"/>
        </w:rPr>
        <w:t xml:space="preserve">nonprofits </w:t>
      </w:r>
      <w:r w:rsidR="00635836">
        <w:rPr>
          <w:rFonts w:ascii="Times New Roman" w:hAnsi="Times New Roman" w:cs="Times New Roman"/>
          <w:sz w:val="24"/>
          <w:szCs w:val="24"/>
        </w:rPr>
        <w:t>is beset by c</w:t>
      </w:r>
      <w:r w:rsidR="005B01DB">
        <w:rPr>
          <w:rFonts w:ascii="Times New Roman" w:hAnsi="Times New Roman" w:cs="Times New Roman"/>
          <w:sz w:val="24"/>
          <w:szCs w:val="24"/>
        </w:rPr>
        <w:t>ertain problems (</w:t>
      </w:r>
      <w:r w:rsidR="005B01DB">
        <w:rPr>
          <w:rFonts w:ascii="Times New Roman" w:hAnsi="Times New Roman"/>
          <w:sz w:val="24"/>
          <w:szCs w:val="24"/>
        </w:rPr>
        <w:t xml:space="preserve">Vaughan and Arsneault, 2014). </w:t>
      </w:r>
      <w:r w:rsidR="005B01DB">
        <w:rPr>
          <w:rFonts w:ascii="Times New Roman" w:hAnsi="Times New Roman" w:cs="Times New Roman"/>
          <w:sz w:val="24"/>
          <w:szCs w:val="24"/>
        </w:rPr>
        <w:t xml:space="preserve"> First,</w:t>
      </w:r>
      <w:r w:rsidRPr="00536544">
        <w:rPr>
          <w:rFonts w:ascii="Times New Roman" w:hAnsi="Times New Roman" w:cs="Times New Roman"/>
          <w:sz w:val="24"/>
          <w:szCs w:val="24"/>
        </w:rPr>
        <w:t xml:space="preserve"> </w:t>
      </w:r>
      <w:r w:rsidR="005B01DB">
        <w:rPr>
          <w:rFonts w:ascii="Times New Roman" w:hAnsi="Times New Roman" w:cs="Times New Roman"/>
          <w:sz w:val="24"/>
          <w:szCs w:val="24"/>
        </w:rPr>
        <w:t>n</w:t>
      </w:r>
      <w:r>
        <w:rPr>
          <w:rFonts w:ascii="Times New Roman" w:hAnsi="Times New Roman" w:cs="Times New Roman"/>
          <w:sz w:val="24"/>
          <w:szCs w:val="24"/>
        </w:rPr>
        <w:t xml:space="preserve">onprofits have been subject to serious study for </w:t>
      </w:r>
      <w:r w:rsidR="005B01DB">
        <w:rPr>
          <w:rFonts w:ascii="Times New Roman" w:hAnsi="Times New Roman" w:cs="Times New Roman"/>
          <w:sz w:val="24"/>
          <w:szCs w:val="24"/>
        </w:rPr>
        <w:t xml:space="preserve">only the past few decades. </w:t>
      </w:r>
      <w:r>
        <w:rPr>
          <w:rFonts w:ascii="Times New Roman" w:hAnsi="Times New Roman" w:cs="Times New Roman"/>
          <w:sz w:val="24"/>
          <w:szCs w:val="24"/>
        </w:rPr>
        <w:t>The National Center for Charitable Statistics (NCSS) was founded in 1982</w:t>
      </w:r>
      <w:r w:rsidR="005B01DB">
        <w:rPr>
          <w:rFonts w:ascii="Times New Roman" w:hAnsi="Times New Roman" w:cs="Times New Roman"/>
          <w:sz w:val="24"/>
          <w:szCs w:val="24"/>
        </w:rPr>
        <w:t>. T</w:t>
      </w:r>
      <w:r>
        <w:rPr>
          <w:rFonts w:ascii="Times New Roman" w:hAnsi="Times New Roman" w:cs="Times New Roman"/>
          <w:sz w:val="24"/>
          <w:szCs w:val="24"/>
        </w:rPr>
        <w:t xml:space="preserve">hey in turn created </w:t>
      </w:r>
      <w:r w:rsidRPr="00536544">
        <w:rPr>
          <w:rFonts w:ascii="Times New Roman" w:hAnsi="Times New Roman" w:cs="Times New Roman"/>
          <w:sz w:val="24"/>
          <w:szCs w:val="24"/>
        </w:rPr>
        <w:t>the National Taxonomy of Exempt Entities (NTEE)</w:t>
      </w:r>
      <w:r w:rsidR="005B01DB">
        <w:rPr>
          <w:rFonts w:ascii="Times New Roman" w:hAnsi="Times New Roman" w:cs="Times New Roman"/>
          <w:sz w:val="24"/>
          <w:szCs w:val="24"/>
        </w:rPr>
        <w:t>,</w:t>
      </w:r>
      <w:r w:rsidRPr="00536544">
        <w:rPr>
          <w:rFonts w:ascii="Times New Roman" w:hAnsi="Times New Roman" w:cs="Times New Roman"/>
          <w:sz w:val="24"/>
          <w:szCs w:val="24"/>
        </w:rPr>
        <w:t xml:space="preserve"> </w:t>
      </w:r>
      <w:r>
        <w:rPr>
          <w:rFonts w:ascii="Times New Roman" w:hAnsi="Times New Roman" w:cs="Times New Roman"/>
          <w:sz w:val="24"/>
          <w:szCs w:val="24"/>
        </w:rPr>
        <w:t xml:space="preserve">which classifies nonprofits into basic categories </w:t>
      </w:r>
      <w:r w:rsidR="00635836">
        <w:rPr>
          <w:rFonts w:ascii="Times New Roman" w:hAnsi="Times New Roman" w:cs="Times New Roman"/>
          <w:sz w:val="24"/>
          <w:szCs w:val="24"/>
        </w:rPr>
        <w:t>and</w:t>
      </w:r>
      <w:r>
        <w:rPr>
          <w:rFonts w:ascii="Times New Roman" w:hAnsi="Times New Roman" w:cs="Times New Roman"/>
          <w:sz w:val="24"/>
          <w:szCs w:val="24"/>
        </w:rPr>
        <w:t xml:space="preserve"> subcategories. The IRS</w:t>
      </w:r>
      <w:r w:rsidR="005B01DB">
        <w:rPr>
          <w:rFonts w:ascii="Times New Roman" w:hAnsi="Times New Roman" w:cs="Times New Roman"/>
          <w:sz w:val="24"/>
          <w:szCs w:val="24"/>
        </w:rPr>
        <w:t xml:space="preserve"> </w:t>
      </w:r>
      <w:r>
        <w:rPr>
          <w:rFonts w:ascii="Times New Roman" w:hAnsi="Times New Roman" w:cs="Times New Roman"/>
          <w:sz w:val="24"/>
          <w:szCs w:val="24"/>
        </w:rPr>
        <w:t xml:space="preserve">began using NTEE in codes in the 1990s.  </w:t>
      </w:r>
      <w:r w:rsidR="005B01DB">
        <w:rPr>
          <w:rFonts w:ascii="Times New Roman" w:hAnsi="Times New Roman" w:cs="Times New Roman"/>
          <w:sz w:val="24"/>
          <w:szCs w:val="24"/>
        </w:rPr>
        <w:t>A</w:t>
      </w:r>
      <w:r>
        <w:rPr>
          <w:rFonts w:ascii="Times New Roman" w:hAnsi="Times New Roman" w:cs="Times New Roman"/>
          <w:sz w:val="24"/>
          <w:szCs w:val="24"/>
        </w:rPr>
        <w:t xml:space="preserve">nother </w:t>
      </w:r>
      <w:r w:rsidR="005B01DB">
        <w:rPr>
          <w:rFonts w:ascii="Times New Roman" w:hAnsi="Times New Roman" w:cs="Times New Roman"/>
          <w:sz w:val="24"/>
          <w:szCs w:val="24"/>
        </w:rPr>
        <w:t>problem is that</w:t>
      </w:r>
      <w:r>
        <w:rPr>
          <w:rFonts w:ascii="Times New Roman" w:hAnsi="Times New Roman" w:cs="Times New Roman"/>
          <w:sz w:val="24"/>
          <w:szCs w:val="24"/>
        </w:rPr>
        <w:t xml:space="preserve"> many nonprofits are small organizations, often run by a </w:t>
      </w:r>
      <w:r w:rsidR="005B01DB">
        <w:rPr>
          <w:rFonts w:ascii="Times New Roman" w:hAnsi="Times New Roman" w:cs="Times New Roman"/>
          <w:sz w:val="24"/>
          <w:szCs w:val="24"/>
        </w:rPr>
        <w:t xml:space="preserve">small </w:t>
      </w:r>
      <w:r>
        <w:rPr>
          <w:rFonts w:ascii="Times New Roman" w:hAnsi="Times New Roman" w:cs="Times New Roman"/>
          <w:sz w:val="24"/>
          <w:szCs w:val="24"/>
        </w:rPr>
        <w:t xml:space="preserve">staff of volunteers </w:t>
      </w:r>
      <w:r w:rsidR="005B01DB">
        <w:rPr>
          <w:rFonts w:ascii="Times New Roman" w:hAnsi="Times New Roman" w:cs="Times New Roman"/>
          <w:sz w:val="24"/>
          <w:szCs w:val="24"/>
        </w:rPr>
        <w:t xml:space="preserve">with a great deal of turnover from year to year. </w:t>
      </w:r>
      <w:r>
        <w:rPr>
          <w:rFonts w:ascii="Times New Roman" w:hAnsi="Times New Roman" w:cs="Times New Roman"/>
          <w:sz w:val="24"/>
          <w:szCs w:val="24"/>
        </w:rPr>
        <w:t>This is particularly true of nonprofits that are school-based</w:t>
      </w:r>
      <w:r w:rsidR="005B01DB">
        <w:rPr>
          <w:rFonts w:ascii="Times New Roman" w:hAnsi="Times New Roman" w:cs="Times New Roman"/>
          <w:sz w:val="24"/>
          <w:szCs w:val="24"/>
        </w:rPr>
        <w:t>,</w:t>
      </w:r>
      <w:r>
        <w:rPr>
          <w:rFonts w:ascii="Times New Roman" w:hAnsi="Times New Roman" w:cs="Times New Roman"/>
          <w:sz w:val="24"/>
          <w:szCs w:val="24"/>
        </w:rPr>
        <w:t xml:space="preserve"> </w:t>
      </w:r>
      <w:r w:rsidR="005B01DB">
        <w:rPr>
          <w:rFonts w:ascii="Times New Roman" w:hAnsi="Times New Roman" w:cs="Times New Roman"/>
          <w:sz w:val="24"/>
          <w:szCs w:val="24"/>
        </w:rPr>
        <w:t xml:space="preserve">as large numbers of </w:t>
      </w:r>
      <w:r>
        <w:rPr>
          <w:rFonts w:ascii="Times New Roman" w:hAnsi="Times New Roman" w:cs="Times New Roman"/>
          <w:sz w:val="24"/>
          <w:szCs w:val="24"/>
        </w:rPr>
        <w:t xml:space="preserve">parents </w:t>
      </w:r>
      <w:r w:rsidR="005B01DB">
        <w:rPr>
          <w:rFonts w:ascii="Times New Roman" w:hAnsi="Times New Roman" w:cs="Times New Roman"/>
          <w:sz w:val="24"/>
          <w:szCs w:val="24"/>
        </w:rPr>
        <w:t xml:space="preserve">enter or leave </w:t>
      </w:r>
      <w:r>
        <w:rPr>
          <w:rFonts w:ascii="Times New Roman" w:hAnsi="Times New Roman" w:cs="Times New Roman"/>
          <w:sz w:val="24"/>
          <w:szCs w:val="24"/>
        </w:rPr>
        <w:t xml:space="preserve">the system each year.  </w:t>
      </w:r>
      <w:r w:rsidR="005B01DB">
        <w:rPr>
          <w:rFonts w:ascii="Times New Roman" w:hAnsi="Times New Roman" w:cs="Times New Roman"/>
          <w:sz w:val="24"/>
          <w:szCs w:val="24"/>
        </w:rPr>
        <w:t>V</w:t>
      </w:r>
      <w:r>
        <w:rPr>
          <w:rFonts w:ascii="Times New Roman" w:hAnsi="Times New Roman" w:cs="Times New Roman"/>
          <w:sz w:val="24"/>
          <w:szCs w:val="24"/>
        </w:rPr>
        <w:t>olunteers may not be familiar with IRS reporting guidelines and inadvertently fail to file the appropriate forms in any given year.  These characteristics of nonprofits make data collection difficult, even though there have been marked improvements in recent years</w:t>
      </w:r>
      <w:r w:rsidR="005B01DB">
        <w:rPr>
          <w:rFonts w:ascii="Times New Roman" w:hAnsi="Times New Roman" w:cs="Times New Roman"/>
          <w:sz w:val="24"/>
          <w:szCs w:val="24"/>
        </w:rPr>
        <w:t>.</w:t>
      </w:r>
    </w:p>
    <w:p w:rsidR="00F91468" w:rsidRPr="00536544" w:rsidRDefault="005B01DB" w:rsidP="00F9146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There has been sub</w:t>
      </w:r>
      <w:r w:rsidR="00F91468">
        <w:rPr>
          <w:rFonts w:ascii="Times New Roman" w:hAnsi="Times New Roman" w:cs="Times New Roman"/>
          <w:sz w:val="24"/>
          <w:szCs w:val="24"/>
        </w:rPr>
        <w:t>s</w:t>
      </w:r>
      <w:r>
        <w:rPr>
          <w:rFonts w:ascii="Times New Roman" w:hAnsi="Times New Roman" w:cs="Times New Roman"/>
          <w:sz w:val="24"/>
          <w:szCs w:val="24"/>
        </w:rPr>
        <w:t xml:space="preserve">tantial progress in collecting and systematizing data on nonprofits since the founding of Guidestar in 1994. </w:t>
      </w:r>
      <w:r w:rsidR="00A511B2">
        <w:rPr>
          <w:rFonts w:ascii="Times New Roman" w:hAnsi="Times New Roman" w:cs="Times New Roman"/>
          <w:sz w:val="24"/>
          <w:szCs w:val="24"/>
        </w:rPr>
        <w:t xml:space="preserve">Our financial data on organizations collecting voluntary contributions for public schools and school districts are taken from the </w:t>
      </w:r>
      <w:r w:rsidR="00A511B2" w:rsidRPr="00536544">
        <w:rPr>
          <w:rFonts w:ascii="Times New Roman" w:hAnsi="Times New Roman" w:cs="Times New Roman"/>
          <w:sz w:val="24"/>
          <w:szCs w:val="24"/>
        </w:rPr>
        <w:t xml:space="preserve">GuideStar database of </w:t>
      </w:r>
      <w:r w:rsidR="00A511B2">
        <w:rPr>
          <w:rFonts w:ascii="Times New Roman" w:hAnsi="Times New Roman" w:cs="Times New Roman"/>
          <w:sz w:val="24"/>
          <w:szCs w:val="24"/>
        </w:rPr>
        <w:t xml:space="preserve">Form </w:t>
      </w:r>
      <w:r w:rsidR="00A511B2" w:rsidRPr="00536544">
        <w:rPr>
          <w:rFonts w:ascii="Times New Roman" w:hAnsi="Times New Roman" w:cs="Times New Roman"/>
          <w:sz w:val="24"/>
          <w:szCs w:val="24"/>
        </w:rPr>
        <w:t>990 filings</w:t>
      </w:r>
      <w:r w:rsidR="00A511B2">
        <w:rPr>
          <w:rFonts w:ascii="Times New Roman" w:hAnsi="Times New Roman" w:cs="Times New Roman"/>
          <w:sz w:val="24"/>
          <w:szCs w:val="24"/>
        </w:rPr>
        <w:t xml:space="preserve">. </w:t>
      </w:r>
      <w:r>
        <w:rPr>
          <w:rFonts w:ascii="Times New Roman" w:hAnsi="Times New Roman" w:cs="Times New Roman"/>
          <w:sz w:val="24"/>
          <w:szCs w:val="24"/>
        </w:rPr>
        <w:t>Guidestar encourages nonprofit organizations to m</w:t>
      </w:r>
      <w:r w:rsidR="0052288B" w:rsidRPr="00536544">
        <w:rPr>
          <w:rFonts w:ascii="Times New Roman" w:hAnsi="Times New Roman" w:cs="Times New Roman"/>
          <w:sz w:val="24"/>
          <w:szCs w:val="24"/>
        </w:rPr>
        <w:t xml:space="preserve">ake financial information publicly available in order to promote accountability and </w:t>
      </w:r>
      <w:r>
        <w:rPr>
          <w:rFonts w:ascii="Times New Roman" w:hAnsi="Times New Roman" w:cs="Times New Roman"/>
          <w:sz w:val="24"/>
          <w:szCs w:val="24"/>
        </w:rPr>
        <w:t xml:space="preserve">so to encourage </w:t>
      </w:r>
      <w:r w:rsidR="0052288B" w:rsidRPr="00536544">
        <w:rPr>
          <w:rFonts w:ascii="Times New Roman" w:hAnsi="Times New Roman" w:cs="Times New Roman"/>
          <w:sz w:val="24"/>
          <w:szCs w:val="24"/>
        </w:rPr>
        <w:t xml:space="preserve">charitable giving.  </w:t>
      </w:r>
      <w:r>
        <w:rPr>
          <w:rFonts w:ascii="Times New Roman" w:hAnsi="Times New Roman" w:cs="Times New Roman"/>
          <w:sz w:val="24"/>
          <w:szCs w:val="24"/>
        </w:rPr>
        <w:t xml:space="preserve">Guidestar reports </w:t>
      </w:r>
      <w:r w:rsidR="0052288B" w:rsidRPr="00536544">
        <w:rPr>
          <w:rFonts w:ascii="Times New Roman" w:hAnsi="Times New Roman" w:cs="Times New Roman"/>
          <w:sz w:val="24"/>
          <w:szCs w:val="24"/>
        </w:rPr>
        <w:t>all tax-exempt organ</w:t>
      </w:r>
      <w:r w:rsidR="0052288B">
        <w:rPr>
          <w:rFonts w:ascii="Times New Roman" w:hAnsi="Times New Roman" w:cs="Times New Roman"/>
          <w:sz w:val="24"/>
          <w:szCs w:val="24"/>
        </w:rPr>
        <w:t>i</w:t>
      </w:r>
      <w:r w:rsidR="0052288B" w:rsidRPr="00536544">
        <w:rPr>
          <w:rFonts w:ascii="Times New Roman" w:hAnsi="Times New Roman" w:cs="Times New Roman"/>
          <w:sz w:val="24"/>
          <w:szCs w:val="24"/>
        </w:rPr>
        <w:t xml:space="preserve">zations’ annual IRS filings </w:t>
      </w:r>
      <w:r>
        <w:rPr>
          <w:rFonts w:ascii="Times New Roman" w:hAnsi="Times New Roman" w:cs="Times New Roman"/>
          <w:sz w:val="24"/>
          <w:szCs w:val="24"/>
        </w:rPr>
        <w:t>on their website.</w:t>
      </w:r>
      <w:r w:rsidR="0052288B" w:rsidRPr="00536544">
        <w:rPr>
          <w:rFonts w:ascii="Times New Roman" w:hAnsi="Times New Roman" w:cs="Times New Roman"/>
          <w:sz w:val="24"/>
          <w:szCs w:val="24"/>
        </w:rPr>
        <w:t xml:space="preserve"> Since 2010</w:t>
      </w:r>
      <w:r w:rsidR="005E6C49">
        <w:rPr>
          <w:rFonts w:ascii="Times New Roman" w:hAnsi="Times New Roman" w:cs="Times New Roman"/>
          <w:sz w:val="24"/>
          <w:szCs w:val="24"/>
        </w:rPr>
        <w:t xml:space="preserve">, </w:t>
      </w:r>
      <w:r w:rsidR="0052288B" w:rsidRPr="00536544">
        <w:rPr>
          <w:rFonts w:ascii="Times New Roman" w:hAnsi="Times New Roman" w:cs="Times New Roman"/>
          <w:sz w:val="24"/>
          <w:szCs w:val="24"/>
        </w:rPr>
        <w:t>groups that have gross receipts of more than $50,000 must file a 990 form showing revenues, expenditures, and assets</w:t>
      </w:r>
      <w:r w:rsidR="005E6C49">
        <w:rPr>
          <w:rFonts w:ascii="Times New Roman" w:hAnsi="Times New Roman" w:cs="Times New Roman"/>
          <w:sz w:val="24"/>
          <w:szCs w:val="24"/>
        </w:rPr>
        <w:t>. P</w:t>
      </w:r>
      <w:r w:rsidR="0052288B" w:rsidRPr="00536544">
        <w:rPr>
          <w:rFonts w:ascii="Times New Roman" w:hAnsi="Times New Roman" w:cs="Times New Roman"/>
          <w:sz w:val="24"/>
          <w:szCs w:val="24"/>
        </w:rPr>
        <w:t xml:space="preserve">rior to 2010 the </w:t>
      </w:r>
      <w:r w:rsidR="005E6C49">
        <w:rPr>
          <w:rFonts w:ascii="Times New Roman" w:hAnsi="Times New Roman" w:cs="Times New Roman"/>
          <w:sz w:val="24"/>
          <w:szCs w:val="24"/>
        </w:rPr>
        <w:t xml:space="preserve">requirement to file was set at </w:t>
      </w:r>
      <w:r w:rsidR="0052288B" w:rsidRPr="00536544">
        <w:rPr>
          <w:rFonts w:ascii="Times New Roman" w:hAnsi="Times New Roman" w:cs="Times New Roman"/>
          <w:sz w:val="24"/>
          <w:szCs w:val="24"/>
        </w:rPr>
        <w:t xml:space="preserve">$25,000. </w:t>
      </w:r>
      <w:r w:rsidR="00ED54E9">
        <w:rPr>
          <w:rFonts w:ascii="Times New Roman" w:hAnsi="Times New Roman" w:cs="Times New Roman"/>
          <w:sz w:val="24"/>
          <w:szCs w:val="24"/>
        </w:rPr>
        <w:t>M</w:t>
      </w:r>
      <w:r w:rsidR="00ED54E9" w:rsidRPr="00536544">
        <w:rPr>
          <w:rFonts w:ascii="Times New Roman" w:hAnsi="Times New Roman" w:cs="Times New Roman"/>
          <w:sz w:val="24"/>
          <w:szCs w:val="24"/>
        </w:rPr>
        <w:t xml:space="preserve">any </w:t>
      </w:r>
      <w:r w:rsidR="00ED54E9">
        <w:rPr>
          <w:rFonts w:ascii="Times New Roman" w:hAnsi="Times New Roman" w:cs="Times New Roman"/>
          <w:sz w:val="24"/>
          <w:szCs w:val="24"/>
        </w:rPr>
        <w:t xml:space="preserve">organizations, however, file a 990 </w:t>
      </w:r>
      <w:r w:rsidR="00ED54E9" w:rsidRPr="00536544">
        <w:rPr>
          <w:rFonts w:ascii="Times New Roman" w:hAnsi="Times New Roman" w:cs="Times New Roman"/>
          <w:sz w:val="24"/>
          <w:szCs w:val="24"/>
        </w:rPr>
        <w:t xml:space="preserve">even when they are </w:t>
      </w:r>
      <w:r w:rsidR="00ED54E9">
        <w:rPr>
          <w:rFonts w:ascii="Times New Roman" w:hAnsi="Times New Roman" w:cs="Times New Roman"/>
          <w:sz w:val="24"/>
          <w:szCs w:val="24"/>
        </w:rPr>
        <w:t xml:space="preserve">not subject to the </w:t>
      </w:r>
      <w:r w:rsidR="00ED54E9" w:rsidRPr="00536544">
        <w:rPr>
          <w:rFonts w:ascii="Times New Roman" w:hAnsi="Times New Roman" w:cs="Times New Roman"/>
          <w:sz w:val="24"/>
          <w:szCs w:val="24"/>
        </w:rPr>
        <w:t>reporting threshold</w:t>
      </w:r>
      <w:r w:rsidR="00ED54E9">
        <w:rPr>
          <w:rFonts w:ascii="Times New Roman" w:hAnsi="Times New Roman" w:cs="Times New Roman"/>
          <w:sz w:val="24"/>
          <w:szCs w:val="24"/>
        </w:rPr>
        <w:t>.</w:t>
      </w:r>
      <w:r w:rsidR="00A511B2">
        <w:rPr>
          <w:rFonts w:ascii="Times New Roman" w:hAnsi="Times New Roman" w:cs="Times New Roman"/>
          <w:sz w:val="24"/>
          <w:szCs w:val="24"/>
        </w:rPr>
        <w:t xml:space="preserve"> Some </w:t>
      </w:r>
      <w:r w:rsidR="00A511B2" w:rsidRPr="00536544">
        <w:rPr>
          <w:rFonts w:ascii="Times New Roman" w:hAnsi="Times New Roman" w:cs="Times New Roman"/>
          <w:sz w:val="24"/>
          <w:szCs w:val="24"/>
        </w:rPr>
        <w:t>groups often go years between filings.</w:t>
      </w:r>
      <w:r w:rsidR="00A511B2">
        <w:rPr>
          <w:rFonts w:ascii="Times New Roman" w:hAnsi="Times New Roman" w:cs="Times New Roman"/>
          <w:sz w:val="24"/>
          <w:szCs w:val="24"/>
        </w:rPr>
        <w:t xml:space="preserve"> If 2012 figures were not reported, we used data </w:t>
      </w:r>
      <w:r w:rsidR="00A511B2">
        <w:rPr>
          <w:rFonts w:ascii="Times New Roman" w:hAnsi="Times New Roman" w:cs="Times New Roman"/>
          <w:sz w:val="24"/>
          <w:szCs w:val="24"/>
        </w:rPr>
        <w:lastRenderedPageBreak/>
        <w:t xml:space="preserve">from the most recent year that was reported, going back to 2008. </w:t>
      </w:r>
      <w:r w:rsidR="0052288B" w:rsidRPr="00536544">
        <w:rPr>
          <w:rFonts w:ascii="Times New Roman" w:hAnsi="Times New Roman" w:cs="Times New Roman"/>
          <w:sz w:val="24"/>
          <w:szCs w:val="24"/>
        </w:rPr>
        <w:t xml:space="preserve"> Organizations that fail to file a form for three years in a row </w:t>
      </w:r>
      <w:r w:rsidR="005E6C49">
        <w:rPr>
          <w:rFonts w:ascii="Times New Roman" w:hAnsi="Times New Roman" w:cs="Times New Roman"/>
          <w:sz w:val="24"/>
          <w:szCs w:val="24"/>
        </w:rPr>
        <w:t xml:space="preserve">may have </w:t>
      </w:r>
      <w:r w:rsidR="0052288B" w:rsidRPr="00536544">
        <w:rPr>
          <w:rFonts w:ascii="Times New Roman" w:hAnsi="Times New Roman" w:cs="Times New Roman"/>
          <w:sz w:val="24"/>
          <w:szCs w:val="24"/>
        </w:rPr>
        <w:t xml:space="preserve">their tax-exempt status </w:t>
      </w:r>
      <w:r w:rsidR="005E6C49">
        <w:rPr>
          <w:rFonts w:ascii="Times New Roman" w:hAnsi="Times New Roman" w:cs="Times New Roman"/>
          <w:sz w:val="24"/>
          <w:szCs w:val="24"/>
        </w:rPr>
        <w:t xml:space="preserve">revoked </w:t>
      </w:r>
      <w:r w:rsidR="0052288B" w:rsidRPr="00536544">
        <w:rPr>
          <w:rFonts w:ascii="Times New Roman" w:hAnsi="Times New Roman" w:cs="Times New Roman"/>
          <w:sz w:val="24"/>
          <w:szCs w:val="24"/>
        </w:rPr>
        <w:t xml:space="preserve">(IRS 2013). </w:t>
      </w:r>
      <w:r w:rsidR="00A511B2">
        <w:rPr>
          <w:rFonts w:ascii="Times New Roman" w:hAnsi="Times New Roman" w:cs="Times New Roman"/>
          <w:sz w:val="24"/>
          <w:szCs w:val="24"/>
        </w:rPr>
        <w:t xml:space="preserve"> We assume that g</w:t>
      </w:r>
      <w:r w:rsidR="00F91468" w:rsidRPr="00536544">
        <w:rPr>
          <w:rFonts w:ascii="Times New Roman" w:hAnsi="Times New Roman" w:cs="Times New Roman"/>
          <w:sz w:val="24"/>
          <w:szCs w:val="24"/>
        </w:rPr>
        <w:t xml:space="preserve">roups that have not filed </w:t>
      </w:r>
      <w:r w:rsidR="00F91468">
        <w:rPr>
          <w:rFonts w:ascii="Times New Roman" w:hAnsi="Times New Roman" w:cs="Times New Roman"/>
          <w:sz w:val="24"/>
          <w:szCs w:val="24"/>
        </w:rPr>
        <w:t xml:space="preserve">a form since 2008 </w:t>
      </w:r>
      <w:r w:rsidR="00F91468" w:rsidRPr="00536544">
        <w:rPr>
          <w:rFonts w:ascii="Times New Roman" w:hAnsi="Times New Roman" w:cs="Times New Roman"/>
          <w:sz w:val="24"/>
          <w:szCs w:val="24"/>
        </w:rPr>
        <w:t xml:space="preserve">are most likely defunct.  </w:t>
      </w:r>
    </w:p>
    <w:p w:rsidR="00F91468" w:rsidRDefault="005E6C49" w:rsidP="00ED54E9">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Ideally one could simply search for organizations of interest on the basis of assigned </w:t>
      </w:r>
      <w:r w:rsidR="0052288B">
        <w:rPr>
          <w:rFonts w:ascii="Times New Roman" w:hAnsi="Times New Roman" w:cs="Times New Roman"/>
          <w:sz w:val="24"/>
          <w:szCs w:val="24"/>
        </w:rPr>
        <w:t>NTEE codes</w:t>
      </w:r>
      <w:r w:rsidR="0052288B" w:rsidRPr="00536544">
        <w:rPr>
          <w:rFonts w:ascii="Times New Roman" w:hAnsi="Times New Roman" w:cs="Times New Roman"/>
          <w:sz w:val="24"/>
          <w:szCs w:val="24"/>
        </w:rPr>
        <w:t xml:space="preserve">, </w:t>
      </w:r>
      <w:r>
        <w:rPr>
          <w:rFonts w:ascii="Times New Roman" w:hAnsi="Times New Roman" w:cs="Times New Roman"/>
          <w:sz w:val="24"/>
          <w:szCs w:val="24"/>
        </w:rPr>
        <w:t xml:space="preserve">but this is not the case. </w:t>
      </w:r>
      <w:r w:rsidR="0052288B">
        <w:rPr>
          <w:rFonts w:ascii="Times New Roman" w:hAnsi="Times New Roman" w:cs="Times New Roman"/>
          <w:sz w:val="24"/>
          <w:szCs w:val="24"/>
        </w:rPr>
        <w:t>Education nonprofits</w:t>
      </w:r>
      <w:r w:rsidR="0052288B" w:rsidRPr="00536544">
        <w:rPr>
          <w:rFonts w:ascii="Times New Roman" w:hAnsi="Times New Roman" w:cs="Times New Roman"/>
          <w:sz w:val="24"/>
          <w:szCs w:val="24"/>
        </w:rPr>
        <w:t xml:space="preserve"> are not consistent in their use of these codes, and so basing a search on them would miss many </w:t>
      </w:r>
      <w:r w:rsidR="0052288B">
        <w:rPr>
          <w:rFonts w:ascii="Times New Roman" w:hAnsi="Times New Roman" w:cs="Times New Roman"/>
          <w:sz w:val="24"/>
          <w:szCs w:val="24"/>
        </w:rPr>
        <w:t>organizations</w:t>
      </w:r>
      <w:r w:rsidR="0052288B" w:rsidRPr="00536544">
        <w:rPr>
          <w:rFonts w:ascii="Times New Roman" w:hAnsi="Times New Roman" w:cs="Times New Roman"/>
          <w:sz w:val="24"/>
          <w:szCs w:val="24"/>
        </w:rPr>
        <w:t xml:space="preserve">.  </w:t>
      </w:r>
      <w:r w:rsidR="0052288B">
        <w:rPr>
          <w:rFonts w:ascii="Times New Roman" w:hAnsi="Times New Roman" w:cs="Times New Roman"/>
          <w:sz w:val="24"/>
          <w:szCs w:val="24"/>
        </w:rPr>
        <w:t>Thus</w:t>
      </w:r>
      <w:r w:rsidR="0052288B" w:rsidRPr="00536544">
        <w:rPr>
          <w:rFonts w:ascii="Times New Roman" w:hAnsi="Times New Roman" w:cs="Times New Roman"/>
          <w:sz w:val="24"/>
          <w:szCs w:val="24"/>
        </w:rPr>
        <w:t xml:space="preserve"> we searched for all </w:t>
      </w:r>
      <w:r w:rsidR="0052288B">
        <w:rPr>
          <w:rFonts w:ascii="Times New Roman" w:hAnsi="Times New Roman" w:cs="Times New Roman"/>
          <w:sz w:val="24"/>
          <w:szCs w:val="24"/>
        </w:rPr>
        <w:t xml:space="preserve">nonprofit </w:t>
      </w:r>
      <w:r w:rsidR="0052288B" w:rsidRPr="00536544">
        <w:rPr>
          <w:rFonts w:ascii="Times New Roman" w:hAnsi="Times New Roman" w:cs="Times New Roman"/>
          <w:sz w:val="24"/>
          <w:szCs w:val="24"/>
        </w:rPr>
        <w:t xml:space="preserve">groups in California </w:t>
      </w:r>
      <w:r w:rsidR="0052288B">
        <w:rPr>
          <w:rFonts w:ascii="Times New Roman" w:hAnsi="Times New Roman" w:cs="Times New Roman"/>
          <w:sz w:val="24"/>
          <w:szCs w:val="24"/>
        </w:rPr>
        <w:t xml:space="preserve">giving educational support in the form of raising money to be used by specific schools or districts for curricular purposes.  We employed </w:t>
      </w:r>
      <w:r>
        <w:rPr>
          <w:rFonts w:ascii="Times New Roman" w:hAnsi="Times New Roman" w:cs="Times New Roman"/>
          <w:sz w:val="24"/>
          <w:szCs w:val="24"/>
        </w:rPr>
        <w:t xml:space="preserve">a large number of </w:t>
      </w:r>
      <w:r w:rsidR="0052288B" w:rsidRPr="00536544">
        <w:rPr>
          <w:rFonts w:ascii="Times New Roman" w:hAnsi="Times New Roman" w:cs="Times New Roman"/>
          <w:sz w:val="24"/>
          <w:szCs w:val="24"/>
        </w:rPr>
        <w:t>search terms</w:t>
      </w:r>
      <w:r w:rsidR="0052288B">
        <w:rPr>
          <w:rFonts w:ascii="Times New Roman" w:hAnsi="Times New Roman" w:cs="Times New Roman"/>
          <w:sz w:val="24"/>
          <w:szCs w:val="24"/>
        </w:rPr>
        <w:t>: “education* foundation,”</w:t>
      </w:r>
      <w:r w:rsidR="0052288B" w:rsidRPr="00536544">
        <w:rPr>
          <w:rFonts w:ascii="Times New Roman" w:hAnsi="Times New Roman" w:cs="Times New Roman"/>
          <w:sz w:val="24"/>
          <w:szCs w:val="24"/>
        </w:rPr>
        <w:t xml:space="preserve"> “sc</w:t>
      </w:r>
      <w:r w:rsidR="0052288B">
        <w:rPr>
          <w:rFonts w:ascii="Times New Roman" w:hAnsi="Times New Roman" w:cs="Times New Roman"/>
          <w:sz w:val="24"/>
          <w:szCs w:val="24"/>
        </w:rPr>
        <w:t xml:space="preserve">hool* foundation,” “high school,” “middle school,” “elementary school,” and “friend* school.”  </w:t>
      </w:r>
      <w:r w:rsidR="00AA11DD">
        <w:rPr>
          <w:rFonts w:ascii="Times New Roman" w:hAnsi="Times New Roman" w:cs="Times New Roman"/>
          <w:sz w:val="24"/>
          <w:szCs w:val="24"/>
        </w:rPr>
        <w:t>We</w:t>
      </w:r>
      <w:r w:rsidR="0052288B" w:rsidRPr="00536544">
        <w:rPr>
          <w:rFonts w:ascii="Times New Roman" w:hAnsi="Times New Roman" w:cs="Times New Roman"/>
          <w:sz w:val="24"/>
          <w:szCs w:val="24"/>
        </w:rPr>
        <w:t xml:space="preserve"> then </w:t>
      </w:r>
      <w:r w:rsidR="00AA11DD">
        <w:rPr>
          <w:rFonts w:ascii="Times New Roman" w:hAnsi="Times New Roman" w:cs="Times New Roman"/>
          <w:sz w:val="24"/>
          <w:szCs w:val="24"/>
        </w:rPr>
        <w:t xml:space="preserve">examined the data on </w:t>
      </w:r>
      <w:r w:rsidR="0052288B" w:rsidRPr="00536544">
        <w:rPr>
          <w:rFonts w:ascii="Times New Roman" w:hAnsi="Times New Roman" w:cs="Times New Roman"/>
          <w:sz w:val="24"/>
          <w:szCs w:val="24"/>
        </w:rPr>
        <w:t xml:space="preserve">each </w:t>
      </w:r>
      <w:r w:rsidR="0052288B">
        <w:rPr>
          <w:rFonts w:ascii="Times New Roman" w:hAnsi="Times New Roman" w:cs="Times New Roman"/>
          <w:sz w:val="24"/>
          <w:szCs w:val="24"/>
        </w:rPr>
        <w:t>organization</w:t>
      </w:r>
      <w:r w:rsidR="0052288B" w:rsidRPr="00536544">
        <w:rPr>
          <w:rFonts w:ascii="Times New Roman" w:hAnsi="Times New Roman" w:cs="Times New Roman"/>
          <w:sz w:val="24"/>
          <w:szCs w:val="24"/>
        </w:rPr>
        <w:t xml:space="preserve"> </w:t>
      </w:r>
      <w:r>
        <w:rPr>
          <w:rFonts w:ascii="Times New Roman" w:hAnsi="Times New Roman" w:cs="Times New Roman"/>
          <w:sz w:val="24"/>
          <w:szCs w:val="24"/>
        </w:rPr>
        <w:t xml:space="preserve">returned in these searches </w:t>
      </w:r>
      <w:r w:rsidR="0052288B" w:rsidRPr="00536544">
        <w:rPr>
          <w:rFonts w:ascii="Times New Roman" w:hAnsi="Times New Roman" w:cs="Times New Roman"/>
          <w:sz w:val="24"/>
          <w:szCs w:val="24"/>
        </w:rPr>
        <w:t xml:space="preserve">to ensure that it is indeed </w:t>
      </w:r>
      <w:r w:rsidR="00ED54E9">
        <w:rPr>
          <w:rFonts w:ascii="Times New Roman" w:hAnsi="Times New Roman" w:cs="Times New Roman"/>
          <w:sz w:val="24"/>
          <w:szCs w:val="24"/>
        </w:rPr>
        <w:t xml:space="preserve">a </w:t>
      </w:r>
      <w:r w:rsidR="0052288B">
        <w:rPr>
          <w:rFonts w:ascii="Times New Roman" w:hAnsi="Times New Roman" w:cs="Times New Roman"/>
          <w:sz w:val="24"/>
          <w:szCs w:val="24"/>
        </w:rPr>
        <w:t>supporter of public schools</w:t>
      </w:r>
      <w:r w:rsidR="00AA11DD">
        <w:rPr>
          <w:rFonts w:ascii="Times New Roman" w:hAnsi="Times New Roman" w:cs="Times New Roman"/>
          <w:sz w:val="24"/>
          <w:szCs w:val="24"/>
        </w:rPr>
        <w:t>.</w:t>
      </w:r>
    </w:p>
    <w:p w:rsidR="00827C52" w:rsidRDefault="00A511B2" w:rsidP="00827C5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A5413">
        <w:rPr>
          <w:rFonts w:ascii="Times New Roman" w:hAnsi="Times New Roman" w:cs="Times New Roman"/>
          <w:sz w:val="24"/>
          <w:szCs w:val="24"/>
        </w:rPr>
        <w:t xml:space="preserve">ata on parcel taxes for the 2011-2 school year are taken from the </w:t>
      </w:r>
      <w:r w:rsidR="00E34218">
        <w:rPr>
          <w:rFonts w:ascii="Times New Roman" w:hAnsi="Times New Roman" w:cs="Times New Roman"/>
          <w:sz w:val="24"/>
          <w:szCs w:val="24"/>
        </w:rPr>
        <w:t>SACS (standardized account code structure) files available on the C</w:t>
      </w:r>
      <w:r w:rsidR="00BA5413">
        <w:rPr>
          <w:rFonts w:ascii="Times New Roman" w:hAnsi="Times New Roman" w:cs="Times New Roman"/>
          <w:sz w:val="24"/>
          <w:szCs w:val="24"/>
        </w:rPr>
        <w:t xml:space="preserve">alifornia Department of Education’s website. These </w:t>
      </w:r>
      <w:r w:rsidR="00E34218">
        <w:rPr>
          <w:rFonts w:ascii="Times New Roman" w:hAnsi="Times New Roman" w:cs="Times New Roman"/>
          <w:sz w:val="24"/>
          <w:szCs w:val="24"/>
        </w:rPr>
        <w:t xml:space="preserve">files are described </w:t>
      </w:r>
      <w:r w:rsidR="00BA5413">
        <w:rPr>
          <w:rFonts w:ascii="Times New Roman" w:hAnsi="Times New Roman" w:cs="Times New Roman"/>
          <w:sz w:val="24"/>
          <w:szCs w:val="24"/>
        </w:rPr>
        <w:t xml:space="preserve">as “unaudited,” and </w:t>
      </w:r>
      <w:r w:rsidR="00E34218">
        <w:rPr>
          <w:rFonts w:ascii="Times New Roman" w:hAnsi="Times New Roman" w:cs="Times New Roman"/>
          <w:sz w:val="24"/>
          <w:szCs w:val="24"/>
        </w:rPr>
        <w:t>so to en</w:t>
      </w:r>
      <w:r w:rsidR="00BA5413">
        <w:rPr>
          <w:rFonts w:ascii="Times New Roman" w:hAnsi="Times New Roman" w:cs="Times New Roman"/>
          <w:sz w:val="24"/>
          <w:szCs w:val="24"/>
        </w:rPr>
        <w:t xml:space="preserve">sure accuracy we first verified that </w:t>
      </w:r>
      <w:r w:rsidR="00E34218">
        <w:rPr>
          <w:rFonts w:ascii="Times New Roman" w:hAnsi="Times New Roman" w:cs="Times New Roman"/>
          <w:sz w:val="24"/>
          <w:szCs w:val="24"/>
        </w:rPr>
        <w:t xml:space="preserve">the </w:t>
      </w:r>
      <w:r w:rsidR="00BA5413">
        <w:rPr>
          <w:rFonts w:ascii="Times New Roman" w:hAnsi="Times New Roman" w:cs="Times New Roman"/>
          <w:sz w:val="24"/>
          <w:szCs w:val="24"/>
        </w:rPr>
        <w:t>school districts report</w:t>
      </w:r>
      <w:r w:rsidR="00E34218">
        <w:rPr>
          <w:rFonts w:ascii="Times New Roman" w:hAnsi="Times New Roman" w:cs="Times New Roman"/>
          <w:sz w:val="24"/>
          <w:szCs w:val="24"/>
        </w:rPr>
        <w:t>ing</w:t>
      </w:r>
      <w:r w:rsidR="00BA5413">
        <w:rPr>
          <w:rFonts w:ascii="Times New Roman" w:hAnsi="Times New Roman" w:cs="Times New Roman"/>
          <w:sz w:val="24"/>
          <w:szCs w:val="24"/>
        </w:rPr>
        <w:t xml:space="preserve"> parcel tax revenue had had an election that approved these taxes. These election data are reported </w:t>
      </w:r>
      <w:r w:rsidR="00E34218">
        <w:rPr>
          <w:rFonts w:ascii="Times New Roman" w:hAnsi="Times New Roman" w:cs="Times New Roman"/>
          <w:sz w:val="24"/>
          <w:szCs w:val="24"/>
        </w:rPr>
        <w:t xml:space="preserve">online </w:t>
      </w:r>
      <w:r w:rsidR="00BA5413">
        <w:rPr>
          <w:rFonts w:ascii="Times New Roman" w:hAnsi="Times New Roman" w:cs="Times New Roman"/>
          <w:sz w:val="24"/>
          <w:szCs w:val="24"/>
        </w:rPr>
        <w:t>at</w:t>
      </w:r>
      <w:r w:rsidR="00E34218">
        <w:rPr>
          <w:rFonts w:ascii="Times New Roman" w:hAnsi="Times New Roman" w:cs="Times New Roman"/>
          <w:sz w:val="24"/>
          <w:szCs w:val="24"/>
        </w:rPr>
        <w:t xml:space="preserve"> Ballotpedia and at Ed-Data. We then </w:t>
      </w:r>
      <w:r w:rsidR="00BA5413">
        <w:rPr>
          <w:rFonts w:ascii="Times New Roman" w:hAnsi="Times New Roman" w:cs="Times New Roman"/>
          <w:sz w:val="24"/>
          <w:szCs w:val="24"/>
        </w:rPr>
        <w:t>compared the data we collected with that reported in the PPIC S</w:t>
      </w:r>
      <w:r w:rsidR="00E34218">
        <w:rPr>
          <w:rFonts w:ascii="Times New Roman" w:hAnsi="Times New Roman" w:cs="Times New Roman"/>
          <w:sz w:val="24"/>
          <w:szCs w:val="24"/>
        </w:rPr>
        <w:t>chool Finance Mode</w:t>
      </w:r>
      <w:r w:rsidR="00ED1F9B">
        <w:rPr>
          <w:rFonts w:ascii="Times New Roman" w:hAnsi="Times New Roman" w:cs="Times New Roman"/>
          <w:sz w:val="24"/>
          <w:szCs w:val="24"/>
        </w:rPr>
        <w:t>l</w:t>
      </w:r>
      <w:r w:rsidR="00E34218">
        <w:rPr>
          <w:rFonts w:ascii="Times New Roman" w:hAnsi="Times New Roman" w:cs="Times New Roman"/>
          <w:sz w:val="24"/>
          <w:szCs w:val="24"/>
        </w:rPr>
        <w:t xml:space="preserve"> for the 2010-11 school year</w:t>
      </w:r>
      <w:r w:rsidR="00ED1F9B">
        <w:rPr>
          <w:rFonts w:ascii="Times New Roman" w:hAnsi="Times New Roman" w:cs="Times New Roman"/>
          <w:sz w:val="24"/>
          <w:szCs w:val="24"/>
        </w:rPr>
        <w:t>, and found a high level of agreement with the data we collected for the 2011-12 school year. We ver</w:t>
      </w:r>
      <w:r w:rsidR="00E34218">
        <w:rPr>
          <w:rFonts w:ascii="Times New Roman" w:hAnsi="Times New Roman" w:cs="Times New Roman"/>
          <w:sz w:val="24"/>
          <w:szCs w:val="24"/>
        </w:rPr>
        <w:t>ified that</w:t>
      </w:r>
      <w:r w:rsidR="00ED1F9B">
        <w:rPr>
          <w:rFonts w:ascii="Times New Roman" w:hAnsi="Times New Roman" w:cs="Times New Roman"/>
          <w:sz w:val="24"/>
          <w:szCs w:val="24"/>
        </w:rPr>
        <w:t>,</w:t>
      </w:r>
      <w:r w:rsidR="00E34218">
        <w:rPr>
          <w:rFonts w:ascii="Times New Roman" w:hAnsi="Times New Roman" w:cs="Times New Roman"/>
          <w:sz w:val="24"/>
          <w:szCs w:val="24"/>
        </w:rPr>
        <w:t xml:space="preserve"> </w:t>
      </w:r>
      <w:r w:rsidR="00ED1F9B">
        <w:rPr>
          <w:rFonts w:ascii="Times New Roman" w:hAnsi="Times New Roman" w:cs="Times New Roman"/>
          <w:sz w:val="24"/>
          <w:szCs w:val="24"/>
        </w:rPr>
        <w:t xml:space="preserve">in every district for which there was positive parcel tax revenue in our data but not in the PPIC School Finance Model, </w:t>
      </w:r>
      <w:r w:rsidR="00E34218">
        <w:rPr>
          <w:rFonts w:ascii="Times New Roman" w:hAnsi="Times New Roman" w:cs="Times New Roman"/>
          <w:sz w:val="24"/>
          <w:szCs w:val="24"/>
        </w:rPr>
        <w:t xml:space="preserve">there had been an election </w:t>
      </w:r>
      <w:r w:rsidR="00ED1F9B">
        <w:rPr>
          <w:rFonts w:ascii="Times New Roman" w:hAnsi="Times New Roman" w:cs="Times New Roman"/>
          <w:sz w:val="24"/>
          <w:szCs w:val="24"/>
        </w:rPr>
        <w:t xml:space="preserve">in 2010 or 2011 to </w:t>
      </w:r>
      <w:r w:rsidR="00E34218">
        <w:rPr>
          <w:rFonts w:ascii="Times New Roman" w:hAnsi="Times New Roman" w:cs="Times New Roman"/>
          <w:sz w:val="24"/>
          <w:szCs w:val="24"/>
        </w:rPr>
        <w:t>approv</w:t>
      </w:r>
      <w:r w:rsidR="00ED1F9B">
        <w:rPr>
          <w:rFonts w:ascii="Times New Roman" w:hAnsi="Times New Roman" w:cs="Times New Roman"/>
          <w:sz w:val="24"/>
          <w:szCs w:val="24"/>
        </w:rPr>
        <w:t>e</w:t>
      </w:r>
      <w:r w:rsidR="00E34218">
        <w:rPr>
          <w:rFonts w:ascii="Times New Roman" w:hAnsi="Times New Roman" w:cs="Times New Roman"/>
          <w:sz w:val="24"/>
          <w:szCs w:val="24"/>
        </w:rPr>
        <w:t xml:space="preserve"> a parcel tax</w:t>
      </w:r>
      <w:r w:rsidR="00ED1F9B">
        <w:rPr>
          <w:rFonts w:ascii="Times New Roman" w:hAnsi="Times New Roman" w:cs="Times New Roman"/>
          <w:sz w:val="24"/>
          <w:szCs w:val="24"/>
        </w:rPr>
        <w:t xml:space="preserve">. </w:t>
      </w:r>
    </w:p>
    <w:p w:rsidR="00A511B2" w:rsidRDefault="00827C52" w:rsidP="00ED1F9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on the excess per pupil revenue raised by basic aid districts is from the PPIC School Finance Model, adjusted to 2011 dollars. </w:t>
      </w:r>
      <w:r w:rsidR="00A511B2">
        <w:rPr>
          <w:rFonts w:ascii="Times New Roman" w:hAnsi="Times New Roman" w:cs="Times New Roman"/>
          <w:sz w:val="24"/>
          <w:szCs w:val="24"/>
        </w:rPr>
        <w:t>Enrollment data are taken from the</w:t>
      </w:r>
      <w:r w:rsidR="00A511B2" w:rsidRPr="00536544">
        <w:rPr>
          <w:rFonts w:ascii="Times New Roman" w:hAnsi="Times New Roman" w:cs="Times New Roman"/>
          <w:sz w:val="24"/>
          <w:szCs w:val="24"/>
        </w:rPr>
        <w:t xml:space="preserve"> California </w:t>
      </w:r>
      <w:r w:rsidR="00A511B2" w:rsidRPr="00536544">
        <w:rPr>
          <w:rFonts w:ascii="Times New Roman" w:hAnsi="Times New Roman" w:cs="Times New Roman"/>
          <w:sz w:val="24"/>
          <w:szCs w:val="24"/>
        </w:rPr>
        <w:lastRenderedPageBreak/>
        <w:t>Department of Education</w:t>
      </w:r>
      <w:r w:rsidR="00A511B2">
        <w:rPr>
          <w:rFonts w:ascii="Times New Roman" w:hAnsi="Times New Roman" w:cs="Times New Roman"/>
          <w:sz w:val="24"/>
          <w:szCs w:val="24"/>
        </w:rPr>
        <w:t xml:space="preserve">’s Dataquest website. </w:t>
      </w:r>
      <w:r w:rsidR="006170B4">
        <w:rPr>
          <w:rFonts w:ascii="Times New Roman" w:hAnsi="Times New Roman" w:cs="Times New Roman"/>
          <w:sz w:val="24"/>
          <w:szCs w:val="24"/>
        </w:rPr>
        <w:t xml:space="preserve">The National Center for Education Statistics provides access to the 2007-2011 American Community Survey which provides demographic data at the school district level.  </w:t>
      </w:r>
    </w:p>
    <w:p w:rsidR="00495EBF" w:rsidRDefault="00495EBF">
      <w:pPr>
        <w:rPr>
          <w:rFonts w:ascii="Times New Roman" w:hAnsi="Times New Roman" w:cs="Times New Roman"/>
          <w:sz w:val="24"/>
          <w:szCs w:val="24"/>
        </w:rPr>
      </w:pPr>
      <w:r>
        <w:rPr>
          <w:rFonts w:ascii="Times New Roman" w:hAnsi="Times New Roman" w:cs="Times New Roman"/>
          <w:sz w:val="24"/>
          <w:szCs w:val="24"/>
        </w:rPr>
        <w:br w:type="page"/>
      </w:r>
    </w:p>
    <w:p w:rsidR="00495EBF" w:rsidRDefault="00495EBF" w:rsidP="00ED1F9B">
      <w:pPr>
        <w:spacing w:line="480" w:lineRule="auto"/>
        <w:ind w:firstLine="720"/>
        <w:jc w:val="both"/>
        <w:rPr>
          <w:rFonts w:ascii="Times New Roman" w:hAnsi="Times New Roman" w:cs="Times New Roman"/>
          <w:sz w:val="24"/>
          <w:szCs w:val="24"/>
        </w:rPr>
      </w:pPr>
    </w:p>
    <w:p w:rsidR="00A511B2" w:rsidRDefault="00A511B2" w:rsidP="00ED1F9B">
      <w:pPr>
        <w:spacing w:line="480" w:lineRule="auto"/>
        <w:ind w:firstLine="720"/>
        <w:jc w:val="both"/>
        <w:rPr>
          <w:rFonts w:ascii="Times New Roman" w:hAnsi="Times New Roman" w:cs="Times New Roman"/>
          <w:sz w:val="24"/>
          <w:szCs w:val="24"/>
        </w:rPr>
      </w:pPr>
    </w:p>
    <w:p w:rsidR="004D6B12" w:rsidRDefault="004D6B12" w:rsidP="00185E87">
      <w:pPr>
        <w:pStyle w:val="FootnoteText"/>
        <w:rPr>
          <w:rFonts w:ascii="Times New Roman" w:hAnsi="Times New Roman" w:cs="Times New Roman"/>
          <w:b/>
          <w:sz w:val="24"/>
          <w:szCs w:val="24"/>
        </w:rPr>
      </w:pPr>
    </w:p>
    <w:p w:rsidR="0052288B" w:rsidRPr="00145680" w:rsidRDefault="0052288B" w:rsidP="0052288B">
      <w:pPr>
        <w:pStyle w:val="FootnoteText"/>
        <w:jc w:val="center"/>
        <w:rPr>
          <w:rFonts w:ascii="Times New Roman" w:hAnsi="Times New Roman" w:cs="Times New Roman"/>
          <w:b/>
          <w:sz w:val="24"/>
          <w:szCs w:val="24"/>
        </w:rPr>
      </w:pPr>
      <w:r>
        <w:rPr>
          <w:rFonts w:ascii="Times New Roman" w:hAnsi="Times New Roman" w:cs="Times New Roman"/>
          <w:b/>
          <w:sz w:val="24"/>
          <w:szCs w:val="24"/>
        </w:rPr>
        <w:t xml:space="preserve">Figure 1 </w:t>
      </w:r>
    </w:p>
    <w:p w:rsidR="00145680" w:rsidRDefault="004D6B12" w:rsidP="00185E87">
      <w:pPr>
        <w:pStyle w:val="FootnoteText"/>
        <w:rPr>
          <w:rFonts w:ascii="Times New Roman" w:hAnsi="Times New Roman" w:cs="Times New Roman"/>
          <w:sz w:val="24"/>
          <w:szCs w:val="24"/>
        </w:rPr>
      </w:pPr>
      <w:r w:rsidRPr="004D6B12">
        <w:rPr>
          <w:rFonts w:ascii="Times New Roman" w:hAnsi="Times New Roman" w:cs="Times New Roman"/>
          <w:noProof/>
          <w:sz w:val="24"/>
          <w:szCs w:val="24"/>
        </w:rPr>
        <w:drawing>
          <wp:inline distT="0" distB="0" distL="0" distR="0">
            <wp:extent cx="5111496" cy="373989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496" cy="3739896"/>
                    </a:xfrm>
                    <a:prstGeom prst="rect">
                      <a:avLst/>
                    </a:prstGeom>
                    <a:noFill/>
                    <a:ln>
                      <a:noFill/>
                    </a:ln>
                  </pic:spPr>
                </pic:pic>
              </a:graphicData>
            </a:graphic>
          </wp:inline>
        </w:drawing>
      </w:r>
    </w:p>
    <w:p w:rsidR="00ED1F9B" w:rsidRDefault="00ED1F9B" w:rsidP="00185E87">
      <w:pPr>
        <w:pStyle w:val="FootnoteText"/>
        <w:rPr>
          <w:rFonts w:ascii="Times New Roman" w:hAnsi="Times New Roman" w:cs="Times New Roman"/>
          <w:sz w:val="24"/>
          <w:szCs w:val="24"/>
        </w:rPr>
      </w:pPr>
    </w:p>
    <w:p w:rsidR="00ED1F9B" w:rsidRDefault="00ED1F9B" w:rsidP="00185E87">
      <w:pPr>
        <w:pStyle w:val="FootnoteText"/>
        <w:rPr>
          <w:rFonts w:ascii="Times New Roman" w:hAnsi="Times New Roman" w:cs="Times New Roman"/>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p>
    <w:p w:rsidR="00AA11DD" w:rsidRDefault="00AA11DD" w:rsidP="0052288B">
      <w:pPr>
        <w:pStyle w:val="FootnoteText"/>
        <w:jc w:val="center"/>
        <w:rPr>
          <w:rFonts w:ascii="Times New Roman" w:hAnsi="Times New Roman" w:cs="Times New Roman"/>
          <w:b/>
          <w:sz w:val="24"/>
          <w:szCs w:val="24"/>
        </w:rPr>
      </w:pPr>
    </w:p>
    <w:p w:rsidR="00AA11DD" w:rsidRDefault="00AA11DD" w:rsidP="0052288B">
      <w:pPr>
        <w:pStyle w:val="FootnoteText"/>
        <w:jc w:val="center"/>
        <w:rPr>
          <w:rFonts w:ascii="Times New Roman" w:hAnsi="Times New Roman" w:cs="Times New Roman"/>
          <w:b/>
          <w:sz w:val="24"/>
          <w:szCs w:val="24"/>
        </w:rPr>
      </w:pPr>
    </w:p>
    <w:p w:rsidR="00ED1F9B" w:rsidRDefault="00ED1F9B" w:rsidP="0052288B">
      <w:pPr>
        <w:pStyle w:val="FootnoteText"/>
        <w:jc w:val="center"/>
        <w:rPr>
          <w:rFonts w:ascii="Times New Roman" w:hAnsi="Times New Roman" w:cs="Times New Roman"/>
          <w:b/>
          <w:sz w:val="24"/>
          <w:szCs w:val="24"/>
        </w:rPr>
      </w:pPr>
      <w:r>
        <w:rPr>
          <w:rFonts w:ascii="Times New Roman" w:hAnsi="Times New Roman" w:cs="Times New Roman"/>
          <w:b/>
          <w:sz w:val="24"/>
          <w:szCs w:val="24"/>
        </w:rPr>
        <w:t xml:space="preserve">Figure 2 </w:t>
      </w:r>
    </w:p>
    <w:p w:rsidR="00ED1F9B" w:rsidRDefault="00ED1F9B" w:rsidP="00185E87">
      <w:pPr>
        <w:pStyle w:val="FootnoteText"/>
        <w:rPr>
          <w:rFonts w:ascii="Times New Roman" w:hAnsi="Times New Roman" w:cs="Times New Roman"/>
          <w:noProof/>
          <w:sz w:val="24"/>
          <w:szCs w:val="24"/>
        </w:rPr>
      </w:pPr>
    </w:p>
    <w:p w:rsidR="0052288B" w:rsidRDefault="0052288B" w:rsidP="00185E87">
      <w:pPr>
        <w:pStyle w:val="FootnoteText"/>
        <w:rPr>
          <w:rFonts w:ascii="Times New Roman" w:hAnsi="Times New Roman" w:cs="Times New Roman"/>
          <w:sz w:val="24"/>
          <w:szCs w:val="24"/>
        </w:rPr>
      </w:pPr>
      <w:r w:rsidRPr="0052288B">
        <w:rPr>
          <w:rFonts w:ascii="Times New Roman" w:hAnsi="Times New Roman" w:cs="Times New Roman"/>
          <w:noProof/>
          <w:sz w:val="24"/>
          <w:szCs w:val="24"/>
        </w:rPr>
        <w:drawing>
          <wp:inline distT="0" distB="0" distL="0" distR="0">
            <wp:extent cx="5410200" cy="374205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0200" cy="3742055"/>
                    </a:xfrm>
                    <a:prstGeom prst="rect">
                      <a:avLst/>
                    </a:prstGeom>
                    <a:noFill/>
                    <a:ln>
                      <a:noFill/>
                    </a:ln>
                  </pic:spPr>
                </pic:pic>
              </a:graphicData>
            </a:graphic>
          </wp:inline>
        </w:drawing>
      </w:r>
    </w:p>
    <w:p w:rsidR="0052288B" w:rsidRDefault="0052288B" w:rsidP="00185E87">
      <w:pPr>
        <w:pStyle w:val="FootnoteText"/>
        <w:rPr>
          <w:rFonts w:ascii="Times New Roman" w:hAnsi="Times New Roman" w:cs="Times New Roman"/>
          <w:sz w:val="24"/>
          <w:szCs w:val="24"/>
        </w:rPr>
      </w:pPr>
    </w:p>
    <w:p w:rsidR="0052288B" w:rsidRDefault="0052288B" w:rsidP="00185E87">
      <w:pPr>
        <w:pStyle w:val="FootnoteText"/>
        <w:rPr>
          <w:rFonts w:ascii="Times New Roman" w:hAnsi="Times New Roman" w:cs="Times New Roman"/>
          <w:sz w:val="24"/>
          <w:szCs w:val="24"/>
        </w:rPr>
      </w:pPr>
    </w:p>
    <w:p w:rsidR="0052288B" w:rsidRDefault="0052288B" w:rsidP="00185E87">
      <w:pPr>
        <w:pStyle w:val="FootnoteText"/>
        <w:rPr>
          <w:rFonts w:ascii="Times New Roman" w:hAnsi="Times New Roman" w:cs="Times New Roman"/>
          <w:sz w:val="24"/>
          <w:szCs w:val="24"/>
        </w:rPr>
      </w:pPr>
    </w:p>
    <w:p w:rsidR="0052288B" w:rsidRDefault="0052288B" w:rsidP="00185E87">
      <w:pPr>
        <w:pStyle w:val="FootnoteText"/>
        <w:rPr>
          <w:rFonts w:ascii="Times New Roman" w:hAnsi="Times New Roman" w:cs="Times New Roman"/>
          <w:sz w:val="24"/>
          <w:szCs w:val="24"/>
        </w:rPr>
      </w:pPr>
    </w:p>
    <w:p w:rsidR="0052288B" w:rsidRPr="00185E87" w:rsidRDefault="0052288B" w:rsidP="00185E87">
      <w:pPr>
        <w:pStyle w:val="FootnoteText"/>
        <w:rPr>
          <w:rFonts w:ascii="Times New Roman" w:hAnsi="Times New Roman" w:cs="Times New Roman"/>
          <w:sz w:val="24"/>
          <w:szCs w:val="24"/>
        </w:rPr>
      </w:pPr>
    </w:p>
    <w:p w:rsidR="00185E87" w:rsidRPr="00185E87" w:rsidRDefault="00185E87" w:rsidP="008B627D">
      <w:pPr>
        <w:spacing w:after="0" w:line="480" w:lineRule="auto"/>
        <w:rPr>
          <w:rFonts w:ascii="Times New Roman" w:hAnsi="Times New Roman" w:cs="Times New Roman"/>
          <w:b/>
          <w:sz w:val="24"/>
          <w:szCs w:val="24"/>
        </w:rPr>
      </w:pPr>
    </w:p>
    <w:p w:rsidR="00ED1F9B" w:rsidRPr="00252715" w:rsidRDefault="008B627D" w:rsidP="00252715">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252715" w:rsidRDefault="00252715" w:rsidP="00252715">
      <w:pPr>
        <w:spacing w:after="0" w:line="240" w:lineRule="auto"/>
        <w:jc w:val="center"/>
        <w:rPr>
          <w:rFonts w:ascii="Times New Roman" w:hAnsi="Times New Roman" w:cs="Times New Roman"/>
          <w:b/>
          <w:sz w:val="28"/>
          <w:szCs w:val="24"/>
        </w:rPr>
      </w:pPr>
    </w:p>
    <w:p w:rsidR="00252715" w:rsidRDefault="00252715" w:rsidP="00252715">
      <w:pPr>
        <w:spacing w:after="0" w:line="240" w:lineRule="auto"/>
        <w:jc w:val="center"/>
        <w:rPr>
          <w:rFonts w:ascii="Times New Roman" w:hAnsi="Times New Roman" w:cs="Times New Roman"/>
          <w:b/>
          <w:sz w:val="28"/>
          <w:szCs w:val="24"/>
        </w:rPr>
      </w:pPr>
      <w:r w:rsidRPr="006F3F86">
        <w:rPr>
          <w:rFonts w:ascii="Times New Roman" w:hAnsi="Times New Roman" w:cs="Times New Roman"/>
          <w:b/>
          <w:sz w:val="28"/>
          <w:szCs w:val="24"/>
        </w:rPr>
        <w:t>Table 1</w:t>
      </w:r>
      <w:r>
        <w:rPr>
          <w:rFonts w:ascii="Times New Roman" w:hAnsi="Times New Roman" w:cs="Times New Roman"/>
          <w:b/>
          <w:sz w:val="28"/>
          <w:szCs w:val="24"/>
        </w:rPr>
        <w:t xml:space="preserve">  Total Revenue Raised by Educational Fund-Raising Organizations</w:t>
      </w:r>
    </w:p>
    <w:p w:rsidR="00252715" w:rsidRDefault="00252715" w:rsidP="0025271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(2011 Dollars)</w:t>
      </w:r>
    </w:p>
    <w:p w:rsidR="00252715" w:rsidRPr="006F3F86" w:rsidRDefault="00252715" w:rsidP="00252715">
      <w:pPr>
        <w:spacing w:after="0" w:line="240" w:lineRule="auto"/>
        <w:jc w:val="center"/>
        <w:rPr>
          <w:rFonts w:ascii="Times New Roman" w:hAnsi="Times New Roman" w:cs="Times New Roman"/>
          <w:b/>
          <w:sz w:val="28"/>
          <w:szCs w:val="24"/>
        </w:rPr>
      </w:pPr>
    </w:p>
    <w:tbl>
      <w:tblPr>
        <w:tblStyle w:val="TableGrid"/>
        <w:tblW w:w="0" w:type="auto"/>
        <w:jc w:val="center"/>
        <w:tblLook w:val="04A0"/>
      </w:tblPr>
      <w:tblGrid>
        <w:gridCol w:w="1310"/>
        <w:gridCol w:w="1109"/>
        <w:gridCol w:w="1260"/>
        <w:gridCol w:w="1303"/>
        <w:gridCol w:w="1183"/>
        <w:gridCol w:w="1296"/>
        <w:gridCol w:w="1116"/>
      </w:tblGrid>
      <w:tr w:rsidR="00252715" w:rsidTr="00600197">
        <w:trPr>
          <w:trHeight w:val="552"/>
          <w:jc w:val="center"/>
        </w:trPr>
        <w:tc>
          <w:tcPr>
            <w:tcW w:w="1036"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Type</w:t>
            </w:r>
          </w:p>
        </w:tc>
        <w:tc>
          <w:tcPr>
            <w:tcW w:w="1109" w:type="dxa"/>
            <w:vAlign w:val="center"/>
          </w:tcPr>
          <w:p w:rsidR="0025271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Number of Units</w:t>
            </w:r>
          </w:p>
        </w:tc>
        <w:tc>
          <w:tcPr>
            <w:tcW w:w="1260"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1</w:t>
            </w:r>
            <w:r w:rsidRPr="001E5EB6">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Quartile </w:t>
            </w:r>
          </w:p>
        </w:tc>
        <w:tc>
          <w:tcPr>
            <w:tcW w:w="1303"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 xml:space="preserve">Median </w:t>
            </w:r>
          </w:p>
        </w:tc>
        <w:tc>
          <w:tcPr>
            <w:tcW w:w="1183"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3</w:t>
            </w:r>
            <w:r w:rsidRPr="001E5EB6">
              <w:rPr>
                <w:rFonts w:ascii="Times New Roman" w:hAnsi="Times New Roman" w:cs="Times New Roman"/>
                <w:b/>
                <w:sz w:val="24"/>
                <w:szCs w:val="24"/>
                <w:vertAlign w:val="superscript"/>
              </w:rPr>
              <w:t>rd</w:t>
            </w:r>
            <w:r>
              <w:rPr>
                <w:rFonts w:ascii="Times New Roman" w:hAnsi="Times New Roman" w:cs="Times New Roman"/>
                <w:b/>
                <w:sz w:val="24"/>
                <w:szCs w:val="24"/>
              </w:rPr>
              <w:t xml:space="preserve"> Quartile </w:t>
            </w:r>
          </w:p>
        </w:tc>
        <w:tc>
          <w:tcPr>
            <w:tcW w:w="1296"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Maximum</w:t>
            </w:r>
          </w:p>
        </w:tc>
        <w:tc>
          <w:tcPr>
            <w:tcW w:w="1096" w:type="dxa"/>
            <w:vAlign w:val="center"/>
          </w:tcPr>
          <w:p w:rsidR="0025271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 xml:space="preserve">Average </w:t>
            </w:r>
          </w:p>
        </w:tc>
      </w:tr>
      <w:tr w:rsidR="00252715" w:rsidTr="00600197">
        <w:trPr>
          <w:trHeight w:val="552"/>
          <w:jc w:val="center"/>
        </w:trPr>
        <w:tc>
          <w:tcPr>
            <w:tcW w:w="103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Foundation</w:t>
            </w:r>
          </w:p>
        </w:tc>
        <w:tc>
          <w:tcPr>
            <w:tcW w:w="1109"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509</w:t>
            </w:r>
          </w:p>
        </w:tc>
        <w:tc>
          <w:tcPr>
            <w:tcW w:w="1260"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$34,021</w:t>
            </w:r>
          </w:p>
        </w:tc>
        <w:tc>
          <w:tcPr>
            <w:tcW w:w="130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$82,644</w:t>
            </w:r>
          </w:p>
        </w:tc>
        <w:tc>
          <w:tcPr>
            <w:tcW w:w="118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$268,363</w:t>
            </w:r>
          </w:p>
        </w:tc>
        <w:tc>
          <w:tcPr>
            <w:tcW w:w="12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$6,745,589</w:t>
            </w:r>
          </w:p>
        </w:tc>
        <w:tc>
          <w:tcPr>
            <w:tcW w:w="10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$335,387</w:t>
            </w:r>
          </w:p>
        </w:tc>
      </w:tr>
      <w:tr w:rsidR="00252715" w:rsidTr="00600197">
        <w:trPr>
          <w:trHeight w:val="552"/>
          <w:jc w:val="center"/>
        </w:trPr>
        <w:tc>
          <w:tcPr>
            <w:tcW w:w="103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PTA</w:t>
            </w:r>
          </w:p>
        </w:tc>
        <w:tc>
          <w:tcPr>
            <w:tcW w:w="1109"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363</w:t>
            </w:r>
          </w:p>
        </w:tc>
        <w:tc>
          <w:tcPr>
            <w:tcW w:w="1260"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$83,429</w:t>
            </w:r>
          </w:p>
        </w:tc>
        <w:tc>
          <w:tcPr>
            <w:tcW w:w="130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$120,453</w:t>
            </w:r>
          </w:p>
        </w:tc>
        <w:tc>
          <w:tcPr>
            <w:tcW w:w="118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$183,428</w:t>
            </w:r>
          </w:p>
        </w:tc>
        <w:tc>
          <w:tcPr>
            <w:tcW w:w="12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$838,675</w:t>
            </w:r>
          </w:p>
        </w:tc>
        <w:tc>
          <w:tcPr>
            <w:tcW w:w="10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$145,747</w:t>
            </w:r>
          </w:p>
        </w:tc>
      </w:tr>
      <w:tr w:rsidR="00252715" w:rsidTr="00600197">
        <w:trPr>
          <w:trHeight w:val="552"/>
          <w:jc w:val="center"/>
        </w:trPr>
        <w:tc>
          <w:tcPr>
            <w:tcW w:w="103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Other</w:t>
            </w:r>
          </w:p>
        </w:tc>
        <w:tc>
          <w:tcPr>
            <w:tcW w:w="1109"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1054</w:t>
            </w:r>
          </w:p>
        </w:tc>
        <w:tc>
          <w:tcPr>
            <w:tcW w:w="1260"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$27,281</w:t>
            </w:r>
          </w:p>
        </w:tc>
        <w:tc>
          <w:tcPr>
            <w:tcW w:w="130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$51,038</w:t>
            </w:r>
          </w:p>
        </w:tc>
        <w:tc>
          <w:tcPr>
            <w:tcW w:w="118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$100,026</w:t>
            </w:r>
          </w:p>
        </w:tc>
        <w:tc>
          <w:tcPr>
            <w:tcW w:w="12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$1,402,501</w:t>
            </w:r>
          </w:p>
        </w:tc>
        <w:tc>
          <w:tcPr>
            <w:tcW w:w="10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$88,333</w:t>
            </w:r>
          </w:p>
        </w:tc>
      </w:tr>
    </w:tbl>
    <w:p w:rsidR="00252715" w:rsidRDefault="00252715" w:rsidP="00252715">
      <w:pPr>
        <w:spacing w:after="0"/>
        <w:jc w:val="center"/>
      </w:pPr>
    </w:p>
    <w:p w:rsidR="00252715" w:rsidRDefault="00252715" w:rsidP="00252715">
      <w:pPr>
        <w:spacing w:after="0"/>
        <w:jc w:val="center"/>
      </w:pPr>
    </w:p>
    <w:p w:rsidR="00252715" w:rsidRDefault="00252715" w:rsidP="00252715">
      <w:pPr>
        <w:spacing w:after="0"/>
        <w:jc w:val="center"/>
      </w:pPr>
    </w:p>
    <w:p w:rsidR="00252715" w:rsidRDefault="00252715" w:rsidP="00252715">
      <w:pPr>
        <w:spacing w:after="0" w:line="240" w:lineRule="auto"/>
        <w:ind w:right="-270"/>
        <w:rPr>
          <w:rFonts w:ascii="Times New Roman" w:hAnsi="Times New Roman" w:cs="Times New Roman"/>
          <w:b/>
          <w:sz w:val="28"/>
          <w:szCs w:val="24"/>
        </w:rPr>
      </w:pPr>
      <w:r w:rsidRPr="006F3F86">
        <w:rPr>
          <w:rFonts w:ascii="Times New Roman" w:hAnsi="Times New Roman" w:cs="Times New Roman"/>
          <w:b/>
          <w:sz w:val="28"/>
          <w:szCs w:val="24"/>
        </w:rPr>
        <w:t xml:space="preserve">Table </w:t>
      </w:r>
      <w:r>
        <w:rPr>
          <w:rFonts w:ascii="Times New Roman" w:hAnsi="Times New Roman" w:cs="Times New Roman"/>
          <w:b/>
          <w:sz w:val="28"/>
          <w:szCs w:val="24"/>
        </w:rPr>
        <w:t>2  Per Pupil Revenue Raised by Educational Fund-Raising Organizations</w:t>
      </w:r>
    </w:p>
    <w:p w:rsidR="00252715" w:rsidRDefault="00252715" w:rsidP="0025271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(2011 Dollars)</w:t>
      </w:r>
    </w:p>
    <w:p w:rsidR="00252715" w:rsidRPr="006F3F86" w:rsidRDefault="00252715" w:rsidP="00252715">
      <w:pPr>
        <w:spacing w:after="0" w:line="240" w:lineRule="auto"/>
        <w:jc w:val="center"/>
        <w:rPr>
          <w:rFonts w:ascii="Times New Roman" w:hAnsi="Times New Roman" w:cs="Times New Roman"/>
          <w:b/>
          <w:sz w:val="28"/>
          <w:szCs w:val="24"/>
        </w:rPr>
      </w:pPr>
    </w:p>
    <w:tbl>
      <w:tblPr>
        <w:tblStyle w:val="TableGrid"/>
        <w:tblW w:w="0" w:type="auto"/>
        <w:jc w:val="center"/>
        <w:tblLook w:val="04A0"/>
      </w:tblPr>
      <w:tblGrid>
        <w:gridCol w:w="1310"/>
        <w:gridCol w:w="1109"/>
        <w:gridCol w:w="1260"/>
        <w:gridCol w:w="1303"/>
        <w:gridCol w:w="1183"/>
        <w:gridCol w:w="1296"/>
        <w:gridCol w:w="1096"/>
      </w:tblGrid>
      <w:tr w:rsidR="00252715" w:rsidTr="00600197">
        <w:trPr>
          <w:trHeight w:val="552"/>
          <w:jc w:val="center"/>
        </w:trPr>
        <w:tc>
          <w:tcPr>
            <w:tcW w:w="1036"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Type</w:t>
            </w:r>
          </w:p>
        </w:tc>
        <w:tc>
          <w:tcPr>
            <w:tcW w:w="1109" w:type="dxa"/>
            <w:vAlign w:val="center"/>
          </w:tcPr>
          <w:p w:rsidR="0025271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Number of Units</w:t>
            </w:r>
          </w:p>
        </w:tc>
        <w:tc>
          <w:tcPr>
            <w:tcW w:w="1260"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1</w:t>
            </w:r>
            <w:r w:rsidRPr="001E5EB6">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Quartile </w:t>
            </w:r>
          </w:p>
        </w:tc>
        <w:tc>
          <w:tcPr>
            <w:tcW w:w="1303"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 xml:space="preserve">Median </w:t>
            </w:r>
          </w:p>
        </w:tc>
        <w:tc>
          <w:tcPr>
            <w:tcW w:w="1183"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3</w:t>
            </w:r>
            <w:r w:rsidRPr="001E5EB6">
              <w:rPr>
                <w:rFonts w:ascii="Times New Roman" w:hAnsi="Times New Roman" w:cs="Times New Roman"/>
                <w:b/>
                <w:sz w:val="24"/>
                <w:szCs w:val="24"/>
                <w:vertAlign w:val="superscript"/>
              </w:rPr>
              <w:t>rd</w:t>
            </w:r>
            <w:r>
              <w:rPr>
                <w:rFonts w:ascii="Times New Roman" w:hAnsi="Times New Roman" w:cs="Times New Roman"/>
                <w:b/>
                <w:sz w:val="24"/>
                <w:szCs w:val="24"/>
              </w:rPr>
              <w:t xml:space="preserve"> Quartile </w:t>
            </w:r>
          </w:p>
        </w:tc>
        <w:tc>
          <w:tcPr>
            <w:tcW w:w="1296" w:type="dxa"/>
            <w:vAlign w:val="center"/>
          </w:tcPr>
          <w:p w:rsidR="00252715" w:rsidRPr="007B118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Maximum</w:t>
            </w:r>
          </w:p>
        </w:tc>
        <w:tc>
          <w:tcPr>
            <w:tcW w:w="1096" w:type="dxa"/>
            <w:vAlign w:val="center"/>
          </w:tcPr>
          <w:p w:rsidR="00252715" w:rsidRDefault="00252715" w:rsidP="00600197">
            <w:pPr>
              <w:jc w:val="center"/>
              <w:rPr>
                <w:rFonts w:ascii="Times New Roman" w:hAnsi="Times New Roman" w:cs="Times New Roman"/>
                <w:b/>
                <w:sz w:val="24"/>
                <w:szCs w:val="24"/>
              </w:rPr>
            </w:pPr>
            <w:r>
              <w:rPr>
                <w:rFonts w:ascii="Times New Roman" w:hAnsi="Times New Roman" w:cs="Times New Roman"/>
                <w:b/>
                <w:sz w:val="24"/>
                <w:szCs w:val="24"/>
              </w:rPr>
              <w:t xml:space="preserve">Average </w:t>
            </w:r>
          </w:p>
        </w:tc>
      </w:tr>
      <w:tr w:rsidR="00252715" w:rsidTr="00600197">
        <w:trPr>
          <w:trHeight w:val="552"/>
          <w:jc w:val="center"/>
        </w:trPr>
        <w:tc>
          <w:tcPr>
            <w:tcW w:w="103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Foundation</w:t>
            </w:r>
          </w:p>
        </w:tc>
        <w:tc>
          <w:tcPr>
            <w:tcW w:w="1109"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509</w:t>
            </w:r>
          </w:p>
        </w:tc>
        <w:tc>
          <w:tcPr>
            <w:tcW w:w="1260"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$10</w:t>
            </w:r>
          </w:p>
        </w:tc>
        <w:tc>
          <w:tcPr>
            <w:tcW w:w="130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$61</w:t>
            </w:r>
          </w:p>
        </w:tc>
        <w:tc>
          <w:tcPr>
            <w:tcW w:w="118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$211</w:t>
            </w:r>
          </w:p>
        </w:tc>
        <w:tc>
          <w:tcPr>
            <w:tcW w:w="12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$8780</w:t>
            </w:r>
          </w:p>
        </w:tc>
        <w:tc>
          <w:tcPr>
            <w:tcW w:w="10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$252</w:t>
            </w:r>
          </w:p>
        </w:tc>
      </w:tr>
      <w:tr w:rsidR="00252715" w:rsidTr="00600197">
        <w:trPr>
          <w:trHeight w:val="552"/>
          <w:jc w:val="center"/>
        </w:trPr>
        <w:tc>
          <w:tcPr>
            <w:tcW w:w="103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PTA</w:t>
            </w:r>
          </w:p>
        </w:tc>
        <w:tc>
          <w:tcPr>
            <w:tcW w:w="1109"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363</w:t>
            </w:r>
          </w:p>
        </w:tc>
        <w:tc>
          <w:tcPr>
            <w:tcW w:w="1260"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$109</w:t>
            </w:r>
          </w:p>
        </w:tc>
        <w:tc>
          <w:tcPr>
            <w:tcW w:w="130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$192</w:t>
            </w:r>
          </w:p>
        </w:tc>
        <w:tc>
          <w:tcPr>
            <w:tcW w:w="118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$307</w:t>
            </w:r>
          </w:p>
        </w:tc>
        <w:tc>
          <w:tcPr>
            <w:tcW w:w="12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$2194</w:t>
            </w:r>
          </w:p>
        </w:tc>
        <w:tc>
          <w:tcPr>
            <w:tcW w:w="10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$251</w:t>
            </w:r>
          </w:p>
        </w:tc>
      </w:tr>
      <w:tr w:rsidR="00252715" w:rsidTr="00600197">
        <w:trPr>
          <w:trHeight w:val="552"/>
          <w:jc w:val="center"/>
        </w:trPr>
        <w:tc>
          <w:tcPr>
            <w:tcW w:w="103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Other</w:t>
            </w:r>
          </w:p>
        </w:tc>
        <w:tc>
          <w:tcPr>
            <w:tcW w:w="1109"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1054</w:t>
            </w:r>
          </w:p>
        </w:tc>
        <w:tc>
          <w:tcPr>
            <w:tcW w:w="1260"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$17</w:t>
            </w:r>
          </w:p>
        </w:tc>
        <w:tc>
          <w:tcPr>
            <w:tcW w:w="130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$37</w:t>
            </w:r>
          </w:p>
        </w:tc>
        <w:tc>
          <w:tcPr>
            <w:tcW w:w="1183"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$87</w:t>
            </w:r>
          </w:p>
        </w:tc>
        <w:tc>
          <w:tcPr>
            <w:tcW w:w="12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$1904</w:t>
            </w:r>
          </w:p>
        </w:tc>
        <w:tc>
          <w:tcPr>
            <w:tcW w:w="1096" w:type="dxa"/>
            <w:vAlign w:val="center"/>
          </w:tcPr>
          <w:p w:rsidR="00252715" w:rsidRDefault="00252715" w:rsidP="00600197">
            <w:pPr>
              <w:jc w:val="center"/>
              <w:rPr>
                <w:rFonts w:ascii="Times New Roman" w:hAnsi="Times New Roman" w:cs="Times New Roman"/>
                <w:sz w:val="24"/>
                <w:szCs w:val="24"/>
              </w:rPr>
            </w:pPr>
            <w:r>
              <w:rPr>
                <w:rFonts w:ascii="Times New Roman" w:hAnsi="Times New Roman" w:cs="Times New Roman"/>
                <w:sz w:val="24"/>
                <w:szCs w:val="24"/>
              </w:rPr>
              <w:t>$80</w:t>
            </w:r>
          </w:p>
        </w:tc>
      </w:tr>
    </w:tbl>
    <w:p w:rsidR="00252715" w:rsidRDefault="00252715" w:rsidP="00252715">
      <w:pPr>
        <w:jc w:val="center"/>
      </w:pPr>
    </w:p>
    <w:p w:rsidR="00FB2BAD" w:rsidRDefault="00FB2BAD" w:rsidP="00FB2BAD">
      <w:pPr>
        <w:spacing w:after="0" w:line="240" w:lineRule="auto"/>
        <w:ind w:right="-270"/>
        <w:jc w:val="center"/>
        <w:rPr>
          <w:rFonts w:ascii="Times New Roman" w:hAnsi="Times New Roman" w:cs="Times New Roman"/>
          <w:b/>
          <w:sz w:val="28"/>
          <w:szCs w:val="24"/>
        </w:rPr>
      </w:pPr>
      <w:r w:rsidRPr="006F3F86">
        <w:rPr>
          <w:rFonts w:ascii="Times New Roman" w:hAnsi="Times New Roman" w:cs="Times New Roman"/>
          <w:b/>
          <w:sz w:val="28"/>
          <w:szCs w:val="24"/>
        </w:rPr>
        <w:t>Table</w:t>
      </w:r>
      <w:r w:rsidR="00D81D07">
        <w:rPr>
          <w:rFonts w:ascii="Times New Roman" w:hAnsi="Times New Roman" w:cs="Times New Roman"/>
          <w:b/>
          <w:sz w:val="28"/>
          <w:szCs w:val="24"/>
        </w:rPr>
        <w:t xml:space="preserve"> </w:t>
      </w:r>
      <w:r>
        <w:rPr>
          <w:rFonts w:ascii="Times New Roman" w:hAnsi="Times New Roman" w:cs="Times New Roman"/>
          <w:b/>
          <w:sz w:val="28"/>
          <w:szCs w:val="24"/>
        </w:rPr>
        <w:t>3   Revenue Raised by District Parcel Taxes</w:t>
      </w:r>
    </w:p>
    <w:p w:rsidR="00FB2BAD" w:rsidRDefault="00FB2BAD" w:rsidP="00FB2BA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(2011 Dollars)</w:t>
      </w:r>
    </w:p>
    <w:p w:rsidR="00FB2BAD" w:rsidRDefault="00FB2BAD" w:rsidP="00FB2BAD">
      <w:pPr>
        <w:spacing w:after="0" w:line="240" w:lineRule="auto"/>
        <w:jc w:val="center"/>
        <w:rPr>
          <w:rFonts w:ascii="Times New Roman" w:hAnsi="Times New Roman" w:cs="Times New Roman"/>
          <w:b/>
          <w:sz w:val="28"/>
          <w:szCs w:val="24"/>
        </w:rPr>
      </w:pPr>
    </w:p>
    <w:tbl>
      <w:tblPr>
        <w:tblW w:w="0" w:type="auto"/>
        <w:tblCellMar>
          <w:left w:w="0" w:type="dxa"/>
          <w:right w:w="0" w:type="dxa"/>
        </w:tblCellMar>
        <w:tblLook w:val="04A0"/>
      </w:tblPr>
      <w:tblGrid>
        <w:gridCol w:w="1340"/>
        <w:gridCol w:w="1338"/>
        <w:gridCol w:w="1342"/>
        <w:gridCol w:w="1360"/>
        <w:gridCol w:w="1360"/>
        <w:gridCol w:w="1476"/>
        <w:gridCol w:w="1360"/>
      </w:tblGrid>
      <w:tr w:rsidR="00FB2BAD" w:rsidTr="00FB2BAD">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BAD" w:rsidRPr="00FB2BAD" w:rsidRDefault="00FB2BAD">
            <w:pPr>
              <w:jc w:val="center"/>
              <w:rPr>
                <w:rFonts w:ascii="Times New Roman" w:eastAsiaTheme="minorHAnsi" w:hAnsi="Times New Roman" w:cs="Times New Roman"/>
                <w:b/>
                <w:bCs/>
                <w:sz w:val="24"/>
                <w:szCs w:val="24"/>
              </w:rPr>
            </w:pPr>
          </w:p>
          <w:p w:rsidR="00FB2BAD" w:rsidRPr="00FB2BAD" w:rsidRDefault="00FB2BAD">
            <w:pPr>
              <w:jc w:val="center"/>
              <w:rPr>
                <w:rFonts w:ascii="Times New Roman" w:eastAsiaTheme="minorHAnsi" w:hAnsi="Times New Roman" w:cs="Times New Roman"/>
                <w:b/>
                <w:bCs/>
                <w:sz w:val="24"/>
                <w:szCs w:val="24"/>
              </w:rPr>
            </w:pP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BAD" w:rsidRPr="00FB2BAD" w:rsidRDefault="00FB2BAD">
            <w:pPr>
              <w:jc w:val="center"/>
              <w:rPr>
                <w:rFonts w:ascii="Times New Roman" w:eastAsiaTheme="minorHAnsi" w:hAnsi="Times New Roman" w:cs="Times New Roman"/>
                <w:b/>
                <w:bCs/>
                <w:sz w:val="24"/>
                <w:szCs w:val="24"/>
              </w:rPr>
            </w:pPr>
            <w:r w:rsidRPr="00FB2BAD">
              <w:rPr>
                <w:rFonts w:ascii="Times New Roman" w:hAnsi="Times New Roman" w:cs="Times New Roman"/>
                <w:b/>
                <w:bCs/>
                <w:sz w:val="24"/>
                <w:szCs w:val="24"/>
              </w:rPr>
              <w:t>Number of Districts</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BAD" w:rsidRPr="00FB2BAD" w:rsidRDefault="00FB2BAD">
            <w:pPr>
              <w:jc w:val="center"/>
              <w:rPr>
                <w:rFonts w:ascii="Times New Roman" w:eastAsiaTheme="minorHAnsi" w:hAnsi="Times New Roman" w:cs="Times New Roman"/>
                <w:b/>
                <w:bCs/>
                <w:sz w:val="24"/>
                <w:szCs w:val="24"/>
              </w:rPr>
            </w:pPr>
            <w:r w:rsidRPr="00FB2BAD">
              <w:rPr>
                <w:rFonts w:ascii="Times New Roman" w:hAnsi="Times New Roman" w:cs="Times New Roman"/>
                <w:b/>
                <w:bCs/>
                <w:sz w:val="24"/>
                <w:szCs w:val="24"/>
              </w:rPr>
              <w:t>1</w:t>
            </w:r>
            <w:r w:rsidRPr="00FB2BAD">
              <w:rPr>
                <w:rFonts w:ascii="Times New Roman" w:hAnsi="Times New Roman" w:cs="Times New Roman"/>
                <w:b/>
                <w:bCs/>
                <w:sz w:val="24"/>
                <w:szCs w:val="24"/>
                <w:vertAlign w:val="superscript"/>
              </w:rPr>
              <w:t>st</w:t>
            </w:r>
            <w:r w:rsidRPr="00FB2BAD">
              <w:rPr>
                <w:rFonts w:ascii="Times New Roman" w:hAnsi="Times New Roman" w:cs="Times New Roman"/>
                <w:b/>
                <w:bCs/>
                <w:sz w:val="24"/>
                <w:szCs w:val="24"/>
              </w:rPr>
              <w:t xml:space="preserve"> Quartile</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BAD" w:rsidRPr="00FB2BAD" w:rsidRDefault="00FB2BAD">
            <w:pPr>
              <w:jc w:val="center"/>
              <w:rPr>
                <w:rFonts w:ascii="Times New Roman" w:eastAsiaTheme="minorHAnsi" w:hAnsi="Times New Roman" w:cs="Times New Roman"/>
                <w:b/>
                <w:bCs/>
                <w:sz w:val="24"/>
                <w:szCs w:val="24"/>
              </w:rPr>
            </w:pPr>
            <w:r w:rsidRPr="00FB2BAD">
              <w:rPr>
                <w:rFonts w:ascii="Times New Roman" w:hAnsi="Times New Roman" w:cs="Times New Roman"/>
                <w:b/>
                <w:bCs/>
                <w:sz w:val="24"/>
                <w:szCs w:val="24"/>
              </w:rPr>
              <w:t>Median</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BAD" w:rsidRPr="00FB2BAD" w:rsidRDefault="00FB2BAD">
            <w:pPr>
              <w:jc w:val="center"/>
              <w:rPr>
                <w:rFonts w:ascii="Times New Roman" w:eastAsiaTheme="minorHAnsi" w:hAnsi="Times New Roman" w:cs="Times New Roman"/>
                <w:b/>
                <w:bCs/>
                <w:sz w:val="24"/>
                <w:szCs w:val="24"/>
              </w:rPr>
            </w:pPr>
            <w:r w:rsidRPr="00FB2BAD">
              <w:rPr>
                <w:rFonts w:ascii="Times New Roman" w:hAnsi="Times New Roman" w:cs="Times New Roman"/>
                <w:b/>
                <w:bCs/>
                <w:sz w:val="24"/>
                <w:szCs w:val="24"/>
              </w:rPr>
              <w:t>3</w:t>
            </w:r>
            <w:r w:rsidRPr="00FB2BAD">
              <w:rPr>
                <w:rFonts w:ascii="Times New Roman" w:hAnsi="Times New Roman" w:cs="Times New Roman"/>
                <w:b/>
                <w:bCs/>
                <w:sz w:val="24"/>
                <w:szCs w:val="24"/>
                <w:vertAlign w:val="superscript"/>
              </w:rPr>
              <w:t>rd</w:t>
            </w:r>
            <w:r w:rsidRPr="00FB2BAD">
              <w:rPr>
                <w:rFonts w:ascii="Times New Roman" w:hAnsi="Times New Roman" w:cs="Times New Roman"/>
                <w:b/>
                <w:bCs/>
                <w:sz w:val="24"/>
                <w:szCs w:val="24"/>
              </w:rPr>
              <w:t xml:space="preserve"> Quartile</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BAD" w:rsidRPr="00FB2BAD" w:rsidRDefault="00FB2BAD">
            <w:pPr>
              <w:jc w:val="center"/>
              <w:rPr>
                <w:rFonts w:ascii="Times New Roman" w:eastAsiaTheme="minorHAnsi" w:hAnsi="Times New Roman" w:cs="Times New Roman"/>
                <w:b/>
                <w:bCs/>
                <w:sz w:val="24"/>
                <w:szCs w:val="24"/>
              </w:rPr>
            </w:pPr>
            <w:r w:rsidRPr="00FB2BAD">
              <w:rPr>
                <w:rFonts w:ascii="Times New Roman" w:hAnsi="Times New Roman" w:cs="Times New Roman"/>
                <w:b/>
                <w:bCs/>
                <w:sz w:val="24"/>
                <w:szCs w:val="24"/>
              </w:rPr>
              <w:t>Maximum</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BAD" w:rsidRPr="00FB2BAD" w:rsidRDefault="00FB2BAD">
            <w:pPr>
              <w:jc w:val="center"/>
              <w:rPr>
                <w:rFonts w:ascii="Times New Roman" w:eastAsiaTheme="minorHAnsi" w:hAnsi="Times New Roman" w:cs="Times New Roman"/>
                <w:b/>
                <w:bCs/>
                <w:sz w:val="24"/>
                <w:szCs w:val="24"/>
              </w:rPr>
            </w:pPr>
            <w:r w:rsidRPr="00FB2BAD">
              <w:rPr>
                <w:rFonts w:ascii="Times New Roman" w:hAnsi="Times New Roman" w:cs="Times New Roman"/>
                <w:b/>
                <w:bCs/>
                <w:sz w:val="24"/>
                <w:szCs w:val="24"/>
              </w:rPr>
              <w:t>Average</w:t>
            </w:r>
          </w:p>
        </w:tc>
      </w:tr>
      <w:tr w:rsidR="00FB2BAD" w:rsidTr="00FB2BAD">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2BAD" w:rsidRPr="00FB2BAD" w:rsidRDefault="00FB2BAD">
            <w:pPr>
              <w:jc w:val="center"/>
              <w:rPr>
                <w:rFonts w:ascii="Times New Roman" w:eastAsiaTheme="minorHAnsi" w:hAnsi="Times New Roman" w:cs="Times New Roman"/>
                <w:b/>
                <w:bCs/>
                <w:sz w:val="24"/>
                <w:szCs w:val="24"/>
              </w:rPr>
            </w:pPr>
            <w:r w:rsidRPr="00FB2BAD">
              <w:rPr>
                <w:rFonts w:ascii="Times New Roman" w:hAnsi="Times New Roman" w:cs="Times New Roman"/>
                <w:b/>
                <w:bCs/>
                <w:sz w:val="24"/>
                <w:szCs w:val="24"/>
              </w:rPr>
              <w:t>Total Parcel Tax Revenue</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93</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$675,931</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$1,722,326</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$4,273,710</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 xml:space="preserve">$29,550,524  </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$3,405,109</w:t>
            </w:r>
          </w:p>
        </w:tc>
      </w:tr>
      <w:tr w:rsidR="00FB2BAD" w:rsidTr="00FB2BAD">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2BAD" w:rsidRPr="00FB2BAD" w:rsidRDefault="00FB2BAD">
            <w:pPr>
              <w:jc w:val="center"/>
              <w:rPr>
                <w:rFonts w:ascii="Times New Roman" w:eastAsiaTheme="minorHAnsi" w:hAnsi="Times New Roman" w:cs="Times New Roman"/>
                <w:b/>
                <w:bCs/>
                <w:sz w:val="24"/>
                <w:szCs w:val="24"/>
              </w:rPr>
            </w:pPr>
            <w:r w:rsidRPr="00FB2BAD">
              <w:rPr>
                <w:rFonts w:ascii="Times New Roman" w:hAnsi="Times New Roman" w:cs="Times New Roman"/>
                <w:b/>
                <w:bCs/>
                <w:sz w:val="24"/>
                <w:szCs w:val="24"/>
              </w:rPr>
              <w:t>Per Pupil Parcel Tax Revenue</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93</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$224</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$553</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$1164</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$4074</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2BAD" w:rsidRPr="00FB2BAD" w:rsidRDefault="00FB2BAD">
            <w:pPr>
              <w:jc w:val="center"/>
              <w:rPr>
                <w:rFonts w:ascii="Times New Roman" w:eastAsiaTheme="minorHAnsi" w:hAnsi="Times New Roman" w:cs="Times New Roman"/>
                <w:sz w:val="24"/>
                <w:szCs w:val="24"/>
              </w:rPr>
            </w:pPr>
            <w:r w:rsidRPr="00FB2BAD">
              <w:rPr>
                <w:rFonts w:ascii="Times New Roman" w:hAnsi="Times New Roman" w:cs="Times New Roman"/>
                <w:sz w:val="24"/>
                <w:szCs w:val="24"/>
              </w:rPr>
              <w:t>$889</w:t>
            </w:r>
          </w:p>
        </w:tc>
      </w:tr>
    </w:tbl>
    <w:p w:rsidR="00FB2BAD" w:rsidRDefault="00FB2BAD" w:rsidP="00FB2BAD">
      <w:pPr>
        <w:rPr>
          <w:rFonts w:ascii="Calibri" w:eastAsiaTheme="minorHAnsi" w:hAnsi="Calibri"/>
        </w:rPr>
      </w:pPr>
    </w:p>
    <w:p w:rsidR="0061624D" w:rsidRPr="00490495" w:rsidRDefault="0061624D" w:rsidP="0061624D">
      <w:pPr>
        <w:jc w:val="center"/>
        <w:rPr>
          <w:rFonts w:ascii="Times New Roman" w:hAnsi="Times New Roman"/>
          <w:b/>
          <w:sz w:val="28"/>
          <w:szCs w:val="28"/>
        </w:rPr>
      </w:pPr>
      <w:r w:rsidRPr="00490495">
        <w:rPr>
          <w:rFonts w:ascii="Times New Roman" w:hAnsi="Times New Roman"/>
          <w:b/>
          <w:sz w:val="28"/>
          <w:szCs w:val="28"/>
        </w:rPr>
        <w:lastRenderedPageBreak/>
        <w:t>Table 4</w:t>
      </w:r>
      <w:r>
        <w:rPr>
          <w:rFonts w:ascii="Times New Roman" w:hAnsi="Times New Roman"/>
          <w:b/>
          <w:sz w:val="28"/>
          <w:szCs w:val="28"/>
        </w:rPr>
        <w:t xml:space="preserve">    </w:t>
      </w:r>
      <w:r w:rsidRPr="00490495">
        <w:rPr>
          <w:rFonts w:ascii="Times New Roman" w:hAnsi="Times New Roman"/>
          <w:b/>
          <w:sz w:val="28"/>
          <w:szCs w:val="28"/>
        </w:rPr>
        <w:t xml:space="preserve"> Supplementing K-12</w:t>
      </w:r>
      <w:r>
        <w:rPr>
          <w:rFonts w:ascii="Times New Roman" w:hAnsi="Times New Roman"/>
          <w:b/>
          <w:sz w:val="28"/>
          <w:szCs w:val="28"/>
        </w:rPr>
        <w:t xml:space="preserve"> Spending</w:t>
      </w:r>
      <w:r w:rsidRPr="00490495">
        <w:rPr>
          <w:rFonts w:ascii="Times New Roman" w:hAnsi="Times New Roman"/>
          <w:b/>
          <w:sz w:val="28"/>
          <w:szCs w:val="28"/>
        </w:rPr>
        <w:t xml:space="preserve"> in California</w:t>
      </w:r>
    </w:p>
    <w:p w:rsidR="0061624D" w:rsidRDefault="0061624D" w:rsidP="0061624D">
      <w:pPr>
        <w:jc w:val="center"/>
        <w:rPr>
          <w:rFonts w:ascii="Times New Roman" w:hAnsi="Times New Roman"/>
          <w:b/>
          <w:sz w:val="28"/>
          <w:szCs w:val="28"/>
        </w:rPr>
      </w:pPr>
      <w:r w:rsidRPr="00490495">
        <w:rPr>
          <w:rFonts w:ascii="Times New Roman" w:hAnsi="Times New Roman"/>
          <w:b/>
          <w:sz w:val="28"/>
          <w:szCs w:val="28"/>
        </w:rPr>
        <w:t>School Districts (2011 Dollars per Pupil)</w:t>
      </w:r>
    </w:p>
    <w:p w:rsidR="0061624D" w:rsidRPr="00490495" w:rsidRDefault="0061624D" w:rsidP="0061624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754"/>
        <w:gridCol w:w="2340"/>
        <w:gridCol w:w="2088"/>
      </w:tblGrid>
      <w:tr w:rsidR="0061624D" w:rsidRPr="00490495" w:rsidTr="00912CC6">
        <w:trPr>
          <w:trHeight w:val="962"/>
        </w:trPr>
        <w:tc>
          <w:tcPr>
            <w:tcW w:w="2394" w:type="dxa"/>
            <w:tcBorders>
              <w:bottom w:val="single" w:sz="4" w:space="0" w:color="auto"/>
            </w:tcBorders>
            <w:shd w:val="clear" w:color="auto" w:fill="auto"/>
            <w:vAlign w:val="center"/>
          </w:tcPr>
          <w:p w:rsidR="0061624D" w:rsidRPr="00490495" w:rsidRDefault="0061624D" w:rsidP="00912CC6">
            <w:pPr>
              <w:jc w:val="center"/>
              <w:rPr>
                <w:rFonts w:ascii="Times New Roman" w:hAnsi="Times New Roman"/>
                <w:b/>
              </w:rPr>
            </w:pPr>
          </w:p>
        </w:tc>
        <w:tc>
          <w:tcPr>
            <w:tcW w:w="2754" w:type="dxa"/>
            <w:tcBorders>
              <w:bottom w:val="single" w:sz="4" w:space="0" w:color="auto"/>
            </w:tcBorders>
            <w:shd w:val="clear" w:color="auto" w:fill="auto"/>
            <w:vAlign w:val="center"/>
          </w:tcPr>
          <w:p w:rsidR="0061624D" w:rsidRPr="00490495" w:rsidRDefault="0061624D" w:rsidP="00912CC6">
            <w:pPr>
              <w:jc w:val="center"/>
              <w:rPr>
                <w:rFonts w:ascii="Times New Roman" w:hAnsi="Times New Roman"/>
                <w:b/>
              </w:rPr>
            </w:pPr>
            <w:r w:rsidRPr="00490495">
              <w:rPr>
                <w:rFonts w:ascii="Times New Roman" w:hAnsi="Times New Roman"/>
                <w:b/>
              </w:rPr>
              <w:t>Voluntary</w:t>
            </w:r>
          </w:p>
          <w:p w:rsidR="0061624D" w:rsidRPr="00490495" w:rsidRDefault="0061624D" w:rsidP="00912CC6">
            <w:pPr>
              <w:jc w:val="center"/>
              <w:rPr>
                <w:rFonts w:ascii="Times New Roman" w:hAnsi="Times New Roman"/>
                <w:b/>
              </w:rPr>
            </w:pPr>
            <w:r w:rsidRPr="00490495">
              <w:rPr>
                <w:rFonts w:ascii="Times New Roman" w:hAnsi="Times New Roman"/>
                <w:b/>
              </w:rPr>
              <w:t>Contributions</w:t>
            </w:r>
          </w:p>
        </w:tc>
        <w:tc>
          <w:tcPr>
            <w:tcW w:w="2340" w:type="dxa"/>
            <w:tcBorders>
              <w:bottom w:val="single" w:sz="4" w:space="0" w:color="auto"/>
            </w:tcBorders>
            <w:shd w:val="clear" w:color="auto" w:fill="auto"/>
            <w:vAlign w:val="center"/>
          </w:tcPr>
          <w:p w:rsidR="0061624D" w:rsidRPr="00490495" w:rsidRDefault="0061624D" w:rsidP="00912CC6">
            <w:pPr>
              <w:jc w:val="center"/>
              <w:rPr>
                <w:rFonts w:ascii="Times New Roman" w:hAnsi="Times New Roman"/>
                <w:b/>
              </w:rPr>
            </w:pPr>
            <w:r w:rsidRPr="00490495">
              <w:rPr>
                <w:rFonts w:ascii="Times New Roman" w:hAnsi="Times New Roman"/>
                <w:b/>
              </w:rPr>
              <w:t>Parcel Taxes</w:t>
            </w:r>
          </w:p>
        </w:tc>
        <w:tc>
          <w:tcPr>
            <w:tcW w:w="2088" w:type="dxa"/>
            <w:tcBorders>
              <w:bottom w:val="single" w:sz="4" w:space="0" w:color="auto"/>
            </w:tcBorders>
            <w:shd w:val="clear" w:color="auto" w:fill="auto"/>
            <w:vAlign w:val="center"/>
          </w:tcPr>
          <w:p w:rsidR="0061624D" w:rsidRPr="00490495" w:rsidRDefault="0061624D" w:rsidP="00912CC6">
            <w:pPr>
              <w:jc w:val="center"/>
              <w:rPr>
                <w:rFonts w:ascii="Times New Roman" w:hAnsi="Times New Roman"/>
                <w:b/>
              </w:rPr>
            </w:pPr>
            <w:r w:rsidRPr="00490495">
              <w:rPr>
                <w:rFonts w:ascii="Times New Roman" w:hAnsi="Times New Roman"/>
                <w:b/>
              </w:rPr>
              <w:t>Combination</w:t>
            </w:r>
          </w:p>
        </w:tc>
      </w:tr>
      <w:tr w:rsidR="0061624D" w:rsidRPr="00490495" w:rsidTr="00912CC6">
        <w:trPr>
          <w:trHeight w:val="701"/>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Median Income</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5.4</w:t>
            </w:r>
          </w:p>
          <w:p w:rsidR="0061624D" w:rsidRPr="00490495" w:rsidRDefault="0061624D" w:rsidP="00912CC6">
            <w:pPr>
              <w:jc w:val="center"/>
              <w:rPr>
                <w:rFonts w:ascii="Times New Roman" w:hAnsi="Times New Roman"/>
              </w:rPr>
            </w:pPr>
            <w:r w:rsidRPr="00490495">
              <w:rPr>
                <w:rFonts w:ascii="Times New Roman" w:hAnsi="Times New Roman"/>
              </w:rPr>
              <w:t>(.33)</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4.7</w:t>
            </w:r>
          </w:p>
          <w:p w:rsidR="0061624D" w:rsidRPr="00490495" w:rsidRDefault="0061624D" w:rsidP="00912CC6">
            <w:pPr>
              <w:jc w:val="center"/>
              <w:rPr>
                <w:rFonts w:ascii="Times New Roman" w:hAnsi="Times New Roman"/>
              </w:rPr>
            </w:pPr>
            <w:r w:rsidRPr="00490495">
              <w:rPr>
                <w:rFonts w:ascii="Times New Roman" w:hAnsi="Times New Roman"/>
              </w:rPr>
              <w:t>(.48)</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12.35</w:t>
            </w:r>
          </w:p>
          <w:p w:rsidR="0061624D" w:rsidRPr="00490495" w:rsidRDefault="0061624D" w:rsidP="00912CC6">
            <w:pPr>
              <w:jc w:val="center"/>
              <w:rPr>
                <w:rFonts w:ascii="Times New Roman" w:hAnsi="Times New Roman"/>
              </w:rPr>
            </w:pPr>
            <w:r w:rsidRPr="00490495">
              <w:rPr>
                <w:rFonts w:ascii="Times New Roman" w:hAnsi="Times New Roman"/>
              </w:rPr>
              <w:t>(.53)</w:t>
            </w:r>
          </w:p>
        </w:tc>
      </w:tr>
      <w:tr w:rsidR="0061624D" w:rsidRPr="00490495" w:rsidTr="00912CC6">
        <w:trPr>
          <w:trHeight w:val="719"/>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Log Enrollment</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-23.8</w:t>
            </w:r>
          </w:p>
          <w:p w:rsidR="0061624D" w:rsidRPr="00490495" w:rsidRDefault="0061624D" w:rsidP="00912CC6">
            <w:pPr>
              <w:jc w:val="center"/>
              <w:rPr>
                <w:rFonts w:ascii="Times New Roman" w:hAnsi="Times New Roman"/>
              </w:rPr>
            </w:pPr>
            <w:r w:rsidRPr="00490495">
              <w:rPr>
                <w:rFonts w:ascii="Times New Roman" w:hAnsi="Times New Roman"/>
              </w:rPr>
              <w:t>(6.3)</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-19.8</w:t>
            </w:r>
          </w:p>
          <w:p w:rsidR="0061624D" w:rsidRPr="00490495" w:rsidRDefault="0061624D" w:rsidP="00912CC6">
            <w:pPr>
              <w:jc w:val="center"/>
              <w:rPr>
                <w:rFonts w:ascii="Times New Roman" w:hAnsi="Times New Roman"/>
              </w:rPr>
            </w:pPr>
            <w:r w:rsidRPr="00490495">
              <w:rPr>
                <w:rFonts w:ascii="Times New Roman" w:hAnsi="Times New Roman"/>
              </w:rPr>
              <w:t>(8.4)</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-53.3</w:t>
            </w:r>
          </w:p>
          <w:p w:rsidR="0061624D" w:rsidRPr="00490495" w:rsidRDefault="0061624D" w:rsidP="00912CC6">
            <w:pPr>
              <w:jc w:val="center"/>
              <w:rPr>
                <w:rFonts w:ascii="Times New Roman" w:hAnsi="Times New Roman"/>
              </w:rPr>
            </w:pPr>
            <w:r w:rsidRPr="00490495">
              <w:rPr>
                <w:rFonts w:ascii="Times New Roman" w:hAnsi="Times New Roman"/>
              </w:rPr>
              <w:t>(11.4)</w:t>
            </w:r>
          </w:p>
        </w:tc>
      </w:tr>
      <w:tr w:rsidR="0061624D" w:rsidRPr="00490495" w:rsidTr="00912CC6">
        <w:trPr>
          <w:trHeight w:val="701"/>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Gini Index</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13.7</w:t>
            </w:r>
          </w:p>
          <w:p w:rsidR="0061624D" w:rsidRPr="00490495" w:rsidRDefault="0061624D" w:rsidP="00912CC6">
            <w:pPr>
              <w:jc w:val="center"/>
              <w:rPr>
                <w:rFonts w:ascii="Times New Roman" w:hAnsi="Times New Roman"/>
              </w:rPr>
            </w:pPr>
            <w:r w:rsidRPr="00490495">
              <w:rPr>
                <w:rFonts w:ascii="Times New Roman" w:hAnsi="Times New Roman"/>
              </w:rPr>
              <w:t>(2.0)</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12.2</w:t>
            </w:r>
          </w:p>
          <w:p w:rsidR="0061624D" w:rsidRPr="00490495" w:rsidRDefault="0061624D" w:rsidP="00912CC6">
            <w:pPr>
              <w:jc w:val="center"/>
              <w:rPr>
                <w:rFonts w:ascii="Times New Roman" w:hAnsi="Times New Roman"/>
              </w:rPr>
            </w:pPr>
            <w:r w:rsidRPr="00490495">
              <w:rPr>
                <w:rFonts w:ascii="Times New Roman" w:hAnsi="Times New Roman"/>
              </w:rPr>
              <w:t>(2.7)</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31.6</w:t>
            </w:r>
          </w:p>
          <w:p w:rsidR="0061624D" w:rsidRPr="00490495" w:rsidRDefault="0061624D" w:rsidP="00912CC6">
            <w:pPr>
              <w:jc w:val="center"/>
              <w:rPr>
                <w:rFonts w:ascii="Times New Roman" w:hAnsi="Times New Roman"/>
              </w:rPr>
            </w:pPr>
            <w:r w:rsidRPr="00490495">
              <w:rPr>
                <w:rFonts w:ascii="Times New Roman" w:hAnsi="Times New Roman"/>
              </w:rPr>
              <w:t>(3.6)</w:t>
            </w:r>
          </w:p>
        </w:tc>
      </w:tr>
      <w:tr w:rsidR="0061624D" w:rsidRPr="00490495" w:rsidTr="00912CC6">
        <w:trPr>
          <w:trHeight w:val="719"/>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Percent 5-17</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19.8</w:t>
            </w:r>
          </w:p>
          <w:p w:rsidR="0061624D" w:rsidRPr="00490495" w:rsidRDefault="0061624D" w:rsidP="00912CC6">
            <w:pPr>
              <w:jc w:val="center"/>
              <w:rPr>
                <w:rFonts w:ascii="Times New Roman" w:hAnsi="Times New Roman"/>
              </w:rPr>
            </w:pPr>
            <w:r w:rsidRPr="00490495">
              <w:rPr>
                <w:rFonts w:ascii="Times New Roman" w:hAnsi="Times New Roman"/>
              </w:rPr>
              <w:t>(2.4)</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-8.5</w:t>
            </w:r>
          </w:p>
          <w:p w:rsidR="0061624D" w:rsidRPr="00490495" w:rsidRDefault="0061624D" w:rsidP="00912CC6">
            <w:pPr>
              <w:jc w:val="center"/>
              <w:rPr>
                <w:rFonts w:ascii="Times New Roman" w:hAnsi="Times New Roman"/>
              </w:rPr>
            </w:pPr>
            <w:r w:rsidRPr="00490495">
              <w:rPr>
                <w:rFonts w:ascii="Times New Roman" w:hAnsi="Times New Roman"/>
              </w:rPr>
              <w:t>(3.4)</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15.3</w:t>
            </w:r>
          </w:p>
          <w:p w:rsidR="0061624D" w:rsidRPr="00490495" w:rsidRDefault="0061624D" w:rsidP="00912CC6">
            <w:pPr>
              <w:jc w:val="center"/>
              <w:rPr>
                <w:rFonts w:ascii="Times New Roman" w:hAnsi="Times New Roman"/>
              </w:rPr>
            </w:pPr>
            <w:r w:rsidRPr="00490495">
              <w:rPr>
                <w:rFonts w:ascii="Times New Roman" w:hAnsi="Times New Roman"/>
              </w:rPr>
              <w:t>(4.5)</w:t>
            </w:r>
          </w:p>
        </w:tc>
      </w:tr>
      <w:tr w:rsidR="0061624D" w:rsidRPr="00490495" w:rsidTr="00912CC6">
        <w:trPr>
          <w:trHeight w:val="701"/>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Percent over 65</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6.6</w:t>
            </w:r>
          </w:p>
          <w:p w:rsidR="0061624D" w:rsidRPr="00490495" w:rsidRDefault="0061624D" w:rsidP="00912CC6">
            <w:pPr>
              <w:jc w:val="center"/>
              <w:rPr>
                <w:rFonts w:ascii="Times New Roman" w:hAnsi="Times New Roman"/>
              </w:rPr>
            </w:pPr>
            <w:r w:rsidRPr="00490495">
              <w:rPr>
                <w:rFonts w:ascii="Times New Roman" w:hAnsi="Times New Roman"/>
              </w:rPr>
              <w:t>(2.1)</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-8.6</w:t>
            </w:r>
          </w:p>
          <w:p w:rsidR="0061624D" w:rsidRPr="00490495" w:rsidRDefault="0061624D" w:rsidP="00912CC6">
            <w:pPr>
              <w:jc w:val="center"/>
              <w:rPr>
                <w:rFonts w:ascii="Times New Roman" w:hAnsi="Times New Roman"/>
              </w:rPr>
            </w:pPr>
            <w:r w:rsidRPr="00490495">
              <w:rPr>
                <w:rFonts w:ascii="Times New Roman" w:hAnsi="Times New Roman"/>
              </w:rPr>
              <w:t>(2.8)</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-1.7</w:t>
            </w:r>
          </w:p>
          <w:p w:rsidR="0061624D" w:rsidRPr="00490495" w:rsidRDefault="0061624D" w:rsidP="00912CC6">
            <w:pPr>
              <w:jc w:val="center"/>
              <w:rPr>
                <w:rFonts w:ascii="Times New Roman" w:hAnsi="Times New Roman"/>
              </w:rPr>
            </w:pPr>
            <w:r w:rsidRPr="00490495">
              <w:rPr>
                <w:rFonts w:ascii="Times New Roman" w:hAnsi="Times New Roman"/>
              </w:rPr>
              <w:t>(3.9)</w:t>
            </w:r>
          </w:p>
        </w:tc>
      </w:tr>
      <w:tr w:rsidR="0061624D" w:rsidRPr="00490495" w:rsidTr="00912CC6">
        <w:trPr>
          <w:trHeight w:val="719"/>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Basic Aid</w:t>
            </w:r>
          </w:p>
          <w:p w:rsidR="0061624D" w:rsidRPr="00490495" w:rsidRDefault="0061624D" w:rsidP="00912CC6">
            <w:pPr>
              <w:jc w:val="center"/>
              <w:rPr>
                <w:rFonts w:ascii="Times New Roman" w:hAnsi="Times New Roman"/>
              </w:rPr>
            </w:pPr>
            <w:r w:rsidRPr="00490495">
              <w:rPr>
                <w:rFonts w:ascii="Times New Roman" w:hAnsi="Times New Roman"/>
              </w:rPr>
              <w:t>Excess Revenue</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.014</w:t>
            </w:r>
          </w:p>
          <w:p w:rsidR="0061624D" w:rsidRPr="00490495" w:rsidRDefault="0061624D" w:rsidP="00912CC6">
            <w:pPr>
              <w:jc w:val="center"/>
              <w:rPr>
                <w:rFonts w:ascii="Times New Roman" w:hAnsi="Times New Roman"/>
              </w:rPr>
            </w:pPr>
            <w:r w:rsidRPr="00490495">
              <w:rPr>
                <w:rFonts w:ascii="Times New Roman" w:hAnsi="Times New Roman"/>
              </w:rPr>
              <w:t>(.006)</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-.022</w:t>
            </w:r>
          </w:p>
          <w:p w:rsidR="0061624D" w:rsidRPr="00490495" w:rsidRDefault="0061624D" w:rsidP="00912CC6">
            <w:pPr>
              <w:jc w:val="center"/>
              <w:rPr>
                <w:rFonts w:ascii="Times New Roman" w:hAnsi="Times New Roman"/>
              </w:rPr>
            </w:pPr>
            <w:r w:rsidRPr="00490495">
              <w:rPr>
                <w:rFonts w:ascii="Times New Roman" w:hAnsi="Times New Roman"/>
              </w:rPr>
              <w:t>(.008)</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-.009</w:t>
            </w:r>
          </w:p>
          <w:p w:rsidR="0061624D" w:rsidRPr="00490495" w:rsidRDefault="0061624D" w:rsidP="00912CC6">
            <w:pPr>
              <w:jc w:val="center"/>
              <w:rPr>
                <w:rFonts w:ascii="Times New Roman" w:hAnsi="Times New Roman"/>
              </w:rPr>
            </w:pPr>
            <w:r w:rsidRPr="00490495">
              <w:rPr>
                <w:rFonts w:ascii="Times New Roman" w:hAnsi="Times New Roman"/>
              </w:rPr>
              <w:t>(.011)</w:t>
            </w:r>
          </w:p>
        </w:tc>
      </w:tr>
      <w:tr w:rsidR="0061624D" w:rsidRPr="00490495" w:rsidTr="00912CC6">
        <w:trPr>
          <w:trHeight w:val="701"/>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Parcel Taxes</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.138</w:t>
            </w:r>
          </w:p>
          <w:p w:rsidR="0061624D" w:rsidRPr="00490495" w:rsidRDefault="0061624D" w:rsidP="00912CC6">
            <w:pPr>
              <w:jc w:val="center"/>
              <w:rPr>
                <w:rFonts w:ascii="Times New Roman" w:hAnsi="Times New Roman"/>
              </w:rPr>
            </w:pPr>
            <w:r w:rsidRPr="00490495">
              <w:rPr>
                <w:rFonts w:ascii="Times New Roman" w:hAnsi="Times New Roman"/>
              </w:rPr>
              <w:t>(.006)</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w:t>
            </w:r>
          </w:p>
          <w:p w:rsidR="0061624D" w:rsidRPr="00490495" w:rsidRDefault="0061624D" w:rsidP="00912CC6">
            <w:pPr>
              <w:jc w:val="center"/>
              <w:rPr>
                <w:rFonts w:ascii="Times New Roman" w:hAnsi="Times New Roman"/>
              </w:rPr>
            </w:pPr>
            <w:r w:rsidRPr="00490495">
              <w:rPr>
                <w:rFonts w:ascii="Times New Roman" w:hAnsi="Times New Roman"/>
              </w:rPr>
              <w:t>——</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w:t>
            </w:r>
          </w:p>
          <w:p w:rsidR="0061624D" w:rsidRPr="00490495" w:rsidRDefault="0061624D" w:rsidP="00912CC6">
            <w:pPr>
              <w:jc w:val="center"/>
              <w:rPr>
                <w:rFonts w:ascii="Times New Roman" w:hAnsi="Times New Roman"/>
              </w:rPr>
            </w:pPr>
            <w:r w:rsidRPr="00490495">
              <w:rPr>
                <w:rFonts w:ascii="Times New Roman" w:hAnsi="Times New Roman"/>
              </w:rPr>
              <w:t>——</w:t>
            </w:r>
          </w:p>
        </w:tc>
      </w:tr>
      <w:tr w:rsidR="0061624D" w:rsidRPr="00490495" w:rsidTr="00912CC6">
        <w:trPr>
          <w:trHeight w:val="719"/>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Contributions</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w:t>
            </w:r>
          </w:p>
          <w:p w:rsidR="0061624D" w:rsidRPr="00490495" w:rsidRDefault="0061624D" w:rsidP="00912CC6">
            <w:pPr>
              <w:jc w:val="center"/>
              <w:rPr>
                <w:rFonts w:ascii="Times New Roman" w:hAnsi="Times New Roman"/>
              </w:rPr>
            </w:pPr>
            <w:r w:rsidRPr="00490495">
              <w:rPr>
                <w:rFonts w:ascii="Times New Roman" w:hAnsi="Times New Roman"/>
              </w:rPr>
              <w:t>——</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.231</w:t>
            </w:r>
          </w:p>
          <w:p w:rsidR="0061624D" w:rsidRPr="00490495" w:rsidRDefault="0061624D" w:rsidP="00912CC6">
            <w:pPr>
              <w:jc w:val="center"/>
              <w:rPr>
                <w:rFonts w:ascii="Times New Roman" w:hAnsi="Times New Roman"/>
              </w:rPr>
            </w:pPr>
            <w:r w:rsidRPr="00490495">
              <w:rPr>
                <w:rFonts w:ascii="Times New Roman" w:hAnsi="Times New Roman"/>
              </w:rPr>
              <w:t>(.047)</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w:t>
            </w:r>
          </w:p>
          <w:p w:rsidR="0061624D" w:rsidRPr="00490495" w:rsidRDefault="0061624D" w:rsidP="00912CC6">
            <w:pPr>
              <w:jc w:val="center"/>
              <w:rPr>
                <w:rFonts w:ascii="Times New Roman" w:hAnsi="Times New Roman"/>
              </w:rPr>
            </w:pPr>
            <w:r w:rsidRPr="00490495">
              <w:rPr>
                <w:rFonts w:ascii="Times New Roman" w:hAnsi="Times New Roman"/>
              </w:rPr>
              <w:t>——</w:t>
            </w:r>
          </w:p>
        </w:tc>
      </w:tr>
      <w:tr w:rsidR="0061624D" w:rsidRPr="00490495" w:rsidTr="00912CC6">
        <w:trPr>
          <w:trHeight w:val="701"/>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c</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-1181</w:t>
            </w:r>
          </w:p>
          <w:p w:rsidR="0061624D" w:rsidRPr="00490495" w:rsidRDefault="0061624D" w:rsidP="00912CC6">
            <w:pPr>
              <w:jc w:val="center"/>
              <w:rPr>
                <w:rFonts w:ascii="Times New Roman" w:hAnsi="Times New Roman"/>
              </w:rPr>
            </w:pPr>
            <w:r w:rsidRPr="00490495">
              <w:rPr>
                <w:rFonts w:ascii="Times New Roman" w:hAnsi="Times New Roman"/>
              </w:rPr>
              <w:t>(119)</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-361</w:t>
            </w:r>
          </w:p>
          <w:p w:rsidR="0061624D" w:rsidRPr="00490495" w:rsidRDefault="0061624D" w:rsidP="00912CC6">
            <w:pPr>
              <w:jc w:val="center"/>
              <w:rPr>
                <w:rFonts w:ascii="Times New Roman" w:hAnsi="Times New Roman"/>
              </w:rPr>
            </w:pPr>
            <w:r w:rsidRPr="00490495">
              <w:rPr>
                <w:rFonts w:ascii="Times New Roman" w:hAnsi="Times New Roman"/>
              </w:rPr>
              <w:t>(167)</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-1918</w:t>
            </w:r>
          </w:p>
          <w:p w:rsidR="0061624D" w:rsidRPr="00490495" w:rsidRDefault="0061624D" w:rsidP="00912CC6">
            <w:pPr>
              <w:jc w:val="center"/>
              <w:rPr>
                <w:rFonts w:ascii="Times New Roman" w:hAnsi="Times New Roman"/>
              </w:rPr>
            </w:pPr>
            <w:r w:rsidRPr="00490495">
              <w:rPr>
                <w:rFonts w:ascii="Times New Roman" w:hAnsi="Times New Roman"/>
              </w:rPr>
              <w:t>(214)</w:t>
            </w:r>
          </w:p>
        </w:tc>
      </w:tr>
      <w:tr w:rsidR="0061624D" w:rsidRPr="00490495" w:rsidTr="00912CC6">
        <w:trPr>
          <w:trHeight w:val="629"/>
        </w:trPr>
        <w:tc>
          <w:tcPr>
            <w:tcW w:w="239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n</w:t>
            </w:r>
          </w:p>
        </w:tc>
        <w:tc>
          <w:tcPr>
            <w:tcW w:w="2754"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785</w:t>
            </w:r>
          </w:p>
        </w:tc>
        <w:tc>
          <w:tcPr>
            <w:tcW w:w="2340"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785</w:t>
            </w:r>
          </w:p>
        </w:tc>
        <w:tc>
          <w:tcPr>
            <w:tcW w:w="2088" w:type="dxa"/>
            <w:tcBorders>
              <w:top w:val="single" w:sz="4" w:space="0" w:color="auto"/>
              <w:left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785</w:t>
            </w:r>
          </w:p>
        </w:tc>
      </w:tr>
      <w:tr w:rsidR="0061624D" w:rsidRPr="00490495" w:rsidTr="00912CC6">
        <w:trPr>
          <w:trHeight w:val="620"/>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R</w:t>
            </w:r>
            <w:r w:rsidRPr="00490495">
              <w:rPr>
                <w:rFonts w:ascii="Times New Roman" w:hAnsi="Times New Roman"/>
                <w:vertAlign w:val="superscript"/>
              </w:rPr>
              <w:t>2</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.49</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.31</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61624D" w:rsidRPr="00490495" w:rsidRDefault="0061624D" w:rsidP="00912CC6">
            <w:pPr>
              <w:jc w:val="center"/>
              <w:rPr>
                <w:rFonts w:ascii="Times New Roman" w:hAnsi="Times New Roman"/>
              </w:rPr>
            </w:pPr>
            <w:r w:rsidRPr="00490495">
              <w:rPr>
                <w:rFonts w:ascii="Times New Roman" w:hAnsi="Times New Roman"/>
              </w:rPr>
              <w:t>.49</w:t>
            </w:r>
          </w:p>
        </w:tc>
      </w:tr>
    </w:tbl>
    <w:p w:rsidR="00ED1F9B" w:rsidRDefault="00ED1F9B">
      <w:pPr>
        <w:rPr>
          <w:rFonts w:ascii="Times New Roman" w:hAnsi="Times New Roman" w:cs="Times New Roman"/>
          <w:b/>
          <w:sz w:val="24"/>
        </w:rPr>
      </w:pPr>
    </w:p>
    <w:p w:rsidR="00231EAC" w:rsidRDefault="00231EAC" w:rsidP="00231EAC">
      <w:pPr>
        <w:spacing w:after="0" w:line="360" w:lineRule="auto"/>
        <w:rPr>
          <w:rFonts w:ascii="Times New Roman" w:hAnsi="Times New Roman" w:cs="Times New Roman"/>
          <w:b/>
          <w:sz w:val="24"/>
        </w:rPr>
      </w:pPr>
      <w:r>
        <w:rPr>
          <w:rFonts w:ascii="Times New Roman" w:hAnsi="Times New Roman" w:cs="Times New Roman"/>
          <w:b/>
          <w:sz w:val="24"/>
        </w:rPr>
        <w:t>References</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Brunner, Eric, and Jon Sonstelie. 1997. “Coping with Serrano: Voluntary Contributions to </w:t>
      </w:r>
      <w:r>
        <w:rPr>
          <w:rFonts w:ascii="Times New Roman" w:hAnsi="Times New Roman" w:cs="Times New Roman"/>
          <w:sz w:val="24"/>
          <w:szCs w:val="24"/>
        </w:rPr>
        <w:tab/>
        <w:t xml:space="preserve">California’s Local Public Schools.” Paper presented at the Annual Conference on </w:t>
      </w:r>
      <w:r>
        <w:rPr>
          <w:rFonts w:ascii="Times New Roman" w:hAnsi="Times New Roman" w:cs="Times New Roman"/>
          <w:sz w:val="24"/>
          <w:szCs w:val="24"/>
        </w:rPr>
        <w:tab/>
        <w:t>Taxation, National Tax Association.</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Brunner, Eric, and Jon Sonstelie.  2003. “School Finance Reform and Voluntary Fiscal </w:t>
      </w:r>
      <w:r>
        <w:rPr>
          <w:rFonts w:ascii="Times New Roman" w:hAnsi="Times New Roman" w:cs="Times New Roman"/>
          <w:sz w:val="24"/>
          <w:szCs w:val="24"/>
        </w:rPr>
        <w:tab/>
        <w:t xml:space="preserve">Federalism.” </w:t>
      </w:r>
      <w:r w:rsidRPr="00E17910">
        <w:rPr>
          <w:rFonts w:ascii="Times New Roman" w:hAnsi="Times New Roman" w:cs="Times New Roman"/>
          <w:i/>
          <w:sz w:val="24"/>
          <w:szCs w:val="24"/>
        </w:rPr>
        <w:t>Journal of Public Economics</w:t>
      </w:r>
      <w:r>
        <w:rPr>
          <w:rFonts w:ascii="Times New Roman" w:hAnsi="Times New Roman" w:cs="Times New Roman"/>
          <w:sz w:val="24"/>
          <w:szCs w:val="24"/>
        </w:rPr>
        <w:t xml:space="preserve"> 87:2157-2185.</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Brunner, Eric J. and Jennifer Imazeki. 2005. “Fiscal Stress and Voluntary Contributions to </w:t>
      </w:r>
      <w:r>
        <w:rPr>
          <w:rFonts w:ascii="Times New Roman" w:hAnsi="Times New Roman" w:cs="Times New Roman"/>
          <w:sz w:val="24"/>
          <w:szCs w:val="24"/>
        </w:rPr>
        <w:tab/>
        <w:t xml:space="preserve">Public Schools.” </w:t>
      </w:r>
      <w:r w:rsidRPr="007E305C">
        <w:rPr>
          <w:rFonts w:ascii="Times New Roman" w:hAnsi="Times New Roman" w:cs="Times New Roman"/>
          <w:i/>
          <w:sz w:val="24"/>
          <w:szCs w:val="24"/>
        </w:rPr>
        <w:t>Developments in School Finance: 2004</w:t>
      </w:r>
      <w:r>
        <w:rPr>
          <w:rFonts w:ascii="Times New Roman" w:hAnsi="Times New Roman" w:cs="Times New Roman"/>
          <w:sz w:val="24"/>
          <w:szCs w:val="24"/>
        </w:rPr>
        <w:t xml:space="preserve">. Washington DC: National </w:t>
      </w:r>
      <w:r>
        <w:rPr>
          <w:rFonts w:ascii="Times New Roman" w:hAnsi="Times New Roman" w:cs="Times New Roman"/>
          <w:sz w:val="24"/>
          <w:szCs w:val="24"/>
        </w:rPr>
        <w:tab/>
        <w:t xml:space="preserve">Center for Education Statistics, U.S. Department of Education. </w:t>
      </w:r>
    </w:p>
    <w:p w:rsidR="00231EAC" w:rsidRPr="00DD40CB"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Bureau of Labor Statistics. 2013. “Consumer Price Index.” Retrieved March 23, from </w:t>
      </w:r>
      <w:r>
        <w:rPr>
          <w:rFonts w:ascii="Times New Roman" w:hAnsi="Times New Roman" w:cs="Times New Roman"/>
          <w:sz w:val="24"/>
          <w:szCs w:val="24"/>
        </w:rPr>
        <w:tab/>
      </w:r>
      <w:r w:rsidRPr="00DD40CB">
        <w:rPr>
          <w:rFonts w:ascii="Times New Roman" w:hAnsi="Times New Roman" w:cs="Times New Roman"/>
          <w:sz w:val="24"/>
          <w:szCs w:val="24"/>
        </w:rPr>
        <w:t>http://www.bls.gov/cpi/.</w:t>
      </w:r>
    </w:p>
    <w:p w:rsidR="00231EAC" w:rsidRDefault="00231EAC" w:rsidP="00231EAC">
      <w:pPr>
        <w:pStyle w:val="FootnoteText"/>
        <w:spacing w:line="360" w:lineRule="auto"/>
        <w:rPr>
          <w:rFonts w:ascii="Times New Roman" w:hAnsi="Times New Roman" w:cs="Times New Roman"/>
          <w:sz w:val="24"/>
          <w:szCs w:val="24"/>
        </w:rPr>
      </w:pPr>
      <w:r w:rsidRPr="00DD40CB">
        <w:rPr>
          <w:rFonts w:ascii="Times New Roman" w:hAnsi="Times New Roman" w:cs="Times New Roman"/>
          <w:sz w:val="24"/>
          <w:szCs w:val="24"/>
        </w:rPr>
        <w:t>California Consortium of Education Foundations</w:t>
      </w:r>
      <w:r>
        <w:rPr>
          <w:rFonts w:ascii="Times New Roman" w:hAnsi="Times New Roman" w:cs="Times New Roman"/>
          <w:sz w:val="24"/>
          <w:szCs w:val="24"/>
        </w:rPr>
        <w:t>.</w:t>
      </w:r>
      <w:r w:rsidRPr="00DD40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40CB">
        <w:rPr>
          <w:rFonts w:ascii="Times New Roman" w:hAnsi="Times New Roman" w:cs="Times New Roman"/>
          <w:sz w:val="24"/>
          <w:szCs w:val="24"/>
        </w:rPr>
        <w:t>2010</w:t>
      </w:r>
      <w:r>
        <w:rPr>
          <w:rFonts w:ascii="Times New Roman" w:hAnsi="Times New Roman" w:cs="Times New Roman"/>
          <w:sz w:val="24"/>
          <w:szCs w:val="24"/>
        </w:rPr>
        <w:t>.</w:t>
      </w:r>
      <w:r w:rsidRPr="00DD40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40CB">
        <w:rPr>
          <w:rFonts w:ascii="Times New Roman" w:hAnsi="Times New Roman" w:cs="Times New Roman"/>
          <w:sz w:val="24"/>
          <w:szCs w:val="24"/>
        </w:rPr>
        <w:t xml:space="preserve">Foundations Facilities &amp; Staffing </w:t>
      </w:r>
      <w:r>
        <w:rPr>
          <w:rFonts w:ascii="Times New Roman" w:hAnsi="Times New Roman" w:cs="Times New Roman"/>
          <w:sz w:val="24"/>
          <w:szCs w:val="24"/>
        </w:rPr>
        <w:tab/>
      </w:r>
      <w:r w:rsidRPr="00DD40CB">
        <w:rPr>
          <w:rFonts w:ascii="Times New Roman" w:hAnsi="Times New Roman" w:cs="Times New Roman"/>
          <w:sz w:val="24"/>
          <w:szCs w:val="24"/>
        </w:rPr>
        <w:t>Survey.</w:t>
      </w:r>
      <w:r>
        <w:rPr>
          <w:rFonts w:ascii="Times New Roman" w:hAnsi="Times New Roman" w:cs="Times New Roman"/>
          <w:sz w:val="24"/>
          <w:szCs w:val="24"/>
        </w:rPr>
        <w:t>”</w:t>
      </w:r>
      <w:r w:rsidRPr="00DD40CB">
        <w:rPr>
          <w:rFonts w:ascii="Times New Roman" w:hAnsi="Times New Roman" w:cs="Times New Roman"/>
          <w:sz w:val="24"/>
          <w:szCs w:val="24"/>
        </w:rPr>
        <w:t xml:space="preserve"> </w:t>
      </w:r>
      <w:r>
        <w:rPr>
          <w:rFonts w:ascii="Times New Roman" w:hAnsi="Times New Roman" w:cs="Times New Roman"/>
          <w:sz w:val="24"/>
          <w:szCs w:val="24"/>
        </w:rPr>
        <w:t xml:space="preserve">  Retrieved from </w:t>
      </w:r>
      <w:hyperlink r:id="rId10" w:history="1">
        <w:r w:rsidRPr="00830DC1">
          <w:rPr>
            <w:rStyle w:val="Hyperlink"/>
            <w:rFonts w:ascii="Times New Roman" w:hAnsi="Times New Roman" w:cs="Times New Roman"/>
            <w:sz w:val="24"/>
            <w:szCs w:val="24"/>
          </w:rPr>
          <w:t>http://www.cceflink.org/staffing_survey.html</w:t>
        </w:r>
      </w:hyperlink>
      <w:r>
        <w:rPr>
          <w:rFonts w:ascii="Times New Roman" w:hAnsi="Times New Roman" w:cs="Times New Roman"/>
          <w:sz w:val="24"/>
          <w:szCs w:val="24"/>
        </w:rPr>
        <w:t>.</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California Department of Education DataQuest. 2013. Retrieved March 23 from </w:t>
      </w:r>
      <w:r>
        <w:rPr>
          <w:rFonts w:ascii="Times New Roman" w:hAnsi="Times New Roman" w:cs="Times New Roman"/>
          <w:sz w:val="24"/>
          <w:szCs w:val="24"/>
        </w:rPr>
        <w:tab/>
      </w:r>
      <w:hyperlink r:id="rId11" w:history="1">
        <w:r w:rsidRPr="00830DC1">
          <w:rPr>
            <w:rStyle w:val="Hyperlink"/>
            <w:rFonts w:ascii="Times New Roman" w:hAnsi="Times New Roman" w:cs="Times New Roman"/>
            <w:sz w:val="24"/>
            <w:szCs w:val="24"/>
          </w:rPr>
          <w:t>http://dq.cde.ca.gov/dataquest/dataquest.asp</w:t>
        </w:r>
      </w:hyperlink>
      <w:r>
        <w:rPr>
          <w:rFonts w:ascii="Times New Roman" w:hAnsi="Times New Roman" w:cs="Times New Roman"/>
          <w:sz w:val="24"/>
          <w:szCs w:val="24"/>
        </w:rPr>
        <w:t>.</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Carroll, Deborah A. and Thad Calabrese.  2013.  “Alternative Service Delivery: Does </w:t>
      </w:r>
      <w:r>
        <w:rPr>
          <w:rFonts w:ascii="Times New Roman" w:hAnsi="Times New Roman" w:cs="Times New Roman"/>
          <w:sz w:val="24"/>
          <w:szCs w:val="24"/>
        </w:rPr>
        <w:tab/>
        <w:t xml:space="preserve">Nonprofit Financing Influence State Tax Burden?” </w:t>
      </w:r>
      <w:r w:rsidRPr="00A8233D">
        <w:rPr>
          <w:rFonts w:ascii="Times New Roman" w:hAnsi="Times New Roman" w:cs="Times New Roman"/>
          <w:i/>
          <w:sz w:val="24"/>
          <w:szCs w:val="24"/>
        </w:rPr>
        <w:t xml:space="preserve">The American Review of Public </w:t>
      </w:r>
      <w:r>
        <w:rPr>
          <w:rFonts w:ascii="Times New Roman" w:hAnsi="Times New Roman" w:cs="Times New Roman"/>
          <w:i/>
          <w:sz w:val="24"/>
          <w:szCs w:val="24"/>
        </w:rPr>
        <w:tab/>
      </w:r>
      <w:r w:rsidRPr="00A8233D">
        <w:rPr>
          <w:rFonts w:ascii="Times New Roman" w:hAnsi="Times New Roman" w:cs="Times New Roman"/>
          <w:i/>
          <w:sz w:val="24"/>
          <w:szCs w:val="24"/>
        </w:rPr>
        <w:t>Administration</w:t>
      </w:r>
      <w:r>
        <w:rPr>
          <w:rFonts w:ascii="Times New Roman" w:hAnsi="Times New Roman" w:cs="Times New Roman"/>
          <w:i/>
          <w:sz w:val="24"/>
          <w:szCs w:val="24"/>
        </w:rPr>
        <w:t>.</w:t>
      </w:r>
      <w:r>
        <w:rPr>
          <w:rFonts w:ascii="Times New Roman" w:hAnsi="Times New Roman" w:cs="Times New Roman"/>
          <w:sz w:val="24"/>
          <w:szCs w:val="24"/>
        </w:rPr>
        <w:t xml:space="preserve"> 43:200-20.</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Census Bureau.  2013. “American Fact Finder.”  Retrieved March 22 from </w:t>
      </w:r>
      <w:r>
        <w:rPr>
          <w:rFonts w:ascii="Times New Roman" w:hAnsi="Times New Roman" w:cs="Times New Roman"/>
          <w:sz w:val="24"/>
          <w:szCs w:val="24"/>
        </w:rPr>
        <w:tab/>
      </w:r>
      <w:hyperlink r:id="rId12" w:history="1">
        <w:r w:rsidRPr="00F83204">
          <w:rPr>
            <w:rStyle w:val="Hyperlink"/>
            <w:rFonts w:ascii="Times New Roman" w:hAnsi="Times New Roman" w:cs="Times New Roman"/>
            <w:sz w:val="24"/>
            <w:szCs w:val="24"/>
          </w:rPr>
          <w:t>http://factfinder2.census.gov</w:t>
        </w:r>
      </w:hyperlink>
      <w:r>
        <w:rPr>
          <w:rFonts w:ascii="Times New Roman" w:hAnsi="Times New Roman" w:cs="Times New Roman"/>
          <w:sz w:val="24"/>
          <w:szCs w:val="24"/>
        </w:rPr>
        <w:t>.</w:t>
      </w:r>
    </w:p>
    <w:p w:rsidR="00231EAC" w:rsidRPr="00CB0D85"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Deitrick, Laura J. 2009.  </w:t>
      </w:r>
      <w:r w:rsidRPr="0005532F">
        <w:rPr>
          <w:rFonts w:ascii="Times New Roman" w:hAnsi="Times New Roman" w:cs="Times New Roman"/>
          <w:i/>
          <w:sz w:val="24"/>
          <w:szCs w:val="24"/>
        </w:rPr>
        <w:t>California Education Foundations: A Mixed Methods Study</w:t>
      </w:r>
      <w:r>
        <w:rPr>
          <w:rFonts w:ascii="Times New Roman" w:hAnsi="Times New Roman" w:cs="Times New Roman"/>
          <w:sz w:val="24"/>
          <w:szCs w:val="24"/>
        </w:rPr>
        <w:t xml:space="preserve">.  Doctoral </w:t>
      </w:r>
      <w:r>
        <w:rPr>
          <w:rFonts w:ascii="Times New Roman" w:hAnsi="Times New Roman" w:cs="Times New Roman"/>
          <w:sz w:val="24"/>
          <w:szCs w:val="24"/>
        </w:rPr>
        <w:tab/>
      </w:r>
      <w:r w:rsidRPr="00DC69A2">
        <w:rPr>
          <w:rFonts w:ascii="Times New Roman" w:hAnsi="Times New Roman" w:cs="Times New Roman"/>
          <w:sz w:val="24"/>
          <w:szCs w:val="24"/>
        </w:rPr>
        <w:t>Dissertation, University of San Diego.</w:t>
      </w:r>
    </w:p>
    <w:p w:rsidR="00231EAC" w:rsidRDefault="00231EAC" w:rsidP="00231EAC">
      <w:pPr>
        <w:spacing w:after="0" w:line="360" w:lineRule="auto"/>
        <w:rPr>
          <w:rFonts w:ascii="Times New Roman" w:hAnsi="Times New Roman" w:cs="Times New Roman"/>
          <w:sz w:val="24"/>
        </w:rPr>
      </w:pPr>
      <w:r>
        <w:rPr>
          <w:rFonts w:ascii="Times New Roman" w:hAnsi="Times New Roman" w:cs="Times New Roman"/>
          <w:sz w:val="24"/>
        </w:rPr>
        <w:t>EdSource. 2013</w:t>
      </w:r>
      <w:r w:rsidRPr="00D762DA">
        <w:rPr>
          <w:rFonts w:ascii="Times New Roman" w:hAnsi="Times New Roman" w:cs="Times New Roman"/>
          <w:sz w:val="24"/>
        </w:rPr>
        <w:t>.</w:t>
      </w:r>
      <w:r>
        <w:rPr>
          <w:rFonts w:ascii="Times New Roman" w:hAnsi="Times New Roman" w:cs="Times New Roman"/>
          <w:sz w:val="24"/>
        </w:rPr>
        <w:t xml:space="preserve"> “</w:t>
      </w:r>
      <w:r w:rsidRPr="006F319D">
        <w:rPr>
          <w:rFonts w:ascii="Times New Roman" w:hAnsi="Times New Roman" w:cs="Times New Roman"/>
          <w:iCs/>
          <w:sz w:val="24"/>
        </w:rPr>
        <w:t xml:space="preserve">School </w:t>
      </w:r>
      <w:r>
        <w:rPr>
          <w:rFonts w:ascii="Times New Roman" w:hAnsi="Times New Roman" w:cs="Times New Roman"/>
          <w:iCs/>
          <w:sz w:val="24"/>
        </w:rPr>
        <w:t>F</w:t>
      </w:r>
      <w:r w:rsidRPr="006F319D">
        <w:rPr>
          <w:rFonts w:ascii="Times New Roman" w:hAnsi="Times New Roman" w:cs="Times New Roman"/>
          <w:iCs/>
          <w:sz w:val="24"/>
        </w:rPr>
        <w:t>inance</w:t>
      </w:r>
      <w:r w:rsidRPr="00D762DA">
        <w:rPr>
          <w:rFonts w:ascii="Times New Roman" w:hAnsi="Times New Roman" w:cs="Times New Roman"/>
          <w:sz w:val="24"/>
        </w:rPr>
        <w:t>.</w:t>
      </w:r>
      <w:r>
        <w:rPr>
          <w:rFonts w:ascii="Times New Roman" w:hAnsi="Times New Roman" w:cs="Times New Roman"/>
          <w:sz w:val="24"/>
        </w:rPr>
        <w:t>”</w:t>
      </w:r>
      <w:r w:rsidRPr="00D762DA">
        <w:rPr>
          <w:rFonts w:ascii="Times New Roman" w:hAnsi="Times New Roman" w:cs="Times New Roman"/>
          <w:sz w:val="24"/>
        </w:rPr>
        <w:t xml:space="preserve"> </w:t>
      </w:r>
      <w:r>
        <w:rPr>
          <w:rFonts w:ascii="Times New Roman" w:hAnsi="Times New Roman" w:cs="Times New Roman"/>
          <w:sz w:val="24"/>
        </w:rPr>
        <w:t xml:space="preserve">2013. </w:t>
      </w:r>
      <w:r w:rsidRPr="00D762DA">
        <w:rPr>
          <w:rFonts w:ascii="Times New Roman" w:hAnsi="Times New Roman" w:cs="Times New Roman"/>
          <w:sz w:val="24"/>
        </w:rPr>
        <w:t xml:space="preserve">Retrieved </w:t>
      </w:r>
      <w:r>
        <w:rPr>
          <w:rFonts w:ascii="Times New Roman" w:hAnsi="Times New Roman" w:cs="Times New Roman"/>
          <w:sz w:val="24"/>
        </w:rPr>
        <w:t xml:space="preserve">March 22 </w:t>
      </w:r>
      <w:r w:rsidRPr="00D762DA">
        <w:rPr>
          <w:rFonts w:ascii="Times New Roman" w:hAnsi="Times New Roman" w:cs="Times New Roman"/>
          <w:sz w:val="24"/>
        </w:rPr>
        <w:t>from</w:t>
      </w:r>
      <w:r>
        <w:rPr>
          <w:rFonts w:ascii="Times New Roman" w:hAnsi="Times New Roman" w:cs="Times New Roman"/>
          <w:sz w:val="24"/>
        </w:rPr>
        <w:t xml:space="preserve"> http://www.edsource.org/school-</w:t>
      </w:r>
      <w:r w:rsidRPr="00D762DA">
        <w:rPr>
          <w:rFonts w:ascii="Times New Roman" w:hAnsi="Times New Roman" w:cs="Times New Roman"/>
          <w:sz w:val="24"/>
        </w:rPr>
        <w:t>finance.html</w:t>
      </w:r>
      <w:r>
        <w:rPr>
          <w:rFonts w:ascii="Times New Roman" w:hAnsi="Times New Roman" w:cs="Times New Roman"/>
          <w:sz w:val="24"/>
        </w:rPr>
        <w:t>.</w:t>
      </w:r>
    </w:p>
    <w:p w:rsidR="00231EAC" w:rsidRDefault="00231EAC" w:rsidP="00231EAC">
      <w:pPr>
        <w:spacing w:after="0" w:line="360" w:lineRule="auto"/>
        <w:rPr>
          <w:rFonts w:ascii="Times New Roman" w:hAnsi="Times New Roman" w:cs="Times New Roman"/>
          <w:sz w:val="24"/>
        </w:rPr>
      </w:pPr>
      <w:r>
        <w:rPr>
          <w:rFonts w:ascii="Times New Roman" w:hAnsi="Times New Roman" w:cs="Times New Roman"/>
          <w:sz w:val="24"/>
        </w:rPr>
        <w:t xml:space="preserve">Education Week.  2013.  “Editorial Projects in Education.”  Retrieved from </w:t>
      </w:r>
    </w:p>
    <w:p w:rsidR="00231EAC" w:rsidRDefault="00231EAC" w:rsidP="00231EAC">
      <w:pPr>
        <w:spacing w:after="0" w:line="360" w:lineRule="auto"/>
        <w:rPr>
          <w:rFonts w:ascii="Times New Roman" w:hAnsi="Times New Roman" w:cs="Times New Roman"/>
          <w:sz w:val="24"/>
        </w:rPr>
      </w:pPr>
      <w:r>
        <w:rPr>
          <w:rFonts w:ascii="Times New Roman" w:hAnsi="Times New Roman" w:cs="Times New Roman"/>
          <w:sz w:val="24"/>
        </w:rPr>
        <w:tab/>
      </w:r>
      <w:r w:rsidRPr="008B627D">
        <w:rPr>
          <w:rFonts w:ascii="Times New Roman" w:hAnsi="Times New Roman" w:cs="Times New Roman"/>
          <w:sz w:val="24"/>
        </w:rPr>
        <w:t>http://www.edweek.org/rc/?intc=thed</w:t>
      </w:r>
      <w:r>
        <w:rPr>
          <w:rFonts w:ascii="Times New Roman" w:hAnsi="Times New Roman" w:cs="Times New Roman"/>
          <w:sz w:val="24"/>
        </w:rPr>
        <w:t>.</w:t>
      </w:r>
    </w:p>
    <w:p w:rsidR="00231EAC" w:rsidRPr="00D762DA" w:rsidRDefault="00231EAC" w:rsidP="00231EAC">
      <w:pPr>
        <w:spacing w:after="0" w:line="360" w:lineRule="auto"/>
        <w:rPr>
          <w:rFonts w:ascii="Times New Roman" w:hAnsi="Times New Roman" w:cs="Times New Roman"/>
          <w:sz w:val="24"/>
        </w:rPr>
        <w:sectPr w:rsidR="00231EAC" w:rsidRPr="00D762DA" w:rsidSect="009B01E9">
          <w:footerReference w:type="default" r:id="rId13"/>
          <w:footerReference w:type="first" r:id="rId14"/>
          <w:pgSz w:w="12240" w:h="15840"/>
          <w:pgMar w:top="1440" w:right="1440" w:bottom="1440" w:left="1440" w:header="720" w:footer="720" w:gutter="0"/>
          <w:pgNumType w:start="0"/>
          <w:cols w:space="720"/>
          <w:titlePg/>
          <w:docGrid w:linePitch="360"/>
        </w:sectPr>
      </w:pPr>
    </w:p>
    <w:p w:rsidR="00231EAC" w:rsidRPr="00E67A15" w:rsidRDefault="00231EAC" w:rsidP="00231EAC">
      <w:pPr>
        <w:spacing w:after="0" w:line="360" w:lineRule="auto"/>
        <w:rPr>
          <w:rFonts w:ascii="Times New Roman" w:hAnsi="Times New Roman" w:cs="Times New Roman"/>
          <w:sz w:val="24"/>
        </w:rPr>
      </w:pPr>
      <w:r w:rsidRPr="00E67A15">
        <w:rPr>
          <w:rFonts w:ascii="Times New Roman" w:hAnsi="Times New Roman" w:cs="Times New Roman"/>
          <w:sz w:val="24"/>
        </w:rPr>
        <w:lastRenderedPageBreak/>
        <w:t xml:space="preserve">Fernández, Raquel, and Richard Rogerson. 1999. “Education Finance Reform and Investment </w:t>
      </w:r>
    </w:p>
    <w:p w:rsidR="00231EAC" w:rsidRDefault="00231EAC" w:rsidP="00231EAC">
      <w:pPr>
        <w:spacing w:after="0" w:line="360" w:lineRule="auto"/>
        <w:ind w:firstLine="720"/>
        <w:rPr>
          <w:rFonts w:ascii="Times New Roman" w:hAnsi="Times New Roman" w:cs="Times New Roman"/>
          <w:sz w:val="24"/>
        </w:rPr>
      </w:pPr>
      <w:r w:rsidRPr="00E67A15">
        <w:rPr>
          <w:rFonts w:ascii="Times New Roman" w:hAnsi="Times New Roman" w:cs="Times New Roman"/>
          <w:sz w:val="24"/>
        </w:rPr>
        <w:t xml:space="preserve">in Human Capital: Lessons from California.” </w:t>
      </w:r>
      <w:r w:rsidRPr="00E67A15">
        <w:rPr>
          <w:rFonts w:ascii="Times New Roman" w:hAnsi="Times New Roman" w:cs="Times New Roman"/>
          <w:i/>
          <w:sz w:val="24"/>
        </w:rPr>
        <w:t>Journal of Public Economics</w:t>
      </w:r>
      <w:r w:rsidRPr="00E67A15">
        <w:rPr>
          <w:rFonts w:ascii="Times New Roman" w:hAnsi="Times New Roman" w:cs="Times New Roman"/>
          <w:sz w:val="24"/>
        </w:rPr>
        <w:t xml:space="preserve"> 74: 327-50.</w:t>
      </w:r>
    </w:p>
    <w:p w:rsidR="00231EAC" w:rsidRDefault="00231EAC" w:rsidP="00231EAC">
      <w:pPr>
        <w:spacing w:after="0" w:line="360" w:lineRule="auto"/>
        <w:rPr>
          <w:rFonts w:ascii="Times New Roman" w:hAnsi="Times New Roman" w:cs="Times New Roman"/>
          <w:sz w:val="24"/>
          <w:szCs w:val="24"/>
        </w:rPr>
      </w:pPr>
      <w:r w:rsidRPr="00E67A15">
        <w:rPr>
          <w:rFonts w:ascii="Times New Roman" w:hAnsi="Times New Roman" w:cs="Times New Roman"/>
          <w:sz w:val="24"/>
        </w:rPr>
        <w:t xml:space="preserve">Fernández, Raquel, and Richard Rogerson.  2003. “Equity and Resources: An Analysis of </w:t>
      </w:r>
      <w:r w:rsidRPr="00ED2685">
        <w:rPr>
          <w:rFonts w:ascii="Times New Roman" w:hAnsi="Times New Roman" w:cs="Times New Roman"/>
          <w:sz w:val="24"/>
          <w:szCs w:val="24"/>
        </w:rPr>
        <w:tab/>
        <w:t xml:space="preserve">Education Finance Systems.” </w:t>
      </w:r>
      <w:r w:rsidRPr="00ED2685">
        <w:rPr>
          <w:rFonts w:ascii="Times New Roman" w:hAnsi="Times New Roman" w:cs="Times New Roman"/>
          <w:i/>
          <w:sz w:val="24"/>
          <w:szCs w:val="24"/>
        </w:rPr>
        <w:t>Journal of Political Economy</w:t>
      </w:r>
      <w:r w:rsidRPr="00ED2685">
        <w:rPr>
          <w:rFonts w:ascii="Times New Roman" w:hAnsi="Times New Roman" w:cs="Times New Roman"/>
          <w:sz w:val="24"/>
          <w:szCs w:val="24"/>
        </w:rPr>
        <w:t xml:space="preserve"> 111:858-97.  </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Fischel, William. 1989. “Did </w:t>
      </w:r>
      <w:r w:rsidRPr="00426528">
        <w:rPr>
          <w:rFonts w:ascii="Times New Roman" w:hAnsi="Times New Roman" w:cs="Times New Roman"/>
          <w:i/>
          <w:sz w:val="24"/>
          <w:szCs w:val="24"/>
        </w:rPr>
        <w:t>Serrano</w:t>
      </w:r>
      <w:r>
        <w:rPr>
          <w:rFonts w:ascii="Times New Roman" w:hAnsi="Times New Roman" w:cs="Times New Roman"/>
          <w:sz w:val="24"/>
          <w:szCs w:val="24"/>
        </w:rPr>
        <w:t xml:space="preserve"> Cause Proposition 13?” </w:t>
      </w:r>
      <w:r w:rsidRPr="00490915">
        <w:rPr>
          <w:rFonts w:ascii="Times New Roman" w:hAnsi="Times New Roman" w:cs="Times New Roman"/>
          <w:i/>
          <w:sz w:val="24"/>
          <w:szCs w:val="24"/>
        </w:rPr>
        <w:t>National Tax Journal</w:t>
      </w:r>
      <w:r>
        <w:rPr>
          <w:rFonts w:ascii="Times New Roman" w:hAnsi="Times New Roman" w:cs="Times New Roman"/>
          <w:sz w:val="24"/>
          <w:szCs w:val="24"/>
        </w:rPr>
        <w:t xml:space="preserve"> 42:465-73.  </w:t>
      </w:r>
    </w:p>
    <w:p w:rsidR="00231EAC" w:rsidRDefault="00231EAC" w:rsidP="00231EAC">
      <w:pPr>
        <w:pStyle w:val="BodyTextIndent"/>
        <w:spacing w:before="0" w:line="360" w:lineRule="auto"/>
        <w:ind w:left="360" w:hanging="360"/>
        <w:rPr>
          <w:rFonts w:ascii="Times New Roman" w:hAnsi="Times New Roman"/>
        </w:rPr>
      </w:pPr>
      <w:r>
        <w:rPr>
          <w:rFonts w:ascii="Times New Roman" w:hAnsi="Times New Roman"/>
        </w:rPr>
        <w:t xml:space="preserve">Gerber, Elizabeth, Arthur Lupia, Mathew McCubbins, and D. Roderick Kiewiet. 2001.    </w:t>
      </w:r>
      <w:r>
        <w:rPr>
          <w:rFonts w:ascii="Times New Roman" w:hAnsi="Times New Roman"/>
        </w:rPr>
        <w:tab/>
      </w:r>
      <w:r w:rsidRPr="00CF4241">
        <w:rPr>
          <w:rFonts w:ascii="Times New Roman" w:hAnsi="Times New Roman"/>
          <w:i/>
        </w:rPr>
        <w:t>Stealing the Initiative: How State Government Responds to Direct Democracy</w:t>
      </w:r>
      <w:r>
        <w:rPr>
          <w:rFonts w:ascii="Times New Roman" w:hAnsi="Times New Roman"/>
        </w:rPr>
        <w:t xml:space="preserve">. Upper </w:t>
      </w:r>
      <w:r>
        <w:rPr>
          <w:rFonts w:ascii="Times New Roman" w:hAnsi="Times New Roman"/>
        </w:rPr>
        <w:tab/>
        <w:t>Saddle River, NJ: Prentice Hall.</w:t>
      </w:r>
    </w:p>
    <w:p w:rsidR="00231EAC" w:rsidRDefault="00231EAC" w:rsidP="00231EAC">
      <w:pPr>
        <w:spacing w:after="0" w:line="360" w:lineRule="auto"/>
        <w:rPr>
          <w:rFonts w:ascii="Times New Roman" w:hAnsi="Times New Roman" w:cs="Times New Roman"/>
          <w:sz w:val="24"/>
          <w:szCs w:val="24"/>
        </w:rPr>
      </w:pPr>
      <w:r w:rsidRPr="00ED2685">
        <w:rPr>
          <w:rFonts w:ascii="Times New Roman" w:hAnsi="Times New Roman" w:cs="Times New Roman"/>
          <w:sz w:val="24"/>
          <w:szCs w:val="24"/>
        </w:rPr>
        <w:t xml:space="preserve">Goldin, Claudia, and Lawrence F. Katz.  2003.  “The ‘Virtues’ of the Past: Education in the First </w:t>
      </w:r>
      <w:r w:rsidRPr="00ED2685">
        <w:rPr>
          <w:rFonts w:ascii="Times New Roman" w:hAnsi="Times New Roman" w:cs="Times New Roman"/>
          <w:sz w:val="24"/>
          <w:szCs w:val="24"/>
        </w:rPr>
        <w:tab/>
        <w:t xml:space="preserve">Hundred Years of the New Republic.”  National Bureau of Economic Research Working </w:t>
      </w:r>
      <w:r w:rsidRPr="00ED2685">
        <w:rPr>
          <w:rFonts w:ascii="Times New Roman" w:hAnsi="Times New Roman" w:cs="Times New Roman"/>
          <w:sz w:val="24"/>
          <w:szCs w:val="24"/>
        </w:rPr>
        <w:tab/>
        <w:t xml:space="preserve">Paper Series.  Working Paper 9958.  </w:t>
      </w:r>
      <w:r w:rsidRPr="00CB0D85">
        <w:rPr>
          <w:rFonts w:ascii="Times New Roman" w:hAnsi="Times New Roman" w:cs="Times New Roman"/>
          <w:sz w:val="24"/>
          <w:szCs w:val="24"/>
        </w:rPr>
        <w:t>http://www.nber.org/papers/w9958</w:t>
      </w:r>
      <w:r w:rsidRPr="00ED2685">
        <w:rPr>
          <w:rFonts w:ascii="Times New Roman" w:hAnsi="Times New Roman" w:cs="Times New Roman"/>
          <w:sz w:val="24"/>
          <w:szCs w:val="24"/>
        </w:rPr>
        <w:t>.</w:t>
      </w:r>
    </w:p>
    <w:p w:rsidR="00231EAC" w:rsidRPr="00ED2685"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Goldin, Claudia and Lawrence F. Katz. 2008.  </w:t>
      </w:r>
      <w:r w:rsidRPr="00F20485">
        <w:rPr>
          <w:rFonts w:ascii="Times New Roman" w:hAnsi="Times New Roman" w:cs="Times New Roman"/>
          <w:i/>
          <w:sz w:val="24"/>
          <w:szCs w:val="24"/>
        </w:rPr>
        <w:t>The Race between Education and Technology</w:t>
      </w:r>
      <w:r>
        <w:rPr>
          <w:rFonts w:ascii="Times New Roman" w:hAnsi="Times New Roman" w:cs="Times New Roman"/>
          <w:sz w:val="24"/>
          <w:szCs w:val="24"/>
        </w:rPr>
        <w:t xml:space="preserve">.  </w:t>
      </w:r>
      <w:r>
        <w:rPr>
          <w:rFonts w:ascii="Times New Roman" w:hAnsi="Times New Roman" w:cs="Times New Roman"/>
          <w:sz w:val="24"/>
          <w:szCs w:val="24"/>
        </w:rPr>
        <w:tab/>
        <w:t>Cambridge, MA: Belknap Press of Harvard University.</w:t>
      </w:r>
    </w:p>
    <w:p w:rsidR="00231EAC" w:rsidRPr="00ED2685" w:rsidRDefault="00231EAC" w:rsidP="00231EAC">
      <w:pPr>
        <w:autoSpaceDE w:val="0"/>
        <w:autoSpaceDN w:val="0"/>
        <w:adjustRightInd w:val="0"/>
        <w:spacing w:after="0" w:line="360" w:lineRule="auto"/>
        <w:rPr>
          <w:rFonts w:ascii="Times New Roman" w:hAnsi="Times New Roman" w:cs="Times New Roman"/>
          <w:sz w:val="24"/>
          <w:szCs w:val="24"/>
        </w:rPr>
      </w:pPr>
      <w:r w:rsidRPr="00ED2685">
        <w:rPr>
          <w:rFonts w:ascii="Times New Roman" w:hAnsi="Times New Roman" w:cs="Times New Roman"/>
          <w:sz w:val="24"/>
          <w:szCs w:val="24"/>
        </w:rPr>
        <w:t>Grissmer, David, Ann Flana</w:t>
      </w:r>
      <w:r>
        <w:rPr>
          <w:rFonts w:ascii="Times New Roman" w:hAnsi="Times New Roman" w:cs="Times New Roman"/>
          <w:sz w:val="24"/>
          <w:szCs w:val="24"/>
        </w:rPr>
        <w:t>gan, and Stephanie Williamson. 1997</w:t>
      </w:r>
      <w:r w:rsidRPr="00ED2685">
        <w:rPr>
          <w:rFonts w:ascii="Times New Roman" w:hAnsi="Times New Roman" w:cs="Times New Roman"/>
          <w:sz w:val="24"/>
          <w:szCs w:val="24"/>
        </w:rPr>
        <w:t>. “Does Money Matter</w:t>
      </w:r>
    </w:p>
    <w:p w:rsidR="00231EAC" w:rsidRDefault="00231EAC" w:rsidP="00231EAC">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for Minority and Disadvantaged Students? Assessing the New Empirical Evidence.”</w:t>
      </w:r>
    </w:p>
    <w:p w:rsidR="00231EAC" w:rsidRDefault="00231EAC" w:rsidP="00231EAC">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William Fowler (ed.) </w:t>
      </w:r>
      <w:r>
        <w:rPr>
          <w:rFonts w:ascii="Times New Roman" w:hAnsi="Times New Roman" w:cs="Times New Roman"/>
          <w:i/>
          <w:iCs/>
          <w:sz w:val="24"/>
          <w:szCs w:val="24"/>
        </w:rPr>
        <w:t>Developments in School Finance.</w:t>
      </w:r>
      <w:r>
        <w:rPr>
          <w:rFonts w:ascii="Times New Roman" w:hAnsi="Times New Roman" w:cs="Times New Roman"/>
          <w:sz w:val="24"/>
          <w:szCs w:val="24"/>
        </w:rPr>
        <w:t xml:space="preserve"> NCES 98-</w:t>
      </w:r>
      <w:r w:rsidRPr="00E67A15">
        <w:rPr>
          <w:rFonts w:ascii="Times New Roman" w:hAnsi="Times New Roman" w:cs="Times New Roman"/>
          <w:sz w:val="24"/>
          <w:szCs w:val="24"/>
        </w:rPr>
        <w:t>212.</w:t>
      </w:r>
    </w:p>
    <w:p w:rsidR="00231EAC" w:rsidRDefault="00231EAC" w:rsidP="00231EAC">
      <w:pPr>
        <w:spacing w:after="0" w:line="360" w:lineRule="auto"/>
        <w:rPr>
          <w:rFonts w:ascii="Times New Roman" w:hAnsi="Times New Roman" w:cs="Times New Roman"/>
          <w:sz w:val="24"/>
        </w:rPr>
      </w:pPr>
      <w:r>
        <w:rPr>
          <w:rFonts w:ascii="Times New Roman" w:hAnsi="Times New Roman" w:cs="Times New Roman"/>
          <w:sz w:val="24"/>
        </w:rPr>
        <w:t xml:space="preserve">Hill, Sarah, and D. Roderick Kiewiet.  2014. “The Impact of State Supreme Court Decisions </w:t>
      </w:r>
      <w:r>
        <w:rPr>
          <w:rFonts w:ascii="Times New Roman" w:hAnsi="Times New Roman" w:cs="Times New Roman"/>
          <w:sz w:val="24"/>
        </w:rPr>
        <w:tab/>
        <w:t xml:space="preserve">on Public School Finance. </w:t>
      </w:r>
      <w:r w:rsidRPr="00CF4241">
        <w:rPr>
          <w:rFonts w:ascii="Times New Roman" w:hAnsi="Times New Roman" w:cs="Times New Roman"/>
          <w:i/>
          <w:sz w:val="24"/>
        </w:rPr>
        <w:t>Journal of Law, Economics, and Organization</w:t>
      </w:r>
      <w:r>
        <w:rPr>
          <w:rFonts w:ascii="Times New Roman" w:hAnsi="Times New Roman" w:cs="Times New Roman"/>
          <w:sz w:val="24"/>
        </w:rPr>
        <w:t xml:space="preserve">, forthcoming.   </w:t>
      </w:r>
    </w:p>
    <w:p w:rsidR="00231EAC" w:rsidRPr="00CF18FF" w:rsidRDefault="00231EAC" w:rsidP="00231EAC">
      <w:pPr>
        <w:spacing w:after="0" w:line="360" w:lineRule="auto"/>
        <w:rPr>
          <w:rFonts w:ascii="Times New Roman" w:hAnsi="Times New Roman" w:cs="Times New Roman"/>
          <w:i/>
          <w:sz w:val="28"/>
          <w:szCs w:val="24"/>
        </w:rPr>
      </w:pPr>
      <w:r>
        <w:rPr>
          <w:rFonts w:ascii="Times New Roman" w:hAnsi="Times New Roman" w:cs="Times New Roman"/>
          <w:sz w:val="24"/>
        </w:rPr>
        <w:t xml:space="preserve">IRS.  “Tax Information for Charities &amp; Other Non-Profits.”  2013. Retrieved March 24from </w:t>
      </w:r>
      <w:r>
        <w:rPr>
          <w:rFonts w:ascii="Times New Roman" w:hAnsi="Times New Roman" w:cs="Times New Roman"/>
          <w:sz w:val="24"/>
        </w:rPr>
        <w:tab/>
      </w:r>
      <w:r w:rsidRPr="00CF18FF">
        <w:rPr>
          <w:rFonts w:ascii="Times New Roman" w:hAnsi="Times New Roman" w:cs="Times New Roman"/>
          <w:sz w:val="24"/>
        </w:rPr>
        <w:t>http://www.irs.gov/Charities-&amp;-Non-Profits/</w:t>
      </w:r>
      <w:r>
        <w:rPr>
          <w:rFonts w:ascii="Times New Roman" w:hAnsi="Times New Roman" w:cs="Times New Roman"/>
          <w:sz w:val="24"/>
        </w:rPr>
        <w:t>.</w:t>
      </w:r>
    </w:p>
    <w:p w:rsidR="00231EAC" w:rsidRDefault="00231EAC" w:rsidP="00231EAC">
      <w:pPr>
        <w:spacing w:after="0" w:line="360" w:lineRule="auto"/>
        <w:rPr>
          <w:rFonts w:ascii="Times New Roman" w:hAnsi="Times New Roman" w:cs="Times New Roman"/>
          <w:sz w:val="24"/>
          <w:szCs w:val="24"/>
        </w:rPr>
      </w:pPr>
      <w:r w:rsidRPr="00F4361A">
        <w:rPr>
          <w:rFonts w:ascii="Times New Roman" w:hAnsi="Times New Roman" w:cs="Times New Roman"/>
          <w:sz w:val="24"/>
          <w:szCs w:val="24"/>
        </w:rPr>
        <w:t>Kober, Nancy.  2007.</w:t>
      </w:r>
      <w:r>
        <w:rPr>
          <w:rFonts w:ascii="Times New Roman" w:hAnsi="Times New Roman" w:cs="Times New Roman"/>
          <w:sz w:val="24"/>
          <w:szCs w:val="24"/>
        </w:rPr>
        <w:t xml:space="preserve"> </w:t>
      </w:r>
      <w:r w:rsidRPr="00F4361A">
        <w:rPr>
          <w:rFonts w:ascii="Times New Roman" w:hAnsi="Times New Roman" w:cs="Times New Roman"/>
          <w:i/>
          <w:sz w:val="24"/>
          <w:szCs w:val="24"/>
        </w:rPr>
        <w:t xml:space="preserve">Why </w:t>
      </w:r>
      <w:r>
        <w:rPr>
          <w:rFonts w:ascii="Times New Roman" w:hAnsi="Times New Roman" w:cs="Times New Roman"/>
          <w:i/>
          <w:sz w:val="24"/>
          <w:szCs w:val="24"/>
        </w:rPr>
        <w:t>W</w:t>
      </w:r>
      <w:r w:rsidRPr="00F4361A">
        <w:rPr>
          <w:rFonts w:ascii="Times New Roman" w:hAnsi="Times New Roman" w:cs="Times New Roman"/>
          <w:i/>
          <w:sz w:val="24"/>
          <w:szCs w:val="24"/>
        </w:rPr>
        <w:t xml:space="preserve">e </w:t>
      </w:r>
      <w:r>
        <w:rPr>
          <w:rFonts w:ascii="Times New Roman" w:hAnsi="Times New Roman" w:cs="Times New Roman"/>
          <w:i/>
          <w:sz w:val="24"/>
          <w:szCs w:val="24"/>
        </w:rPr>
        <w:t>S</w:t>
      </w:r>
      <w:r w:rsidRPr="00F4361A">
        <w:rPr>
          <w:rFonts w:ascii="Times New Roman" w:hAnsi="Times New Roman" w:cs="Times New Roman"/>
          <w:i/>
          <w:sz w:val="24"/>
          <w:szCs w:val="24"/>
        </w:rPr>
        <w:t>till</w:t>
      </w:r>
      <w:r>
        <w:rPr>
          <w:rFonts w:ascii="Times New Roman" w:hAnsi="Times New Roman" w:cs="Times New Roman"/>
          <w:i/>
          <w:sz w:val="24"/>
          <w:szCs w:val="24"/>
        </w:rPr>
        <w:t xml:space="preserve"> N</w:t>
      </w:r>
      <w:r w:rsidRPr="00F4361A">
        <w:rPr>
          <w:rFonts w:ascii="Times New Roman" w:hAnsi="Times New Roman" w:cs="Times New Roman"/>
          <w:i/>
          <w:sz w:val="24"/>
          <w:szCs w:val="24"/>
        </w:rPr>
        <w:t>eed</w:t>
      </w:r>
      <w:r>
        <w:rPr>
          <w:rFonts w:ascii="Times New Roman" w:hAnsi="Times New Roman" w:cs="Times New Roman"/>
          <w:i/>
          <w:sz w:val="24"/>
          <w:szCs w:val="24"/>
        </w:rPr>
        <w:t xml:space="preserve"> P</w:t>
      </w:r>
      <w:r w:rsidRPr="00F4361A">
        <w:rPr>
          <w:rFonts w:ascii="Times New Roman" w:hAnsi="Times New Roman" w:cs="Times New Roman"/>
          <w:i/>
          <w:sz w:val="24"/>
          <w:szCs w:val="24"/>
        </w:rPr>
        <w:t>ublic</w:t>
      </w:r>
      <w:r>
        <w:rPr>
          <w:rFonts w:ascii="Times New Roman" w:hAnsi="Times New Roman" w:cs="Times New Roman"/>
          <w:i/>
          <w:sz w:val="24"/>
          <w:szCs w:val="24"/>
        </w:rPr>
        <w:t xml:space="preserve"> S</w:t>
      </w:r>
      <w:r w:rsidRPr="00F4361A">
        <w:rPr>
          <w:rFonts w:ascii="Times New Roman" w:hAnsi="Times New Roman" w:cs="Times New Roman"/>
          <w:i/>
          <w:sz w:val="24"/>
          <w:szCs w:val="24"/>
        </w:rPr>
        <w:t>chools</w:t>
      </w:r>
      <w:r>
        <w:rPr>
          <w:rFonts w:ascii="Times New Roman" w:hAnsi="Times New Roman" w:cs="Times New Roman"/>
          <w:i/>
          <w:sz w:val="24"/>
          <w:szCs w:val="24"/>
        </w:rPr>
        <w:t>:</w:t>
      </w:r>
      <w:r w:rsidRPr="00F4361A">
        <w:rPr>
          <w:rFonts w:ascii="Times New Roman" w:hAnsi="Times New Roman" w:cs="Times New Roman"/>
          <w:i/>
          <w:sz w:val="24"/>
          <w:szCs w:val="24"/>
        </w:rPr>
        <w:t xml:space="preserve"> Public Education for the Common Good.</w:t>
      </w:r>
      <w:r w:rsidRPr="00F4361A">
        <w:rPr>
          <w:rFonts w:ascii="Times New Roman" w:hAnsi="Times New Roman" w:cs="Times New Roman"/>
          <w:sz w:val="24"/>
          <w:szCs w:val="24"/>
        </w:rPr>
        <w:t xml:space="preserve"> </w:t>
      </w:r>
      <w:r>
        <w:rPr>
          <w:rFonts w:ascii="Times New Roman" w:hAnsi="Times New Roman" w:cs="Times New Roman"/>
          <w:sz w:val="24"/>
          <w:szCs w:val="24"/>
        </w:rPr>
        <w:tab/>
      </w:r>
      <w:r w:rsidRPr="00F4361A">
        <w:rPr>
          <w:rFonts w:ascii="Times New Roman" w:hAnsi="Times New Roman" w:cs="Times New Roman"/>
          <w:sz w:val="24"/>
          <w:szCs w:val="24"/>
        </w:rPr>
        <w:t>Washington, DC: Center on Education Policy.</w:t>
      </w:r>
    </w:p>
    <w:p w:rsidR="00231EAC" w:rsidRDefault="00231EAC" w:rsidP="00231EAC">
      <w:pPr>
        <w:spacing w:after="0" w:line="360" w:lineRule="auto"/>
        <w:rPr>
          <w:rFonts w:ascii="Times New Roman" w:hAnsi="Times New Roman" w:cs="Times New Roman"/>
          <w:sz w:val="24"/>
          <w:szCs w:val="24"/>
        </w:rPr>
      </w:pPr>
      <w:r w:rsidRPr="00F4361A">
        <w:rPr>
          <w:rFonts w:ascii="Times New Roman" w:hAnsi="Times New Roman" w:cs="Times New Roman"/>
          <w:sz w:val="24"/>
          <w:szCs w:val="24"/>
        </w:rPr>
        <w:t xml:space="preserve">Lewis, Nicole.  2003.  “Making the Grade: Public </w:t>
      </w:r>
      <w:r>
        <w:rPr>
          <w:rFonts w:ascii="Times New Roman" w:hAnsi="Times New Roman" w:cs="Times New Roman"/>
          <w:sz w:val="24"/>
          <w:szCs w:val="24"/>
        </w:rPr>
        <w:t>S</w:t>
      </w:r>
      <w:r w:rsidRPr="00F4361A">
        <w:rPr>
          <w:rFonts w:ascii="Times New Roman" w:hAnsi="Times New Roman" w:cs="Times New Roman"/>
          <w:sz w:val="24"/>
          <w:szCs w:val="24"/>
        </w:rPr>
        <w:t xml:space="preserve">chools </w:t>
      </w:r>
      <w:r>
        <w:rPr>
          <w:rFonts w:ascii="Times New Roman" w:hAnsi="Times New Roman" w:cs="Times New Roman"/>
          <w:sz w:val="24"/>
          <w:szCs w:val="24"/>
        </w:rPr>
        <w:t>R</w:t>
      </w:r>
      <w:r w:rsidRPr="00F4361A">
        <w:rPr>
          <w:rFonts w:ascii="Times New Roman" w:hAnsi="Times New Roman" w:cs="Times New Roman"/>
          <w:sz w:val="24"/>
          <w:szCs w:val="24"/>
        </w:rPr>
        <w:t xml:space="preserve">aise </w:t>
      </w:r>
      <w:r>
        <w:rPr>
          <w:rFonts w:ascii="Times New Roman" w:hAnsi="Times New Roman" w:cs="Times New Roman"/>
          <w:sz w:val="24"/>
          <w:szCs w:val="24"/>
        </w:rPr>
        <w:t>M</w:t>
      </w:r>
      <w:r w:rsidRPr="00F4361A">
        <w:rPr>
          <w:rFonts w:ascii="Times New Roman" w:hAnsi="Times New Roman" w:cs="Times New Roman"/>
          <w:sz w:val="24"/>
          <w:szCs w:val="24"/>
        </w:rPr>
        <w:t xml:space="preserve">illions with </w:t>
      </w:r>
      <w:r>
        <w:rPr>
          <w:rFonts w:ascii="Times New Roman" w:hAnsi="Times New Roman" w:cs="Times New Roman"/>
          <w:sz w:val="24"/>
          <w:szCs w:val="24"/>
        </w:rPr>
        <w:t>S</w:t>
      </w:r>
      <w:r w:rsidRPr="00F4361A">
        <w:rPr>
          <w:rFonts w:ascii="Times New Roman" w:hAnsi="Times New Roman" w:cs="Times New Roman"/>
          <w:sz w:val="24"/>
          <w:szCs w:val="24"/>
        </w:rPr>
        <w:t xml:space="preserve">ophisticated </w:t>
      </w:r>
      <w:r>
        <w:rPr>
          <w:rFonts w:ascii="Times New Roman" w:hAnsi="Times New Roman" w:cs="Times New Roman"/>
          <w:sz w:val="24"/>
          <w:szCs w:val="24"/>
        </w:rPr>
        <w:tab/>
        <w:t>T</w:t>
      </w:r>
      <w:r w:rsidRPr="00F4361A">
        <w:rPr>
          <w:rFonts w:ascii="Times New Roman" w:hAnsi="Times New Roman" w:cs="Times New Roman"/>
          <w:sz w:val="24"/>
          <w:szCs w:val="24"/>
        </w:rPr>
        <w:t>echniques</w:t>
      </w:r>
      <w:r>
        <w:rPr>
          <w:rFonts w:ascii="Times New Roman" w:hAnsi="Times New Roman" w:cs="Times New Roman"/>
          <w:sz w:val="24"/>
          <w:szCs w:val="24"/>
        </w:rPr>
        <w:t xml:space="preserve">.” </w:t>
      </w:r>
      <w:r w:rsidRPr="00F4361A">
        <w:rPr>
          <w:rFonts w:ascii="Times New Roman" w:hAnsi="Times New Roman" w:cs="Times New Roman"/>
          <w:i/>
          <w:sz w:val="24"/>
          <w:szCs w:val="24"/>
        </w:rPr>
        <w:t>Chronicle of Philanthropy</w:t>
      </w:r>
      <w:r w:rsidRPr="00F4361A">
        <w:rPr>
          <w:rFonts w:ascii="Times New Roman" w:hAnsi="Times New Roman" w:cs="Times New Roman"/>
          <w:sz w:val="24"/>
          <w:szCs w:val="24"/>
        </w:rPr>
        <w:t xml:space="preserve"> 15:15-18.</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Meszaros, Imre. 2011. “Understanding California School District Parcel Tax Elections.” Paper </w:t>
      </w:r>
      <w:r>
        <w:rPr>
          <w:rFonts w:ascii="Times New Roman" w:hAnsi="Times New Roman" w:cs="Times New Roman"/>
          <w:sz w:val="24"/>
          <w:szCs w:val="24"/>
        </w:rPr>
        <w:tab/>
        <w:t>delivered at the Annual Conference of the Association for Education Finance and Policy.</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McCubbins, Colin, and Mathew McCubbins. 2014. “Cheating on Their Taxes: When Are Tax </w:t>
      </w:r>
      <w:r>
        <w:rPr>
          <w:rFonts w:ascii="Times New Roman" w:hAnsi="Times New Roman" w:cs="Times New Roman"/>
          <w:sz w:val="24"/>
          <w:szCs w:val="24"/>
        </w:rPr>
        <w:tab/>
        <w:t xml:space="preserve">Limitations Effective at Limiting State Taxes, Expenditures, and Budgets?”  Manuscript, </w:t>
      </w:r>
      <w:r>
        <w:rPr>
          <w:rFonts w:ascii="Times New Roman" w:hAnsi="Times New Roman" w:cs="Times New Roman"/>
          <w:sz w:val="24"/>
          <w:szCs w:val="24"/>
        </w:rPr>
        <w:tab/>
        <w:t xml:space="preserve">Stanford University.  </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McGhee, Eric, and Margaret Weston. 2013. “Parcel Taxes for Education in California.” San </w:t>
      </w:r>
      <w:r>
        <w:rPr>
          <w:rFonts w:ascii="Times New Roman" w:hAnsi="Times New Roman" w:cs="Times New Roman"/>
          <w:sz w:val="24"/>
          <w:szCs w:val="24"/>
        </w:rPr>
        <w:tab/>
        <w:t xml:space="preserve">Francisco: Public Policy Institute of California. </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National Center for Education Statistics.  2011.  </w:t>
      </w:r>
      <w:r>
        <w:rPr>
          <w:rFonts w:ascii="Times New Roman" w:hAnsi="Times New Roman" w:cs="Times New Roman"/>
          <w:i/>
          <w:sz w:val="24"/>
          <w:szCs w:val="24"/>
        </w:rPr>
        <w:t>Digest of Education Statistics</w:t>
      </w:r>
      <w:r>
        <w:rPr>
          <w:rFonts w:ascii="Times New Roman" w:hAnsi="Times New Roman" w:cs="Times New Roman"/>
          <w:sz w:val="24"/>
          <w:szCs w:val="24"/>
        </w:rPr>
        <w:t xml:space="preserve">.  Retrieved from </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ab/>
      </w:r>
      <w:hyperlink r:id="rId15" w:history="1">
        <w:r w:rsidRPr="009745CA">
          <w:rPr>
            <w:rStyle w:val="Hyperlink"/>
            <w:rFonts w:ascii="Times New Roman" w:hAnsi="Times New Roman" w:cs="Times New Roman"/>
            <w:sz w:val="24"/>
            <w:szCs w:val="24"/>
          </w:rPr>
          <w:t>http://nces.ed.gov/programs/digest/2011menu_tables.asp</w:t>
        </w:r>
      </w:hyperlink>
      <w:r>
        <w:rPr>
          <w:rFonts w:ascii="Times New Roman" w:hAnsi="Times New Roman" w:cs="Times New Roman"/>
          <w:sz w:val="24"/>
          <w:szCs w:val="24"/>
        </w:rPr>
        <w:t>.</w:t>
      </w:r>
    </w:p>
    <w:p w:rsidR="00231EAC"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Olson, Mancur. 1965. </w:t>
      </w:r>
      <w:r w:rsidRPr="00490915">
        <w:rPr>
          <w:rFonts w:ascii="Times New Roman" w:hAnsi="Times New Roman" w:cs="Times New Roman"/>
          <w:i/>
          <w:sz w:val="24"/>
          <w:szCs w:val="24"/>
        </w:rPr>
        <w:t>The Logic of Collective Action: Public Goods and the Theory of Groups</w:t>
      </w:r>
      <w:r>
        <w:rPr>
          <w:rFonts w:ascii="Times New Roman" w:hAnsi="Times New Roman" w:cs="Times New Roman"/>
          <w:sz w:val="24"/>
          <w:szCs w:val="24"/>
        </w:rPr>
        <w:t xml:space="preserve">. </w:t>
      </w:r>
      <w:r>
        <w:rPr>
          <w:rFonts w:ascii="Times New Roman" w:hAnsi="Times New Roman" w:cs="Times New Roman"/>
          <w:sz w:val="24"/>
          <w:szCs w:val="24"/>
        </w:rPr>
        <w:tab/>
        <w:t xml:space="preserve">Cambridge, MA: Harvard University Press. </w:t>
      </w:r>
    </w:p>
    <w:p w:rsidR="0004220E" w:rsidRDefault="0004220E" w:rsidP="0004220E">
      <w:pPr>
        <w:spacing w:after="0" w:line="360" w:lineRule="auto"/>
        <w:ind w:left="720" w:hanging="720"/>
        <w:rPr>
          <w:rStyle w:val="citation"/>
          <w:rFonts w:ascii="Times New Roman" w:hAnsi="Times New Roman" w:cs="Times New Roman"/>
          <w:sz w:val="24"/>
          <w:szCs w:val="24"/>
        </w:rPr>
      </w:pPr>
      <w:r>
        <w:rPr>
          <w:rFonts w:ascii="Times New Roman" w:hAnsi="Times New Roman" w:cs="Times New Roman"/>
          <w:sz w:val="24"/>
          <w:szCs w:val="24"/>
        </w:rPr>
        <w:lastRenderedPageBreak/>
        <w:t xml:space="preserve">Putnam, Robert. 2000. </w:t>
      </w:r>
      <w:r w:rsidRPr="0004220E">
        <w:rPr>
          <w:rFonts w:ascii="Times New Roman" w:hAnsi="Times New Roman" w:cs="Times New Roman"/>
          <w:i/>
          <w:sz w:val="24"/>
          <w:szCs w:val="24"/>
        </w:rPr>
        <w:t>Bowling Alone:</w:t>
      </w:r>
      <w:r w:rsidRPr="0004220E">
        <w:rPr>
          <w:rFonts w:ascii="Times New Roman" w:hAnsi="Times New Roman" w:cs="Times New Roman"/>
          <w:sz w:val="24"/>
          <w:szCs w:val="24"/>
        </w:rPr>
        <w:t xml:space="preserve"> </w:t>
      </w:r>
      <w:r w:rsidRPr="0004220E">
        <w:rPr>
          <w:rStyle w:val="citation"/>
          <w:rFonts w:ascii="Times New Roman" w:hAnsi="Times New Roman" w:cs="Times New Roman"/>
          <w:i/>
          <w:iCs/>
          <w:sz w:val="24"/>
          <w:szCs w:val="24"/>
        </w:rPr>
        <w:t>The Collapse and Revival of American Community</w:t>
      </w:r>
      <w:r w:rsidRPr="0004220E">
        <w:rPr>
          <w:rStyle w:val="citation"/>
          <w:rFonts w:ascii="Times New Roman" w:hAnsi="Times New Roman" w:cs="Times New Roman"/>
          <w:sz w:val="24"/>
          <w:szCs w:val="24"/>
        </w:rPr>
        <w:t xml:space="preserve">. </w:t>
      </w:r>
      <w:r>
        <w:rPr>
          <w:rStyle w:val="citation"/>
          <w:rFonts w:ascii="Times New Roman" w:hAnsi="Times New Roman" w:cs="Times New Roman"/>
          <w:sz w:val="24"/>
          <w:szCs w:val="24"/>
        </w:rPr>
        <w:t>New   York: Simon &amp; Schuster.</w:t>
      </w:r>
    </w:p>
    <w:p w:rsidR="00231EAC" w:rsidRDefault="00231EAC" w:rsidP="00231EAC">
      <w:pPr>
        <w:spacing w:after="0" w:line="360" w:lineRule="auto"/>
        <w:rPr>
          <w:rFonts w:ascii="Times New Roman" w:hAnsi="Times New Roman" w:cs="Times New Roman"/>
          <w:sz w:val="24"/>
          <w:szCs w:val="24"/>
        </w:rPr>
      </w:pPr>
      <w:r w:rsidRPr="00F4361A">
        <w:rPr>
          <w:rFonts w:ascii="Times New Roman" w:hAnsi="Times New Roman" w:cs="Times New Roman"/>
          <w:sz w:val="24"/>
          <w:szCs w:val="24"/>
        </w:rPr>
        <w:t xml:space="preserve">Ravitch, Diane.  2010.  </w:t>
      </w:r>
      <w:r w:rsidRPr="00F4361A">
        <w:rPr>
          <w:rFonts w:ascii="Times New Roman" w:hAnsi="Times New Roman" w:cs="Times New Roman"/>
          <w:i/>
          <w:sz w:val="24"/>
          <w:szCs w:val="24"/>
        </w:rPr>
        <w:t>The Death and Life of the Great American School System</w:t>
      </w:r>
      <w:r w:rsidRPr="00F4361A">
        <w:rPr>
          <w:rFonts w:ascii="Times New Roman" w:hAnsi="Times New Roman" w:cs="Times New Roman"/>
          <w:sz w:val="24"/>
          <w:szCs w:val="24"/>
        </w:rPr>
        <w:t xml:space="preserve">. New York, </w:t>
      </w:r>
      <w:r>
        <w:rPr>
          <w:rFonts w:ascii="Times New Roman" w:hAnsi="Times New Roman" w:cs="Times New Roman"/>
          <w:sz w:val="24"/>
          <w:szCs w:val="24"/>
        </w:rPr>
        <w:tab/>
      </w:r>
      <w:r w:rsidRPr="00F4361A">
        <w:rPr>
          <w:rFonts w:ascii="Times New Roman" w:hAnsi="Times New Roman" w:cs="Times New Roman"/>
          <w:sz w:val="24"/>
          <w:szCs w:val="24"/>
        </w:rPr>
        <w:t xml:space="preserve">NY: Basic Books. </w:t>
      </w:r>
    </w:p>
    <w:p w:rsidR="00231EAC" w:rsidRDefault="00231EAC" w:rsidP="00231EAC">
      <w:pPr>
        <w:spacing w:after="0" w:line="360" w:lineRule="auto"/>
        <w:rPr>
          <w:rFonts w:ascii="Times New Roman" w:hAnsi="Times New Roman" w:cs="Times New Roman"/>
          <w:sz w:val="24"/>
          <w:szCs w:val="24"/>
        </w:rPr>
      </w:pPr>
      <w:r w:rsidRPr="00F4361A">
        <w:rPr>
          <w:rFonts w:ascii="Times New Roman" w:hAnsi="Times New Roman" w:cs="Times New Roman"/>
          <w:sz w:val="24"/>
          <w:szCs w:val="24"/>
        </w:rPr>
        <w:t>Reich, Rob</w:t>
      </w:r>
      <w:r>
        <w:rPr>
          <w:rFonts w:ascii="Times New Roman" w:hAnsi="Times New Roman" w:cs="Times New Roman"/>
          <w:sz w:val="24"/>
          <w:szCs w:val="24"/>
        </w:rPr>
        <w:t>ert</w:t>
      </w:r>
      <w:r w:rsidRPr="00F4361A">
        <w:rPr>
          <w:rFonts w:ascii="Times New Roman" w:hAnsi="Times New Roman" w:cs="Times New Roman"/>
          <w:sz w:val="24"/>
          <w:szCs w:val="24"/>
        </w:rPr>
        <w:t xml:space="preserve">.  2005.  “A Failure of Philanthropy: American </w:t>
      </w:r>
      <w:r>
        <w:rPr>
          <w:rFonts w:ascii="Times New Roman" w:hAnsi="Times New Roman" w:cs="Times New Roman"/>
          <w:sz w:val="24"/>
          <w:szCs w:val="24"/>
        </w:rPr>
        <w:t>C</w:t>
      </w:r>
      <w:r w:rsidRPr="00F4361A">
        <w:rPr>
          <w:rFonts w:ascii="Times New Roman" w:hAnsi="Times New Roman" w:cs="Times New Roman"/>
          <w:sz w:val="24"/>
          <w:szCs w:val="24"/>
        </w:rPr>
        <w:t xml:space="preserve">harity </w:t>
      </w:r>
      <w:r>
        <w:rPr>
          <w:rFonts w:ascii="Times New Roman" w:hAnsi="Times New Roman" w:cs="Times New Roman"/>
          <w:sz w:val="24"/>
          <w:szCs w:val="24"/>
        </w:rPr>
        <w:t>S</w:t>
      </w:r>
      <w:r w:rsidRPr="00F4361A">
        <w:rPr>
          <w:rFonts w:ascii="Times New Roman" w:hAnsi="Times New Roman" w:cs="Times New Roman"/>
          <w:sz w:val="24"/>
          <w:szCs w:val="24"/>
        </w:rPr>
        <w:t xml:space="preserve">hortchanges the </w:t>
      </w:r>
      <w:r>
        <w:rPr>
          <w:rFonts w:ascii="Times New Roman" w:hAnsi="Times New Roman" w:cs="Times New Roman"/>
          <w:sz w:val="24"/>
          <w:szCs w:val="24"/>
        </w:rPr>
        <w:t>P</w:t>
      </w:r>
      <w:r w:rsidRPr="00F4361A">
        <w:rPr>
          <w:rFonts w:ascii="Times New Roman" w:hAnsi="Times New Roman" w:cs="Times New Roman"/>
          <w:sz w:val="24"/>
          <w:szCs w:val="24"/>
        </w:rPr>
        <w:t xml:space="preserve">oor, and </w:t>
      </w:r>
      <w:r>
        <w:rPr>
          <w:rFonts w:ascii="Times New Roman" w:hAnsi="Times New Roman" w:cs="Times New Roman"/>
          <w:sz w:val="24"/>
          <w:szCs w:val="24"/>
        </w:rPr>
        <w:tab/>
        <w:t>P</w:t>
      </w:r>
      <w:r w:rsidRPr="00F4361A">
        <w:rPr>
          <w:rFonts w:ascii="Times New Roman" w:hAnsi="Times New Roman" w:cs="Times New Roman"/>
          <w:sz w:val="24"/>
          <w:szCs w:val="24"/>
        </w:rPr>
        <w:t xml:space="preserve">ublic </w:t>
      </w:r>
      <w:r>
        <w:rPr>
          <w:rFonts w:ascii="Times New Roman" w:hAnsi="Times New Roman" w:cs="Times New Roman"/>
          <w:sz w:val="24"/>
          <w:szCs w:val="24"/>
        </w:rPr>
        <w:t>P</w:t>
      </w:r>
      <w:r w:rsidRPr="00F4361A">
        <w:rPr>
          <w:rFonts w:ascii="Times New Roman" w:hAnsi="Times New Roman" w:cs="Times New Roman"/>
          <w:sz w:val="24"/>
          <w:szCs w:val="24"/>
        </w:rPr>
        <w:t xml:space="preserve">olicy is </w:t>
      </w:r>
      <w:r>
        <w:rPr>
          <w:rFonts w:ascii="Times New Roman" w:hAnsi="Times New Roman" w:cs="Times New Roman"/>
          <w:sz w:val="24"/>
          <w:szCs w:val="24"/>
        </w:rPr>
        <w:t>P</w:t>
      </w:r>
      <w:r w:rsidRPr="00F4361A">
        <w:rPr>
          <w:rFonts w:ascii="Times New Roman" w:hAnsi="Times New Roman" w:cs="Times New Roman"/>
          <w:sz w:val="24"/>
          <w:szCs w:val="24"/>
        </w:rPr>
        <w:t>artly</w:t>
      </w:r>
      <w:r>
        <w:rPr>
          <w:rFonts w:ascii="Times New Roman" w:hAnsi="Times New Roman" w:cs="Times New Roman"/>
          <w:sz w:val="24"/>
          <w:szCs w:val="24"/>
        </w:rPr>
        <w:t xml:space="preserve"> </w:t>
      </w:r>
      <w:r w:rsidRPr="00F4361A">
        <w:rPr>
          <w:rFonts w:ascii="Times New Roman" w:hAnsi="Times New Roman" w:cs="Times New Roman"/>
          <w:sz w:val="24"/>
          <w:szCs w:val="24"/>
        </w:rPr>
        <w:t xml:space="preserve">to </w:t>
      </w:r>
      <w:r>
        <w:rPr>
          <w:rFonts w:ascii="Times New Roman" w:hAnsi="Times New Roman" w:cs="Times New Roman"/>
          <w:sz w:val="24"/>
          <w:szCs w:val="24"/>
        </w:rPr>
        <w:t>B</w:t>
      </w:r>
      <w:r w:rsidRPr="00F4361A">
        <w:rPr>
          <w:rFonts w:ascii="Times New Roman" w:hAnsi="Times New Roman" w:cs="Times New Roman"/>
          <w:sz w:val="24"/>
          <w:szCs w:val="24"/>
        </w:rPr>
        <w:t>lame</w:t>
      </w:r>
      <w:r>
        <w:rPr>
          <w:rFonts w:ascii="Times New Roman" w:hAnsi="Times New Roman" w:cs="Times New Roman"/>
          <w:sz w:val="24"/>
          <w:szCs w:val="24"/>
        </w:rPr>
        <w:t>.</w:t>
      </w:r>
      <w:r w:rsidRPr="00F4361A">
        <w:rPr>
          <w:rFonts w:ascii="Times New Roman" w:hAnsi="Times New Roman" w:cs="Times New Roman"/>
          <w:sz w:val="24"/>
          <w:szCs w:val="24"/>
        </w:rPr>
        <w:t xml:space="preserve">” </w:t>
      </w:r>
      <w:r w:rsidRPr="00F4361A">
        <w:rPr>
          <w:rFonts w:ascii="Times New Roman" w:hAnsi="Times New Roman" w:cs="Times New Roman"/>
          <w:i/>
          <w:sz w:val="24"/>
          <w:szCs w:val="24"/>
        </w:rPr>
        <w:t>Stanford Social Innovation Review</w:t>
      </w:r>
      <w:r>
        <w:rPr>
          <w:rFonts w:ascii="Times New Roman" w:hAnsi="Times New Roman" w:cs="Times New Roman"/>
          <w:i/>
          <w:sz w:val="24"/>
          <w:szCs w:val="24"/>
        </w:rPr>
        <w:t xml:space="preserve">. </w:t>
      </w:r>
      <w:r w:rsidRPr="00F4361A">
        <w:rPr>
          <w:rFonts w:ascii="Times New Roman" w:hAnsi="Times New Roman" w:cs="Times New Roman"/>
          <w:sz w:val="24"/>
          <w:szCs w:val="24"/>
        </w:rPr>
        <w:t xml:space="preserve"> </w:t>
      </w:r>
    </w:p>
    <w:p w:rsidR="00231EAC" w:rsidRPr="00F4361A" w:rsidRDefault="00231EAC" w:rsidP="00231E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Salamon, Lester </w:t>
      </w:r>
      <w:r w:rsidRPr="00AF4D8F">
        <w:rPr>
          <w:rFonts w:ascii="Times New Roman" w:hAnsi="Times New Roman" w:cs="Times New Roman"/>
          <w:sz w:val="24"/>
          <w:szCs w:val="24"/>
        </w:rPr>
        <w:t>M. 2012</w:t>
      </w:r>
      <w:r>
        <w:rPr>
          <w:rFonts w:ascii="Times New Roman" w:hAnsi="Times New Roman" w:cs="Times New Roman"/>
          <w:sz w:val="24"/>
          <w:szCs w:val="24"/>
        </w:rPr>
        <w:t>.</w:t>
      </w:r>
      <w:r w:rsidRPr="00AF4D8F">
        <w:rPr>
          <w:rFonts w:ascii="Times New Roman" w:hAnsi="Times New Roman" w:cs="Times New Roman"/>
          <w:sz w:val="24"/>
          <w:szCs w:val="24"/>
        </w:rPr>
        <w:t xml:space="preserve"> </w:t>
      </w:r>
      <w:r w:rsidRPr="00AF4D8F">
        <w:rPr>
          <w:rFonts w:ascii="Times New Roman" w:hAnsi="Times New Roman" w:cs="Times New Roman"/>
          <w:i/>
          <w:sz w:val="24"/>
          <w:szCs w:val="24"/>
        </w:rPr>
        <w:t>The State of Nonprofit America</w:t>
      </w:r>
      <w:r w:rsidRPr="00AF4D8F">
        <w:rPr>
          <w:rFonts w:ascii="Times New Roman" w:hAnsi="Times New Roman" w:cs="Times New Roman"/>
          <w:sz w:val="24"/>
          <w:szCs w:val="24"/>
        </w:rPr>
        <w:t>, 2</w:t>
      </w:r>
      <w:r w:rsidRPr="00AF4D8F">
        <w:rPr>
          <w:rFonts w:ascii="Times New Roman" w:hAnsi="Times New Roman" w:cs="Times New Roman"/>
          <w:sz w:val="24"/>
          <w:szCs w:val="24"/>
          <w:vertAlign w:val="superscript"/>
        </w:rPr>
        <w:t>nd</w:t>
      </w:r>
      <w:r w:rsidRPr="00AF4D8F">
        <w:rPr>
          <w:rFonts w:ascii="Times New Roman" w:hAnsi="Times New Roman" w:cs="Times New Roman"/>
          <w:sz w:val="24"/>
          <w:szCs w:val="24"/>
        </w:rPr>
        <w:t xml:space="preserve"> edition. Washington, DC: </w:t>
      </w:r>
      <w:r>
        <w:rPr>
          <w:rFonts w:ascii="Times New Roman" w:hAnsi="Times New Roman" w:cs="Times New Roman"/>
          <w:sz w:val="24"/>
          <w:szCs w:val="24"/>
        </w:rPr>
        <w:tab/>
      </w:r>
      <w:r w:rsidRPr="00AF4D8F">
        <w:rPr>
          <w:rFonts w:ascii="Times New Roman" w:hAnsi="Times New Roman" w:cs="Times New Roman"/>
          <w:sz w:val="24"/>
          <w:szCs w:val="24"/>
        </w:rPr>
        <w:t>Brookings Institution Press.</w:t>
      </w:r>
    </w:p>
    <w:p w:rsidR="00231EAC" w:rsidRPr="00E67A15" w:rsidRDefault="00231EAC" w:rsidP="00231EAC">
      <w:pPr>
        <w:spacing w:after="0" w:line="360" w:lineRule="auto"/>
        <w:rPr>
          <w:rFonts w:ascii="Times New Roman" w:hAnsi="Times New Roman" w:cs="Times New Roman"/>
          <w:sz w:val="24"/>
          <w:szCs w:val="24"/>
        </w:rPr>
      </w:pPr>
      <w:r w:rsidRPr="00F4361A">
        <w:rPr>
          <w:rFonts w:ascii="Times New Roman" w:hAnsi="Times New Roman" w:cs="Times New Roman"/>
          <w:sz w:val="24"/>
          <w:szCs w:val="24"/>
        </w:rPr>
        <w:t xml:space="preserve">Sattem, Jennifer L.  2007. “Publicly Funded, Privately Assisted: The Role of Giving in Oregon </w:t>
      </w:r>
      <w:r>
        <w:rPr>
          <w:rFonts w:ascii="Times New Roman" w:hAnsi="Times New Roman" w:cs="Times New Roman"/>
          <w:sz w:val="24"/>
          <w:szCs w:val="24"/>
        </w:rPr>
        <w:tab/>
      </w:r>
      <w:r w:rsidRPr="00F4361A">
        <w:rPr>
          <w:rFonts w:ascii="Times New Roman" w:hAnsi="Times New Roman" w:cs="Times New Roman"/>
          <w:sz w:val="24"/>
          <w:szCs w:val="24"/>
        </w:rPr>
        <w:t>K-12 Education.”  Ma</w:t>
      </w:r>
      <w:r>
        <w:rPr>
          <w:rFonts w:ascii="Times New Roman" w:hAnsi="Times New Roman" w:cs="Times New Roman"/>
          <w:sz w:val="24"/>
          <w:szCs w:val="24"/>
        </w:rPr>
        <w:t xml:space="preserve">nuscript, </w:t>
      </w:r>
      <w:r w:rsidRPr="00F4361A">
        <w:rPr>
          <w:rFonts w:ascii="Times New Roman" w:hAnsi="Times New Roman" w:cs="Times New Roman"/>
          <w:sz w:val="24"/>
          <w:szCs w:val="24"/>
        </w:rPr>
        <w:t xml:space="preserve">Oregon State University. </w:t>
      </w:r>
    </w:p>
    <w:p w:rsidR="00231EAC" w:rsidRDefault="00231EAC" w:rsidP="00231EAC">
      <w:pPr>
        <w:tabs>
          <w:tab w:val="left" w:pos="7378"/>
        </w:tabs>
        <w:spacing w:after="0" w:line="360" w:lineRule="auto"/>
        <w:rPr>
          <w:rFonts w:ascii="Times New Roman" w:hAnsi="Times New Roman"/>
          <w:i/>
          <w:sz w:val="24"/>
          <w:szCs w:val="24"/>
        </w:rPr>
      </w:pPr>
      <w:r>
        <w:rPr>
          <w:rFonts w:ascii="Times New Roman" w:hAnsi="Times New Roman"/>
          <w:sz w:val="24"/>
          <w:szCs w:val="24"/>
        </w:rPr>
        <w:t xml:space="preserve">Vaughan, Shannon K. and Shelly Arsneault.  2014.  </w:t>
      </w:r>
      <w:r w:rsidRPr="004B4DC5">
        <w:rPr>
          <w:rFonts w:ascii="Times New Roman" w:hAnsi="Times New Roman"/>
          <w:i/>
          <w:sz w:val="24"/>
          <w:szCs w:val="24"/>
        </w:rPr>
        <w:t xml:space="preserve">Managing Nonprofit Organizations in a </w:t>
      </w:r>
    </w:p>
    <w:p w:rsidR="00231EAC" w:rsidRDefault="00231EAC" w:rsidP="00231EAC">
      <w:pPr>
        <w:spacing w:after="0" w:line="360" w:lineRule="auto"/>
        <w:ind w:firstLine="720"/>
        <w:rPr>
          <w:rFonts w:ascii="Times New Roman" w:hAnsi="Times New Roman"/>
          <w:sz w:val="24"/>
          <w:szCs w:val="24"/>
        </w:rPr>
      </w:pPr>
      <w:r w:rsidRPr="004B4DC5">
        <w:rPr>
          <w:rFonts w:ascii="Times New Roman" w:hAnsi="Times New Roman"/>
          <w:i/>
          <w:sz w:val="24"/>
          <w:szCs w:val="24"/>
        </w:rPr>
        <w:t>Policy World</w:t>
      </w:r>
      <w:r>
        <w:rPr>
          <w:rFonts w:ascii="Times New Roman" w:hAnsi="Times New Roman"/>
          <w:sz w:val="24"/>
          <w:szCs w:val="24"/>
        </w:rPr>
        <w:t xml:space="preserve">.  Washington, DC: CQ Press. </w:t>
      </w:r>
    </w:p>
    <w:p w:rsidR="00231EAC" w:rsidRDefault="00231EAC" w:rsidP="00231EAC">
      <w:pPr>
        <w:tabs>
          <w:tab w:val="left" w:pos="7378"/>
        </w:tabs>
        <w:spacing w:after="0" w:line="360" w:lineRule="auto"/>
        <w:rPr>
          <w:rFonts w:ascii="Times New Roman" w:hAnsi="Times New Roman" w:cs="Times New Roman"/>
          <w:sz w:val="24"/>
          <w:szCs w:val="24"/>
        </w:rPr>
      </w:pPr>
      <w:r w:rsidRPr="007B577F">
        <w:rPr>
          <w:rFonts w:ascii="Times New Roman" w:hAnsi="Times New Roman"/>
          <w:sz w:val="24"/>
          <w:szCs w:val="24"/>
        </w:rPr>
        <w:t xml:space="preserve">Weisbrod, Burton A. 1977. </w:t>
      </w:r>
      <w:r w:rsidRPr="007B577F">
        <w:rPr>
          <w:rFonts w:ascii="Times New Roman" w:hAnsi="Times New Roman"/>
          <w:i/>
          <w:sz w:val="24"/>
          <w:szCs w:val="24"/>
        </w:rPr>
        <w:t>The Voluntary Sector</w:t>
      </w:r>
      <w:r w:rsidRPr="007B577F">
        <w:rPr>
          <w:rFonts w:ascii="Times New Roman" w:hAnsi="Times New Roman"/>
          <w:sz w:val="24"/>
          <w:szCs w:val="24"/>
        </w:rPr>
        <w:t>.  Lexington</w:t>
      </w:r>
      <w:r>
        <w:rPr>
          <w:rFonts w:ascii="Times New Roman" w:hAnsi="Times New Roman"/>
          <w:sz w:val="24"/>
          <w:szCs w:val="24"/>
        </w:rPr>
        <w:t>, KY</w:t>
      </w:r>
      <w:r w:rsidRPr="007B577F">
        <w:rPr>
          <w:rFonts w:ascii="Times New Roman" w:hAnsi="Times New Roman"/>
          <w:sz w:val="24"/>
          <w:szCs w:val="24"/>
        </w:rPr>
        <w:t>: D.C. Heath &amp; Company.</w:t>
      </w:r>
      <w:r w:rsidRPr="007B577F">
        <w:rPr>
          <w:rFonts w:ascii="Times New Roman" w:hAnsi="Times New Roman"/>
          <w:sz w:val="24"/>
          <w:szCs w:val="24"/>
        </w:rPr>
        <w:tab/>
      </w:r>
    </w:p>
    <w:p w:rsidR="00231EAC" w:rsidRDefault="00231EAC" w:rsidP="00231EAC">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Zimmer, Ron, Cathy Krop, Tessa Kaganoff, Karen E. Ross and Dominic J. Brewer.  2001. “Private Giving to Public Schools and Districts in Los Angeles County: A Pilot Study.” Los Angeles, CA: Rand Monograph Series, Document Number MR-1429-EDU. </w:t>
      </w:r>
    </w:p>
    <w:p w:rsidR="00CB0D85" w:rsidRDefault="00231EAC" w:rsidP="00231EAC">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Weston, Margaret. 2013. “Basic Aid School Districts.” San Francisco: Public Policy Institute of    California.   </w:t>
      </w:r>
    </w:p>
    <w:p w:rsidR="00D6262C" w:rsidRDefault="00D6262C" w:rsidP="00AA11DD">
      <w:pPr>
        <w:spacing w:line="360" w:lineRule="auto"/>
        <w:rPr>
          <w:rFonts w:ascii="Times New Roman" w:hAnsi="Times New Roman"/>
          <w:sz w:val="24"/>
          <w:szCs w:val="24"/>
        </w:rPr>
      </w:pPr>
      <w:r>
        <w:rPr>
          <w:rFonts w:ascii="Times New Roman" w:hAnsi="Times New Roman"/>
          <w:sz w:val="24"/>
          <w:szCs w:val="24"/>
        </w:rPr>
        <w:t xml:space="preserve">Zimmer, Ron, Cathy Krop, Tessa Kaganoff, Karen Ross and Dominic Brewer.  2001.  Private </w:t>
      </w:r>
      <w:r w:rsidR="00AA11DD">
        <w:rPr>
          <w:rFonts w:ascii="Times New Roman" w:hAnsi="Times New Roman"/>
          <w:sz w:val="24"/>
          <w:szCs w:val="24"/>
        </w:rPr>
        <w:t>G</w:t>
      </w:r>
      <w:r>
        <w:rPr>
          <w:rFonts w:ascii="Times New Roman" w:hAnsi="Times New Roman"/>
          <w:sz w:val="24"/>
          <w:szCs w:val="24"/>
        </w:rPr>
        <w:t xml:space="preserve">iving to </w:t>
      </w:r>
      <w:r w:rsidR="00AA11DD">
        <w:rPr>
          <w:rFonts w:ascii="Times New Roman" w:hAnsi="Times New Roman"/>
          <w:sz w:val="24"/>
          <w:szCs w:val="24"/>
        </w:rPr>
        <w:t>P</w:t>
      </w:r>
      <w:r>
        <w:rPr>
          <w:rFonts w:ascii="Times New Roman" w:hAnsi="Times New Roman"/>
          <w:sz w:val="24"/>
          <w:szCs w:val="24"/>
        </w:rPr>
        <w:t xml:space="preserve">ublic </w:t>
      </w:r>
      <w:r w:rsidR="00AA11DD">
        <w:rPr>
          <w:rFonts w:ascii="Times New Roman" w:hAnsi="Times New Roman"/>
          <w:sz w:val="24"/>
          <w:szCs w:val="24"/>
        </w:rPr>
        <w:t>S</w:t>
      </w:r>
      <w:r>
        <w:rPr>
          <w:rFonts w:ascii="Times New Roman" w:hAnsi="Times New Roman"/>
          <w:sz w:val="24"/>
          <w:szCs w:val="24"/>
        </w:rPr>
        <w:t xml:space="preserve">chools and </w:t>
      </w:r>
      <w:r w:rsidR="00AA11DD">
        <w:rPr>
          <w:rFonts w:ascii="Times New Roman" w:hAnsi="Times New Roman"/>
          <w:sz w:val="24"/>
          <w:szCs w:val="24"/>
        </w:rPr>
        <w:t>D</w:t>
      </w:r>
      <w:r>
        <w:rPr>
          <w:rFonts w:ascii="Times New Roman" w:hAnsi="Times New Roman"/>
          <w:sz w:val="24"/>
          <w:szCs w:val="24"/>
        </w:rPr>
        <w:t xml:space="preserve">istricts in Los Angeles </w:t>
      </w:r>
      <w:r w:rsidR="00AA11DD">
        <w:rPr>
          <w:rFonts w:ascii="Times New Roman" w:hAnsi="Times New Roman"/>
          <w:sz w:val="24"/>
          <w:szCs w:val="24"/>
        </w:rPr>
        <w:t>C</w:t>
      </w:r>
      <w:r>
        <w:rPr>
          <w:rFonts w:ascii="Times New Roman" w:hAnsi="Times New Roman"/>
          <w:sz w:val="24"/>
          <w:szCs w:val="24"/>
        </w:rPr>
        <w:t xml:space="preserve">ounty: A </w:t>
      </w:r>
      <w:r w:rsidR="00AA11DD">
        <w:rPr>
          <w:rFonts w:ascii="Times New Roman" w:hAnsi="Times New Roman"/>
          <w:sz w:val="24"/>
          <w:szCs w:val="24"/>
        </w:rPr>
        <w:t>P</w:t>
      </w:r>
      <w:r>
        <w:rPr>
          <w:rFonts w:ascii="Times New Roman" w:hAnsi="Times New Roman"/>
          <w:sz w:val="24"/>
          <w:szCs w:val="24"/>
        </w:rPr>
        <w:t xml:space="preserve">ilot </w:t>
      </w:r>
      <w:r w:rsidR="00AA11DD">
        <w:rPr>
          <w:rFonts w:ascii="Times New Roman" w:hAnsi="Times New Roman"/>
          <w:sz w:val="24"/>
          <w:szCs w:val="24"/>
        </w:rPr>
        <w:t>S</w:t>
      </w:r>
      <w:r>
        <w:rPr>
          <w:rFonts w:ascii="Times New Roman" w:hAnsi="Times New Roman"/>
          <w:sz w:val="24"/>
          <w:szCs w:val="24"/>
        </w:rPr>
        <w:t>tudy</w:t>
      </w:r>
      <w:r w:rsidR="00AA11DD">
        <w:rPr>
          <w:rFonts w:ascii="Times New Roman" w:hAnsi="Times New Roman"/>
          <w:sz w:val="24"/>
          <w:szCs w:val="24"/>
        </w:rPr>
        <w:t xml:space="preserve">. Los Angles, CA: </w:t>
      </w:r>
      <w:r>
        <w:rPr>
          <w:rFonts w:ascii="Times New Roman" w:hAnsi="Times New Roman"/>
          <w:sz w:val="24"/>
          <w:szCs w:val="24"/>
        </w:rPr>
        <w:t xml:space="preserve"> Rand Monograph Series, Document Number MR-1429-EDU</w:t>
      </w:r>
      <w:r w:rsidR="00AA11DD">
        <w:rPr>
          <w:rFonts w:ascii="Times New Roman" w:hAnsi="Times New Roman"/>
          <w:sz w:val="24"/>
          <w:szCs w:val="24"/>
        </w:rPr>
        <w:t xml:space="preserve">. </w:t>
      </w:r>
      <w:r>
        <w:rPr>
          <w:rFonts w:ascii="Times New Roman" w:hAnsi="Times New Roman"/>
          <w:sz w:val="24"/>
          <w:szCs w:val="24"/>
        </w:rPr>
        <w:t xml:space="preserve"> </w:t>
      </w:r>
    </w:p>
    <w:p w:rsidR="00777F39" w:rsidRDefault="00777F39" w:rsidP="00D6262C">
      <w:pPr>
        <w:spacing w:after="0" w:line="360" w:lineRule="auto"/>
        <w:rPr>
          <w:rFonts w:ascii="Times New Roman" w:hAnsi="Times New Roman" w:cs="Times New Roman"/>
          <w:sz w:val="24"/>
          <w:szCs w:val="24"/>
        </w:rPr>
      </w:pPr>
    </w:p>
    <w:p w:rsidR="00777F39" w:rsidRDefault="00777F39" w:rsidP="00D6262C">
      <w:pPr>
        <w:spacing w:after="0" w:line="360" w:lineRule="auto"/>
        <w:rPr>
          <w:rFonts w:ascii="Times New Roman" w:hAnsi="Times New Roman" w:cs="Times New Roman"/>
          <w:sz w:val="24"/>
          <w:szCs w:val="24"/>
        </w:rPr>
      </w:pPr>
    </w:p>
    <w:p w:rsidR="00777F39" w:rsidRDefault="00777F39" w:rsidP="00D6262C">
      <w:pPr>
        <w:spacing w:after="0" w:line="360" w:lineRule="auto"/>
        <w:rPr>
          <w:rFonts w:ascii="Times New Roman" w:hAnsi="Times New Roman" w:cs="Times New Roman"/>
          <w:sz w:val="24"/>
          <w:szCs w:val="24"/>
        </w:rPr>
      </w:pPr>
    </w:p>
    <w:p w:rsidR="00777F39" w:rsidRDefault="00777F39" w:rsidP="00D6262C">
      <w:pPr>
        <w:spacing w:after="0" w:line="360" w:lineRule="auto"/>
        <w:rPr>
          <w:rFonts w:ascii="Times New Roman" w:hAnsi="Times New Roman" w:cs="Times New Roman"/>
          <w:sz w:val="24"/>
          <w:szCs w:val="24"/>
        </w:rPr>
      </w:pPr>
    </w:p>
    <w:p w:rsidR="00777F39" w:rsidRDefault="00777F39" w:rsidP="00D6262C">
      <w:pPr>
        <w:spacing w:after="0" w:line="360" w:lineRule="auto"/>
        <w:rPr>
          <w:rFonts w:ascii="Times New Roman" w:hAnsi="Times New Roman" w:cs="Times New Roman"/>
          <w:sz w:val="24"/>
          <w:szCs w:val="24"/>
        </w:rPr>
      </w:pPr>
    </w:p>
    <w:p w:rsidR="00777F39" w:rsidRDefault="00777F39" w:rsidP="00D6262C">
      <w:pPr>
        <w:spacing w:after="0" w:line="360" w:lineRule="auto"/>
        <w:rPr>
          <w:rFonts w:ascii="Times New Roman" w:hAnsi="Times New Roman" w:cs="Times New Roman"/>
          <w:sz w:val="24"/>
          <w:szCs w:val="24"/>
        </w:rPr>
      </w:pPr>
    </w:p>
    <w:p w:rsidR="00F56310" w:rsidRDefault="00F56310" w:rsidP="00645722">
      <w:pPr>
        <w:autoSpaceDE w:val="0"/>
        <w:autoSpaceDN w:val="0"/>
        <w:adjustRightInd w:val="0"/>
        <w:spacing w:after="0" w:line="480" w:lineRule="auto"/>
        <w:rPr>
          <w:rFonts w:ascii="Times New Roman" w:hAnsi="Times New Roman" w:cs="Times New Roman"/>
          <w:sz w:val="24"/>
          <w:szCs w:val="24"/>
        </w:rPr>
      </w:pPr>
    </w:p>
    <w:p w:rsidR="00145EDA" w:rsidRDefault="00145EDA" w:rsidP="00CB0D85">
      <w:pPr>
        <w:spacing w:line="480" w:lineRule="auto"/>
      </w:pPr>
    </w:p>
    <w:p w:rsidR="00145EDA" w:rsidRDefault="00145EDA" w:rsidP="00CB0D85">
      <w:pPr>
        <w:spacing w:line="480" w:lineRule="auto"/>
      </w:pPr>
    </w:p>
    <w:sectPr w:rsidR="00145EDA" w:rsidSect="00171E72">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42" w:rsidRDefault="00D87B42" w:rsidP="0042116E">
      <w:pPr>
        <w:spacing w:after="0" w:line="240" w:lineRule="auto"/>
      </w:pPr>
      <w:r>
        <w:separator/>
      </w:r>
    </w:p>
  </w:endnote>
  <w:endnote w:type="continuationSeparator" w:id="0">
    <w:p w:rsidR="00D87B42" w:rsidRDefault="00D87B42" w:rsidP="00421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421896"/>
      <w:docPartObj>
        <w:docPartGallery w:val="Page Numbers (Bottom of Page)"/>
        <w:docPartUnique/>
      </w:docPartObj>
    </w:sdtPr>
    <w:sdtContent>
      <w:p w:rsidR="009B01E9" w:rsidRDefault="006C25B1">
        <w:pPr>
          <w:pStyle w:val="Footer"/>
          <w:jc w:val="center"/>
        </w:pPr>
        <w:fldSimple w:instr=" PAGE   \* MERGEFORMAT ">
          <w:r w:rsidR="000C228F">
            <w:rPr>
              <w:noProof/>
            </w:rPr>
            <w:t>1</w:t>
          </w:r>
        </w:fldSimple>
      </w:p>
    </w:sdtContent>
  </w:sdt>
  <w:p w:rsidR="003C5C23" w:rsidRDefault="003C5C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E9" w:rsidRDefault="009B01E9" w:rsidP="00FB24DB">
    <w:pPr>
      <w:pStyle w:val="Footer"/>
    </w:pPr>
  </w:p>
  <w:p w:rsidR="009B01E9" w:rsidRDefault="009B01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80039"/>
      <w:docPartObj>
        <w:docPartGallery w:val="Page Numbers (Bottom of Page)"/>
        <w:docPartUnique/>
      </w:docPartObj>
    </w:sdtPr>
    <w:sdtContent>
      <w:p w:rsidR="003C5C23" w:rsidRDefault="006C25B1" w:rsidP="009B01E9">
        <w:pPr>
          <w:pStyle w:val="Footer"/>
          <w:jc w:val="center"/>
        </w:pPr>
        <w:fldSimple w:instr=" PAGE   \* MERGEFORMAT ">
          <w:r w:rsidR="000C228F">
            <w:rPr>
              <w:noProof/>
            </w:rPr>
            <w:t>30</w:t>
          </w:r>
        </w:fldSimple>
      </w:p>
    </w:sdtContent>
  </w:sdt>
  <w:p w:rsidR="003C5C23" w:rsidRDefault="003C5C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42" w:rsidRDefault="00D87B42" w:rsidP="0042116E">
      <w:pPr>
        <w:spacing w:after="0" w:line="240" w:lineRule="auto"/>
      </w:pPr>
      <w:r>
        <w:separator/>
      </w:r>
    </w:p>
  </w:footnote>
  <w:footnote w:type="continuationSeparator" w:id="0">
    <w:p w:rsidR="00D87B42" w:rsidRDefault="00D87B42" w:rsidP="00421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27B"/>
    <w:multiLevelType w:val="hybridMultilevel"/>
    <w:tmpl w:val="70A8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96E57"/>
    <w:multiLevelType w:val="hybridMultilevel"/>
    <w:tmpl w:val="C192A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1F1C3B"/>
    <w:multiLevelType w:val="hybridMultilevel"/>
    <w:tmpl w:val="696E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E7508"/>
    <w:multiLevelType w:val="hybridMultilevel"/>
    <w:tmpl w:val="2FCCF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0B3738"/>
    <w:multiLevelType w:val="hybridMultilevel"/>
    <w:tmpl w:val="54F8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B64B41"/>
    <w:multiLevelType w:val="hybridMultilevel"/>
    <w:tmpl w:val="CE46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801DD"/>
    <w:multiLevelType w:val="hybridMultilevel"/>
    <w:tmpl w:val="4A68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00BA4"/>
    <w:rsid w:val="000149D1"/>
    <w:rsid w:val="0001597C"/>
    <w:rsid w:val="0003722F"/>
    <w:rsid w:val="000402EE"/>
    <w:rsid w:val="00040309"/>
    <w:rsid w:val="00041770"/>
    <w:rsid w:val="0004220E"/>
    <w:rsid w:val="00046B37"/>
    <w:rsid w:val="0007161F"/>
    <w:rsid w:val="000716F8"/>
    <w:rsid w:val="0007228F"/>
    <w:rsid w:val="00076D44"/>
    <w:rsid w:val="00082D19"/>
    <w:rsid w:val="0009613B"/>
    <w:rsid w:val="00096715"/>
    <w:rsid w:val="00097743"/>
    <w:rsid w:val="000A2375"/>
    <w:rsid w:val="000A308D"/>
    <w:rsid w:val="000A6AD7"/>
    <w:rsid w:val="000B11CD"/>
    <w:rsid w:val="000B2EEF"/>
    <w:rsid w:val="000B47EC"/>
    <w:rsid w:val="000C0B8F"/>
    <w:rsid w:val="000C228F"/>
    <w:rsid w:val="000C4F76"/>
    <w:rsid w:val="000D0EA3"/>
    <w:rsid w:val="000E4E24"/>
    <w:rsid w:val="000F48A3"/>
    <w:rsid w:val="000F7615"/>
    <w:rsid w:val="001015F5"/>
    <w:rsid w:val="0011003E"/>
    <w:rsid w:val="001120E8"/>
    <w:rsid w:val="0011588D"/>
    <w:rsid w:val="00133BEE"/>
    <w:rsid w:val="00144469"/>
    <w:rsid w:val="00145680"/>
    <w:rsid w:val="00145CC8"/>
    <w:rsid w:val="00145EDA"/>
    <w:rsid w:val="001460ED"/>
    <w:rsid w:val="001465D0"/>
    <w:rsid w:val="001606A9"/>
    <w:rsid w:val="0016209C"/>
    <w:rsid w:val="00163ED7"/>
    <w:rsid w:val="00164DBF"/>
    <w:rsid w:val="00165A74"/>
    <w:rsid w:val="00171E72"/>
    <w:rsid w:val="001753B6"/>
    <w:rsid w:val="00182F05"/>
    <w:rsid w:val="00185E5B"/>
    <w:rsid w:val="00185E87"/>
    <w:rsid w:val="00192B1B"/>
    <w:rsid w:val="001A4529"/>
    <w:rsid w:val="001A48C0"/>
    <w:rsid w:val="001B0A0F"/>
    <w:rsid w:val="001B0B7B"/>
    <w:rsid w:val="001B0D4C"/>
    <w:rsid w:val="001B3D09"/>
    <w:rsid w:val="001B5A6F"/>
    <w:rsid w:val="001B6241"/>
    <w:rsid w:val="001C04F5"/>
    <w:rsid w:val="001C161F"/>
    <w:rsid w:val="001C45A5"/>
    <w:rsid w:val="001C6224"/>
    <w:rsid w:val="001D1109"/>
    <w:rsid w:val="001D7E08"/>
    <w:rsid w:val="001E0559"/>
    <w:rsid w:val="001E0A56"/>
    <w:rsid w:val="001E37D0"/>
    <w:rsid w:val="001E4EAB"/>
    <w:rsid w:val="001E5EB6"/>
    <w:rsid w:val="001F1C97"/>
    <w:rsid w:val="00210200"/>
    <w:rsid w:val="00212BF9"/>
    <w:rsid w:val="002247A5"/>
    <w:rsid w:val="00227AD8"/>
    <w:rsid w:val="00231EAC"/>
    <w:rsid w:val="00232CB7"/>
    <w:rsid w:val="00233464"/>
    <w:rsid w:val="00235E12"/>
    <w:rsid w:val="002432C7"/>
    <w:rsid w:val="00246C85"/>
    <w:rsid w:val="00252715"/>
    <w:rsid w:val="00260B02"/>
    <w:rsid w:val="002651BB"/>
    <w:rsid w:val="00266258"/>
    <w:rsid w:val="00277492"/>
    <w:rsid w:val="00280E3C"/>
    <w:rsid w:val="002835C2"/>
    <w:rsid w:val="00283E0A"/>
    <w:rsid w:val="0028702B"/>
    <w:rsid w:val="00290A59"/>
    <w:rsid w:val="0029525D"/>
    <w:rsid w:val="002A1F06"/>
    <w:rsid w:val="002A66D7"/>
    <w:rsid w:val="002A77CC"/>
    <w:rsid w:val="002B01FB"/>
    <w:rsid w:val="002C1174"/>
    <w:rsid w:val="002D210D"/>
    <w:rsid w:val="002D6723"/>
    <w:rsid w:val="002E0093"/>
    <w:rsid w:val="002E1222"/>
    <w:rsid w:val="002E1A5A"/>
    <w:rsid w:val="002E3EB4"/>
    <w:rsid w:val="002E7D3F"/>
    <w:rsid w:val="002F5ED8"/>
    <w:rsid w:val="0030277C"/>
    <w:rsid w:val="00303037"/>
    <w:rsid w:val="003049E5"/>
    <w:rsid w:val="00316F3B"/>
    <w:rsid w:val="00327B34"/>
    <w:rsid w:val="0033476C"/>
    <w:rsid w:val="00335F80"/>
    <w:rsid w:val="00340E3E"/>
    <w:rsid w:val="00342E94"/>
    <w:rsid w:val="00344BB0"/>
    <w:rsid w:val="003516D7"/>
    <w:rsid w:val="00351733"/>
    <w:rsid w:val="00352FF8"/>
    <w:rsid w:val="0035365A"/>
    <w:rsid w:val="003554A1"/>
    <w:rsid w:val="00355CFA"/>
    <w:rsid w:val="00357950"/>
    <w:rsid w:val="003606FA"/>
    <w:rsid w:val="00361266"/>
    <w:rsid w:val="00364223"/>
    <w:rsid w:val="003650BB"/>
    <w:rsid w:val="00365481"/>
    <w:rsid w:val="00373A13"/>
    <w:rsid w:val="00377EB8"/>
    <w:rsid w:val="00380D31"/>
    <w:rsid w:val="00381356"/>
    <w:rsid w:val="00385840"/>
    <w:rsid w:val="00387718"/>
    <w:rsid w:val="003912A6"/>
    <w:rsid w:val="00392A8E"/>
    <w:rsid w:val="003959CD"/>
    <w:rsid w:val="003959E2"/>
    <w:rsid w:val="00397D90"/>
    <w:rsid w:val="003A175F"/>
    <w:rsid w:val="003B1585"/>
    <w:rsid w:val="003C4C8D"/>
    <w:rsid w:val="003C5C23"/>
    <w:rsid w:val="003D3775"/>
    <w:rsid w:val="003D66CB"/>
    <w:rsid w:val="003D7C2A"/>
    <w:rsid w:val="003E109D"/>
    <w:rsid w:val="003F257E"/>
    <w:rsid w:val="003F388D"/>
    <w:rsid w:val="004000D9"/>
    <w:rsid w:val="004023BC"/>
    <w:rsid w:val="0040355C"/>
    <w:rsid w:val="00413CD1"/>
    <w:rsid w:val="00417427"/>
    <w:rsid w:val="00417D00"/>
    <w:rsid w:val="0042116E"/>
    <w:rsid w:val="00421C9C"/>
    <w:rsid w:val="00425B15"/>
    <w:rsid w:val="00425CCC"/>
    <w:rsid w:val="00426528"/>
    <w:rsid w:val="004275B0"/>
    <w:rsid w:val="00430A6E"/>
    <w:rsid w:val="0043515B"/>
    <w:rsid w:val="00435D70"/>
    <w:rsid w:val="004365F9"/>
    <w:rsid w:val="00441928"/>
    <w:rsid w:val="00443BCB"/>
    <w:rsid w:val="00446325"/>
    <w:rsid w:val="00447D16"/>
    <w:rsid w:val="00452225"/>
    <w:rsid w:val="00453A8C"/>
    <w:rsid w:val="0045632A"/>
    <w:rsid w:val="004572F8"/>
    <w:rsid w:val="004610E8"/>
    <w:rsid w:val="00463107"/>
    <w:rsid w:val="00463126"/>
    <w:rsid w:val="00470A1A"/>
    <w:rsid w:val="00472163"/>
    <w:rsid w:val="00480930"/>
    <w:rsid w:val="00485E3B"/>
    <w:rsid w:val="00490915"/>
    <w:rsid w:val="00493A71"/>
    <w:rsid w:val="004951A0"/>
    <w:rsid w:val="00495C83"/>
    <w:rsid w:val="00495EBF"/>
    <w:rsid w:val="004973C4"/>
    <w:rsid w:val="004B679D"/>
    <w:rsid w:val="004B6A88"/>
    <w:rsid w:val="004C15D5"/>
    <w:rsid w:val="004C31F5"/>
    <w:rsid w:val="004C4238"/>
    <w:rsid w:val="004D14AF"/>
    <w:rsid w:val="004D2EA6"/>
    <w:rsid w:val="004D2F54"/>
    <w:rsid w:val="004D4977"/>
    <w:rsid w:val="004D5978"/>
    <w:rsid w:val="004D59C4"/>
    <w:rsid w:val="004D6B12"/>
    <w:rsid w:val="004E1CDD"/>
    <w:rsid w:val="004E4B8A"/>
    <w:rsid w:val="004E6447"/>
    <w:rsid w:val="004F1725"/>
    <w:rsid w:val="004F561F"/>
    <w:rsid w:val="00500893"/>
    <w:rsid w:val="0050338A"/>
    <w:rsid w:val="0050487C"/>
    <w:rsid w:val="00505715"/>
    <w:rsid w:val="0051172C"/>
    <w:rsid w:val="00513471"/>
    <w:rsid w:val="005163A4"/>
    <w:rsid w:val="0052288B"/>
    <w:rsid w:val="00523C52"/>
    <w:rsid w:val="00527753"/>
    <w:rsid w:val="00531590"/>
    <w:rsid w:val="00536544"/>
    <w:rsid w:val="00544009"/>
    <w:rsid w:val="00545E08"/>
    <w:rsid w:val="00546E52"/>
    <w:rsid w:val="00551AE0"/>
    <w:rsid w:val="00552472"/>
    <w:rsid w:val="00554130"/>
    <w:rsid w:val="00560059"/>
    <w:rsid w:val="005643DF"/>
    <w:rsid w:val="00564F10"/>
    <w:rsid w:val="00566248"/>
    <w:rsid w:val="00566CE8"/>
    <w:rsid w:val="00577A49"/>
    <w:rsid w:val="00584042"/>
    <w:rsid w:val="005960E2"/>
    <w:rsid w:val="005A0400"/>
    <w:rsid w:val="005A1072"/>
    <w:rsid w:val="005A3511"/>
    <w:rsid w:val="005A5151"/>
    <w:rsid w:val="005A57E6"/>
    <w:rsid w:val="005A6D89"/>
    <w:rsid w:val="005B01DB"/>
    <w:rsid w:val="005B11F0"/>
    <w:rsid w:val="005B3060"/>
    <w:rsid w:val="005B477A"/>
    <w:rsid w:val="005B54C6"/>
    <w:rsid w:val="005B7EF1"/>
    <w:rsid w:val="005C2077"/>
    <w:rsid w:val="005C2FEB"/>
    <w:rsid w:val="005C4EE3"/>
    <w:rsid w:val="005C630E"/>
    <w:rsid w:val="005C6AAD"/>
    <w:rsid w:val="005D0BA1"/>
    <w:rsid w:val="005D3E3C"/>
    <w:rsid w:val="005E07AA"/>
    <w:rsid w:val="005E3261"/>
    <w:rsid w:val="005E6C49"/>
    <w:rsid w:val="005F0476"/>
    <w:rsid w:val="005F334F"/>
    <w:rsid w:val="00600197"/>
    <w:rsid w:val="006057F4"/>
    <w:rsid w:val="00606612"/>
    <w:rsid w:val="00613FC2"/>
    <w:rsid w:val="0061624D"/>
    <w:rsid w:val="00616688"/>
    <w:rsid w:val="006170B4"/>
    <w:rsid w:val="006170C9"/>
    <w:rsid w:val="00617B84"/>
    <w:rsid w:val="00621F4C"/>
    <w:rsid w:val="00625248"/>
    <w:rsid w:val="00626D79"/>
    <w:rsid w:val="00635836"/>
    <w:rsid w:val="006374D1"/>
    <w:rsid w:val="00642719"/>
    <w:rsid w:val="0064354D"/>
    <w:rsid w:val="00643944"/>
    <w:rsid w:val="00643C94"/>
    <w:rsid w:val="00645292"/>
    <w:rsid w:val="00645722"/>
    <w:rsid w:val="00647AB6"/>
    <w:rsid w:val="00650DDF"/>
    <w:rsid w:val="00663E76"/>
    <w:rsid w:val="006737A1"/>
    <w:rsid w:val="00685104"/>
    <w:rsid w:val="006A1E73"/>
    <w:rsid w:val="006A44FD"/>
    <w:rsid w:val="006A49E0"/>
    <w:rsid w:val="006A62C3"/>
    <w:rsid w:val="006A7699"/>
    <w:rsid w:val="006A7E79"/>
    <w:rsid w:val="006B5F06"/>
    <w:rsid w:val="006C25B1"/>
    <w:rsid w:val="006C2A63"/>
    <w:rsid w:val="006C374E"/>
    <w:rsid w:val="006C6CF0"/>
    <w:rsid w:val="006C73B4"/>
    <w:rsid w:val="006D3786"/>
    <w:rsid w:val="006D534E"/>
    <w:rsid w:val="006D7BDB"/>
    <w:rsid w:val="006E2CEA"/>
    <w:rsid w:val="006E6312"/>
    <w:rsid w:val="006E7A6F"/>
    <w:rsid w:val="006F0C42"/>
    <w:rsid w:val="006F319D"/>
    <w:rsid w:val="006F3F86"/>
    <w:rsid w:val="006F4E20"/>
    <w:rsid w:val="00700325"/>
    <w:rsid w:val="007063C9"/>
    <w:rsid w:val="00707E28"/>
    <w:rsid w:val="00711387"/>
    <w:rsid w:val="00713212"/>
    <w:rsid w:val="007135EB"/>
    <w:rsid w:val="00724DEA"/>
    <w:rsid w:val="00727894"/>
    <w:rsid w:val="00727D07"/>
    <w:rsid w:val="0073101E"/>
    <w:rsid w:val="00732BDF"/>
    <w:rsid w:val="00733349"/>
    <w:rsid w:val="00737994"/>
    <w:rsid w:val="007403A2"/>
    <w:rsid w:val="00754233"/>
    <w:rsid w:val="00756301"/>
    <w:rsid w:val="0076032D"/>
    <w:rsid w:val="00761B09"/>
    <w:rsid w:val="0077239A"/>
    <w:rsid w:val="00772F4E"/>
    <w:rsid w:val="00777B08"/>
    <w:rsid w:val="00777F39"/>
    <w:rsid w:val="00785732"/>
    <w:rsid w:val="00785EAD"/>
    <w:rsid w:val="00790060"/>
    <w:rsid w:val="00790AAF"/>
    <w:rsid w:val="0079404B"/>
    <w:rsid w:val="007963DA"/>
    <w:rsid w:val="00797DEF"/>
    <w:rsid w:val="007A2F8F"/>
    <w:rsid w:val="007A3262"/>
    <w:rsid w:val="007A67EE"/>
    <w:rsid w:val="007B1185"/>
    <w:rsid w:val="007B5D49"/>
    <w:rsid w:val="007B60AE"/>
    <w:rsid w:val="007B6FFA"/>
    <w:rsid w:val="007C179C"/>
    <w:rsid w:val="007C46D0"/>
    <w:rsid w:val="007C5588"/>
    <w:rsid w:val="007C6AA9"/>
    <w:rsid w:val="007C7072"/>
    <w:rsid w:val="007D18D1"/>
    <w:rsid w:val="007D326B"/>
    <w:rsid w:val="007D6A18"/>
    <w:rsid w:val="007D7121"/>
    <w:rsid w:val="007E3267"/>
    <w:rsid w:val="007E4703"/>
    <w:rsid w:val="007F0529"/>
    <w:rsid w:val="007F53FC"/>
    <w:rsid w:val="007F79E0"/>
    <w:rsid w:val="008007D6"/>
    <w:rsid w:val="00801D78"/>
    <w:rsid w:val="008036E7"/>
    <w:rsid w:val="00806EFB"/>
    <w:rsid w:val="008123EB"/>
    <w:rsid w:val="008142EE"/>
    <w:rsid w:val="00815680"/>
    <w:rsid w:val="00817D74"/>
    <w:rsid w:val="00820B49"/>
    <w:rsid w:val="008210F6"/>
    <w:rsid w:val="00824CFA"/>
    <w:rsid w:val="00827C52"/>
    <w:rsid w:val="0083289D"/>
    <w:rsid w:val="00833A21"/>
    <w:rsid w:val="00840A3C"/>
    <w:rsid w:val="00843961"/>
    <w:rsid w:val="00846D0D"/>
    <w:rsid w:val="0085373F"/>
    <w:rsid w:val="008541F3"/>
    <w:rsid w:val="00854B43"/>
    <w:rsid w:val="0085729F"/>
    <w:rsid w:val="00862382"/>
    <w:rsid w:val="00862406"/>
    <w:rsid w:val="008909F0"/>
    <w:rsid w:val="008976DD"/>
    <w:rsid w:val="008B2DDE"/>
    <w:rsid w:val="008B410E"/>
    <w:rsid w:val="008B5383"/>
    <w:rsid w:val="008B627D"/>
    <w:rsid w:val="008C2CC7"/>
    <w:rsid w:val="008C35E3"/>
    <w:rsid w:val="008D144B"/>
    <w:rsid w:val="008D64A7"/>
    <w:rsid w:val="008D763D"/>
    <w:rsid w:val="008E256B"/>
    <w:rsid w:val="008E4579"/>
    <w:rsid w:val="008E4C4E"/>
    <w:rsid w:val="008F20C8"/>
    <w:rsid w:val="008F38E9"/>
    <w:rsid w:val="0090180E"/>
    <w:rsid w:val="0090401B"/>
    <w:rsid w:val="00910408"/>
    <w:rsid w:val="00911012"/>
    <w:rsid w:val="0091192E"/>
    <w:rsid w:val="00912CC6"/>
    <w:rsid w:val="00913269"/>
    <w:rsid w:val="00923E6B"/>
    <w:rsid w:val="009250B5"/>
    <w:rsid w:val="00932881"/>
    <w:rsid w:val="009367C2"/>
    <w:rsid w:val="00940A3B"/>
    <w:rsid w:val="00943613"/>
    <w:rsid w:val="00945454"/>
    <w:rsid w:val="009506A9"/>
    <w:rsid w:val="00954703"/>
    <w:rsid w:val="00962BA4"/>
    <w:rsid w:val="00962C6F"/>
    <w:rsid w:val="009646C0"/>
    <w:rsid w:val="00970115"/>
    <w:rsid w:val="0097306A"/>
    <w:rsid w:val="00974F27"/>
    <w:rsid w:val="00984858"/>
    <w:rsid w:val="0098635C"/>
    <w:rsid w:val="00986424"/>
    <w:rsid w:val="00997EDA"/>
    <w:rsid w:val="009A01B3"/>
    <w:rsid w:val="009A38EE"/>
    <w:rsid w:val="009B01E9"/>
    <w:rsid w:val="009B038F"/>
    <w:rsid w:val="009B116B"/>
    <w:rsid w:val="009C2661"/>
    <w:rsid w:val="009D150C"/>
    <w:rsid w:val="009D2B9A"/>
    <w:rsid w:val="009D2E8B"/>
    <w:rsid w:val="009D2F5B"/>
    <w:rsid w:val="009D3F23"/>
    <w:rsid w:val="009D644C"/>
    <w:rsid w:val="009E0008"/>
    <w:rsid w:val="009E58BE"/>
    <w:rsid w:val="009E5F59"/>
    <w:rsid w:val="009E709C"/>
    <w:rsid w:val="009E7830"/>
    <w:rsid w:val="009F0E27"/>
    <w:rsid w:val="009F57A0"/>
    <w:rsid w:val="009F57E2"/>
    <w:rsid w:val="009F5808"/>
    <w:rsid w:val="00A01C7F"/>
    <w:rsid w:val="00A05544"/>
    <w:rsid w:val="00A14BCF"/>
    <w:rsid w:val="00A157C2"/>
    <w:rsid w:val="00A15A8E"/>
    <w:rsid w:val="00A20224"/>
    <w:rsid w:val="00A22F89"/>
    <w:rsid w:val="00A3276A"/>
    <w:rsid w:val="00A359EF"/>
    <w:rsid w:val="00A3622D"/>
    <w:rsid w:val="00A4009E"/>
    <w:rsid w:val="00A42FDC"/>
    <w:rsid w:val="00A46D3B"/>
    <w:rsid w:val="00A5004B"/>
    <w:rsid w:val="00A50074"/>
    <w:rsid w:val="00A511B2"/>
    <w:rsid w:val="00A5146F"/>
    <w:rsid w:val="00A559EC"/>
    <w:rsid w:val="00A66016"/>
    <w:rsid w:val="00A76C7E"/>
    <w:rsid w:val="00A81EE8"/>
    <w:rsid w:val="00A8549A"/>
    <w:rsid w:val="00A85FF0"/>
    <w:rsid w:val="00A91BD8"/>
    <w:rsid w:val="00A96CD5"/>
    <w:rsid w:val="00AA029B"/>
    <w:rsid w:val="00AA0DF8"/>
    <w:rsid w:val="00AA11DD"/>
    <w:rsid w:val="00AA2811"/>
    <w:rsid w:val="00AA375B"/>
    <w:rsid w:val="00AA4600"/>
    <w:rsid w:val="00AA64A3"/>
    <w:rsid w:val="00AB0527"/>
    <w:rsid w:val="00AB12BF"/>
    <w:rsid w:val="00AD1FF6"/>
    <w:rsid w:val="00AD4D6C"/>
    <w:rsid w:val="00AD5AFC"/>
    <w:rsid w:val="00AD5B4D"/>
    <w:rsid w:val="00AE2031"/>
    <w:rsid w:val="00AE266F"/>
    <w:rsid w:val="00AE429C"/>
    <w:rsid w:val="00AE4911"/>
    <w:rsid w:val="00AE7FC8"/>
    <w:rsid w:val="00AF02F5"/>
    <w:rsid w:val="00AF2EC9"/>
    <w:rsid w:val="00AF35B9"/>
    <w:rsid w:val="00AF7C3D"/>
    <w:rsid w:val="00B00BA4"/>
    <w:rsid w:val="00B01D7A"/>
    <w:rsid w:val="00B02702"/>
    <w:rsid w:val="00B05E87"/>
    <w:rsid w:val="00B06855"/>
    <w:rsid w:val="00B134CC"/>
    <w:rsid w:val="00B14C6E"/>
    <w:rsid w:val="00B23F43"/>
    <w:rsid w:val="00B31C72"/>
    <w:rsid w:val="00B34410"/>
    <w:rsid w:val="00B34886"/>
    <w:rsid w:val="00B405A3"/>
    <w:rsid w:val="00B441F6"/>
    <w:rsid w:val="00B4691E"/>
    <w:rsid w:val="00B50512"/>
    <w:rsid w:val="00B51A14"/>
    <w:rsid w:val="00B56B8F"/>
    <w:rsid w:val="00B616B7"/>
    <w:rsid w:val="00B657B5"/>
    <w:rsid w:val="00B676D7"/>
    <w:rsid w:val="00B67BB1"/>
    <w:rsid w:val="00B70968"/>
    <w:rsid w:val="00B74938"/>
    <w:rsid w:val="00B83083"/>
    <w:rsid w:val="00B83B9B"/>
    <w:rsid w:val="00B84B57"/>
    <w:rsid w:val="00B872A6"/>
    <w:rsid w:val="00B877C1"/>
    <w:rsid w:val="00B92950"/>
    <w:rsid w:val="00B9320F"/>
    <w:rsid w:val="00BA5413"/>
    <w:rsid w:val="00BA566A"/>
    <w:rsid w:val="00BB6B8D"/>
    <w:rsid w:val="00BD1965"/>
    <w:rsid w:val="00BD4D93"/>
    <w:rsid w:val="00BE7C32"/>
    <w:rsid w:val="00BF16D9"/>
    <w:rsid w:val="00BF1C71"/>
    <w:rsid w:val="00BF380D"/>
    <w:rsid w:val="00BF61C3"/>
    <w:rsid w:val="00C01642"/>
    <w:rsid w:val="00C02213"/>
    <w:rsid w:val="00C05FC0"/>
    <w:rsid w:val="00C064E8"/>
    <w:rsid w:val="00C1021B"/>
    <w:rsid w:val="00C112C1"/>
    <w:rsid w:val="00C11F6E"/>
    <w:rsid w:val="00C1273B"/>
    <w:rsid w:val="00C2283C"/>
    <w:rsid w:val="00C22F7F"/>
    <w:rsid w:val="00C2322D"/>
    <w:rsid w:val="00C23680"/>
    <w:rsid w:val="00C27C44"/>
    <w:rsid w:val="00C33052"/>
    <w:rsid w:val="00C34C33"/>
    <w:rsid w:val="00C41408"/>
    <w:rsid w:val="00C42E8B"/>
    <w:rsid w:val="00C5074C"/>
    <w:rsid w:val="00C52C5F"/>
    <w:rsid w:val="00C53326"/>
    <w:rsid w:val="00C547A5"/>
    <w:rsid w:val="00C6306E"/>
    <w:rsid w:val="00C63A85"/>
    <w:rsid w:val="00C660CD"/>
    <w:rsid w:val="00C713B3"/>
    <w:rsid w:val="00C7505E"/>
    <w:rsid w:val="00C77080"/>
    <w:rsid w:val="00C83797"/>
    <w:rsid w:val="00C840BA"/>
    <w:rsid w:val="00C9100C"/>
    <w:rsid w:val="00C9109C"/>
    <w:rsid w:val="00C97781"/>
    <w:rsid w:val="00CA0E70"/>
    <w:rsid w:val="00CA1A49"/>
    <w:rsid w:val="00CB0D85"/>
    <w:rsid w:val="00CB7EF9"/>
    <w:rsid w:val="00CC079E"/>
    <w:rsid w:val="00CC4467"/>
    <w:rsid w:val="00CD2F19"/>
    <w:rsid w:val="00CD35FC"/>
    <w:rsid w:val="00CD4A80"/>
    <w:rsid w:val="00CD7152"/>
    <w:rsid w:val="00CE1D74"/>
    <w:rsid w:val="00CE25BC"/>
    <w:rsid w:val="00CE54C4"/>
    <w:rsid w:val="00CE6233"/>
    <w:rsid w:val="00CE6495"/>
    <w:rsid w:val="00CF18FF"/>
    <w:rsid w:val="00CF4241"/>
    <w:rsid w:val="00CF5C23"/>
    <w:rsid w:val="00CF7B22"/>
    <w:rsid w:val="00D0175E"/>
    <w:rsid w:val="00D1124E"/>
    <w:rsid w:val="00D14002"/>
    <w:rsid w:val="00D1420A"/>
    <w:rsid w:val="00D15A52"/>
    <w:rsid w:val="00D1734C"/>
    <w:rsid w:val="00D227A5"/>
    <w:rsid w:val="00D37734"/>
    <w:rsid w:val="00D42FC8"/>
    <w:rsid w:val="00D44307"/>
    <w:rsid w:val="00D44474"/>
    <w:rsid w:val="00D44B73"/>
    <w:rsid w:val="00D46BD9"/>
    <w:rsid w:val="00D52AFF"/>
    <w:rsid w:val="00D542ED"/>
    <w:rsid w:val="00D55F3B"/>
    <w:rsid w:val="00D57C86"/>
    <w:rsid w:val="00D6262C"/>
    <w:rsid w:val="00D630FE"/>
    <w:rsid w:val="00D679BA"/>
    <w:rsid w:val="00D762DA"/>
    <w:rsid w:val="00D81D07"/>
    <w:rsid w:val="00D87B42"/>
    <w:rsid w:val="00D93209"/>
    <w:rsid w:val="00D95ABB"/>
    <w:rsid w:val="00DA0A6E"/>
    <w:rsid w:val="00DA5C6E"/>
    <w:rsid w:val="00DB0CB1"/>
    <w:rsid w:val="00DB141E"/>
    <w:rsid w:val="00DB5057"/>
    <w:rsid w:val="00DC5FC1"/>
    <w:rsid w:val="00DD0DBE"/>
    <w:rsid w:val="00DD1F83"/>
    <w:rsid w:val="00DD322F"/>
    <w:rsid w:val="00DD40CB"/>
    <w:rsid w:val="00DD7893"/>
    <w:rsid w:val="00DD7C2E"/>
    <w:rsid w:val="00DE3237"/>
    <w:rsid w:val="00DE6CA7"/>
    <w:rsid w:val="00DF08B0"/>
    <w:rsid w:val="00E02651"/>
    <w:rsid w:val="00E06D98"/>
    <w:rsid w:val="00E1306A"/>
    <w:rsid w:val="00E1761A"/>
    <w:rsid w:val="00E23C76"/>
    <w:rsid w:val="00E24373"/>
    <w:rsid w:val="00E312CC"/>
    <w:rsid w:val="00E34218"/>
    <w:rsid w:val="00E34CCF"/>
    <w:rsid w:val="00E400CB"/>
    <w:rsid w:val="00E4181B"/>
    <w:rsid w:val="00E43529"/>
    <w:rsid w:val="00E47281"/>
    <w:rsid w:val="00E517F7"/>
    <w:rsid w:val="00E5222D"/>
    <w:rsid w:val="00E562A1"/>
    <w:rsid w:val="00E6768F"/>
    <w:rsid w:val="00E67A15"/>
    <w:rsid w:val="00E7577D"/>
    <w:rsid w:val="00E759D1"/>
    <w:rsid w:val="00E75CE0"/>
    <w:rsid w:val="00E777BF"/>
    <w:rsid w:val="00E77806"/>
    <w:rsid w:val="00E8014D"/>
    <w:rsid w:val="00E813D9"/>
    <w:rsid w:val="00E83194"/>
    <w:rsid w:val="00E8389B"/>
    <w:rsid w:val="00E843D9"/>
    <w:rsid w:val="00E86DC8"/>
    <w:rsid w:val="00E86FCB"/>
    <w:rsid w:val="00E921BF"/>
    <w:rsid w:val="00E94930"/>
    <w:rsid w:val="00E96CA2"/>
    <w:rsid w:val="00EA35A2"/>
    <w:rsid w:val="00EA414B"/>
    <w:rsid w:val="00EC22DA"/>
    <w:rsid w:val="00EC3FE3"/>
    <w:rsid w:val="00EC605F"/>
    <w:rsid w:val="00ED1F9B"/>
    <w:rsid w:val="00ED2685"/>
    <w:rsid w:val="00ED2CDE"/>
    <w:rsid w:val="00ED4FD8"/>
    <w:rsid w:val="00ED54E9"/>
    <w:rsid w:val="00EE3846"/>
    <w:rsid w:val="00EF1CEC"/>
    <w:rsid w:val="00F02790"/>
    <w:rsid w:val="00F05869"/>
    <w:rsid w:val="00F065B2"/>
    <w:rsid w:val="00F10628"/>
    <w:rsid w:val="00F12066"/>
    <w:rsid w:val="00F154F7"/>
    <w:rsid w:val="00F162DF"/>
    <w:rsid w:val="00F20143"/>
    <w:rsid w:val="00F2103D"/>
    <w:rsid w:val="00F2309B"/>
    <w:rsid w:val="00F2429D"/>
    <w:rsid w:val="00F33025"/>
    <w:rsid w:val="00F33F7B"/>
    <w:rsid w:val="00F3766C"/>
    <w:rsid w:val="00F37DED"/>
    <w:rsid w:val="00F46964"/>
    <w:rsid w:val="00F56310"/>
    <w:rsid w:val="00F62113"/>
    <w:rsid w:val="00F64084"/>
    <w:rsid w:val="00F71AF0"/>
    <w:rsid w:val="00F74198"/>
    <w:rsid w:val="00F74EF0"/>
    <w:rsid w:val="00F80683"/>
    <w:rsid w:val="00F84C8D"/>
    <w:rsid w:val="00F90CF3"/>
    <w:rsid w:val="00F91468"/>
    <w:rsid w:val="00F94B24"/>
    <w:rsid w:val="00FA059F"/>
    <w:rsid w:val="00FA42D8"/>
    <w:rsid w:val="00FA43D2"/>
    <w:rsid w:val="00FA4F22"/>
    <w:rsid w:val="00FA6856"/>
    <w:rsid w:val="00FB0C73"/>
    <w:rsid w:val="00FB24DB"/>
    <w:rsid w:val="00FB2BAD"/>
    <w:rsid w:val="00FB3B8E"/>
    <w:rsid w:val="00FB4605"/>
    <w:rsid w:val="00FC66C0"/>
    <w:rsid w:val="00FD3B43"/>
    <w:rsid w:val="00FD7776"/>
    <w:rsid w:val="00FE3CD0"/>
    <w:rsid w:val="00FF7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D5"/>
  </w:style>
  <w:style w:type="paragraph" w:styleId="Heading4">
    <w:name w:val="heading 4"/>
    <w:basedOn w:val="Normal"/>
    <w:next w:val="Normal"/>
    <w:link w:val="Heading4Char"/>
    <w:qFormat/>
    <w:rsid w:val="009E709C"/>
    <w:pPr>
      <w:spacing w:before="240" w:after="0" w:line="480" w:lineRule="auto"/>
      <w:ind w:firstLine="720"/>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2116E"/>
    <w:pPr>
      <w:spacing w:after="0" w:line="240" w:lineRule="auto"/>
    </w:pPr>
    <w:rPr>
      <w:sz w:val="20"/>
      <w:szCs w:val="20"/>
    </w:rPr>
  </w:style>
  <w:style w:type="character" w:customStyle="1" w:styleId="EndnoteTextChar">
    <w:name w:val="Endnote Text Char"/>
    <w:basedOn w:val="DefaultParagraphFont"/>
    <w:link w:val="EndnoteText"/>
    <w:uiPriority w:val="99"/>
    <w:rsid w:val="0042116E"/>
    <w:rPr>
      <w:sz w:val="20"/>
      <w:szCs w:val="20"/>
    </w:rPr>
  </w:style>
  <w:style w:type="character" w:styleId="EndnoteReference">
    <w:name w:val="endnote reference"/>
    <w:basedOn w:val="DefaultParagraphFont"/>
    <w:uiPriority w:val="99"/>
    <w:semiHidden/>
    <w:unhideWhenUsed/>
    <w:rsid w:val="0042116E"/>
    <w:rPr>
      <w:vertAlign w:val="superscript"/>
    </w:rPr>
  </w:style>
  <w:style w:type="paragraph" w:styleId="FootnoteText">
    <w:name w:val="footnote text"/>
    <w:basedOn w:val="Normal"/>
    <w:link w:val="FootnoteTextChar"/>
    <w:uiPriority w:val="99"/>
    <w:unhideWhenUsed/>
    <w:rsid w:val="00171E72"/>
    <w:pPr>
      <w:spacing w:after="0" w:line="240" w:lineRule="auto"/>
    </w:pPr>
    <w:rPr>
      <w:sz w:val="20"/>
      <w:szCs w:val="20"/>
    </w:rPr>
  </w:style>
  <w:style w:type="character" w:customStyle="1" w:styleId="FootnoteTextChar">
    <w:name w:val="Footnote Text Char"/>
    <w:basedOn w:val="DefaultParagraphFont"/>
    <w:link w:val="FootnoteText"/>
    <w:uiPriority w:val="99"/>
    <w:rsid w:val="00171E72"/>
    <w:rPr>
      <w:sz w:val="20"/>
      <w:szCs w:val="20"/>
    </w:rPr>
  </w:style>
  <w:style w:type="character" w:styleId="FootnoteReference">
    <w:name w:val="footnote reference"/>
    <w:basedOn w:val="DefaultParagraphFont"/>
    <w:uiPriority w:val="99"/>
    <w:semiHidden/>
    <w:unhideWhenUsed/>
    <w:rsid w:val="00171E72"/>
    <w:rPr>
      <w:vertAlign w:val="superscript"/>
    </w:rPr>
  </w:style>
  <w:style w:type="character" w:styleId="CommentReference">
    <w:name w:val="annotation reference"/>
    <w:basedOn w:val="DefaultParagraphFont"/>
    <w:uiPriority w:val="99"/>
    <w:semiHidden/>
    <w:unhideWhenUsed/>
    <w:rsid w:val="00DD1F83"/>
    <w:rPr>
      <w:sz w:val="16"/>
      <w:szCs w:val="16"/>
    </w:rPr>
  </w:style>
  <w:style w:type="paragraph" w:styleId="CommentText">
    <w:name w:val="annotation text"/>
    <w:basedOn w:val="Normal"/>
    <w:link w:val="CommentTextChar"/>
    <w:uiPriority w:val="99"/>
    <w:semiHidden/>
    <w:unhideWhenUsed/>
    <w:rsid w:val="00DD1F83"/>
    <w:pPr>
      <w:spacing w:line="240" w:lineRule="auto"/>
    </w:pPr>
    <w:rPr>
      <w:sz w:val="20"/>
      <w:szCs w:val="20"/>
    </w:rPr>
  </w:style>
  <w:style w:type="character" w:customStyle="1" w:styleId="CommentTextChar">
    <w:name w:val="Comment Text Char"/>
    <w:basedOn w:val="DefaultParagraphFont"/>
    <w:link w:val="CommentText"/>
    <w:uiPriority w:val="99"/>
    <w:semiHidden/>
    <w:rsid w:val="00DD1F83"/>
    <w:rPr>
      <w:sz w:val="20"/>
      <w:szCs w:val="20"/>
    </w:rPr>
  </w:style>
  <w:style w:type="paragraph" w:styleId="CommentSubject">
    <w:name w:val="annotation subject"/>
    <w:basedOn w:val="CommentText"/>
    <w:next w:val="CommentText"/>
    <w:link w:val="CommentSubjectChar"/>
    <w:uiPriority w:val="99"/>
    <w:semiHidden/>
    <w:unhideWhenUsed/>
    <w:rsid w:val="00DD1F83"/>
    <w:rPr>
      <w:b/>
      <w:bCs/>
    </w:rPr>
  </w:style>
  <w:style w:type="character" w:customStyle="1" w:styleId="CommentSubjectChar">
    <w:name w:val="Comment Subject Char"/>
    <w:basedOn w:val="CommentTextChar"/>
    <w:link w:val="CommentSubject"/>
    <w:uiPriority w:val="99"/>
    <w:semiHidden/>
    <w:rsid w:val="00DD1F83"/>
    <w:rPr>
      <w:b/>
      <w:bCs/>
      <w:sz w:val="20"/>
      <w:szCs w:val="20"/>
    </w:rPr>
  </w:style>
  <w:style w:type="paragraph" w:styleId="BalloonText">
    <w:name w:val="Balloon Text"/>
    <w:basedOn w:val="Normal"/>
    <w:link w:val="BalloonTextChar"/>
    <w:uiPriority w:val="99"/>
    <w:semiHidden/>
    <w:unhideWhenUsed/>
    <w:rsid w:val="00DD1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83"/>
    <w:rPr>
      <w:rFonts w:ascii="Tahoma" w:hAnsi="Tahoma" w:cs="Tahoma"/>
      <w:sz w:val="16"/>
      <w:szCs w:val="16"/>
    </w:rPr>
  </w:style>
  <w:style w:type="character" w:customStyle="1" w:styleId="Heading4Char">
    <w:name w:val="Heading 4 Char"/>
    <w:basedOn w:val="DefaultParagraphFont"/>
    <w:link w:val="Heading4"/>
    <w:rsid w:val="009E709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A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E73"/>
  </w:style>
  <w:style w:type="paragraph" w:styleId="Footer">
    <w:name w:val="footer"/>
    <w:basedOn w:val="Normal"/>
    <w:link w:val="FooterChar"/>
    <w:uiPriority w:val="99"/>
    <w:unhideWhenUsed/>
    <w:rsid w:val="006A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E73"/>
  </w:style>
  <w:style w:type="paragraph" w:styleId="ListParagraph">
    <w:name w:val="List Paragraph"/>
    <w:basedOn w:val="Normal"/>
    <w:uiPriority w:val="34"/>
    <w:qFormat/>
    <w:rsid w:val="00A46D3B"/>
    <w:pPr>
      <w:ind w:left="720"/>
      <w:contextualSpacing/>
    </w:pPr>
  </w:style>
  <w:style w:type="paragraph" w:styleId="BodyTextIndent">
    <w:name w:val="Body Text Indent"/>
    <w:basedOn w:val="Normal"/>
    <w:link w:val="BodyTextIndentChar"/>
    <w:rsid w:val="00CB0D85"/>
    <w:pPr>
      <w:spacing w:before="240" w:after="0" w:line="480" w:lineRule="auto"/>
      <w:ind w:firstLine="72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CB0D85"/>
    <w:rPr>
      <w:rFonts w:ascii="Arial" w:eastAsia="Times New Roman" w:hAnsi="Arial" w:cs="Times New Roman"/>
      <w:sz w:val="24"/>
      <w:szCs w:val="24"/>
    </w:rPr>
  </w:style>
  <w:style w:type="character" w:styleId="Hyperlink">
    <w:name w:val="Hyperlink"/>
    <w:basedOn w:val="DefaultParagraphFont"/>
    <w:uiPriority w:val="99"/>
    <w:unhideWhenUsed/>
    <w:rsid w:val="00CB0D85"/>
    <w:rPr>
      <w:color w:val="0000FF" w:themeColor="hyperlink"/>
      <w:u w:val="single"/>
    </w:rPr>
  </w:style>
  <w:style w:type="table" w:styleId="TableGrid">
    <w:name w:val="Table Grid"/>
    <w:basedOn w:val="TableNormal"/>
    <w:uiPriority w:val="59"/>
    <w:rsid w:val="00974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77F39"/>
    <w:rPr>
      <w:b/>
      <w:bCs/>
    </w:rPr>
  </w:style>
  <w:style w:type="character" w:customStyle="1" w:styleId="citation">
    <w:name w:val="citation"/>
    <w:basedOn w:val="DefaultParagraphFont"/>
    <w:rsid w:val="00042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9E709C"/>
    <w:pPr>
      <w:spacing w:before="240" w:after="0" w:line="480" w:lineRule="auto"/>
      <w:ind w:firstLine="720"/>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2116E"/>
    <w:pPr>
      <w:spacing w:after="0" w:line="240" w:lineRule="auto"/>
    </w:pPr>
    <w:rPr>
      <w:sz w:val="20"/>
      <w:szCs w:val="20"/>
    </w:rPr>
  </w:style>
  <w:style w:type="character" w:customStyle="1" w:styleId="EndnoteTextChar">
    <w:name w:val="Endnote Text Char"/>
    <w:basedOn w:val="DefaultParagraphFont"/>
    <w:link w:val="EndnoteText"/>
    <w:uiPriority w:val="99"/>
    <w:rsid w:val="0042116E"/>
    <w:rPr>
      <w:sz w:val="20"/>
      <w:szCs w:val="20"/>
    </w:rPr>
  </w:style>
  <w:style w:type="character" w:styleId="EndnoteReference">
    <w:name w:val="endnote reference"/>
    <w:basedOn w:val="DefaultParagraphFont"/>
    <w:uiPriority w:val="99"/>
    <w:semiHidden/>
    <w:unhideWhenUsed/>
    <w:rsid w:val="0042116E"/>
    <w:rPr>
      <w:vertAlign w:val="superscript"/>
    </w:rPr>
  </w:style>
  <w:style w:type="paragraph" w:styleId="FootnoteText">
    <w:name w:val="footnote text"/>
    <w:basedOn w:val="Normal"/>
    <w:link w:val="FootnoteTextChar"/>
    <w:uiPriority w:val="99"/>
    <w:unhideWhenUsed/>
    <w:rsid w:val="00171E72"/>
    <w:pPr>
      <w:spacing w:after="0" w:line="240" w:lineRule="auto"/>
    </w:pPr>
    <w:rPr>
      <w:sz w:val="20"/>
      <w:szCs w:val="20"/>
    </w:rPr>
  </w:style>
  <w:style w:type="character" w:customStyle="1" w:styleId="FootnoteTextChar">
    <w:name w:val="Footnote Text Char"/>
    <w:basedOn w:val="DefaultParagraphFont"/>
    <w:link w:val="FootnoteText"/>
    <w:uiPriority w:val="99"/>
    <w:rsid w:val="00171E72"/>
    <w:rPr>
      <w:sz w:val="20"/>
      <w:szCs w:val="20"/>
    </w:rPr>
  </w:style>
  <w:style w:type="character" w:styleId="FootnoteReference">
    <w:name w:val="footnote reference"/>
    <w:basedOn w:val="DefaultParagraphFont"/>
    <w:uiPriority w:val="99"/>
    <w:semiHidden/>
    <w:unhideWhenUsed/>
    <w:rsid w:val="00171E72"/>
    <w:rPr>
      <w:vertAlign w:val="superscript"/>
    </w:rPr>
  </w:style>
  <w:style w:type="character" w:styleId="CommentReference">
    <w:name w:val="annotation reference"/>
    <w:basedOn w:val="DefaultParagraphFont"/>
    <w:uiPriority w:val="99"/>
    <w:semiHidden/>
    <w:unhideWhenUsed/>
    <w:rsid w:val="00DD1F83"/>
    <w:rPr>
      <w:sz w:val="16"/>
      <w:szCs w:val="16"/>
    </w:rPr>
  </w:style>
  <w:style w:type="paragraph" w:styleId="CommentText">
    <w:name w:val="annotation text"/>
    <w:basedOn w:val="Normal"/>
    <w:link w:val="CommentTextChar"/>
    <w:uiPriority w:val="99"/>
    <w:semiHidden/>
    <w:unhideWhenUsed/>
    <w:rsid w:val="00DD1F83"/>
    <w:pPr>
      <w:spacing w:line="240" w:lineRule="auto"/>
    </w:pPr>
    <w:rPr>
      <w:sz w:val="20"/>
      <w:szCs w:val="20"/>
    </w:rPr>
  </w:style>
  <w:style w:type="character" w:customStyle="1" w:styleId="CommentTextChar">
    <w:name w:val="Comment Text Char"/>
    <w:basedOn w:val="DefaultParagraphFont"/>
    <w:link w:val="CommentText"/>
    <w:uiPriority w:val="99"/>
    <w:semiHidden/>
    <w:rsid w:val="00DD1F83"/>
    <w:rPr>
      <w:sz w:val="20"/>
      <w:szCs w:val="20"/>
    </w:rPr>
  </w:style>
  <w:style w:type="paragraph" w:styleId="CommentSubject">
    <w:name w:val="annotation subject"/>
    <w:basedOn w:val="CommentText"/>
    <w:next w:val="CommentText"/>
    <w:link w:val="CommentSubjectChar"/>
    <w:uiPriority w:val="99"/>
    <w:semiHidden/>
    <w:unhideWhenUsed/>
    <w:rsid w:val="00DD1F83"/>
    <w:rPr>
      <w:b/>
      <w:bCs/>
    </w:rPr>
  </w:style>
  <w:style w:type="character" w:customStyle="1" w:styleId="CommentSubjectChar">
    <w:name w:val="Comment Subject Char"/>
    <w:basedOn w:val="CommentTextChar"/>
    <w:link w:val="CommentSubject"/>
    <w:uiPriority w:val="99"/>
    <w:semiHidden/>
    <w:rsid w:val="00DD1F83"/>
    <w:rPr>
      <w:b/>
      <w:bCs/>
      <w:sz w:val="20"/>
      <w:szCs w:val="20"/>
    </w:rPr>
  </w:style>
  <w:style w:type="paragraph" w:styleId="BalloonText">
    <w:name w:val="Balloon Text"/>
    <w:basedOn w:val="Normal"/>
    <w:link w:val="BalloonTextChar"/>
    <w:uiPriority w:val="99"/>
    <w:semiHidden/>
    <w:unhideWhenUsed/>
    <w:rsid w:val="00DD1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83"/>
    <w:rPr>
      <w:rFonts w:ascii="Tahoma" w:hAnsi="Tahoma" w:cs="Tahoma"/>
      <w:sz w:val="16"/>
      <w:szCs w:val="16"/>
    </w:rPr>
  </w:style>
  <w:style w:type="character" w:customStyle="1" w:styleId="Heading4Char">
    <w:name w:val="Heading 4 Char"/>
    <w:basedOn w:val="DefaultParagraphFont"/>
    <w:link w:val="Heading4"/>
    <w:rsid w:val="009E709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A1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E73"/>
  </w:style>
  <w:style w:type="paragraph" w:styleId="Footer">
    <w:name w:val="footer"/>
    <w:basedOn w:val="Normal"/>
    <w:link w:val="FooterChar"/>
    <w:uiPriority w:val="99"/>
    <w:unhideWhenUsed/>
    <w:rsid w:val="006A1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E73"/>
  </w:style>
  <w:style w:type="paragraph" w:styleId="ListParagraph">
    <w:name w:val="List Paragraph"/>
    <w:basedOn w:val="Normal"/>
    <w:uiPriority w:val="34"/>
    <w:qFormat/>
    <w:rsid w:val="00A46D3B"/>
    <w:pPr>
      <w:ind w:left="720"/>
      <w:contextualSpacing/>
    </w:pPr>
  </w:style>
  <w:style w:type="paragraph" w:styleId="BodyTextIndent">
    <w:name w:val="Body Text Indent"/>
    <w:basedOn w:val="Normal"/>
    <w:link w:val="BodyTextIndentChar"/>
    <w:rsid w:val="00CB0D85"/>
    <w:pPr>
      <w:spacing w:before="240" w:after="0" w:line="480" w:lineRule="auto"/>
      <w:ind w:firstLine="72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CB0D85"/>
    <w:rPr>
      <w:rFonts w:ascii="Arial" w:eastAsia="Times New Roman" w:hAnsi="Arial" w:cs="Times New Roman"/>
      <w:sz w:val="24"/>
      <w:szCs w:val="24"/>
    </w:rPr>
  </w:style>
  <w:style w:type="character" w:styleId="Hyperlink">
    <w:name w:val="Hyperlink"/>
    <w:basedOn w:val="DefaultParagraphFont"/>
    <w:uiPriority w:val="99"/>
    <w:unhideWhenUsed/>
    <w:rsid w:val="00CB0D85"/>
    <w:rPr>
      <w:color w:val="0000FF" w:themeColor="hyperlink"/>
      <w:u w:val="single"/>
    </w:rPr>
  </w:style>
  <w:style w:type="table" w:styleId="TableGrid">
    <w:name w:val="Table Grid"/>
    <w:basedOn w:val="TableNormal"/>
    <w:uiPriority w:val="59"/>
    <w:rsid w:val="00974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542159">
      <w:bodyDiv w:val="1"/>
      <w:marLeft w:val="0"/>
      <w:marRight w:val="0"/>
      <w:marTop w:val="0"/>
      <w:marBottom w:val="0"/>
      <w:divBdr>
        <w:top w:val="none" w:sz="0" w:space="0" w:color="auto"/>
        <w:left w:val="none" w:sz="0" w:space="0" w:color="auto"/>
        <w:bottom w:val="none" w:sz="0" w:space="0" w:color="auto"/>
        <w:right w:val="none" w:sz="0" w:space="0" w:color="auto"/>
      </w:divBdr>
    </w:div>
    <w:div w:id="2031490775">
      <w:bodyDiv w:val="1"/>
      <w:marLeft w:val="0"/>
      <w:marRight w:val="0"/>
      <w:marTop w:val="0"/>
      <w:marBottom w:val="0"/>
      <w:divBdr>
        <w:top w:val="none" w:sz="0" w:space="0" w:color="auto"/>
        <w:left w:val="none" w:sz="0" w:space="0" w:color="auto"/>
        <w:bottom w:val="none" w:sz="0" w:space="0" w:color="auto"/>
        <w:right w:val="none" w:sz="0" w:space="0" w:color="auto"/>
      </w:divBdr>
    </w:div>
    <w:div w:id="21458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tfinder2.censu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q.cde.ca.gov/dataquest/dataquest.asp" TargetMode="External"/><Relationship Id="rId5" Type="http://schemas.openxmlformats.org/officeDocument/2006/relationships/webSettings" Target="webSettings.xml"/><Relationship Id="rId15" Type="http://schemas.openxmlformats.org/officeDocument/2006/relationships/hyperlink" Target="http://nces.ed.gov/programs/digest/2011menu_tables.asp" TargetMode="External"/><Relationship Id="rId10" Type="http://schemas.openxmlformats.org/officeDocument/2006/relationships/hyperlink" Target="http://www.cceflink.org/staffing_survey.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2A7C0-1B32-4283-92AE-16A00773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7519</Words>
  <Characters>42862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50281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Elsa</cp:lastModifiedBy>
  <cp:revision>2</cp:revision>
  <cp:lastPrinted>2014-04-15T04:27:00Z</cp:lastPrinted>
  <dcterms:created xsi:type="dcterms:W3CDTF">2014-04-18T12:33:00Z</dcterms:created>
  <dcterms:modified xsi:type="dcterms:W3CDTF">2014-04-18T12:33:00Z</dcterms:modified>
</cp:coreProperties>
</file>