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795B1" w14:textId="01FAE972" w:rsidR="00DC3256" w:rsidRPr="00596D5A" w:rsidRDefault="00596D5A" w:rsidP="00596D5A">
      <w:pPr>
        <w:outlineLvl w:val="0"/>
        <w:rPr>
          <w:b/>
          <w:sz w:val="28"/>
          <w:szCs w:val="28"/>
        </w:rPr>
      </w:pPr>
      <w:r w:rsidRPr="00596D5A">
        <w:rPr>
          <w:b/>
          <w:sz w:val="28"/>
          <w:szCs w:val="28"/>
        </w:rPr>
        <w:t>Comparing and Contrasting International Quota Share Policies</w:t>
      </w:r>
    </w:p>
    <w:p w14:paraId="049C8F6D" w14:textId="77777777" w:rsidR="00596D5A" w:rsidRPr="00596D5A" w:rsidRDefault="00560D79" w:rsidP="00596D5A">
      <w:pPr>
        <w:rPr>
          <w:sz w:val="28"/>
          <w:szCs w:val="28"/>
        </w:rPr>
      </w:pPr>
      <w:r w:rsidRPr="00596D5A">
        <w:rPr>
          <w:sz w:val="28"/>
          <w:szCs w:val="28"/>
        </w:rPr>
        <w:t>Author</w:t>
      </w:r>
      <w:r w:rsidR="0079673C" w:rsidRPr="00596D5A">
        <w:rPr>
          <w:sz w:val="28"/>
          <w:szCs w:val="28"/>
        </w:rPr>
        <w:t>: Kate Haapala</w:t>
      </w:r>
    </w:p>
    <w:p w14:paraId="42BA264A" w14:textId="05370AFD" w:rsidR="0079673C" w:rsidRPr="00596D5A" w:rsidRDefault="00FC3F5A" w:rsidP="00596D5A">
      <w:pPr>
        <w:rPr>
          <w:sz w:val="28"/>
          <w:szCs w:val="28"/>
        </w:rPr>
      </w:pPr>
      <w:r w:rsidRPr="00596D5A">
        <w:rPr>
          <w:sz w:val="28"/>
          <w:szCs w:val="28"/>
        </w:rPr>
        <w:t xml:space="preserve">February </w:t>
      </w:r>
      <w:r w:rsidR="00560D79" w:rsidRPr="00596D5A">
        <w:rPr>
          <w:sz w:val="28"/>
          <w:szCs w:val="28"/>
        </w:rPr>
        <w:t>201</w:t>
      </w:r>
      <w:r w:rsidR="00EF3739" w:rsidRPr="00596D5A">
        <w:rPr>
          <w:sz w:val="28"/>
          <w:szCs w:val="28"/>
        </w:rPr>
        <w:t>8</w:t>
      </w:r>
    </w:p>
    <w:p w14:paraId="6A3852DC" w14:textId="072A33F2" w:rsidR="00596D5A" w:rsidRPr="00596D5A" w:rsidRDefault="00596D5A" w:rsidP="00596D5A">
      <w:pPr>
        <w:rPr>
          <w:b/>
          <w:i/>
          <w:sz w:val="28"/>
          <w:szCs w:val="28"/>
        </w:rPr>
      </w:pPr>
      <w:r w:rsidRPr="00596D5A">
        <w:rPr>
          <w:b/>
          <w:i/>
          <w:color w:val="FF0000"/>
          <w:sz w:val="28"/>
          <w:szCs w:val="28"/>
        </w:rPr>
        <w:t>Please do no</w:t>
      </w:r>
      <w:r w:rsidRPr="00596D5A">
        <w:rPr>
          <w:b/>
          <w:i/>
          <w:color w:val="FF0000"/>
          <w:sz w:val="28"/>
          <w:szCs w:val="28"/>
        </w:rPr>
        <w:t>t cite without permission (contact</w:t>
      </w:r>
      <w:r w:rsidRPr="00596D5A">
        <w:rPr>
          <w:b/>
          <w:i/>
          <w:color w:val="FF0000"/>
          <w:sz w:val="28"/>
          <w:szCs w:val="28"/>
        </w:rPr>
        <w:t xml:space="preserve"> </w:t>
      </w:r>
      <w:hyperlink r:id="rId8" w:history="1">
        <w:r w:rsidRPr="00596D5A">
          <w:rPr>
            <w:rStyle w:val="Hyperlink"/>
            <w:b/>
            <w:i/>
            <w:sz w:val="28"/>
            <w:szCs w:val="28"/>
          </w:rPr>
          <w:t>khaapala@purdue.edu</w:t>
        </w:r>
      </w:hyperlink>
      <w:r w:rsidRPr="00596D5A">
        <w:rPr>
          <w:b/>
          <w:i/>
          <w:color w:val="FF0000"/>
          <w:sz w:val="28"/>
          <w:szCs w:val="28"/>
        </w:rPr>
        <w:t>)</w:t>
      </w:r>
      <w:r w:rsidRPr="00596D5A">
        <w:rPr>
          <w:b/>
          <w:i/>
          <w:color w:val="FF0000"/>
          <w:sz w:val="28"/>
          <w:szCs w:val="28"/>
        </w:rPr>
        <w:t xml:space="preserve"> </w:t>
      </w:r>
    </w:p>
    <w:p w14:paraId="7A5BC816" w14:textId="77777777" w:rsidR="0079673C" w:rsidRPr="00596D5A" w:rsidRDefault="0079673C">
      <w:pPr>
        <w:rPr>
          <w:sz w:val="28"/>
          <w:szCs w:val="28"/>
        </w:rPr>
      </w:pPr>
    </w:p>
    <w:p w14:paraId="3FA147BB" w14:textId="3D6797EE" w:rsidR="005F6F09" w:rsidRPr="008C60C2" w:rsidRDefault="00564986">
      <w:r w:rsidRPr="00485C94">
        <w:rPr>
          <w:b/>
        </w:rPr>
        <w:t>Abstract</w:t>
      </w:r>
      <w:r w:rsidR="00DC3256" w:rsidRPr="00485C94">
        <w:rPr>
          <w:b/>
        </w:rPr>
        <w:t>:</w:t>
      </w:r>
      <w:r w:rsidR="00DC3256" w:rsidRPr="00485C94">
        <w:t xml:space="preserve"> </w:t>
      </w:r>
      <w:r w:rsidR="00596D5A" w:rsidRPr="00485C94">
        <w:t xml:space="preserve">Individual fishing quotas are commonly used market-based management tools for commercial fisheries that act like an individual property right by providing their holder the right to harvest a portion of the total allowable catch. These policies generate polarizing debate where their advocates see them as a mechanism to improve industry efficiency and control biological stock levels, and their critics draw attention to the negative socioeconomic and cultural impacts on local fishing communities produced by fishing quotas. </w:t>
      </w:r>
      <w:r w:rsidR="00596D5A">
        <w:t>However, w</w:t>
      </w:r>
      <w:r w:rsidR="00596D5A" w:rsidRPr="00485C94">
        <w:t xml:space="preserve">hen individual quota programs </w:t>
      </w:r>
      <w:r w:rsidR="00596D5A">
        <w:t xml:space="preserve">are broadly treated </w:t>
      </w:r>
      <w:r w:rsidR="00596D5A" w:rsidRPr="00485C94">
        <w:t>as the commodification of nature, important variations in the design features of these policies</w:t>
      </w:r>
      <w:r w:rsidR="00596D5A">
        <w:t xml:space="preserve"> can be missed</w:t>
      </w:r>
      <w:r w:rsidR="00596D5A" w:rsidRPr="00485C94">
        <w:t>. Th</w:t>
      </w:r>
      <w:r w:rsidR="00596D5A">
        <w:t xml:space="preserve">is paper </w:t>
      </w:r>
      <w:r w:rsidR="00596D5A" w:rsidRPr="00485C94">
        <w:t>evaluate</w:t>
      </w:r>
      <w:r w:rsidR="00596D5A">
        <w:t>s</w:t>
      </w:r>
      <w:r w:rsidR="00596D5A" w:rsidRPr="00485C94">
        <w:t xml:space="preserve"> four leading global examples of fishing quota </w:t>
      </w:r>
      <w:r w:rsidR="00596D5A" w:rsidRPr="008C60C2">
        <w:t>policies in New Zealand, Iceland, British Columbia, and Alaska to review their similarity to the “ideal” economic model of creating a new commodity in fishing quotas against the extent to which these policies incorporate provisions that explicitly work to protect local communities and operations.</w:t>
      </w:r>
      <w:r w:rsidR="00596D5A" w:rsidRPr="008C60C2" w:rsidDel="00DC06F7">
        <w:t xml:space="preserve"> </w:t>
      </w:r>
      <w:r w:rsidR="00596D5A" w:rsidRPr="008C60C2">
        <w:t>I</w:t>
      </w:r>
      <w:r w:rsidR="00596D5A">
        <w:t>t</w:t>
      </w:r>
      <w:r w:rsidR="00596D5A" w:rsidRPr="008C60C2">
        <w:t xml:space="preserve"> find</w:t>
      </w:r>
      <w:r w:rsidR="00596D5A">
        <w:t>s</w:t>
      </w:r>
      <w:r w:rsidR="00596D5A" w:rsidRPr="008C60C2">
        <w:t xml:space="preserve"> that while some programs come close to </w:t>
      </w:r>
      <w:r w:rsidR="00596D5A">
        <w:t>the economic model</w:t>
      </w:r>
      <w:r w:rsidR="00596D5A" w:rsidRPr="008C60C2">
        <w:t xml:space="preserve"> for what a market</w:t>
      </w:r>
      <w:r w:rsidR="00596D5A">
        <w:t>-</w:t>
      </w:r>
      <w:r w:rsidR="00596D5A" w:rsidRPr="008C60C2">
        <w:t>based program should look like, other programs including British Columbia—but especially Alaska’s 1995 halibut and sablefish individual quota program—strongly deviate from the ideal economic model for fisheries governance</w:t>
      </w:r>
      <w:r w:rsidR="00596D5A">
        <w:t xml:space="preserve"> due to the policy’s inclusion of </w:t>
      </w:r>
      <w:r w:rsidR="00596D5A" w:rsidRPr="008C60C2">
        <w:t>distinctive provisions designed to protect the sociocultural nature of the commercial fishing fleet that warrant greater attention and research.</w:t>
      </w:r>
    </w:p>
    <w:p w14:paraId="159779BF" w14:textId="77777777" w:rsidR="0079673C" w:rsidRPr="008C60C2" w:rsidRDefault="0079673C"/>
    <w:p w14:paraId="2E0042B1" w14:textId="58E1561C" w:rsidR="00070D89" w:rsidRPr="008C60C2" w:rsidRDefault="00070D89">
      <w:r w:rsidRPr="008C60C2">
        <w:rPr>
          <w:b/>
        </w:rPr>
        <w:t>Key words</w:t>
      </w:r>
      <w:r w:rsidR="00EC25DC" w:rsidRPr="008C60C2">
        <w:t>: I</w:t>
      </w:r>
      <w:r w:rsidR="005A24D8" w:rsidRPr="008C60C2">
        <w:t xml:space="preserve">ndividual </w:t>
      </w:r>
      <w:r w:rsidRPr="008C60C2">
        <w:t xml:space="preserve">fishing quotas, </w:t>
      </w:r>
      <w:r w:rsidR="0068720D" w:rsidRPr="008C60C2">
        <w:t xml:space="preserve">marine </w:t>
      </w:r>
      <w:r w:rsidR="0019263D" w:rsidRPr="008C60C2">
        <w:t>governance</w:t>
      </w:r>
      <w:r w:rsidR="005A24D8" w:rsidRPr="008C60C2">
        <w:t xml:space="preserve">, </w:t>
      </w:r>
      <w:r w:rsidR="0068720D" w:rsidRPr="008C60C2">
        <w:t>market-based policies</w:t>
      </w:r>
    </w:p>
    <w:p w14:paraId="4E8D1806" w14:textId="77777777" w:rsidR="004F149C" w:rsidRPr="008C60C2" w:rsidRDefault="004F149C"/>
    <w:p w14:paraId="635933D5" w14:textId="77777777" w:rsidR="00EC25DC" w:rsidRPr="008C60C2" w:rsidRDefault="00EC25DC"/>
    <w:p w14:paraId="70265728" w14:textId="77777777" w:rsidR="00EC25DC" w:rsidRPr="008C60C2" w:rsidRDefault="00EC25DC"/>
    <w:p w14:paraId="09EA7F23" w14:textId="77777777" w:rsidR="00EC25DC" w:rsidRPr="008C60C2" w:rsidRDefault="00EC25DC"/>
    <w:p w14:paraId="041C20E2" w14:textId="77777777" w:rsidR="00EC25DC" w:rsidRPr="008C60C2" w:rsidRDefault="00EC25DC"/>
    <w:p w14:paraId="4626364C" w14:textId="77777777" w:rsidR="00EC25DC" w:rsidRPr="008C60C2" w:rsidRDefault="00EC25DC"/>
    <w:p w14:paraId="42FDE44A" w14:textId="77777777" w:rsidR="00EC25DC" w:rsidRPr="008C60C2" w:rsidRDefault="00EC25DC"/>
    <w:p w14:paraId="212BCD31" w14:textId="77777777" w:rsidR="00EC25DC" w:rsidRPr="008C60C2" w:rsidRDefault="00EC25DC"/>
    <w:p w14:paraId="286B9044" w14:textId="77777777" w:rsidR="00EC25DC" w:rsidRPr="008C60C2" w:rsidRDefault="00EC25DC"/>
    <w:p w14:paraId="418A54C6" w14:textId="77777777" w:rsidR="00EC25DC" w:rsidRPr="008C60C2" w:rsidRDefault="00EC25DC"/>
    <w:p w14:paraId="72E30220" w14:textId="77777777" w:rsidR="00EC25DC" w:rsidRPr="008C60C2" w:rsidRDefault="00EC25DC"/>
    <w:p w14:paraId="09D5696F" w14:textId="77777777" w:rsidR="00EC25DC" w:rsidRPr="008C60C2" w:rsidRDefault="00EC25DC"/>
    <w:p w14:paraId="5B3A78B3" w14:textId="77777777" w:rsidR="00EC25DC" w:rsidRPr="008C60C2" w:rsidRDefault="00EC25DC"/>
    <w:p w14:paraId="57A15D9D" w14:textId="77777777" w:rsidR="0079673C" w:rsidRPr="008C60C2" w:rsidRDefault="0079673C"/>
    <w:p w14:paraId="64913D5B" w14:textId="77777777" w:rsidR="0079673C" w:rsidRPr="008C60C2" w:rsidRDefault="0079673C"/>
    <w:p w14:paraId="2FEF599B" w14:textId="77777777" w:rsidR="00CE2A61" w:rsidRPr="008C60C2" w:rsidRDefault="00CE2A61"/>
    <w:p w14:paraId="3A6C65BC" w14:textId="77777777" w:rsidR="00583088" w:rsidRPr="008C60C2" w:rsidRDefault="00583088"/>
    <w:p w14:paraId="6B87C1A0" w14:textId="77777777" w:rsidR="00583088" w:rsidRPr="008C60C2" w:rsidRDefault="00583088"/>
    <w:p w14:paraId="0C4D5EA9" w14:textId="77777777" w:rsidR="00CE2A61" w:rsidRPr="008C60C2" w:rsidRDefault="00CE2A61"/>
    <w:p w14:paraId="6356EAB7" w14:textId="77777777" w:rsidR="00AC580B" w:rsidRPr="008C60C2" w:rsidRDefault="00AC580B"/>
    <w:p w14:paraId="3A586CC7" w14:textId="77777777" w:rsidR="002E2E99" w:rsidRPr="008C60C2" w:rsidRDefault="002E2E99"/>
    <w:p w14:paraId="4939F842" w14:textId="77777777" w:rsidR="00A762A0" w:rsidRPr="008C60C2" w:rsidRDefault="00A762A0"/>
    <w:tbl>
      <w:tblPr>
        <w:tblStyle w:val="TableGrid"/>
        <w:tblW w:w="0" w:type="auto"/>
        <w:tblLook w:val="04A0" w:firstRow="1" w:lastRow="0" w:firstColumn="1" w:lastColumn="0" w:noHBand="0" w:noVBand="1"/>
      </w:tblPr>
      <w:tblGrid>
        <w:gridCol w:w="2673"/>
        <w:gridCol w:w="6677"/>
      </w:tblGrid>
      <w:tr w:rsidR="0031070D" w:rsidRPr="002261A6" w14:paraId="6F0CAB7E" w14:textId="77777777" w:rsidTr="0031070D">
        <w:trPr>
          <w:trHeight w:val="320"/>
        </w:trPr>
        <w:tc>
          <w:tcPr>
            <w:tcW w:w="9480" w:type="dxa"/>
            <w:gridSpan w:val="2"/>
            <w:noWrap/>
            <w:hideMark/>
          </w:tcPr>
          <w:p w14:paraId="1BE9AFDE" w14:textId="0B93C986" w:rsidR="0031070D" w:rsidRPr="008C60C2" w:rsidRDefault="0031070D">
            <w:pPr>
              <w:rPr>
                <w:b/>
                <w:bCs/>
              </w:rPr>
            </w:pPr>
            <w:r w:rsidRPr="008C60C2">
              <w:rPr>
                <w:b/>
                <w:bCs/>
              </w:rPr>
              <w:lastRenderedPageBreak/>
              <w:t>Table 1: List of Abbreviations</w:t>
            </w:r>
          </w:p>
        </w:tc>
      </w:tr>
      <w:tr w:rsidR="00782796" w:rsidRPr="002261A6" w14:paraId="45C9F254" w14:textId="77777777" w:rsidTr="0031070D">
        <w:trPr>
          <w:trHeight w:val="320"/>
        </w:trPr>
        <w:tc>
          <w:tcPr>
            <w:tcW w:w="2709" w:type="dxa"/>
            <w:noWrap/>
          </w:tcPr>
          <w:p w14:paraId="62BD251D" w14:textId="6F625BED" w:rsidR="00782796" w:rsidRPr="008C60C2" w:rsidRDefault="00782796">
            <w:r w:rsidRPr="008C60C2">
              <w:t>BSAI</w:t>
            </w:r>
          </w:p>
        </w:tc>
        <w:tc>
          <w:tcPr>
            <w:tcW w:w="6771" w:type="dxa"/>
            <w:noWrap/>
          </w:tcPr>
          <w:p w14:paraId="0D45B1FD" w14:textId="2B6D8404" w:rsidR="00782796" w:rsidRPr="008C60C2" w:rsidRDefault="00782796">
            <w:r w:rsidRPr="008C60C2">
              <w:t>Bering Sea Aleutian Islands Region</w:t>
            </w:r>
          </w:p>
        </w:tc>
      </w:tr>
      <w:tr w:rsidR="00893723" w:rsidRPr="002261A6" w14:paraId="68FE6533" w14:textId="77777777" w:rsidTr="0031070D">
        <w:trPr>
          <w:trHeight w:val="320"/>
        </w:trPr>
        <w:tc>
          <w:tcPr>
            <w:tcW w:w="2709" w:type="dxa"/>
            <w:noWrap/>
          </w:tcPr>
          <w:p w14:paraId="7684F518" w14:textId="027D5176" w:rsidR="00893723" w:rsidRPr="008C60C2" w:rsidRDefault="00893723">
            <w:r w:rsidRPr="008C60C2">
              <w:t>CDQ</w:t>
            </w:r>
          </w:p>
        </w:tc>
        <w:tc>
          <w:tcPr>
            <w:tcW w:w="6771" w:type="dxa"/>
            <w:noWrap/>
          </w:tcPr>
          <w:p w14:paraId="65BB998B" w14:textId="3392BA61" w:rsidR="00893723" w:rsidRPr="008C60C2" w:rsidRDefault="00893723">
            <w:r w:rsidRPr="008C60C2">
              <w:t xml:space="preserve">Community Development Quota Program </w:t>
            </w:r>
          </w:p>
        </w:tc>
      </w:tr>
      <w:tr w:rsidR="00782796" w:rsidRPr="002261A6" w14:paraId="038C7C9F" w14:textId="77777777" w:rsidTr="0031070D">
        <w:trPr>
          <w:trHeight w:val="320"/>
        </w:trPr>
        <w:tc>
          <w:tcPr>
            <w:tcW w:w="2709" w:type="dxa"/>
            <w:noWrap/>
          </w:tcPr>
          <w:p w14:paraId="27BECDB9" w14:textId="236E5D1B" w:rsidR="00782796" w:rsidRPr="008C60C2" w:rsidRDefault="00782796">
            <w:r w:rsidRPr="008C60C2">
              <w:t xml:space="preserve">CQP </w:t>
            </w:r>
          </w:p>
        </w:tc>
        <w:tc>
          <w:tcPr>
            <w:tcW w:w="6771" w:type="dxa"/>
            <w:noWrap/>
          </w:tcPr>
          <w:p w14:paraId="5DE70A8C" w14:textId="5BF68B81" w:rsidR="00782796" w:rsidRPr="008C60C2" w:rsidRDefault="00782796">
            <w:r w:rsidRPr="008C60C2">
              <w:t xml:space="preserve">Community Quota Program </w:t>
            </w:r>
          </w:p>
        </w:tc>
      </w:tr>
      <w:tr w:rsidR="0031070D" w:rsidRPr="002261A6" w14:paraId="0A4A0A91" w14:textId="77777777" w:rsidTr="0031070D">
        <w:trPr>
          <w:trHeight w:val="320"/>
        </w:trPr>
        <w:tc>
          <w:tcPr>
            <w:tcW w:w="2709" w:type="dxa"/>
            <w:noWrap/>
            <w:hideMark/>
          </w:tcPr>
          <w:p w14:paraId="541BE46D" w14:textId="77777777" w:rsidR="0031070D" w:rsidRPr="008C60C2" w:rsidRDefault="0031070D">
            <w:r w:rsidRPr="008C60C2">
              <w:t>EEZ</w:t>
            </w:r>
          </w:p>
        </w:tc>
        <w:tc>
          <w:tcPr>
            <w:tcW w:w="6771" w:type="dxa"/>
            <w:noWrap/>
            <w:hideMark/>
          </w:tcPr>
          <w:p w14:paraId="4D1719EA" w14:textId="77777777" w:rsidR="0031070D" w:rsidRPr="008C60C2" w:rsidRDefault="0031070D">
            <w:r w:rsidRPr="008C60C2">
              <w:t>Exclusive Economic Zone</w:t>
            </w:r>
          </w:p>
        </w:tc>
      </w:tr>
      <w:tr w:rsidR="0031070D" w:rsidRPr="002261A6" w14:paraId="3CFC8FD6" w14:textId="77777777" w:rsidTr="0031070D">
        <w:trPr>
          <w:trHeight w:val="320"/>
        </w:trPr>
        <w:tc>
          <w:tcPr>
            <w:tcW w:w="2709" w:type="dxa"/>
            <w:noWrap/>
            <w:hideMark/>
          </w:tcPr>
          <w:p w14:paraId="55840702" w14:textId="77777777" w:rsidR="0031070D" w:rsidRPr="008C60C2" w:rsidRDefault="0031070D">
            <w:r w:rsidRPr="008C60C2">
              <w:t>FEIS</w:t>
            </w:r>
          </w:p>
        </w:tc>
        <w:tc>
          <w:tcPr>
            <w:tcW w:w="6771" w:type="dxa"/>
            <w:noWrap/>
            <w:hideMark/>
          </w:tcPr>
          <w:p w14:paraId="450DC99E" w14:textId="77777777" w:rsidR="0031070D" w:rsidRPr="008C60C2" w:rsidRDefault="0031070D">
            <w:r w:rsidRPr="008C60C2">
              <w:t xml:space="preserve">Final Supplemental Environmental Impact Statement </w:t>
            </w:r>
          </w:p>
        </w:tc>
      </w:tr>
      <w:tr w:rsidR="00D70BBE" w:rsidRPr="002261A6" w14:paraId="05BB68F0" w14:textId="77777777" w:rsidTr="0031070D">
        <w:trPr>
          <w:trHeight w:val="320"/>
        </w:trPr>
        <w:tc>
          <w:tcPr>
            <w:tcW w:w="2709" w:type="dxa"/>
            <w:noWrap/>
          </w:tcPr>
          <w:p w14:paraId="013A1EC6" w14:textId="01B581EA" w:rsidR="00D70BBE" w:rsidRPr="008C60C2" w:rsidRDefault="00D70BBE">
            <w:r w:rsidRPr="008C60C2">
              <w:t>FMP</w:t>
            </w:r>
          </w:p>
        </w:tc>
        <w:tc>
          <w:tcPr>
            <w:tcW w:w="6771" w:type="dxa"/>
            <w:noWrap/>
          </w:tcPr>
          <w:p w14:paraId="2DBB4E66" w14:textId="2B45AB1D" w:rsidR="00D70BBE" w:rsidRPr="008C60C2" w:rsidRDefault="00D70BBE">
            <w:r w:rsidRPr="008C60C2">
              <w:t>Fisheries Management Plan</w:t>
            </w:r>
          </w:p>
        </w:tc>
      </w:tr>
      <w:tr w:rsidR="0031070D" w:rsidRPr="002261A6" w14:paraId="6541AA86" w14:textId="77777777" w:rsidTr="0031070D">
        <w:trPr>
          <w:trHeight w:val="320"/>
        </w:trPr>
        <w:tc>
          <w:tcPr>
            <w:tcW w:w="2709" w:type="dxa"/>
            <w:noWrap/>
            <w:hideMark/>
          </w:tcPr>
          <w:p w14:paraId="4026CBA0" w14:textId="77777777" w:rsidR="0031070D" w:rsidRPr="008C60C2" w:rsidRDefault="0031070D">
            <w:r w:rsidRPr="008C60C2">
              <w:t>GRT</w:t>
            </w:r>
          </w:p>
        </w:tc>
        <w:tc>
          <w:tcPr>
            <w:tcW w:w="6771" w:type="dxa"/>
            <w:noWrap/>
            <w:hideMark/>
          </w:tcPr>
          <w:p w14:paraId="2B5E8C86" w14:textId="77777777" w:rsidR="0031070D" w:rsidRPr="008C60C2" w:rsidRDefault="0031070D">
            <w:r w:rsidRPr="008C60C2">
              <w:t>Gross Registered Tons</w:t>
            </w:r>
          </w:p>
        </w:tc>
      </w:tr>
      <w:tr w:rsidR="0031070D" w:rsidRPr="002261A6" w14:paraId="5E03519D" w14:textId="77777777" w:rsidTr="0031070D">
        <w:trPr>
          <w:trHeight w:val="320"/>
        </w:trPr>
        <w:tc>
          <w:tcPr>
            <w:tcW w:w="2709" w:type="dxa"/>
            <w:noWrap/>
            <w:hideMark/>
          </w:tcPr>
          <w:p w14:paraId="2337B936" w14:textId="77777777" w:rsidR="0031070D" w:rsidRPr="008C60C2" w:rsidRDefault="0031070D">
            <w:r w:rsidRPr="008C60C2">
              <w:t>IFQ</w:t>
            </w:r>
          </w:p>
        </w:tc>
        <w:tc>
          <w:tcPr>
            <w:tcW w:w="6771" w:type="dxa"/>
            <w:noWrap/>
            <w:hideMark/>
          </w:tcPr>
          <w:p w14:paraId="2BC920FD" w14:textId="77777777" w:rsidR="0031070D" w:rsidRPr="008C60C2" w:rsidRDefault="0031070D">
            <w:r w:rsidRPr="008C60C2">
              <w:t xml:space="preserve">Individual Fishing Quotas </w:t>
            </w:r>
          </w:p>
        </w:tc>
      </w:tr>
      <w:tr w:rsidR="0031070D" w:rsidRPr="002261A6" w14:paraId="6B485D47" w14:textId="77777777" w:rsidTr="0031070D">
        <w:trPr>
          <w:trHeight w:val="320"/>
        </w:trPr>
        <w:tc>
          <w:tcPr>
            <w:tcW w:w="2709" w:type="dxa"/>
            <w:noWrap/>
            <w:hideMark/>
          </w:tcPr>
          <w:p w14:paraId="405EEDB8" w14:textId="77777777" w:rsidR="0031070D" w:rsidRPr="008C60C2" w:rsidRDefault="0031070D">
            <w:r w:rsidRPr="008C60C2">
              <w:t>IPHC</w:t>
            </w:r>
          </w:p>
        </w:tc>
        <w:tc>
          <w:tcPr>
            <w:tcW w:w="6771" w:type="dxa"/>
            <w:noWrap/>
            <w:hideMark/>
          </w:tcPr>
          <w:p w14:paraId="14D28516" w14:textId="4A930A97" w:rsidR="0031070D" w:rsidRPr="008C60C2" w:rsidRDefault="0031070D" w:rsidP="001A04EE">
            <w:r w:rsidRPr="008C60C2">
              <w:t xml:space="preserve">International Pacific Halibut </w:t>
            </w:r>
            <w:r w:rsidR="001A04EE" w:rsidRPr="008C60C2">
              <w:t>Co</w:t>
            </w:r>
            <w:r w:rsidR="001A04EE">
              <w:t>mmission</w:t>
            </w:r>
          </w:p>
        </w:tc>
      </w:tr>
      <w:tr w:rsidR="0031070D" w:rsidRPr="002261A6" w14:paraId="1459007E" w14:textId="77777777" w:rsidTr="0031070D">
        <w:trPr>
          <w:trHeight w:val="320"/>
        </w:trPr>
        <w:tc>
          <w:tcPr>
            <w:tcW w:w="2709" w:type="dxa"/>
            <w:noWrap/>
            <w:hideMark/>
          </w:tcPr>
          <w:p w14:paraId="522F6726" w14:textId="77777777" w:rsidR="0031070D" w:rsidRPr="008C60C2" w:rsidRDefault="0031070D">
            <w:r w:rsidRPr="008C60C2">
              <w:t>ITQ</w:t>
            </w:r>
          </w:p>
        </w:tc>
        <w:tc>
          <w:tcPr>
            <w:tcW w:w="6771" w:type="dxa"/>
            <w:noWrap/>
            <w:hideMark/>
          </w:tcPr>
          <w:p w14:paraId="7F950E78" w14:textId="77777777" w:rsidR="0031070D" w:rsidRPr="008C60C2" w:rsidRDefault="0031070D">
            <w:r w:rsidRPr="008C60C2">
              <w:t>Iceland's Individual Transferable Quota System</w:t>
            </w:r>
          </w:p>
        </w:tc>
      </w:tr>
      <w:tr w:rsidR="0031070D" w:rsidRPr="002261A6" w14:paraId="131995C0" w14:textId="77777777" w:rsidTr="0031070D">
        <w:trPr>
          <w:trHeight w:val="320"/>
        </w:trPr>
        <w:tc>
          <w:tcPr>
            <w:tcW w:w="2709" w:type="dxa"/>
            <w:noWrap/>
            <w:hideMark/>
          </w:tcPr>
          <w:p w14:paraId="35748EA8" w14:textId="77777777" w:rsidR="0031070D" w:rsidRPr="008C60C2" w:rsidRDefault="0031070D">
            <w:r w:rsidRPr="008C60C2">
              <w:t>IVQ</w:t>
            </w:r>
          </w:p>
        </w:tc>
        <w:tc>
          <w:tcPr>
            <w:tcW w:w="6771" w:type="dxa"/>
            <w:noWrap/>
            <w:hideMark/>
          </w:tcPr>
          <w:p w14:paraId="5391954D" w14:textId="77777777" w:rsidR="0031070D" w:rsidRPr="008C60C2" w:rsidRDefault="0031070D">
            <w:r w:rsidRPr="008C60C2">
              <w:t>British Columbia's Individual Vessel Quota System</w:t>
            </w:r>
          </w:p>
        </w:tc>
      </w:tr>
      <w:tr w:rsidR="0031070D" w:rsidRPr="002261A6" w14:paraId="463E217D" w14:textId="77777777" w:rsidTr="0031070D">
        <w:trPr>
          <w:trHeight w:val="320"/>
        </w:trPr>
        <w:tc>
          <w:tcPr>
            <w:tcW w:w="2709" w:type="dxa"/>
            <w:noWrap/>
            <w:hideMark/>
          </w:tcPr>
          <w:p w14:paraId="57929401" w14:textId="0C3849A8" w:rsidR="0031070D" w:rsidRPr="008C60C2" w:rsidRDefault="0031070D">
            <w:r w:rsidRPr="008C60C2">
              <w:t>Magnus</w:t>
            </w:r>
            <w:r w:rsidR="0018669F" w:rsidRPr="008C60C2">
              <w:t>o</w:t>
            </w:r>
            <w:r w:rsidRPr="008C60C2">
              <w:t>n-Stevens Act</w:t>
            </w:r>
          </w:p>
        </w:tc>
        <w:tc>
          <w:tcPr>
            <w:tcW w:w="6771" w:type="dxa"/>
            <w:noWrap/>
            <w:hideMark/>
          </w:tcPr>
          <w:p w14:paraId="2D44DF7A" w14:textId="77777777" w:rsidR="0031070D" w:rsidRPr="008C60C2" w:rsidRDefault="0031070D">
            <w:r w:rsidRPr="008C60C2">
              <w:t xml:space="preserve">Magnuson-Stevens Fishery Conservation and Management Act </w:t>
            </w:r>
          </w:p>
        </w:tc>
      </w:tr>
      <w:tr w:rsidR="0031070D" w:rsidRPr="002261A6" w14:paraId="2D9BA378" w14:textId="77777777" w:rsidTr="0031070D">
        <w:trPr>
          <w:trHeight w:val="320"/>
        </w:trPr>
        <w:tc>
          <w:tcPr>
            <w:tcW w:w="2709" w:type="dxa"/>
            <w:noWrap/>
            <w:hideMark/>
          </w:tcPr>
          <w:p w14:paraId="58978DE7" w14:textId="77777777" w:rsidR="0031070D" w:rsidRPr="008C60C2" w:rsidRDefault="0031070D">
            <w:r w:rsidRPr="008C60C2">
              <w:t>NMFS</w:t>
            </w:r>
          </w:p>
        </w:tc>
        <w:tc>
          <w:tcPr>
            <w:tcW w:w="6771" w:type="dxa"/>
            <w:noWrap/>
            <w:hideMark/>
          </w:tcPr>
          <w:p w14:paraId="492BBA6C" w14:textId="77777777" w:rsidR="0031070D" w:rsidRPr="008C60C2" w:rsidRDefault="0031070D">
            <w:r w:rsidRPr="008C60C2">
              <w:t xml:space="preserve">National Marine Fisheries Service </w:t>
            </w:r>
          </w:p>
        </w:tc>
      </w:tr>
      <w:tr w:rsidR="00DC692F" w:rsidRPr="002261A6" w14:paraId="10ED7E6A" w14:textId="77777777" w:rsidTr="0031070D">
        <w:trPr>
          <w:trHeight w:val="320"/>
        </w:trPr>
        <w:tc>
          <w:tcPr>
            <w:tcW w:w="2709" w:type="dxa"/>
            <w:noWrap/>
          </w:tcPr>
          <w:p w14:paraId="505E3F02" w14:textId="73776C1A" w:rsidR="00DC692F" w:rsidRPr="008C60C2" w:rsidRDefault="00DC692F">
            <w:r w:rsidRPr="008C60C2">
              <w:t>NOAA</w:t>
            </w:r>
          </w:p>
        </w:tc>
        <w:tc>
          <w:tcPr>
            <w:tcW w:w="6771" w:type="dxa"/>
            <w:noWrap/>
          </w:tcPr>
          <w:p w14:paraId="4AA401FF" w14:textId="477B1AD4" w:rsidR="00DC692F" w:rsidRPr="008C60C2" w:rsidRDefault="00DC692F">
            <w:r w:rsidRPr="008C60C2">
              <w:t xml:space="preserve">National Oceanic and Atmospheric Administration </w:t>
            </w:r>
          </w:p>
        </w:tc>
      </w:tr>
      <w:tr w:rsidR="0031070D" w:rsidRPr="002261A6" w14:paraId="716A31AE" w14:textId="77777777" w:rsidTr="0031070D">
        <w:trPr>
          <w:trHeight w:val="320"/>
        </w:trPr>
        <w:tc>
          <w:tcPr>
            <w:tcW w:w="2709" w:type="dxa"/>
            <w:noWrap/>
            <w:hideMark/>
          </w:tcPr>
          <w:p w14:paraId="46DAEB17" w14:textId="77777777" w:rsidR="0031070D" w:rsidRPr="008C60C2" w:rsidRDefault="0031070D">
            <w:r w:rsidRPr="008C60C2">
              <w:t>NPFMC</w:t>
            </w:r>
          </w:p>
        </w:tc>
        <w:tc>
          <w:tcPr>
            <w:tcW w:w="6771" w:type="dxa"/>
            <w:noWrap/>
            <w:hideMark/>
          </w:tcPr>
          <w:p w14:paraId="5779A98C" w14:textId="77777777" w:rsidR="0031070D" w:rsidRPr="008C60C2" w:rsidRDefault="0031070D">
            <w:r w:rsidRPr="008C60C2">
              <w:t>North Pacific Fisheries Management Council</w:t>
            </w:r>
          </w:p>
        </w:tc>
      </w:tr>
      <w:tr w:rsidR="0031070D" w:rsidRPr="002261A6" w14:paraId="1BFA8E46" w14:textId="77777777" w:rsidTr="0031070D">
        <w:trPr>
          <w:trHeight w:val="320"/>
        </w:trPr>
        <w:tc>
          <w:tcPr>
            <w:tcW w:w="2709" w:type="dxa"/>
            <w:noWrap/>
            <w:hideMark/>
          </w:tcPr>
          <w:p w14:paraId="1200C78A" w14:textId="77777777" w:rsidR="0031070D" w:rsidRPr="008C60C2" w:rsidRDefault="0031070D">
            <w:r w:rsidRPr="008C60C2">
              <w:t>OY</w:t>
            </w:r>
          </w:p>
        </w:tc>
        <w:tc>
          <w:tcPr>
            <w:tcW w:w="6771" w:type="dxa"/>
            <w:noWrap/>
            <w:hideMark/>
          </w:tcPr>
          <w:p w14:paraId="42F3BF31" w14:textId="0877F9D3" w:rsidR="0031070D" w:rsidRPr="008C60C2" w:rsidRDefault="0031070D">
            <w:r w:rsidRPr="008C60C2">
              <w:t xml:space="preserve">Optimal </w:t>
            </w:r>
            <w:r w:rsidR="001A3A21" w:rsidRPr="008C60C2">
              <w:t>Y</w:t>
            </w:r>
            <w:r w:rsidRPr="008C60C2">
              <w:t>ield</w:t>
            </w:r>
          </w:p>
        </w:tc>
      </w:tr>
      <w:tr w:rsidR="0031070D" w:rsidRPr="002261A6" w14:paraId="4107A192" w14:textId="77777777" w:rsidTr="0031070D">
        <w:trPr>
          <w:trHeight w:val="320"/>
        </w:trPr>
        <w:tc>
          <w:tcPr>
            <w:tcW w:w="2709" w:type="dxa"/>
            <w:noWrap/>
            <w:hideMark/>
          </w:tcPr>
          <w:p w14:paraId="7630D43D" w14:textId="77777777" w:rsidR="0031070D" w:rsidRPr="008C60C2" w:rsidRDefault="0031070D">
            <w:r w:rsidRPr="008C60C2">
              <w:t>QMS</w:t>
            </w:r>
          </w:p>
        </w:tc>
        <w:tc>
          <w:tcPr>
            <w:tcW w:w="6771" w:type="dxa"/>
            <w:noWrap/>
            <w:hideMark/>
          </w:tcPr>
          <w:p w14:paraId="4A4B2CEF" w14:textId="77777777" w:rsidR="0031070D" w:rsidRPr="008C60C2" w:rsidRDefault="0031070D">
            <w:r w:rsidRPr="008C60C2">
              <w:t>New Zealand's Quota Management System</w:t>
            </w:r>
          </w:p>
        </w:tc>
      </w:tr>
      <w:tr w:rsidR="0031070D" w:rsidRPr="002261A6" w14:paraId="0B60FF23" w14:textId="77777777" w:rsidTr="0031070D">
        <w:trPr>
          <w:trHeight w:val="320"/>
        </w:trPr>
        <w:tc>
          <w:tcPr>
            <w:tcW w:w="2709" w:type="dxa"/>
            <w:noWrap/>
            <w:hideMark/>
          </w:tcPr>
          <w:p w14:paraId="5CCE2239" w14:textId="77777777" w:rsidR="0031070D" w:rsidRPr="008C60C2" w:rsidRDefault="0031070D">
            <w:r w:rsidRPr="008C60C2">
              <w:t>TAC</w:t>
            </w:r>
          </w:p>
        </w:tc>
        <w:tc>
          <w:tcPr>
            <w:tcW w:w="6771" w:type="dxa"/>
            <w:noWrap/>
            <w:hideMark/>
          </w:tcPr>
          <w:p w14:paraId="6B03C9C8" w14:textId="77777777" w:rsidR="0031070D" w:rsidRPr="008C60C2" w:rsidRDefault="0031070D">
            <w:r w:rsidRPr="008C60C2">
              <w:t>Total Allowable Catch</w:t>
            </w:r>
          </w:p>
        </w:tc>
      </w:tr>
    </w:tbl>
    <w:p w14:paraId="60FBB802" w14:textId="77777777" w:rsidR="0031070D" w:rsidRPr="008C60C2" w:rsidRDefault="0031070D" w:rsidP="006F330A">
      <w:pPr>
        <w:rPr>
          <w:b/>
        </w:rPr>
      </w:pPr>
    </w:p>
    <w:p w14:paraId="7A7DBF7A" w14:textId="77777777" w:rsidR="0031070D" w:rsidRPr="008C60C2" w:rsidRDefault="0031070D" w:rsidP="006F330A">
      <w:pPr>
        <w:rPr>
          <w:b/>
        </w:rPr>
      </w:pPr>
    </w:p>
    <w:p w14:paraId="5D88094B" w14:textId="1B3BED99" w:rsidR="00D80698" w:rsidRPr="008C60C2" w:rsidRDefault="003F6B1D" w:rsidP="006F330A">
      <w:pPr>
        <w:rPr>
          <w:color w:val="1D1D1D"/>
        </w:rPr>
      </w:pPr>
      <w:r w:rsidRPr="008C60C2">
        <w:rPr>
          <w:b/>
        </w:rPr>
        <w:t xml:space="preserve">1.0 </w:t>
      </w:r>
      <w:r w:rsidR="00564986" w:rsidRPr="008C60C2">
        <w:rPr>
          <w:b/>
        </w:rPr>
        <w:t>Introduction</w:t>
      </w:r>
    </w:p>
    <w:p w14:paraId="3F71AC0A" w14:textId="77777777" w:rsidR="00892642" w:rsidRPr="008C60C2" w:rsidRDefault="00892642" w:rsidP="006F330A">
      <w:pPr>
        <w:ind w:firstLine="720"/>
        <w:rPr>
          <w:color w:val="1D1D1D"/>
        </w:rPr>
      </w:pPr>
    </w:p>
    <w:p w14:paraId="4D8BC814" w14:textId="060A20BF" w:rsidR="003716B1" w:rsidRPr="008C60C2" w:rsidRDefault="006E7269" w:rsidP="001A3A21">
      <w:pPr>
        <w:spacing w:line="480" w:lineRule="auto"/>
        <w:ind w:firstLine="720"/>
      </w:pPr>
      <w:r w:rsidRPr="008C60C2">
        <w:rPr>
          <w:color w:val="1D1D1D"/>
        </w:rPr>
        <w:t>International marine</w:t>
      </w:r>
      <w:r w:rsidR="00C32F6E" w:rsidRPr="008C60C2">
        <w:rPr>
          <w:color w:val="1D1D1D"/>
        </w:rPr>
        <w:t xml:space="preserve"> fisheries </w:t>
      </w:r>
      <w:r w:rsidRPr="008C60C2">
        <w:rPr>
          <w:color w:val="1D1D1D"/>
        </w:rPr>
        <w:t xml:space="preserve">are remarkably </w:t>
      </w:r>
      <w:r w:rsidR="00C32F6E" w:rsidRPr="008C60C2">
        <w:rPr>
          <w:color w:val="1D1D1D"/>
        </w:rPr>
        <w:t xml:space="preserve">lucrative, </w:t>
      </w:r>
      <w:r w:rsidRPr="008C60C2">
        <w:rPr>
          <w:color w:val="1D1D1D"/>
        </w:rPr>
        <w:t xml:space="preserve">but </w:t>
      </w:r>
      <w:r w:rsidR="0015643B" w:rsidRPr="008C60C2">
        <w:rPr>
          <w:color w:val="1D1D1D"/>
        </w:rPr>
        <w:t xml:space="preserve">humankind’s consumptive capacity </w:t>
      </w:r>
      <w:r w:rsidR="00934557" w:rsidRPr="008C60C2">
        <w:rPr>
          <w:color w:val="1D1D1D"/>
        </w:rPr>
        <w:t>coupled with</w:t>
      </w:r>
      <w:r w:rsidR="0015643B" w:rsidRPr="008C60C2">
        <w:rPr>
          <w:color w:val="1D1D1D"/>
        </w:rPr>
        <w:t xml:space="preserve"> wasteful labor throughout </w:t>
      </w:r>
      <w:r w:rsidR="00B10E61" w:rsidRPr="008C60C2">
        <w:rPr>
          <w:color w:val="1D1D1D"/>
        </w:rPr>
        <w:t>fishing industries</w:t>
      </w:r>
      <w:r w:rsidR="0015643B" w:rsidRPr="008C60C2">
        <w:rPr>
          <w:color w:val="1D1D1D"/>
        </w:rPr>
        <w:t xml:space="preserve"> place biological stocks at risk (Gordon 1954; </w:t>
      </w:r>
      <w:proofErr w:type="spellStart"/>
      <w:r w:rsidR="0015643B" w:rsidRPr="008C60C2">
        <w:rPr>
          <w:color w:val="1D1D1D"/>
        </w:rPr>
        <w:t>Arnason</w:t>
      </w:r>
      <w:proofErr w:type="spellEnd"/>
      <w:r w:rsidR="0015643B" w:rsidRPr="008C60C2">
        <w:rPr>
          <w:color w:val="1D1D1D"/>
        </w:rPr>
        <w:t xml:space="preserve"> 1993, </w:t>
      </w:r>
      <w:r w:rsidR="00DA5967" w:rsidRPr="008C60C2">
        <w:rPr>
          <w:color w:val="1D1D1D"/>
        </w:rPr>
        <w:t>2005</w:t>
      </w:r>
      <w:r w:rsidR="0015643B" w:rsidRPr="008C60C2">
        <w:rPr>
          <w:color w:val="000000" w:themeColor="text1"/>
        </w:rPr>
        <w:t xml:space="preserve">). </w:t>
      </w:r>
      <w:r w:rsidR="0018669F" w:rsidRPr="008C60C2">
        <w:rPr>
          <w:color w:val="000000" w:themeColor="text1"/>
        </w:rPr>
        <w:t xml:space="preserve">An increasingly common approach to addressing this challenge </w:t>
      </w:r>
      <w:r w:rsidR="000357D5" w:rsidRPr="008C60C2">
        <w:rPr>
          <w:color w:val="000000" w:themeColor="text1"/>
        </w:rPr>
        <w:t xml:space="preserve">privileges </w:t>
      </w:r>
      <w:r w:rsidR="0015643B" w:rsidRPr="008C60C2">
        <w:rPr>
          <w:color w:val="000000" w:themeColor="text1"/>
        </w:rPr>
        <w:t xml:space="preserve">a </w:t>
      </w:r>
      <w:r w:rsidR="00BF67D3" w:rsidRPr="008C60C2">
        <w:rPr>
          <w:color w:val="000000" w:themeColor="text1"/>
        </w:rPr>
        <w:t xml:space="preserve">narrow range of </w:t>
      </w:r>
      <w:r w:rsidR="0018669F" w:rsidRPr="008C60C2">
        <w:rPr>
          <w:color w:val="000000" w:themeColor="text1"/>
        </w:rPr>
        <w:t xml:space="preserve">market-based </w:t>
      </w:r>
      <w:r w:rsidR="00C32F6E" w:rsidRPr="008C60C2">
        <w:rPr>
          <w:color w:val="000000" w:themeColor="text1"/>
        </w:rPr>
        <w:t xml:space="preserve">policy </w:t>
      </w:r>
      <w:r w:rsidR="00BF67D3" w:rsidRPr="008C60C2">
        <w:rPr>
          <w:color w:val="000000" w:themeColor="text1"/>
        </w:rPr>
        <w:t>solutions</w:t>
      </w:r>
      <w:r w:rsidR="0018669F" w:rsidRPr="008C60C2">
        <w:rPr>
          <w:color w:val="000000" w:themeColor="text1"/>
        </w:rPr>
        <w:t xml:space="preserve"> relying on new private rights to fish. A</w:t>
      </w:r>
      <w:r w:rsidR="000357D5" w:rsidRPr="008C60C2">
        <w:rPr>
          <w:color w:val="000000" w:themeColor="text1"/>
        </w:rPr>
        <w:t xml:space="preserve">n important </w:t>
      </w:r>
      <w:r w:rsidR="0018669F" w:rsidRPr="008C60C2">
        <w:rPr>
          <w:color w:val="000000" w:themeColor="text1"/>
        </w:rPr>
        <w:t xml:space="preserve">specific </w:t>
      </w:r>
      <w:r w:rsidR="000357D5" w:rsidRPr="008C60C2">
        <w:rPr>
          <w:color w:val="000000" w:themeColor="text1"/>
        </w:rPr>
        <w:t xml:space="preserve">policy design arising from this narrative is </w:t>
      </w:r>
      <w:r w:rsidR="00BF67D3" w:rsidRPr="008C60C2">
        <w:rPr>
          <w:color w:val="000000" w:themeColor="text1"/>
        </w:rPr>
        <w:t>individual fishing quotas (IFQs</w:t>
      </w:r>
      <w:r w:rsidR="008D6BD4" w:rsidRPr="008C60C2">
        <w:rPr>
          <w:color w:val="000000" w:themeColor="text1"/>
        </w:rPr>
        <w:t xml:space="preserve">). IFQs </w:t>
      </w:r>
      <w:r w:rsidR="0064529C" w:rsidRPr="008C60C2">
        <w:rPr>
          <w:color w:val="000000" w:themeColor="text1"/>
        </w:rPr>
        <w:t>are</w:t>
      </w:r>
      <w:r w:rsidR="008D6BD4" w:rsidRPr="008C60C2">
        <w:rPr>
          <w:color w:val="000000" w:themeColor="text1"/>
        </w:rPr>
        <w:t xml:space="preserve"> individual property right</w:t>
      </w:r>
      <w:r w:rsidR="003716B1" w:rsidRPr="008C60C2">
        <w:rPr>
          <w:color w:val="000000" w:themeColor="text1"/>
        </w:rPr>
        <w:t>s</w:t>
      </w:r>
      <w:r w:rsidR="008D6BD4" w:rsidRPr="008C60C2">
        <w:rPr>
          <w:color w:val="000000" w:themeColor="text1"/>
        </w:rPr>
        <w:t xml:space="preserve"> </w:t>
      </w:r>
      <w:r w:rsidR="0064529C" w:rsidRPr="008C60C2">
        <w:rPr>
          <w:color w:val="000000" w:themeColor="text1"/>
        </w:rPr>
        <w:t>that give</w:t>
      </w:r>
      <w:r w:rsidR="008D6BD4" w:rsidRPr="008C60C2">
        <w:rPr>
          <w:color w:val="000000" w:themeColor="text1"/>
        </w:rPr>
        <w:t xml:space="preserve"> their holder the right to harvest a</w:t>
      </w:r>
      <w:r w:rsidR="003716B1" w:rsidRPr="008C60C2">
        <w:rPr>
          <w:color w:val="000000" w:themeColor="text1"/>
        </w:rPr>
        <w:t xml:space="preserve"> specified</w:t>
      </w:r>
      <w:r w:rsidR="008D6BD4" w:rsidRPr="008C60C2">
        <w:rPr>
          <w:color w:val="000000" w:themeColor="text1"/>
        </w:rPr>
        <w:t xml:space="preserve"> portion of the total allowable catch (TAC) for a given species</w:t>
      </w:r>
      <w:r w:rsidR="001A3A21" w:rsidRPr="008C60C2">
        <w:rPr>
          <w:color w:val="000000" w:themeColor="text1"/>
        </w:rPr>
        <w:t xml:space="preserve">. </w:t>
      </w:r>
      <w:r w:rsidR="002D704D" w:rsidRPr="008C60C2">
        <w:rPr>
          <w:color w:val="000000" w:themeColor="text1"/>
        </w:rPr>
        <w:t xml:space="preserve">IFQs have garnered support in both theory </w:t>
      </w:r>
      <w:r w:rsidR="002D704D" w:rsidRPr="008C60C2">
        <w:t>(</w:t>
      </w:r>
      <w:proofErr w:type="spellStart"/>
      <w:r w:rsidR="002D704D" w:rsidRPr="008C60C2">
        <w:t>Moloney</w:t>
      </w:r>
      <w:proofErr w:type="spellEnd"/>
      <w:r w:rsidR="002D704D" w:rsidRPr="008C60C2">
        <w:t xml:space="preserve"> and </w:t>
      </w:r>
      <w:proofErr w:type="spellStart"/>
      <w:r w:rsidR="002D704D" w:rsidRPr="008C60C2">
        <w:t>Pearse</w:t>
      </w:r>
      <w:proofErr w:type="spellEnd"/>
      <w:r w:rsidR="002D704D" w:rsidRPr="008C60C2">
        <w:t xml:space="preserve"> 1979; </w:t>
      </w:r>
      <w:proofErr w:type="spellStart"/>
      <w:r w:rsidR="002D704D" w:rsidRPr="008C60C2">
        <w:t>Arnason</w:t>
      </w:r>
      <w:proofErr w:type="spellEnd"/>
      <w:r w:rsidR="002D704D" w:rsidRPr="008C60C2">
        <w:t xml:space="preserve"> 1993; Anderson 1994)</w:t>
      </w:r>
      <w:r w:rsidR="002D704D" w:rsidRPr="008C60C2">
        <w:rPr>
          <w:color w:val="1D1D1D"/>
        </w:rPr>
        <w:t xml:space="preserve"> and practice because they are now used by more than </w:t>
      </w:r>
      <w:r w:rsidR="002D704D" w:rsidRPr="008C60C2">
        <w:rPr>
          <w:color w:val="000000" w:themeColor="text1"/>
        </w:rPr>
        <w:t xml:space="preserve">40 nations to govern 900 species in over 200 distinct programs (Brinson and Thunberg 2016). </w:t>
      </w:r>
      <w:r w:rsidR="00BF67D3" w:rsidRPr="008C60C2">
        <w:t>Despite their rise in popularity,</w:t>
      </w:r>
      <w:r w:rsidR="00333083" w:rsidRPr="008C60C2">
        <w:t xml:space="preserve"> </w:t>
      </w:r>
      <w:r w:rsidR="001A3A21" w:rsidRPr="008C60C2">
        <w:t>these programs</w:t>
      </w:r>
      <w:r w:rsidR="00455964" w:rsidRPr="008C60C2">
        <w:t xml:space="preserve"> </w:t>
      </w:r>
      <w:r w:rsidR="004C538F" w:rsidRPr="008C60C2">
        <w:t xml:space="preserve">are </w:t>
      </w:r>
      <w:r w:rsidR="004C538F" w:rsidRPr="008C60C2">
        <w:lastRenderedPageBreak/>
        <w:t>hotly debated</w:t>
      </w:r>
      <w:r w:rsidR="001A3A21" w:rsidRPr="008C60C2">
        <w:t xml:space="preserve"> where their</w:t>
      </w:r>
      <w:r w:rsidR="008820C9" w:rsidRPr="008C60C2">
        <w:t xml:space="preserve"> advocates celebrate</w:t>
      </w:r>
      <w:r w:rsidR="00934557" w:rsidRPr="008C60C2">
        <w:t xml:space="preserve"> </w:t>
      </w:r>
      <w:r w:rsidR="004C538F" w:rsidRPr="008C60C2">
        <w:t>the</w:t>
      </w:r>
      <w:r w:rsidR="00BF67D3" w:rsidRPr="008C60C2">
        <w:t>ir</w:t>
      </w:r>
      <w:r w:rsidR="004C538F" w:rsidRPr="008C60C2">
        <w:t xml:space="preserve"> </w:t>
      </w:r>
      <w:r w:rsidR="00BF67D3" w:rsidRPr="008C60C2">
        <w:t xml:space="preserve">ability </w:t>
      </w:r>
      <w:r w:rsidR="00934557" w:rsidRPr="008C60C2">
        <w:t>to create efficient outcomes and reduce</w:t>
      </w:r>
      <w:r w:rsidR="00455964" w:rsidRPr="008C60C2">
        <w:t xml:space="preserve"> the harvesting</w:t>
      </w:r>
      <w:r w:rsidR="00934557" w:rsidRPr="008C60C2">
        <w:t xml:space="preserve"> </w:t>
      </w:r>
      <w:r w:rsidR="00BF67D3" w:rsidRPr="008C60C2">
        <w:t>pressure</w:t>
      </w:r>
      <w:r w:rsidR="00455964" w:rsidRPr="008C60C2">
        <w:t xml:space="preserve"> placed on environmental resources</w:t>
      </w:r>
      <w:r w:rsidR="00934557" w:rsidRPr="008C60C2">
        <w:t xml:space="preserve"> (</w:t>
      </w:r>
      <w:proofErr w:type="spellStart"/>
      <w:r w:rsidR="00934557" w:rsidRPr="008C60C2">
        <w:t>Arnason</w:t>
      </w:r>
      <w:proofErr w:type="spellEnd"/>
      <w:r w:rsidR="00BE2BA7" w:rsidRPr="008C60C2">
        <w:t xml:space="preserve"> 1993; </w:t>
      </w:r>
      <w:proofErr w:type="spellStart"/>
      <w:r w:rsidR="002B3299" w:rsidRPr="008C60C2">
        <w:t>Hannesson</w:t>
      </w:r>
      <w:proofErr w:type="spellEnd"/>
      <w:r w:rsidR="002B3299" w:rsidRPr="008C60C2">
        <w:t xml:space="preserve"> 2004</w:t>
      </w:r>
      <w:r w:rsidR="00934557" w:rsidRPr="008C60C2">
        <w:t>)</w:t>
      </w:r>
      <w:r w:rsidR="00455964" w:rsidRPr="008C60C2">
        <w:t xml:space="preserve">, </w:t>
      </w:r>
      <w:r w:rsidR="001A3A21" w:rsidRPr="008C60C2">
        <w:t xml:space="preserve">and </w:t>
      </w:r>
      <w:r w:rsidR="00455964" w:rsidRPr="008C60C2">
        <w:t xml:space="preserve">critics </w:t>
      </w:r>
      <w:r w:rsidR="001A3A21" w:rsidRPr="008C60C2">
        <w:t xml:space="preserve">claim </w:t>
      </w:r>
      <w:r w:rsidR="004C538F" w:rsidRPr="008C60C2">
        <w:t xml:space="preserve">these policies </w:t>
      </w:r>
      <w:r w:rsidR="00BF67D3" w:rsidRPr="008C60C2">
        <w:t xml:space="preserve">create negative distributional outcomes for local communities by </w:t>
      </w:r>
      <w:r w:rsidR="004C538F" w:rsidRPr="008C60C2">
        <w:t>commodify</w:t>
      </w:r>
      <w:r w:rsidR="00BF67D3" w:rsidRPr="008C60C2">
        <w:t>ing nature</w:t>
      </w:r>
      <w:r w:rsidR="00CA528A" w:rsidRPr="008C60C2">
        <w:t xml:space="preserve"> and facilitating concentration of these rights in the hands of wealthier individuals </w:t>
      </w:r>
      <w:r w:rsidR="004C538F" w:rsidRPr="008C60C2">
        <w:t>(</w:t>
      </w:r>
      <w:r w:rsidR="003216F3" w:rsidRPr="008C60C2">
        <w:t xml:space="preserve">Copes 1986; </w:t>
      </w:r>
      <w:r w:rsidR="004C538F" w:rsidRPr="008C60C2">
        <w:t xml:space="preserve">Reedy </w:t>
      </w:r>
      <w:proofErr w:type="spellStart"/>
      <w:r w:rsidR="004C538F" w:rsidRPr="008C60C2">
        <w:t>Maschner</w:t>
      </w:r>
      <w:proofErr w:type="spellEnd"/>
      <w:r w:rsidR="004C538F" w:rsidRPr="008C60C2">
        <w:t xml:space="preserve"> 2007</w:t>
      </w:r>
      <w:r w:rsidR="00730C3D" w:rsidRPr="008C60C2">
        <w:t>; Carothers 2008</w:t>
      </w:r>
      <w:r w:rsidR="004C538F" w:rsidRPr="008C60C2">
        <w:t>).</w:t>
      </w:r>
      <w:r w:rsidR="008534CB" w:rsidRPr="008C60C2">
        <w:t xml:space="preserve"> </w:t>
      </w:r>
    </w:p>
    <w:p w14:paraId="0F67A0CC" w14:textId="5A595ABD" w:rsidR="001A3A21" w:rsidRPr="008C60C2" w:rsidRDefault="00231507" w:rsidP="007E092A">
      <w:pPr>
        <w:spacing w:line="480" w:lineRule="auto"/>
        <w:ind w:firstLine="720"/>
      </w:pPr>
      <w:r w:rsidRPr="008C60C2">
        <w:t xml:space="preserve">Advocates </w:t>
      </w:r>
      <w:r w:rsidR="00885B97" w:rsidRPr="008C60C2">
        <w:t xml:space="preserve">of transferable quota programs argue that creating </w:t>
      </w:r>
      <w:r w:rsidR="001862F6" w:rsidRPr="008C60C2">
        <w:t>new “property rights” to access a natural resource like fish stocks is the most efficient way to prevent overharvesting of that resource. Typically, theoretical arguments for these market-based policies prefer these rights to be as secure, transferable, and universal as possible</w:t>
      </w:r>
      <w:r w:rsidR="0056129B" w:rsidRPr="008C60C2">
        <w:t xml:space="preserve"> (</w:t>
      </w:r>
      <w:proofErr w:type="spellStart"/>
      <w:r w:rsidR="0056129B" w:rsidRPr="008C60C2">
        <w:t>Moloney</w:t>
      </w:r>
      <w:proofErr w:type="spellEnd"/>
      <w:r w:rsidR="0056129B" w:rsidRPr="008C60C2">
        <w:t xml:space="preserve"> and </w:t>
      </w:r>
      <w:proofErr w:type="spellStart"/>
      <w:r w:rsidR="0056129B" w:rsidRPr="008C60C2">
        <w:t>Pearse</w:t>
      </w:r>
      <w:proofErr w:type="spellEnd"/>
      <w:r w:rsidR="0056129B" w:rsidRPr="008C60C2">
        <w:t xml:space="preserve"> 1979; </w:t>
      </w:r>
      <w:proofErr w:type="spellStart"/>
      <w:r w:rsidR="0056129B" w:rsidRPr="008C60C2">
        <w:t>Arnason</w:t>
      </w:r>
      <w:proofErr w:type="spellEnd"/>
      <w:r w:rsidR="0056129B" w:rsidRPr="008C60C2">
        <w:t xml:space="preserve"> 2005)</w:t>
      </w:r>
      <w:r w:rsidR="001862F6" w:rsidRPr="008C60C2">
        <w:t xml:space="preserve">. </w:t>
      </w:r>
      <w:r w:rsidR="00730C3D" w:rsidRPr="008C60C2">
        <w:rPr>
          <w:color w:val="2C2C2C"/>
        </w:rPr>
        <w:t>These features form the basis for the “ideal” economic model that emphasizes the allocation of secure</w:t>
      </w:r>
      <w:r w:rsidR="001A04EE">
        <w:rPr>
          <w:color w:val="2C2C2C"/>
        </w:rPr>
        <w:t xml:space="preserve"> and easily transferable</w:t>
      </w:r>
      <w:r w:rsidR="00730C3D" w:rsidRPr="008C60C2">
        <w:rPr>
          <w:color w:val="2C2C2C"/>
        </w:rPr>
        <w:t xml:space="preserve"> property rights </w:t>
      </w:r>
      <w:r w:rsidR="007E092A" w:rsidRPr="008C60C2">
        <w:rPr>
          <w:color w:val="2C2C2C"/>
        </w:rPr>
        <w:t>to</w:t>
      </w:r>
      <w:r w:rsidR="007E092A" w:rsidRPr="008C60C2">
        <w:rPr>
          <w:color w:val="000000" w:themeColor="text1"/>
        </w:rPr>
        <w:t xml:space="preserve"> </w:t>
      </w:r>
      <w:r w:rsidR="00AB14F8">
        <w:rPr>
          <w:color w:val="000000" w:themeColor="text1"/>
        </w:rPr>
        <w:t>increase efficiency by</w:t>
      </w:r>
      <w:r w:rsidR="007E092A" w:rsidRPr="008C60C2">
        <w:rPr>
          <w:color w:val="000000" w:themeColor="text1"/>
        </w:rPr>
        <w:t xml:space="preserve"> giving </w:t>
      </w:r>
      <w:r w:rsidR="00AB14F8" w:rsidRPr="008C60C2">
        <w:rPr>
          <w:color w:val="000000" w:themeColor="text1"/>
        </w:rPr>
        <w:t>the</w:t>
      </w:r>
      <w:r w:rsidR="00AB14F8">
        <w:rPr>
          <w:color w:val="000000" w:themeColor="text1"/>
        </w:rPr>
        <w:t xml:space="preserve"> most efficient harvesters</w:t>
      </w:r>
      <w:r w:rsidR="00AB14F8" w:rsidRPr="008C60C2">
        <w:rPr>
          <w:color w:val="2C2C2C"/>
        </w:rPr>
        <w:t xml:space="preserve"> </w:t>
      </w:r>
      <w:r w:rsidR="00730C3D" w:rsidRPr="008C60C2">
        <w:rPr>
          <w:color w:val="2C2C2C"/>
        </w:rPr>
        <w:t>opportunit</w:t>
      </w:r>
      <w:r w:rsidR="007E092A" w:rsidRPr="008C60C2">
        <w:rPr>
          <w:color w:val="2C2C2C"/>
        </w:rPr>
        <w:t>ies</w:t>
      </w:r>
      <w:r w:rsidR="00730C3D" w:rsidRPr="008C60C2">
        <w:rPr>
          <w:color w:val="2C2C2C"/>
        </w:rPr>
        <w:t xml:space="preserve"> to purchase</w:t>
      </w:r>
      <w:r w:rsidR="007E092A" w:rsidRPr="008C60C2">
        <w:rPr>
          <w:color w:val="2C2C2C"/>
        </w:rPr>
        <w:t xml:space="preserve"> and consolidate</w:t>
      </w:r>
      <w:r w:rsidR="00750601">
        <w:rPr>
          <w:color w:val="2C2C2C"/>
        </w:rPr>
        <w:t xml:space="preserve"> </w:t>
      </w:r>
      <w:r w:rsidR="00730C3D" w:rsidRPr="008C60C2">
        <w:rPr>
          <w:color w:val="2C2C2C"/>
        </w:rPr>
        <w:t xml:space="preserve">quota shares. </w:t>
      </w:r>
      <w:r w:rsidR="002E2E99" w:rsidRPr="008C60C2">
        <w:t xml:space="preserve">Although individual quota programs </w:t>
      </w:r>
      <w:r w:rsidR="00525997" w:rsidRPr="008C60C2">
        <w:t>clearly</w:t>
      </w:r>
      <w:r w:rsidR="002E2E99" w:rsidRPr="008C60C2">
        <w:t xml:space="preserve"> reflect economic values </w:t>
      </w:r>
      <w:r w:rsidR="009C2E46" w:rsidRPr="008C60C2">
        <w:t xml:space="preserve">that prioritize efficiency and market transactions, current research on these policies would benefit from greater </w:t>
      </w:r>
      <w:r w:rsidR="00F23C6C" w:rsidRPr="008C60C2">
        <w:t>attention to the important ways that some individual quota programs incorporate</w:t>
      </w:r>
      <w:r w:rsidR="00522C88" w:rsidRPr="008C60C2">
        <w:t xml:space="preserve"> equity goals</w:t>
      </w:r>
      <w:r w:rsidR="00F23C6C" w:rsidRPr="008C60C2">
        <w:t>.</w:t>
      </w:r>
      <w:r w:rsidR="00F23C6C" w:rsidRPr="008C60C2" w:rsidDel="009C2E46">
        <w:t xml:space="preserve"> </w:t>
      </w:r>
      <w:r w:rsidR="00014509" w:rsidRPr="008C60C2">
        <w:t xml:space="preserve">Rather than focusing </w:t>
      </w:r>
      <w:r w:rsidR="000F2790" w:rsidRPr="008C60C2">
        <w:t xml:space="preserve">exclusively </w:t>
      </w:r>
      <w:r w:rsidR="00014509" w:rsidRPr="008C60C2">
        <w:t xml:space="preserve">on </w:t>
      </w:r>
      <w:r w:rsidRPr="008C60C2">
        <w:t xml:space="preserve">the </w:t>
      </w:r>
      <w:r w:rsidR="00A77100">
        <w:t>market</w:t>
      </w:r>
      <w:r w:rsidRPr="008C60C2">
        <w:t xml:space="preserve"> logics driving the design of IFQ programs</w:t>
      </w:r>
      <w:r w:rsidR="00215567" w:rsidRPr="008C60C2">
        <w:t xml:space="preserve"> (Mansfield 2007</w:t>
      </w:r>
      <w:r w:rsidR="001F219E" w:rsidRPr="008C60C2">
        <w:t>)</w:t>
      </w:r>
      <w:r w:rsidR="00215567" w:rsidRPr="008C60C2">
        <w:t xml:space="preserve">, or </w:t>
      </w:r>
      <w:r w:rsidR="00A77100">
        <w:t>explain privatization’s impact</w:t>
      </w:r>
      <w:r w:rsidR="00AB04B4" w:rsidRPr="008C60C2">
        <w:t xml:space="preserve"> on</w:t>
      </w:r>
      <w:r w:rsidR="00014509" w:rsidRPr="008C60C2">
        <w:t xml:space="preserve"> local </w:t>
      </w:r>
      <w:r w:rsidR="00C36736" w:rsidRPr="008C60C2">
        <w:t xml:space="preserve">fishers and coastal </w:t>
      </w:r>
      <w:r w:rsidR="006C26D3" w:rsidRPr="008C60C2">
        <w:t xml:space="preserve">fishing </w:t>
      </w:r>
      <w:r w:rsidR="00C36736" w:rsidRPr="008C60C2">
        <w:t>communities (Reedy-</w:t>
      </w:r>
      <w:proofErr w:type="spellStart"/>
      <w:r w:rsidR="00C36736" w:rsidRPr="008C60C2">
        <w:t>Maschner</w:t>
      </w:r>
      <w:proofErr w:type="spellEnd"/>
      <w:r w:rsidR="00C36736" w:rsidRPr="008C60C2">
        <w:t xml:space="preserve"> 2007;</w:t>
      </w:r>
      <w:r w:rsidR="00A77100">
        <w:t xml:space="preserve"> Langdon 2008;</w:t>
      </w:r>
      <w:r w:rsidR="00C36736" w:rsidRPr="008C60C2">
        <w:t xml:space="preserve"> Lowe 2008; Carothers</w:t>
      </w:r>
      <w:r w:rsidRPr="008C60C2">
        <w:t xml:space="preserve"> et al.,</w:t>
      </w:r>
      <w:r w:rsidR="00C36736" w:rsidRPr="008C60C2">
        <w:t xml:space="preserve"> 2010; Carothers 2011, 2013; </w:t>
      </w:r>
      <w:proofErr w:type="spellStart"/>
      <w:r w:rsidR="00C36736" w:rsidRPr="008C60C2">
        <w:t>Holen</w:t>
      </w:r>
      <w:proofErr w:type="spellEnd"/>
      <w:r w:rsidR="00C36736" w:rsidRPr="008C60C2">
        <w:t xml:space="preserve"> 2014; Thornton and Hebert 2015)</w:t>
      </w:r>
      <w:r w:rsidR="00014509" w:rsidRPr="008C60C2">
        <w:t xml:space="preserve">, this article </w:t>
      </w:r>
      <w:r w:rsidR="00802D66" w:rsidRPr="008C60C2">
        <w:t>examines</w:t>
      </w:r>
      <w:r w:rsidR="00215567" w:rsidRPr="008C60C2">
        <w:t xml:space="preserve"> </w:t>
      </w:r>
      <w:r w:rsidR="002C2567" w:rsidRPr="008C60C2">
        <w:t xml:space="preserve">four leading examples of individual quota share policies </w:t>
      </w:r>
      <w:r w:rsidR="00455964" w:rsidRPr="008C60C2">
        <w:t xml:space="preserve">in </w:t>
      </w:r>
      <w:r w:rsidR="00783D93" w:rsidRPr="008C60C2">
        <w:t>New Zealand, Iceland, British Columbia, and Alaska</w:t>
      </w:r>
      <w:r w:rsidR="002C2567" w:rsidRPr="008C60C2">
        <w:t xml:space="preserve"> to </w:t>
      </w:r>
      <w:r w:rsidR="00802D66" w:rsidRPr="008C60C2">
        <w:t>compare and contrast</w:t>
      </w:r>
      <w:r w:rsidR="002C2567" w:rsidRPr="008C60C2">
        <w:t xml:space="preserve"> their similarity to the ideal economic model for commercial fisheries governance</w:t>
      </w:r>
      <w:r w:rsidR="00783D93" w:rsidRPr="008C60C2">
        <w:t>.</w:t>
      </w:r>
      <w:r w:rsidR="001A3A21" w:rsidRPr="008C60C2">
        <w:t xml:space="preserve"> </w:t>
      </w:r>
    </w:p>
    <w:p w14:paraId="747BE2BC" w14:textId="657E89F9" w:rsidR="00D13175" w:rsidRPr="008C60C2" w:rsidRDefault="001A3A21" w:rsidP="0056129B">
      <w:pPr>
        <w:spacing w:line="480" w:lineRule="auto"/>
        <w:ind w:firstLine="720"/>
      </w:pPr>
      <w:r w:rsidRPr="008C60C2">
        <w:t>Drawing</w:t>
      </w:r>
      <w:r w:rsidR="00E71F36" w:rsidRPr="008C60C2">
        <w:t xml:space="preserve"> from existing research as well as original</w:t>
      </w:r>
      <w:r w:rsidRPr="008C60C2">
        <w:t xml:space="preserve"> </w:t>
      </w:r>
      <w:r w:rsidR="00E71F36" w:rsidRPr="008C60C2">
        <w:t>data collection through interviews and archival work in Alaska</w:t>
      </w:r>
      <w:r w:rsidRPr="008C60C2">
        <w:t xml:space="preserve">, </w:t>
      </w:r>
      <w:r w:rsidR="006F58F7" w:rsidRPr="008C60C2">
        <w:t xml:space="preserve">I find </w:t>
      </w:r>
      <w:r w:rsidR="00580238">
        <w:t xml:space="preserve">that </w:t>
      </w:r>
      <w:r w:rsidR="00AB14F8">
        <w:t>p</w:t>
      </w:r>
      <w:r w:rsidR="006F58F7" w:rsidRPr="008C60C2">
        <w:t xml:space="preserve">rograms like New Zealand and Iceland come close to </w:t>
      </w:r>
      <w:r w:rsidR="006F58F7" w:rsidRPr="008C60C2">
        <w:lastRenderedPageBreak/>
        <w:t>economist</w:t>
      </w:r>
      <w:r w:rsidR="0015416A" w:rsidRPr="008C60C2">
        <w:t xml:space="preserve">’s </w:t>
      </w:r>
      <w:r w:rsidR="00757BFC" w:rsidRPr="008C60C2">
        <w:t xml:space="preserve">ideal </w:t>
      </w:r>
      <w:r w:rsidR="0015416A" w:rsidRPr="008C60C2">
        <w:t>for what a market-</w:t>
      </w:r>
      <w:r w:rsidR="006F58F7" w:rsidRPr="008C60C2">
        <w:t>based program should look like</w:t>
      </w:r>
      <w:r w:rsidR="00580238">
        <w:t xml:space="preserve"> by having</w:t>
      </w:r>
      <w:r w:rsidR="00757BFC" w:rsidRPr="008C60C2">
        <w:t xml:space="preserve"> few limits on the concentration of quota</w:t>
      </w:r>
      <w:r w:rsidR="007A076E">
        <w:t xml:space="preserve"> </w:t>
      </w:r>
      <w:r w:rsidR="00757BFC" w:rsidRPr="008C60C2">
        <w:t>s</w:t>
      </w:r>
      <w:r w:rsidR="007A076E">
        <w:t>hares</w:t>
      </w:r>
      <w:r w:rsidR="00757BFC" w:rsidRPr="008C60C2">
        <w:t xml:space="preserve"> through market transactions</w:t>
      </w:r>
      <w:r w:rsidR="00580238">
        <w:t xml:space="preserve"> </w:t>
      </w:r>
      <w:r w:rsidR="00580238" w:rsidRPr="008C60C2">
        <w:t>(</w:t>
      </w:r>
      <w:proofErr w:type="spellStart"/>
      <w:r w:rsidR="00580238" w:rsidRPr="008C60C2">
        <w:t>Arnason</w:t>
      </w:r>
      <w:proofErr w:type="spellEnd"/>
      <w:r w:rsidR="00580238" w:rsidRPr="008C60C2">
        <w:t xml:space="preserve"> 2005)</w:t>
      </w:r>
      <w:r w:rsidR="00802D66" w:rsidRPr="008C60C2">
        <w:t xml:space="preserve">. However, other </w:t>
      </w:r>
      <w:r w:rsidR="0015416A" w:rsidRPr="008C60C2">
        <w:t>programs like</w:t>
      </w:r>
      <w:r w:rsidR="00BD5E83" w:rsidRPr="008C60C2">
        <w:t xml:space="preserve"> </w:t>
      </w:r>
      <w:r w:rsidR="00802D66" w:rsidRPr="008C60C2">
        <w:t>British Columbia’s halibut quota program</w:t>
      </w:r>
      <w:r w:rsidR="00757BFC" w:rsidRPr="008C60C2">
        <w:t xml:space="preserve"> and</w:t>
      </w:r>
      <w:r w:rsidR="00802D66" w:rsidRPr="008C60C2">
        <w:t xml:space="preserve"> especially </w:t>
      </w:r>
      <w:r w:rsidR="006F58F7" w:rsidRPr="008C60C2">
        <w:t>Alaska’s</w:t>
      </w:r>
      <w:r w:rsidR="00802D66" w:rsidRPr="008C60C2">
        <w:t xml:space="preserve"> </w:t>
      </w:r>
      <w:r w:rsidR="006F58F7" w:rsidRPr="008C60C2">
        <w:t xml:space="preserve">halibut and sablefish </w:t>
      </w:r>
      <w:r w:rsidR="00802D66" w:rsidRPr="008C60C2">
        <w:t xml:space="preserve">IFQ </w:t>
      </w:r>
      <w:r w:rsidR="006F58F7" w:rsidRPr="008C60C2">
        <w:t xml:space="preserve">program </w:t>
      </w:r>
      <w:r w:rsidR="00802D66" w:rsidRPr="008C60C2">
        <w:t>deviate from the</w:t>
      </w:r>
      <w:r w:rsidR="00580238">
        <w:t xml:space="preserve"> ideal</w:t>
      </w:r>
      <w:r w:rsidR="00802D66" w:rsidRPr="008C60C2">
        <w:t xml:space="preserve"> economic </w:t>
      </w:r>
      <w:r w:rsidR="00580238">
        <w:t xml:space="preserve">model </w:t>
      </w:r>
      <w:r w:rsidR="00757BFC" w:rsidRPr="008C60C2">
        <w:t xml:space="preserve">by incorporating stronger provisions </w:t>
      </w:r>
      <w:r w:rsidR="00802D66" w:rsidRPr="008C60C2">
        <w:t xml:space="preserve">to protect local </w:t>
      </w:r>
      <w:r w:rsidR="00757BFC" w:rsidRPr="008C60C2">
        <w:t xml:space="preserve">fishing </w:t>
      </w:r>
      <w:r w:rsidR="00802D66" w:rsidRPr="008C60C2">
        <w:t>operations</w:t>
      </w:r>
      <w:r w:rsidR="00522C88" w:rsidRPr="008C60C2">
        <w:t>. Alaska’s halibut and sablefish IFQ program</w:t>
      </w:r>
      <w:r w:rsidR="00757BFC" w:rsidRPr="008C60C2">
        <w:t xml:space="preserve"> is especially </w:t>
      </w:r>
      <w:r w:rsidR="00730C3D" w:rsidRPr="008C60C2">
        <w:t>noteworthy</w:t>
      </w:r>
      <w:r w:rsidR="00522C88" w:rsidRPr="008C60C2">
        <w:t xml:space="preserve"> </w:t>
      </w:r>
      <w:r w:rsidR="00A01519">
        <w:t>because it contains</w:t>
      </w:r>
      <w:r w:rsidR="00F4397A" w:rsidRPr="008C60C2">
        <w:t xml:space="preserve"> several </w:t>
      </w:r>
      <w:r w:rsidR="00757BFC" w:rsidRPr="008C60C2">
        <w:t xml:space="preserve">unique </w:t>
      </w:r>
      <w:r w:rsidR="00522C88" w:rsidRPr="008C60C2">
        <w:t xml:space="preserve">provisions </w:t>
      </w:r>
      <w:r w:rsidR="00F4397A" w:rsidRPr="008C60C2">
        <w:t xml:space="preserve">that are intended to </w:t>
      </w:r>
      <w:r w:rsidR="00CE4502" w:rsidRPr="008C60C2">
        <w:t xml:space="preserve">protect the sociocultural nature of the commercial fishing fleet. </w:t>
      </w:r>
      <w:r w:rsidR="00757BFC" w:rsidRPr="008C60C2">
        <w:t>Thus, t</w:t>
      </w:r>
      <w:r w:rsidR="00522C88" w:rsidRPr="008C60C2">
        <w:t>he Alaskan case study</w:t>
      </w:r>
      <w:r w:rsidRPr="008C60C2">
        <w:t xml:space="preserve"> warrants greater attention because its</w:t>
      </w:r>
      <w:r w:rsidR="008B5405">
        <w:t xml:space="preserve"> protections for local fishers and communities</w:t>
      </w:r>
      <w:r w:rsidRPr="008C60C2">
        <w:t xml:space="preserve"> contradict</w:t>
      </w:r>
      <w:r w:rsidR="00CE4502" w:rsidRPr="008C60C2">
        <w:t xml:space="preserve"> </w:t>
      </w:r>
      <w:r w:rsidR="0056129B" w:rsidRPr="008C60C2">
        <w:t xml:space="preserve">what is expected from privatization policies where efficiency and </w:t>
      </w:r>
      <w:r w:rsidR="00CE4502" w:rsidRPr="008C60C2">
        <w:t>capitalization are primary goals</w:t>
      </w:r>
      <w:r w:rsidR="0001571F" w:rsidRPr="008C60C2">
        <w:t xml:space="preserve"> (Mansfield 2004)</w:t>
      </w:r>
      <w:r w:rsidR="0056129B" w:rsidRPr="008C60C2">
        <w:t>,</w:t>
      </w:r>
      <w:r w:rsidR="0001571F" w:rsidRPr="008C60C2">
        <w:t xml:space="preserve"> </w:t>
      </w:r>
      <w:r w:rsidR="00695C03" w:rsidRPr="008C60C2">
        <w:t>making it</w:t>
      </w:r>
      <w:r w:rsidR="0056129B" w:rsidRPr="008C60C2">
        <w:t xml:space="preserve"> necessary to better understand </w:t>
      </w:r>
      <w:r w:rsidR="008B5405">
        <w:t xml:space="preserve">what motivated the inclusion of </w:t>
      </w:r>
      <w:r w:rsidR="0056129B" w:rsidRPr="008C60C2">
        <w:t>the</w:t>
      </w:r>
      <w:r w:rsidR="008B5405">
        <w:t xml:space="preserve"> unique rules </w:t>
      </w:r>
      <w:r w:rsidR="0056129B" w:rsidRPr="008C60C2">
        <w:t xml:space="preserve">contained in Alaska’s </w:t>
      </w:r>
      <w:r w:rsidR="008B5405">
        <w:t xml:space="preserve">halibut and sablefish </w:t>
      </w:r>
      <w:r w:rsidR="0056129B" w:rsidRPr="008C60C2">
        <w:t xml:space="preserve">IFQ program </w:t>
      </w:r>
      <w:r w:rsidR="008B5405">
        <w:t>as well as their</w:t>
      </w:r>
      <w:r w:rsidR="009F65A5" w:rsidRPr="008C60C2">
        <w:t xml:space="preserve"> full implication for protecting local harvesters and fishing communities</w:t>
      </w:r>
      <w:r w:rsidR="00030DDD" w:rsidRPr="008C60C2">
        <w:t>.</w:t>
      </w:r>
      <w:r w:rsidR="00CE4502" w:rsidRPr="008C60C2">
        <w:t xml:space="preserve"> </w:t>
      </w:r>
    </w:p>
    <w:p w14:paraId="330A2D80" w14:textId="0F8C77FC" w:rsidR="0096242D" w:rsidRPr="008C60C2" w:rsidRDefault="0096242D" w:rsidP="0096242D">
      <w:pPr>
        <w:spacing w:line="480" w:lineRule="auto"/>
        <w:ind w:firstLine="720"/>
      </w:pPr>
      <w:r w:rsidRPr="008C60C2">
        <w:t>Before going further, it is useful to define termi</w:t>
      </w:r>
      <w:r w:rsidR="0008741C" w:rsidRPr="008C60C2">
        <w:t xml:space="preserve">nology and introduce acronyms. </w:t>
      </w:r>
      <w:r w:rsidR="00025B1C" w:rsidRPr="008C60C2">
        <w:t xml:space="preserve">Fisheries managed by individual quota systems are located </w:t>
      </w:r>
      <w:r w:rsidR="001C5C53" w:rsidRPr="008C60C2">
        <w:t xml:space="preserve">a </w:t>
      </w:r>
      <w:r w:rsidR="00025B1C" w:rsidRPr="008C60C2">
        <w:t>nation’s exc</w:t>
      </w:r>
      <w:r w:rsidR="00522C88" w:rsidRPr="008C60C2">
        <w:t>lusive economic zone (EEZ). EEZ</w:t>
      </w:r>
      <w:r w:rsidR="00025B1C" w:rsidRPr="008C60C2">
        <w:t>s were established in the late 1970s and 1980s after the Law of the Sea was ratified</w:t>
      </w:r>
      <w:r w:rsidR="00522C88" w:rsidRPr="008C60C2">
        <w:t>. EEZs</w:t>
      </w:r>
      <w:r w:rsidR="00025B1C" w:rsidRPr="008C60C2">
        <w:t xml:space="preserve"> represent an area—typically 200 nautical miles—of marine territory adjacent to a country’s coastline where national harvesters have exclusive access to resources. </w:t>
      </w:r>
      <w:r w:rsidR="00522C88" w:rsidRPr="008C60C2">
        <w:t>The</w:t>
      </w:r>
      <w:r w:rsidR="0008741C" w:rsidRPr="008C60C2">
        <w:t xml:space="preserve"> four international quota programs</w:t>
      </w:r>
      <w:r w:rsidR="00522C88" w:rsidRPr="008C60C2">
        <w:t xml:space="preserve"> evaluated here</w:t>
      </w:r>
      <w:r w:rsidR="0008741C" w:rsidRPr="008C60C2">
        <w:t xml:space="preserve"> include </w:t>
      </w:r>
      <w:r w:rsidRPr="008C60C2">
        <w:t xml:space="preserve">New Zealand’s </w:t>
      </w:r>
      <w:r w:rsidR="00B14D93">
        <w:t xml:space="preserve">1986 </w:t>
      </w:r>
      <w:r w:rsidRPr="008C60C2">
        <w:t xml:space="preserve">Quota Management System (QMS), Iceland’s </w:t>
      </w:r>
      <w:r w:rsidR="00B14D93">
        <w:t xml:space="preserve">1990 </w:t>
      </w:r>
      <w:r w:rsidRPr="008C60C2">
        <w:t>individual transferrable quota system (ITQ), British Columbia’s</w:t>
      </w:r>
      <w:r w:rsidR="00B14D93">
        <w:t xml:space="preserve"> 1991</w:t>
      </w:r>
      <w:r w:rsidRPr="008C60C2">
        <w:t xml:space="preserve"> halibut individual vessel quota system (IVQ), and Alaska’s </w:t>
      </w:r>
      <w:r w:rsidR="00B14D93">
        <w:t xml:space="preserve">1995 </w:t>
      </w:r>
      <w:r w:rsidRPr="008C60C2">
        <w:t xml:space="preserve">halibut and sablefish IFQ program. While each system holds a different </w:t>
      </w:r>
      <w:r w:rsidR="00522C88" w:rsidRPr="008C60C2">
        <w:t>title</w:t>
      </w:r>
      <w:r w:rsidRPr="008C60C2">
        <w:t xml:space="preserve">, </w:t>
      </w:r>
      <w:r w:rsidR="00522C88" w:rsidRPr="008C60C2">
        <w:t>they each</w:t>
      </w:r>
      <w:r w:rsidRPr="008C60C2">
        <w:t xml:space="preserve"> allocate a specific number of catch shares on an annual basis for a specific species. </w:t>
      </w:r>
      <w:r w:rsidR="00E815C9" w:rsidRPr="008C60C2">
        <w:t>These catch</w:t>
      </w:r>
      <w:r w:rsidRPr="008C60C2">
        <w:t xml:space="preserve"> shares </w:t>
      </w:r>
      <w:r w:rsidR="00E815C9" w:rsidRPr="008C60C2">
        <w:t>are</w:t>
      </w:r>
      <w:r w:rsidRPr="008C60C2">
        <w:t xml:space="preserve"> </w:t>
      </w:r>
      <w:r w:rsidR="001C5C53" w:rsidRPr="008C60C2">
        <w:t xml:space="preserve">limited </w:t>
      </w:r>
      <w:r w:rsidRPr="008C60C2">
        <w:t>property right</w:t>
      </w:r>
      <w:r w:rsidR="00E815C9" w:rsidRPr="008C60C2">
        <w:t>s</w:t>
      </w:r>
      <w:r w:rsidRPr="008C60C2">
        <w:t xml:space="preserve"> </w:t>
      </w:r>
      <w:r w:rsidR="0008741C" w:rsidRPr="008C60C2">
        <w:t xml:space="preserve">that </w:t>
      </w:r>
      <w:r w:rsidRPr="008C60C2">
        <w:t xml:space="preserve">provide their holders access to the fishery while excluding other potential participants. Allocated catch </w:t>
      </w:r>
      <w:r w:rsidRPr="008C60C2">
        <w:lastRenderedPageBreak/>
        <w:t xml:space="preserve">shares represent a dedicated portion of the </w:t>
      </w:r>
      <w:r w:rsidR="001C5C53" w:rsidRPr="008C60C2">
        <w:t>Total Allowable Catch (</w:t>
      </w:r>
      <w:r w:rsidR="00025B1C" w:rsidRPr="008C60C2">
        <w:t>TAC</w:t>
      </w:r>
      <w:r w:rsidR="001C5C53" w:rsidRPr="008C60C2">
        <w:t>) in the fishery</w:t>
      </w:r>
      <w:r w:rsidR="00522C88" w:rsidRPr="008C60C2">
        <w:t>, which is</w:t>
      </w:r>
      <w:r w:rsidRPr="008C60C2">
        <w:t xml:space="preserve"> the amount of fish eligible to be harvested in a given year. Fishery managers often set the TAC by using the p</w:t>
      </w:r>
      <w:r w:rsidR="00522C88" w:rsidRPr="008C60C2">
        <w:t>rinciple of optimal yield (OY) or t</w:t>
      </w:r>
      <w:r w:rsidRPr="008C60C2">
        <w:t xml:space="preserve">he largest expected yield that can be harvested from a species’ stock over a period of time. </w:t>
      </w:r>
    </w:p>
    <w:p w14:paraId="794980FF" w14:textId="45C911B5" w:rsidR="004A01FB" w:rsidRPr="008C60C2" w:rsidRDefault="00BD55A3" w:rsidP="00C81874">
      <w:pPr>
        <w:spacing w:line="480" w:lineRule="auto"/>
        <w:ind w:firstLine="720"/>
        <w:rPr>
          <w:b/>
        </w:rPr>
      </w:pPr>
      <w:r w:rsidRPr="008C60C2">
        <w:t xml:space="preserve">In the following pages, I </w:t>
      </w:r>
      <w:r w:rsidR="002C7DD5" w:rsidRPr="008C60C2">
        <w:t>explain</w:t>
      </w:r>
      <w:r w:rsidRPr="008C60C2">
        <w:t xml:space="preserve"> the variation in the design of New Zealand, Iceland, British Columbia, and Alaska’s individual quota share programs. </w:t>
      </w:r>
      <w:r w:rsidR="002C7DD5" w:rsidRPr="008C60C2">
        <w:t>I first</w:t>
      </w:r>
      <w:r w:rsidRPr="008C60C2">
        <w:t xml:space="preserve"> situat</w:t>
      </w:r>
      <w:r w:rsidR="002C7DD5" w:rsidRPr="008C60C2">
        <w:t>e</w:t>
      </w:r>
      <w:r w:rsidRPr="008C60C2">
        <w:t xml:space="preserve"> this work in the broader literature on market-based governance for </w:t>
      </w:r>
      <w:r w:rsidR="00AB14F8" w:rsidRPr="008C60C2">
        <w:t>mari</w:t>
      </w:r>
      <w:r w:rsidR="00AB14F8">
        <w:t>ne</w:t>
      </w:r>
      <w:r w:rsidR="00AB14F8" w:rsidRPr="008C60C2">
        <w:t xml:space="preserve"> </w:t>
      </w:r>
      <w:r w:rsidRPr="008C60C2">
        <w:t>fisheries, which outlines the scope of the current debate on these programs</w:t>
      </w:r>
      <w:r w:rsidR="002C7DD5" w:rsidRPr="008C60C2">
        <w:t xml:space="preserve">. I then introduce New Zealand and Iceland’s quota programs, followed by a comparison of British Columbia and Alaska. </w:t>
      </w:r>
      <w:r w:rsidRPr="008C60C2">
        <w:t xml:space="preserve">I conclude with a </w:t>
      </w:r>
      <w:r w:rsidR="002C7DD5" w:rsidRPr="008C60C2">
        <w:t xml:space="preserve">comparative </w:t>
      </w:r>
      <w:r w:rsidRPr="008C60C2">
        <w:t>discussion</w:t>
      </w:r>
      <w:r w:rsidR="002C7DD5" w:rsidRPr="008C60C2">
        <w:t>, highlighting the ways in which Alaska’s halibut and sablefish IFQ program draws distinction.</w:t>
      </w:r>
    </w:p>
    <w:p w14:paraId="1EACD854" w14:textId="0563C8A9" w:rsidR="00CA292E" w:rsidRPr="008C60C2" w:rsidRDefault="003F6B1D" w:rsidP="006F330A">
      <w:pPr>
        <w:rPr>
          <w:b/>
        </w:rPr>
      </w:pPr>
      <w:r w:rsidRPr="008C60C2">
        <w:rPr>
          <w:b/>
        </w:rPr>
        <w:t xml:space="preserve">2.0 </w:t>
      </w:r>
      <w:r w:rsidR="008B527E" w:rsidRPr="008C60C2">
        <w:rPr>
          <w:b/>
        </w:rPr>
        <w:t>Market</w:t>
      </w:r>
      <w:r w:rsidR="00D13175" w:rsidRPr="008C60C2">
        <w:rPr>
          <w:b/>
        </w:rPr>
        <w:t xml:space="preserve">-Based Governance </w:t>
      </w:r>
      <w:r w:rsidR="008B527E" w:rsidRPr="008C60C2">
        <w:rPr>
          <w:b/>
        </w:rPr>
        <w:t xml:space="preserve">for </w:t>
      </w:r>
      <w:r w:rsidR="000511E4" w:rsidRPr="008C60C2">
        <w:rPr>
          <w:b/>
        </w:rPr>
        <w:t>Marine</w:t>
      </w:r>
      <w:r w:rsidR="00D13175" w:rsidRPr="008C60C2">
        <w:rPr>
          <w:b/>
        </w:rPr>
        <w:t xml:space="preserve"> Fisheries</w:t>
      </w:r>
      <w:r w:rsidR="008B527E" w:rsidRPr="008C60C2">
        <w:rPr>
          <w:b/>
        </w:rPr>
        <w:t xml:space="preserve"> </w:t>
      </w:r>
      <w:r w:rsidR="008D6B27" w:rsidRPr="008C60C2">
        <w:rPr>
          <w:b/>
        </w:rPr>
        <w:t xml:space="preserve"> </w:t>
      </w:r>
    </w:p>
    <w:p w14:paraId="43E3155B" w14:textId="77777777" w:rsidR="00E76EBB" w:rsidRPr="008C60C2" w:rsidRDefault="00E76EBB" w:rsidP="006F330A"/>
    <w:p w14:paraId="494663C5" w14:textId="770F7F03" w:rsidR="00206734" w:rsidRPr="008C60C2" w:rsidRDefault="00CC4D3F" w:rsidP="00B80DC0">
      <w:pPr>
        <w:spacing w:line="480" w:lineRule="auto"/>
        <w:ind w:firstLine="720"/>
      </w:pPr>
      <w:r w:rsidRPr="008C60C2">
        <w:t>Maritime</w:t>
      </w:r>
      <w:r w:rsidR="002C6169" w:rsidRPr="008C60C2">
        <w:t xml:space="preserve"> governance is characterized by a complex set of institutions that aim to protect rapidly depleting natural resources by </w:t>
      </w:r>
      <w:r w:rsidR="00426B2F" w:rsidRPr="008C60C2">
        <w:t>creating</w:t>
      </w:r>
      <w:r w:rsidR="002C6169" w:rsidRPr="008C60C2">
        <w:t xml:space="preserve"> rules</w:t>
      </w:r>
      <w:r w:rsidR="009C384E" w:rsidRPr="008C60C2">
        <w:t xml:space="preserve"> </w:t>
      </w:r>
      <w:r w:rsidR="002C6169" w:rsidRPr="008C60C2">
        <w:t>that</w:t>
      </w:r>
      <w:r w:rsidR="00664FD5" w:rsidRPr="008C60C2">
        <w:t xml:space="preserve"> regulate</w:t>
      </w:r>
      <w:r w:rsidR="002C6169" w:rsidRPr="008C60C2">
        <w:t xml:space="preserve"> </w:t>
      </w:r>
      <w:r w:rsidR="001D4108" w:rsidRPr="008C60C2">
        <w:t xml:space="preserve">extractive </w:t>
      </w:r>
      <w:r w:rsidR="002C6169" w:rsidRPr="008C60C2">
        <w:t>behavior</w:t>
      </w:r>
      <w:r w:rsidR="006253DC" w:rsidRPr="008C60C2">
        <w:t xml:space="preserve"> (</w:t>
      </w:r>
      <w:proofErr w:type="spellStart"/>
      <w:r w:rsidR="006253DC" w:rsidRPr="008C60C2">
        <w:t>Jentoft</w:t>
      </w:r>
      <w:proofErr w:type="spellEnd"/>
      <w:r w:rsidR="006253DC" w:rsidRPr="008C60C2">
        <w:t xml:space="preserve"> 2004)</w:t>
      </w:r>
      <w:r w:rsidR="002C6169" w:rsidRPr="008C60C2">
        <w:t xml:space="preserve">. </w:t>
      </w:r>
      <w:r w:rsidR="001373E5" w:rsidRPr="008C60C2">
        <w:t xml:space="preserve">Prior to the implementation of individual quota systems, prominent </w:t>
      </w:r>
      <w:r w:rsidR="0096242D" w:rsidRPr="008C60C2">
        <w:t>international fisheries</w:t>
      </w:r>
      <w:r w:rsidR="001373E5" w:rsidRPr="008C60C2">
        <w:t xml:space="preserve"> </w:t>
      </w:r>
      <w:r w:rsidR="0096242D" w:rsidRPr="008C60C2">
        <w:t>were</w:t>
      </w:r>
      <w:r w:rsidR="001373E5" w:rsidRPr="008C60C2">
        <w:t xml:space="preserve"> </w:t>
      </w:r>
      <w:r w:rsidR="0096242D" w:rsidRPr="008C60C2">
        <w:t>managed by</w:t>
      </w:r>
      <w:r w:rsidR="001373E5" w:rsidRPr="008C60C2">
        <w:t xml:space="preserve"> geographically-based harvest restrictions, </w:t>
      </w:r>
      <w:r w:rsidR="0096242D" w:rsidRPr="008C60C2">
        <w:t>shortened fishing seasons</w:t>
      </w:r>
      <w:r w:rsidR="001373E5" w:rsidRPr="008C60C2">
        <w:t xml:space="preserve">, </w:t>
      </w:r>
      <w:r w:rsidR="00D40063" w:rsidRPr="008C60C2">
        <w:t xml:space="preserve">and </w:t>
      </w:r>
      <w:r w:rsidR="001373E5" w:rsidRPr="008C60C2">
        <w:t xml:space="preserve">limited </w:t>
      </w:r>
      <w:r w:rsidR="0096242D" w:rsidRPr="008C60C2">
        <w:t>license policies that</w:t>
      </w:r>
      <w:r w:rsidR="006054AB" w:rsidRPr="008C60C2">
        <w:t xml:space="preserve"> </w:t>
      </w:r>
      <w:r w:rsidR="00D40063" w:rsidRPr="008C60C2">
        <w:t xml:space="preserve">capped </w:t>
      </w:r>
      <w:r w:rsidR="006054AB" w:rsidRPr="008C60C2">
        <w:t xml:space="preserve">the number of individuals that </w:t>
      </w:r>
      <w:r w:rsidR="00D40063" w:rsidRPr="008C60C2">
        <w:t xml:space="preserve">had </w:t>
      </w:r>
      <w:r w:rsidR="006054AB" w:rsidRPr="008C60C2">
        <w:t>access to the fishery</w:t>
      </w:r>
      <w:r w:rsidR="0015416A" w:rsidRPr="008C60C2">
        <w:t xml:space="preserve"> (Buck 1995). I</w:t>
      </w:r>
      <w:r w:rsidR="006C404A" w:rsidRPr="008C60C2">
        <w:t>ndividual fishing licenses</w:t>
      </w:r>
      <w:r w:rsidR="0015416A" w:rsidRPr="008C60C2">
        <w:t xml:space="preserve"> are </w:t>
      </w:r>
      <w:r w:rsidR="0096242D" w:rsidRPr="008C60C2">
        <w:t>different from</w:t>
      </w:r>
      <w:r w:rsidR="0015416A" w:rsidRPr="008C60C2">
        <w:t xml:space="preserve"> IFQs because</w:t>
      </w:r>
      <w:r w:rsidR="006C404A" w:rsidRPr="008C60C2">
        <w:t xml:space="preserve"> </w:t>
      </w:r>
      <w:r w:rsidR="0015416A" w:rsidRPr="008C60C2">
        <w:t xml:space="preserve">they </w:t>
      </w:r>
      <w:r w:rsidR="006C404A" w:rsidRPr="008C60C2">
        <w:t xml:space="preserve">do not also specify </w:t>
      </w:r>
      <w:r w:rsidR="0015416A" w:rsidRPr="008C60C2">
        <w:t>the quantity of</w:t>
      </w:r>
      <w:r w:rsidR="006C404A" w:rsidRPr="008C60C2">
        <w:t xml:space="preserve"> fish an individual harvester is able to take</w:t>
      </w:r>
      <w:r w:rsidR="0096242D" w:rsidRPr="008C60C2">
        <w:t>;</w:t>
      </w:r>
      <w:r w:rsidR="006804E4" w:rsidRPr="008C60C2">
        <w:t xml:space="preserve"> as a result, </w:t>
      </w:r>
      <w:r w:rsidR="006C404A" w:rsidRPr="008C60C2">
        <w:t>these fisheries often exceed the TAC without effective monitoring and enforcement</w:t>
      </w:r>
      <w:r w:rsidR="001373E5" w:rsidRPr="008C60C2">
        <w:t>.</w:t>
      </w:r>
      <w:r w:rsidR="006054AB" w:rsidRPr="008C60C2">
        <w:t xml:space="preserve"> </w:t>
      </w:r>
      <w:r w:rsidR="003656D0" w:rsidRPr="008C60C2">
        <w:t>Throughout the 1970s and 1980s</w:t>
      </w:r>
      <w:r w:rsidR="00D40063" w:rsidRPr="008C60C2">
        <w:t xml:space="preserve">, it became apparent to managers and policymakers that </w:t>
      </w:r>
      <w:r w:rsidR="003656D0" w:rsidRPr="008C60C2">
        <w:t>these</w:t>
      </w:r>
      <w:r w:rsidR="00D40063" w:rsidRPr="008C60C2">
        <w:t xml:space="preserve"> policies were </w:t>
      </w:r>
      <w:r w:rsidR="003656D0" w:rsidRPr="008C60C2">
        <w:t>largely ineffective due</w:t>
      </w:r>
      <w:r w:rsidR="00640D19" w:rsidRPr="008C60C2">
        <w:t xml:space="preserve"> to the absence of </w:t>
      </w:r>
      <w:r w:rsidR="003656D0" w:rsidRPr="008C60C2">
        <w:t xml:space="preserve">robust </w:t>
      </w:r>
      <w:r w:rsidR="00640D19" w:rsidRPr="008C60C2">
        <w:t>monitoring</w:t>
      </w:r>
      <w:r w:rsidR="003656D0" w:rsidRPr="008C60C2">
        <w:t xml:space="preserve"> programs</w:t>
      </w:r>
      <w:r w:rsidR="00640D19" w:rsidRPr="008C60C2">
        <w:t xml:space="preserve">, </w:t>
      </w:r>
      <w:r w:rsidR="00EB52F7" w:rsidRPr="008C60C2">
        <w:t>technological changes in the industry that</w:t>
      </w:r>
      <w:r w:rsidR="003656D0" w:rsidRPr="008C60C2">
        <w:t xml:space="preserve"> greatly</w:t>
      </w:r>
      <w:r w:rsidR="00EB52F7" w:rsidRPr="008C60C2">
        <w:t xml:space="preserve"> </w:t>
      </w:r>
      <w:r w:rsidR="003656D0" w:rsidRPr="008C60C2">
        <w:t xml:space="preserve">improved the fleet’s </w:t>
      </w:r>
      <w:r w:rsidR="00EB52F7" w:rsidRPr="008C60C2">
        <w:t xml:space="preserve">harvesting capacity, </w:t>
      </w:r>
      <w:r w:rsidR="00640D19" w:rsidRPr="008C60C2">
        <w:t xml:space="preserve">and the economic incentives presented to fishers who </w:t>
      </w:r>
      <w:r w:rsidR="00640D19" w:rsidRPr="008C60C2">
        <w:lastRenderedPageBreak/>
        <w:t>were able to quickly harvest large quantities of fish</w:t>
      </w:r>
      <w:r w:rsidR="00FD790F" w:rsidRPr="008C60C2">
        <w:t xml:space="preserve"> in the shortened seasons</w:t>
      </w:r>
      <w:r w:rsidR="00D40063" w:rsidRPr="008C60C2">
        <w:t xml:space="preserve"> that placed valuable fisheries at the brink of collapse</w:t>
      </w:r>
      <w:r w:rsidR="00640D19" w:rsidRPr="008C60C2">
        <w:t xml:space="preserve"> </w:t>
      </w:r>
      <w:r w:rsidR="003D6E09" w:rsidRPr="008C60C2">
        <w:t>(Anderson 1994)</w:t>
      </w:r>
      <w:r w:rsidR="00640D19" w:rsidRPr="008C60C2">
        <w:t>.</w:t>
      </w:r>
      <w:r w:rsidR="00206734" w:rsidRPr="008C60C2">
        <w:t xml:space="preserve"> </w:t>
      </w:r>
    </w:p>
    <w:p w14:paraId="50622788" w14:textId="51107DA7" w:rsidR="00173BD9" w:rsidRPr="008C60C2" w:rsidRDefault="00EB52F7" w:rsidP="00114D3D">
      <w:pPr>
        <w:spacing w:line="480" w:lineRule="auto"/>
        <w:ind w:firstLine="720"/>
      </w:pPr>
      <w:r w:rsidRPr="008C60C2">
        <w:t>Recognizing these problems,</w:t>
      </w:r>
      <w:r w:rsidR="006B733C" w:rsidRPr="008C60C2">
        <w:t xml:space="preserve"> </w:t>
      </w:r>
      <w:r w:rsidR="00A5066D" w:rsidRPr="008C60C2">
        <w:t>e</w:t>
      </w:r>
      <w:r w:rsidR="006B733C" w:rsidRPr="008C60C2">
        <w:t>conomists have long emphasized property rights as the best way to protect natural resources because they reduce the number of potential harvesters, increase efficiency throughout the fishing industry by removing unproductive labor, and give property owners a long-term stake in the resource thereby protecting its sustainability (</w:t>
      </w:r>
      <w:proofErr w:type="spellStart"/>
      <w:r w:rsidR="006B733C" w:rsidRPr="008C60C2">
        <w:t>Arnason</w:t>
      </w:r>
      <w:proofErr w:type="spellEnd"/>
      <w:r w:rsidR="006B733C" w:rsidRPr="008C60C2">
        <w:t xml:space="preserve"> 1993; Anderson and Leal 2001).</w:t>
      </w:r>
      <w:r w:rsidR="00114D3D" w:rsidRPr="008C60C2">
        <w:t xml:space="preserve"> </w:t>
      </w:r>
      <w:r w:rsidR="00A5066D" w:rsidRPr="008C60C2">
        <w:t xml:space="preserve">To achieve these </w:t>
      </w:r>
      <w:r w:rsidR="003B05AA" w:rsidRPr="008C60C2">
        <w:t>benefits,</w:t>
      </w:r>
      <w:r w:rsidR="00A5066D" w:rsidRPr="008C60C2">
        <w:t xml:space="preserve"> the rights must </w:t>
      </w:r>
      <w:r w:rsidR="003B05AA" w:rsidRPr="008C60C2">
        <w:t>have clear ownership rules</w:t>
      </w:r>
      <w:r w:rsidR="003E62E4">
        <w:t>, and</w:t>
      </w:r>
      <w:r w:rsidR="002C7DD5" w:rsidRPr="008C60C2">
        <w:t xml:space="preserve"> i</w:t>
      </w:r>
      <w:r w:rsidR="00A1173D" w:rsidRPr="008C60C2">
        <w:t xml:space="preserve">t was Coase (1960) who famously argued </w:t>
      </w:r>
      <w:r w:rsidR="002C7DD5" w:rsidRPr="008C60C2">
        <w:t xml:space="preserve">for transferable property rights </w:t>
      </w:r>
      <w:r w:rsidR="003E62E4">
        <w:t xml:space="preserve">with </w:t>
      </w:r>
      <w:r w:rsidR="002C7DD5" w:rsidRPr="008C60C2">
        <w:t>sufficiently low</w:t>
      </w:r>
      <w:r w:rsidR="00AE5409" w:rsidRPr="008C60C2">
        <w:t xml:space="preserve"> transaction costs for </w:t>
      </w:r>
      <w:r w:rsidR="002C7DD5" w:rsidRPr="008C60C2">
        <w:t xml:space="preserve">transferring rights </w:t>
      </w:r>
      <w:r w:rsidR="003E62E4">
        <w:t>to allow</w:t>
      </w:r>
      <w:r w:rsidR="002C7DD5" w:rsidRPr="008C60C2">
        <w:rPr>
          <w:rFonts w:eastAsia="Times New Roman"/>
          <w:color w:val="000000" w:themeColor="text1"/>
        </w:rPr>
        <w:t xml:space="preserve"> for those harvesters with the most capacity to purchase and consolidate rights (</w:t>
      </w:r>
      <w:proofErr w:type="spellStart"/>
      <w:r w:rsidR="002C7DD5" w:rsidRPr="008C60C2">
        <w:rPr>
          <w:rFonts w:eastAsia="Times New Roman"/>
          <w:color w:val="000000" w:themeColor="text1"/>
        </w:rPr>
        <w:t>Arnason</w:t>
      </w:r>
      <w:proofErr w:type="spellEnd"/>
      <w:r w:rsidR="002C7DD5" w:rsidRPr="008C60C2">
        <w:rPr>
          <w:rFonts w:eastAsia="Times New Roman"/>
          <w:color w:val="000000" w:themeColor="text1"/>
        </w:rPr>
        <w:t xml:space="preserve"> </w:t>
      </w:r>
      <w:r w:rsidR="00DA5967" w:rsidRPr="008C60C2">
        <w:rPr>
          <w:rFonts w:eastAsia="Times New Roman"/>
          <w:color w:val="000000" w:themeColor="text1"/>
        </w:rPr>
        <w:t>2005</w:t>
      </w:r>
      <w:r w:rsidR="002C7DD5" w:rsidRPr="008C60C2">
        <w:rPr>
          <w:rFonts w:eastAsia="Times New Roman"/>
          <w:color w:val="000000" w:themeColor="text1"/>
        </w:rPr>
        <w:t>).</w:t>
      </w:r>
      <w:r w:rsidR="002C7DD5" w:rsidRPr="008C60C2">
        <w:t xml:space="preserve"> </w:t>
      </w:r>
      <w:r w:rsidR="00AE5409" w:rsidRPr="008C60C2">
        <w:t>The</w:t>
      </w:r>
      <w:r w:rsidR="00173BD9" w:rsidRPr="008C60C2">
        <w:t>se assertions outline</w:t>
      </w:r>
      <w:r w:rsidR="00AE5409" w:rsidRPr="008C60C2">
        <w:t xml:space="preserve"> the </w:t>
      </w:r>
      <w:r w:rsidR="003E62E4">
        <w:t>“</w:t>
      </w:r>
      <w:r w:rsidR="00AE5409" w:rsidRPr="008C60C2">
        <w:t>ideal</w:t>
      </w:r>
      <w:r w:rsidR="003E62E4">
        <w:t>”</w:t>
      </w:r>
      <w:r w:rsidR="00AE5409" w:rsidRPr="008C60C2">
        <w:t xml:space="preserve"> </w:t>
      </w:r>
      <w:r w:rsidR="00756DA5" w:rsidRPr="008C60C2">
        <w:t xml:space="preserve">economic </w:t>
      </w:r>
      <w:r w:rsidR="00AE5409" w:rsidRPr="008C60C2">
        <w:t>model for fisheries governance</w:t>
      </w:r>
      <w:r w:rsidR="00AB14F8">
        <w:t>—</w:t>
      </w:r>
      <w:r w:rsidR="00173BD9" w:rsidRPr="008C60C2">
        <w:t xml:space="preserve"> </w:t>
      </w:r>
      <w:r w:rsidR="00145CE7" w:rsidRPr="008C60C2">
        <w:t xml:space="preserve">the rights </w:t>
      </w:r>
      <w:r w:rsidR="00173BD9" w:rsidRPr="008C60C2">
        <w:t xml:space="preserve">must be </w:t>
      </w:r>
      <w:r w:rsidR="00145CE7" w:rsidRPr="008C60C2">
        <w:t>well</w:t>
      </w:r>
      <w:r w:rsidR="00173BD9" w:rsidRPr="008C60C2">
        <w:t>-</w:t>
      </w:r>
      <w:r w:rsidR="00145CE7" w:rsidRPr="008C60C2">
        <w:t xml:space="preserve">defined, </w:t>
      </w:r>
      <w:r w:rsidR="00173BD9" w:rsidRPr="008C60C2">
        <w:t xml:space="preserve">easily </w:t>
      </w:r>
      <w:r w:rsidR="00145CE7" w:rsidRPr="008C60C2">
        <w:t xml:space="preserve">transferrable, and </w:t>
      </w:r>
      <w:r w:rsidR="00510653" w:rsidRPr="008C60C2">
        <w:t>secure</w:t>
      </w:r>
      <w:r w:rsidR="00145CE7" w:rsidRPr="008C60C2">
        <w:t xml:space="preserve"> by law</w:t>
      </w:r>
      <w:r w:rsidR="00756DA5" w:rsidRPr="008C60C2">
        <w:t xml:space="preserve"> or custom</w:t>
      </w:r>
      <w:r w:rsidR="00145CE7" w:rsidRPr="008C60C2">
        <w:t xml:space="preserve"> </w:t>
      </w:r>
      <w:r w:rsidR="0056129B" w:rsidRPr="008C60C2">
        <w:t xml:space="preserve">where the owner can withstand a challenge and maintain the right </w:t>
      </w:r>
      <w:r w:rsidR="00145CE7" w:rsidRPr="008C60C2">
        <w:t xml:space="preserve">(Coase 1960; </w:t>
      </w:r>
      <w:proofErr w:type="spellStart"/>
      <w:r w:rsidR="002C7DD5" w:rsidRPr="008C60C2">
        <w:t>Demsetz</w:t>
      </w:r>
      <w:proofErr w:type="spellEnd"/>
      <w:r w:rsidR="002C7DD5" w:rsidRPr="008C60C2">
        <w:t xml:space="preserve"> 1967; </w:t>
      </w:r>
      <w:proofErr w:type="spellStart"/>
      <w:r w:rsidR="00A1173D" w:rsidRPr="008C60C2">
        <w:t>Moloney</w:t>
      </w:r>
      <w:proofErr w:type="spellEnd"/>
      <w:r w:rsidR="00A1173D" w:rsidRPr="008C60C2">
        <w:t xml:space="preserve"> and </w:t>
      </w:r>
      <w:proofErr w:type="spellStart"/>
      <w:r w:rsidR="00A1173D" w:rsidRPr="008C60C2">
        <w:t>Pearse</w:t>
      </w:r>
      <w:proofErr w:type="spellEnd"/>
      <w:r w:rsidR="00A1173D" w:rsidRPr="008C60C2">
        <w:t xml:space="preserve"> 1979</w:t>
      </w:r>
      <w:r w:rsidR="00145CE7" w:rsidRPr="008C60C2">
        <w:t>).</w:t>
      </w:r>
    </w:p>
    <w:p w14:paraId="63CE35EA" w14:textId="76944F6C" w:rsidR="001373E5" w:rsidRPr="008C60C2" w:rsidRDefault="00145CE7" w:rsidP="00D061BA">
      <w:pPr>
        <w:spacing w:line="480" w:lineRule="auto"/>
        <w:ind w:firstLine="720"/>
      </w:pPr>
      <w:r w:rsidRPr="008C60C2">
        <w:t xml:space="preserve"> </w:t>
      </w:r>
      <w:r w:rsidR="00173BD9" w:rsidRPr="008C60C2">
        <w:t xml:space="preserve">While economists may have </w:t>
      </w:r>
      <w:r w:rsidR="00197089" w:rsidRPr="008C60C2">
        <w:t xml:space="preserve">come to a conclusion on what constitutes the </w:t>
      </w:r>
      <w:r w:rsidR="003E62E4">
        <w:t>i</w:t>
      </w:r>
      <w:r w:rsidR="00197089" w:rsidRPr="008C60C2">
        <w:t xml:space="preserve">deal for </w:t>
      </w:r>
      <w:r w:rsidR="00173BD9" w:rsidRPr="008C60C2">
        <w:t xml:space="preserve">creating a new commodity in fishing rights, </w:t>
      </w:r>
      <w:r w:rsidR="00197089" w:rsidRPr="008C60C2">
        <w:t xml:space="preserve">the </w:t>
      </w:r>
      <w:r w:rsidR="00173BD9" w:rsidRPr="008C60C2">
        <w:t>soci</w:t>
      </w:r>
      <w:r w:rsidR="00A43935" w:rsidRPr="008C60C2">
        <w:t xml:space="preserve">opolitical </w:t>
      </w:r>
      <w:r w:rsidR="00173BD9" w:rsidRPr="008C60C2">
        <w:t xml:space="preserve">acceptability of </w:t>
      </w:r>
      <w:r w:rsidR="00A43935" w:rsidRPr="008C60C2">
        <w:t xml:space="preserve">a property </w:t>
      </w:r>
      <w:r w:rsidR="00173BD9" w:rsidRPr="008C60C2">
        <w:t xml:space="preserve">regime </w:t>
      </w:r>
      <w:r w:rsidR="007C2029" w:rsidRPr="008C60C2">
        <w:t>depend</w:t>
      </w:r>
      <w:r w:rsidR="00A43935" w:rsidRPr="008C60C2">
        <w:t>s</w:t>
      </w:r>
      <w:r w:rsidR="007C2029" w:rsidRPr="008C60C2">
        <w:t xml:space="preserve"> on</w:t>
      </w:r>
      <w:r w:rsidR="00173BD9" w:rsidRPr="008C60C2">
        <w:t xml:space="preserve"> the </w:t>
      </w:r>
      <w:r w:rsidR="00A43935" w:rsidRPr="008C60C2">
        <w:t>working</w:t>
      </w:r>
      <w:r w:rsidR="00494C24" w:rsidRPr="008C60C2">
        <w:t xml:space="preserve"> </w:t>
      </w:r>
      <w:r w:rsidRPr="008C60C2">
        <w:t>structure of the fishery</w:t>
      </w:r>
      <w:r w:rsidR="00EB52F7" w:rsidRPr="008C60C2">
        <w:t xml:space="preserve"> (</w:t>
      </w:r>
      <w:proofErr w:type="spellStart"/>
      <w:r w:rsidR="00EB52F7" w:rsidRPr="008C60C2">
        <w:t>Alcock</w:t>
      </w:r>
      <w:proofErr w:type="spellEnd"/>
      <w:r w:rsidR="00EB52F7" w:rsidRPr="008C60C2">
        <w:t xml:space="preserve"> 2006). </w:t>
      </w:r>
      <w:r w:rsidR="00920059" w:rsidRPr="008C60C2">
        <w:t xml:space="preserve">For example, a </w:t>
      </w:r>
      <w:r w:rsidRPr="008C60C2">
        <w:t xml:space="preserve">fishery </w:t>
      </w:r>
      <w:r w:rsidR="00EB52F7" w:rsidRPr="008C60C2">
        <w:t>characterized</w:t>
      </w:r>
      <w:r w:rsidRPr="008C60C2">
        <w:t xml:space="preserve"> by </w:t>
      </w:r>
      <w:r w:rsidR="0069320F" w:rsidRPr="008C60C2">
        <w:t xml:space="preserve">relatively few </w:t>
      </w:r>
      <w:r w:rsidRPr="008C60C2">
        <w:t xml:space="preserve">vertically integrated firms </w:t>
      </w:r>
      <w:r w:rsidR="00012452" w:rsidRPr="008C60C2">
        <w:t>are</w:t>
      </w:r>
      <w:r w:rsidR="00920059" w:rsidRPr="008C60C2">
        <w:t xml:space="preserve"> </w:t>
      </w:r>
      <w:r w:rsidRPr="008C60C2">
        <w:t xml:space="preserve">more likely to adopt </w:t>
      </w:r>
      <w:r w:rsidR="00173BD9" w:rsidRPr="008C60C2">
        <w:t xml:space="preserve">a property </w:t>
      </w:r>
      <w:r w:rsidR="00920059" w:rsidRPr="008C60C2">
        <w:t xml:space="preserve">rights </w:t>
      </w:r>
      <w:r w:rsidR="00173BD9" w:rsidRPr="008C60C2">
        <w:t>regime</w:t>
      </w:r>
      <w:r w:rsidRPr="008C60C2">
        <w:t xml:space="preserve"> </w:t>
      </w:r>
      <w:r w:rsidR="00197089" w:rsidRPr="008C60C2">
        <w:t xml:space="preserve">because </w:t>
      </w:r>
      <w:r w:rsidR="0069320F" w:rsidRPr="008C60C2">
        <w:t>the i</w:t>
      </w:r>
      <w:r w:rsidR="00920059" w:rsidRPr="008C60C2">
        <w:t>ndustry will be</w:t>
      </w:r>
      <w:r w:rsidR="00197089" w:rsidRPr="008C60C2">
        <w:t xml:space="preserve"> </w:t>
      </w:r>
      <w:r w:rsidR="0069320F" w:rsidRPr="008C60C2">
        <w:t>less c</w:t>
      </w:r>
      <w:r w:rsidR="00EB52F7" w:rsidRPr="008C60C2">
        <w:t>oncerned with</w:t>
      </w:r>
      <w:r w:rsidR="0069320F" w:rsidRPr="008C60C2">
        <w:t xml:space="preserve"> distributional outcomes and more focused on</w:t>
      </w:r>
      <w:r w:rsidR="00EB52F7" w:rsidRPr="008C60C2">
        <w:t xml:space="preserve"> improving efficiency and maximizing rents</w:t>
      </w:r>
      <w:r w:rsidR="00173BD9" w:rsidRPr="008C60C2">
        <w:t>. However, a fishery</w:t>
      </w:r>
      <w:r w:rsidR="00197089" w:rsidRPr="008C60C2">
        <w:t xml:space="preserve"> dominated by independent harvesters will be less likely to support </w:t>
      </w:r>
      <w:r w:rsidR="0069320F" w:rsidRPr="008C60C2">
        <w:t xml:space="preserve">the implementation of property rights because harvesters will be </w:t>
      </w:r>
      <w:r w:rsidR="002C7DD5" w:rsidRPr="008C60C2">
        <w:t>more</w:t>
      </w:r>
      <w:r w:rsidR="0069320F" w:rsidRPr="008C60C2">
        <w:t xml:space="preserve"> focused on the potential for negative distributional outcomes to be produced</w:t>
      </w:r>
      <w:r w:rsidR="00197089" w:rsidRPr="008C60C2">
        <w:t xml:space="preserve"> (</w:t>
      </w:r>
      <w:proofErr w:type="spellStart"/>
      <w:r w:rsidR="00197089" w:rsidRPr="008C60C2">
        <w:t>Alcock</w:t>
      </w:r>
      <w:proofErr w:type="spellEnd"/>
      <w:r w:rsidR="00197089" w:rsidRPr="008C60C2">
        <w:t xml:space="preserve"> 2006).</w:t>
      </w:r>
      <w:r w:rsidR="00114D3D" w:rsidRPr="008C60C2">
        <w:t xml:space="preserve"> The distributional outcomes </w:t>
      </w:r>
      <w:r w:rsidR="000C6CE5" w:rsidRPr="008C60C2">
        <w:t>concern</w:t>
      </w:r>
      <w:r w:rsidR="00114D3D" w:rsidRPr="008C60C2">
        <w:t>ing</w:t>
      </w:r>
      <w:r w:rsidR="000C6CE5" w:rsidRPr="008C60C2">
        <w:t xml:space="preserve"> independent harvesters include the loss of employment as large and over capitalized fleets consolidate</w:t>
      </w:r>
      <w:r w:rsidR="00114D3D" w:rsidRPr="008C60C2">
        <w:t>,</w:t>
      </w:r>
      <w:r w:rsidR="000C6CE5" w:rsidRPr="008C60C2">
        <w:t xml:space="preserve"> changes in </w:t>
      </w:r>
      <w:r w:rsidR="000C6CE5" w:rsidRPr="008C60C2">
        <w:lastRenderedPageBreak/>
        <w:t xml:space="preserve">fishing communities, a loss of bargaining power among crewmembers, and the redistribution of rents across the fishery (Copes 1986; </w:t>
      </w:r>
      <w:proofErr w:type="spellStart"/>
      <w:r w:rsidR="000C6CE5" w:rsidRPr="008C60C2">
        <w:t>Alcock</w:t>
      </w:r>
      <w:proofErr w:type="spellEnd"/>
      <w:r w:rsidR="000C6CE5" w:rsidRPr="008C60C2">
        <w:t xml:space="preserve"> 2006; Pinkerton and </w:t>
      </w:r>
      <w:r w:rsidR="00BF00EE" w:rsidRPr="008C60C2">
        <w:t>Edwards</w:t>
      </w:r>
      <w:r w:rsidR="000C6CE5" w:rsidRPr="008C60C2">
        <w:t xml:space="preserve"> 2009).</w:t>
      </w:r>
    </w:p>
    <w:p w14:paraId="6ACBFE47" w14:textId="00B14577" w:rsidR="0014146C" w:rsidRPr="008C60C2" w:rsidRDefault="00EF0A26" w:rsidP="008B5405">
      <w:pPr>
        <w:spacing w:line="480" w:lineRule="auto"/>
        <w:ind w:firstLine="720"/>
      </w:pPr>
      <w:r w:rsidRPr="008C60C2">
        <w:t>Market advocates see the</w:t>
      </w:r>
      <w:r w:rsidR="00173BD9" w:rsidRPr="008C60C2">
        <w:t xml:space="preserve"> </w:t>
      </w:r>
      <w:r w:rsidR="00111C21" w:rsidRPr="008C60C2">
        <w:t xml:space="preserve">creation </w:t>
      </w:r>
      <w:r w:rsidR="000F0478" w:rsidRPr="008C60C2">
        <w:t xml:space="preserve">of </w:t>
      </w:r>
      <w:r w:rsidR="00111C21" w:rsidRPr="008C60C2">
        <w:t>a limited number of i</w:t>
      </w:r>
      <w:r w:rsidR="000F0478" w:rsidRPr="008C60C2">
        <w:t xml:space="preserve">ndividual property rights </w:t>
      </w:r>
      <w:r w:rsidR="00111C21" w:rsidRPr="008C60C2">
        <w:t xml:space="preserve">to access a natural resource </w:t>
      </w:r>
      <w:r w:rsidR="000F0478" w:rsidRPr="008C60C2">
        <w:t xml:space="preserve">as the </w:t>
      </w:r>
      <w:r w:rsidR="00111C21" w:rsidRPr="008C60C2">
        <w:t xml:space="preserve">preferred </w:t>
      </w:r>
      <w:r w:rsidR="000F0478" w:rsidRPr="008C60C2">
        <w:t xml:space="preserve">way to efficiently </w:t>
      </w:r>
      <w:r w:rsidR="00111C21" w:rsidRPr="008C60C2">
        <w:t xml:space="preserve">harvest that </w:t>
      </w:r>
      <w:r w:rsidR="000F0478" w:rsidRPr="008C60C2">
        <w:t>resource</w:t>
      </w:r>
      <w:r w:rsidR="00111C21" w:rsidRPr="008C60C2">
        <w:t xml:space="preserve"> over time</w:t>
      </w:r>
      <w:r w:rsidR="000F0478" w:rsidRPr="008C60C2">
        <w:t xml:space="preserve">, but </w:t>
      </w:r>
      <w:r w:rsidR="00173BD9" w:rsidRPr="008C60C2">
        <w:t xml:space="preserve">critics of privatization have long argued that individual quota systems privilege economic concerns and give greater political control of a fishery to managers and politicians while placing social and cultural goals in the background (Carothers 2010). These concerns reflect findings from Ostrom (1990) that suggest management policies </w:t>
      </w:r>
      <w:r w:rsidR="000F0478" w:rsidRPr="008C60C2">
        <w:t xml:space="preserve">are less likely to be effective when local goals and values are not taken into consideration during the policy design </w:t>
      </w:r>
      <w:r w:rsidR="00173BD9" w:rsidRPr="008C60C2">
        <w:t>process.</w:t>
      </w:r>
      <w:r w:rsidR="000F0478" w:rsidRPr="008C60C2">
        <w:t xml:space="preserve"> </w:t>
      </w:r>
      <w:r w:rsidR="008B5405">
        <w:t xml:space="preserve">This </w:t>
      </w:r>
      <w:r w:rsidR="002D704D" w:rsidRPr="008C60C2">
        <w:t xml:space="preserve">research </w:t>
      </w:r>
      <w:r w:rsidR="008B5405">
        <w:t xml:space="preserve">further </w:t>
      </w:r>
      <w:r w:rsidR="002D704D" w:rsidRPr="008C60C2">
        <w:t xml:space="preserve">challenges the efficacy of individual quota policies by highlighting the negative distributional outcomes produced for fishing fleets and local communities </w:t>
      </w:r>
      <w:r w:rsidR="00695C03" w:rsidRPr="008C60C2">
        <w:t xml:space="preserve">as quota shares concentrate into relatively few hands over time </w:t>
      </w:r>
      <w:r w:rsidR="002D704D" w:rsidRPr="008C60C2">
        <w:t>(</w:t>
      </w:r>
      <w:proofErr w:type="spellStart"/>
      <w:r w:rsidR="002D704D" w:rsidRPr="008C60C2">
        <w:rPr>
          <w:color w:val="000000" w:themeColor="text1"/>
        </w:rPr>
        <w:t>Karlsdóttir</w:t>
      </w:r>
      <w:proofErr w:type="spellEnd"/>
      <w:r w:rsidR="002D704D" w:rsidRPr="008C60C2" w:rsidDel="007F62E6">
        <w:rPr>
          <w:color w:val="000000" w:themeColor="text1"/>
        </w:rPr>
        <w:t xml:space="preserve"> </w:t>
      </w:r>
      <w:r w:rsidR="00695C03" w:rsidRPr="008C60C2">
        <w:t>2008; Carothers 2011).</w:t>
      </w:r>
      <w:r w:rsidR="008B5405">
        <w:t xml:space="preserve"> More specifically,</w:t>
      </w:r>
      <w:r w:rsidR="00FE2CC7" w:rsidRPr="008C60C2">
        <w:t xml:space="preserve"> privatization </w:t>
      </w:r>
      <w:r w:rsidR="008B5405">
        <w:t xml:space="preserve">has </w:t>
      </w:r>
      <w:r w:rsidR="008B5405" w:rsidRPr="008C60C2">
        <w:t>marginalize</w:t>
      </w:r>
      <w:r w:rsidR="008B5405">
        <w:t>d</w:t>
      </w:r>
      <w:r w:rsidR="008B5405" w:rsidRPr="008C60C2">
        <w:t xml:space="preserve"> </w:t>
      </w:r>
      <w:r w:rsidR="00BD491E" w:rsidRPr="008C60C2">
        <w:t>traditional and kin-based</w:t>
      </w:r>
      <w:r w:rsidR="00E76EBB" w:rsidRPr="008C60C2">
        <w:t xml:space="preserve"> fishing operations </w:t>
      </w:r>
      <w:r w:rsidR="00BD491E" w:rsidRPr="008C60C2">
        <w:t xml:space="preserve">and </w:t>
      </w:r>
      <w:r w:rsidR="00E76EBB" w:rsidRPr="008C60C2">
        <w:t>lifestyles</w:t>
      </w:r>
      <w:r w:rsidR="00FD3C98" w:rsidRPr="008C60C2">
        <w:t xml:space="preserve"> </w:t>
      </w:r>
      <w:r w:rsidR="008C3237" w:rsidRPr="008C60C2">
        <w:t>(</w:t>
      </w:r>
      <w:proofErr w:type="spellStart"/>
      <w:r w:rsidR="00FD3C98" w:rsidRPr="008C60C2">
        <w:rPr>
          <w:color w:val="000000" w:themeColor="text1"/>
        </w:rPr>
        <w:t>Eythórsson</w:t>
      </w:r>
      <w:proofErr w:type="spellEnd"/>
      <w:r w:rsidR="00FD3C98" w:rsidRPr="008C60C2">
        <w:rPr>
          <w:color w:val="000000" w:themeColor="text1"/>
        </w:rPr>
        <w:t xml:space="preserve"> 1996; </w:t>
      </w:r>
      <w:proofErr w:type="spellStart"/>
      <w:r w:rsidR="007F62E6" w:rsidRPr="008C60C2">
        <w:rPr>
          <w:color w:val="000000" w:themeColor="text1"/>
        </w:rPr>
        <w:t>Karlsdóttir</w:t>
      </w:r>
      <w:proofErr w:type="spellEnd"/>
      <w:r w:rsidR="007F62E6" w:rsidRPr="008C60C2" w:rsidDel="007F62E6">
        <w:rPr>
          <w:color w:val="000000" w:themeColor="text1"/>
        </w:rPr>
        <w:t xml:space="preserve"> </w:t>
      </w:r>
      <w:r w:rsidR="00FD3C98" w:rsidRPr="008C60C2">
        <w:rPr>
          <w:color w:val="000000" w:themeColor="text1"/>
        </w:rPr>
        <w:t>2008)</w:t>
      </w:r>
      <w:r w:rsidR="00B57CE3" w:rsidRPr="008C60C2">
        <w:t>, br</w:t>
      </w:r>
      <w:r w:rsidR="008B5405">
        <w:t xml:space="preserve">oken social </w:t>
      </w:r>
      <w:r w:rsidR="00E76EBB" w:rsidRPr="008C60C2">
        <w:t>networks in fishing communities</w:t>
      </w:r>
      <w:r w:rsidR="00595164" w:rsidRPr="008C60C2">
        <w:t xml:space="preserve"> by producing cultural changes in the types activities pursued by individuals residing in fishing communities</w:t>
      </w:r>
      <w:r w:rsidR="00FD3C98" w:rsidRPr="008C60C2">
        <w:t xml:space="preserve"> (</w:t>
      </w:r>
      <w:proofErr w:type="spellStart"/>
      <w:r w:rsidR="00FD3C98" w:rsidRPr="008C60C2">
        <w:t>Holen</w:t>
      </w:r>
      <w:proofErr w:type="spellEnd"/>
      <w:r w:rsidR="00FD3C98" w:rsidRPr="008C60C2">
        <w:t xml:space="preserve"> 2014)</w:t>
      </w:r>
      <w:r w:rsidR="00E76EBB" w:rsidRPr="008C60C2">
        <w:t>,</w:t>
      </w:r>
      <w:r w:rsidR="008B5405">
        <w:t xml:space="preserve"> and created new barriers of entry for younger fishers</w:t>
      </w:r>
      <w:r w:rsidR="002D704D" w:rsidRPr="008C60C2">
        <w:t xml:space="preserve"> (</w:t>
      </w:r>
      <w:proofErr w:type="spellStart"/>
      <w:r w:rsidR="002D704D" w:rsidRPr="008C60C2">
        <w:t>Donkersloot</w:t>
      </w:r>
      <w:proofErr w:type="spellEnd"/>
      <w:r w:rsidR="002D704D" w:rsidRPr="008C60C2">
        <w:t xml:space="preserve"> and Carothers 2014)</w:t>
      </w:r>
      <w:r w:rsidR="00FD3C98" w:rsidRPr="008C60C2">
        <w:t xml:space="preserve">. </w:t>
      </w:r>
      <w:r w:rsidR="00DF106F" w:rsidRPr="008C60C2">
        <w:t>In many cases, this alternative perspective tends to reject any attempt to create private fishing rights based on these distributional concerns.</w:t>
      </w:r>
    </w:p>
    <w:p w14:paraId="5FE781AA" w14:textId="32B7CA63" w:rsidR="00FD566A" w:rsidRPr="008C60C2" w:rsidRDefault="001B1B1D" w:rsidP="006F330A">
      <w:pPr>
        <w:spacing w:line="480" w:lineRule="auto"/>
        <w:ind w:firstLine="720"/>
      </w:pPr>
      <w:r w:rsidRPr="008C60C2">
        <w:t xml:space="preserve">The deeply polarized nature </w:t>
      </w:r>
      <w:r w:rsidR="004830DC" w:rsidRPr="008C60C2">
        <w:t>of the debate surrounding</w:t>
      </w:r>
      <w:r w:rsidR="00D32A02" w:rsidRPr="008C60C2">
        <w:t xml:space="preserve"> the use of property rights as a management tool</w:t>
      </w:r>
      <w:r w:rsidRPr="008C60C2">
        <w:t xml:space="preserve"> often </w:t>
      </w:r>
      <w:r w:rsidR="00F35F84" w:rsidRPr="008C60C2">
        <w:t xml:space="preserve">generates </w:t>
      </w:r>
      <w:r w:rsidRPr="008C60C2">
        <w:t xml:space="preserve">broad arguments that </w:t>
      </w:r>
      <w:r w:rsidR="00F8106B">
        <w:t xml:space="preserve">quickly </w:t>
      </w:r>
      <w:r w:rsidRPr="008C60C2">
        <w:t xml:space="preserve">support or dismiss individual quota </w:t>
      </w:r>
      <w:r w:rsidR="00BD491E" w:rsidRPr="008C60C2">
        <w:t xml:space="preserve">systems </w:t>
      </w:r>
      <w:r w:rsidRPr="008C60C2">
        <w:t>as the commodification of nature</w:t>
      </w:r>
      <w:r w:rsidR="00D32A02" w:rsidRPr="008C60C2">
        <w:t xml:space="preserve">. </w:t>
      </w:r>
      <w:r w:rsidR="00F35F84" w:rsidRPr="008C60C2">
        <w:t xml:space="preserve">In doing so, advocates and critics alike can overlook </w:t>
      </w:r>
      <w:r w:rsidR="00D32A02" w:rsidRPr="008C60C2">
        <w:t xml:space="preserve">important variations in the design features of these policies. </w:t>
      </w:r>
      <w:r w:rsidR="004C196D" w:rsidRPr="008C60C2">
        <w:t xml:space="preserve">Rather than treating individual quota policies in a monolithic way, this article </w:t>
      </w:r>
      <w:r w:rsidR="00D32A02" w:rsidRPr="008C60C2">
        <w:t>considers</w:t>
      </w:r>
      <w:r w:rsidR="004C196D" w:rsidRPr="008C60C2">
        <w:t xml:space="preserve"> four </w:t>
      </w:r>
      <w:r w:rsidR="00F35F84" w:rsidRPr="008C60C2">
        <w:t>leading international</w:t>
      </w:r>
      <w:r w:rsidR="00D32A02" w:rsidRPr="008C60C2">
        <w:t xml:space="preserve"> </w:t>
      </w:r>
      <w:r w:rsidR="00D32A02" w:rsidRPr="008C60C2">
        <w:lastRenderedPageBreak/>
        <w:t xml:space="preserve">quota systems to </w:t>
      </w:r>
      <w:r w:rsidR="00695C03" w:rsidRPr="008C60C2">
        <w:t>clarify</w:t>
      </w:r>
      <w:r w:rsidR="006253DC" w:rsidRPr="008C60C2">
        <w:t xml:space="preserve"> </w:t>
      </w:r>
      <w:r w:rsidR="004830DC" w:rsidRPr="008C60C2">
        <w:t>important variations in their design features</w:t>
      </w:r>
      <w:r w:rsidR="00DF106F" w:rsidRPr="008C60C2">
        <w:t xml:space="preserve"> that affect local communities</w:t>
      </w:r>
      <w:r w:rsidR="004830DC" w:rsidRPr="008C60C2">
        <w:t xml:space="preserve">. </w:t>
      </w:r>
      <w:r w:rsidR="00030DDD" w:rsidRPr="008C60C2">
        <w:rPr>
          <w:color w:val="000000" w:themeColor="text1"/>
        </w:rPr>
        <w:t>I</w:t>
      </w:r>
      <w:r w:rsidR="004830DC" w:rsidRPr="008C60C2">
        <w:t xml:space="preserve">t is surprising that so few comparative studies have been conducted </w:t>
      </w:r>
      <w:r w:rsidR="00D32A02" w:rsidRPr="008C60C2">
        <w:t>to take stock of different</w:t>
      </w:r>
      <w:r w:rsidR="00F35F84" w:rsidRPr="008C60C2">
        <w:t xml:space="preserve"> IFQ</w:t>
      </w:r>
      <w:r w:rsidR="00D32A02" w:rsidRPr="008C60C2">
        <w:t xml:space="preserve"> policy’s </w:t>
      </w:r>
      <w:r w:rsidR="00F0230F" w:rsidRPr="008C60C2">
        <w:t xml:space="preserve">design features </w:t>
      </w:r>
      <w:r w:rsidR="004830DC" w:rsidRPr="008C60C2">
        <w:t xml:space="preserve">(some exceptions include </w:t>
      </w:r>
      <w:proofErr w:type="spellStart"/>
      <w:r w:rsidR="00737815" w:rsidRPr="008C60C2">
        <w:t>Batkin</w:t>
      </w:r>
      <w:proofErr w:type="spellEnd"/>
      <w:r w:rsidR="00737815" w:rsidRPr="008C60C2">
        <w:t xml:space="preserve"> 1992; </w:t>
      </w:r>
      <w:proofErr w:type="spellStart"/>
      <w:r w:rsidR="004830DC" w:rsidRPr="008C60C2">
        <w:t>Dewees</w:t>
      </w:r>
      <w:proofErr w:type="spellEnd"/>
      <w:r w:rsidR="004830DC" w:rsidRPr="008C60C2">
        <w:t xml:space="preserve"> 1998; </w:t>
      </w:r>
      <w:proofErr w:type="spellStart"/>
      <w:r w:rsidR="004830DC" w:rsidRPr="008C60C2">
        <w:t>Arnason</w:t>
      </w:r>
      <w:proofErr w:type="spellEnd"/>
      <w:r w:rsidR="004830DC" w:rsidRPr="008C60C2">
        <w:t xml:space="preserve"> </w:t>
      </w:r>
      <w:r w:rsidR="00DA5967" w:rsidRPr="008C60C2">
        <w:t>2005</w:t>
      </w:r>
      <w:r w:rsidR="004830DC" w:rsidRPr="008C60C2">
        <w:t xml:space="preserve">), given that </w:t>
      </w:r>
      <w:r w:rsidR="00F0230F" w:rsidRPr="008C60C2">
        <w:t>these programs</w:t>
      </w:r>
      <w:r w:rsidR="004830DC" w:rsidRPr="008C60C2">
        <w:t xml:space="preserve"> have become a popular solution</w:t>
      </w:r>
      <w:r w:rsidR="00F0230F" w:rsidRPr="008C60C2">
        <w:t xml:space="preserve"> for maritime governance</w:t>
      </w:r>
      <w:r w:rsidR="00D32A02" w:rsidRPr="008C60C2">
        <w:t xml:space="preserve"> and they clearly have the potential to create both positive and negative distributional outcomes for industries and communities. </w:t>
      </w:r>
    </w:p>
    <w:p w14:paraId="4F663EAF" w14:textId="2AD1DCB2" w:rsidR="00FD566A" w:rsidRPr="008C60C2" w:rsidRDefault="00655D3E" w:rsidP="006F330A">
      <w:pPr>
        <w:rPr>
          <w:b/>
          <w:color w:val="000000" w:themeColor="text1"/>
        </w:rPr>
      </w:pPr>
      <w:r w:rsidRPr="008C60C2">
        <w:rPr>
          <w:b/>
          <w:color w:val="000000" w:themeColor="text1"/>
        </w:rPr>
        <w:t>3</w:t>
      </w:r>
      <w:r w:rsidR="003F6B1D" w:rsidRPr="008C60C2">
        <w:rPr>
          <w:b/>
          <w:color w:val="000000" w:themeColor="text1"/>
        </w:rPr>
        <w:t xml:space="preserve">.0 </w:t>
      </w:r>
      <w:r w:rsidR="0096242D" w:rsidRPr="008C60C2">
        <w:rPr>
          <w:b/>
          <w:color w:val="000000" w:themeColor="text1"/>
        </w:rPr>
        <w:t>Introducing</w:t>
      </w:r>
      <w:r w:rsidR="001C4507" w:rsidRPr="008C60C2">
        <w:rPr>
          <w:b/>
          <w:color w:val="000000" w:themeColor="text1"/>
        </w:rPr>
        <w:t xml:space="preserve"> Study Location</w:t>
      </w:r>
      <w:r w:rsidR="0096242D" w:rsidRPr="008C60C2">
        <w:rPr>
          <w:b/>
          <w:color w:val="000000" w:themeColor="text1"/>
        </w:rPr>
        <w:t>s</w:t>
      </w:r>
      <w:r w:rsidR="001C4507" w:rsidRPr="008C60C2">
        <w:rPr>
          <w:b/>
          <w:color w:val="000000" w:themeColor="text1"/>
        </w:rPr>
        <w:t xml:space="preserve"> </w:t>
      </w:r>
    </w:p>
    <w:p w14:paraId="232E9827" w14:textId="77777777" w:rsidR="00A663E2" w:rsidRPr="008C60C2" w:rsidRDefault="00A663E2" w:rsidP="006F330A">
      <w:pPr>
        <w:ind w:firstLine="720"/>
      </w:pPr>
    </w:p>
    <w:p w14:paraId="09B7D4C4" w14:textId="2BC298E2" w:rsidR="0075408F" w:rsidRPr="008C60C2" w:rsidRDefault="00A663E2" w:rsidP="0096242D">
      <w:pPr>
        <w:spacing w:line="480" w:lineRule="auto"/>
        <w:ind w:firstLine="720"/>
      </w:pPr>
      <w:r w:rsidRPr="008C60C2">
        <w:t>Th</w:t>
      </w:r>
      <w:r w:rsidR="000F0478" w:rsidRPr="008C60C2">
        <w:t>is section provides a brief introduction to my four case</w:t>
      </w:r>
      <w:r w:rsidR="0069320F" w:rsidRPr="008C60C2">
        <w:t>s</w:t>
      </w:r>
      <w:r w:rsidR="001D674B" w:rsidRPr="008C60C2">
        <w:t xml:space="preserve">. </w:t>
      </w:r>
      <w:r w:rsidR="00B5428D" w:rsidRPr="008C60C2">
        <w:t xml:space="preserve">Following this section, I </w:t>
      </w:r>
      <w:r w:rsidR="0069320F" w:rsidRPr="008C60C2">
        <w:t xml:space="preserve">first </w:t>
      </w:r>
      <w:r w:rsidR="00B5428D" w:rsidRPr="008C60C2">
        <w:t>consider New Zealand’s QMS and Iceland’s ITQ systems</w:t>
      </w:r>
      <w:r w:rsidR="00532832" w:rsidRPr="008C60C2">
        <w:t xml:space="preserve"> because both </w:t>
      </w:r>
      <w:r w:rsidR="002C7DD5" w:rsidRPr="008C60C2">
        <w:t>are</w:t>
      </w:r>
      <w:r w:rsidR="00532832" w:rsidRPr="008C60C2">
        <w:t xml:space="preserve"> celebrated for closely aligning with economist’s </w:t>
      </w:r>
      <w:r w:rsidR="00FD553B" w:rsidRPr="008C60C2">
        <w:t xml:space="preserve">ideal </w:t>
      </w:r>
      <w:r w:rsidR="00532832" w:rsidRPr="008C60C2">
        <w:t>for what a market-based policy should look like (</w:t>
      </w:r>
      <w:proofErr w:type="spellStart"/>
      <w:r w:rsidR="00532832" w:rsidRPr="008C60C2">
        <w:t>Arnason</w:t>
      </w:r>
      <w:proofErr w:type="spellEnd"/>
      <w:r w:rsidR="00532832" w:rsidRPr="008C60C2">
        <w:t xml:space="preserve"> </w:t>
      </w:r>
      <w:r w:rsidR="00DA5967" w:rsidRPr="008C60C2">
        <w:t>2005</w:t>
      </w:r>
      <w:r w:rsidR="00532832" w:rsidRPr="008C60C2">
        <w:t xml:space="preserve">). Each system is </w:t>
      </w:r>
      <w:r w:rsidR="000F0478" w:rsidRPr="008C60C2">
        <w:t>comprehensive</w:t>
      </w:r>
      <w:r w:rsidR="0069320F" w:rsidRPr="008C60C2">
        <w:t xml:space="preserve">, </w:t>
      </w:r>
      <w:r w:rsidR="000F0478" w:rsidRPr="008C60C2">
        <w:t>implemented at the national-level</w:t>
      </w:r>
      <w:r w:rsidR="0069320F" w:rsidRPr="008C60C2">
        <w:t xml:space="preserve">, and </w:t>
      </w:r>
      <w:r w:rsidR="000F0478" w:rsidRPr="008C60C2">
        <w:t>different</w:t>
      </w:r>
      <w:r w:rsidR="00E429A8" w:rsidRPr="008C60C2">
        <w:t xml:space="preserve"> </w:t>
      </w:r>
      <w:r w:rsidR="000F0478" w:rsidRPr="008C60C2">
        <w:t>individual fisheries</w:t>
      </w:r>
      <w:r w:rsidR="00E429A8" w:rsidRPr="008C60C2">
        <w:t xml:space="preserve"> </w:t>
      </w:r>
      <w:r w:rsidR="000F0478" w:rsidRPr="008C60C2">
        <w:t xml:space="preserve">are </w:t>
      </w:r>
      <w:r w:rsidR="00E429A8" w:rsidRPr="008C60C2">
        <w:t xml:space="preserve">managed in a relatively </w:t>
      </w:r>
      <w:r w:rsidR="0059106E" w:rsidRPr="008C60C2">
        <w:t xml:space="preserve">uniform </w:t>
      </w:r>
      <w:r w:rsidR="00E429A8" w:rsidRPr="008C60C2">
        <w:t>fashion</w:t>
      </w:r>
      <w:r w:rsidR="00B5428D" w:rsidRPr="008C60C2">
        <w:t xml:space="preserve"> under the system</w:t>
      </w:r>
      <w:r w:rsidR="00E429A8" w:rsidRPr="008C60C2">
        <w:t xml:space="preserve">. </w:t>
      </w:r>
      <w:r w:rsidR="00907C49" w:rsidRPr="008C60C2">
        <w:t xml:space="preserve">In contrast, the </w:t>
      </w:r>
      <w:r w:rsidR="0069320F" w:rsidRPr="008C60C2">
        <w:t xml:space="preserve">rules and the </w:t>
      </w:r>
      <w:r w:rsidR="00907C49" w:rsidRPr="008C60C2">
        <w:t xml:space="preserve">scope of </w:t>
      </w:r>
      <w:r w:rsidR="00863EC9" w:rsidRPr="008C60C2">
        <w:t>British Columbia</w:t>
      </w:r>
      <w:r w:rsidR="002C7DD5" w:rsidRPr="008C60C2">
        <w:t>’s</w:t>
      </w:r>
      <w:r w:rsidR="00863EC9" w:rsidRPr="008C60C2">
        <w:t xml:space="preserve"> and Alaska</w:t>
      </w:r>
      <w:r w:rsidR="0096242D" w:rsidRPr="008C60C2">
        <w:t>’s halibut quota systems</w:t>
      </w:r>
      <w:r w:rsidR="00863EC9" w:rsidRPr="008C60C2">
        <w:t xml:space="preserve"> </w:t>
      </w:r>
      <w:r w:rsidR="0069320F" w:rsidRPr="008C60C2">
        <w:t xml:space="preserve">warrant a separate section of discussion. These two programs </w:t>
      </w:r>
      <w:r w:rsidR="0059106E" w:rsidRPr="008C60C2">
        <w:t xml:space="preserve">operate at the </w:t>
      </w:r>
      <w:r w:rsidR="00863EC9" w:rsidRPr="008C60C2">
        <w:t>provincial or state-level</w:t>
      </w:r>
      <w:r w:rsidR="0069320F" w:rsidRPr="008C60C2">
        <w:t xml:space="preserve">, </w:t>
      </w:r>
      <w:r w:rsidR="002C7DD5" w:rsidRPr="008C60C2">
        <w:t>and</w:t>
      </w:r>
      <w:r w:rsidR="0069320F" w:rsidRPr="008C60C2">
        <w:t xml:space="preserve"> they</w:t>
      </w:r>
      <w:r w:rsidR="0059106E" w:rsidRPr="008C60C2">
        <w:t xml:space="preserve"> </w:t>
      </w:r>
      <w:r w:rsidR="00FB7421" w:rsidRPr="008C60C2">
        <w:t xml:space="preserve">also lack </w:t>
      </w:r>
      <w:r w:rsidR="0059106E" w:rsidRPr="008C60C2">
        <w:t xml:space="preserve">comprehensive and uniform quota policies </w:t>
      </w:r>
      <w:r w:rsidR="00203329" w:rsidRPr="008C60C2">
        <w:t>like</w:t>
      </w:r>
      <w:r w:rsidR="00FB7421" w:rsidRPr="008C60C2">
        <w:t xml:space="preserve"> those in</w:t>
      </w:r>
      <w:r w:rsidR="00203329" w:rsidRPr="008C60C2">
        <w:t xml:space="preserve"> New Zealand and Iceland. Rather, the </w:t>
      </w:r>
      <w:r w:rsidR="00E429A8" w:rsidRPr="008C60C2">
        <w:t>specific fisheries (</w:t>
      </w:r>
      <w:r w:rsidR="00363F73" w:rsidRPr="008C60C2">
        <w:t>e.g.,</w:t>
      </w:r>
      <w:r w:rsidR="00E429A8" w:rsidRPr="008C60C2">
        <w:t xml:space="preserve"> halibut, </w:t>
      </w:r>
      <w:r w:rsidR="0059106E" w:rsidRPr="008C60C2">
        <w:t xml:space="preserve">cod, </w:t>
      </w:r>
      <w:r w:rsidR="00E429A8" w:rsidRPr="008C60C2">
        <w:t xml:space="preserve">or crab) </w:t>
      </w:r>
      <w:r w:rsidR="00203329" w:rsidRPr="008C60C2">
        <w:t xml:space="preserve">in </w:t>
      </w:r>
      <w:r w:rsidR="00A70661" w:rsidRPr="008C60C2">
        <w:t>British Columbia and Alaska</w:t>
      </w:r>
      <w:r w:rsidR="00203329" w:rsidRPr="008C60C2">
        <w:t xml:space="preserve"> a</w:t>
      </w:r>
      <w:r w:rsidR="00E429A8" w:rsidRPr="008C60C2">
        <w:t>re managed by</w:t>
      </w:r>
      <w:r w:rsidR="00203329" w:rsidRPr="008C60C2">
        <w:t xml:space="preserve"> a multitude of</w:t>
      </w:r>
      <w:r w:rsidR="00E429A8" w:rsidRPr="008C60C2">
        <w:t xml:space="preserve"> different </w:t>
      </w:r>
      <w:r w:rsidR="0059106E" w:rsidRPr="008C60C2">
        <w:t>quota policies</w:t>
      </w:r>
      <w:r w:rsidR="00E429A8" w:rsidRPr="008C60C2">
        <w:t xml:space="preserve"> that </w:t>
      </w:r>
      <w:r w:rsidR="00203329" w:rsidRPr="008C60C2">
        <w:t xml:space="preserve">each </w:t>
      </w:r>
      <w:r w:rsidR="00E429A8" w:rsidRPr="008C60C2">
        <w:t xml:space="preserve">contain </w:t>
      </w:r>
      <w:r w:rsidR="00F8106B" w:rsidRPr="008C60C2">
        <w:t>distinctive</w:t>
      </w:r>
      <w:r w:rsidR="00E429A8" w:rsidRPr="008C60C2">
        <w:t xml:space="preserve"> rules</w:t>
      </w:r>
      <w:r w:rsidR="00203329" w:rsidRPr="008C60C2">
        <w:t xml:space="preserve"> to govern extractive behavior</w:t>
      </w:r>
      <w:r w:rsidR="00E429A8" w:rsidRPr="008C60C2">
        <w:t>.</w:t>
      </w:r>
      <w:r w:rsidR="0075408F" w:rsidRPr="008C60C2">
        <w:t xml:space="preserve"> </w:t>
      </w:r>
      <w:r w:rsidR="00985241" w:rsidRPr="008C60C2">
        <w:t>The fishery-by-fishery approach found in British Columbia and Alaska may partially explain the diversity of rules found in different quota programs, especially those that focus on providing more equitable distributional outcomes for local fishers</w:t>
      </w:r>
      <w:r w:rsidR="00EB52F7" w:rsidRPr="008C60C2">
        <w:t>.</w:t>
      </w:r>
    </w:p>
    <w:p w14:paraId="7ECD69F2" w14:textId="790AA076" w:rsidR="00203329" w:rsidRPr="008C60C2" w:rsidRDefault="00E443F9" w:rsidP="00B47270">
      <w:pPr>
        <w:spacing w:line="480" w:lineRule="auto"/>
        <w:ind w:firstLine="720"/>
      </w:pPr>
      <w:r w:rsidRPr="008C60C2">
        <w:t xml:space="preserve">Prior to moving forward with the </w:t>
      </w:r>
      <w:r w:rsidR="0069320F" w:rsidRPr="008C60C2">
        <w:t xml:space="preserve">analysis </w:t>
      </w:r>
      <w:r w:rsidRPr="008C60C2">
        <w:t xml:space="preserve">of each location’s </w:t>
      </w:r>
      <w:r w:rsidR="0069320F" w:rsidRPr="008C60C2">
        <w:t>policies</w:t>
      </w:r>
      <w:r w:rsidRPr="008C60C2">
        <w:t xml:space="preserve">, </w:t>
      </w:r>
      <w:r w:rsidR="0096242D" w:rsidRPr="008C60C2">
        <w:t>the</w:t>
      </w:r>
      <w:r w:rsidR="00893723" w:rsidRPr="008C60C2">
        <w:t xml:space="preserve"> key features of individual quota programs</w:t>
      </w:r>
      <w:r w:rsidR="0096242D" w:rsidRPr="008C60C2">
        <w:t xml:space="preserve"> are summar</w:t>
      </w:r>
      <w:r w:rsidR="00025B1C" w:rsidRPr="008C60C2">
        <w:t>i</w:t>
      </w:r>
      <w:r w:rsidR="0096242D" w:rsidRPr="008C60C2">
        <w:t>zed</w:t>
      </w:r>
      <w:r w:rsidR="00B50D95" w:rsidRPr="008C60C2">
        <w:t xml:space="preserve"> here</w:t>
      </w:r>
      <w:r w:rsidR="00B47270" w:rsidRPr="008C60C2">
        <w:t xml:space="preserve">. Some of the most important </w:t>
      </w:r>
      <w:r w:rsidRPr="008C60C2">
        <w:t>aspects</w:t>
      </w:r>
      <w:r w:rsidR="00AD0C37" w:rsidRPr="008C60C2">
        <w:t xml:space="preserve"> of </w:t>
      </w:r>
      <w:r w:rsidR="00E429A8" w:rsidRPr="008C60C2">
        <w:t>individual</w:t>
      </w:r>
      <w:r w:rsidR="00AD0C37" w:rsidRPr="008C60C2">
        <w:t xml:space="preserve"> quota programs include the process of setting total catch limits for each fishery, the </w:t>
      </w:r>
      <w:r w:rsidR="00AD0C37" w:rsidRPr="008C60C2">
        <w:lastRenderedPageBreak/>
        <w:t xml:space="preserve">allocation of initial quota shares, deciding </w:t>
      </w:r>
      <w:r w:rsidR="00E429A8" w:rsidRPr="008C60C2">
        <w:t>the</w:t>
      </w:r>
      <w:r w:rsidR="00AD0C37" w:rsidRPr="008C60C2">
        <w:t xml:space="preserve"> type of entity (</w:t>
      </w:r>
      <w:r w:rsidR="00FF3F4C">
        <w:t>e.g.,</w:t>
      </w:r>
      <w:r w:rsidR="00AD0C37" w:rsidRPr="008C60C2">
        <w:t xml:space="preserve"> individual</w:t>
      </w:r>
      <w:r w:rsidR="00FF3F4C">
        <w:t>s</w:t>
      </w:r>
      <w:r w:rsidR="00AD0C37" w:rsidRPr="008C60C2">
        <w:t xml:space="preserve"> or vessels) </w:t>
      </w:r>
      <w:r w:rsidR="00E429A8" w:rsidRPr="008C60C2">
        <w:t>that is</w:t>
      </w:r>
      <w:r w:rsidR="00AD0C37" w:rsidRPr="008C60C2">
        <w:t xml:space="preserve"> eligible to</w:t>
      </w:r>
      <w:r w:rsidR="00F8106B">
        <w:t xml:space="preserve"> own</w:t>
      </w:r>
      <w:r w:rsidR="00AD0C37" w:rsidRPr="008C60C2">
        <w:t xml:space="preserve"> quota shares, the rules </w:t>
      </w:r>
      <w:r w:rsidR="00F03BE4" w:rsidRPr="008C60C2">
        <w:t>for</w:t>
      </w:r>
      <w:r w:rsidR="00AD0C37" w:rsidRPr="008C60C2">
        <w:t xml:space="preserve"> </w:t>
      </w:r>
      <w:r w:rsidR="00E429A8" w:rsidRPr="008C60C2">
        <w:t xml:space="preserve">transferring quota shares, and limits on the amount of quota that each entity may own. </w:t>
      </w:r>
      <w:r w:rsidR="00893723" w:rsidRPr="008C60C2">
        <w:t>These rules</w:t>
      </w:r>
      <w:r w:rsidR="00B47270" w:rsidRPr="008C60C2">
        <w:t xml:space="preserve"> affect distributional outcomes among the fishing industry and local fishing communities</w:t>
      </w:r>
      <w:r w:rsidR="008E73B5" w:rsidRPr="008C60C2">
        <w:t xml:space="preserve"> by </w:t>
      </w:r>
      <w:r w:rsidR="00532832" w:rsidRPr="008C60C2">
        <w:t>deter</w:t>
      </w:r>
      <w:r w:rsidR="002C7DD5" w:rsidRPr="008C60C2">
        <w:t>mining who can own quota shares</w:t>
      </w:r>
      <w:r w:rsidR="00532832" w:rsidRPr="008C60C2">
        <w:t xml:space="preserve"> and the extent to which shares can be consolidated </w:t>
      </w:r>
      <w:r w:rsidR="00B47270" w:rsidRPr="008C60C2">
        <w:t>(</w:t>
      </w:r>
      <w:proofErr w:type="spellStart"/>
      <w:r w:rsidR="00B47270" w:rsidRPr="008C60C2">
        <w:t>Moloney</w:t>
      </w:r>
      <w:proofErr w:type="spellEnd"/>
      <w:r w:rsidR="00B47270" w:rsidRPr="008C60C2">
        <w:t xml:space="preserve"> and </w:t>
      </w:r>
      <w:proofErr w:type="spellStart"/>
      <w:r w:rsidR="00B47270" w:rsidRPr="008C60C2">
        <w:t>Pearse</w:t>
      </w:r>
      <w:proofErr w:type="spellEnd"/>
      <w:r w:rsidR="00B47270" w:rsidRPr="008C60C2">
        <w:t xml:space="preserve"> 1979).</w:t>
      </w:r>
      <w:r w:rsidR="00893723" w:rsidRPr="008C60C2">
        <w:t xml:space="preserve"> </w:t>
      </w:r>
      <w:r w:rsidR="008E73B5" w:rsidRPr="008C60C2">
        <w:t xml:space="preserve">Table 2 below </w:t>
      </w:r>
      <w:r w:rsidR="0096242D" w:rsidRPr="008C60C2">
        <w:t>captures</w:t>
      </w:r>
      <w:r w:rsidR="008E73B5" w:rsidRPr="008C60C2">
        <w:t xml:space="preserve"> the </w:t>
      </w:r>
      <w:r w:rsidR="009B2A64" w:rsidRPr="008C60C2">
        <w:t>degree</w:t>
      </w:r>
      <w:r w:rsidR="008E73B5" w:rsidRPr="008C60C2">
        <w:t xml:space="preserve"> to which these</w:t>
      </w:r>
      <w:r w:rsidR="00B47270" w:rsidRPr="008C60C2">
        <w:t xml:space="preserve"> rules </w:t>
      </w:r>
      <w:r w:rsidR="008E73B5" w:rsidRPr="008C60C2">
        <w:t>vary</w:t>
      </w:r>
      <w:r w:rsidR="00B47270" w:rsidRPr="008C60C2">
        <w:t xml:space="preserve"> in </w:t>
      </w:r>
      <w:r w:rsidR="002C7DD5" w:rsidRPr="008C60C2">
        <w:t>my four cases</w:t>
      </w:r>
      <w:r w:rsidR="00B47270" w:rsidRPr="008C60C2">
        <w:t xml:space="preserve">.  </w:t>
      </w:r>
    </w:p>
    <w:tbl>
      <w:tblPr>
        <w:tblStyle w:val="TableGrid"/>
        <w:tblW w:w="0" w:type="auto"/>
        <w:tblLook w:val="04A0" w:firstRow="1" w:lastRow="0" w:firstColumn="1" w:lastColumn="0" w:noHBand="0" w:noVBand="1"/>
      </w:tblPr>
      <w:tblGrid>
        <w:gridCol w:w="1736"/>
        <w:gridCol w:w="1913"/>
        <w:gridCol w:w="2001"/>
        <w:gridCol w:w="1852"/>
        <w:gridCol w:w="1848"/>
      </w:tblGrid>
      <w:tr w:rsidR="007A3CE2" w:rsidRPr="002261A6" w14:paraId="2A90E8F5" w14:textId="77777777" w:rsidTr="007A3CE2">
        <w:trPr>
          <w:trHeight w:val="305"/>
        </w:trPr>
        <w:tc>
          <w:tcPr>
            <w:tcW w:w="9350" w:type="dxa"/>
            <w:gridSpan w:val="5"/>
          </w:tcPr>
          <w:p w14:paraId="2409E488" w14:textId="199206D3" w:rsidR="007A3CE2" w:rsidRPr="008C60C2" w:rsidRDefault="007A3CE2" w:rsidP="0031070D">
            <w:pPr>
              <w:jc w:val="center"/>
              <w:rPr>
                <w:b/>
              </w:rPr>
            </w:pPr>
            <w:r w:rsidRPr="008C60C2">
              <w:rPr>
                <w:b/>
              </w:rPr>
              <w:t xml:space="preserve">Table </w:t>
            </w:r>
            <w:r w:rsidR="0031070D" w:rsidRPr="008C60C2">
              <w:rPr>
                <w:b/>
              </w:rPr>
              <w:t>2</w:t>
            </w:r>
            <w:r w:rsidRPr="008C60C2">
              <w:rPr>
                <w:b/>
              </w:rPr>
              <w:t>: Snapshot Comparison of Individual Quota Programs</w:t>
            </w:r>
          </w:p>
        </w:tc>
      </w:tr>
      <w:tr w:rsidR="00074912" w:rsidRPr="002261A6" w14:paraId="21B0268C" w14:textId="77777777" w:rsidTr="00074912">
        <w:tc>
          <w:tcPr>
            <w:tcW w:w="1659" w:type="dxa"/>
          </w:tcPr>
          <w:p w14:paraId="1445D7A6" w14:textId="77777777" w:rsidR="007A3CE2" w:rsidRPr="008C60C2" w:rsidRDefault="007A3CE2">
            <w:pPr>
              <w:spacing w:line="480" w:lineRule="auto"/>
            </w:pPr>
          </w:p>
        </w:tc>
        <w:tc>
          <w:tcPr>
            <w:tcW w:w="1936" w:type="dxa"/>
          </w:tcPr>
          <w:p w14:paraId="566EAA35" w14:textId="7B5764B9" w:rsidR="007A3CE2" w:rsidRPr="008C60C2" w:rsidRDefault="007A3CE2" w:rsidP="001C3EBD">
            <w:pPr>
              <w:jc w:val="center"/>
            </w:pPr>
            <w:r w:rsidRPr="008C60C2">
              <w:t>New Zealand</w:t>
            </w:r>
          </w:p>
        </w:tc>
        <w:tc>
          <w:tcPr>
            <w:tcW w:w="2017" w:type="dxa"/>
          </w:tcPr>
          <w:p w14:paraId="6E84A837" w14:textId="0BF94A46" w:rsidR="007A3CE2" w:rsidRPr="008C60C2" w:rsidRDefault="007A3CE2" w:rsidP="001C3EBD">
            <w:pPr>
              <w:jc w:val="center"/>
            </w:pPr>
            <w:r w:rsidRPr="008C60C2">
              <w:t>Iceland</w:t>
            </w:r>
          </w:p>
        </w:tc>
        <w:tc>
          <w:tcPr>
            <w:tcW w:w="1869" w:type="dxa"/>
          </w:tcPr>
          <w:p w14:paraId="72363492" w14:textId="0C136037" w:rsidR="007A3CE2" w:rsidRPr="008C60C2" w:rsidRDefault="007A3CE2" w:rsidP="001C3EBD">
            <w:pPr>
              <w:jc w:val="center"/>
            </w:pPr>
            <w:r w:rsidRPr="008C60C2">
              <w:t>British Columbia</w:t>
            </w:r>
          </w:p>
        </w:tc>
        <w:tc>
          <w:tcPr>
            <w:tcW w:w="1869" w:type="dxa"/>
          </w:tcPr>
          <w:p w14:paraId="248BC924" w14:textId="5E5ED93F" w:rsidR="007A3CE2" w:rsidRPr="008C60C2" w:rsidRDefault="007A3CE2" w:rsidP="001C3EBD">
            <w:pPr>
              <w:spacing w:line="480" w:lineRule="auto"/>
              <w:jc w:val="center"/>
            </w:pPr>
            <w:r w:rsidRPr="008C60C2">
              <w:t>Alaska</w:t>
            </w:r>
          </w:p>
        </w:tc>
      </w:tr>
      <w:tr w:rsidR="00074912" w:rsidRPr="002261A6" w14:paraId="45D5ADDA" w14:textId="77777777" w:rsidTr="00074912">
        <w:trPr>
          <w:trHeight w:val="593"/>
        </w:trPr>
        <w:tc>
          <w:tcPr>
            <w:tcW w:w="1659" w:type="dxa"/>
          </w:tcPr>
          <w:p w14:paraId="7DC392BC" w14:textId="381A500C" w:rsidR="007A3CE2" w:rsidRPr="008C60C2" w:rsidRDefault="007A3CE2" w:rsidP="00074912">
            <w:r w:rsidRPr="008C60C2">
              <w:t>Implementation Date</w:t>
            </w:r>
          </w:p>
        </w:tc>
        <w:tc>
          <w:tcPr>
            <w:tcW w:w="1936" w:type="dxa"/>
          </w:tcPr>
          <w:p w14:paraId="52E13A3F" w14:textId="06404821" w:rsidR="007A3CE2" w:rsidRPr="008C60C2" w:rsidRDefault="007A3CE2" w:rsidP="007A3CE2">
            <w:pPr>
              <w:jc w:val="center"/>
            </w:pPr>
            <w:r w:rsidRPr="008C60C2">
              <w:t>1986</w:t>
            </w:r>
          </w:p>
        </w:tc>
        <w:tc>
          <w:tcPr>
            <w:tcW w:w="2017" w:type="dxa"/>
          </w:tcPr>
          <w:p w14:paraId="258457C8" w14:textId="6B1BCAC4" w:rsidR="007A3CE2" w:rsidRPr="008C60C2" w:rsidRDefault="007A3CE2" w:rsidP="007A3CE2">
            <w:pPr>
              <w:jc w:val="center"/>
            </w:pPr>
            <w:r w:rsidRPr="008C60C2">
              <w:t>1990</w:t>
            </w:r>
          </w:p>
        </w:tc>
        <w:tc>
          <w:tcPr>
            <w:tcW w:w="1869" w:type="dxa"/>
          </w:tcPr>
          <w:p w14:paraId="612865C7" w14:textId="243EA48F" w:rsidR="007A3CE2" w:rsidRPr="008C60C2" w:rsidRDefault="007A3CE2" w:rsidP="007A3CE2">
            <w:pPr>
              <w:jc w:val="center"/>
            </w:pPr>
            <w:r w:rsidRPr="008C60C2">
              <w:t>1991</w:t>
            </w:r>
          </w:p>
        </w:tc>
        <w:tc>
          <w:tcPr>
            <w:tcW w:w="1869" w:type="dxa"/>
          </w:tcPr>
          <w:p w14:paraId="65D56021" w14:textId="123BD666" w:rsidR="007A3CE2" w:rsidRPr="008C60C2" w:rsidRDefault="007A3CE2" w:rsidP="007A3CE2">
            <w:pPr>
              <w:spacing w:line="480" w:lineRule="auto"/>
              <w:jc w:val="center"/>
            </w:pPr>
            <w:r w:rsidRPr="008C60C2">
              <w:t>1995</w:t>
            </w:r>
          </w:p>
        </w:tc>
      </w:tr>
      <w:tr w:rsidR="00074912" w:rsidRPr="002261A6" w14:paraId="49A1541E" w14:textId="77777777" w:rsidTr="00FC7366">
        <w:trPr>
          <w:trHeight w:val="1106"/>
        </w:trPr>
        <w:tc>
          <w:tcPr>
            <w:tcW w:w="1659" w:type="dxa"/>
          </w:tcPr>
          <w:p w14:paraId="317B5232" w14:textId="325304D9" w:rsidR="007A3CE2" w:rsidRPr="008C60C2" w:rsidRDefault="007A3CE2" w:rsidP="00074912">
            <w:r w:rsidRPr="008C60C2">
              <w:t>Owner Eligibility</w:t>
            </w:r>
          </w:p>
        </w:tc>
        <w:tc>
          <w:tcPr>
            <w:tcW w:w="1936" w:type="dxa"/>
          </w:tcPr>
          <w:p w14:paraId="630D255F" w14:textId="1C9CAF5E" w:rsidR="007A3CE2" w:rsidRPr="008C60C2" w:rsidRDefault="007A3CE2" w:rsidP="004D7CE2">
            <w:r w:rsidRPr="008C60C2">
              <w:t>Individuals and firms</w:t>
            </w:r>
          </w:p>
        </w:tc>
        <w:tc>
          <w:tcPr>
            <w:tcW w:w="2017" w:type="dxa"/>
          </w:tcPr>
          <w:p w14:paraId="0A5FAC38" w14:textId="42007859" w:rsidR="007A3CE2" w:rsidRPr="008C60C2" w:rsidRDefault="007A3CE2" w:rsidP="004D7CE2">
            <w:r w:rsidRPr="008C60C2">
              <w:t>Licensed fishing vessels, individuals, and firms</w:t>
            </w:r>
          </w:p>
        </w:tc>
        <w:tc>
          <w:tcPr>
            <w:tcW w:w="1869" w:type="dxa"/>
          </w:tcPr>
          <w:p w14:paraId="135E99BE" w14:textId="7A6CA4F4" w:rsidR="007A3CE2" w:rsidRPr="008C60C2" w:rsidRDefault="00023623" w:rsidP="004D7CE2">
            <w:r w:rsidRPr="008C60C2">
              <w:t>Licensed fishing v</w:t>
            </w:r>
            <w:r w:rsidR="007A3CE2" w:rsidRPr="008C60C2">
              <w:t>essels</w:t>
            </w:r>
          </w:p>
        </w:tc>
        <w:tc>
          <w:tcPr>
            <w:tcW w:w="1869" w:type="dxa"/>
          </w:tcPr>
          <w:p w14:paraId="2F3CC6BF" w14:textId="215B91D3" w:rsidR="007A3CE2" w:rsidRPr="008C60C2" w:rsidRDefault="00044B01" w:rsidP="004D7CE2">
            <w:r w:rsidRPr="008C60C2">
              <w:t xml:space="preserve">A-shares owned by non-individual owner entities; B-D shares owned by individuals </w:t>
            </w:r>
          </w:p>
        </w:tc>
      </w:tr>
      <w:tr w:rsidR="004257B5" w:rsidRPr="002261A6" w14:paraId="3FEBD586" w14:textId="77777777" w:rsidTr="00C81874">
        <w:trPr>
          <w:trHeight w:val="1133"/>
        </w:trPr>
        <w:tc>
          <w:tcPr>
            <w:tcW w:w="1659" w:type="dxa"/>
          </w:tcPr>
          <w:p w14:paraId="4D24EEB8" w14:textId="37C7837A" w:rsidR="004257B5" w:rsidRPr="008C60C2" w:rsidRDefault="004257B5" w:rsidP="00074912">
            <w:r w:rsidRPr="008C60C2">
              <w:t>Quota Ownership Limits</w:t>
            </w:r>
          </w:p>
        </w:tc>
        <w:tc>
          <w:tcPr>
            <w:tcW w:w="1936" w:type="dxa"/>
          </w:tcPr>
          <w:p w14:paraId="1CE6F14C" w14:textId="3F7E86D4" w:rsidR="004257B5" w:rsidRPr="008C60C2" w:rsidRDefault="004257B5" w:rsidP="004D7CE2">
            <w:r w:rsidRPr="008C60C2">
              <w:t>Up to 45% for an individual stock and 20% for an individual species</w:t>
            </w:r>
          </w:p>
        </w:tc>
        <w:tc>
          <w:tcPr>
            <w:tcW w:w="2017" w:type="dxa"/>
          </w:tcPr>
          <w:p w14:paraId="62C3AC07" w14:textId="1A4E9FE0" w:rsidR="004257B5" w:rsidRPr="008C60C2" w:rsidRDefault="004257B5" w:rsidP="004D7CE2">
            <w:r w:rsidRPr="008C60C2">
              <w:t>No more than 12% for all species, 12-35% limit for individual species</w:t>
            </w:r>
          </w:p>
        </w:tc>
        <w:tc>
          <w:tcPr>
            <w:tcW w:w="1869" w:type="dxa"/>
          </w:tcPr>
          <w:p w14:paraId="07AB63F6" w14:textId="596987A9" w:rsidR="004257B5" w:rsidRPr="008C60C2" w:rsidRDefault="004257B5" w:rsidP="004D7CE2">
            <w:r w:rsidRPr="008C60C2">
              <w:t>1% for halibut</w:t>
            </w:r>
          </w:p>
        </w:tc>
        <w:tc>
          <w:tcPr>
            <w:tcW w:w="1869" w:type="dxa"/>
          </w:tcPr>
          <w:p w14:paraId="5526788E" w14:textId="42D0EA7F" w:rsidR="004257B5" w:rsidRPr="008C60C2" w:rsidRDefault="004257B5" w:rsidP="004D7CE2">
            <w:r w:rsidRPr="008C60C2">
              <w:t>1% sablefish and 1.5% for halibut</w:t>
            </w:r>
          </w:p>
        </w:tc>
      </w:tr>
      <w:tr w:rsidR="004257B5" w:rsidRPr="002261A6" w14:paraId="6D872DE2" w14:textId="77777777" w:rsidTr="008C60C2">
        <w:trPr>
          <w:trHeight w:val="3248"/>
        </w:trPr>
        <w:tc>
          <w:tcPr>
            <w:tcW w:w="1659" w:type="dxa"/>
          </w:tcPr>
          <w:p w14:paraId="556B4BC5" w14:textId="7B625413" w:rsidR="004257B5" w:rsidRPr="008C60C2" w:rsidRDefault="004257B5" w:rsidP="00074912">
            <w:r w:rsidRPr="008C60C2">
              <w:t>Transfer Rules</w:t>
            </w:r>
          </w:p>
        </w:tc>
        <w:tc>
          <w:tcPr>
            <w:tcW w:w="1936" w:type="dxa"/>
          </w:tcPr>
          <w:p w14:paraId="1046B975" w14:textId="35012B23" w:rsidR="004257B5" w:rsidRPr="008C60C2" w:rsidRDefault="004257B5" w:rsidP="00B31163">
            <w:r w:rsidRPr="008C60C2">
              <w:t xml:space="preserve">Quota </w:t>
            </w:r>
            <w:r w:rsidRPr="008C60C2">
              <w:rPr>
                <w:rFonts w:eastAsia="Times New Roman"/>
                <w:color w:val="000000" w:themeColor="text1"/>
              </w:rPr>
              <w:t>shares are transferable with very few restrictions</w:t>
            </w:r>
          </w:p>
        </w:tc>
        <w:tc>
          <w:tcPr>
            <w:tcW w:w="2017" w:type="dxa"/>
          </w:tcPr>
          <w:p w14:paraId="04457EC5" w14:textId="5329463D" w:rsidR="004257B5" w:rsidRPr="008C60C2" w:rsidRDefault="004257B5" w:rsidP="00D3024A">
            <w:r w:rsidRPr="008C60C2">
              <w:t>Some initial restrictions on transfers; post-1990 ITQ-shares are perfectly divisible and transferrable with few restrictions</w:t>
            </w:r>
          </w:p>
        </w:tc>
        <w:tc>
          <w:tcPr>
            <w:tcW w:w="1869" w:type="dxa"/>
          </w:tcPr>
          <w:p w14:paraId="791D070E" w14:textId="555808E6" w:rsidR="004257B5" w:rsidRPr="008C60C2" w:rsidRDefault="004257B5" w:rsidP="00B31163">
            <w:r w:rsidRPr="008C60C2">
              <w:t>Initial quota shares were not transferable from 1991-1992; quota shares became temporarily transferrable in 1993; in 1999 a provision allowed for quota shares to be transferred permanently</w:t>
            </w:r>
          </w:p>
        </w:tc>
        <w:tc>
          <w:tcPr>
            <w:tcW w:w="1869" w:type="dxa"/>
          </w:tcPr>
          <w:p w14:paraId="69A4ACD4" w14:textId="5C23831B" w:rsidR="004257B5" w:rsidRPr="008C60C2" w:rsidRDefault="004257B5" w:rsidP="004D7CE2">
            <w:r w:rsidRPr="008C60C2">
              <w:t>Initial quota shares could not be transferred between vessel classes sizes, but a 1996 amendment allows shares to be transferred down in vessel class size</w:t>
            </w:r>
          </w:p>
        </w:tc>
      </w:tr>
      <w:tr w:rsidR="0056129B" w:rsidRPr="002261A6" w14:paraId="71796192" w14:textId="77777777" w:rsidTr="00074912">
        <w:trPr>
          <w:trHeight w:val="485"/>
        </w:trPr>
        <w:tc>
          <w:tcPr>
            <w:tcW w:w="1659" w:type="dxa"/>
          </w:tcPr>
          <w:p w14:paraId="270BE54E" w14:textId="58A1188C" w:rsidR="0056129B" w:rsidRPr="008C60C2" w:rsidRDefault="0056129B" w:rsidP="00074912">
            <w:r w:rsidRPr="008C60C2">
              <w:t>Security</w:t>
            </w:r>
          </w:p>
        </w:tc>
        <w:tc>
          <w:tcPr>
            <w:tcW w:w="1936" w:type="dxa"/>
          </w:tcPr>
          <w:p w14:paraId="0E68B1AA" w14:textId="31EC8DB5" w:rsidR="0056129B" w:rsidRPr="008C60C2" w:rsidRDefault="00376905" w:rsidP="00B31163">
            <w:r w:rsidRPr="008C60C2">
              <w:t xml:space="preserve">Quota shares are held in perpetuity and recognized </w:t>
            </w:r>
            <w:r w:rsidRPr="008C60C2">
              <w:lastRenderedPageBreak/>
              <w:t>as formal property under the law</w:t>
            </w:r>
          </w:p>
        </w:tc>
        <w:tc>
          <w:tcPr>
            <w:tcW w:w="2017" w:type="dxa"/>
          </w:tcPr>
          <w:p w14:paraId="61746F71" w14:textId="02A72136" w:rsidR="0056129B" w:rsidRPr="008C60C2" w:rsidRDefault="00376905" w:rsidP="00376905">
            <w:r w:rsidRPr="008C60C2">
              <w:lastRenderedPageBreak/>
              <w:t xml:space="preserve">ITQ system is uncertain and can be abolished </w:t>
            </w:r>
            <w:r w:rsidRPr="008C60C2">
              <w:lastRenderedPageBreak/>
              <w:t>without compensation, but TAC-shares are secure and protected by law</w:t>
            </w:r>
          </w:p>
        </w:tc>
        <w:tc>
          <w:tcPr>
            <w:tcW w:w="1869" w:type="dxa"/>
          </w:tcPr>
          <w:p w14:paraId="4AE43417" w14:textId="3A8B127E" w:rsidR="0056129B" w:rsidRPr="008C60C2" w:rsidRDefault="001A38C2" w:rsidP="00B31163">
            <w:r w:rsidRPr="008C60C2">
              <w:lastRenderedPageBreak/>
              <w:t xml:space="preserve">Quota shares held in perpetuity, but </w:t>
            </w:r>
            <w:r w:rsidRPr="008C60C2">
              <w:lastRenderedPageBreak/>
              <w:t>not recognized as formal property under the law</w:t>
            </w:r>
          </w:p>
        </w:tc>
        <w:tc>
          <w:tcPr>
            <w:tcW w:w="1869" w:type="dxa"/>
          </w:tcPr>
          <w:p w14:paraId="2FAF41BB" w14:textId="5C994931" w:rsidR="0056129B" w:rsidRPr="008C60C2" w:rsidRDefault="001A38C2" w:rsidP="004D7CE2">
            <w:r w:rsidRPr="008C60C2">
              <w:lastRenderedPageBreak/>
              <w:t xml:space="preserve">Quota shares held in perpetuity, but </w:t>
            </w:r>
            <w:r w:rsidRPr="008C60C2">
              <w:lastRenderedPageBreak/>
              <w:t>not recognized as formal property under the law</w:t>
            </w:r>
          </w:p>
        </w:tc>
      </w:tr>
    </w:tbl>
    <w:p w14:paraId="0BCECA10" w14:textId="364B7C17" w:rsidR="00C231DC" w:rsidRPr="008C60C2" w:rsidRDefault="00C231DC" w:rsidP="00D11F61">
      <w:pPr>
        <w:rPr>
          <w:b/>
          <w:i/>
          <w:color w:val="000000" w:themeColor="text1"/>
        </w:rPr>
      </w:pPr>
    </w:p>
    <w:p w14:paraId="7C2119EC" w14:textId="63631E09" w:rsidR="00B47270" w:rsidRPr="008C60C2" w:rsidRDefault="00B47270" w:rsidP="00D11F61">
      <w:pPr>
        <w:rPr>
          <w:b/>
          <w:color w:val="000000" w:themeColor="text1"/>
        </w:rPr>
      </w:pPr>
      <w:r w:rsidRPr="008C60C2">
        <w:rPr>
          <w:b/>
          <w:color w:val="000000" w:themeColor="text1"/>
        </w:rPr>
        <w:t xml:space="preserve">4.0 </w:t>
      </w:r>
      <w:r w:rsidR="00124066" w:rsidRPr="008C60C2">
        <w:rPr>
          <w:b/>
          <w:color w:val="000000" w:themeColor="text1"/>
        </w:rPr>
        <w:t>New Zealand and Iceland—</w:t>
      </w:r>
      <w:r w:rsidR="00FD553B" w:rsidRPr="008C60C2">
        <w:rPr>
          <w:b/>
          <w:color w:val="000000" w:themeColor="text1"/>
        </w:rPr>
        <w:t>Closer to</w:t>
      </w:r>
      <w:r w:rsidR="00124066" w:rsidRPr="008C60C2">
        <w:rPr>
          <w:b/>
          <w:color w:val="000000" w:themeColor="text1"/>
        </w:rPr>
        <w:t xml:space="preserve"> the Economic Ideal </w:t>
      </w:r>
    </w:p>
    <w:p w14:paraId="4D8FD973" w14:textId="77777777" w:rsidR="00A663E2" w:rsidRPr="008C60C2" w:rsidRDefault="00A663E2" w:rsidP="00D11F61">
      <w:pPr>
        <w:rPr>
          <w:b/>
          <w:i/>
          <w:color w:val="000000" w:themeColor="text1"/>
        </w:rPr>
      </w:pPr>
    </w:p>
    <w:p w14:paraId="548A038C" w14:textId="2D5A460F" w:rsidR="00A663E2" w:rsidRPr="008C60C2" w:rsidRDefault="00124066">
      <w:pPr>
        <w:rPr>
          <w:i/>
          <w:color w:val="000000" w:themeColor="text1"/>
        </w:rPr>
      </w:pPr>
      <w:r w:rsidRPr="008C60C2">
        <w:rPr>
          <w:i/>
          <w:color w:val="000000" w:themeColor="text1"/>
        </w:rPr>
        <w:t>4</w:t>
      </w:r>
      <w:r w:rsidR="003F6B1D" w:rsidRPr="008C60C2">
        <w:rPr>
          <w:i/>
          <w:color w:val="000000" w:themeColor="text1"/>
        </w:rPr>
        <w:t xml:space="preserve">.1 </w:t>
      </w:r>
      <w:r w:rsidR="00A663E2" w:rsidRPr="008C60C2">
        <w:rPr>
          <w:i/>
          <w:color w:val="000000" w:themeColor="text1"/>
        </w:rPr>
        <w:t xml:space="preserve">New Zealand’s Quota Management System </w:t>
      </w:r>
    </w:p>
    <w:p w14:paraId="34D5A6DC" w14:textId="0063F3B4" w:rsidR="00031FB0" w:rsidRPr="008C60C2" w:rsidRDefault="00031FB0" w:rsidP="006F330A">
      <w:pPr>
        <w:rPr>
          <w:color w:val="000000" w:themeColor="text1"/>
        </w:rPr>
      </w:pPr>
    </w:p>
    <w:p w14:paraId="3B59C3F0" w14:textId="05796BB2" w:rsidR="00DC7041" w:rsidRPr="008C60C2" w:rsidRDefault="00031FB0" w:rsidP="00D11F61">
      <w:pPr>
        <w:spacing w:line="480" w:lineRule="auto"/>
        <w:ind w:firstLine="720"/>
        <w:rPr>
          <w:color w:val="000000" w:themeColor="text1"/>
        </w:rPr>
      </w:pPr>
      <w:r w:rsidRPr="008C60C2">
        <w:rPr>
          <w:color w:val="000000" w:themeColor="text1"/>
        </w:rPr>
        <w:t>New Zealand’s</w:t>
      </w:r>
      <w:r w:rsidR="00FD566A" w:rsidRPr="008C60C2">
        <w:rPr>
          <w:color w:val="000000" w:themeColor="text1"/>
        </w:rPr>
        <w:t xml:space="preserve"> commercial fisheries have undergone several regulatory changes since the 1970s, but </w:t>
      </w:r>
      <w:r w:rsidRPr="008C60C2">
        <w:rPr>
          <w:color w:val="000000" w:themeColor="text1"/>
        </w:rPr>
        <w:t xml:space="preserve">the idea for an </w:t>
      </w:r>
      <w:r w:rsidR="00FD566A" w:rsidRPr="008C60C2">
        <w:rPr>
          <w:color w:val="000000" w:themeColor="text1"/>
        </w:rPr>
        <w:t xml:space="preserve">individual </w:t>
      </w:r>
      <w:r w:rsidRPr="008C60C2">
        <w:rPr>
          <w:color w:val="000000" w:themeColor="text1"/>
        </w:rPr>
        <w:t xml:space="preserve">quota </w:t>
      </w:r>
      <w:r w:rsidR="003A0EAF" w:rsidRPr="008C60C2">
        <w:rPr>
          <w:color w:val="000000" w:themeColor="text1"/>
        </w:rPr>
        <w:t>system</w:t>
      </w:r>
      <w:r w:rsidRPr="008C60C2">
        <w:rPr>
          <w:color w:val="000000" w:themeColor="text1"/>
        </w:rPr>
        <w:t xml:space="preserve"> became viable in the 1980s</w:t>
      </w:r>
      <w:r w:rsidR="0035034F" w:rsidRPr="008C60C2">
        <w:rPr>
          <w:color w:val="000000" w:themeColor="text1"/>
        </w:rPr>
        <w:t xml:space="preserve"> when </w:t>
      </w:r>
      <w:r w:rsidRPr="008C60C2">
        <w:rPr>
          <w:color w:val="000000" w:themeColor="text1"/>
        </w:rPr>
        <w:t>the</w:t>
      </w:r>
      <w:r w:rsidR="009D4C1D" w:rsidRPr="008C60C2">
        <w:rPr>
          <w:color w:val="000000" w:themeColor="text1"/>
        </w:rPr>
        <w:t xml:space="preserve"> </w:t>
      </w:r>
      <w:r w:rsidR="00E87DEC">
        <w:rPr>
          <w:color w:val="000000" w:themeColor="text1"/>
        </w:rPr>
        <w:t xml:space="preserve">nation’s inshore fishery </w:t>
      </w:r>
      <w:r w:rsidR="009D4C1D" w:rsidRPr="008C60C2">
        <w:rPr>
          <w:color w:val="000000" w:themeColor="text1"/>
        </w:rPr>
        <w:t xml:space="preserve">stock levels </w:t>
      </w:r>
      <w:r w:rsidRPr="008C60C2">
        <w:rPr>
          <w:color w:val="000000" w:themeColor="text1"/>
        </w:rPr>
        <w:t>were rapidly decreasing. New Zealand was also amidst a financial crisis in the early 1980s</w:t>
      </w:r>
      <w:r w:rsidR="009D4C1D" w:rsidRPr="008C60C2">
        <w:rPr>
          <w:color w:val="000000" w:themeColor="text1"/>
        </w:rPr>
        <w:t>, leading the</w:t>
      </w:r>
      <w:r w:rsidRPr="008C60C2">
        <w:rPr>
          <w:color w:val="000000" w:themeColor="text1"/>
        </w:rPr>
        <w:t xml:space="preserve"> national government </w:t>
      </w:r>
      <w:r w:rsidR="009D4C1D" w:rsidRPr="008C60C2">
        <w:rPr>
          <w:color w:val="000000" w:themeColor="text1"/>
        </w:rPr>
        <w:t xml:space="preserve">to privatize </w:t>
      </w:r>
      <w:r w:rsidRPr="008C60C2">
        <w:rPr>
          <w:color w:val="000000" w:themeColor="text1"/>
        </w:rPr>
        <w:t xml:space="preserve">several industries </w:t>
      </w:r>
      <w:r w:rsidR="009D4C1D" w:rsidRPr="008C60C2">
        <w:rPr>
          <w:color w:val="000000" w:themeColor="text1"/>
        </w:rPr>
        <w:t xml:space="preserve">and rely on </w:t>
      </w:r>
      <w:r w:rsidR="00720656" w:rsidRPr="008C60C2">
        <w:rPr>
          <w:color w:val="000000" w:themeColor="text1"/>
        </w:rPr>
        <w:t xml:space="preserve">free market forces </w:t>
      </w:r>
      <w:r w:rsidR="009D4C1D" w:rsidRPr="008C60C2">
        <w:rPr>
          <w:color w:val="000000" w:themeColor="text1"/>
        </w:rPr>
        <w:t xml:space="preserve">to </w:t>
      </w:r>
      <w:r w:rsidRPr="008C60C2">
        <w:rPr>
          <w:color w:val="000000" w:themeColor="text1"/>
        </w:rPr>
        <w:t>turn around the failing economy (</w:t>
      </w:r>
      <w:r w:rsidR="00FD566A" w:rsidRPr="008C60C2">
        <w:rPr>
          <w:color w:val="000000" w:themeColor="text1"/>
        </w:rPr>
        <w:t xml:space="preserve">Boyd and </w:t>
      </w:r>
      <w:proofErr w:type="spellStart"/>
      <w:r w:rsidR="00FD566A" w:rsidRPr="008C60C2">
        <w:rPr>
          <w:color w:val="000000" w:themeColor="text1"/>
        </w:rPr>
        <w:t>Dewees</w:t>
      </w:r>
      <w:proofErr w:type="spellEnd"/>
      <w:r w:rsidR="00FD566A" w:rsidRPr="008C60C2">
        <w:rPr>
          <w:color w:val="000000" w:themeColor="text1"/>
        </w:rPr>
        <w:t xml:space="preserve"> 1992). </w:t>
      </w:r>
      <w:r w:rsidRPr="008C60C2">
        <w:rPr>
          <w:color w:val="000000" w:themeColor="text1"/>
        </w:rPr>
        <w:t xml:space="preserve">These dynamics </w:t>
      </w:r>
      <w:r w:rsidR="009D4C1D" w:rsidRPr="008C60C2">
        <w:rPr>
          <w:color w:val="000000" w:themeColor="text1"/>
        </w:rPr>
        <w:t xml:space="preserve">drove </w:t>
      </w:r>
      <w:r w:rsidRPr="008C60C2">
        <w:rPr>
          <w:color w:val="000000" w:themeColor="text1"/>
        </w:rPr>
        <w:t xml:space="preserve">the national government to </w:t>
      </w:r>
      <w:r w:rsidR="009D4C1D" w:rsidRPr="008C60C2">
        <w:rPr>
          <w:color w:val="000000" w:themeColor="text1"/>
        </w:rPr>
        <w:t xml:space="preserve">fully </w:t>
      </w:r>
      <w:r w:rsidRPr="008C60C2">
        <w:rPr>
          <w:color w:val="000000" w:themeColor="text1"/>
        </w:rPr>
        <w:t xml:space="preserve">develop </w:t>
      </w:r>
      <w:r w:rsidR="009D4C1D" w:rsidRPr="008C60C2">
        <w:rPr>
          <w:color w:val="000000" w:themeColor="text1"/>
        </w:rPr>
        <w:t xml:space="preserve">the </w:t>
      </w:r>
      <w:r w:rsidRPr="008C60C2">
        <w:rPr>
          <w:color w:val="000000" w:themeColor="text1"/>
        </w:rPr>
        <w:t xml:space="preserve">deepwater </w:t>
      </w:r>
      <w:r w:rsidR="00720656" w:rsidRPr="008C60C2">
        <w:rPr>
          <w:color w:val="000000" w:themeColor="text1"/>
        </w:rPr>
        <w:t xml:space="preserve">fisheries </w:t>
      </w:r>
      <w:r w:rsidR="009D4C1D" w:rsidRPr="008C60C2">
        <w:rPr>
          <w:color w:val="000000" w:themeColor="text1"/>
        </w:rPr>
        <w:t xml:space="preserve">in its EEZ to </w:t>
      </w:r>
      <w:r w:rsidR="00720656" w:rsidRPr="008C60C2">
        <w:rPr>
          <w:color w:val="000000" w:themeColor="text1"/>
        </w:rPr>
        <w:t>increase the</w:t>
      </w:r>
      <w:r w:rsidR="009D4C1D" w:rsidRPr="008C60C2">
        <w:rPr>
          <w:color w:val="000000" w:themeColor="text1"/>
        </w:rPr>
        <w:t xml:space="preserve"> </w:t>
      </w:r>
      <w:r w:rsidR="00720656" w:rsidRPr="008C60C2">
        <w:rPr>
          <w:color w:val="000000" w:themeColor="text1"/>
        </w:rPr>
        <w:t xml:space="preserve">rents returned from </w:t>
      </w:r>
      <w:r w:rsidR="009D4C1D" w:rsidRPr="008C60C2">
        <w:rPr>
          <w:color w:val="000000" w:themeColor="text1"/>
        </w:rPr>
        <w:t xml:space="preserve">all of the nation’s </w:t>
      </w:r>
      <w:r w:rsidR="00720656" w:rsidRPr="008C60C2">
        <w:rPr>
          <w:color w:val="000000" w:themeColor="text1"/>
        </w:rPr>
        <w:t>fishery resources</w:t>
      </w:r>
      <w:r w:rsidR="009D4C1D" w:rsidRPr="008C60C2">
        <w:rPr>
          <w:color w:val="000000" w:themeColor="text1"/>
        </w:rPr>
        <w:t>, and implement its QMS in 1986 which created a new management structure in both the inshore and offshore fisheries</w:t>
      </w:r>
      <w:r w:rsidR="00FF235B" w:rsidRPr="008C60C2">
        <w:rPr>
          <w:color w:val="000000" w:themeColor="text1"/>
        </w:rPr>
        <w:t xml:space="preserve"> </w:t>
      </w:r>
      <w:r w:rsidRPr="008C60C2">
        <w:rPr>
          <w:color w:val="000000" w:themeColor="text1"/>
        </w:rPr>
        <w:t>(</w:t>
      </w:r>
      <w:proofErr w:type="spellStart"/>
      <w:r w:rsidRPr="008C60C2">
        <w:rPr>
          <w:color w:val="000000" w:themeColor="text1"/>
        </w:rPr>
        <w:t>Batkin</w:t>
      </w:r>
      <w:proofErr w:type="spellEnd"/>
      <w:r w:rsidRPr="008C60C2">
        <w:rPr>
          <w:color w:val="000000" w:themeColor="text1"/>
        </w:rPr>
        <w:t xml:space="preserve"> 1996; </w:t>
      </w:r>
      <w:proofErr w:type="spellStart"/>
      <w:r w:rsidRPr="008C60C2">
        <w:rPr>
          <w:color w:val="000000" w:themeColor="text1"/>
        </w:rPr>
        <w:t>Dewees</w:t>
      </w:r>
      <w:proofErr w:type="spellEnd"/>
      <w:r w:rsidRPr="008C60C2">
        <w:rPr>
          <w:color w:val="000000" w:themeColor="text1"/>
        </w:rPr>
        <w:t xml:space="preserve"> 2008).</w:t>
      </w:r>
      <w:r w:rsidR="00720656" w:rsidRPr="008C60C2">
        <w:rPr>
          <w:color w:val="000000" w:themeColor="text1"/>
        </w:rPr>
        <w:t xml:space="preserve">  </w:t>
      </w:r>
    </w:p>
    <w:p w14:paraId="7F3C8523" w14:textId="1E252FC8" w:rsidR="00720656" w:rsidRPr="008C60C2" w:rsidRDefault="00504511" w:rsidP="00831DDE">
      <w:pPr>
        <w:spacing w:line="480" w:lineRule="auto"/>
        <w:ind w:firstLine="720"/>
      </w:pPr>
      <w:r w:rsidRPr="008C60C2">
        <w:rPr>
          <w:color w:val="000000" w:themeColor="text1"/>
        </w:rPr>
        <w:t xml:space="preserve">The </w:t>
      </w:r>
      <w:r w:rsidR="003B05AA" w:rsidRPr="008C60C2">
        <w:rPr>
          <w:color w:val="000000" w:themeColor="text1"/>
        </w:rPr>
        <w:t xml:space="preserve">QMS was implemented to stop </w:t>
      </w:r>
      <w:r w:rsidR="00720656" w:rsidRPr="008C60C2">
        <w:rPr>
          <w:color w:val="000000" w:themeColor="text1"/>
        </w:rPr>
        <w:t xml:space="preserve">overharvesting </w:t>
      </w:r>
      <w:r w:rsidR="007A318D" w:rsidRPr="008C60C2">
        <w:rPr>
          <w:color w:val="000000" w:themeColor="text1"/>
        </w:rPr>
        <w:t xml:space="preserve">in the inshore fisheries and prevent </w:t>
      </w:r>
      <w:r w:rsidR="00720656" w:rsidRPr="008C60C2">
        <w:rPr>
          <w:color w:val="000000" w:themeColor="text1"/>
        </w:rPr>
        <w:t xml:space="preserve">a similar </w:t>
      </w:r>
      <w:r w:rsidR="007A318D" w:rsidRPr="008C60C2">
        <w:rPr>
          <w:color w:val="000000" w:themeColor="text1"/>
        </w:rPr>
        <w:t xml:space="preserve">occurrence in the </w:t>
      </w:r>
      <w:r w:rsidR="0045035B" w:rsidRPr="008C60C2">
        <w:rPr>
          <w:color w:val="000000" w:themeColor="text1"/>
        </w:rPr>
        <w:t xml:space="preserve">newly formed </w:t>
      </w:r>
      <w:r w:rsidR="00720656" w:rsidRPr="008C60C2">
        <w:rPr>
          <w:color w:val="000000" w:themeColor="text1"/>
        </w:rPr>
        <w:t xml:space="preserve">deepwater </w:t>
      </w:r>
      <w:r w:rsidR="007A318D" w:rsidRPr="008C60C2">
        <w:rPr>
          <w:color w:val="000000" w:themeColor="text1"/>
        </w:rPr>
        <w:t>fisheries</w:t>
      </w:r>
      <w:r w:rsidR="00720656" w:rsidRPr="008C60C2">
        <w:rPr>
          <w:color w:val="000000" w:themeColor="text1"/>
        </w:rPr>
        <w:t>. To achieve this, the QMS</w:t>
      </w:r>
      <w:r w:rsidR="007A318D" w:rsidRPr="008C60C2">
        <w:rPr>
          <w:color w:val="000000" w:themeColor="text1"/>
        </w:rPr>
        <w:t xml:space="preserve"> </w:t>
      </w:r>
      <w:r w:rsidR="00720656" w:rsidRPr="008C60C2">
        <w:rPr>
          <w:color w:val="000000" w:themeColor="text1"/>
        </w:rPr>
        <w:t>issued</w:t>
      </w:r>
      <w:r w:rsidR="00A762A0" w:rsidRPr="008C60C2">
        <w:rPr>
          <w:color w:val="000000" w:themeColor="text1"/>
        </w:rPr>
        <w:t xml:space="preserve"> a</w:t>
      </w:r>
      <w:r w:rsidR="00FD566A" w:rsidRPr="008C60C2">
        <w:rPr>
          <w:color w:val="000000" w:themeColor="text1"/>
        </w:rPr>
        <w:t xml:space="preserve"> moratorium on new fishery entrants, </w:t>
      </w:r>
      <w:r w:rsidR="00720656" w:rsidRPr="008C60C2">
        <w:rPr>
          <w:color w:val="000000" w:themeColor="text1"/>
        </w:rPr>
        <w:t xml:space="preserve">removed </w:t>
      </w:r>
      <w:r w:rsidR="00FD566A" w:rsidRPr="008C60C2">
        <w:rPr>
          <w:color w:val="000000" w:themeColor="text1"/>
        </w:rPr>
        <w:t xml:space="preserve">part-time fishers, and </w:t>
      </w:r>
      <w:r w:rsidR="00720656" w:rsidRPr="008C60C2">
        <w:rPr>
          <w:color w:val="000000" w:themeColor="text1"/>
        </w:rPr>
        <w:t xml:space="preserve">distributed quota </w:t>
      </w:r>
      <w:r w:rsidR="00C62273" w:rsidRPr="008C60C2">
        <w:rPr>
          <w:color w:val="000000" w:themeColor="text1"/>
        </w:rPr>
        <w:t xml:space="preserve">shares to </w:t>
      </w:r>
      <w:r w:rsidR="00720656" w:rsidRPr="008C60C2">
        <w:rPr>
          <w:color w:val="000000" w:themeColor="text1"/>
        </w:rPr>
        <w:t xml:space="preserve">incumbent users </w:t>
      </w:r>
      <w:r w:rsidR="009D4C1D" w:rsidRPr="008C60C2">
        <w:rPr>
          <w:color w:val="000000" w:themeColor="text1"/>
        </w:rPr>
        <w:t xml:space="preserve">but also </w:t>
      </w:r>
      <w:r w:rsidR="00C62273" w:rsidRPr="008C60C2">
        <w:rPr>
          <w:color w:val="000000" w:themeColor="text1"/>
        </w:rPr>
        <w:t>corporations</w:t>
      </w:r>
      <w:r w:rsidR="007A318D" w:rsidRPr="008C60C2">
        <w:rPr>
          <w:color w:val="000000" w:themeColor="text1"/>
        </w:rPr>
        <w:t xml:space="preserve"> </w:t>
      </w:r>
      <w:r w:rsidR="00720656" w:rsidRPr="008C60C2">
        <w:rPr>
          <w:color w:val="000000" w:themeColor="text1"/>
        </w:rPr>
        <w:t>that could develop the deepwater fisheries</w:t>
      </w:r>
      <w:r w:rsidR="00FD566A" w:rsidRPr="008C60C2">
        <w:rPr>
          <w:color w:val="000000" w:themeColor="text1"/>
        </w:rPr>
        <w:t xml:space="preserve"> (</w:t>
      </w:r>
      <w:proofErr w:type="spellStart"/>
      <w:r w:rsidR="00FD566A" w:rsidRPr="008C60C2">
        <w:rPr>
          <w:color w:val="000000" w:themeColor="text1"/>
        </w:rPr>
        <w:t>Dewees</w:t>
      </w:r>
      <w:proofErr w:type="spellEnd"/>
      <w:r w:rsidR="00FD566A" w:rsidRPr="008C60C2">
        <w:rPr>
          <w:color w:val="000000" w:themeColor="text1"/>
        </w:rPr>
        <w:t xml:space="preserve"> 2008, 37).</w:t>
      </w:r>
      <w:r w:rsidR="009C1800" w:rsidRPr="008C60C2">
        <w:rPr>
          <w:color w:val="000000" w:themeColor="text1"/>
        </w:rPr>
        <w:t xml:space="preserve"> </w:t>
      </w:r>
      <w:r w:rsidR="007636D3" w:rsidRPr="008C60C2">
        <w:t>Both individuals and firms</w:t>
      </w:r>
      <w:r w:rsidR="00FF3F4C">
        <w:t xml:space="preserve"> </w:t>
      </w:r>
      <w:r w:rsidR="007636D3" w:rsidRPr="008C60C2">
        <w:t>may participate in the QMS by acting as a quota owner, lessee, or lessor (Stewart</w:t>
      </w:r>
      <w:r w:rsidR="00D86838" w:rsidRPr="008C60C2">
        <w:t xml:space="preserve"> et al.,</w:t>
      </w:r>
      <w:r w:rsidR="007636D3" w:rsidRPr="008C60C2">
        <w:t xml:space="preserve"> 2005). </w:t>
      </w:r>
      <w:r w:rsidR="00720656" w:rsidRPr="008C60C2">
        <w:rPr>
          <w:color w:val="000000" w:themeColor="text1"/>
        </w:rPr>
        <w:t>Quota shares</w:t>
      </w:r>
      <w:r w:rsidR="00FD566A" w:rsidRPr="008C60C2">
        <w:rPr>
          <w:color w:val="000000" w:themeColor="text1"/>
        </w:rPr>
        <w:t xml:space="preserve"> </w:t>
      </w:r>
      <w:r w:rsidR="00A9673C" w:rsidRPr="008C60C2">
        <w:rPr>
          <w:color w:val="000000" w:themeColor="text1"/>
        </w:rPr>
        <w:t>for both the inshore and offshore fisheries</w:t>
      </w:r>
      <w:r w:rsidR="00720656" w:rsidRPr="008C60C2">
        <w:rPr>
          <w:color w:val="000000" w:themeColor="text1"/>
        </w:rPr>
        <w:t xml:space="preserve"> were allocated</w:t>
      </w:r>
      <w:r w:rsidR="00A9673C" w:rsidRPr="008C60C2">
        <w:rPr>
          <w:color w:val="000000" w:themeColor="text1"/>
        </w:rPr>
        <w:t xml:space="preserve"> </w:t>
      </w:r>
      <w:r w:rsidR="00720656" w:rsidRPr="008C60C2">
        <w:rPr>
          <w:color w:val="000000" w:themeColor="text1"/>
        </w:rPr>
        <w:t>to harvesters on the basis of their</w:t>
      </w:r>
      <w:r w:rsidR="00823A7A" w:rsidRPr="008C60C2">
        <w:t xml:space="preserve"> commitment and historical responsibility to the fishery</w:t>
      </w:r>
      <w:r w:rsidR="00E87DEC">
        <w:t>, and the</w:t>
      </w:r>
      <w:r w:rsidR="004861DE" w:rsidRPr="008C60C2">
        <w:t xml:space="preserve"> amount of quota </w:t>
      </w:r>
      <w:r w:rsidR="00BC4219" w:rsidRPr="008C60C2">
        <w:t xml:space="preserve">that an owner-entity </w:t>
      </w:r>
      <w:r w:rsidR="004861DE" w:rsidRPr="008C60C2">
        <w:t xml:space="preserve">received was based </w:t>
      </w:r>
      <w:r w:rsidR="00A34A35" w:rsidRPr="008C60C2">
        <w:t>on</w:t>
      </w:r>
      <w:r w:rsidR="004861DE" w:rsidRPr="008C60C2">
        <w:t xml:space="preserve"> harvester’s catch records from 1982-1984</w:t>
      </w:r>
      <w:r w:rsidR="00823A7A" w:rsidRPr="008C60C2">
        <w:t xml:space="preserve"> (</w:t>
      </w:r>
      <w:proofErr w:type="spellStart"/>
      <w:r w:rsidR="004861DE" w:rsidRPr="008C60C2">
        <w:t>Batkin</w:t>
      </w:r>
      <w:proofErr w:type="spellEnd"/>
      <w:r w:rsidR="004861DE" w:rsidRPr="008C60C2">
        <w:t xml:space="preserve"> 1996; </w:t>
      </w:r>
      <w:proofErr w:type="spellStart"/>
      <w:r w:rsidR="00823A7A" w:rsidRPr="008C60C2">
        <w:t>Lynham</w:t>
      </w:r>
      <w:proofErr w:type="spellEnd"/>
      <w:r w:rsidR="00823A7A" w:rsidRPr="008C60C2">
        <w:t xml:space="preserve"> </w:t>
      </w:r>
      <w:r w:rsidR="00BE0207" w:rsidRPr="008C60C2">
        <w:t>2014</w:t>
      </w:r>
      <w:r w:rsidR="00823A7A" w:rsidRPr="008C60C2">
        <w:t>).</w:t>
      </w:r>
      <w:r w:rsidR="00BB3E79" w:rsidRPr="008C60C2">
        <w:t xml:space="preserve"> </w:t>
      </w:r>
    </w:p>
    <w:p w14:paraId="7882687A" w14:textId="284EE85C" w:rsidR="00BF548F" w:rsidRPr="008C60C2" w:rsidRDefault="00A04A5C" w:rsidP="004B52FE">
      <w:pPr>
        <w:spacing w:line="480" w:lineRule="auto"/>
        <w:ind w:firstLine="720"/>
        <w:rPr>
          <w:rFonts w:eastAsia="Times New Roman"/>
          <w:color w:val="000000" w:themeColor="text1"/>
        </w:rPr>
      </w:pPr>
      <w:r w:rsidRPr="008C60C2">
        <w:rPr>
          <w:rFonts w:eastAsia="Times New Roman"/>
          <w:color w:val="000000" w:themeColor="text1"/>
        </w:rPr>
        <w:lastRenderedPageBreak/>
        <w:t>Consistent with the free market ideal, s</w:t>
      </w:r>
      <w:r w:rsidR="0047281C" w:rsidRPr="008C60C2">
        <w:rPr>
          <w:rFonts w:eastAsia="Times New Roman"/>
          <w:color w:val="000000" w:themeColor="text1"/>
        </w:rPr>
        <w:t xml:space="preserve">hares </w:t>
      </w:r>
      <w:r w:rsidR="00041212" w:rsidRPr="008C60C2">
        <w:rPr>
          <w:rFonts w:eastAsia="Times New Roman"/>
          <w:color w:val="000000" w:themeColor="text1"/>
        </w:rPr>
        <w:t xml:space="preserve">owned by individuals or firms </w:t>
      </w:r>
      <w:r w:rsidRPr="008C60C2">
        <w:rPr>
          <w:rFonts w:eastAsia="Times New Roman"/>
          <w:color w:val="000000" w:themeColor="text1"/>
        </w:rPr>
        <w:t xml:space="preserve">in New Zealand </w:t>
      </w:r>
      <w:r w:rsidR="00041212" w:rsidRPr="008C60C2">
        <w:rPr>
          <w:rFonts w:eastAsia="Times New Roman"/>
          <w:color w:val="000000" w:themeColor="text1"/>
        </w:rPr>
        <w:t>can be bought and sold with little restriction</w:t>
      </w:r>
      <w:r w:rsidR="0028309C" w:rsidRPr="008C60C2">
        <w:rPr>
          <w:rFonts w:eastAsia="Times New Roman"/>
          <w:color w:val="000000" w:themeColor="text1"/>
        </w:rPr>
        <w:t xml:space="preserve">. </w:t>
      </w:r>
      <w:r w:rsidR="00F43D3E" w:rsidRPr="008C60C2">
        <w:rPr>
          <w:rFonts w:eastAsia="Times New Roman"/>
          <w:color w:val="000000" w:themeColor="text1"/>
        </w:rPr>
        <w:t>Q</w:t>
      </w:r>
      <w:r w:rsidR="00041212" w:rsidRPr="008C60C2">
        <w:rPr>
          <w:rFonts w:eastAsia="Times New Roman"/>
          <w:color w:val="000000" w:themeColor="text1"/>
        </w:rPr>
        <w:t xml:space="preserve">uota shares are divisible and additive which </w:t>
      </w:r>
      <w:r w:rsidR="00F43D3E" w:rsidRPr="008C60C2">
        <w:rPr>
          <w:rFonts w:eastAsia="Times New Roman"/>
          <w:color w:val="000000" w:themeColor="text1"/>
        </w:rPr>
        <w:t xml:space="preserve">gives </w:t>
      </w:r>
      <w:r w:rsidR="00041212" w:rsidRPr="008C60C2">
        <w:rPr>
          <w:rFonts w:eastAsia="Times New Roman"/>
          <w:color w:val="000000" w:themeColor="text1"/>
        </w:rPr>
        <w:t xml:space="preserve">owners </w:t>
      </w:r>
      <w:r w:rsidR="00F43D3E" w:rsidRPr="008C60C2">
        <w:rPr>
          <w:rFonts w:eastAsia="Times New Roman"/>
          <w:color w:val="000000" w:themeColor="text1"/>
        </w:rPr>
        <w:t xml:space="preserve">flexibility to sell a portion of their quota or their entire holdings as a block </w:t>
      </w:r>
      <w:r w:rsidR="00041212" w:rsidRPr="008C60C2">
        <w:rPr>
          <w:rFonts w:eastAsia="Times New Roman"/>
          <w:color w:val="000000" w:themeColor="text1"/>
        </w:rPr>
        <w:t xml:space="preserve">(Lock and Leslie 2006). These </w:t>
      </w:r>
      <w:r w:rsidR="00142F99" w:rsidRPr="008C60C2">
        <w:rPr>
          <w:rFonts w:eastAsia="Times New Roman"/>
          <w:color w:val="000000" w:themeColor="text1"/>
        </w:rPr>
        <w:t>design feature</w:t>
      </w:r>
      <w:r w:rsidR="00041212" w:rsidRPr="008C60C2">
        <w:rPr>
          <w:rFonts w:eastAsia="Times New Roman"/>
          <w:color w:val="000000" w:themeColor="text1"/>
        </w:rPr>
        <w:t>s</w:t>
      </w:r>
      <w:r w:rsidR="00142F99" w:rsidRPr="008C60C2">
        <w:rPr>
          <w:rFonts w:eastAsia="Times New Roman"/>
          <w:color w:val="000000" w:themeColor="text1"/>
        </w:rPr>
        <w:t xml:space="preserve"> closely adhere to economist’s guidelines</w:t>
      </w:r>
      <w:r w:rsidR="0028309C" w:rsidRPr="008C60C2">
        <w:rPr>
          <w:rFonts w:eastAsia="Times New Roman"/>
          <w:color w:val="000000" w:themeColor="text1"/>
        </w:rPr>
        <w:t xml:space="preserve"> because greater transferability </w:t>
      </w:r>
      <w:r w:rsidR="00142F99" w:rsidRPr="008C60C2">
        <w:rPr>
          <w:rFonts w:eastAsia="Times New Roman"/>
          <w:color w:val="000000" w:themeColor="text1"/>
        </w:rPr>
        <w:t>allow</w:t>
      </w:r>
      <w:r w:rsidR="00850FCC" w:rsidRPr="008C60C2">
        <w:rPr>
          <w:rFonts w:eastAsia="Times New Roman"/>
          <w:color w:val="000000" w:themeColor="text1"/>
        </w:rPr>
        <w:t>s</w:t>
      </w:r>
      <w:r w:rsidR="00142F99" w:rsidRPr="008C60C2">
        <w:rPr>
          <w:rFonts w:eastAsia="Times New Roman"/>
          <w:color w:val="000000" w:themeColor="text1"/>
        </w:rPr>
        <w:t xml:space="preserve"> for </w:t>
      </w:r>
      <w:r w:rsidR="0028309C" w:rsidRPr="008C60C2">
        <w:rPr>
          <w:rFonts w:eastAsia="Times New Roman"/>
          <w:color w:val="000000" w:themeColor="text1"/>
        </w:rPr>
        <w:t>those harvesters</w:t>
      </w:r>
      <w:r w:rsidR="00142F99" w:rsidRPr="008C60C2">
        <w:rPr>
          <w:rFonts w:eastAsia="Times New Roman"/>
          <w:color w:val="000000" w:themeColor="text1"/>
        </w:rPr>
        <w:t xml:space="preserve"> with the greatest capacity to </w:t>
      </w:r>
      <w:r w:rsidR="0046094B" w:rsidRPr="008C60C2">
        <w:rPr>
          <w:rFonts w:eastAsia="Times New Roman"/>
          <w:color w:val="000000" w:themeColor="text1"/>
        </w:rPr>
        <w:t xml:space="preserve">harvest fish at the lowest cost to </w:t>
      </w:r>
      <w:r w:rsidR="00142F99" w:rsidRPr="008C60C2">
        <w:rPr>
          <w:rFonts w:eastAsia="Times New Roman"/>
          <w:color w:val="000000" w:themeColor="text1"/>
        </w:rPr>
        <w:t xml:space="preserve">purchase </w:t>
      </w:r>
      <w:r w:rsidR="0046094B" w:rsidRPr="008C60C2">
        <w:rPr>
          <w:rFonts w:eastAsia="Times New Roman"/>
          <w:color w:val="000000" w:themeColor="text1"/>
        </w:rPr>
        <w:t>additional</w:t>
      </w:r>
      <w:r w:rsidR="00142F99" w:rsidRPr="008C60C2">
        <w:rPr>
          <w:rFonts w:eastAsia="Times New Roman"/>
          <w:color w:val="000000" w:themeColor="text1"/>
        </w:rPr>
        <w:t xml:space="preserve"> quota shares</w:t>
      </w:r>
      <w:r w:rsidR="00D3024A" w:rsidRPr="008C60C2">
        <w:rPr>
          <w:rFonts w:eastAsia="Times New Roman"/>
          <w:color w:val="000000" w:themeColor="text1"/>
        </w:rPr>
        <w:t xml:space="preserve"> (</w:t>
      </w:r>
      <w:proofErr w:type="spellStart"/>
      <w:r w:rsidR="00D3024A" w:rsidRPr="008C60C2">
        <w:rPr>
          <w:rFonts w:eastAsia="Times New Roman"/>
          <w:color w:val="000000" w:themeColor="text1"/>
        </w:rPr>
        <w:t>Arnason</w:t>
      </w:r>
      <w:proofErr w:type="spellEnd"/>
      <w:r w:rsidR="00D3024A" w:rsidRPr="008C60C2">
        <w:rPr>
          <w:rFonts w:eastAsia="Times New Roman"/>
          <w:color w:val="000000" w:themeColor="text1"/>
        </w:rPr>
        <w:t xml:space="preserve"> </w:t>
      </w:r>
      <w:r w:rsidR="00DA5967" w:rsidRPr="008C60C2">
        <w:rPr>
          <w:rFonts w:eastAsia="Times New Roman"/>
          <w:color w:val="000000" w:themeColor="text1"/>
        </w:rPr>
        <w:t>2005</w:t>
      </w:r>
      <w:r w:rsidR="00D3024A" w:rsidRPr="008C60C2">
        <w:rPr>
          <w:rFonts w:eastAsia="Times New Roman"/>
          <w:color w:val="000000" w:themeColor="text1"/>
        </w:rPr>
        <w:t>)</w:t>
      </w:r>
      <w:r w:rsidR="00142F99" w:rsidRPr="008C60C2">
        <w:rPr>
          <w:rFonts w:eastAsia="Times New Roman"/>
          <w:color w:val="000000" w:themeColor="text1"/>
        </w:rPr>
        <w:t>.</w:t>
      </w:r>
      <w:r w:rsidR="00D86E2C">
        <w:rPr>
          <w:rFonts w:eastAsia="Times New Roman"/>
          <w:color w:val="000000" w:themeColor="text1"/>
        </w:rPr>
        <w:t xml:space="preserve"> </w:t>
      </w:r>
      <w:r w:rsidR="00850FCC" w:rsidRPr="008C60C2">
        <w:rPr>
          <w:rFonts w:eastAsia="Times New Roman"/>
          <w:color w:val="000000" w:themeColor="text1"/>
        </w:rPr>
        <w:t>The driving assumption is that</w:t>
      </w:r>
      <w:r w:rsidR="0063273F" w:rsidRPr="008C60C2">
        <w:rPr>
          <w:rFonts w:eastAsia="Times New Roman"/>
          <w:color w:val="000000" w:themeColor="text1"/>
        </w:rPr>
        <w:t xml:space="preserve"> </w:t>
      </w:r>
      <w:r w:rsidR="0063273F" w:rsidRPr="008C60C2">
        <w:rPr>
          <w:color w:val="000000" w:themeColor="text1"/>
        </w:rPr>
        <w:t>the most efficient harvesters will naturally be those with the greatest capital resources to purchase shares as they become available</w:t>
      </w:r>
    </w:p>
    <w:p w14:paraId="22EFF3BD" w14:textId="13A6D444" w:rsidR="007636D3" w:rsidRPr="008C60C2" w:rsidRDefault="007636D3" w:rsidP="007636D3">
      <w:pPr>
        <w:spacing w:line="480" w:lineRule="auto"/>
        <w:ind w:firstLine="720"/>
      </w:pPr>
      <w:r w:rsidRPr="008C60C2">
        <w:rPr>
          <w:rFonts w:eastAsia="Times New Roman"/>
          <w:color w:val="000000" w:themeColor="text1"/>
        </w:rPr>
        <w:t xml:space="preserve">In New Zealand, </w:t>
      </w:r>
      <w:r w:rsidR="00BF548F" w:rsidRPr="008C60C2">
        <w:rPr>
          <w:rFonts w:eastAsia="Times New Roman"/>
          <w:color w:val="000000" w:themeColor="text1"/>
        </w:rPr>
        <w:t>quota shares</w:t>
      </w:r>
      <w:r w:rsidRPr="008C60C2">
        <w:rPr>
          <w:rFonts w:eastAsia="Times New Roman"/>
          <w:color w:val="000000" w:themeColor="text1"/>
        </w:rPr>
        <w:t xml:space="preserve"> have a high</w:t>
      </w:r>
      <w:r w:rsidR="00BF548F" w:rsidRPr="008C60C2">
        <w:rPr>
          <w:rFonts w:eastAsia="Times New Roman"/>
          <w:color w:val="000000" w:themeColor="text1"/>
        </w:rPr>
        <w:t xml:space="preserve"> level of security—they are </w:t>
      </w:r>
      <w:r w:rsidR="009302F4" w:rsidRPr="008C60C2">
        <w:rPr>
          <w:rFonts w:eastAsia="Times New Roman"/>
          <w:color w:val="000000" w:themeColor="text1"/>
        </w:rPr>
        <w:t>held in perpetuity with the exception of the rock lobster fishery</w:t>
      </w:r>
      <w:r w:rsidRPr="008C60C2">
        <w:rPr>
          <w:rFonts w:eastAsia="Times New Roman"/>
          <w:color w:val="000000" w:themeColor="text1"/>
        </w:rPr>
        <w:t xml:space="preserve">—and the national government recognizes quota shares as formal property under the law. </w:t>
      </w:r>
      <w:r w:rsidR="004B52FE" w:rsidRPr="008C60C2">
        <w:rPr>
          <w:rFonts w:eastAsia="Times New Roman"/>
          <w:color w:val="000000" w:themeColor="text1"/>
        </w:rPr>
        <w:t xml:space="preserve">This rule closely adheres to the </w:t>
      </w:r>
      <w:r w:rsidR="00E1439F">
        <w:rPr>
          <w:rFonts w:eastAsia="Times New Roman"/>
          <w:color w:val="000000" w:themeColor="text1"/>
        </w:rPr>
        <w:t>ideal economic model</w:t>
      </w:r>
      <w:r w:rsidR="004B52FE" w:rsidRPr="008C60C2">
        <w:rPr>
          <w:rFonts w:eastAsia="Times New Roman"/>
          <w:color w:val="000000" w:themeColor="text1"/>
        </w:rPr>
        <w:t xml:space="preserve"> because</w:t>
      </w:r>
      <w:r w:rsidRPr="008C60C2">
        <w:rPr>
          <w:rFonts w:eastAsia="Times New Roman"/>
          <w:color w:val="000000" w:themeColor="text1"/>
        </w:rPr>
        <w:t xml:space="preserve"> quota</w:t>
      </w:r>
      <w:r w:rsidR="004B52FE" w:rsidRPr="008C60C2">
        <w:rPr>
          <w:rFonts w:eastAsia="Times New Roman"/>
          <w:color w:val="000000" w:themeColor="text1"/>
        </w:rPr>
        <w:t xml:space="preserve"> </w:t>
      </w:r>
      <w:r w:rsidRPr="008C60C2">
        <w:rPr>
          <w:rFonts w:eastAsia="Times New Roman"/>
          <w:color w:val="000000" w:themeColor="text1"/>
        </w:rPr>
        <w:t xml:space="preserve">owners </w:t>
      </w:r>
      <w:r w:rsidR="00914895" w:rsidRPr="008C60C2">
        <w:rPr>
          <w:rFonts w:eastAsia="Times New Roman"/>
          <w:color w:val="000000" w:themeColor="text1"/>
        </w:rPr>
        <w:t xml:space="preserve">can rely on their access rights in efficiently planning for future harvesting investments, </w:t>
      </w:r>
      <w:r w:rsidR="00E1439F">
        <w:rPr>
          <w:rFonts w:eastAsia="Times New Roman"/>
          <w:color w:val="000000" w:themeColor="text1"/>
        </w:rPr>
        <w:t xml:space="preserve">and they </w:t>
      </w:r>
      <w:r w:rsidR="009302F4" w:rsidRPr="008C60C2">
        <w:rPr>
          <w:rFonts w:eastAsia="Times New Roman"/>
          <w:color w:val="000000" w:themeColor="text1"/>
        </w:rPr>
        <w:t xml:space="preserve">are able to withstand challenges from individuals or the government to the rightful ownership of </w:t>
      </w:r>
      <w:r w:rsidRPr="008C60C2">
        <w:rPr>
          <w:rFonts w:eastAsia="Times New Roman"/>
          <w:color w:val="000000" w:themeColor="text1"/>
        </w:rPr>
        <w:t>the property</w:t>
      </w:r>
      <w:r w:rsidR="009302F4" w:rsidRPr="008C60C2">
        <w:rPr>
          <w:rFonts w:eastAsia="Times New Roman"/>
          <w:color w:val="000000" w:themeColor="text1"/>
        </w:rPr>
        <w:t xml:space="preserve"> (</w:t>
      </w:r>
      <w:proofErr w:type="spellStart"/>
      <w:r w:rsidR="009302F4" w:rsidRPr="008C60C2">
        <w:rPr>
          <w:rFonts w:eastAsia="Times New Roman"/>
          <w:color w:val="000000" w:themeColor="text1"/>
        </w:rPr>
        <w:t>Bastone</w:t>
      </w:r>
      <w:proofErr w:type="spellEnd"/>
      <w:r w:rsidR="009302F4" w:rsidRPr="008C60C2">
        <w:rPr>
          <w:rFonts w:eastAsia="Times New Roman"/>
          <w:color w:val="000000" w:themeColor="text1"/>
        </w:rPr>
        <w:t xml:space="preserve"> and Sharp 1999). </w:t>
      </w:r>
      <w:r w:rsidRPr="008C60C2">
        <w:t>Quota shares were initially allocated in metric tons of fish rather than a percentage of the TAC. In order to change the TAC, the government had to enter the quota market and buy back shares at market prices</w:t>
      </w:r>
      <w:r w:rsidR="00E1439F">
        <w:t>. W</w:t>
      </w:r>
      <w:r w:rsidRPr="008C60C2">
        <w:t xml:space="preserve">hen the </w:t>
      </w:r>
      <w:r w:rsidR="00E1439F">
        <w:t xml:space="preserve">national </w:t>
      </w:r>
      <w:r w:rsidRPr="008C60C2">
        <w:t>government wanted to raise the TAC</w:t>
      </w:r>
      <w:r w:rsidR="00E1439F">
        <w:t>,</w:t>
      </w:r>
      <w:r w:rsidRPr="008C60C2">
        <w:t xml:space="preserve"> they would auction off additional shares for revenue (</w:t>
      </w:r>
      <w:proofErr w:type="spellStart"/>
      <w:r w:rsidRPr="008C60C2">
        <w:t>Dewees</w:t>
      </w:r>
      <w:proofErr w:type="spellEnd"/>
      <w:r w:rsidRPr="008C60C2">
        <w:t xml:space="preserve"> 2008). The cost of entering the quota market to buyback quota shares was unmanageable</w:t>
      </w:r>
      <w:r w:rsidR="00E1439F">
        <w:t>, and in response</w:t>
      </w:r>
      <w:r w:rsidRPr="008C60C2">
        <w:t>, new legislation was passed to redefine quota shares in terms of a percent of the TAC in 1999. This is a more commonly used practice because it allows for the TAC to be modified on an annual basis and quota share owner’s holdings change proportionally as a result.</w:t>
      </w:r>
    </w:p>
    <w:p w14:paraId="261E2183" w14:textId="4D57A159" w:rsidR="003B63EE" w:rsidRPr="008C60C2" w:rsidRDefault="003B05AA" w:rsidP="00BF548F">
      <w:pPr>
        <w:spacing w:line="480" w:lineRule="auto"/>
        <w:ind w:firstLine="720"/>
        <w:rPr>
          <w:color w:val="000000" w:themeColor="text1"/>
        </w:rPr>
      </w:pPr>
      <w:r w:rsidRPr="008C60C2">
        <w:rPr>
          <w:rFonts w:eastAsia="Times New Roman"/>
          <w:color w:val="000000" w:themeColor="text1"/>
        </w:rPr>
        <w:lastRenderedPageBreak/>
        <w:t>A</w:t>
      </w:r>
      <w:r w:rsidR="00914895" w:rsidRPr="008C60C2">
        <w:rPr>
          <w:rFonts w:eastAsia="Times New Roman"/>
          <w:color w:val="000000" w:themeColor="text1"/>
        </w:rPr>
        <w:t>nother</w:t>
      </w:r>
      <w:r w:rsidRPr="008C60C2">
        <w:rPr>
          <w:rFonts w:eastAsia="Times New Roman"/>
          <w:color w:val="000000" w:themeColor="text1"/>
        </w:rPr>
        <w:t xml:space="preserve"> feature of </w:t>
      </w:r>
      <w:r w:rsidRPr="008C60C2">
        <w:t xml:space="preserve">New Zealand’s QMS that closely aligns with the ideal economic model </w:t>
      </w:r>
      <w:r w:rsidR="00F8106B">
        <w:t>are its high quota aggregation limits</w:t>
      </w:r>
      <w:r w:rsidRPr="008C60C2">
        <w:t>. Limits</w:t>
      </w:r>
      <w:r w:rsidR="00E451C0" w:rsidRPr="008C60C2">
        <w:t xml:space="preserve"> are placed </w:t>
      </w:r>
      <w:r w:rsidR="00642D9B" w:rsidRPr="008C60C2">
        <w:t xml:space="preserve">on both fish stocks and species where stock ownership limits range from 10-20% and </w:t>
      </w:r>
      <w:r w:rsidR="00EA7F22" w:rsidRPr="008C60C2">
        <w:t xml:space="preserve">the limits for </w:t>
      </w:r>
      <w:r w:rsidR="00642D9B" w:rsidRPr="008C60C2">
        <w:t xml:space="preserve">individual species </w:t>
      </w:r>
      <w:r w:rsidR="000D7A54" w:rsidRPr="008C60C2">
        <w:t>sit at either 35% or</w:t>
      </w:r>
      <w:r w:rsidR="00642D9B" w:rsidRPr="008C60C2">
        <w:t xml:space="preserve"> 45%.</w:t>
      </w:r>
      <w:r w:rsidR="00642D9B" w:rsidRPr="008C60C2">
        <w:rPr>
          <w:rStyle w:val="FootnoteReference"/>
        </w:rPr>
        <w:footnoteReference w:id="1"/>
      </w:r>
      <w:r w:rsidR="00642D9B" w:rsidRPr="008C60C2">
        <w:t xml:space="preserve"> </w:t>
      </w:r>
      <w:r w:rsidR="003F2C74" w:rsidRPr="008C60C2">
        <w:t xml:space="preserve">Aggregation limits vary by species because of their relative profitability, the available information about the condition of the biological stock, and more. </w:t>
      </w:r>
      <w:r w:rsidR="00283222" w:rsidRPr="008C60C2">
        <w:rPr>
          <w:color w:val="000000" w:themeColor="text1"/>
        </w:rPr>
        <w:t>The QMS allowed for high ownership limits in order “to encourage deepwater fishery development and to maintain the pre-QMS history in which the largest 10 vertically integrated companies landed two-thirds of the fish” (</w:t>
      </w:r>
      <w:proofErr w:type="spellStart"/>
      <w:r w:rsidR="00283222" w:rsidRPr="008C60C2">
        <w:rPr>
          <w:color w:val="000000" w:themeColor="text1"/>
        </w:rPr>
        <w:t>Dewees</w:t>
      </w:r>
      <w:proofErr w:type="spellEnd"/>
      <w:r w:rsidR="00283222" w:rsidRPr="008C60C2">
        <w:rPr>
          <w:color w:val="000000" w:themeColor="text1"/>
        </w:rPr>
        <w:t xml:space="preserve">, 2008, 50). </w:t>
      </w:r>
    </w:p>
    <w:p w14:paraId="0418E083" w14:textId="61E5F596" w:rsidR="00831DDE" w:rsidRPr="008C60C2" w:rsidRDefault="009D29DF">
      <w:pPr>
        <w:spacing w:line="480" w:lineRule="auto"/>
        <w:ind w:firstLine="720"/>
        <w:rPr>
          <w:rFonts w:eastAsia="Times New Roman"/>
          <w:color w:val="000000" w:themeColor="text1"/>
        </w:rPr>
      </w:pPr>
      <w:r w:rsidRPr="008C60C2">
        <w:rPr>
          <w:rFonts w:eastAsia="Times New Roman"/>
          <w:color w:val="000000" w:themeColor="text1"/>
        </w:rPr>
        <w:t>In sum, New Zealand’s QMS demonstrates a strong preference for market-based management</w:t>
      </w:r>
      <w:r w:rsidR="00914895" w:rsidRPr="008C60C2">
        <w:rPr>
          <w:rFonts w:eastAsia="Times New Roman"/>
          <w:color w:val="000000" w:themeColor="text1"/>
        </w:rPr>
        <w:t xml:space="preserve"> with relatively few limits on the new market to protect small fishers</w:t>
      </w:r>
      <w:r w:rsidRPr="008C60C2">
        <w:rPr>
          <w:rFonts w:eastAsia="Times New Roman"/>
          <w:color w:val="000000" w:themeColor="text1"/>
        </w:rPr>
        <w:t>. Modifications to the policy like redefining quota shares as a percentage of the TAC progressively removed the government’s hand in the industry</w:t>
      </w:r>
      <w:r w:rsidR="00363F73" w:rsidRPr="008C60C2">
        <w:rPr>
          <w:rFonts w:eastAsia="Times New Roman"/>
          <w:color w:val="000000" w:themeColor="text1"/>
        </w:rPr>
        <w:t xml:space="preserve"> by not requiring the government to enter the</w:t>
      </w:r>
      <w:r w:rsidR="00A90834">
        <w:rPr>
          <w:rFonts w:eastAsia="Times New Roman"/>
          <w:color w:val="000000" w:themeColor="text1"/>
        </w:rPr>
        <w:t xml:space="preserve"> quota</w:t>
      </w:r>
      <w:r w:rsidR="00363F73" w:rsidRPr="008C60C2">
        <w:rPr>
          <w:rFonts w:eastAsia="Times New Roman"/>
          <w:color w:val="000000" w:themeColor="text1"/>
        </w:rPr>
        <w:t xml:space="preserve"> market to buy back shares to reduce the TAC</w:t>
      </w:r>
      <w:r w:rsidRPr="008C60C2">
        <w:rPr>
          <w:rFonts w:eastAsia="Times New Roman"/>
          <w:color w:val="000000" w:themeColor="text1"/>
        </w:rPr>
        <w:t>.</w:t>
      </w:r>
      <w:r w:rsidR="00363F73" w:rsidRPr="008C60C2">
        <w:rPr>
          <w:rFonts w:eastAsia="Times New Roman"/>
          <w:color w:val="000000" w:themeColor="text1"/>
        </w:rPr>
        <w:t xml:space="preserve"> At the same time, however, this new rule weakened the </w:t>
      </w:r>
      <w:r w:rsidR="00CA3DF3" w:rsidRPr="008C60C2">
        <w:rPr>
          <w:rFonts w:eastAsia="Times New Roman"/>
          <w:color w:val="000000" w:themeColor="text1"/>
        </w:rPr>
        <w:t>QMS’s reliance on market forces by giving the government more control over the size of TAC year-to-year.</w:t>
      </w:r>
      <w:r w:rsidRPr="008C60C2">
        <w:rPr>
          <w:rFonts w:eastAsia="Times New Roman"/>
          <w:color w:val="000000" w:themeColor="text1"/>
        </w:rPr>
        <w:t xml:space="preserve"> The ability of quota owners to divide and easily transfer their shares also facilitated the consolidation patterns listed above. While advocates of privatization celebrate these practices for their ability to professionalize the fishing industry and increase efficiency, critics have long argued that these features spur negative distributional outcomes that negatively affect local fishers. </w:t>
      </w:r>
    </w:p>
    <w:p w14:paraId="60B378E3" w14:textId="2AB3476C" w:rsidR="00743112" w:rsidRPr="008C60C2" w:rsidRDefault="00124066" w:rsidP="006F330A">
      <w:pPr>
        <w:rPr>
          <w:i/>
          <w:color w:val="000000" w:themeColor="text1"/>
        </w:rPr>
      </w:pPr>
      <w:r w:rsidRPr="008C60C2">
        <w:rPr>
          <w:i/>
          <w:color w:val="000000" w:themeColor="text1"/>
        </w:rPr>
        <w:t>4</w:t>
      </w:r>
      <w:r w:rsidR="003F6B1D" w:rsidRPr="008C60C2">
        <w:rPr>
          <w:i/>
          <w:color w:val="000000" w:themeColor="text1"/>
        </w:rPr>
        <w:t xml:space="preserve">.2 </w:t>
      </w:r>
      <w:r w:rsidR="006C7B4B" w:rsidRPr="008C60C2">
        <w:rPr>
          <w:i/>
          <w:color w:val="000000" w:themeColor="text1"/>
        </w:rPr>
        <w:t>Iceland</w:t>
      </w:r>
      <w:r w:rsidR="00FA5482" w:rsidRPr="008C60C2">
        <w:rPr>
          <w:i/>
          <w:color w:val="000000" w:themeColor="text1"/>
        </w:rPr>
        <w:t xml:space="preserve">’s Individual Transferable Quota System </w:t>
      </w:r>
    </w:p>
    <w:p w14:paraId="05996231" w14:textId="77777777" w:rsidR="00FA5482" w:rsidRPr="008C60C2" w:rsidRDefault="00FA5482" w:rsidP="006F330A">
      <w:pPr>
        <w:rPr>
          <w:b/>
          <w:i/>
          <w:color w:val="000000" w:themeColor="text1"/>
        </w:rPr>
      </w:pPr>
    </w:p>
    <w:p w14:paraId="3BFB8896" w14:textId="48DEB27E" w:rsidR="000F1512" w:rsidRPr="008C60C2" w:rsidRDefault="00FB4699" w:rsidP="00BF548F">
      <w:pPr>
        <w:widowControl w:val="0"/>
        <w:autoSpaceDE w:val="0"/>
        <w:autoSpaceDN w:val="0"/>
        <w:adjustRightInd w:val="0"/>
        <w:spacing w:line="480" w:lineRule="auto"/>
        <w:ind w:firstLine="720"/>
      </w:pPr>
      <w:r w:rsidRPr="008C60C2">
        <w:rPr>
          <w:color w:val="000000" w:themeColor="text1"/>
        </w:rPr>
        <w:t xml:space="preserve">Prior to the implementation of </w:t>
      </w:r>
      <w:r w:rsidR="00AC6747" w:rsidRPr="008C60C2">
        <w:rPr>
          <w:color w:val="000000" w:themeColor="text1"/>
        </w:rPr>
        <w:t>Iceland’s</w:t>
      </w:r>
      <w:r w:rsidRPr="008C60C2">
        <w:rPr>
          <w:color w:val="000000" w:themeColor="text1"/>
        </w:rPr>
        <w:t xml:space="preserve"> </w:t>
      </w:r>
      <w:r w:rsidR="00D573AA" w:rsidRPr="008C60C2">
        <w:rPr>
          <w:color w:val="000000" w:themeColor="text1"/>
        </w:rPr>
        <w:t>ITQ system</w:t>
      </w:r>
      <w:r w:rsidRPr="008C60C2">
        <w:rPr>
          <w:color w:val="000000" w:themeColor="text1"/>
        </w:rPr>
        <w:t>,</w:t>
      </w:r>
      <w:r w:rsidR="003B05AA" w:rsidRPr="008C60C2">
        <w:rPr>
          <w:color w:val="000000" w:themeColor="text1"/>
        </w:rPr>
        <w:t xml:space="preserve"> </w:t>
      </w:r>
      <w:r w:rsidR="00816D0F" w:rsidRPr="008C60C2">
        <w:rPr>
          <w:color w:val="000000" w:themeColor="text1"/>
        </w:rPr>
        <w:t xml:space="preserve">its </w:t>
      </w:r>
      <w:r w:rsidR="003B05AA" w:rsidRPr="008C60C2">
        <w:rPr>
          <w:color w:val="000000" w:themeColor="text1"/>
        </w:rPr>
        <w:t>national</w:t>
      </w:r>
      <w:r w:rsidRPr="008C60C2">
        <w:rPr>
          <w:color w:val="000000" w:themeColor="text1"/>
        </w:rPr>
        <w:t xml:space="preserve"> fisheries were governed by a combination of gear restrictions, area closures, and license limitation programs that sought </w:t>
      </w:r>
      <w:r w:rsidRPr="008C60C2">
        <w:rPr>
          <w:color w:val="000000" w:themeColor="text1"/>
        </w:rPr>
        <w:lastRenderedPageBreak/>
        <w:t xml:space="preserve">to </w:t>
      </w:r>
      <w:r w:rsidR="007F62E6" w:rsidRPr="008C60C2">
        <w:rPr>
          <w:color w:val="000000" w:themeColor="text1"/>
        </w:rPr>
        <w:t xml:space="preserve">control </w:t>
      </w:r>
      <w:r w:rsidRPr="008C60C2">
        <w:rPr>
          <w:color w:val="000000" w:themeColor="text1"/>
        </w:rPr>
        <w:t xml:space="preserve">fisher’s harvesting efforts (Chambers and Carothers </w:t>
      </w:r>
      <w:r w:rsidR="007E092A" w:rsidRPr="008C60C2">
        <w:rPr>
          <w:color w:val="000000" w:themeColor="text1"/>
        </w:rPr>
        <w:t>2017</w:t>
      </w:r>
      <w:r w:rsidRPr="008C60C2">
        <w:rPr>
          <w:color w:val="000000" w:themeColor="text1"/>
        </w:rPr>
        <w:t>). However, s</w:t>
      </w:r>
      <w:r w:rsidR="0091321C" w:rsidRPr="008C60C2">
        <w:t xml:space="preserve">imilar to </w:t>
      </w:r>
      <w:r w:rsidRPr="008C60C2">
        <w:t>New Zealand, Icelandic fishery</w:t>
      </w:r>
      <w:r w:rsidR="001108E9" w:rsidRPr="008C60C2">
        <w:t xml:space="preserve"> managers were motivated to implement an individual quota system </w:t>
      </w:r>
      <w:r w:rsidR="00D573AA" w:rsidRPr="008C60C2">
        <w:t xml:space="preserve">when </w:t>
      </w:r>
      <w:r w:rsidRPr="008C60C2">
        <w:t xml:space="preserve">the rate of harvest </w:t>
      </w:r>
      <w:r w:rsidR="006279E1" w:rsidRPr="008C60C2">
        <w:t xml:space="preserve">under traditional regulations </w:t>
      </w:r>
      <w:r w:rsidR="00D573AA" w:rsidRPr="008C60C2">
        <w:t>placed</w:t>
      </w:r>
      <w:r w:rsidRPr="008C60C2">
        <w:t xml:space="preserve"> valuable commercial fish </w:t>
      </w:r>
      <w:r w:rsidR="001108E9" w:rsidRPr="008C60C2">
        <w:t>stocks at risk.</w:t>
      </w:r>
      <w:r w:rsidR="00A835E0" w:rsidRPr="008C60C2">
        <w:t xml:space="preserve"> </w:t>
      </w:r>
      <w:r w:rsidR="00CA6EED" w:rsidRPr="008C60C2">
        <w:t>As stock</w:t>
      </w:r>
      <w:r w:rsidR="00F8106B">
        <w:t>s</w:t>
      </w:r>
      <w:r w:rsidR="00CA6EED" w:rsidRPr="008C60C2">
        <w:t xml:space="preserve"> became </w:t>
      </w:r>
      <w:r w:rsidR="00F8106B">
        <w:t xml:space="preserve">increasingly </w:t>
      </w:r>
      <w:r w:rsidR="00CA6EED" w:rsidRPr="008C60C2">
        <w:t xml:space="preserve">at risk for collapse, </w:t>
      </w:r>
      <w:r w:rsidR="00F874B8" w:rsidRPr="008C60C2">
        <w:t xml:space="preserve">different interest groups like </w:t>
      </w:r>
      <w:r w:rsidR="00D212C5" w:rsidRPr="008C60C2">
        <w:t>policy-makers, parliamentarian</w:t>
      </w:r>
      <w:r w:rsidR="00F874B8" w:rsidRPr="008C60C2">
        <w:t xml:space="preserve">s, and leaders from fishing communities </w:t>
      </w:r>
      <w:r w:rsidR="00D212C5" w:rsidRPr="008C60C2">
        <w:t>became involved in conversation</w:t>
      </w:r>
      <w:r w:rsidR="000F1512" w:rsidRPr="008C60C2">
        <w:t>s</w:t>
      </w:r>
      <w:r w:rsidR="00D212C5" w:rsidRPr="008C60C2">
        <w:t xml:space="preserve"> on how to best move forward Icelandic fisheries governance</w:t>
      </w:r>
      <w:r w:rsidR="00D573AA" w:rsidRPr="008C60C2">
        <w:t xml:space="preserve">. In these discussions, individual quotas </w:t>
      </w:r>
      <w:r w:rsidR="00A90834">
        <w:t>emerged as</w:t>
      </w:r>
      <w:r w:rsidR="00A90834" w:rsidRPr="008C60C2">
        <w:t xml:space="preserve"> </w:t>
      </w:r>
      <w:r w:rsidR="00D573AA" w:rsidRPr="008C60C2">
        <w:t xml:space="preserve">the primary solution under consideration, leading </w:t>
      </w:r>
      <w:r w:rsidR="00D212C5" w:rsidRPr="008C60C2">
        <w:t xml:space="preserve">the Icelandic Parliament </w:t>
      </w:r>
      <w:r w:rsidR="00D573AA" w:rsidRPr="008C60C2">
        <w:t xml:space="preserve">to pass </w:t>
      </w:r>
      <w:r w:rsidR="000F1512" w:rsidRPr="008C60C2">
        <w:t>an amendment that gave the Ministry of Fisheries the power to implement an individual quota system</w:t>
      </w:r>
      <w:r w:rsidR="00D573AA" w:rsidRPr="008C60C2">
        <w:t xml:space="preserve"> in 1983</w:t>
      </w:r>
      <w:r w:rsidR="000F1512" w:rsidRPr="008C60C2">
        <w:t>.</w:t>
      </w:r>
      <w:r w:rsidR="00D212C5" w:rsidRPr="008C60C2">
        <w:t xml:space="preserve"> </w:t>
      </w:r>
    </w:p>
    <w:p w14:paraId="42C5C613" w14:textId="40FF0473" w:rsidR="00D212C5" w:rsidRPr="008C60C2" w:rsidRDefault="00D573AA" w:rsidP="000F1512">
      <w:pPr>
        <w:widowControl w:val="0"/>
        <w:autoSpaceDE w:val="0"/>
        <w:autoSpaceDN w:val="0"/>
        <w:adjustRightInd w:val="0"/>
        <w:spacing w:line="480" w:lineRule="auto"/>
        <w:ind w:firstLine="720"/>
        <w:rPr>
          <w:color w:val="000000" w:themeColor="text1"/>
        </w:rPr>
      </w:pPr>
      <w:r w:rsidRPr="008C60C2">
        <w:t>Iceland’s</w:t>
      </w:r>
      <w:r w:rsidR="00D212C5" w:rsidRPr="008C60C2">
        <w:t xml:space="preserve"> ITQ system was implemented </w:t>
      </w:r>
      <w:r w:rsidR="000F1512" w:rsidRPr="008C60C2">
        <w:t>in 1984 for</w:t>
      </w:r>
      <w:r w:rsidR="00D212C5" w:rsidRPr="008C60C2">
        <w:t xml:space="preserve"> a one-year trial period</w:t>
      </w:r>
      <w:r w:rsidR="000F1512" w:rsidRPr="008C60C2">
        <w:t xml:space="preserve"> </w:t>
      </w:r>
      <w:r w:rsidRPr="008C60C2">
        <w:rPr>
          <w:color w:val="000000" w:themeColor="text1"/>
        </w:rPr>
        <w:t xml:space="preserve">with the goal of </w:t>
      </w:r>
      <w:r w:rsidR="000F1512" w:rsidRPr="008C60C2">
        <w:rPr>
          <w:color w:val="000000" w:themeColor="text1"/>
        </w:rPr>
        <w:t>restrict</w:t>
      </w:r>
      <w:r w:rsidRPr="008C60C2">
        <w:rPr>
          <w:color w:val="000000" w:themeColor="text1"/>
        </w:rPr>
        <w:t>ing</w:t>
      </w:r>
      <w:r w:rsidR="000F1512" w:rsidRPr="008C60C2">
        <w:rPr>
          <w:color w:val="000000" w:themeColor="text1"/>
        </w:rPr>
        <w:t xml:space="preserve"> the size of each fisher’s harvest, improv</w:t>
      </w:r>
      <w:r w:rsidRPr="008C60C2">
        <w:rPr>
          <w:color w:val="000000" w:themeColor="text1"/>
        </w:rPr>
        <w:t>ing</w:t>
      </w:r>
      <w:r w:rsidR="000F1512" w:rsidRPr="008C60C2">
        <w:rPr>
          <w:color w:val="000000" w:themeColor="text1"/>
        </w:rPr>
        <w:t xml:space="preserve"> the long-term sustainability of the nation’s commercial fisheries, and </w:t>
      </w:r>
      <w:r w:rsidRPr="008C60C2">
        <w:rPr>
          <w:color w:val="000000" w:themeColor="text1"/>
        </w:rPr>
        <w:t xml:space="preserve">making both </w:t>
      </w:r>
      <w:r w:rsidR="000F1512" w:rsidRPr="008C60C2">
        <w:rPr>
          <w:color w:val="000000" w:themeColor="text1"/>
        </w:rPr>
        <w:t xml:space="preserve">harvesting and processing more efficient </w:t>
      </w:r>
      <w:r w:rsidRPr="008C60C2">
        <w:rPr>
          <w:color w:val="000000" w:themeColor="text1"/>
        </w:rPr>
        <w:t>for</w:t>
      </w:r>
      <w:r w:rsidR="000F1512" w:rsidRPr="008C60C2">
        <w:t xml:space="preserve"> demersal or </w:t>
      </w:r>
      <w:proofErr w:type="spellStart"/>
      <w:r w:rsidR="000F1512" w:rsidRPr="008C60C2">
        <w:t>bottomfish</w:t>
      </w:r>
      <w:proofErr w:type="spellEnd"/>
      <w:r w:rsidR="000F1512" w:rsidRPr="008C60C2">
        <w:t xml:space="preserve"> fisheries (</w:t>
      </w:r>
      <w:proofErr w:type="spellStart"/>
      <w:r w:rsidR="000F1512" w:rsidRPr="008C60C2">
        <w:t>Kurien</w:t>
      </w:r>
      <w:proofErr w:type="spellEnd"/>
      <w:r w:rsidR="000F1512" w:rsidRPr="008C60C2">
        <w:t xml:space="preserve"> 2000). </w:t>
      </w:r>
      <w:r w:rsidR="00CA3DF3" w:rsidRPr="008C60C2">
        <w:t xml:space="preserve">Iceland first incorporated its demersal fisheries into an ITQ program to protect valuable demersal commercial fish species </w:t>
      </w:r>
      <w:r w:rsidR="00CA6EED" w:rsidRPr="008C60C2">
        <w:t xml:space="preserve">such as </w:t>
      </w:r>
      <w:r w:rsidR="00CA3DF3" w:rsidRPr="008C60C2">
        <w:t xml:space="preserve">cod that were on the brink of collapse. </w:t>
      </w:r>
      <w:r w:rsidR="003B05AA" w:rsidRPr="008C60C2">
        <w:t>Although the ITQ system was</w:t>
      </w:r>
      <w:r w:rsidRPr="008C60C2">
        <w:t xml:space="preserve"> </w:t>
      </w:r>
      <w:r w:rsidR="003B05AA" w:rsidRPr="008C60C2">
        <w:t xml:space="preserve">put forth as </w:t>
      </w:r>
      <w:r w:rsidRPr="008C60C2">
        <w:t xml:space="preserve">the primary policy option, </w:t>
      </w:r>
      <w:r w:rsidR="000F1512" w:rsidRPr="008C60C2">
        <w:t xml:space="preserve">Iceland had to </w:t>
      </w:r>
      <w:r w:rsidR="002A651C" w:rsidRPr="008C60C2">
        <w:t>limit the extent of the new market</w:t>
      </w:r>
      <w:r w:rsidR="000F1512" w:rsidRPr="008C60C2">
        <w:t xml:space="preserve"> to gain greater political support in Parliament</w:t>
      </w:r>
      <w:r w:rsidRPr="008C60C2">
        <w:t xml:space="preserve"> (</w:t>
      </w:r>
      <w:proofErr w:type="spellStart"/>
      <w:r w:rsidRPr="008C60C2">
        <w:t>Kurien</w:t>
      </w:r>
      <w:proofErr w:type="spellEnd"/>
      <w:r w:rsidRPr="008C60C2">
        <w:t xml:space="preserve"> 2000)</w:t>
      </w:r>
      <w:r w:rsidR="000F1512" w:rsidRPr="008C60C2">
        <w:t>. The</w:t>
      </w:r>
      <w:r w:rsidR="00D212C5" w:rsidRPr="008C60C2">
        <w:rPr>
          <w:color w:val="000000" w:themeColor="text1"/>
        </w:rPr>
        <w:t xml:space="preserve"> original </w:t>
      </w:r>
      <w:r w:rsidRPr="008C60C2">
        <w:rPr>
          <w:color w:val="000000" w:themeColor="text1"/>
        </w:rPr>
        <w:t xml:space="preserve">policy </w:t>
      </w:r>
      <w:r w:rsidR="000F1512" w:rsidRPr="008C60C2">
        <w:rPr>
          <w:color w:val="000000" w:themeColor="text1"/>
        </w:rPr>
        <w:t>design included a rule</w:t>
      </w:r>
      <w:r w:rsidR="00D212C5" w:rsidRPr="008C60C2">
        <w:rPr>
          <w:color w:val="000000" w:themeColor="text1"/>
        </w:rPr>
        <w:t xml:space="preserve"> that </w:t>
      </w:r>
      <w:r w:rsidR="00CA6EED" w:rsidRPr="008C60C2">
        <w:rPr>
          <w:color w:val="000000" w:themeColor="text1"/>
        </w:rPr>
        <w:t xml:space="preserve">protected smaller harvesters by allowing </w:t>
      </w:r>
      <w:r w:rsidR="00D212C5" w:rsidRPr="008C60C2">
        <w:rPr>
          <w:color w:val="000000" w:themeColor="text1"/>
        </w:rPr>
        <w:t xml:space="preserve">vessels between 6 and 10 </w:t>
      </w:r>
      <w:r w:rsidR="00D212C5" w:rsidRPr="008C60C2">
        <w:t xml:space="preserve">Gross Registered Tons (GRT) operating in the demersal fisheries to abide by earlier gear restrictions and operate under a fleet quota rather than </w:t>
      </w:r>
      <w:r w:rsidR="00A90834" w:rsidRPr="008C60C2">
        <w:t>receiv</w:t>
      </w:r>
      <w:r w:rsidR="00A90834">
        <w:t>ing</w:t>
      </w:r>
      <w:r w:rsidR="00A90834" w:rsidRPr="008C60C2">
        <w:t xml:space="preserve"> </w:t>
      </w:r>
      <w:r w:rsidR="000F1512" w:rsidRPr="008C60C2">
        <w:t>ITQ</w:t>
      </w:r>
      <w:r w:rsidR="00A90834">
        <w:t>-</w:t>
      </w:r>
      <w:r w:rsidR="00D212C5" w:rsidRPr="008C60C2">
        <w:t>shares (</w:t>
      </w:r>
      <w:proofErr w:type="spellStart"/>
      <w:r w:rsidR="00D212C5" w:rsidRPr="008C60C2">
        <w:t>Runolfsson</w:t>
      </w:r>
      <w:proofErr w:type="spellEnd"/>
      <w:r w:rsidR="00D212C5" w:rsidRPr="008C60C2">
        <w:t xml:space="preserve"> and </w:t>
      </w:r>
      <w:proofErr w:type="spellStart"/>
      <w:r w:rsidR="00D212C5" w:rsidRPr="008C60C2">
        <w:t>Arnason</w:t>
      </w:r>
      <w:proofErr w:type="spellEnd"/>
      <w:r w:rsidR="00D212C5" w:rsidRPr="008C60C2">
        <w:t xml:space="preserve"> 1997). </w:t>
      </w:r>
      <w:r w:rsidR="00D212C5" w:rsidRPr="008C60C2">
        <w:rPr>
          <w:rStyle w:val="CommentReference"/>
          <w:sz w:val="24"/>
          <w:szCs w:val="24"/>
        </w:rPr>
        <w:t xml:space="preserve">This </w:t>
      </w:r>
      <w:r w:rsidR="003B05AA" w:rsidRPr="008C60C2">
        <w:rPr>
          <w:rStyle w:val="CommentReference"/>
          <w:sz w:val="24"/>
          <w:szCs w:val="24"/>
        </w:rPr>
        <w:t xml:space="preserve">rule protected </w:t>
      </w:r>
      <w:r w:rsidRPr="008C60C2">
        <w:rPr>
          <w:rStyle w:val="CommentReference"/>
          <w:sz w:val="24"/>
          <w:szCs w:val="24"/>
        </w:rPr>
        <w:t>small</w:t>
      </w:r>
      <w:r w:rsidR="003B05AA" w:rsidRPr="008C60C2">
        <w:rPr>
          <w:rStyle w:val="CommentReference"/>
          <w:sz w:val="24"/>
          <w:szCs w:val="24"/>
        </w:rPr>
        <w:t>er</w:t>
      </w:r>
      <w:r w:rsidRPr="008C60C2">
        <w:rPr>
          <w:rStyle w:val="CommentReference"/>
          <w:sz w:val="24"/>
          <w:szCs w:val="24"/>
        </w:rPr>
        <w:t xml:space="preserve"> operations</w:t>
      </w:r>
      <w:r w:rsidR="000F1512" w:rsidRPr="008C60C2">
        <w:rPr>
          <w:rStyle w:val="CommentReference"/>
          <w:sz w:val="24"/>
          <w:szCs w:val="24"/>
        </w:rPr>
        <w:t xml:space="preserve">, garnering political support among policymakers and fishers alike </w:t>
      </w:r>
      <w:r w:rsidR="00D212C5" w:rsidRPr="008C60C2">
        <w:rPr>
          <w:rStyle w:val="CommentReference"/>
          <w:sz w:val="24"/>
          <w:szCs w:val="24"/>
        </w:rPr>
        <w:t xml:space="preserve">for </w:t>
      </w:r>
      <w:r w:rsidR="000F1512" w:rsidRPr="008C60C2">
        <w:rPr>
          <w:rStyle w:val="CommentReference"/>
          <w:sz w:val="24"/>
          <w:szCs w:val="24"/>
        </w:rPr>
        <w:t>allowing the existing</w:t>
      </w:r>
      <w:r w:rsidR="00D212C5" w:rsidRPr="008C60C2">
        <w:rPr>
          <w:rStyle w:val="CommentReference"/>
          <w:sz w:val="24"/>
          <w:szCs w:val="24"/>
        </w:rPr>
        <w:t xml:space="preserve"> du</w:t>
      </w:r>
      <w:r w:rsidR="002A651C" w:rsidRPr="008C60C2">
        <w:rPr>
          <w:rStyle w:val="CommentReference"/>
          <w:sz w:val="24"/>
          <w:szCs w:val="24"/>
        </w:rPr>
        <w:t>a</w:t>
      </w:r>
      <w:r w:rsidR="00D212C5" w:rsidRPr="008C60C2">
        <w:rPr>
          <w:rStyle w:val="CommentReference"/>
          <w:sz w:val="24"/>
          <w:szCs w:val="24"/>
        </w:rPr>
        <w:t xml:space="preserve">l system of local-national </w:t>
      </w:r>
      <w:r w:rsidR="000F1512" w:rsidRPr="008C60C2">
        <w:rPr>
          <w:rStyle w:val="CommentReference"/>
          <w:sz w:val="24"/>
          <w:szCs w:val="24"/>
        </w:rPr>
        <w:t xml:space="preserve">management </w:t>
      </w:r>
      <w:r w:rsidR="00D212C5" w:rsidRPr="008C60C2">
        <w:rPr>
          <w:rStyle w:val="CommentReference"/>
          <w:sz w:val="24"/>
          <w:szCs w:val="24"/>
        </w:rPr>
        <w:t>to continue (</w:t>
      </w:r>
      <w:proofErr w:type="spellStart"/>
      <w:r w:rsidR="00D212C5" w:rsidRPr="008C60C2">
        <w:rPr>
          <w:rStyle w:val="CommentReference"/>
          <w:sz w:val="24"/>
          <w:szCs w:val="24"/>
        </w:rPr>
        <w:t>Kurien</w:t>
      </w:r>
      <w:proofErr w:type="spellEnd"/>
      <w:r w:rsidR="00D212C5" w:rsidRPr="008C60C2">
        <w:rPr>
          <w:rStyle w:val="CommentReference"/>
          <w:sz w:val="24"/>
          <w:szCs w:val="24"/>
        </w:rPr>
        <w:t xml:space="preserve"> 2000). </w:t>
      </w:r>
      <w:r w:rsidR="00A90834">
        <w:rPr>
          <w:rStyle w:val="CommentReference"/>
          <w:sz w:val="24"/>
          <w:szCs w:val="24"/>
        </w:rPr>
        <w:t>K</w:t>
      </w:r>
      <w:r w:rsidR="000F1512" w:rsidRPr="008C60C2">
        <w:rPr>
          <w:rStyle w:val="CommentReference"/>
          <w:sz w:val="24"/>
          <w:szCs w:val="24"/>
        </w:rPr>
        <w:t xml:space="preserve">eeping </w:t>
      </w:r>
      <w:r w:rsidR="00D212C5" w:rsidRPr="008C60C2">
        <w:rPr>
          <w:rStyle w:val="CommentReference"/>
          <w:sz w:val="24"/>
          <w:szCs w:val="24"/>
        </w:rPr>
        <w:t>this</w:t>
      </w:r>
      <w:r w:rsidR="003B05AA" w:rsidRPr="008C60C2">
        <w:rPr>
          <w:rStyle w:val="CommentReference"/>
          <w:sz w:val="24"/>
          <w:szCs w:val="24"/>
        </w:rPr>
        <w:t xml:space="preserve"> </w:t>
      </w:r>
      <w:r w:rsidR="002A651C" w:rsidRPr="008C60C2">
        <w:rPr>
          <w:rStyle w:val="CommentReference"/>
          <w:sz w:val="24"/>
          <w:szCs w:val="24"/>
        </w:rPr>
        <w:t>“</w:t>
      </w:r>
      <w:r w:rsidR="003B05AA" w:rsidRPr="008C60C2">
        <w:rPr>
          <w:rStyle w:val="CommentReference"/>
          <w:sz w:val="24"/>
          <w:szCs w:val="24"/>
        </w:rPr>
        <w:t>inefficient</w:t>
      </w:r>
      <w:r w:rsidR="002A651C" w:rsidRPr="008C60C2">
        <w:rPr>
          <w:rStyle w:val="CommentReference"/>
          <w:sz w:val="24"/>
          <w:szCs w:val="24"/>
        </w:rPr>
        <w:t>”</w:t>
      </w:r>
      <w:r w:rsidR="00D212C5" w:rsidRPr="008C60C2">
        <w:rPr>
          <w:rStyle w:val="CommentReference"/>
          <w:sz w:val="24"/>
          <w:szCs w:val="24"/>
        </w:rPr>
        <w:t xml:space="preserve"> rule became less attractive in 1990</w:t>
      </w:r>
      <w:r w:rsidR="00A90834">
        <w:rPr>
          <w:rStyle w:val="CommentReference"/>
          <w:sz w:val="24"/>
          <w:szCs w:val="24"/>
        </w:rPr>
        <w:t>, however,</w:t>
      </w:r>
      <w:r w:rsidR="00D212C5" w:rsidRPr="008C60C2">
        <w:rPr>
          <w:rStyle w:val="CommentReference"/>
          <w:sz w:val="24"/>
          <w:szCs w:val="24"/>
        </w:rPr>
        <w:t xml:space="preserve"> when </w:t>
      </w:r>
      <w:r w:rsidR="000F1512" w:rsidRPr="008C60C2">
        <w:rPr>
          <w:rStyle w:val="CommentReference"/>
          <w:sz w:val="24"/>
          <w:szCs w:val="24"/>
        </w:rPr>
        <w:t>Iceland</w:t>
      </w:r>
      <w:r w:rsidR="00D212C5" w:rsidRPr="008C60C2">
        <w:rPr>
          <w:rStyle w:val="CommentReference"/>
          <w:sz w:val="24"/>
          <w:szCs w:val="24"/>
        </w:rPr>
        <w:t xml:space="preserve"> implemented a comprehensive quota system for </w:t>
      </w:r>
      <w:r w:rsidR="00D212C5" w:rsidRPr="008C60C2">
        <w:rPr>
          <w:rStyle w:val="CommentReference"/>
          <w:sz w:val="24"/>
          <w:szCs w:val="24"/>
        </w:rPr>
        <w:lastRenderedPageBreak/>
        <w:t>all fisheries</w:t>
      </w:r>
      <w:r w:rsidR="000F1512" w:rsidRPr="008C60C2">
        <w:t xml:space="preserve"> due to </w:t>
      </w:r>
      <w:r w:rsidR="000F1512" w:rsidRPr="008C60C2">
        <w:rPr>
          <w:color w:val="000000" w:themeColor="text1"/>
        </w:rPr>
        <w:t>observable improvements in</w:t>
      </w:r>
      <w:r w:rsidR="00A90834">
        <w:rPr>
          <w:color w:val="000000" w:themeColor="text1"/>
        </w:rPr>
        <w:t xml:space="preserve"> the demersal fisheries</w:t>
      </w:r>
      <w:r w:rsidR="000F1512" w:rsidRPr="008C60C2">
        <w:rPr>
          <w:color w:val="000000" w:themeColor="text1"/>
        </w:rPr>
        <w:t xml:space="preserve"> stocks</w:t>
      </w:r>
      <w:r w:rsidR="000F1512" w:rsidRPr="008C60C2">
        <w:t xml:space="preserve"> (</w:t>
      </w:r>
      <w:proofErr w:type="spellStart"/>
      <w:r w:rsidR="000F1512" w:rsidRPr="008C60C2">
        <w:t>Arnason</w:t>
      </w:r>
      <w:proofErr w:type="spellEnd"/>
      <w:r w:rsidR="000F1512" w:rsidRPr="008C60C2">
        <w:t xml:space="preserve"> </w:t>
      </w:r>
      <w:r w:rsidR="00DA5967" w:rsidRPr="008C60C2">
        <w:t>2005</w:t>
      </w:r>
      <w:r w:rsidR="000F1512" w:rsidRPr="008C60C2">
        <w:t xml:space="preserve">; </w:t>
      </w:r>
      <w:proofErr w:type="spellStart"/>
      <w:r w:rsidR="000F1512" w:rsidRPr="008C60C2">
        <w:rPr>
          <w:color w:val="000000" w:themeColor="text1"/>
        </w:rPr>
        <w:t>Karlsdóttir</w:t>
      </w:r>
      <w:proofErr w:type="spellEnd"/>
      <w:r w:rsidR="000F1512" w:rsidRPr="008C60C2">
        <w:rPr>
          <w:color w:val="000000" w:themeColor="text1"/>
        </w:rPr>
        <w:t xml:space="preserve"> 2008). </w:t>
      </w:r>
      <w:r w:rsidR="00D212C5" w:rsidRPr="008C60C2">
        <w:rPr>
          <w:rStyle w:val="CommentReference"/>
          <w:sz w:val="24"/>
          <w:szCs w:val="24"/>
        </w:rPr>
        <w:t xml:space="preserve">The 1991 Fisheries Management Act eliminated the provision protecting small vessels from the ITQ system, at which point the ITQ system expanded </w:t>
      </w:r>
      <w:r w:rsidR="003B05AA" w:rsidRPr="008C60C2">
        <w:rPr>
          <w:rStyle w:val="CommentReference"/>
          <w:sz w:val="24"/>
          <w:szCs w:val="24"/>
        </w:rPr>
        <w:t xml:space="preserve">incorporated </w:t>
      </w:r>
      <w:r w:rsidR="00D212C5" w:rsidRPr="008C60C2">
        <w:rPr>
          <w:rStyle w:val="CommentReference"/>
          <w:sz w:val="24"/>
          <w:szCs w:val="24"/>
        </w:rPr>
        <w:t>vessels between 6 and 10 GRT (</w:t>
      </w:r>
      <w:proofErr w:type="spellStart"/>
      <w:r w:rsidR="00D212C5" w:rsidRPr="008C60C2">
        <w:t>Pálsson</w:t>
      </w:r>
      <w:proofErr w:type="spellEnd"/>
      <w:r w:rsidR="00D212C5" w:rsidRPr="008C60C2">
        <w:rPr>
          <w:rStyle w:val="CommentReference"/>
          <w:sz w:val="24"/>
          <w:szCs w:val="24"/>
        </w:rPr>
        <w:t xml:space="preserve"> and </w:t>
      </w:r>
      <w:proofErr w:type="spellStart"/>
      <w:r w:rsidR="00D212C5" w:rsidRPr="008C60C2">
        <w:rPr>
          <w:rStyle w:val="CommentReference"/>
          <w:sz w:val="24"/>
          <w:szCs w:val="24"/>
        </w:rPr>
        <w:t>Helgasson</w:t>
      </w:r>
      <w:proofErr w:type="spellEnd"/>
      <w:r w:rsidR="00D212C5" w:rsidRPr="008C60C2">
        <w:rPr>
          <w:rStyle w:val="CommentReference"/>
          <w:sz w:val="24"/>
          <w:szCs w:val="24"/>
        </w:rPr>
        <w:t xml:space="preserve"> 1995)</w:t>
      </w:r>
      <w:r w:rsidR="002A651C" w:rsidRPr="008C60C2">
        <w:rPr>
          <w:rStyle w:val="CommentReference"/>
          <w:sz w:val="24"/>
          <w:szCs w:val="24"/>
        </w:rPr>
        <w:t xml:space="preserve">, bringing it closer to the economic ideal of </w:t>
      </w:r>
      <w:r w:rsidR="001862F6" w:rsidRPr="008C60C2">
        <w:rPr>
          <w:rStyle w:val="CommentReference"/>
          <w:sz w:val="24"/>
          <w:szCs w:val="24"/>
        </w:rPr>
        <w:t>secure, transferable and universal</w:t>
      </w:r>
      <w:r w:rsidR="002A651C" w:rsidRPr="008C60C2">
        <w:rPr>
          <w:rStyle w:val="CommentReference"/>
          <w:sz w:val="24"/>
          <w:szCs w:val="24"/>
        </w:rPr>
        <w:t xml:space="preserve"> rights to the nation’s fisheries</w:t>
      </w:r>
      <w:r w:rsidR="00D212C5" w:rsidRPr="008C60C2">
        <w:rPr>
          <w:rStyle w:val="CommentReference"/>
          <w:sz w:val="24"/>
          <w:szCs w:val="24"/>
        </w:rPr>
        <w:t>.</w:t>
      </w:r>
      <w:r w:rsidR="00D212C5" w:rsidRPr="008C60C2">
        <w:t xml:space="preserve"> </w:t>
      </w:r>
    </w:p>
    <w:p w14:paraId="520E7192" w14:textId="6B40E893" w:rsidR="0063273F" w:rsidRPr="008C60C2" w:rsidRDefault="00223640" w:rsidP="00A94EAC">
      <w:pPr>
        <w:widowControl w:val="0"/>
        <w:autoSpaceDE w:val="0"/>
        <w:autoSpaceDN w:val="0"/>
        <w:adjustRightInd w:val="0"/>
        <w:spacing w:line="480" w:lineRule="auto"/>
        <w:ind w:firstLine="720"/>
        <w:rPr>
          <w:color w:val="000000" w:themeColor="text1"/>
        </w:rPr>
      </w:pPr>
      <w:r w:rsidRPr="008C60C2">
        <w:rPr>
          <w:color w:val="000000" w:themeColor="text1"/>
        </w:rPr>
        <w:t>As summarized in Table 2, i</w:t>
      </w:r>
      <w:r w:rsidR="000F74AF" w:rsidRPr="008C60C2">
        <w:rPr>
          <w:color w:val="000000" w:themeColor="text1"/>
        </w:rPr>
        <w:t xml:space="preserve">nitial quota shares were allocated to fishers based </w:t>
      </w:r>
      <w:r w:rsidR="00562B5B" w:rsidRPr="008C60C2">
        <w:rPr>
          <w:color w:val="000000" w:themeColor="text1"/>
        </w:rPr>
        <w:t>on</w:t>
      </w:r>
      <w:r w:rsidR="000F74AF" w:rsidRPr="008C60C2">
        <w:rPr>
          <w:color w:val="000000" w:themeColor="text1"/>
        </w:rPr>
        <w:t xml:space="preserve"> past historical catch records</w:t>
      </w:r>
      <w:r w:rsidR="00A90834">
        <w:rPr>
          <w:color w:val="000000" w:themeColor="text1"/>
        </w:rPr>
        <w:t xml:space="preserve"> over a </w:t>
      </w:r>
      <w:r w:rsidR="000F1512" w:rsidRPr="008C60C2">
        <w:rPr>
          <w:color w:val="000000" w:themeColor="text1"/>
        </w:rPr>
        <w:t>three-year</w:t>
      </w:r>
      <w:r w:rsidR="008C3C3D" w:rsidRPr="008C60C2">
        <w:rPr>
          <w:color w:val="000000" w:themeColor="text1"/>
        </w:rPr>
        <w:t xml:space="preserve"> </w:t>
      </w:r>
      <w:r w:rsidR="00A90834" w:rsidRPr="008C60C2">
        <w:rPr>
          <w:color w:val="000000" w:themeColor="text1"/>
        </w:rPr>
        <w:t>averag</w:t>
      </w:r>
      <w:r w:rsidR="00A90834">
        <w:rPr>
          <w:color w:val="000000" w:themeColor="text1"/>
        </w:rPr>
        <w:t>ing period</w:t>
      </w:r>
      <w:r w:rsidRPr="008C60C2">
        <w:rPr>
          <w:color w:val="000000" w:themeColor="text1"/>
        </w:rPr>
        <w:t xml:space="preserve"> </w:t>
      </w:r>
      <w:r w:rsidR="00923716" w:rsidRPr="008C60C2">
        <w:rPr>
          <w:color w:val="000000" w:themeColor="text1"/>
        </w:rPr>
        <w:t>prior to 1984</w:t>
      </w:r>
      <w:r w:rsidR="00E93F99" w:rsidRPr="008C60C2">
        <w:rPr>
          <w:color w:val="000000" w:themeColor="text1"/>
        </w:rPr>
        <w:t xml:space="preserve"> (</w:t>
      </w:r>
      <w:proofErr w:type="spellStart"/>
      <w:r w:rsidR="00923716" w:rsidRPr="008C60C2">
        <w:rPr>
          <w:color w:val="000000" w:themeColor="text1"/>
        </w:rPr>
        <w:t>Arnason</w:t>
      </w:r>
      <w:proofErr w:type="spellEnd"/>
      <w:r w:rsidR="00923716" w:rsidRPr="008C60C2">
        <w:rPr>
          <w:color w:val="000000" w:themeColor="text1"/>
        </w:rPr>
        <w:t xml:space="preserve"> </w:t>
      </w:r>
      <w:r w:rsidR="00DA5967" w:rsidRPr="008C60C2">
        <w:rPr>
          <w:color w:val="000000" w:themeColor="text1"/>
        </w:rPr>
        <w:t>2005</w:t>
      </w:r>
      <w:r w:rsidR="00923716" w:rsidRPr="008C60C2">
        <w:rPr>
          <w:color w:val="000000" w:themeColor="text1"/>
        </w:rPr>
        <w:t xml:space="preserve">). </w:t>
      </w:r>
      <w:r w:rsidR="00B8445B" w:rsidRPr="008C60C2">
        <w:rPr>
          <w:color w:val="000000" w:themeColor="text1"/>
        </w:rPr>
        <w:t xml:space="preserve">Licensed fishing vessels, individuals, and firms </w:t>
      </w:r>
      <w:r w:rsidR="000D3055" w:rsidRPr="008C60C2">
        <w:rPr>
          <w:color w:val="000000" w:themeColor="text1"/>
        </w:rPr>
        <w:t xml:space="preserve">can hold </w:t>
      </w:r>
      <w:r w:rsidR="00CD25BE" w:rsidRPr="008C60C2">
        <w:rPr>
          <w:color w:val="000000" w:themeColor="text1"/>
        </w:rPr>
        <w:t>permanent</w:t>
      </w:r>
      <w:r w:rsidR="008A7386" w:rsidRPr="008C60C2">
        <w:rPr>
          <w:color w:val="000000" w:themeColor="text1"/>
        </w:rPr>
        <w:t xml:space="preserve"> quota</w:t>
      </w:r>
      <w:r w:rsidR="000D3055" w:rsidRPr="008C60C2">
        <w:rPr>
          <w:color w:val="000000" w:themeColor="text1"/>
        </w:rPr>
        <w:t xml:space="preserve"> shares for any species</w:t>
      </w:r>
      <w:r w:rsidR="008A7386" w:rsidRPr="008C60C2">
        <w:rPr>
          <w:color w:val="000000" w:themeColor="text1"/>
        </w:rPr>
        <w:t>, and</w:t>
      </w:r>
      <w:r w:rsidR="00245613" w:rsidRPr="008C60C2">
        <w:rPr>
          <w:color w:val="000000" w:themeColor="text1"/>
        </w:rPr>
        <w:t xml:space="preserve"> shares </w:t>
      </w:r>
      <w:r w:rsidR="00CD25BE" w:rsidRPr="008C60C2">
        <w:rPr>
          <w:color w:val="000000" w:themeColor="text1"/>
        </w:rPr>
        <w:t xml:space="preserve">are </w:t>
      </w:r>
      <w:r w:rsidR="008A7386" w:rsidRPr="008C60C2">
        <w:rPr>
          <w:color w:val="000000" w:themeColor="text1"/>
        </w:rPr>
        <w:t xml:space="preserve">quantified </w:t>
      </w:r>
      <w:r w:rsidR="00CD25BE" w:rsidRPr="008C60C2">
        <w:rPr>
          <w:color w:val="000000" w:themeColor="text1"/>
        </w:rPr>
        <w:t xml:space="preserve">in terms of a percent </w:t>
      </w:r>
      <w:r w:rsidR="008A7386" w:rsidRPr="008C60C2">
        <w:rPr>
          <w:color w:val="000000" w:themeColor="text1"/>
        </w:rPr>
        <w:t xml:space="preserve">of </w:t>
      </w:r>
      <w:r w:rsidR="00F874B8" w:rsidRPr="008C60C2">
        <w:rPr>
          <w:color w:val="000000" w:themeColor="text1"/>
        </w:rPr>
        <w:t>the TAC</w:t>
      </w:r>
      <w:r w:rsidR="008A7386" w:rsidRPr="008C60C2">
        <w:rPr>
          <w:color w:val="000000" w:themeColor="text1"/>
        </w:rPr>
        <w:t xml:space="preserve"> for </w:t>
      </w:r>
      <w:r w:rsidR="00F874B8" w:rsidRPr="008C60C2">
        <w:rPr>
          <w:color w:val="000000" w:themeColor="text1"/>
        </w:rPr>
        <w:t>a</w:t>
      </w:r>
      <w:r w:rsidR="008A7386" w:rsidRPr="008C60C2">
        <w:rPr>
          <w:color w:val="000000" w:themeColor="text1"/>
        </w:rPr>
        <w:t xml:space="preserve"> fishery, rather than for an absolute quantity of fish as was</w:t>
      </w:r>
      <w:r w:rsidR="00A90834">
        <w:rPr>
          <w:color w:val="000000" w:themeColor="text1"/>
        </w:rPr>
        <w:t xml:space="preserve"> initially</w:t>
      </w:r>
      <w:r w:rsidR="008A7386" w:rsidRPr="008C60C2">
        <w:rPr>
          <w:color w:val="000000" w:themeColor="text1"/>
        </w:rPr>
        <w:t xml:space="preserve"> done in the New Zealand case</w:t>
      </w:r>
      <w:r w:rsidR="00CD25BE" w:rsidRPr="008C60C2">
        <w:rPr>
          <w:color w:val="000000" w:themeColor="text1"/>
        </w:rPr>
        <w:t xml:space="preserve">. </w:t>
      </w:r>
      <w:r w:rsidR="008A7386" w:rsidRPr="008C60C2">
        <w:rPr>
          <w:color w:val="000000" w:themeColor="text1"/>
        </w:rPr>
        <w:t xml:space="preserve">Thus, in Iceland </w:t>
      </w:r>
      <w:r w:rsidR="00CD25BE" w:rsidRPr="008C60C2">
        <w:rPr>
          <w:color w:val="000000" w:themeColor="text1"/>
        </w:rPr>
        <w:t>“the size of each vessel’s annual catch quota in a specific fishery is a simple multiple of the TAC for that fishery and the vessel’s TAC-share.</w:t>
      </w:r>
      <w:r w:rsidR="008A7386" w:rsidRPr="008C60C2">
        <w:rPr>
          <w:color w:val="000000" w:themeColor="text1"/>
        </w:rPr>
        <w:t>”</w:t>
      </w:r>
      <w:r w:rsidR="00245613" w:rsidRPr="008C60C2">
        <w:rPr>
          <w:color w:val="000000" w:themeColor="text1"/>
        </w:rPr>
        <w:t xml:space="preserve"> </w:t>
      </w:r>
      <w:r w:rsidR="008A7386" w:rsidRPr="008C60C2">
        <w:rPr>
          <w:color w:val="000000" w:themeColor="text1"/>
        </w:rPr>
        <w:t>(</w:t>
      </w:r>
      <w:proofErr w:type="spellStart"/>
      <w:r w:rsidR="008A7386" w:rsidRPr="008C60C2">
        <w:rPr>
          <w:color w:val="000000" w:themeColor="text1"/>
        </w:rPr>
        <w:t>Arnason</w:t>
      </w:r>
      <w:proofErr w:type="spellEnd"/>
      <w:r w:rsidR="008A7386" w:rsidRPr="008C60C2">
        <w:rPr>
          <w:color w:val="000000" w:themeColor="text1"/>
        </w:rPr>
        <w:t xml:space="preserve"> </w:t>
      </w:r>
      <w:r w:rsidR="00DA5967" w:rsidRPr="008C60C2">
        <w:rPr>
          <w:color w:val="000000" w:themeColor="text1"/>
        </w:rPr>
        <w:t>2005</w:t>
      </w:r>
      <w:r w:rsidR="008A7386" w:rsidRPr="008C60C2">
        <w:rPr>
          <w:color w:val="000000" w:themeColor="text1"/>
        </w:rPr>
        <w:t xml:space="preserve">, 252). </w:t>
      </w:r>
      <w:r w:rsidR="002D4D67" w:rsidRPr="008C60C2">
        <w:t>Both individuals or corporations can buy and sell quota for a given species, though they are capped at owning 12</w:t>
      </w:r>
      <w:r w:rsidR="002D4D67" w:rsidRPr="008C60C2">
        <w:rPr>
          <w:color w:val="000000" w:themeColor="text1"/>
        </w:rPr>
        <w:t>% of quota for all species or 35% of a single species (</w:t>
      </w:r>
      <w:proofErr w:type="spellStart"/>
      <w:r w:rsidR="002D4D67" w:rsidRPr="008C60C2">
        <w:rPr>
          <w:color w:val="000000" w:themeColor="text1"/>
        </w:rPr>
        <w:t>Karlsdóttir</w:t>
      </w:r>
      <w:proofErr w:type="spellEnd"/>
      <w:r w:rsidR="002D4D67" w:rsidRPr="008C60C2">
        <w:rPr>
          <w:color w:val="000000" w:themeColor="text1"/>
        </w:rPr>
        <w:t xml:space="preserve"> 2008). By allowing for high quota aggregation limits, Iceland’s ITQ system provides an opportunity for the most efficient harvesters to consolidate quota shares into relatively few hands for a given fishery. </w:t>
      </w:r>
    </w:p>
    <w:p w14:paraId="54475BEB" w14:textId="6F0A801C" w:rsidR="00BF548F" w:rsidRPr="008C60C2" w:rsidRDefault="004D6F58" w:rsidP="00A94EAC">
      <w:pPr>
        <w:widowControl w:val="0"/>
        <w:autoSpaceDE w:val="0"/>
        <w:autoSpaceDN w:val="0"/>
        <w:adjustRightInd w:val="0"/>
        <w:spacing w:line="480" w:lineRule="auto"/>
        <w:ind w:firstLine="720"/>
      </w:pPr>
      <w:r w:rsidRPr="008C60C2">
        <w:rPr>
          <w:color w:val="000000" w:themeColor="text1"/>
        </w:rPr>
        <w:t xml:space="preserve">Contrary to </w:t>
      </w:r>
      <w:r w:rsidR="000F1512" w:rsidRPr="008C60C2">
        <w:rPr>
          <w:color w:val="000000" w:themeColor="text1"/>
        </w:rPr>
        <w:t xml:space="preserve">the </w:t>
      </w:r>
      <w:r w:rsidR="00A90834">
        <w:rPr>
          <w:color w:val="000000" w:themeColor="text1"/>
        </w:rPr>
        <w:t>ideal economic model</w:t>
      </w:r>
      <w:r w:rsidR="000F1512" w:rsidRPr="008C60C2">
        <w:rPr>
          <w:color w:val="000000" w:themeColor="text1"/>
        </w:rPr>
        <w:t>,</w:t>
      </w:r>
      <w:r w:rsidR="00F874B8" w:rsidRPr="008C60C2">
        <w:rPr>
          <w:color w:val="000000" w:themeColor="text1"/>
        </w:rPr>
        <w:t xml:space="preserve"> however, initial ITQ-shares from 1984-1990</w:t>
      </w:r>
      <w:r w:rsidR="000F1512" w:rsidRPr="008C60C2">
        <w:rPr>
          <w:color w:val="000000" w:themeColor="text1"/>
        </w:rPr>
        <w:t xml:space="preserve"> </w:t>
      </w:r>
      <w:r w:rsidR="009253FA" w:rsidRPr="008C60C2">
        <w:rPr>
          <w:color w:val="000000" w:themeColor="text1"/>
        </w:rPr>
        <w:t>could not be transferred</w:t>
      </w:r>
      <w:r w:rsidR="00F874B8" w:rsidRPr="008C60C2">
        <w:rPr>
          <w:color w:val="000000" w:themeColor="text1"/>
        </w:rPr>
        <w:t>. Even so, v</w:t>
      </w:r>
      <w:r w:rsidR="009253FA" w:rsidRPr="008C60C2">
        <w:rPr>
          <w:color w:val="000000" w:themeColor="text1"/>
        </w:rPr>
        <w:t xml:space="preserve">essel owners </w:t>
      </w:r>
      <w:r w:rsidR="002D4D67" w:rsidRPr="008C60C2">
        <w:rPr>
          <w:color w:val="000000" w:themeColor="text1"/>
        </w:rPr>
        <w:t>found</w:t>
      </w:r>
      <w:r w:rsidR="00844909" w:rsidRPr="008C60C2">
        <w:rPr>
          <w:color w:val="000000" w:themeColor="text1"/>
        </w:rPr>
        <w:t xml:space="preserve"> a loophole in this restriction </w:t>
      </w:r>
      <w:r w:rsidR="009253FA" w:rsidRPr="008C60C2">
        <w:rPr>
          <w:color w:val="000000" w:themeColor="text1"/>
        </w:rPr>
        <w:t xml:space="preserve">by selling the vessels </w:t>
      </w:r>
      <w:r w:rsidRPr="008C60C2">
        <w:rPr>
          <w:color w:val="000000" w:themeColor="text1"/>
        </w:rPr>
        <w:t xml:space="preserve">to which </w:t>
      </w:r>
      <w:r w:rsidR="009253FA" w:rsidRPr="008C60C2">
        <w:rPr>
          <w:color w:val="000000" w:themeColor="text1"/>
        </w:rPr>
        <w:t xml:space="preserve">the </w:t>
      </w:r>
      <w:r w:rsidR="00844909" w:rsidRPr="008C60C2">
        <w:rPr>
          <w:color w:val="000000" w:themeColor="text1"/>
        </w:rPr>
        <w:t>non-divisible ITQ-shares</w:t>
      </w:r>
      <w:r w:rsidR="009253FA" w:rsidRPr="008C60C2">
        <w:rPr>
          <w:color w:val="000000" w:themeColor="text1"/>
        </w:rPr>
        <w:t xml:space="preserve"> were attached (</w:t>
      </w:r>
      <w:proofErr w:type="spellStart"/>
      <w:r w:rsidR="009253FA" w:rsidRPr="008C60C2">
        <w:t>Pálsson</w:t>
      </w:r>
      <w:proofErr w:type="spellEnd"/>
      <w:r w:rsidR="009253FA" w:rsidRPr="008C60C2">
        <w:t xml:space="preserve"> and </w:t>
      </w:r>
      <w:proofErr w:type="spellStart"/>
      <w:r w:rsidR="009253FA" w:rsidRPr="008C60C2">
        <w:t>Helgason</w:t>
      </w:r>
      <w:proofErr w:type="spellEnd"/>
      <w:r w:rsidR="009253FA" w:rsidRPr="008C60C2">
        <w:t xml:space="preserve"> 1995).</w:t>
      </w:r>
      <w:r w:rsidR="00844909" w:rsidRPr="008C60C2">
        <w:t xml:space="preserve"> </w:t>
      </w:r>
      <w:r w:rsidR="00F32C51">
        <w:t>Nevertheless, this rule</w:t>
      </w:r>
      <w:r w:rsidR="006E0BF0" w:rsidRPr="008C60C2">
        <w:t xml:space="preserve"> was included in the ITQ program </w:t>
      </w:r>
      <w:r w:rsidR="00BF548F" w:rsidRPr="008C60C2">
        <w:t xml:space="preserve">to </w:t>
      </w:r>
      <w:r w:rsidR="00F32C51">
        <w:t>give</w:t>
      </w:r>
      <w:r w:rsidR="00F32C51" w:rsidRPr="008C60C2">
        <w:t xml:space="preserve"> </w:t>
      </w:r>
      <w:r w:rsidR="00F874B8" w:rsidRPr="008C60C2">
        <w:t>harvesters</w:t>
      </w:r>
      <w:r w:rsidR="00F32C51">
        <w:t xml:space="preserve"> a window of time</w:t>
      </w:r>
      <w:r w:rsidR="00BF548F" w:rsidRPr="008C60C2">
        <w:t xml:space="preserve"> to adjust to the new program</w:t>
      </w:r>
      <w:r w:rsidR="00F874B8" w:rsidRPr="008C60C2">
        <w:t xml:space="preserve"> and eventually make more informed market decisions with their quota shares</w:t>
      </w:r>
      <w:r w:rsidR="006E0BF0" w:rsidRPr="008C60C2">
        <w:t>.</w:t>
      </w:r>
      <w:r w:rsidR="009253FA" w:rsidRPr="008C60C2">
        <w:rPr>
          <w:color w:val="000000" w:themeColor="text1"/>
        </w:rPr>
        <w:t xml:space="preserve"> </w:t>
      </w:r>
      <w:r w:rsidR="00B6553C" w:rsidRPr="008C60C2">
        <w:rPr>
          <w:color w:val="000000" w:themeColor="text1"/>
        </w:rPr>
        <w:t xml:space="preserve">When the ITQ program was extended in 1990, </w:t>
      </w:r>
      <w:r w:rsidRPr="008C60C2">
        <w:rPr>
          <w:color w:val="000000" w:themeColor="text1"/>
        </w:rPr>
        <w:t>these limits on transfers were dropped,</w:t>
      </w:r>
      <w:r w:rsidR="002D4D67" w:rsidRPr="008C60C2">
        <w:rPr>
          <w:color w:val="000000" w:themeColor="text1"/>
        </w:rPr>
        <w:t xml:space="preserve"> thereby ensuring the efficient distribution of shares across the industry</w:t>
      </w:r>
      <w:r w:rsidRPr="008C60C2">
        <w:rPr>
          <w:color w:val="000000" w:themeColor="text1"/>
        </w:rPr>
        <w:t>.</w:t>
      </w:r>
      <w:r w:rsidR="002D4D67" w:rsidRPr="008C60C2">
        <w:rPr>
          <w:color w:val="000000" w:themeColor="text1"/>
        </w:rPr>
        <w:t xml:space="preserve"> </w:t>
      </w:r>
      <w:r w:rsidRPr="008C60C2">
        <w:rPr>
          <w:color w:val="000000" w:themeColor="text1"/>
        </w:rPr>
        <w:t>As noted earlier, a</w:t>
      </w:r>
      <w:r w:rsidR="007426E2" w:rsidRPr="008C60C2">
        <w:rPr>
          <w:color w:val="000000" w:themeColor="text1"/>
        </w:rPr>
        <w:t xml:space="preserve">n often </w:t>
      </w:r>
      <w:r w:rsidR="007426E2" w:rsidRPr="008C60C2">
        <w:rPr>
          <w:color w:val="000000" w:themeColor="text1"/>
        </w:rPr>
        <w:lastRenderedPageBreak/>
        <w:t xml:space="preserve">stated </w:t>
      </w:r>
      <w:r w:rsidR="003B05AA" w:rsidRPr="008C60C2">
        <w:rPr>
          <w:color w:val="000000" w:themeColor="text1"/>
        </w:rPr>
        <w:t xml:space="preserve">economic </w:t>
      </w:r>
      <w:r w:rsidR="007426E2" w:rsidRPr="008C60C2">
        <w:rPr>
          <w:color w:val="000000" w:themeColor="text1"/>
        </w:rPr>
        <w:t>justification for</w:t>
      </w:r>
      <w:r w:rsidR="00B15593" w:rsidRPr="008C60C2">
        <w:rPr>
          <w:color w:val="000000" w:themeColor="text1"/>
        </w:rPr>
        <w:t xml:space="preserve"> </w:t>
      </w:r>
      <w:r w:rsidR="002D4D67" w:rsidRPr="008C60C2">
        <w:rPr>
          <w:color w:val="000000" w:themeColor="text1"/>
        </w:rPr>
        <w:t xml:space="preserve">high </w:t>
      </w:r>
      <w:r w:rsidR="00CC6156" w:rsidRPr="008C60C2">
        <w:rPr>
          <w:color w:val="000000" w:themeColor="text1"/>
        </w:rPr>
        <w:t xml:space="preserve">quota ownership limits </w:t>
      </w:r>
      <w:r w:rsidR="0063273F" w:rsidRPr="008C60C2">
        <w:rPr>
          <w:color w:val="000000" w:themeColor="text1"/>
        </w:rPr>
        <w:t>and</w:t>
      </w:r>
      <w:r w:rsidR="00CC6156" w:rsidRPr="008C60C2">
        <w:rPr>
          <w:color w:val="000000" w:themeColor="text1"/>
        </w:rPr>
        <w:t xml:space="preserve"> easy transfers</w:t>
      </w:r>
      <w:r w:rsidR="00DD65DC" w:rsidRPr="008C60C2">
        <w:rPr>
          <w:color w:val="000000" w:themeColor="text1"/>
        </w:rPr>
        <w:t xml:space="preserve"> is </w:t>
      </w:r>
      <w:r w:rsidR="007E092A" w:rsidRPr="008C60C2">
        <w:rPr>
          <w:color w:val="000000" w:themeColor="text1"/>
        </w:rPr>
        <w:t>to</w:t>
      </w:r>
      <w:r w:rsidR="00CC6156" w:rsidRPr="008C60C2">
        <w:rPr>
          <w:color w:val="000000" w:themeColor="text1"/>
        </w:rPr>
        <w:t xml:space="preserve"> allow for the most efficient harvesters to take over</w:t>
      </w:r>
      <w:r w:rsidR="003B05AA" w:rsidRPr="008C60C2">
        <w:rPr>
          <w:color w:val="000000" w:themeColor="text1"/>
        </w:rPr>
        <w:t xml:space="preserve"> the industry</w:t>
      </w:r>
      <w:r w:rsidR="007E092A" w:rsidRPr="008C60C2">
        <w:rPr>
          <w:color w:val="000000" w:themeColor="text1"/>
        </w:rPr>
        <w:t>.</w:t>
      </w:r>
    </w:p>
    <w:p w14:paraId="614A98FF" w14:textId="00E195D5" w:rsidR="00BF548F" w:rsidRPr="008C60C2" w:rsidRDefault="00CC6156" w:rsidP="00CC6156">
      <w:pPr>
        <w:spacing w:line="480" w:lineRule="auto"/>
        <w:ind w:firstLine="720"/>
        <w:rPr>
          <w:color w:val="000000" w:themeColor="text1"/>
        </w:rPr>
      </w:pPr>
      <w:r w:rsidRPr="008C60C2">
        <w:rPr>
          <w:color w:val="000000" w:themeColor="text1"/>
        </w:rPr>
        <w:t xml:space="preserve">A final rule worth noting in Iceland is </w:t>
      </w:r>
      <w:r w:rsidR="00640D19" w:rsidRPr="008C60C2">
        <w:rPr>
          <w:color w:val="000000" w:themeColor="text1"/>
        </w:rPr>
        <w:t xml:space="preserve">the requirement that </w:t>
      </w:r>
      <w:r w:rsidRPr="008C60C2">
        <w:rPr>
          <w:color w:val="000000" w:themeColor="text1"/>
        </w:rPr>
        <w:t xml:space="preserve">all vessels harvest at least 50% of their annual quota every other year or </w:t>
      </w:r>
      <w:r w:rsidR="00CE3B0C" w:rsidRPr="008C60C2">
        <w:rPr>
          <w:color w:val="000000" w:themeColor="text1"/>
        </w:rPr>
        <w:t>forfeit their quota shares (</w:t>
      </w:r>
      <w:proofErr w:type="spellStart"/>
      <w:r w:rsidR="00CE3B0C" w:rsidRPr="008C60C2">
        <w:rPr>
          <w:color w:val="000000" w:themeColor="text1"/>
        </w:rPr>
        <w:t>Arnason</w:t>
      </w:r>
      <w:proofErr w:type="spellEnd"/>
      <w:r w:rsidR="00CE3B0C" w:rsidRPr="008C60C2">
        <w:rPr>
          <w:color w:val="000000" w:themeColor="text1"/>
        </w:rPr>
        <w:t xml:space="preserve"> </w:t>
      </w:r>
      <w:r w:rsidR="00DA5967" w:rsidRPr="008C60C2">
        <w:rPr>
          <w:color w:val="000000" w:themeColor="text1"/>
        </w:rPr>
        <w:t>2005</w:t>
      </w:r>
      <w:r w:rsidR="00CE3B0C" w:rsidRPr="008C60C2">
        <w:rPr>
          <w:color w:val="000000" w:themeColor="text1"/>
        </w:rPr>
        <w:t>).</w:t>
      </w:r>
      <w:r w:rsidR="00CE3B0C" w:rsidRPr="008C60C2">
        <w:t xml:space="preserve"> </w:t>
      </w:r>
      <w:r w:rsidR="00824465" w:rsidRPr="008C60C2">
        <w:t xml:space="preserve">This rule aligns with economist’s expectations for an individual quota program by </w:t>
      </w:r>
      <w:r w:rsidR="00824465" w:rsidRPr="008C60C2">
        <w:rPr>
          <w:color w:val="000000" w:themeColor="text1"/>
        </w:rPr>
        <w:t>preventing</w:t>
      </w:r>
      <w:r w:rsidR="00245613" w:rsidRPr="008C60C2">
        <w:rPr>
          <w:color w:val="000000" w:themeColor="text1"/>
        </w:rPr>
        <w:t xml:space="preserve"> </w:t>
      </w:r>
      <w:r w:rsidR="00C32EA9" w:rsidRPr="008C60C2">
        <w:rPr>
          <w:color w:val="000000" w:themeColor="text1"/>
        </w:rPr>
        <w:t>speculative transfers</w:t>
      </w:r>
      <w:r w:rsidR="00640D19" w:rsidRPr="008C60C2">
        <w:rPr>
          <w:color w:val="000000" w:themeColor="text1"/>
        </w:rPr>
        <w:t xml:space="preserve"> </w:t>
      </w:r>
      <w:r w:rsidR="00C32EA9" w:rsidRPr="008C60C2">
        <w:rPr>
          <w:color w:val="000000" w:themeColor="text1"/>
        </w:rPr>
        <w:t xml:space="preserve">of quota shares </w:t>
      </w:r>
      <w:r w:rsidR="00824465" w:rsidRPr="008C60C2">
        <w:rPr>
          <w:color w:val="000000" w:themeColor="text1"/>
        </w:rPr>
        <w:t>and keeping</w:t>
      </w:r>
      <w:r w:rsidR="00640D19" w:rsidRPr="008C60C2">
        <w:rPr>
          <w:color w:val="000000" w:themeColor="text1"/>
        </w:rPr>
        <w:t xml:space="preserve"> genuine fishers operating at full capacity</w:t>
      </w:r>
      <w:r w:rsidR="00240F9B" w:rsidRPr="008C60C2">
        <w:rPr>
          <w:color w:val="000000" w:themeColor="text1"/>
        </w:rPr>
        <w:t xml:space="preserve"> </w:t>
      </w:r>
      <w:r w:rsidR="00A90834">
        <w:rPr>
          <w:color w:val="000000" w:themeColor="text1"/>
        </w:rPr>
        <w:t>to</w:t>
      </w:r>
      <w:r w:rsidR="00240F9B" w:rsidRPr="008C60C2">
        <w:rPr>
          <w:color w:val="000000" w:themeColor="text1"/>
        </w:rPr>
        <w:t xml:space="preserve"> minimize industry profit loss</w:t>
      </w:r>
      <w:r w:rsidR="00A90834">
        <w:rPr>
          <w:color w:val="000000" w:themeColor="text1"/>
        </w:rPr>
        <w:t>,</w:t>
      </w:r>
      <w:r w:rsidR="00A90834" w:rsidRPr="008C60C2">
        <w:rPr>
          <w:color w:val="000000" w:themeColor="text1"/>
        </w:rPr>
        <w:t xml:space="preserve"> </w:t>
      </w:r>
      <w:r w:rsidR="00240F9B" w:rsidRPr="008C60C2">
        <w:rPr>
          <w:color w:val="000000" w:themeColor="text1"/>
        </w:rPr>
        <w:t>but it also protects active fishers and quota ownership</w:t>
      </w:r>
      <w:r w:rsidR="00824465" w:rsidRPr="008C60C2">
        <w:rPr>
          <w:color w:val="000000" w:themeColor="text1"/>
        </w:rPr>
        <w:t xml:space="preserve"> </w:t>
      </w:r>
      <w:r w:rsidR="00240F9B" w:rsidRPr="008C60C2">
        <w:rPr>
          <w:color w:val="000000" w:themeColor="text1"/>
        </w:rPr>
        <w:t xml:space="preserve">in local communities </w:t>
      </w:r>
      <w:r w:rsidR="00240F9B" w:rsidRPr="008C60C2">
        <w:rPr>
          <w:rStyle w:val="CommentReference"/>
          <w:sz w:val="24"/>
          <w:szCs w:val="24"/>
        </w:rPr>
        <w:t>b</w:t>
      </w:r>
      <w:r w:rsidR="00640D19" w:rsidRPr="008C60C2">
        <w:rPr>
          <w:rStyle w:val="CommentReference"/>
          <w:sz w:val="24"/>
          <w:szCs w:val="24"/>
        </w:rPr>
        <w:t>y</w:t>
      </w:r>
      <w:r w:rsidR="00640D19" w:rsidRPr="008C60C2">
        <w:rPr>
          <w:color w:val="000000" w:themeColor="text1"/>
        </w:rPr>
        <w:t xml:space="preserve"> not allowing for latent quota holders</w:t>
      </w:r>
      <w:r w:rsidR="00240F9B" w:rsidRPr="008C60C2">
        <w:rPr>
          <w:color w:val="000000" w:themeColor="text1"/>
        </w:rPr>
        <w:t xml:space="preserve">. </w:t>
      </w:r>
      <w:r w:rsidR="00D212C5" w:rsidRPr="008C60C2">
        <w:rPr>
          <w:color w:val="000000" w:themeColor="text1"/>
        </w:rPr>
        <w:t xml:space="preserve">Overall Iceland’s ITQ system </w:t>
      </w:r>
      <w:r w:rsidRPr="008C60C2">
        <w:rPr>
          <w:color w:val="000000" w:themeColor="text1"/>
        </w:rPr>
        <w:t xml:space="preserve">demonstrates a strong preference for market-based governance and </w:t>
      </w:r>
      <w:r w:rsidR="00D212C5" w:rsidRPr="008C60C2">
        <w:rPr>
          <w:color w:val="000000" w:themeColor="text1"/>
        </w:rPr>
        <w:t>closely adheres to the economic ideal</w:t>
      </w:r>
      <w:r w:rsidRPr="008C60C2">
        <w:rPr>
          <w:color w:val="000000" w:themeColor="text1"/>
        </w:rPr>
        <w:t xml:space="preserve">. Similar to New Zealand, the ability of quota owners to easily divide and transfer their quota shares, as well as own a relatively large amount of the quota for a given stock or species, allows the industry to become vertically integrated. </w:t>
      </w:r>
    </w:p>
    <w:p w14:paraId="3BD5F1F7" w14:textId="2013F4B4" w:rsidR="00124066" w:rsidRPr="008C60C2" w:rsidRDefault="00124066" w:rsidP="006F330A">
      <w:pPr>
        <w:rPr>
          <w:b/>
        </w:rPr>
      </w:pPr>
      <w:r w:rsidRPr="008C60C2">
        <w:rPr>
          <w:b/>
        </w:rPr>
        <w:t>5.0 Quota Programs in the North Pacific</w:t>
      </w:r>
    </w:p>
    <w:p w14:paraId="1F575C00" w14:textId="77777777" w:rsidR="00124066" w:rsidRPr="008C60C2" w:rsidRDefault="00124066" w:rsidP="006F330A">
      <w:pPr>
        <w:rPr>
          <w:b/>
        </w:rPr>
      </w:pPr>
    </w:p>
    <w:p w14:paraId="0B537537" w14:textId="389F71B0" w:rsidR="007F77B2" w:rsidRPr="008C60C2" w:rsidRDefault="00124066" w:rsidP="006F330A">
      <w:pPr>
        <w:rPr>
          <w:i/>
        </w:rPr>
      </w:pPr>
      <w:r w:rsidRPr="008C60C2">
        <w:rPr>
          <w:i/>
        </w:rPr>
        <w:t xml:space="preserve">5.1 </w:t>
      </w:r>
      <w:r w:rsidR="00FD566A" w:rsidRPr="008C60C2">
        <w:rPr>
          <w:i/>
        </w:rPr>
        <w:t xml:space="preserve">British Columbia </w:t>
      </w:r>
    </w:p>
    <w:p w14:paraId="36C37176" w14:textId="77777777" w:rsidR="00050BE6" w:rsidRPr="008C60C2" w:rsidRDefault="00050BE6" w:rsidP="006F330A"/>
    <w:p w14:paraId="12D092D5" w14:textId="3F2AA82A" w:rsidR="0099347F" w:rsidRPr="008C60C2" w:rsidRDefault="00D00505" w:rsidP="00CE480F">
      <w:pPr>
        <w:pStyle w:val="NormalWeb"/>
        <w:spacing w:before="0" w:beforeAutospacing="0" w:after="0" w:afterAutospacing="0" w:line="480" w:lineRule="auto"/>
        <w:ind w:firstLine="720"/>
        <w:rPr>
          <w:color w:val="000000" w:themeColor="text1"/>
        </w:rPr>
      </w:pPr>
      <w:r w:rsidRPr="008C60C2">
        <w:rPr>
          <w:color w:val="000000" w:themeColor="text1"/>
        </w:rPr>
        <w:t>Contrasting the individual quota programs found in New Zealand</w:t>
      </w:r>
      <w:r w:rsidR="008523CC" w:rsidRPr="008C60C2">
        <w:rPr>
          <w:color w:val="000000" w:themeColor="text1"/>
        </w:rPr>
        <w:t xml:space="preserve"> and Iceland</w:t>
      </w:r>
      <w:r w:rsidRPr="008C60C2">
        <w:rPr>
          <w:color w:val="000000" w:themeColor="text1"/>
        </w:rPr>
        <w:t xml:space="preserve">, various </w:t>
      </w:r>
      <w:r w:rsidR="00A520B8" w:rsidRPr="008C60C2">
        <w:rPr>
          <w:color w:val="000000" w:themeColor="text1"/>
        </w:rPr>
        <w:t xml:space="preserve">policies </w:t>
      </w:r>
      <w:r w:rsidRPr="008C60C2">
        <w:rPr>
          <w:color w:val="000000" w:themeColor="text1"/>
        </w:rPr>
        <w:t>in the North Pacific have stronger features designed to protect local communities and smaller fishing operations. In this discussion, I focus on two such programs—British Columbia and Alaska’s halibut quota programs—as</w:t>
      </w:r>
      <w:r w:rsidR="0099347F" w:rsidRPr="008C60C2">
        <w:rPr>
          <w:color w:val="000000" w:themeColor="text1"/>
        </w:rPr>
        <w:t xml:space="preserve"> informative distinctions for fisheries governance. </w:t>
      </w:r>
      <w:r w:rsidR="00B95C02" w:rsidRPr="008C60C2">
        <w:rPr>
          <w:color w:val="000000" w:themeColor="text1"/>
        </w:rPr>
        <w:t>T</w:t>
      </w:r>
      <w:r w:rsidR="0099347F" w:rsidRPr="008C60C2">
        <w:rPr>
          <w:color w:val="000000" w:themeColor="text1"/>
        </w:rPr>
        <w:t xml:space="preserve">here </w:t>
      </w:r>
      <w:r w:rsidR="00B95C02" w:rsidRPr="008C60C2">
        <w:rPr>
          <w:color w:val="000000" w:themeColor="text1"/>
        </w:rPr>
        <w:t>are multiple fisheries in</w:t>
      </w:r>
      <w:r w:rsidR="00FD566A" w:rsidRPr="008C60C2">
        <w:rPr>
          <w:color w:val="000000" w:themeColor="text1"/>
        </w:rPr>
        <w:t xml:space="preserve"> British Columbia a</w:t>
      </w:r>
      <w:r w:rsidR="0099347F" w:rsidRPr="008C60C2">
        <w:rPr>
          <w:color w:val="000000" w:themeColor="text1"/>
        </w:rPr>
        <w:t xml:space="preserve">nd Alaska </w:t>
      </w:r>
      <w:r w:rsidR="00FD566A" w:rsidRPr="008C60C2">
        <w:rPr>
          <w:color w:val="000000" w:themeColor="text1"/>
        </w:rPr>
        <w:t>managed by individual quota</w:t>
      </w:r>
      <w:r w:rsidR="0099347F" w:rsidRPr="008C60C2">
        <w:rPr>
          <w:color w:val="000000" w:themeColor="text1"/>
        </w:rPr>
        <w:t xml:space="preserve"> programs, </w:t>
      </w:r>
      <w:r w:rsidR="008523CC" w:rsidRPr="008C60C2">
        <w:rPr>
          <w:color w:val="000000" w:themeColor="text1"/>
        </w:rPr>
        <w:t xml:space="preserve">but </w:t>
      </w:r>
      <w:r w:rsidR="0099347F" w:rsidRPr="008C60C2">
        <w:rPr>
          <w:color w:val="000000" w:themeColor="text1"/>
        </w:rPr>
        <w:t xml:space="preserve">I focus on </w:t>
      </w:r>
      <w:r w:rsidR="008523CC" w:rsidRPr="008C60C2">
        <w:rPr>
          <w:color w:val="000000" w:themeColor="text1"/>
        </w:rPr>
        <w:t xml:space="preserve">their </w:t>
      </w:r>
      <w:r w:rsidR="0099347F" w:rsidRPr="008C60C2">
        <w:rPr>
          <w:color w:val="000000" w:themeColor="text1"/>
        </w:rPr>
        <w:t xml:space="preserve">commercial </w:t>
      </w:r>
      <w:r w:rsidR="007F77B2" w:rsidRPr="008C60C2">
        <w:rPr>
          <w:color w:val="000000" w:themeColor="text1"/>
        </w:rPr>
        <w:t>halibut fisheries</w:t>
      </w:r>
      <w:r w:rsidR="005E5547" w:rsidRPr="008C60C2">
        <w:rPr>
          <w:color w:val="000000" w:themeColor="text1"/>
        </w:rPr>
        <w:t xml:space="preserve"> </w:t>
      </w:r>
      <w:r w:rsidR="008523CC" w:rsidRPr="008C60C2">
        <w:rPr>
          <w:color w:val="000000" w:themeColor="text1"/>
        </w:rPr>
        <w:t>because</w:t>
      </w:r>
      <w:r w:rsidR="0099347F" w:rsidRPr="008C60C2">
        <w:rPr>
          <w:color w:val="000000" w:themeColor="text1"/>
        </w:rPr>
        <w:t xml:space="preserve"> they share similar biological features and </w:t>
      </w:r>
      <w:r w:rsidR="00AF53F7" w:rsidRPr="008C60C2">
        <w:rPr>
          <w:color w:val="000000" w:themeColor="text1"/>
        </w:rPr>
        <w:t xml:space="preserve">have a long tenure of being </w:t>
      </w:r>
      <w:r w:rsidR="008523CC" w:rsidRPr="008C60C2">
        <w:rPr>
          <w:color w:val="000000" w:themeColor="text1"/>
        </w:rPr>
        <w:t>jointly managed by the</w:t>
      </w:r>
      <w:r w:rsidR="0099347F" w:rsidRPr="008C60C2">
        <w:rPr>
          <w:color w:val="000000" w:themeColor="text1"/>
        </w:rPr>
        <w:t xml:space="preserve"> International Pacific Halibut Commission (IPHC</w:t>
      </w:r>
      <w:r w:rsidR="00AF53F7" w:rsidRPr="008C60C2">
        <w:rPr>
          <w:color w:val="000000" w:themeColor="text1"/>
        </w:rPr>
        <w:t xml:space="preserve">) </w:t>
      </w:r>
      <w:r w:rsidR="00B95C02" w:rsidRPr="008C60C2">
        <w:rPr>
          <w:color w:val="000000" w:themeColor="text1"/>
        </w:rPr>
        <w:t xml:space="preserve">which </w:t>
      </w:r>
      <w:r w:rsidR="00AF53F7" w:rsidRPr="008C60C2">
        <w:rPr>
          <w:color w:val="000000" w:themeColor="text1"/>
        </w:rPr>
        <w:t xml:space="preserve">sets the TAC for each nation’s halibut fisheries </w:t>
      </w:r>
      <w:r w:rsidR="0099347F" w:rsidRPr="008C60C2">
        <w:rPr>
          <w:color w:val="000000" w:themeColor="text1"/>
        </w:rPr>
        <w:t xml:space="preserve">(Pinkerton and Edwards 2009). </w:t>
      </w:r>
    </w:p>
    <w:p w14:paraId="007E8341" w14:textId="4E4B7441" w:rsidR="00FB3763" w:rsidRPr="008C60C2" w:rsidRDefault="00A11EFB" w:rsidP="004B0344">
      <w:pPr>
        <w:pStyle w:val="NormalWeb"/>
        <w:spacing w:before="0" w:beforeAutospacing="0" w:after="0" w:afterAutospacing="0" w:line="480" w:lineRule="auto"/>
        <w:ind w:firstLine="720"/>
      </w:pPr>
      <w:r w:rsidRPr="008C60C2">
        <w:rPr>
          <w:color w:val="000000" w:themeColor="text1"/>
        </w:rPr>
        <w:lastRenderedPageBreak/>
        <w:t>Prior to an individual quota system, British Columbia managed its fisheries by changing the season length and implementing geographical catch restrictions</w:t>
      </w:r>
      <w:r w:rsidR="00275FD1" w:rsidRPr="008C60C2">
        <w:rPr>
          <w:color w:val="000000" w:themeColor="text1"/>
        </w:rPr>
        <w:t>,</w:t>
      </w:r>
      <w:r w:rsidRPr="008C60C2">
        <w:rPr>
          <w:color w:val="000000" w:themeColor="text1"/>
        </w:rPr>
        <w:t xml:space="preserve"> </w:t>
      </w:r>
      <w:r w:rsidR="00275FD1" w:rsidRPr="008C60C2">
        <w:rPr>
          <w:color w:val="000000" w:themeColor="text1"/>
        </w:rPr>
        <w:t xml:space="preserve">thereby </w:t>
      </w:r>
      <w:r w:rsidRPr="008C60C2">
        <w:rPr>
          <w:color w:val="000000" w:themeColor="text1"/>
        </w:rPr>
        <w:t>creat</w:t>
      </w:r>
      <w:r w:rsidR="00275FD1" w:rsidRPr="008C60C2">
        <w:rPr>
          <w:color w:val="000000" w:themeColor="text1"/>
        </w:rPr>
        <w:t>ing</w:t>
      </w:r>
      <w:r w:rsidRPr="008C60C2">
        <w:rPr>
          <w:color w:val="000000" w:themeColor="text1"/>
        </w:rPr>
        <w:t xml:space="preserve"> a derby fishery (Casey et al.</w:t>
      </w:r>
      <w:r w:rsidR="002261A6" w:rsidRPr="008C60C2">
        <w:rPr>
          <w:color w:val="000000" w:themeColor="text1"/>
        </w:rPr>
        <w:t>,</w:t>
      </w:r>
      <w:r w:rsidRPr="008C60C2">
        <w:rPr>
          <w:color w:val="000000" w:themeColor="text1"/>
        </w:rPr>
        <w:t xml:space="preserve"> 1995). Derby-style fisheries develop when managers shorten season lengths in an effort to reduce the amount of resources being harvested but do not also control the quantity each harvester is eligible to catch. These dynamics create perverse incentives for harvesters to race to fish, placing crew member’s lives in danger as vessels take greater risks to maintain their prior rates of harvest (Anderson 1994; Buck 1995). These conditions worsened in 1977 when </w:t>
      </w:r>
      <w:r w:rsidR="0089787F" w:rsidRPr="008C60C2">
        <w:rPr>
          <w:color w:val="000000" w:themeColor="text1"/>
        </w:rPr>
        <w:t xml:space="preserve">the United States and Canada </w:t>
      </w:r>
      <w:r w:rsidR="00535541" w:rsidRPr="008C60C2">
        <w:t>ratified the Law of the Sea</w:t>
      </w:r>
      <w:r w:rsidR="00B95C02" w:rsidRPr="008C60C2">
        <w:t xml:space="preserve"> </w:t>
      </w:r>
      <w:r w:rsidR="00A90834">
        <w:t xml:space="preserve">that created </w:t>
      </w:r>
      <w:r w:rsidR="00B95C02" w:rsidRPr="008C60C2">
        <w:t>a 200-mile EEZ for each nation</w:t>
      </w:r>
      <w:r w:rsidR="00CE480F" w:rsidRPr="008C60C2">
        <w:t xml:space="preserve">. </w:t>
      </w:r>
      <w:r w:rsidR="005D7EF3" w:rsidRPr="008C60C2">
        <w:t xml:space="preserve">As a result of this legislation, the </w:t>
      </w:r>
      <w:r w:rsidR="00CA1D7E" w:rsidRPr="008C60C2">
        <w:t>Canadian halibut fishing fleet underwent significant geographical redistribution</w:t>
      </w:r>
      <w:r w:rsidR="00971B28">
        <w:t xml:space="preserve"> as</w:t>
      </w:r>
      <w:r w:rsidR="00ED3972" w:rsidRPr="008C60C2">
        <w:t xml:space="preserve"> v</w:t>
      </w:r>
      <w:r w:rsidR="00B95C02" w:rsidRPr="008C60C2">
        <w:t xml:space="preserve">essels </w:t>
      </w:r>
      <w:r w:rsidR="00971B28">
        <w:t xml:space="preserve">turned south from Alaska and </w:t>
      </w:r>
      <w:r w:rsidR="00ED3972" w:rsidRPr="008C60C2">
        <w:t>began fishing</w:t>
      </w:r>
      <w:r w:rsidR="00B95C02" w:rsidRPr="008C60C2">
        <w:t xml:space="preserve"> in British Columbia’s waters, threatening halibut resources and making it apparent to fishery managers that the fleet’s harvesting capacity was outpacing biological stock reproduction </w:t>
      </w:r>
      <w:r w:rsidR="00DD402E" w:rsidRPr="008C60C2">
        <w:t>(Butler 2008)</w:t>
      </w:r>
      <w:r w:rsidR="00CA1D7E" w:rsidRPr="008C60C2">
        <w:t>.</w:t>
      </w:r>
    </w:p>
    <w:p w14:paraId="39A3CA79" w14:textId="058FFB80" w:rsidR="00032F30" w:rsidRPr="008C60C2" w:rsidRDefault="00117D55" w:rsidP="002261A6">
      <w:pPr>
        <w:pStyle w:val="NormalWeb"/>
        <w:spacing w:before="0" w:beforeAutospacing="0" w:after="0" w:afterAutospacing="0" w:line="480" w:lineRule="auto"/>
        <w:ind w:firstLine="720"/>
      </w:pPr>
      <w:r w:rsidRPr="008C60C2">
        <w:t xml:space="preserve"> </w:t>
      </w:r>
      <w:r w:rsidR="00301031" w:rsidRPr="008C60C2">
        <w:t>In response</w:t>
      </w:r>
      <w:r w:rsidRPr="008C60C2">
        <w:t>,</w:t>
      </w:r>
      <w:r w:rsidR="005D7EF3" w:rsidRPr="008C60C2">
        <w:t xml:space="preserve"> British Columbia implemented a limited license program in 1979</w:t>
      </w:r>
      <w:r w:rsidR="00971B28">
        <w:t>. This policy</w:t>
      </w:r>
      <w:r w:rsidR="00B95C02" w:rsidRPr="008C60C2">
        <w:t xml:space="preserve"> reduced</w:t>
      </w:r>
      <w:r w:rsidR="005D7EF3" w:rsidRPr="008C60C2">
        <w:t xml:space="preserve"> the number of operators eligible to harvest halibut to 435 unique vessels in an effort to slow </w:t>
      </w:r>
      <w:r w:rsidR="004B0344" w:rsidRPr="008C60C2">
        <w:t>harvesting rates</w:t>
      </w:r>
      <w:r w:rsidR="0089787F" w:rsidRPr="008C60C2">
        <w:t xml:space="preserve"> (Casey et al.</w:t>
      </w:r>
      <w:r w:rsidR="002261A6" w:rsidRPr="008C60C2">
        <w:t>,</w:t>
      </w:r>
      <w:r w:rsidR="0089787F" w:rsidRPr="008C60C2">
        <w:t xml:space="preserve"> 1995).</w:t>
      </w:r>
      <w:r w:rsidR="00CE480F" w:rsidRPr="008C60C2">
        <w:t xml:space="preserve"> </w:t>
      </w:r>
      <w:r w:rsidR="00530531" w:rsidRPr="008C60C2">
        <w:t xml:space="preserve">The province also </w:t>
      </w:r>
      <w:r w:rsidR="00FB3763" w:rsidRPr="008C60C2">
        <w:t xml:space="preserve">further </w:t>
      </w:r>
      <w:r w:rsidR="002261A6" w:rsidRPr="008C60C2">
        <w:t xml:space="preserve">shortened </w:t>
      </w:r>
      <w:r w:rsidR="004B0344" w:rsidRPr="008C60C2">
        <w:t xml:space="preserve">the length of the fishing season, but </w:t>
      </w:r>
      <w:r w:rsidR="005D7EF3" w:rsidRPr="008C60C2">
        <w:t xml:space="preserve">halibut </w:t>
      </w:r>
      <w:r w:rsidR="004B0344" w:rsidRPr="008C60C2">
        <w:t>catch records in the early 1980s indicated that 50% more halibut was caught in a six</w:t>
      </w:r>
      <w:r w:rsidR="00124066" w:rsidRPr="008C60C2">
        <w:t>-</w:t>
      </w:r>
      <w:r w:rsidR="004B0344" w:rsidRPr="008C60C2">
        <w:t>day season than earlier seasons that extended over 65 days</w:t>
      </w:r>
      <w:r w:rsidR="00530531" w:rsidRPr="008C60C2">
        <w:t xml:space="preserve"> </w:t>
      </w:r>
      <w:r w:rsidR="00FD566A" w:rsidRPr="008C60C2">
        <w:t>(Casey et al.</w:t>
      </w:r>
      <w:r w:rsidR="002261A6" w:rsidRPr="008C60C2">
        <w:t>,</w:t>
      </w:r>
      <w:r w:rsidR="00FD566A" w:rsidRPr="008C60C2">
        <w:t xml:space="preserve"> 1995; Butler 2008).</w:t>
      </w:r>
      <w:r w:rsidR="00530531" w:rsidRPr="008C60C2">
        <w:t xml:space="preserve"> </w:t>
      </w:r>
      <w:r w:rsidR="005D7EF3" w:rsidRPr="008C60C2">
        <w:t xml:space="preserve">The coupled observations of biological stock collapse and derby fishing made it obvious that the </w:t>
      </w:r>
      <w:r w:rsidR="00FD566A" w:rsidRPr="008C60C2">
        <w:t>existing regulat</w:t>
      </w:r>
      <w:r w:rsidR="00971B28">
        <w:t xml:space="preserve">ions </w:t>
      </w:r>
      <w:r w:rsidR="00FD566A" w:rsidRPr="008C60C2">
        <w:t xml:space="preserve">for British Columbia’s halibut fisheries were not </w:t>
      </w:r>
      <w:r w:rsidR="005D7EF3" w:rsidRPr="008C60C2">
        <w:t xml:space="preserve">working to protect </w:t>
      </w:r>
      <w:r w:rsidR="00971B28">
        <w:t>fishery</w:t>
      </w:r>
      <w:r w:rsidR="00971B28" w:rsidRPr="008C60C2">
        <w:t xml:space="preserve"> </w:t>
      </w:r>
      <w:r w:rsidR="005D7EF3" w:rsidRPr="008C60C2">
        <w:t>resource</w:t>
      </w:r>
      <w:r w:rsidR="00971B28">
        <w:t>s</w:t>
      </w:r>
      <w:r w:rsidR="005D7EF3" w:rsidRPr="008C60C2">
        <w:t xml:space="preserve"> or the fleet</w:t>
      </w:r>
      <w:r w:rsidR="00631FAD">
        <w:t>’s safety</w:t>
      </w:r>
      <w:r w:rsidR="002261A6" w:rsidRPr="002261A6">
        <w:t>. Reacting to these changes</w:t>
      </w:r>
      <w:r w:rsidR="009D2E98" w:rsidRPr="008C60C2">
        <w:t xml:space="preserve">, </w:t>
      </w:r>
      <w:r w:rsidR="005D7EF3" w:rsidRPr="008C60C2">
        <w:t>f</w:t>
      </w:r>
      <w:r w:rsidR="003851F3" w:rsidRPr="008C60C2">
        <w:t>ishing organizations across the province began to discuss alternative management options</w:t>
      </w:r>
      <w:r w:rsidR="00EC0677" w:rsidRPr="008C60C2">
        <w:t xml:space="preserve"> in the late 1980s</w:t>
      </w:r>
      <w:r w:rsidR="00530531" w:rsidRPr="008C60C2">
        <w:t xml:space="preserve">, </w:t>
      </w:r>
      <w:r w:rsidR="00FD566A" w:rsidRPr="008C60C2">
        <w:t xml:space="preserve">one of which was an individual quota </w:t>
      </w:r>
      <w:r w:rsidR="006A68BF" w:rsidRPr="008C60C2">
        <w:t>system</w:t>
      </w:r>
      <w:r w:rsidR="00FD566A" w:rsidRPr="008C60C2">
        <w:t>.</w:t>
      </w:r>
      <w:r w:rsidR="003851F3" w:rsidRPr="008C60C2">
        <w:t xml:space="preserve"> </w:t>
      </w:r>
      <w:r w:rsidR="00C77878" w:rsidRPr="008C60C2">
        <w:t xml:space="preserve">The Canadian Department of Fisheries and </w:t>
      </w:r>
      <w:r w:rsidR="00C77878" w:rsidRPr="008C60C2">
        <w:lastRenderedPageBreak/>
        <w:t>Oceans sent out a</w:t>
      </w:r>
      <w:r w:rsidR="003851F3" w:rsidRPr="008C60C2">
        <w:t xml:space="preserve">n initial survey to existing license holders in the halibut fishery (n=435) </w:t>
      </w:r>
      <w:r w:rsidR="00C77878" w:rsidRPr="008C60C2">
        <w:t>to gauge the industry’s support for an individual quota system. The initial survey demonstrated a majority of license holders supported the policy with 77% of license holders approving such a program (Casey et al.</w:t>
      </w:r>
      <w:r w:rsidR="002261A6">
        <w:t>,</w:t>
      </w:r>
      <w:r w:rsidR="00C77878" w:rsidRPr="008C60C2">
        <w:t xml:space="preserve"> 1995). After </w:t>
      </w:r>
      <w:r w:rsidR="005D7EF3" w:rsidRPr="008C60C2">
        <w:t>receiving</w:t>
      </w:r>
      <w:r w:rsidR="00C77878" w:rsidRPr="008C60C2">
        <w:t xml:space="preserve"> a positive response from existing license holders, the Canadian Department of Fisheries and Oceans formed the Halibut Advisory Board to </w:t>
      </w:r>
      <w:r w:rsidR="00D30F91" w:rsidRPr="008C60C2">
        <w:t>incorporate</w:t>
      </w:r>
      <w:r w:rsidR="00C77878" w:rsidRPr="008C60C2">
        <w:t xml:space="preserve"> the industry's input to the policy design process (Casey et al.</w:t>
      </w:r>
      <w:r w:rsidR="002261A6" w:rsidRPr="008C60C2">
        <w:t>,</w:t>
      </w:r>
      <w:r w:rsidR="00C77878" w:rsidRPr="008C60C2">
        <w:t xml:space="preserve"> 1995). </w:t>
      </w:r>
      <w:r w:rsidR="00D30F91" w:rsidRPr="008C60C2">
        <w:t>Despite support from license owners</w:t>
      </w:r>
      <w:r w:rsidR="00C77878" w:rsidRPr="008C60C2">
        <w:t xml:space="preserve">, </w:t>
      </w:r>
      <w:r w:rsidR="00971B28">
        <w:t xml:space="preserve">however, </w:t>
      </w:r>
      <w:r w:rsidR="00C77878" w:rsidRPr="008C60C2">
        <w:t>the</w:t>
      </w:r>
      <w:r w:rsidR="003851F3" w:rsidRPr="008C60C2">
        <w:t xml:space="preserve"> proposal for an </w:t>
      </w:r>
      <w:r w:rsidR="00DD402E" w:rsidRPr="008C60C2">
        <w:t>I</w:t>
      </w:r>
      <w:r w:rsidR="003851F3" w:rsidRPr="008C60C2">
        <w:t>VQ system was voted down twice by local fishers and processing companies due to concern for the program’s potential distributional impacts (Pinkerton and Edwards 2009). Individuals and processing co</w:t>
      </w:r>
      <w:r w:rsidR="00D30F91" w:rsidRPr="008C60C2">
        <w:t xml:space="preserve">mpanies were concerned that </w:t>
      </w:r>
      <w:r w:rsidR="003851F3" w:rsidRPr="008C60C2">
        <w:t>an individual quota system would consolidate quota shares into relatively few hands, displacing fishers who had a long operating tenure in the fishery. These concerns influence</w:t>
      </w:r>
      <w:r w:rsidR="005D7EF3" w:rsidRPr="008C60C2">
        <w:t>d</w:t>
      </w:r>
      <w:r w:rsidR="003851F3" w:rsidRPr="008C60C2">
        <w:t xml:space="preserve"> the </w:t>
      </w:r>
      <w:r w:rsidR="005D7EF3" w:rsidRPr="008C60C2">
        <w:t xml:space="preserve">design of quota aggregation limits that will </w:t>
      </w:r>
      <w:r w:rsidR="003851F3" w:rsidRPr="008C60C2">
        <w:t xml:space="preserve">be discussed in greater depth below. </w:t>
      </w:r>
    </w:p>
    <w:p w14:paraId="54311910" w14:textId="3FB7BC47" w:rsidR="005D7EF3" w:rsidRPr="008C60C2" w:rsidRDefault="007715B0" w:rsidP="005D7EF3">
      <w:pPr>
        <w:spacing w:line="480" w:lineRule="auto"/>
        <w:ind w:firstLine="720"/>
      </w:pPr>
      <w:r w:rsidRPr="008C60C2">
        <w:t>I</w:t>
      </w:r>
      <w:r w:rsidR="00530531" w:rsidRPr="008C60C2">
        <w:t>n</w:t>
      </w:r>
      <w:r w:rsidR="00FD566A" w:rsidRPr="008C60C2">
        <w:t xml:space="preserve"> 1991</w:t>
      </w:r>
      <w:r w:rsidRPr="008C60C2">
        <w:t>,</w:t>
      </w:r>
      <w:r w:rsidR="00FD566A" w:rsidRPr="008C60C2">
        <w:t xml:space="preserve"> British Columbia implemented </w:t>
      </w:r>
      <w:r w:rsidR="005D7EF3" w:rsidRPr="008C60C2">
        <w:t xml:space="preserve">an </w:t>
      </w:r>
      <w:r w:rsidRPr="008C60C2">
        <w:t>IVQ</w:t>
      </w:r>
      <w:r w:rsidR="006A68BF" w:rsidRPr="008C60C2">
        <w:t xml:space="preserve"> system</w:t>
      </w:r>
      <w:r w:rsidR="005F51AE" w:rsidRPr="008C60C2">
        <w:t xml:space="preserve"> </w:t>
      </w:r>
      <w:r w:rsidRPr="008C60C2">
        <w:t xml:space="preserve">for a </w:t>
      </w:r>
      <w:r w:rsidR="00032F30" w:rsidRPr="008C60C2">
        <w:t xml:space="preserve">two-year trial period </w:t>
      </w:r>
      <w:r w:rsidRPr="008C60C2">
        <w:t xml:space="preserve">with low quota aggregation limits to </w:t>
      </w:r>
      <w:r w:rsidR="00DD402E" w:rsidRPr="008C60C2">
        <w:t>ease concerns in the industry that quota shares would rapidly consolidate</w:t>
      </w:r>
      <w:r w:rsidRPr="008C60C2">
        <w:t xml:space="preserve">. </w:t>
      </w:r>
      <w:r w:rsidR="008B5405">
        <w:t>The new</w:t>
      </w:r>
      <w:r w:rsidR="005D7EF3" w:rsidRPr="008C60C2">
        <w:t xml:space="preserve"> IVQ </w:t>
      </w:r>
      <w:r w:rsidR="008B5405">
        <w:t>program capped</w:t>
      </w:r>
      <w:r w:rsidR="005D7EF3" w:rsidRPr="008C60C2">
        <w:t xml:space="preserve"> vessel ownership of quota shares at 1% of the TAC (Pinkerton and Edwards 2009). This is a </w:t>
      </w:r>
      <w:r w:rsidR="00FE141A" w:rsidRPr="008C60C2">
        <w:t>stronger limitation on quota transfers and aggregation compared to</w:t>
      </w:r>
      <w:r w:rsidR="005D7EF3" w:rsidRPr="008C60C2">
        <w:t xml:space="preserve"> New Zealand and Iceland. </w:t>
      </w:r>
      <w:r w:rsidR="008A02EB" w:rsidRPr="008C60C2">
        <w:t xml:space="preserve">In practice, however, </w:t>
      </w:r>
      <w:r w:rsidR="005D7EF3" w:rsidRPr="008C60C2">
        <w:t xml:space="preserve">British Columbia’s IVQ system does not </w:t>
      </w:r>
      <w:r w:rsidR="001379A5">
        <w:t>fully prevent the concentration of quota shares</w:t>
      </w:r>
      <w:r w:rsidR="005D7EF3" w:rsidRPr="008C60C2">
        <w:t xml:space="preserve"> because IVQs are attached to vessels and not individuals</w:t>
      </w:r>
      <w:r w:rsidR="00971B28">
        <w:t xml:space="preserve">. This loophole allows </w:t>
      </w:r>
      <w:r w:rsidR="005D7EF3" w:rsidRPr="008C60C2">
        <w:t xml:space="preserve">an individual </w:t>
      </w:r>
      <w:r w:rsidR="00971B28">
        <w:t>to</w:t>
      </w:r>
      <w:r w:rsidR="00971B28" w:rsidRPr="008C60C2">
        <w:t xml:space="preserve"> </w:t>
      </w:r>
      <w:r w:rsidR="005D7EF3" w:rsidRPr="008C60C2">
        <w:t xml:space="preserve">own multiple vessels and consequently multiple licenses (Pinkerton and Edwards 2009). </w:t>
      </w:r>
      <w:r w:rsidR="00B73B5F" w:rsidRPr="008C60C2">
        <w:t>This was also a common practice in Iceland prior to 1990</w:t>
      </w:r>
      <w:r w:rsidR="00501179">
        <w:t xml:space="preserve"> where</w:t>
      </w:r>
      <w:r w:rsidR="00B73B5F" w:rsidRPr="008C60C2">
        <w:t xml:space="preserve"> individuals would consolidate ITQ holdings by selling the vessels that they were attached to—sometimes at two to three times the vessel’s actual value (</w:t>
      </w:r>
      <w:proofErr w:type="spellStart"/>
      <w:r w:rsidR="00B73B5F" w:rsidRPr="008C60C2">
        <w:t>Pálsson</w:t>
      </w:r>
      <w:proofErr w:type="spellEnd"/>
      <w:r w:rsidR="00B73B5F" w:rsidRPr="008C60C2">
        <w:t xml:space="preserve"> and </w:t>
      </w:r>
      <w:proofErr w:type="spellStart"/>
      <w:r w:rsidR="00B73B5F" w:rsidRPr="008C60C2">
        <w:lastRenderedPageBreak/>
        <w:t>Helgason</w:t>
      </w:r>
      <w:proofErr w:type="spellEnd"/>
      <w:r w:rsidR="00B73B5F" w:rsidRPr="008C60C2">
        <w:t xml:space="preserve"> 1995). Similar practices are not common in Alaska where </w:t>
      </w:r>
      <w:r w:rsidR="005D7EF3" w:rsidRPr="008C60C2">
        <w:t>quota shares are attached to individuals rather than vessels</w:t>
      </w:r>
      <w:r w:rsidR="00E52ADB" w:rsidRPr="008C60C2">
        <w:t>, a point I will return to in the final section</w:t>
      </w:r>
      <w:r w:rsidR="005D7EF3" w:rsidRPr="008C60C2">
        <w:t xml:space="preserve">. </w:t>
      </w:r>
    </w:p>
    <w:p w14:paraId="3B840999" w14:textId="4E87C813" w:rsidR="00032F30" w:rsidRPr="008C60C2" w:rsidRDefault="00DD402E">
      <w:pPr>
        <w:spacing w:line="480" w:lineRule="auto"/>
        <w:ind w:firstLine="720"/>
      </w:pPr>
      <w:r w:rsidRPr="008C60C2">
        <w:t xml:space="preserve">In 1991, the TAC was divided among </w:t>
      </w:r>
      <w:r w:rsidR="005D7EF3" w:rsidRPr="008C60C2">
        <w:t>the 435 licensed v</w:t>
      </w:r>
      <w:r w:rsidRPr="008C60C2">
        <w:t xml:space="preserve">essels operating under the 1979 system. The amount of quota that each vessel received was </w:t>
      </w:r>
      <w:r w:rsidR="005D7EF3" w:rsidRPr="008C60C2">
        <w:t xml:space="preserve">primarily </w:t>
      </w:r>
      <w:r w:rsidRPr="008C60C2">
        <w:t>based on their catch history from 1986-1989 (</w:t>
      </w:r>
      <w:proofErr w:type="spellStart"/>
      <w:r w:rsidRPr="008C60C2">
        <w:t>Dewees</w:t>
      </w:r>
      <w:proofErr w:type="spellEnd"/>
      <w:r w:rsidRPr="008C60C2">
        <w:t xml:space="preserve"> 1998). </w:t>
      </w:r>
      <w:r w:rsidR="001379A5" w:rsidRPr="008C60C2">
        <w:t xml:space="preserve">In another deviation from the economic ideal, </w:t>
      </w:r>
      <w:r w:rsidR="001379A5">
        <w:t>quota transfers were</w:t>
      </w:r>
      <w:r w:rsidR="001379A5" w:rsidRPr="008C60C2">
        <w:t xml:space="preserve"> only allowed on a temporary basis to allow fishery and industry participants a period of time to adjust to the new system (</w:t>
      </w:r>
      <w:proofErr w:type="spellStart"/>
      <w:r w:rsidR="001379A5" w:rsidRPr="008C60C2">
        <w:t>Dewees</w:t>
      </w:r>
      <w:proofErr w:type="spellEnd"/>
      <w:r w:rsidR="001379A5" w:rsidRPr="008C60C2">
        <w:t xml:space="preserve"> 1998). </w:t>
      </w:r>
      <w:r w:rsidR="009B7EFB" w:rsidRPr="008C60C2">
        <w:t xml:space="preserve">These rules were changed in </w:t>
      </w:r>
      <w:r w:rsidR="00A3723F" w:rsidRPr="008C60C2">
        <w:t>1999</w:t>
      </w:r>
      <w:r w:rsidR="009B7EFB" w:rsidRPr="008C60C2">
        <w:t xml:space="preserve">, however, and quota shares can now be permanently transferred so long as the ownership cap is not </w:t>
      </w:r>
      <w:r w:rsidR="00692D7F" w:rsidRPr="008C60C2">
        <w:t xml:space="preserve">surpassed </w:t>
      </w:r>
      <w:r w:rsidR="00A3723F" w:rsidRPr="008C60C2">
        <w:t xml:space="preserve">(Pinkerton and Edwards 2009). </w:t>
      </w:r>
    </w:p>
    <w:p w14:paraId="63B858E6" w14:textId="4CAD4355" w:rsidR="00770823" w:rsidRPr="008C60C2" w:rsidRDefault="003803F2" w:rsidP="001D78A2">
      <w:pPr>
        <w:spacing w:line="480" w:lineRule="auto"/>
        <w:ind w:firstLine="720"/>
      </w:pPr>
      <w:r w:rsidRPr="008C60C2">
        <w:t xml:space="preserve">In sum, </w:t>
      </w:r>
      <w:r w:rsidR="00770823" w:rsidRPr="008C60C2">
        <w:t xml:space="preserve">British Columbia’s </w:t>
      </w:r>
      <w:r w:rsidR="00514DCA" w:rsidRPr="008C60C2">
        <w:t>IVQ system</w:t>
      </w:r>
      <w:r w:rsidR="009F3163" w:rsidRPr="008C60C2">
        <w:t xml:space="preserve"> includes some features that</w:t>
      </w:r>
      <w:r w:rsidR="00514DCA" w:rsidRPr="008C60C2">
        <w:t xml:space="preserve"> </w:t>
      </w:r>
      <w:r w:rsidRPr="008C60C2">
        <w:t>significantly deviate from</w:t>
      </w:r>
      <w:r w:rsidR="00514DCA" w:rsidRPr="008C60C2">
        <w:t xml:space="preserve"> the </w:t>
      </w:r>
      <w:r w:rsidR="008B5405">
        <w:t xml:space="preserve">ideal </w:t>
      </w:r>
      <w:r w:rsidR="00242F30" w:rsidRPr="008C60C2">
        <w:t xml:space="preserve">economic </w:t>
      </w:r>
      <w:r w:rsidR="008B5405">
        <w:t>model</w:t>
      </w:r>
      <w:r w:rsidR="00242F30" w:rsidRPr="008C60C2">
        <w:t xml:space="preserve">. </w:t>
      </w:r>
      <w:r w:rsidR="002261A6">
        <w:t xml:space="preserve">Both </w:t>
      </w:r>
      <w:r w:rsidR="00242F30" w:rsidRPr="008C60C2">
        <w:t xml:space="preserve">Iceland’s ITQ system </w:t>
      </w:r>
      <w:r w:rsidR="002261A6">
        <w:t xml:space="preserve">and </w:t>
      </w:r>
      <w:r w:rsidR="00242F30" w:rsidRPr="008C60C2">
        <w:t>British Columbia’s IVQ system limited initial transfers</w:t>
      </w:r>
      <w:r w:rsidR="002261A6">
        <w:t xml:space="preserve">, but British Columbia’s </w:t>
      </w:r>
      <w:r w:rsidR="00242F30" w:rsidRPr="008C60C2">
        <w:t xml:space="preserve">low aggregation limits </w:t>
      </w:r>
      <w:r w:rsidR="002261A6">
        <w:t>constitute an important deviation from the ideal economic model as they</w:t>
      </w:r>
      <w:r w:rsidR="00242F30" w:rsidRPr="008C60C2">
        <w:t xml:space="preserve"> </w:t>
      </w:r>
      <w:r w:rsidR="001D78A2" w:rsidRPr="008C60C2">
        <w:t>intend</w:t>
      </w:r>
      <w:r w:rsidR="00514DCA" w:rsidRPr="008C60C2">
        <w:t xml:space="preserve"> to </w:t>
      </w:r>
      <w:r w:rsidR="002261A6">
        <w:t xml:space="preserve">prevent the consolidation of quota shares to the most efficient harvesters thereby </w:t>
      </w:r>
      <w:r w:rsidR="00514DCA" w:rsidRPr="008C60C2">
        <w:t>protect</w:t>
      </w:r>
      <w:r w:rsidR="002261A6">
        <w:t>ing</w:t>
      </w:r>
      <w:r w:rsidR="00514DCA" w:rsidRPr="008C60C2">
        <w:t xml:space="preserve"> small operators</w:t>
      </w:r>
      <w:r w:rsidR="002261A6">
        <w:t xml:space="preserve"> and coastal fishing communities</w:t>
      </w:r>
      <w:r w:rsidR="001D78A2" w:rsidRPr="008C60C2">
        <w:t xml:space="preserve">. </w:t>
      </w:r>
      <w:r w:rsidR="002261A6">
        <w:t>Nevertheless</w:t>
      </w:r>
      <w:r w:rsidR="001D78A2" w:rsidRPr="008C60C2">
        <w:t>,</w:t>
      </w:r>
      <w:r w:rsidR="00514DCA" w:rsidRPr="008C60C2">
        <w:t xml:space="preserve"> </w:t>
      </w:r>
      <w:r w:rsidR="001D78A2" w:rsidRPr="008C60C2">
        <w:t xml:space="preserve">the rules </w:t>
      </w:r>
      <w:r w:rsidR="002261A6">
        <w:t>contained in</w:t>
      </w:r>
      <w:r w:rsidR="001D78A2" w:rsidRPr="008C60C2">
        <w:t xml:space="preserve"> the IVQ system do not</w:t>
      </w:r>
      <w:r w:rsidR="00514DCA" w:rsidRPr="008C60C2">
        <w:t xml:space="preserve"> prevent the ownership of multiple vessels and thereby multiple quota shares</w:t>
      </w:r>
      <w:r w:rsidR="001D78A2" w:rsidRPr="008C60C2">
        <w:t xml:space="preserve"> (Pinkerton and Edwards 2009)</w:t>
      </w:r>
      <w:r w:rsidR="00514DCA" w:rsidRPr="008C60C2">
        <w:t xml:space="preserve">. </w:t>
      </w:r>
      <w:r w:rsidR="001D78A2" w:rsidRPr="008C60C2">
        <w:t xml:space="preserve">Overall, British Columbia’s IVQ system contains some noteworthy distinctions, but it </w:t>
      </w:r>
      <w:r w:rsidR="00D30F91" w:rsidRPr="008C60C2">
        <w:t>falls short</w:t>
      </w:r>
      <w:r w:rsidR="001D78A2" w:rsidRPr="008C60C2">
        <w:t xml:space="preserve"> </w:t>
      </w:r>
      <w:r w:rsidR="00D30F91" w:rsidRPr="008C60C2">
        <w:t>of strongly deviating from</w:t>
      </w:r>
      <w:r w:rsidR="001D78A2" w:rsidRPr="008C60C2">
        <w:t xml:space="preserve"> the free market ideal. Consequently, this article now turns to Alaska’s halibut and sablefish IFQ program which do</w:t>
      </w:r>
      <w:r w:rsidR="00D30F91" w:rsidRPr="008C60C2">
        <w:t>es</w:t>
      </w:r>
      <w:r w:rsidR="001D78A2" w:rsidRPr="008C60C2">
        <w:t xml:space="preserve"> the most to protect local fishing interests. </w:t>
      </w:r>
    </w:p>
    <w:p w14:paraId="322411D9" w14:textId="2DFCE81A" w:rsidR="00D11F61" w:rsidRPr="008C60C2" w:rsidRDefault="00124066" w:rsidP="00CE77A3">
      <w:pPr>
        <w:spacing w:line="480" w:lineRule="auto"/>
      </w:pPr>
      <w:r w:rsidRPr="008C60C2">
        <w:rPr>
          <w:i/>
        </w:rPr>
        <w:t>5</w:t>
      </w:r>
      <w:r w:rsidR="00655D3E" w:rsidRPr="008C60C2">
        <w:rPr>
          <w:i/>
        </w:rPr>
        <w:t>.</w:t>
      </w:r>
      <w:r w:rsidRPr="008C60C2">
        <w:rPr>
          <w:i/>
        </w:rPr>
        <w:t xml:space="preserve">2 </w:t>
      </w:r>
      <w:r w:rsidR="00E80126" w:rsidRPr="008C60C2">
        <w:rPr>
          <w:i/>
        </w:rPr>
        <w:t>Alaska’s Halibut and Sablefish IFQ Policy</w:t>
      </w:r>
    </w:p>
    <w:p w14:paraId="0B7C2CB7" w14:textId="50CC8500" w:rsidR="00F01F74" w:rsidRPr="008C60C2" w:rsidRDefault="00596D5A" w:rsidP="00596D5A">
      <w:pPr>
        <w:widowControl w:val="0"/>
        <w:autoSpaceDE w:val="0"/>
        <w:autoSpaceDN w:val="0"/>
        <w:adjustRightInd w:val="0"/>
        <w:spacing w:line="480" w:lineRule="auto"/>
        <w:ind w:firstLine="720"/>
        <w:rPr>
          <w:iCs/>
        </w:rPr>
      </w:pPr>
      <w:r w:rsidRPr="008C60C2">
        <w:t xml:space="preserve">Alaska is home to several </w:t>
      </w:r>
      <w:r>
        <w:t>marine privatization</w:t>
      </w:r>
      <w:r w:rsidRPr="008C60C2">
        <w:t xml:space="preserve"> policies</w:t>
      </w:r>
      <w:r>
        <w:t>, but the 1995</w:t>
      </w:r>
      <w:r w:rsidRPr="008C60C2">
        <w:t xml:space="preserve"> halibut and sablefish IFQ program</w:t>
      </w:r>
      <w:r>
        <w:t xml:space="preserve"> distinguishes itself</w:t>
      </w:r>
      <w:r w:rsidRPr="008C60C2">
        <w:t xml:space="preserve"> from other quota share programs because of its incorporation of </w:t>
      </w:r>
      <w:r>
        <w:t>rules meant to explicitly protect</w:t>
      </w:r>
      <w:r w:rsidRPr="008C60C2">
        <w:t xml:space="preserve"> </w:t>
      </w:r>
      <w:r>
        <w:t>smaller operators in the Alaskan</w:t>
      </w:r>
      <w:r w:rsidRPr="008C60C2">
        <w:t xml:space="preserve"> fishing fleet and fishing </w:t>
      </w:r>
      <w:r w:rsidRPr="008C60C2">
        <w:lastRenderedPageBreak/>
        <w:t>communities. This section details the</w:t>
      </w:r>
      <w:r w:rsidRPr="008C60C2">
        <w:rPr>
          <w:iCs/>
        </w:rPr>
        <w:t xml:space="preserve"> Alaskan case</w:t>
      </w:r>
      <w:r>
        <w:rPr>
          <w:iCs/>
        </w:rPr>
        <w:t xml:space="preserve">, drawing </w:t>
      </w:r>
      <w:r w:rsidRPr="008C60C2">
        <w:t>insight from semi-structured interviews (n=1</w:t>
      </w:r>
      <w:r>
        <w:t>3</w:t>
      </w:r>
      <w:r w:rsidRPr="008C60C2">
        <w:t xml:space="preserve">) with individuals representing Community Development Quota organizations, the North Pacific Fisheries Management Council (NPFMC), the National Marine Fisheries Service (NMFS), the Bering Sea Fishermen’s Association, and Alaskan halibut fishers. Participants were selected via snowball sampling (Bernard 2006). Interviews were complimented with archival methods that focused on gathering and analyzing secondary data sources such as state and federal level natural resources governance laws and management reports. This process of data collection and analysis compliments the use of semi-structured interviews by </w:t>
      </w:r>
      <w:r>
        <w:t xml:space="preserve">connecting </w:t>
      </w:r>
      <w:r w:rsidRPr="008C60C2">
        <w:t>what participants say to historical evidence</w:t>
      </w:r>
      <w:r>
        <w:t xml:space="preserve"> </w:t>
      </w:r>
      <w:r w:rsidR="004D018E" w:rsidRPr="008C60C2">
        <w:t xml:space="preserve">(Wu 2002, 84). </w:t>
      </w:r>
    </w:p>
    <w:p w14:paraId="330843CE" w14:textId="2A7E9040" w:rsidR="006B1A70" w:rsidRPr="008C60C2" w:rsidRDefault="00E47FE6" w:rsidP="006B1A70">
      <w:pPr>
        <w:spacing w:line="480" w:lineRule="auto"/>
      </w:pPr>
      <w:r w:rsidRPr="008C60C2">
        <w:rPr>
          <w:i/>
        </w:rPr>
        <w:tab/>
      </w:r>
      <w:r w:rsidR="00597D2A" w:rsidRPr="008C60C2">
        <w:rPr>
          <w:color w:val="000000" w:themeColor="text1"/>
        </w:rPr>
        <w:t xml:space="preserve"> </w:t>
      </w:r>
      <w:r w:rsidR="003178EA" w:rsidRPr="008C60C2">
        <w:t xml:space="preserve">Alaskan fisheries governance changed </w:t>
      </w:r>
      <w:r w:rsidR="00BA13D1" w:rsidRPr="008C60C2">
        <w:t xml:space="preserve">dramatically </w:t>
      </w:r>
      <w:r w:rsidR="009B2A64" w:rsidRPr="008C60C2">
        <w:t>in 1976 when Congress passed the</w:t>
      </w:r>
      <w:r w:rsidR="003A3B86" w:rsidRPr="008C60C2">
        <w:t xml:space="preserve"> Magnuson-Stevens</w:t>
      </w:r>
      <w:r w:rsidR="004D018E" w:rsidRPr="008C60C2">
        <w:t xml:space="preserve"> Fishery Conservation and Management Act (the </w:t>
      </w:r>
      <w:r w:rsidR="009754F4" w:rsidRPr="008C60C2">
        <w:t>Magnuson</w:t>
      </w:r>
      <w:r w:rsidR="009B10B5" w:rsidRPr="008C60C2">
        <w:t xml:space="preserve">-Stevens </w:t>
      </w:r>
      <w:r w:rsidR="009754F4" w:rsidRPr="008C60C2">
        <w:t>Act)</w:t>
      </w:r>
      <w:r w:rsidR="004D018E" w:rsidRPr="008C60C2">
        <w:t xml:space="preserve">. </w:t>
      </w:r>
      <w:r w:rsidR="004656B9" w:rsidRPr="008C60C2">
        <w:t xml:space="preserve">Consistent with the recently signed international Law of the Sea, </w:t>
      </w:r>
      <w:r w:rsidR="008373C5" w:rsidRPr="008C60C2">
        <w:rPr>
          <w:color w:val="000000" w:themeColor="text1"/>
        </w:rPr>
        <w:t>t</w:t>
      </w:r>
      <w:r w:rsidR="004D018E" w:rsidRPr="008C60C2">
        <w:rPr>
          <w:color w:val="000000" w:themeColor="text1"/>
        </w:rPr>
        <w:t xml:space="preserve">he </w:t>
      </w:r>
      <w:r w:rsidR="009754F4" w:rsidRPr="008C60C2">
        <w:rPr>
          <w:color w:val="000000" w:themeColor="text1"/>
        </w:rPr>
        <w:t>Magnuson</w:t>
      </w:r>
      <w:r w:rsidR="009B10B5" w:rsidRPr="008C60C2">
        <w:rPr>
          <w:color w:val="000000" w:themeColor="text1"/>
        </w:rPr>
        <w:t>-Stevens</w:t>
      </w:r>
      <w:r w:rsidR="009754F4" w:rsidRPr="008C60C2">
        <w:rPr>
          <w:color w:val="000000" w:themeColor="text1"/>
        </w:rPr>
        <w:t xml:space="preserve"> Act </w:t>
      </w:r>
      <w:r w:rsidR="004D018E" w:rsidRPr="008C60C2">
        <w:rPr>
          <w:color w:val="000000" w:themeColor="text1"/>
        </w:rPr>
        <w:t>remove</w:t>
      </w:r>
      <w:r w:rsidR="009B2A64" w:rsidRPr="008C60C2">
        <w:rPr>
          <w:color w:val="000000" w:themeColor="text1"/>
        </w:rPr>
        <w:t>d</w:t>
      </w:r>
      <w:r w:rsidR="004D018E" w:rsidRPr="008C60C2">
        <w:rPr>
          <w:color w:val="000000" w:themeColor="text1"/>
        </w:rPr>
        <w:t xml:space="preserve"> foreign </w:t>
      </w:r>
      <w:r w:rsidR="009754F4" w:rsidRPr="008C60C2">
        <w:rPr>
          <w:color w:val="000000" w:themeColor="text1"/>
        </w:rPr>
        <w:t xml:space="preserve">fishing </w:t>
      </w:r>
      <w:r w:rsidR="004D018E" w:rsidRPr="008C60C2">
        <w:rPr>
          <w:color w:val="000000" w:themeColor="text1"/>
        </w:rPr>
        <w:t>vessels</w:t>
      </w:r>
      <w:r w:rsidR="009754F4" w:rsidRPr="008C60C2">
        <w:rPr>
          <w:color w:val="000000" w:themeColor="text1"/>
        </w:rPr>
        <w:t xml:space="preserve"> </w:t>
      </w:r>
      <w:r w:rsidR="00BA13D1" w:rsidRPr="008C60C2">
        <w:rPr>
          <w:color w:val="000000" w:themeColor="text1"/>
        </w:rPr>
        <w:t>prosecuting</w:t>
      </w:r>
      <w:r w:rsidR="009754F4" w:rsidRPr="008C60C2">
        <w:rPr>
          <w:color w:val="000000" w:themeColor="text1"/>
        </w:rPr>
        <w:t xml:space="preserve"> fish </w:t>
      </w:r>
      <w:r w:rsidR="00C53358" w:rsidRPr="008C60C2">
        <w:rPr>
          <w:color w:val="000000" w:themeColor="text1"/>
        </w:rPr>
        <w:t>off the nation’s coastline</w:t>
      </w:r>
      <w:r w:rsidR="00242F30" w:rsidRPr="008C60C2">
        <w:rPr>
          <w:color w:val="000000" w:themeColor="text1"/>
        </w:rPr>
        <w:t>, expanding</w:t>
      </w:r>
      <w:r w:rsidR="00CD589E" w:rsidRPr="008C60C2">
        <w:rPr>
          <w:color w:val="000000" w:themeColor="text1"/>
        </w:rPr>
        <w:t xml:space="preserve"> the size of the domestic fleet operating in Alaskan waters</w:t>
      </w:r>
      <w:r w:rsidR="00CD2A3B" w:rsidRPr="008C60C2">
        <w:rPr>
          <w:color w:val="000000" w:themeColor="text1"/>
        </w:rPr>
        <w:t xml:space="preserve">. </w:t>
      </w:r>
      <w:r w:rsidR="004D018E" w:rsidRPr="008C60C2">
        <w:rPr>
          <w:color w:val="000000" w:themeColor="text1"/>
        </w:rPr>
        <w:t xml:space="preserve">The </w:t>
      </w:r>
      <w:r w:rsidR="009754F4" w:rsidRPr="008C60C2">
        <w:rPr>
          <w:color w:val="000000" w:themeColor="text1"/>
        </w:rPr>
        <w:t>Magnuson</w:t>
      </w:r>
      <w:r w:rsidR="00C53358" w:rsidRPr="008C60C2">
        <w:rPr>
          <w:color w:val="000000" w:themeColor="text1"/>
        </w:rPr>
        <w:t xml:space="preserve">-Stevens </w:t>
      </w:r>
      <w:r w:rsidR="009754F4" w:rsidRPr="008C60C2">
        <w:rPr>
          <w:color w:val="000000" w:themeColor="text1"/>
        </w:rPr>
        <w:t xml:space="preserve">Act </w:t>
      </w:r>
      <w:r w:rsidR="004D018E" w:rsidRPr="008C60C2">
        <w:rPr>
          <w:color w:val="000000" w:themeColor="text1"/>
        </w:rPr>
        <w:t xml:space="preserve">also created eight regional </w:t>
      </w:r>
      <w:r w:rsidR="00C53358" w:rsidRPr="008C60C2">
        <w:rPr>
          <w:color w:val="000000" w:themeColor="text1"/>
        </w:rPr>
        <w:t xml:space="preserve">management </w:t>
      </w:r>
      <w:r w:rsidR="0091767D" w:rsidRPr="008C60C2">
        <w:rPr>
          <w:color w:val="000000" w:themeColor="text1"/>
        </w:rPr>
        <w:t>councils</w:t>
      </w:r>
      <w:r w:rsidR="009D6015" w:rsidRPr="008C60C2">
        <w:rPr>
          <w:color w:val="000000" w:themeColor="text1"/>
        </w:rPr>
        <w:t xml:space="preserve"> </w:t>
      </w:r>
      <w:r w:rsidR="004D018E" w:rsidRPr="008C60C2">
        <w:rPr>
          <w:color w:val="000000" w:themeColor="text1"/>
        </w:rPr>
        <w:t xml:space="preserve">to </w:t>
      </w:r>
      <w:r w:rsidR="00C53358" w:rsidRPr="008C60C2">
        <w:rPr>
          <w:color w:val="000000" w:themeColor="text1"/>
        </w:rPr>
        <w:t xml:space="preserve">oversee </w:t>
      </w:r>
      <w:r w:rsidR="004D018E" w:rsidRPr="008C60C2">
        <w:rPr>
          <w:color w:val="000000" w:themeColor="text1"/>
        </w:rPr>
        <w:t xml:space="preserve">the fisheries within the </w:t>
      </w:r>
      <w:r w:rsidR="009754F4" w:rsidRPr="008C60C2">
        <w:rPr>
          <w:color w:val="000000" w:themeColor="text1"/>
        </w:rPr>
        <w:t xml:space="preserve">nation’s </w:t>
      </w:r>
      <w:r w:rsidR="00B47590" w:rsidRPr="008C60C2">
        <w:rPr>
          <w:color w:val="000000" w:themeColor="text1"/>
        </w:rPr>
        <w:t xml:space="preserve">new </w:t>
      </w:r>
      <w:r w:rsidR="004D018E" w:rsidRPr="008C60C2">
        <w:rPr>
          <w:color w:val="000000" w:themeColor="text1"/>
        </w:rPr>
        <w:t>EEZ</w:t>
      </w:r>
      <w:r w:rsidR="009D6015" w:rsidRPr="008C60C2">
        <w:rPr>
          <w:color w:val="000000" w:themeColor="text1"/>
        </w:rPr>
        <w:t>, including the North Pacific Fisheries Management Council (NPFMC) to manage fisheries</w:t>
      </w:r>
      <w:r w:rsidR="00B47590" w:rsidRPr="008C60C2">
        <w:rPr>
          <w:color w:val="000000" w:themeColor="text1"/>
        </w:rPr>
        <w:t xml:space="preserve"> in</w:t>
      </w:r>
      <w:r w:rsidR="00971B28">
        <w:rPr>
          <w:color w:val="000000" w:themeColor="text1"/>
        </w:rPr>
        <w:t xml:space="preserve"> </w:t>
      </w:r>
      <w:r w:rsidR="00B47590" w:rsidRPr="008C60C2">
        <w:rPr>
          <w:color w:val="000000" w:themeColor="text1"/>
        </w:rPr>
        <w:t xml:space="preserve">Alaskan, </w:t>
      </w:r>
      <w:r w:rsidR="0091767D" w:rsidRPr="008C60C2">
        <w:rPr>
          <w:color w:val="000000" w:themeColor="text1"/>
        </w:rPr>
        <w:t>Oregon, and Washington</w:t>
      </w:r>
      <w:r w:rsidR="00B47590" w:rsidRPr="008C60C2">
        <w:rPr>
          <w:color w:val="000000" w:themeColor="text1"/>
        </w:rPr>
        <w:t xml:space="preserve"> waters</w:t>
      </w:r>
      <w:r w:rsidR="009D6015" w:rsidRPr="008C60C2">
        <w:rPr>
          <w:color w:val="000000" w:themeColor="text1"/>
        </w:rPr>
        <w:t>. The NPFMC</w:t>
      </w:r>
      <w:r w:rsidR="003A3B86" w:rsidRPr="008C60C2">
        <w:rPr>
          <w:color w:val="000000" w:themeColor="text1"/>
        </w:rPr>
        <w:t xml:space="preserve"> </w:t>
      </w:r>
      <w:r w:rsidR="00BA13D1" w:rsidRPr="008C60C2">
        <w:rPr>
          <w:color w:val="000000" w:themeColor="text1"/>
        </w:rPr>
        <w:t>is responsible for</w:t>
      </w:r>
      <w:r w:rsidR="00C53358" w:rsidRPr="008C60C2">
        <w:rPr>
          <w:color w:val="000000" w:themeColor="text1"/>
        </w:rPr>
        <w:t xml:space="preserve"> </w:t>
      </w:r>
      <w:r w:rsidR="00F57B21" w:rsidRPr="008C60C2">
        <w:rPr>
          <w:color w:val="000000" w:themeColor="text1"/>
        </w:rPr>
        <w:t xml:space="preserve">developing </w:t>
      </w:r>
      <w:r w:rsidR="00BA13D1" w:rsidRPr="008C60C2">
        <w:rPr>
          <w:color w:val="000000" w:themeColor="text1"/>
        </w:rPr>
        <w:t>regulatory decisions</w:t>
      </w:r>
      <w:r w:rsidR="00971B28">
        <w:rPr>
          <w:color w:val="000000" w:themeColor="text1"/>
        </w:rPr>
        <w:t>, such as</w:t>
      </w:r>
      <w:r w:rsidR="00F57B21" w:rsidRPr="008C60C2">
        <w:rPr>
          <w:color w:val="000000" w:themeColor="text1"/>
        </w:rPr>
        <w:t xml:space="preserve"> </w:t>
      </w:r>
      <w:r w:rsidR="00BA13D1" w:rsidRPr="008C60C2">
        <w:rPr>
          <w:color w:val="000000" w:themeColor="text1"/>
        </w:rPr>
        <w:t>fishery management plans (FMP)</w:t>
      </w:r>
      <w:r w:rsidR="00971B28">
        <w:rPr>
          <w:color w:val="000000" w:themeColor="text1"/>
        </w:rPr>
        <w:t>,</w:t>
      </w:r>
      <w:r w:rsidR="00F57B21" w:rsidRPr="008C60C2">
        <w:rPr>
          <w:color w:val="000000" w:themeColor="text1"/>
        </w:rPr>
        <w:t xml:space="preserve"> that </w:t>
      </w:r>
      <w:r w:rsidR="0015139F" w:rsidRPr="008C60C2">
        <w:rPr>
          <w:color w:val="000000" w:themeColor="text1"/>
        </w:rPr>
        <w:t xml:space="preserve">establish </w:t>
      </w:r>
      <w:r w:rsidR="0091767D" w:rsidRPr="008C60C2">
        <w:rPr>
          <w:color w:val="000000" w:themeColor="text1"/>
        </w:rPr>
        <w:t>rules</w:t>
      </w:r>
      <w:r w:rsidR="00AC6DFA" w:rsidRPr="008C60C2">
        <w:rPr>
          <w:color w:val="000000" w:themeColor="text1"/>
        </w:rPr>
        <w:t xml:space="preserve"> for each management area. Alaska has eight management areas across the state—2C, 3A, 3B, 4A, 4B, </w:t>
      </w:r>
      <w:r w:rsidR="00DA1DB5" w:rsidRPr="008C60C2">
        <w:rPr>
          <w:color w:val="000000" w:themeColor="text1"/>
        </w:rPr>
        <w:t>4C, 4D, and 4E.</w:t>
      </w:r>
      <w:r w:rsidR="00597D2A" w:rsidRPr="008C60C2">
        <w:t xml:space="preserve"> Typically, the NPFMC will work alongside the N</w:t>
      </w:r>
      <w:r w:rsidR="00FC1C75" w:rsidRPr="008C60C2">
        <w:t xml:space="preserve">ational </w:t>
      </w:r>
      <w:r w:rsidR="00597D2A" w:rsidRPr="008C60C2">
        <w:t>M</w:t>
      </w:r>
      <w:r w:rsidR="00FC1C75" w:rsidRPr="008C60C2">
        <w:t xml:space="preserve">arine </w:t>
      </w:r>
      <w:r w:rsidR="00597D2A" w:rsidRPr="008C60C2">
        <w:t>F</w:t>
      </w:r>
      <w:r w:rsidR="00FC1C75" w:rsidRPr="008C60C2">
        <w:t xml:space="preserve">isheries </w:t>
      </w:r>
      <w:r w:rsidR="00597D2A" w:rsidRPr="008C60C2">
        <w:t>S</w:t>
      </w:r>
      <w:r w:rsidR="00FC1C75" w:rsidRPr="008C60C2">
        <w:t>ervices (NMFS)</w:t>
      </w:r>
      <w:r w:rsidR="00597D2A" w:rsidRPr="008C60C2">
        <w:t xml:space="preserve"> and </w:t>
      </w:r>
      <w:r w:rsidR="00FC1C75" w:rsidRPr="008C60C2">
        <w:t xml:space="preserve">the </w:t>
      </w:r>
      <w:r w:rsidR="00597D2A" w:rsidRPr="008C60C2">
        <w:t>N</w:t>
      </w:r>
      <w:r w:rsidR="00FC1C75" w:rsidRPr="008C60C2">
        <w:t xml:space="preserve">ational </w:t>
      </w:r>
      <w:r w:rsidR="00597D2A" w:rsidRPr="008C60C2">
        <w:t>O</w:t>
      </w:r>
      <w:r w:rsidR="00FC1C75" w:rsidRPr="008C60C2">
        <w:t xml:space="preserve">ceanic and </w:t>
      </w:r>
      <w:r w:rsidR="00597D2A" w:rsidRPr="008C60C2">
        <w:t>A</w:t>
      </w:r>
      <w:r w:rsidR="00FC1C75" w:rsidRPr="008C60C2">
        <w:t xml:space="preserve">tmospheric </w:t>
      </w:r>
      <w:r w:rsidR="00597D2A" w:rsidRPr="008C60C2">
        <w:t>A</w:t>
      </w:r>
      <w:r w:rsidR="00FC1C75" w:rsidRPr="008C60C2">
        <w:t>dministration (NOAA)</w:t>
      </w:r>
      <w:r w:rsidR="00597D2A" w:rsidRPr="008C60C2">
        <w:t xml:space="preserve"> to develop a FMP. Once completed, all FMPs undergo review by the U.S. Secretary of Commerce. </w:t>
      </w:r>
      <w:r w:rsidR="00F57B21" w:rsidRPr="008C60C2">
        <w:t>If a</w:t>
      </w:r>
      <w:r w:rsidR="00597D2A" w:rsidRPr="008C60C2">
        <w:t xml:space="preserve"> FMP is approved, the U.S. </w:t>
      </w:r>
      <w:r w:rsidR="00597D2A" w:rsidRPr="008C60C2">
        <w:lastRenderedPageBreak/>
        <w:t xml:space="preserve">Secretary of Commerce </w:t>
      </w:r>
      <w:r w:rsidR="0091767D" w:rsidRPr="008C60C2">
        <w:t>will act</w:t>
      </w:r>
      <w:r w:rsidR="00F57B21" w:rsidRPr="008C60C2">
        <w:t xml:space="preserve"> through the NMFS</w:t>
      </w:r>
      <w:r w:rsidR="0091767D" w:rsidRPr="008C60C2">
        <w:t xml:space="preserve"> at the federal-level</w:t>
      </w:r>
      <w:r w:rsidR="00F57B21" w:rsidRPr="008C60C2">
        <w:t xml:space="preserve"> to implement and enforce the </w:t>
      </w:r>
      <w:r w:rsidR="0091767D" w:rsidRPr="008C60C2">
        <w:t>FMP</w:t>
      </w:r>
      <w:r w:rsidR="00F57B21" w:rsidRPr="008C60C2">
        <w:t>.</w:t>
      </w:r>
    </w:p>
    <w:p w14:paraId="448F873B" w14:textId="2CCC6C8D" w:rsidR="006E7751" w:rsidRPr="008C60C2" w:rsidRDefault="0091767D" w:rsidP="00965C4A">
      <w:pPr>
        <w:spacing w:line="480" w:lineRule="auto"/>
        <w:ind w:firstLine="720"/>
        <w:rPr>
          <w:iCs/>
        </w:rPr>
      </w:pPr>
      <w:r w:rsidRPr="008C60C2">
        <w:rPr>
          <w:color w:val="000000" w:themeColor="text1"/>
        </w:rPr>
        <w:t>In the late 1970s, the</w:t>
      </w:r>
      <w:r w:rsidR="00690C1C" w:rsidRPr="008C60C2">
        <w:rPr>
          <w:color w:val="000000" w:themeColor="text1"/>
        </w:rPr>
        <w:t xml:space="preserve"> </w:t>
      </w:r>
      <w:r w:rsidR="00D30F91" w:rsidRPr="008C60C2">
        <w:rPr>
          <w:color w:val="000000" w:themeColor="text1"/>
        </w:rPr>
        <w:t>NPFMC</w:t>
      </w:r>
      <w:r w:rsidR="00690C1C" w:rsidRPr="008C60C2">
        <w:rPr>
          <w:color w:val="000000" w:themeColor="text1"/>
        </w:rPr>
        <w:t xml:space="preserve"> </w:t>
      </w:r>
      <w:r w:rsidR="00D30F91" w:rsidRPr="008C60C2">
        <w:rPr>
          <w:color w:val="000000" w:themeColor="text1"/>
        </w:rPr>
        <w:t>worked</w:t>
      </w:r>
      <w:r w:rsidR="00690C1C" w:rsidRPr="008C60C2">
        <w:rPr>
          <w:color w:val="000000" w:themeColor="text1"/>
        </w:rPr>
        <w:t xml:space="preserve"> to create a </w:t>
      </w:r>
      <w:r w:rsidR="00D30F91" w:rsidRPr="008C60C2">
        <w:rPr>
          <w:color w:val="000000" w:themeColor="text1"/>
        </w:rPr>
        <w:t>FMP</w:t>
      </w:r>
      <w:r w:rsidR="00690C1C" w:rsidRPr="008C60C2">
        <w:rPr>
          <w:color w:val="000000" w:themeColor="text1"/>
        </w:rPr>
        <w:t xml:space="preserve"> for each commercial fishery species beyond three nautical miles of Alaska’s coastline (</w:t>
      </w:r>
      <w:proofErr w:type="spellStart"/>
      <w:r w:rsidR="00690C1C" w:rsidRPr="008C60C2">
        <w:rPr>
          <w:color w:val="000000" w:themeColor="text1"/>
        </w:rPr>
        <w:t>Patuzke</w:t>
      </w:r>
      <w:proofErr w:type="spellEnd"/>
      <w:r w:rsidR="00690C1C" w:rsidRPr="008C60C2">
        <w:rPr>
          <w:color w:val="000000" w:themeColor="text1"/>
        </w:rPr>
        <w:t xml:space="preserve"> and Oliver 1997).</w:t>
      </w:r>
      <w:r w:rsidR="00BA13D1" w:rsidRPr="008C60C2">
        <w:rPr>
          <w:color w:val="000000" w:themeColor="text1"/>
        </w:rPr>
        <w:t xml:space="preserve"> </w:t>
      </w:r>
      <w:r w:rsidR="001C2FE6" w:rsidRPr="008C60C2">
        <w:rPr>
          <w:color w:val="000000" w:themeColor="text1"/>
        </w:rPr>
        <w:t xml:space="preserve">Initially, </w:t>
      </w:r>
      <w:r w:rsidR="00974D3C" w:rsidRPr="008C60C2">
        <w:rPr>
          <w:color w:val="000000" w:themeColor="text1"/>
        </w:rPr>
        <w:t xml:space="preserve">Alaska’s halibut fisheries were managed like other international fisheries with gear restrictions, catch limitations, and changing season lengths. By the late 1980s, </w:t>
      </w:r>
      <w:r w:rsidR="00775EBD">
        <w:rPr>
          <w:color w:val="000000" w:themeColor="text1"/>
        </w:rPr>
        <w:t xml:space="preserve">however, </w:t>
      </w:r>
      <w:r w:rsidR="00D30F91" w:rsidRPr="008C60C2">
        <w:rPr>
          <w:color w:val="000000" w:themeColor="text1"/>
        </w:rPr>
        <w:t xml:space="preserve">it was evident that </w:t>
      </w:r>
      <w:r w:rsidR="00CD589E" w:rsidRPr="008C60C2">
        <w:rPr>
          <w:color w:val="000000" w:themeColor="text1"/>
        </w:rPr>
        <w:t xml:space="preserve">current </w:t>
      </w:r>
      <w:r w:rsidR="00D30F91" w:rsidRPr="008C60C2">
        <w:rPr>
          <w:color w:val="000000" w:themeColor="text1"/>
        </w:rPr>
        <w:t>plans</w:t>
      </w:r>
      <w:r w:rsidR="002261A6">
        <w:rPr>
          <w:color w:val="000000" w:themeColor="text1"/>
        </w:rPr>
        <w:t xml:space="preserve"> creating derby-style fisheries</w:t>
      </w:r>
      <w:r w:rsidR="00CD589E" w:rsidRPr="008C60C2">
        <w:rPr>
          <w:color w:val="000000" w:themeColor="text1"/>
        </w:rPr>
        <w:t xml:space="preserve"> were not workin</w:t>
      </w:r>
      <w:r w:rsidR="00E217D9" w:rsidRPr="008C60C2">
        <w:rPr>
          <w:color w:val="000000" w:themeColor="text1"/>
        </w:rPr>
        <w:t>g</w:t>
      </w:r>
      <w:r w:rsidR="00D30F91" w:rsidRPr="008C60C2">
        <w:rPr>
          <w:color w:val="000000" w:themeColor="text1"/>
        </w:rPr>
        <w:t xml:space="preserve">. </w:t>
      </w:r>
      <w:r w:rsidR="00E217D9" w:rsidRPr="008C60C2">
        <w:rPr>
          <w:color w:val="000000" w:themeColor="text1"/>
        </w:rPr>
        <w:t>In response,</w:t>
      </w:r>
      <w:r w:rsidR="00C53358" w:rsidRPr="008C60C2">
        <w:t xml:space="preserve"> </w:t>
      </w:r>
      <w:r w:rsidR="00E217D9" w:rsidRPr="008C60C2">
        <w:t>the NPFMC began to deliberate</w:t>
      </w:r>
      <w:r w:rsidR="00C53358" w:rsidRPr="008C60C2">
        <w:t xml:space="preserve"> </w:t>
      </w:r>
      <w:r w:rsidR="00E217D9" w:rsidRPr="008C60C2">
        <w:t xml:space="preserve">to find a new </w:t>
      </w:r>
      <w:r w:rsidR="00C53358" w:rsidRPr="008C60C2">
        <w:t xml:space="preserve">approach </w:t>
      </w:r>
      <w:r w:rsidR="0058407E">
        <w:t xml:space="preserve">to </w:t>
      </w:r>
      <w:r w:rsidR="00C53358" w:rsidRPr="008C60C2">
        <w:t>limit fisher’s access to resources, slow harvest rates, and improve the fleet’s safety</w:t>
      </w:r>
      <w:r w:rsidR="002261A6">
        <w:t xml:space="preserve"> </w:t>
      </w:r>
      <w:r w:rsidR="00C8383F" w:rsidRPr="008C60C2">
        <w:t xml:space="preserve">(Pacific Halibut Fisheries 1993). </w:t>
      </w:r>
      <w:r w:rsidR="00F35F84" w:rsidRPr="008C60C2">
        <w:t>At that time</w:t>
      </w:r>
      <w:r w:rsidR="006E7751" w:rsidRPr="008C60C2">
        <w:t xml:space="preserve"> t</w:t>
      </w:r>
      <w:r w:rsidR="007A3121" w:rsidRPr="008C60C2">
        <w:t>here</w:t>
      </w:r>
      <w:r w:rsidR="00B970CD" w:rsidRPr="008C60C2">
        <w:t xml:space="preserve"> were</w:t>
      </w:r>
      <w:r w:rsidR="007A3121" w:rsidRPr="008C60C2">
        <w:t xml:space="preserve"> </w:t>
      </w:r>
      <w:r w:rsidR="00A920D0" w:rsidRPr="008C60C2">
        <w:t>four policy options on the table</w:t>
      </w:r>
      <w:r w:rsidR="00C8383F" w:rsidRPr="008C60C2">
        <w:t>:</w:t>
      </w:r>
      <w:r w:rsidR="00A920D0" w:rsidRPr="008C60C2">
        <w:t xml:space="preserve"> the status qu</w:t>
      </w:r>
      <w:r w:rsidR="00974D3C" w:rsidRPr="008C60C2">
        <w:t>o</w:t>
      </w:r>
      <w:r w:rsidR="00A920D0" w:rsidRPr="008C60C2">
        <w:t>, license limi</w:t>
      </w:r>
      <w:r w:rsidR="001C2FE6" w:rsidRPr="008C60C2">
        <w:t>ts</w:t>
      </w:r>
      <w:r w:rsidR="003F156D" w:rsidRPr="008C60C2">
        <w:t xml:space="preserve"> that </w:t>
      </w:r>
      <w:r w:rsidR="001C2FE6" w:rsidRPr="008C60C2">
        <w:t xml:space="preserve">would </w:t>
      </w:r>
      <w:r w:rsidR="00C947AF" w:rsidRPr="008C60C2">
        <w:t xml:space="preserve">cap </w:t>
      </w:r>
      <w:r w:rsidR="003F156D" w:rsidRPr="008C60C2">
        <w:t xml:space="preserve">the number of harvesters </w:t>
      </w:r>
      <w:r w:rsidR="00974D3C" w:rsidRPr="008C60C2">
        <w:t xml:space="preserve">but not </w:t>
      </w:r>
      <w:r w:rsidR="00965C4A">
        <w:t>specify the amount of</w:t>
      </w:r>
      <w:r w:rsidR="00974D3C" w:rsidRPr="008C60C2">
        <w:t xml:space="preserve"> fish each harvester was eligible to take</w:t>
      </w:r>
      <w:r w:rsidR="00A920D0" w:rsidRPr="008C60C2">
        <w:t xml:space="preserve">, </w:t>
      </w:r>
      <w:r w:rsidR="00965C4A">
        <w:t xml:space="preserve">IFQs, or </w:t>
      </w:r>
      <w:r w:rsidR="00A920D0" w:rsidRPr="008C60C2">
        <w:t xml:space="preserve">annual fishing </w:t>
      </w:r>
      <w:r w:rsidR="001257D8" w:rsidRPr="008C60C2">
        <w:t xml:space="preserve">allotments </w:t>
      </w:r>
      <w:r w:rsidR="00AE2D82">
        <w:t>that</w:t>
      </w:r>
      <w:r w:rsidR="00AE2D82" w:rsidRPr="008C60C2">
        <w:t xml:space="preserve"> </w:t>
      </w:r>
      <w:r w:rsidR="00AE2D82">
        <w:t>allow</w:t>
      </w:r>
      <w:r w:rsidR="001257D8" w:rsidRPr="008C60C2">
        <w:t xml:space="preserve"> harvester</w:t>
      </w:r>
      <w:r w:rsidR="00965C4A">
        <w:t>s</w:t>
      </w:r>
      <w:r w:rsidR="001257D8" w:rsidRPr="008C60C2">
        <w:t xml:space="preserve"> to land a specified amount of fish during the </w:t>
      </w:r>
      <w:r w:rsidR="00965C4A">
        <w:t>season</w:t>
      </w:r>
      <w:r w:rsidR="001257D8" w:rsidRPr="008C60C2">
        <w:t xml:space="preserve"> </w:t>
      </w:r>
      <w:r w:rsidR="006B6D3B">
        <w:t>but do not</w:t>
      </w:r>
      <w:r w:rsidR="001257D8" w:rsidRPr="008C60C2">
        <w:t xml:space="preserve"> denominate</w:t>
      </w:r>
      <w:r w:rsidR="006B6D3B">
        <w:t xml:space="preserve"> allotments</w:t>
      </w:r>
      <w:r w:rsidR="001257D8" w:rsidRPr="008C60C2">
        <w:t xml:space="preserve"> in terms of a percentage of the TAC </w:t>
      </w:r>
      <w:r w:rsidR="003F3EC3" w:rsidRPr="008C60C2">
        <w:t>(Pacific Halibut Fisheries 1993)</w:t>
      </w:r>
      <w:r w:rsidR="00A920D0" w:rsidRPr="008C60C2">
        <w:t xml:space="preserve">. </w:t>
      </w:r>
      <w:r w:rsidR="00C8383F" w:rsidRPr="008C60C2">
        <w:t xml:space="preserve">In </w:t>
      </w:r>
      <w:r w:rsidR="004A288A" w:rsidRPr="008C60C2">
        <w:t xml:space="preserve">1988, the NPFMC decided the status quo governance option was unacceptable, and the potential </w:t>
      </w:r>
      <w:r w:rsidR="001D78A2" w:rsidRPr="008C60C2">
        <w:t>policy options</w:t>
      </w:r>
      <w:r w:rsidR="004A288A" w:rsidRPr="008C60C2">
        <w:t xml:space="preserve"> were narrowed to license limitations and IFQs.</w:t>
      </w:r>
      <w:r w:rsidR="004734D4" w:rsidRPr="008C60C2">
        <w:t xml:space="preserve"> </w:t>
      </w:r>
      <w:r w:rsidR="0058407E">
        <w:t xml:space="preserve">The NPFMC was concerned that license limitation </w:t>
      </w:r>
      <w:r w:rsidR="004734D4" w:rsidRPr="008C60C2">
        <w:t>would not reduce the size of the fleet in an equitable manner</w:t>
      </w:r>
      <w:r w:rsidR="0058407E">
        <w:t>, however,</w:t>
      </w:r>
      <w:r w:rsidR="00965C4A">
        <w:t xml:space="preserve"> because </w:t>
      </w:r>
      <w:r w:rsidR="00606314">
        <w:t>these policies</w:t>
      </w:r>
      <w:r w:rsidR="0058407E">
        <w:t xml:space="preserve"> keep derby-style fisheries operating by </w:t>
      </w:r>
      <w:r w:rsidR="00965C4A">
        <w:t xml:space="preserve">not </w:t>
      </w:r>
      <w:r w:rsidR="003364FF">
        <w:t>specify</w:t>
      </w:r>
      <w:r w:rsidR="0058407E">
        <w:t>ing</w:t>
      </w:r>
      <w:r w:rsidR="003364FF">
        <w:t xml:space="preserve"> the amount of fish each harvester can take</w:t>
      </w:r>
      <w:r w:rsidR="0058407E">
        <w:t>, f</w:t>
      </w:r>
      <w:r w:rsidR="003364FF">
        <w:t>orcing the NPFMC to allow as few harvesters as possible</w:t>
      </w:r>
      <w:r w:rsidR="0058407E">
        <w:t xml:space="preserve">. Consequently, </w:t>
      </w:r>
      <w:r w:rsidR="00965C4A">
        <w:t xml:space="preserve">the </w:t>
      </w:r>
      <w:r w:rsidR="004A288A" w:rsidRPr="008C60C2">
        <w:t>NPFMC</w:t>
      </w:r>
      <w:r w:rsidR="00965C4A">
        <w:t xml:space="preserve"> began </w:t>
      </w:r>
      <w:r w:rsidR="003364FF">
        <w:t>t</w:t>
      </w:r>
      <w:r w:rsidR="006E7751" w:rsidRPr="008C60C2">
        <w:t>o work</w:t>
      </w:r>
      <w:r w:rsidR="004A288A" w:rsidRPr="008C60C2">
        <w:t xml:space="preserve"> towards implementing a</w:t>
      </w:r>
      <w:r w:rsidR="006E7751" w:rsidRPr="008C60C2">
        <w:t xml:space="preserve">n </w:t>
      </w:r>
      <w:r w:rsidR="004A288A" w:rsidRPr="008C60C2">
        <w:t>IFQ program for the state’s halibut fisheries</w:t>
      </w:r>
      <w:r w:rsidR="00F57B21" w:rsidRPr="008C60C2">
        <w:t xml:space="preserve"> in January 1990</w:t>
      </w:r>
      <w:r w:rsidR="00965C4A">
        <w:t xml:space="preserve"> (NPFMC 2016)</w:t>
      </w:r>
      <w:r w:rsidR="004A288A" w:rsidRPr="008C60C2">
        <w:t xml:space="preserve">. </w:t>
      </w:r>
      <w:r w:rsidR="00FD7709" w:rsidRPr="008C60C2">
        <w:rPr>
          <w:iCs/>
        </w:rPr>
        <w:t xml:space="preserve">Over the </w:t>
      </w:r>
      <w:r w:rsidR="00F57B21" w:rsidRPr="008C60C2">
        <w:rPr>
          <w:iCs/>
        </w:rPr>
        <w:t>next few</w:t>
      </w:r>
      <w:r w:rsidR="00FD7709" w:rsidRPr="008C60C2">
        <w:rPr>
          <w:iCs/>
        </w:rPr>
        <w:t xml:space="preserve"> years, Alaska’s IFQ program </w:t>
      </w:r>
      <w:r w:rsidR="00D70BBE" w:rsidRPr="008C60C2">
        <w:rPr>
          <w:iCs/>
        </w:rPr>
        <w:t>proposal underwent</w:t>
      </w:r>
      <w:r w:rsidR="00FD7709" w:rsidRPr="008C60C2">
        <w:rPr>
          <w:iCs/>
        </w:rPr>
        <w:t xml:space="preserve"> several impact assessments, public comment periods, and </w:t>
      </w:r>
      <w:r w:rsidR="00DC766B" w:rsidRPr="008C60C2">
        <w:rPr>
          <w:iCs/>
        </w:rPr>
        <w:t>review</w:t>
      </w:r>
      <w:r w:rsidR="00012452" w:rsidRPr="008C60C2">
        <w:rPr>
          <w:iCs/>
        </w:rPr>
        <w:t>s</w:t>
      </w:r>
      <w:r w:rsidR="00DC766B" w:rsidRPr="008C60C2">
        <w:rPr>
          <w:iCs/>
        </w:rPr>
        <w:t xml:space="preserve"> by the </w:t>
      </w:r>
      <w:r w:rsidR="006E7751" w:rsidRPr="008C60C2">
        <w:rPr>
          <w:iCs/>
        </w:rPr>
        <w:t xml:space="preserve">U.S. </w:t>
      </w:r>
      <w:r w:rsidR="00DC766B" w:rsidRPr="008C60C2">
        <w:rPr>
          <w:iCs/>
        </w:rPr>
        <w:lastRenderedPageBreak/>
        <w:t xml:space="preserve">Secretary of Commerce. </w:t>
      </w:r>
      <w:r w:rsidR="00FD7709" w:rsidRPr="008C60C2">
        <w:rPr>
          <w:iCs/>
        </w:rPr>
        <w:t xml:space="preserve">In January 1993, the </w:t>
      </w:r>
      <w:r w:rsidR="00B970CD" w:rsidRPr="008C60C2">
        <w:rPr>
          <w:iCs/>
        </w:rPr>
        <w:t xml:space="preserve">proposed </w:t>
      </w:r>
      <w:r w:rsidR="006E7751" w:rsidRPr="008C60C2">
        <w:rPr>
          <w:iCs/>
        </w:rPr>
        <w:t xml:space="preserve">halibut and sablefish </w:t>
      </w:r>
      <w:r w:rsidR="00B970CD" w:rsidRPr="008C60C2">
        <w:rPr>
          <w:iCs/>
        </w:rPr>
        <w:t xml:space="preserve">IFQ program </w:t>
      </w:r>
      <w:r w:rsidR="006E7751" w:rsidRPr="008C60C2">
        <w:rPr>
          <w:iCs/>
        </w:rPr>
        <w:t>was recommended for implementation</w:t>
      </w:r>
      <w:r w:rsidR="00C947AF" w:rsidRPr="008C60C2">
        <w:rPr>
          <w:iCs/>
        </w:rPr>
        <w:t>, and the IFQ program was implemented in 1995</w:t>
      </w:r>
      <w:r w:rsidR="00B970CD" w:rsidRPr="008C60C2">
        <w:rPr>
          <w:iCs/>
        </w:rPr>
        <w:t>.</w:t>
      </w:r>
      <w:r w:rsidR="003142C7" w:rsidRPr="008C60C2">
        <w:rPr>
          <w:rStyle w:val="FootnoteReference"/>
          <w:iCs/>
        </w:rPr>
        <w:footnoteReference w:id="2"/>
      </w:r>
      <w:r w:rsidR="00B970CD" w:rsidRPr="008C60C2">
        <w:rPr>
          <w:iCs/>
        </w:rPr>
        <w:t xml:space="preserve">  </w:t>
      </w:r>
    </w:p>
    <w:p w14:paraId="2F99C0EA" w14:textId="2E63A63B" w:rsidR="00A00E4C" w:rsidRPr="008C60C2" w:rsidRDefault="00A00E4C" w:rsidP="00C947AF">
      <w:pPr>
        <w:spacing w:line="480" w:lineRule="auto"/>
      </w:pPr>
      <w:r w:rsidRPr="008C60C2">
        <w:rPr>
          <w:iCs/>
        </w:rPr>
        <w:tab/>
      </w:r>
      <w:r w:rsidR="00ED1714">
        <w:rPr>
          <w:iCs/>
        </w:rPr>
        <w:t xml:space="preserve">The </w:t>
      </w:r>
      <w:r w:rsidR="003B60FD" w:rsidRPr="008C60C2">
        <w:rPr>
          <w:iCs/>
        </w:rPr>
        <w:t xml:space="preserve">more unique provisions </w:t>
      </w:r>
      <w:r w:rsidR="00ED1714">
        <w:rPr>
          <w:iCs/>
        </w:rPr>
        <w:t>included in Alaska’s IFQ program</w:t>
      </w:r>
      <w:r w:rsidR="00ED1714" w:rsidRPr="008C60C2">
        <w:rPr>
          <w:iCs/>
        </w:rPr>
        <w:t xml:space="preserve"> </w:t>
      </w:r>
      <w:r w:rsidR="001257D8" w:rsidRPr="008C60C2">
        <w:rPr>
          <w:iCs/>
        </w:rPr>
        <w:t>expanded upon below</w:t>
      </w:r>
      <w:r w:rsidR="003B60FD" w:rsidRPr="008C60C2">
        <w:rPr>
          <w:iCs/>
        </w:rPr>
        <w:t xml:space="preserve"> were influenced by</w:t>
      </w:r>
      <w:r w:rsidR="00F57B21" w:rsidRPr="008C60C2">
        <w:t xml:space="preserve"> </w:t>
      </w:r>
      <w:r w:rsidR="003657B8" w:rsidRPr="008C60C2">
        <w:t>t</w:t>
      </w:r>
      <w:r w:rsidR="00DF3F92" w:rsidRPr="008C60C2">
        <w:t>he nature of the Alaskan halibut fleet</w:t>
      </w:r>
      <w:r w:rsidR="00ED1714">
        <w:t>, which was</w:t>
      </w:r>
      <w:r w:rsidRPr="008C60C2">
        <w:t xml:space="preserve"> dominated by independent harvesters</w:t>
      </w:r>
      <w:r w:rsidR="00ED1714">
        <w:t>,</w:t>
      </w:r>
      <w:r w:rsidRPr="008C60C2">
        <w:t xml:space="preserve"> making </w:t>
      </w:r>
      <w:r w:rsidR="00A154EC" w:rsidRPr="008C60C2">
        <w:t xml:space="preserve">it difficult to garner support for a property </w:t>
      </w:r>
      <w:r w:rsidRPr="008C60C2">
        <w:t>regime (</w:t>
      </w:r>
      <w:proofErr w:type="spellStart"/>
      <w:r w:rsidRPr="008C60C2">
        <w:t>Alcock</w:t>
      </w:r>
      <w:proofErr w:type="spellEnd"/>
      <w:r w:rsidRPr="008C60C2">
        <w:t xml:space="preserve"> 2006). As one fishery manager explained:</w:t>
      </w:r>
    </w:p>
    <w:p w14:paraId="300065F8" w14:textId="7FA5C782" w:rsidR="00A00E4C" w:rsidRPr="008C60C2" w:rsidRDefault="00A00E4C" w:rsidP="00A94EAC">
      <w:pPr>
        <w:ind w:left="720"/>
        <w:rPr>
          <w:i/>
        </w:rPr>
      </w:pPr>
      <w:r w:rsidRPr="008C60C2">
        <w:rPr>
          <w:i/>
        </w:rPr>
        <w:t>“</w:t>
      </w:r>
      <w:r w:rsidRPr="008C60C2">
        <w:rPr>
          <w:rFonts w:eastAsia="Times New Roman"/>
          <w:i/>
        </w:rPr>
        <w:t>Anyone could jump in a skiff and catch halibut</w:t>
      </w:r>
      <w:r w:rsidR="00DF3F92" w:rsidRPr="008C60C2">
        <w:rPr>
          <w:rFonts w:eastAsia="Times New Roman"/>
          <w:i/>
        </w:rPr>
        <w:t>,</w:t>
      </w:r>
      <w:r w:rsidRPr="008C60C2">
        <w:rPr>
          <w:rFonts w:eastAsia="Times New Roman"/>
          <w:i/>
        </w:rPr>
        <w:t xml:space="preserve"> and so implementing a catch share program in response to all of the normal problems in the fishery that catch share programs ar</w:t>
      </w:r>
      <w:r w:rsidR="00A154EC" w:rsidRPr="008C60C2">
        <w:rPr>
          <w:rFonts w:eastAsia="Times New Roman"/>
          <w:i/>
        </w:rPr>
        <w:t xml:space="preserve">e meant to address was you know…it </w:t>
      </w:r>
      <w:r w:rsidRPr="008C60C2">
        <w:rPr>
          <w:rFonts w:eastAsia="Times New Roman"/>
          <w:i/>
        </w:rPr>
        <w:t>seemed good from a management perspective but because there were so many participants in a fishery and such a diverse fleet it was challenging to develop and implement a program and then of course figure out eligibility for qualification of quota share and all of those things.”</w:t>
      </w:r>
    </w:p>
    <w:p w14:paraId="1643517C" w14:textId="77777777" w:rsidR="00A00E4C" w:rsidRPr="008C60C2" w:rsidRDefault="00A00E4C" w:rsidP="00A94EAC">
      <w:pPr>
        <w:ind w:left="720"/>
        <w:rPr>
          <w:i/>
        </w:rPr>
      </w:pPr>
    </w:p>
    <w:p w14:paraId="754AB9C5" w14:textId="46B61C7B" w:rsidR="00CF5CB7" w:rsidRPr="008C60C2" w:rsidRDefault="00DF3F92" w:rsidP="00A94EAC">
      <w:pPr>
        <w:spacing w:line="480" w:lineRule="auto"/>
      </w:pPr>
      <w:r w:rsidRPr="008C60C2">
        <w:t>The</w:t>
      </w:r>
      <w:r w:rsidR="0020142D" w:rsidRPr="008C60C2">
        <w:rPr>
          <w:color w:val="000000" w:themeColor="text1"/>
        </w:rPr>
        <w:t xml:space="preserve"> </w:t>
      </w:r>
      <w:r w:rsidR="00FD6D5B" w:rsidRPr="008C60C2">
        <w:rPr>
          <w:color w:val="000000" w:themeColor="text1"/>
        </w:rPr>
        <w:t xml:space="preserve">record of </w:t>
      </w:r>
      <w:r w:rsidR="0020142D" w:rsidRPr="008C60C2">
        <w:rPr>
          <w:color w:val="000000" w:themeColor="text1"/>
        </w:rPr>
        <w:t>public commen</w:t>
      </w:r>
      <w:r w:rsidR="00FD6D5B" w:rsidRPr="008C60C2">
        <w:rPr>
          <w:color w:val="000000" w:themeColor="text1"/>
        </w:rPr>
        <w:t xml:space="preserve">tary filed with the Federal Register (see </w:t>
      </w:r>
      <w:r w:rsidR="00FD6D5B" w:rsidRPr="008C60C2">
        <w:t xml:space="preserve">Pacific Halibut Fisheries 1993, 5983-5987) </w:t>
      </w:r>
      <w:r w:rsidR="00ED1714">
        <w:t xml:space="preserve">also </w:t>
      </w:r>
      <w:r w:rsidR="00D825E5" w:rsidRPr="008C60C2">
        <w:rPr>
          <w:color w:val="000000" w:themeColor="text1"/>
        </w:rPr>
        <w:t xml:space="preserve">provides insight to the politics of the IFQ proposal </w:t>
      </w:r>
      <w:r w:rsidR="00CF5CB7" w:rsidRPr="008C60C2">
        <w:rPr>
          <w:color w:val="000000" w:themeColor="text1"/>
        </w:rPr>
        <w:t xml:space="preserve">where </w:t>
      </w:r>
      <w:r w:rsidRPr="008C60C2">
        <w:rPr>
          <w:color w:val="000000" w:themeColor="text1"/>
        </w:rPr>
        <w:t xml:space="preserve">individuals </w:t>
      </w:r>
      <w:r w:rsidR="00CF5CB7" w:rsidRPr="008C60C2">
        <w:rPr>
          <w:color w:val="000000" w:themeColor="text1"/>
        </w:rPr>
        <w:t>vocalized their concern</w:t>
      </w:r>
      <w:r w:rsidR="00FD6D5B" w:rsidRPr="008C60C2">
        <w:rPr>
          <w:color w:val="000000" w:themeColor="text1"/>
        </w:rPr>
        <w:t xml:space="preserve"> over the </w:t>
      </w:r>
      <w:r w:rsidR="007F4A58" w:rsidRPr="008C60C2">
        <w:rPr>
          <w:color w:val="000000" w:themeColor="text1"/>
        </w:rPr>
        <w:t xml:space="preserve">fairness </w:t>
      </w:r>
      <w:r w:rsidR="00641175" w:rsidRPr="008C60C2">
        <w:rPr>
          <w:color w:val="000000" w:themeColor="text1"/>
        </w:rPr>
        <w:t>and potential effects o</w:t>
      </w:r>
      <w:r w:rsidR="00FD6D5B" w:rsidRPr="008C60C2">
        <w:rPr>
          <w:color w:val="000000" w:themeColor="text1"/>
        </w:rPr>
        <w:t>f the state’s proposed IFQ policy</w:t>
      </w:r>
      <w:r w:rsidR="00CF5CB7" w:rsidRPr="008C60C2">
        <w:rPr>
          <w:color w:val="000000" w:themeColor="text1"/>
        </w:rPr>
        <w:t xml:space="preserve">: </w:t>
      </w:r>
    </w:p>
    <w:p w14:paraId="249602FE" w14:textId="0FE87FAA" w:rsidR="00CF5CB7" w:rsidRPr="008C60C2" w:rsidRDefault="00CF5CB7" w:rsidP="00974C8F">
      <w:pPr>
        <w:widowControl w:val="0"/>
        <w:autoSpaceDE w:val="0"/>
        <w:autoSpaceDN w:val="0"/>
        <w:adjustRightInd w:val="0"/>
        <w:ind w:left="720"/>
        <w:rPr>
          <w:i/>
          <w:color w:val="000000" w:themeColor="text1"/>
        </w:rPr>
      </w:pPr>
      <w:r w:rsidRPr="008C60C2">
        <w:rPr>
          <w:i/>
          <w:color w:val="000000" w:themeColor="text1"/>
        </w:rPr>
        <w:t>“The IFQ plan is unfair because it would take a public resource worth millions of dollars that every</w:t>
      </w:r>
      <w:r w:rsidR="007F4A58" w:rsidRPr="008C60C2">
        <w:rPr>
          <w:i/>
          <w:color w:val="000000" w:themeColor="text1"/>
        </w:rPr>
        <w:t>one</w:t>
      </w:r>
      <w:r w:rsidRPr="008C60C2">
        <w:rPr>
          <w:i/>
          <w:color w:val="000000" w:themeColor="text1"/>
        </w:rPr>
        <w:t xml:space="preserve"> has access to and give it to a privileged few. This would unfairly force traditional small-boat fishermen out of the fishery and replace them with large corporations, or like other limited entry programs, will result in rich doctors and lawyers having the permits.”</w:t>
      </w:r>
    </w:p>
    <w:p w14:paraId="7EFBA754" w14:textId="77777777" w:rsidR="00CF5CB7" w:rsidRPr="008C60C2" w:rsidRDefault="00CF5CB7" w:rsidP="00974C8F">
      <w:pPr>
        <w:widowControl w:val="0"/>
        <w:autoSpaceDE w:val="0"/>
        <w:autoSpaceDN w:val="0"/>
        <w:adjustRightInd w:val="0"/>
        <w:ind w:firstLine="720"/>
        <w:rPr>
          <w:i/>
          <w:color w:val="000000" w:themeColor="text1"/>
        </w:rPr>
      </w:pPr>
    </w:p>
    <w:p w14:paraId="05DDC402" w14:textId="0B5F35C8" w:rsidR="00957897" w:rsidRPr="008C60C2" w:rsidRDefault="00957897" w:rsidP="00974C8F">
      <w:pPr>
        <w:widowControl w:val="0"/>
        <w:autoSpaceDE w:val="0"/>
        <w:autoSpaceDN w:val="0"/>
        <w:adjustRightInd w:val="0"/>
        <w:ind w:left="720"/>
        <w:rPr>
          <w:i/>
          <w:color w:val="000000" w:themeColor="text1"/>
        </w:rPr>
      </w:pPr>
      <w:r w:rsidRPr="008C60C2">
        <w:rPr>
          <w:i/>
          <w:color w:val="000000" w:themeColor="text1"/>
        </w:rPr>
        <w:t>“The IFQ program does not privatize ownership rights to individual fish stocks but only to the right to harvest certain species. Therefore, the ‘race-for-fish</w:t>
      </w:r>
      <w:r w:rsidR="00606314">
        <w:rPr>
          <w:i/>
          <w:color w:val="000000" w:themeColor="text1"/>
        </w:rPr>
        <w:t>’</w:t>
      </w:r>
      <w:r w:rsidRPr="008C60C2">
        <w:rPr>
          <w:i/>
          <w:color w:val="000000" w:themeColor="text1"/>
        </w:rPr>
        <w:t xml:space="preserve"> problem is not solved but limited to a privileged and protected group.”</w:t>
      </w:r>
    </w:p>
    <w:p w14:paraId="222AB0EC" w14:textId="77777777" w:rsidR="00957897" w:rsidRPr="008C60C2" w:rsidRDefault="00957897" w:rsidP="00974C8F">
      <w:pPr>
        <w:widowControl w:val="0"/>
        <w:autoSpaceDE w:val="0"/>
        <w:autoSpaceDN w:val="0"/>
        <w:adjustRightInd w:val="0"/>
        <w:ind w:left="720" w:firstLine="720"/>
        <w:rPr>
          <w:i/>
          <w:color w:val="000000" w:themeColor="text1"/>
        </w:rPr>
      </w:pPr>
    </w:p>
    <w:p w14:paraId="76F8D622" w14:textId="02C28A06" w:rsidR="00AF3BDF" w:rsidRPr="008C60C2" w:rsidRDefault="00957897" w:rsidP="000033B9">
      <w:pPr>
        <w:widowControl w:val="0"/>
        <w:autoSpaceDE w:val="0"/>
        <w:autoSpaceDN w:val="0"/>
        <w:adjustRightInd w:val="0"/>
        <w:ind w:left="720"/>
        <w:rPr>
          <w:i/>
          <w:color w:val="000000" w:themeColor="text1"/>
        </w:rPr>
      </w:pPr>
      <w:r w:rsidRPr="008C60C2">
        <w:rPr>
          <w:i/>
          <w:color w:val="000000" w:themeColor="text1"/>
        </w:rPr>
        <w:t>“The IFQ system would be extremely detrimental to Alaskans residing in coastal communities. The halibut fishery is characterized by a large diversified fleet of relatively small vessels that are based in, and deliver their catch to, numerous ports within Alaska. Alaskan coastal communities are economically dependent on this large fleet of small family-owned fishing vessels.”</w:t>
      </w:r>
    </w:p>
    <w:p w14:paraId="7C35AAF1" w14:textId="77777777" w:rsidR="000033B9" w:rsidRPr="008C60C2" w:rsidRDefault="000033B9" w:rsidP="000033B9">
      <w:pPr>
        <w:widowControl w:val="0"/>
        <w:autoSpaceDE w:val="0"/>
        <w:autoSpaceDN w:val="0"/>
        <w:adjustRightInd w:val="0"/>
        <w:ind w:left="720"/>
        <w:rPr>
          <w:i/>
          <w:color w:val="000000" w:themeColor="text1"/>
        </w:rPr>
      </w:pPr>
    </w:p>
    <w:p w14:paraId="12D2AEB0" w14:textId="668F2A94" w:rsidR="00AF3BDF" w:rsidRPr="008C60C2" w:rsidRDefault="007F4A58" w:rsidP="00A94EAC">
      <w:pPr>
        <w:widowControl w:val="0"/>
        <w:autoSpaceDE w:val="0"/>
        <w:autoSpaceDN w:val="0"/>
        <w:adjustRightInd w:val="0"/>
        <w:spacing w:line="480" w:lineRule="auto"/>
        <w:ind w:firstLine="720"/>
      </w:pPr>
      <w:r w:rsidRPr="008C60C2">
        <w:t>To critics of privatization the concerns listed above are expected</w:t>
      </w:r>
      <w:r w:rsidR="00D46849" w:rsidRPr="008C60C2">
        <w:t xml:space="preserve"> because the distribution </w:t>
      </w:r>
      <w:r w:rsidR="00D46849" w:rsidRPr="008C60C2">
        <w:lastRenderedPageBreak/>
        <w:t>of limited use rights necessarily restricts access to the resource and redistributes wealth to only a few (Copes 1986).</w:t>
      </w:r>
      <w:r w:rsidRPr="008C60C2">
        <w:t xml:space="preserve"> However, the NPFMC’s </w:t>
      </w:r>
      <w:r w:rsidR="003D7262" w:rsidRPr="008C60C2">
        <w:t>final design for the I</w:t>
      </w:r>
      <w:r w:rsidR="00597D2A" w:rsidRPr="008C60C2">
        <w:t>FQ</w:t>
      </w:r>
      <w:r w:rsidR="003D7262" w:rsidRPr="008C60C2">
        <w:t xml:space="preserve"> program</w:t>
      </w:r>
      <w:r w:rsidRPr="008C60C2">
        <w:t xml:space="preserve"> contradicts the expectations of both privatization’s proponents and critics alike. </w:t>
      </w:r>
      <w:r w:rsidR="00D825E5" w:rsidRPr="008C60C2">
        <w:t>T</w:t>
      </w:r>
      <w:r w:rsidR="00D70BBE" w:rsidRPr="008C60C2">
        <w:t>hree</w:t>
      </w:r>
      <w:r w:rsidR="00AF3BDF" w:rsidRPr="008C60C2">
        <w:t xml:space="preserve"> excerpts from </w:t>
      </w:r>
      <w:r w:rsidR="0031070D" w:rsidRPr="008C60C2">
        <w:t>NMFS</w:t>
      </w:r>
      <w:r w:rsidR="00AF3BDF" w:rsidRPr="008C60C2">
        <w:t xml:space="preserve">’s filings with the Federal Register </w:t>
      </w:r>
      <w:r w:rsidR="00D70BBE" w:rsidRPr="008C60C2">
        <w:rPr>
          <w:color w:val="000000" w:themeColor="text1"/>
        </w:rPr>
        <w:t xml:space="preserve">(see </w:t>
      </w:r>
      <w:r w:rsidR="00D70BBE" w:rsidRPr="008C60C2">
        <w:t xml:space="preserve">Pacific Halibut Fisheries 1993, 5983-5987) </w:t>
      </w:r>
      <w:r w:rsidR="00D825E5" w:rsidRPr="008C60C2">
        <w:t>illustrate this point</w:t>
      </w:r>
      <w:r w:rsidR="00AF3BDF" w:rsidRPr="008C60C2">
        <w:t xml:space="preserve">: </w:t>
      </w:r>
    </w:p>
    <w:p w14:paraId="378459F9" w14:textId="2D289E92" w:rsidR="00AF3BDF" w:rsidRPr="008C60C2" w:rsidRDefault="00AF3BDF" w:rsidP="00AF3BDF">
      <w:pPr>
        <w:widowControl w:val="0"/>
        <w:autoSpaceDE w:val="0"/>
        <w:autoSpaceDN w:val="0"/>
        <w:adjustRightInd w:val="0"/>
        <w:ind w:left="720"/>
        <w:rPr>
          <w:i/>
        </w:rPr>
      </w:pPr>
      <w:r w:rsidRPr="008C60C2">
        <w:rPr>
          <w:i/>
        </w:rPr>
        <w:t xml:space="preserve">“To be consistent with the "fairness and equity" criterion, an allocation should be rationally connected with the achievement of </w:t>
      </w:r>
      <w:r w:rsidR="001257D8" w:rsidRPr="008C60C2">
        <w:rPr>
          <w:i/>
        </w:rPr>
        <w:t xml:space="preserve">[optimal yield] </w:t>
      </w:r>
      <w:r w:rsidR="00E47FE6" w:rsidRPr="008C60C2">
        <w:rPr>
          <w:i/>
        </w:rPr>
        <w:t>OY</w:t>
      </w:r>
      <w:r w:rsidRPr="008C60C2">
        <w:rPr>
          <w:i/>
        </w:rPr>
        <w:t xml:space="preserve"> or with the furtherance of a legitimate </w:t>
      </w:r>
      <w:r w:rsidR="001257D8" w:rsidRPr="008C60C2">
        <w:rPr>
          <w:i/>
        </w:rPr>
        <w:t xml:space="preserve">[fisheries management plan] </w:t>
      </w:r>
      <w:r w:rsidR="00E47FE6" w:rsidRPr="008C60C2">
        <w:rPr>
          <w:i/>
        </w:rPr>
        <w:t xml:space="preserve">FMP </w:t>
      </w:r>
      <w:r w:rsidRPr="008C60C2">
        <w:rPr>
          <w:i/>
        </w:rPr>
        <w:t xml:space="preserve">objective. Otherwise, the inherent advantaging of one group to the detriment of another would be without cause. In addition, an allocation of fishing privileges may impose hardships on one group if they are outweighed by the total benefits received by another group.” </w:t>
      </w:r>
    </w:p>
    <w:p w14:paraId="6B7C7C99" w14:textId="77777777" w:rsidR="00AF3BDF" w:rsidRPr="008C60C2" w:rsidRDefault="00AF3BDF" w:rsidP="00AF3BDF">
      <w:pPr>
        <w:widowControl w:val="0"/>
        <w:autoSpaceDE w:val="0"/>
        <w:autoSpaceDN w:val="0"/>
        <w:adjustRightInd w:val="0"/>
        <w:ind w:left="720"/>
        <w:rPr>
          <w:i/>
        </w:rPr>
      </w:pPr>
    </w:p>
    <w:p w14:paraId="21C4DCF0" w14:textId="6A140BD6" w:rsidR="00AF3BDF" w:rsidRPr="008C60C2" w:rsidRDefault="00AF3BDF" w:rsidP="00AF3BDF">
      <w:pPr>
        <w:widowControl w:val="0"/>
        <w:autoSpaceDE w:val="0"/>
        <w:autoSpaceDN w:val="0"/>
        <w:adjustRightInd w:val="0"/>
        <w:ind w:left="720"/>
        <w:rPr>
          <w:i/>
        </w:rPr>
      </w:pPr>
      <w:r w:rsidRPr="008C60C2">
        <w:rPr>
          <w:i/>
        </w:rPr>
        <w:t>“As indicated in the</w:t>
      </w:r>
      <w:r w:rsidR="00DE242F" w:rsidRPr="008C60C2">
        <w:rPr>
          <w:i/>
        </w:rPr>
        <w:t xml:space="preserve"> Final Supplemental Environmental Impact Statement</w:t>
      </w:r>
      <w:r w:rsidRPr="008C60C2">
        <w:rPr>
          <w:i/>
        </w:rPr>
        <w:t xml:space="preserve"> </w:t>
      </w:r>
      <w:r w:rsidR="00DE242F" w:rsidRPr="008C60C2">
        <w:rPr>
          <w:i/>
        </w:rPr>
        <w:t>(</w:t>
      </w:r>
      <w:r w:rsidRPr="008C60C2">
        <w:rPr>
          <w:i/>
        </w:rPr>
        <w:t>FEIS</w:t>
      </w:r>
      <w:r w:rsidR="00DE242F" w:rsidRPr="008C60C2">
        <w:rPr>
          <w:i/>
        </w:rPr>
        <w:t>)</w:t>
      </w:r>
      <w:r w:rsidR="002F2192" w:rsidRPr="008C60C2">
        <w:rPr>
          <w:i/>
        </w:rPr>
        <w:t xml:space="preserve"> </w:t>
      </w:r>
      <w:r w:rsidRPr="008C60C2">
        <w:rPr>
          <w:i/>
        </w:rPr>
        <w:t xml:space="preserve">(sec. 6.1), economic benefits to the United States are expected from the IFQ program. Although they are not maximized in deference to social concerns.” </w:t>
      </w:r>
    </w:p>
    <w:p w14:paraId="185CB7A2" w14:textId="77777777" w:rsidR="00AF3BDF" w:rsidRPr="008C60C2" w:rsidRDefault="00AF3BDF" w:rsidP="00AF3BDF">
      <w:pPr>
        <w:widowControl w:val="0"/>
        <w:autoSpaceDE w:val="0"/>
        <w:autoSpaceDN w:val="0"/>
        <w:adjustRightInd w:val="0"/>
        <w:ind w:left="720"/>
        <w:rPr>
          <w:i/>
        </w:rPr>
      </w:pPr>
    </w:p>
    <w:p w14:paraId="3A910018" w14:textId="6FA0F519" w:rsidR="003142C7" w:rsidRPr="008C60C2" w:rsidRDefault="00AF3BDF" w:rsidP="00AF3BDF">
      <w:pPr>
        <w:widowControl w:val="0"/>
        <w:autoSpaceDE w:val="0"/>
        <w:autoSpaceDN w:val="0"/>
        <w:adjustRightInd w:val="0"/>
        <w:ind w:left="720"/>
        <w:rPr>
          <w:i/>
        </w:rPr>
      </w:pPr>
      <w:r w:rsidRPr="008C60C2">
        <w:rPr>
          <w:i/>
        </w:rPr>
        <w:t>“Consideration of the social and cultural framework of the fishery resulted in numerous constraints imposed on the transfer and use of quota shares and IFQ</w:t>
      </w:r>
      <w:r w:rsidR="00F32B7F" w:rsidRPr="008C60C2">
        <w:rPr>
          <w:rFonts w:eastAsia="MS Mincho"/>
          <w:i/>
        </w:rPr>
        <w:t xml:space="preserve">. </w:t>
      </w:r>
      <w:r w:rsidRPr="008C60C2">
        <w:rPr>
          <w:i/>
        </w:rPr>
        <w:t>These constraints will be costly in terms of foregone economic efficiency of the fleet but are nevertheless necessary to prevent undue disruption in the social and cultural framework of the halibut and sablefish fisheries.”</w:t>
      </w:r>
    </w:p>
    <w:p w14:paraId="7A32743B" w14:textId="77777777" w:rsidR="001257D8" w:rsidRPr="008C60C2" w:rsidRDefault="001257D8" w:rsidP="008C60C2">
      <w:pPr>
        <w:widowControl w:val="0"/>
        <w:autoSpaceDE w:val="0"/>
        <w:autoSpaceDN w:val="0"/>
        <w:adjustRightInd w:val="0"/>
        <w:ind w:left="720"/>
      </w:pPr>
    </w:p>
    <w:p w14:paraId="7CA1E29B" w14:textId="1E4A127E" w:rsidR="001257D8" w:rsidRPr="008C60C2" w:rsidRDefault="00596D5A" w:rsidP="00596D5A">
      <w:pPr>
        <w:widowControl w:val="0"/>
        <w:autoSpaceDE w:val="0"/>
        <w:autoSpaceDN w:val="0"/>
        <w:adjustRightInd w:val="0"/>
        <w:spacing w:line="480" w:lineRule="auto"/>
        <w:ind w:firstLine="720"/>
      </w:pPr>
      <w:r>
        <w:t>Reflecting other international</w:t>
      </w:r>
      <w:r w:rsidRPr="008C60C2">
        <w:t xml:space="preserve"> quota programs</w:t>
      </w:r>
      <w:r>
        <w:t xml:space="preserve">, Alaska </w:t>
      </w:r>
      <w:r w:rsidRPr="008C60C2">
        <w:t>allocat</w:t>
      </w:r>
      <w:r>
        <w:t xml:space="preserve">ed </w:t>
      </w:r>
      <w:r w:rsidRPr="008C60C2">
        <w:t xml:space="preserve">quota shares to individual fishers on the basis of their past prosecution and tenure in the fishery. </w:t>
      </w:r>
      <w:r>
        <w:t xml:space="preserve">To receive initial quota shares, </w:t>
      </w:r>
      <w:r w:rsidRPr="003364FF">
        <w:t>f</w:t>
      </w:r>
      <w:r w:rsidRPr="008C60C2">
        <w:t xml:space="preserve">ishers </w:t>
      </w:r>
      <w:r>
        <w:t>needed to make</w:t>
      </w:r>
      <w:r w:rsidRPr="008C60C2">
        <w:t xml:space="preserve"> legal landings with fixed gear from 1988-1990. </w:t>
      </w:r>
      <w:r>
        <w:t>S</w:t>
      </w:r>
      <w:r w:rsidRPr="008C60C2">
        <w:t xml:space="preserve">imilar to Iceland, the first </w:t>
      </w:r>
      <w:r>
        <w:t xml:space="preserve">halibut </w:t>
      </w:r>
      <w:r w:rsidRPr="008C60C2">
        <w:t xml:space="preserve">allocations were based on the average weight of the historical catch for five out of six years during 1984-1990. This allowed individuals to choose their best five years within the given period to earn their assigned quota shares (NMFS 2016). </w:t>
      </w:r>
      <w:r w:rsidR="001257D8" w:rsidRPr="008C60C2">
        <w:t xml:space="preserve">The extended eligibility period for initial quota did not necessarily impact distributional outcomes, but it did increase the number of eligible fishers because individuals were not disqualified for a season where they did not fish due to necessary equipment repairs, illness, or other unforeseen circumstances. </w:t>
      </w:r>
    </w:p>
    <w:p w14:paraId="0C912CCD" w14:textId="3BC8F382" w:rsidR="009A1C61" w:rsidRPr="008C60C2" w:rsidRDefault="003D7262" w:rsidP="009A1C61">
      <w:pPr>
        <w:spacing w:line="480" w:lineRule="auto"/>
        <w:ind w:firstLine="720"/>
        <w:rPr>
          <w:color w:val="1D1D1D"/>
        </w:rPr>
      </w:pPr>
      <w:r w:rsidRPr="008C60C2">
        <w:lastRenderedPageBreak/>
        <w:t>Consistent with the arguments above from the regulatory filing, Alaska’s IFQ policy includes several unique features designed to protect the interests of local</w:t>
      </w:r>
      <w:r w:rsidR="00DF3F92" w:rsidRPr="008C60C2">
        <w:t xml:space="preserve"> communities and </w:t>
      </w:r>
      <w:r w:rsidR="00F536CA">
        <w:t>Alaskan operators</w:t>
      </w:r>
      <w:r w:rsidR="00DF3F92" w:rsidRPr="008C60C2">
        <w:t xml:space="preserve">. </w:t>
      </w:r>
      <w:r w:rsidR="00596D5A">
        <w:t xml:space="preserve">One interviewee explained “they [the NPFMC] needed to be sensitive to the fact that we are privatizing a commonly held resource.” </w:t>
      </w:r>
      <w:r w:rsidR="00596D5A">
        <w:rPr>
          <w:color w:val="1D1D1D"/>
        </w:rPr>
        <w:t>As a result</w:t>
      </w:r>
      <w:r w:rsidR="00596D5A" w:rsidRPr="008C60C2">
        <w:rPr>
          <w:color w:val="1D1D1D"/>
        </w:rPr>
        <w:t>, v</w:t>
      </w:r>
      <w:r w:rsidR="00596D5A" w:rsidRPr="008C60C2">
        <w:t>essel size classes were used to protect the diversity of the halibut and sablefish fleets by keeping a high number of i</w:t>
      </w:r>
      <w:r w:rsidR="00596D5A">
        <w:t>ndependent harvesters operating</w:t>
      </w:r>
      <w:r w:rsidR="00F34F7F" w:rsidRPr="008C60C2">
        <w:t xml:space="preserve">. </w:t>
      </w:r>
      <w:r w:rsidR="00AF2984" w:rsidRPr="008C60C2">
        <w:t xml:space="preserve">Alaska’s </w:t>
      </w:r>
      <w:r w:rsidR="00F41FD8" w:rsidRPr="008C60C2">
        <w:t xml:space="preserve">IFQ policy contains four vessel categories (A-D) for harvesting halibut quota shares and three (A-C) for harvesting sablefish quota shares that are determined by the length of the vessel (NMFS 2016, 24). A-shares are harvested on freezer vessels of any length; B-shares are harvested on vessels greater than 60’; C-shares are harvested on catcher vessels less than 60’ for sablefish and between 35’-60’ for halibut; D-shares are harvested on catcher vessels less than or equal to 35’ for halibut quota shares (NPFMC 2016, 25). </w:t>
      </w:r>
      <w:r w:rsidR="00FE5C50" w:rsidRPr="008C60C2">
        <w:t xml:space="preserve">A-shares to be harvested on freezer </w:t>
      </w:r>
      <w:proofErr w:type="spellStart"/>
      <w:r w:rsidR="00FE5C50" w:rsidRPr="008C60C2">
        <w:t>longliners</w:t>
      </w:r>
      <w:proofErr w:type="spellEnd"/>
      <w:r w:rsidR="00FE5C50" w:rsidRPr="008C60C2">
        <w:t xml:space="preserve"> that catch and process fish at sea may be owned by non-individual entities like corporations, but B, C, and D-shares for sablefish and halibut that are harvested with catcher vessels are only eligible to be owned by individuals.</w:t>
      </w:r>
      <w:r w:rsidR="00A00E4C" w:rsidRPr="008C60C2">
        <w:t xml:space="preserve"> </w:t>
      </w:r>
      <w:r w:rsidR="00A00E4C" w:rsidRPr="008C60C2">
        <w:rPr>
          <w:color w:val="1D1D1D"/>
        </w:rPr>
        <w:t>The allocation of A-shares to corporations reflected the fleet</w:t>
      </w:r>
      <w:r w:rsidR="003364FF">
        <w:rPr>
          <w:color w:val="1D1D1D"/>
        </w:rPr>
        <w:t>’s existing structure</w:t>
      </w:r>
      <w:r w:rsidR="00A00E4C" w:rsidRPr="008C60C2">
        <w:rPr>
          <w:color w:val="1D1D1D"/>
        </w:rPr>
        <w:t xml:space="preserve"> because freezer vessels are relatively large in size (120’ or greater) and a full crew is needed to operate them.</w:t>
      </w:r>
      <w:r w:rsidR="00A00E4C" w:rsidRPr="008C60C2">
        <w:t xml:space="preserve"> </w:t>
      </w:r>
      <w:r w:rsidR="00DE2D86" w:rsidRPr="008C60C2">
        <w:t xml:space="preserve">Interviewees described this </w:t>
      </w:r>
      <w:r w:rsidR="00F34F7F" w:rsidRPr="008C60C2">
        <w:t>feature</w:t>
      </w:r>
      <w:r w:rsidR="00DE2D86" w:rsidRPr="008C60C2">
        <w:t xml:space="preserve"> in their own terms stating,</w:t>
      </w:r>
      <w:r w:rsidR="00FE5C50" w:rsidRPr="008C60C2">
        <w:rPr>
          <w:color w:val="1D1D1D"/>
        </w:rPr>
        <w:t xml:space="preserve"> “</w:t>
      </w:r>
      <w:r w:rsidR="00FE5C50" w:rsidRPr="008C60C2">
        <w:rPr>
          <w:rFonts w:eastAsia="Times New Roman"/>
        </w:rPr>
        <w:t>the idea was to provide the most flexibility to the smaller operators thinking that in an IFQ system they may be potentially disadvantaged to purchase quota share,”</w:t>
      </w:r>
      <w:r w:rsidR="00DE2D86" w:rsidRPr="008C60C2">
        <w:t xml:space="preserve"> </w:t>
      </w:r>
      <w:r w:rsidR="00FE5C50" w:rsidRPr="008C60C2">
        <w:t xml:space="preserve">and that </w:t>
      </w:r>
      <w:r w:rsidR="00DE2D86" w:rsidRPr="008C60C2">
        <w:t>vessel size categories act as a “</w:t>
      </w:r>
      <w:r w:rsidR="00DE2D86" w:rsidRPr="008C60C2">
        <w:rPr>
          <w:color w:val="1D1D1D"/>
        </w:rPr>
        <w:t>vehicle for a lot of the sort of management of social or local regional economic impacts</w:t>
      </w:r>
      <w:r w:rsidR="00FE5C50" w:rsidRPr="008C60C2">
        <w:rPr>
          <w:color w:val="1D1D1D"/>
        </w:rPr>
        <w:t>.</w:t>
      </w:r>
      <w:r w:rsidR="00DE2D86" w:rsidRPr="008C60C2">
        <w:rPr>
          <w:color w:val="1D1D1D"/>
        </w:rPr>
        <w:t xml:space="preserve">” </w:t>
      </w:r>
    </w:p>
    <w:p w14:paraId="7C0B83FD" w14:textId="2962A67A" w:rsidR="00DE2D86" w:rsidRPr="008C60C2" w:rsidRDefault="00D825E5" w:rsidP="009A1C61">
      <w:pPr>
        <w:spacing w:line="480" w:lineRule="auto"/>
        <w:ind w:firstLine="720"/>
      </w:pPr>
      <w:r w:rsidRPr="008C60C2">
        <w:t>Further c</w:t>
      </w:r>
      <w:r w:rsidR="009A1C61" w:rsidRPr="008C60C2">
        <w:t>ontrasting the ideal economic model, the</w:t>
      </w:r>
      <w:r w:rsidR="00CE5F5E" w:rsidRPr="008C60C2">
        <w:t xml:space="preserve"> original regulations did not allow for quota shares to be transferred between vessel class sizes. In 1996, </w:t>
      </w:r>
      <w:r w:rsidR="009A1C61" w:rsidRPr="008C60C2">
        <w:t xml:space="preserve">however, </w:t>
      </w:r>
      <w:r w:rsidR="00CE5F5E" w:rsidRPr="008C60C2">
        <w:t xml:space="preserve">the NPFMC added an amendment that allowed for quota shares to be transferred down in vessel class size. </w:t>
      </w:r>
      <w:r w:rsidR="009A1C61" w:rsidRPr="008C60C2">
        <w:t>Th</w:t>
      </w:r>
      <w:r w:rsidR="007D0848" w:rsidRPr="008C60C2">
        <w:t xml:space="preserve">ese </w:t>
      </w:r>
      <w:r w:rsidR="007D0848" w:rsidRPr="008C60C2">
        <w:lastRenderedPageBreak/>
        <w:t xml:space="preserve">changes </w:t>
      </w:r>
      <w:r w:rsidR="003826D3" w:rsidRPr="008C60C2">
        <w:t xml:space="preserve">to </w:t>
      </w:r>
      <w:r w:rsidR="00CE5F5E" w:rsidRPr="008C60C2">
        <w:t xml:space="preserve">halibut and sablefish quota share </w:t>
      </w:r>
      <w:r w:rsidR="003826D3" w:rsidRPr="008C60C2">
        <w:t xml:space="preserve">transfer rules for </w:t>
      </w:r>
      <w:r w:rsidR="00CE5F5E" w:rsidRPr="008C60C2">
        <w:t>B, C, and D vessel class sizes</w:t>
      </w:r>
      <w:r w:rsidR="009A1C61" w:rsidRPr="008C60C2">
        <w:t xml:space="preserve"> </w:t>
      </w:r>
      <w:r w:rsidR="003826D3" w:rsidRPr="008C60C2">
        <w:t xml:space="preserve">offered the greatest flexibility to the </w:t>
      </w:r>
      <w:r w:rsidRPr="008C60C2">
        <w:t xml:space="preserve">smallest </w:t>
      </w:r>
      <w:r w:rsidR="003826D3" w:rsidRPr="008C60C2">
        <w:t xml:space="preserve">group of </w:t>
      </w:r>
      <w:r w:rsidRPr="008C60C2">
        <w:t>operating vessels (D-</w:t>
      </w:r>
      <w:r w:rsidR="00CE5F5E" w:rsidRPr="008C60C2">
        <w:t xml:space="preserve">shares) because quota shares </w:t>
      </w:r>
      <w:r w:rsidR="003826D3" w:rsidRPr="008C60C2">
        <w:t xml:space="preserve">can </w:t>
      </w:r>
      <w:r w:rsidR="00CE5F5E" w:rsidRPr="008C60C2">
        <w:t>be fished</w:t>
      </w:r>
      <w:r w:rsidR="009A1C61" w:rsidRPr="008C60C2">
        <w:t xml:space="preserve"> down in vessel size but not up</w:t>
      </w:r>
      <w:r w:rsidR="00CE5F5E" w:rsidRPr="008C60C2">
        <w:t xml:space="preserve"> </w:t>
      </w:r>
      <w:r w:rsidR="00CE5F5E" w:rsidRPr="008C60C2">
        <w:rPr>
          <w:color w:val="1D1D1D"/>
        </w:rPr>
        <w:t xml:space="preserve">(NMFS 2016, 20). </w:t>
      </w:r>
      <w:r w:rsidR="00CE5F5E" w:rsidRPr="008C60C2">
        <w:t xml:space="preserve">This provision </w:t>
      </w:r>
      <w:r w:rsidRPr="008C60C2">
        <w:t xml:space="preserve">works </w:t>
      </w:r>
      <w:r w:rsidR="00CE5F5E" w:rsidRPr="008C60C2">
        <w:t xml:space="preserve">to protect the smallest class of operating vessels </w:t>
      </w:r>
      <w:r w:rsidRPr="008C60C2">
        <w:t>that act</w:t>
      </w:r>
      <w:r w:rsidR="00CE5F5E" w:rsidRPr="008C60C2">
        <w:t xml:space="preserve"> as a proxy to represent costal Alaskan fishing communities.</w:t>
      </w:r>
      <w:r w:rsidR="00515F30" w:rsidRPr="008C60C2">
        <w:t xml:space="preserve"> </w:t>
      </w:r>
      <w:r w:rsidR="009A1C61" w:rsidRPr="008C60C2">
        <w:t>This rule contrasts New Zealand’s IVQ system where the primary restriction on quota transfers is that they cannot be sold or gifted to foreigners (</w:t>
      </w:r>
      <w:proofErr w:type="spellStart"/>
      <w:r w:rsidR="009A1C61" w:rsidRPr="008C60C2">
        <w:t>Arnason</w:t>
      </w:r>
      <w:proofErr w:type="spellEnd"/>
      <w:r w:rsidR="009A1C61" w:rsidRPr="008C60C2">
        <w:t xml:space="preserve"> </w:t>
      </w:r>
      <w:r w:rsidR="00DA5967" w:rsidRPr="008C60C2">
        <w:t>2005</w:t>
      </w:r>
      <w:r w:rsidR="009A1C61" w:rsidRPr="008C60C2">
        <w:t>).</w:t>
      </w:r>
    </w:p>
    <w:p w14:paraId="6D7BDC50" w14:textId="7BACA072" w:rsidR="00107A69" w:rsidRPr="008C60C2" w:rsidRDefault="00F1669A" w:rsidP="00B73B5F">
      <w:pPr>
        <w:widowControl w:val="0"/>
        <w:autoSpaceDE w:val="0"/>
        <w:autoSpaceDN w:val="0"/>
        <w:adjustRightInd w:val="0"/>
        <w:spacing w:line="480" w:lineRule="auto"/>
        <w:ind w:firstLine="720"/>
      </w:pPr>
      <w:r w:rsidRPr="008C60C2">
        <w:t xml:space="preserve">In order to maximize the number of </w:t>
      </w:r>
      <w:r w:rsidR="00F43D3E" w:rsidRPr="008C60C2">
        <w:t>p</w:t>
      </w:r>
      <w:r w:rsidR="00FE5C50" w:rsidRPr="008C60C2">
        <w:t>otential shareholders that would have access to the halibut fisheries</w:t>
      </w:r>
      <w:r w:rsidRPr="008C60C2">
        <w:t xml:space="preserve">, the </w:t>
      </w:r>
      <w:r w:rsidR="00FE5C50" w:rsidRPr="008C60C2">
        <w:t>NPFMC included the Modified Block Proposal</w:t>
      </w:r>
      <w:r w:rsidRPr="008C60C2">
        <w:t xml:space="preserve"> and</w:t>
      </w:r>
      <w:r w:rsidR="00107A69" w:rsidRPr="008C60C2">
        <w:t xml:space="preserve"> set low quota aggregation limits</w:t>
      </w:r>
      <w:r w:rsidR="00FE5C50" w:rsidRPr="008C60C2">
        <w:t xml:space="preserve"> to protect smaller entities and part-time fishers</w:t>
      </w:r>
      <w:r w:rsidRPr="008C60C2">
        <w:t xml:space="preserve"> (NPFMC 2016, 44)</w:t>
      </w:r>
      <w:r w:rsidR="00FE5C50" w:rsidRPr="008C60C2">
        <w:t xml:space="preserve">. </w:t>
      </w:r>
      <w:r w:rsidR="00C34A75" w:rsidRPr="008C60C2">
        <w:t xml:space="preserve">The Modified Block Proposal </w:t>
      </w:r>
      <w:r w:rsidR="003F1035" w:rsidRPr="008C60C2">
        <w:t>required</w:t>
      </w:r>
      <w:r w:rsidR="00C34A75" w:rsidRPr="008C60C2">
        <w:t xml:space="preserve"> initial allocations to fishers less than 20,000 lb. </w:t>
      </w:r>
      <w:r w:rsidR="003F1035" w:rsidRPr="008C60C2">
        <w:t>to be</w:t>
      </w:r>
      <w:r w:rsidR="00C34A75" w:rsidRPr="008C60C2">
        <w:t xml:space="preserve"> issued as a single block</w:t>
      </w:r>
      <w:r w:rsidR="003F1035" w:rsidRPr="008C60C2">
        <w:t xml:space="preserve"> of quota, whi</w:t>
      </w:r>
      <w:r w:rsidR="00D36455" w:rsidRPr="008C60C2">
        <w:t>le</w:t>
      </w:r>
      <w:r w:rsidR="00C34A75" w:rsidRPr="008C60C2">
        <w:t xml:space="preserve"> shares greater than 20,000 lb. were unblocked. Blocked quota shares cannot be separated, and they must be transferred as a whole unit. Fishers can own up to t</w:t>
      </w:r>
      <w:r w:rsidR="00F43D3E" w:rsidRPr="008C60C2">
        <w:t xml:space="preserve">hree </w:t>
      </w:r>
      <w:r w:rsidR="00C34A75" w:rsidRPr="008C60C2">
        <w:t xml:space="preserve">blocks of halibut </w:t>
      </w:r>
      <w:r w:rsidR="00F43D3E" w:rsidRPr="008C60C2">
        <w:t xml:space="preserve">quota per regulatory area, </w:t>
      </w:r>
      <w:r w:rsidR="00C34A75" w:rsidRPr="008C60C2">
        <w:t>and those fishers holding any amount of unblocked quota are capped at owning one block of quota per area (</w:t>
      </w:r>
      <w:r w:rsidR="00E0582E" w:rsidRPr="008C60C2">
        <w:t>NMFS 2015</w:t>
      </w:r>
      <w:r w:rsidR="00F43D3E" w:rsidRPr="008C60C2">
        <w:t>, 9</w:t>
      </w:r>
      <w:r w:rsidR="00C34A75" w:rsidRPr="008C60C2">
        <w:t>).</w:t>
      </w:r>
      <w:r w:rsidR="00107A69" w:rsidRPr="008C60C2">
        <w:t xml:space="preserve"> In Alaska, an individual may not own more than 1% of the TAC for sablefish and 1.5% for halibut. In the </w:t>
      </w:r>
      <w:r w:rsidR="00FD4838">
        <w:t>s</w:t>
      </w:r>
      <w:r w:rsidR="00FD4838" w:rsidRPr="008C60C2">
        <w:t xml:space="preserve">outheastern </w:t>
      </w:r>
      <w:r w:rsidR="00107A69" w:rsidRPr="008C60C2">
        <w:t xml:space="preserve">regulatory zones, the quota ownership limit was set even lower at .5% for halibut. This additional restriction was set in place because the </w:t>
      </w:r>
      <w:r w:rsidR="00FD4838">
        <w:t>s</w:t>
      </w:r>
      <w:r w:rsidR="00107A69" w:rsidRPr="008C60C2">
        <w:t>outheastern region of Alaska is home to several small fishing communities and has a high number of local operators.</w:t>
      </w:r>
      <w:r w:rsidR="00833E50" w:rsidRPr="008C60C2">
        <w:t xml:space="preserve"> </w:t>
      </w:r>
      <w:r w:rsidR="006E2786" w:rsidRPr="008C60C2">
        <w:t>While these aggregation limits are similar to British Columbia’s IVQ system, Alaska’s quota shares are tied to the individual and not t</w:t>
      </w:r>
      <w:r w:rsidR="00736B1E" w:rsidRPr="008C60C2">
        <w:t xml:space="preserve">o </w:t>
      </w:r>
      <w:r w:rsidR="006E2786" w:rsidRPr="008C60C2">
        <w:t>vesse</w:t>
      </w:r>
      <w:r w:rsidR="00736B1E" w:rsidRPr="008C60C2">
        <w:t>ls</w:t>
      </w:r>
      <w:r w:rsidR="00A0155A" w:rsidRPr="008C60C2">
        <w:t xml:space="preserve"> which protects against a person’s ability to consolidate quota shares under vessel purchases</w:t>
      </w:r>
      <w:r w:rsidR="00736B1E" w:rsidRPr="008C60C2">
        <w:t xml:space="preserve">. </w:t>
      </w:r>
    </w:p>
    <w:p w14:paraId="2E9EB928" w14:textId="1D369B5D" w:rsidR="00E52ADB" w:rsidRPr="008C60C2" w:rsidRDefault="00D80ED7" w:rsidP="00D80ED7">
      <w:pPr>
        <w:widowControl w:val="0"/>
        <w:autoSpaceDE w:val="0"/>
        <w:autoSpaceDN w:val="0"/>
        <w:adjustRightInd w:val="0"/>
        <w:spacing w:line="480" w:lineRule="auto"/>
        <w:ind w:firstLine="720"/>
        <w:rPr>
          <w:color w:val="1D1D1D"/>
        </w:rPr>
      </w:pPr>
      <w:r w:rsidRPr="008C60C2">
        <w:rPr>
          <w:color w:val="1D1D1D"/>
        </w:rPr>
        <w:t xml:space="preserve">Alaska’s IFQ program requires all new quota owners to be onboard the vessel during the time of harvest. Such a provision intends to prevent mailbox fishers—individuals that own quota </w:t>
      </w:r>
      <w:r w:rsidRPr="008C60C2">
        <w:rPr>
          <w:color w:val="1D1D1D"/>
        </w:rPr>
        <w:lastRenderedPageBreak/>
        <w:t>shares and profit from their ownership but do not harvest quota shares during the season—from taking over the fleet</w:t>
      </w:r>
      <w:r w:rsidR="00AC3EBD" w:rsidRPr="008C60C2">
        <w:rPr>
          <w:color w:val="1D1D1D"/>
        </w:rPr>
        <w:t xml:space="preserve"> </w:t>
      </w:r>
      <w:r w:rsidR="00FD4838">
        <w:rPr>
          <w:color w:val="1D1D1D"/>
        </w:rPr>
        <w:t>and</w:t>
      </w:r>
      <w:r w:rsidR="00FD4838" w:rsidRPr="008C60C2">
        <w:rPr>
          <w:color w:val="1D1D1D"/>
        </w:rPr>
        <w:t xml:space="preserve"> </w:t>
      </w:r>
      <w:r w:rsidR="00AC3EBD" w:rsidRPr="008C60C2">
        <w:rPr>
          <w:color w:val="1D1D1D"/>
        </w:rPr>
        <w:t>help support local fishing communities</w:t>
      </w:r>
      <w:r w:rsidRPr="008C60C2">
        <w:rPr>
          <w:color w:val="1D1D1D"/>
        </w:rPr>
        <w:t xml:space="preserve">. </w:t>
      </w:r>
      <w:r w:rsidR="00596D5A" w:rsidRPr="009B03BE">
        <w:rPr>
          <w:color w:val="1D1D1D"/>
        </w:rPr>
        <w:t>As one interviewee explained, “</w:t>
      </w:r>
      <w:r w:rsidR="00596D5A">
        <w:rPr>
          <w:color w:val="1D1D1D"/>
        </w:rPr>
        <w:t>t</w:t>
      </w:r>
      <w:r w:rsidR="00596D5A" w:rsidRPr="003A3A50">
        <w:rPr>
          <w:color w:val="1D1D1D"/>
        </w:rPr>
        <w:t>he owner onboard stuff was important to avoid what has now happened in British Columbia where it is just a share cropper fishery wh</w:t>
      </w:r>
      <w:r w:rsidR="00596D5A">
        <w:rPr>
          <w:color w:val="1D1D1D"/>
        </w:rPr>
        <w:t>ere all they do is lease it out,</w:t>
      </w:r>
      <w:r w:rsidR="00596D5A" w:rsidRPr="003A3A50">
        <w:rPr>
          <w:color w:val="1D1D1D"/>
        </w:rPr>
        <w:t>”</w:t>
      </w:r>
      <w:r w:rsidR="00596D5A">
        <w:rPr>
          <w:color w:val="1D1D1D"/>
        </w:rPr>
        <w:t xml:space="preserve"> and </w:t>
      </w:r>
      <w:r w:rsidR="00596D5A" w:rsidRPr="008C60C2">
        <w:t xml:space="preserve">over 79% of the province’s halibut TAC was leased on an annual basis by 2006 (Pinkerton and Edwards 2009). </w:t>
      </w:r>
      <w:r w:rsidR="00596D5A" w:rsidRPr="003A3A50">
        <w:rPr>
          <w:color w:val="1D1D1D"/>
        </w:rPr>
        <w:t xml:space="preserve"> However,</w:t>
      </w:r>
      <w:r w:rsidR="00596D5A" w:rsidRPr="009B03BE">
        <w:rPr>
          <w:color w:val="1D1D1D"/>
        </w:rPr>
        <w:t xml:space="preserve"> t</w:t>
      </w:r>
      <w:r w:rsidR="00596D5A" w:rsidRPr="00CE7E24">
        <w:rPr>
          <w:color w:val="1D1D1D"/>
        </w:rPr>
        <w:t>his rule does not apply to indiv</w:t>
      </w:r>
      <w:r w:rsidR="00596D5A" w:rsidRPr="00F61933">
        <w:rPr>
          <w:color w:val="1D1D1D"/>
        </w:rPr>
        <w:t>iduals that received initial</w:t>
      </w:r>
      <w:r w:rsidR="00596D5A">
        <w:rPr>
          <w:color w:val="1D1D1D"/>
        </w:rPr>
        <w:t xml:space="preserve"> shares who</w:t>
      </w:r>
      <w:r w:rsidR="00596D5A" w:rsidRPr="008C60C2">
        <w:rPr>
          <w:color w:val="1D1D1D"/>
        </w:rPr>
        <w:t xml:space="preserve"> can use a hired skipper. </w:t>
      </w:r>
      <w:r w:rsidRPr="008C60C2">
        <w:rPr>
          <w:color w:val="1D1D1D"/>
        </w:rPr>
        <w:t xml:space="preserve">This loophole was created for initial owners because at the time of the program’s implementation some halibut and sablefish fishers borrowed or fished on vessels that they did not own outright. The </w:t>
      </w:r>
      <w:r w:rsidR="00794D9B" w:rsidRPr="008C60C2">
        <w:rPr>
          <w:color w:val="1D1D1D"/>
        </w:rPr>
        <w:t>rule aimed</w:t>
      </w:r>
      <w:r w:rsidRPr="008C60C2">
        <w:rPr>
          <w:color w:val="1D1D1D"/>
        </w:rPr>
        <w:t xml:space="preserve"> to protect the existing harvesting practices of some of the fleet so as to not further disrupt the industry. </w:t>
      </w:r>
      <w:r w:rsidR="00C964A8" w:rsidRPr="008C60C2">
        <w:rPr>
          <w:color w:val="1D1D1D"/>
        </w:rPr>
        <w:t xml:space="preserve">Table </w:t>
      </w:r>
      <w:r w:rsidR="003364FF">
        <w:rPr>
          <w:color w:val="1D1D1D"/>
        </w:rPr>
        <w:t>3</w:t>
      </w:r>
      <w:r w:rsidR="003364FF" w:rsidRPr="008C60C2">
        <w:rPr>
          <w:color w:val="1D1D1D"/>
        </w:rPr>
        <w:t xml:space="preserve"> </w:t>
      </w:r>
      <w:r w:rsidR="00C964A8" w:rsidRPr="008C60C2">
        <w:rPr>
          <w:color w:val="1D1D1D"/>
        </w:rPr>
        <w:t xml:space="preserve">below compares the 2000 and 2014 year-end distribution of quota shares by owner type across all management areas in Alaska. </w:t>
      </w:r>
      <w:r w:rsidR="003826D3" w:rsidRPr="008C60C2">
        <w:rPr>
          <w:color w:val="1D1D1D"/>
        </w:rPr>
        <w:t>While the use of hired skippers in the halibut fishery has increased considerably since the program’s inception, partly due to the aging of initial recipients and an incentive for initial recipients to collect revenues for IFQ landings without incurring the cost or risks of harvesting (</w:t>
      </w:r>
      <w:proofErr w:type="spellStart"/>
      <w:r w:rsidR="003826D3" w:rsidRPr="008C60C2">
        <w:rPr>
          <w:color w:val="1D1D1D"/>
        </w:rPr>
        <w:t>Szymkowiak</w:t>
      </w:r>
      <w:proofErr w:type="spellEnd"/>
      <w:r w:rsidR="003826D3" w:rsidRPr="008C60C2">
        <w:rPr>
          <w:color w:val="1D1D1D"/>
        </w:rPr>
        <w:t xml:space="preserve"> and Himes-Cornell 2015, 2017), t</w:t>
      </w:r>
      <w:r w:rsidR="00C964A8" w:rsidRPr="008C60C2">
        <w:rPr>
          <w:color w:val="1D1D1D"/>
        </w:rPr>
        <w:t>hese data suggest that the active participation rule</w:t>
      </w:r>
      <w:r w:rsidR="000271AF" w:rsidRPr="008C60C2">
        <w:rPr>
          <w:color w:val="1D1D1D"/>
        </w:rPr>
        <w:t>s</w:t>
      </w:r>
      <w:r w:rsidR="00C964A8" w:rsidRPr="008C60C2">
        <w:rPr>
          <w:color w:val="1D1D1D"/>
        </w:rPr>
        <w:t xml:space="preserve"> included in Alaska’s halibut IFQ program</w:t>
      </w:r>
      <w:r w:rsidR="009A1C61" w:rsidRPr="008C60C2">
        <w:rPr>
          <w:color w:val="1D1D1D"/>
        </w:rPr>
        <w:t xml:space="preserve"> have been relatively effective</w:t>
      </w:r>
      <w:r w:rsidR="00C964A8" w:rsidRPr="008C60C2">
        <w:rPr>
          <w:color w:val="1D1D1D"/>
        </w:rPr>
        <w:t xml:space="preserve"> given that the largest portion of quota shares are owned by individuals. </w:t>
      </w:r>
    </w:p>
    <w:tbl>
      <w:tblPr>
        <w:tblStyle w:val="TableGrid"/>
        <w:tblW w:w="10791" w:type="dxa"/>
        <w:tblInd w:w="-536" w:type="dxa"/>
        <w:tblLayout w:type="fixed"/>
        <w:tblLook w:val="04A0" w:firstRow="1" w:lastRow="0" w:firstColumn="1" w:lastColumn="0" w:noHBand="0" w:noVBand="1"/>
      </w:tblPr>
      <w:tblGrid>
        <w:gridCol w:w="1521"/>
        <w:gridCol w:w="1350"/>
        <w:gridCol w:w="1363"/>
        <w:gridCol w:w="1427"/>
        <w:gridCol w:w="1440"/>
        <w:gridCol w:w="1170"/>
        <w:gridCol w:w="1226"/>
        <w:gridCol w:w="1294"/>
      </w:tblGrid>
      <w:tr w:rsidR="005E6207" w:rsidRPr="002261A6" w14:paraId="2E1FA677" w14:textId="77777777" w:rsidTr="008C60C2">
        <w:trPr>
          <w:trHeight w:val="456"/>
        </w:trPr>
        <w:tc>
          <w:tcPr>
            <w:tcW w:w="10791" w:type="dxa"/>
            <w:gridSpan w:val="8"/>
            <w:noWrap/>
            <w:hideMark/>
          </w:tcPr>
          <w:p w14:paraId="455A23E3" w14:textId="0FAE1451" w:rsidR="005E6207" w:rsidRPr="008C60C2" w:rsidRDefault="005E6207" w:rsidP="003364FF">
            <w:pPr>
              <w:widowControl w:val="0"/>
              <w:autoSpaceDE w:val="0"/>
              <w:autoSpaceDN w:val="0"/>
              <w:adjustRightInd w:val="0"/>
              <w:spacing w:line="480" w:lineRule="auto"/>
              <w:ind w:firstLine="720"/>
              <w:rPr>
                <w:b/>
                <w:bCs/>
                <w:color w:val="1D1D1D"/>
                <w:sz w:val="22"/>
                <w:szCs w:val="22"/>
              </w:rPr>
            </w:pPr>
            <w:r w:rsidRPr="008C60C2">
              <w:rPr>
                <w:b/>
                <w:bCs/>
                <w:color w:val="1D1D1D"/>
                <w:sz w:val="22"/>
                <w:szCs w:val="22"/>
              </w:rPr>
              <w:t xml:space="preserve">             Table </w:t>
            </w:r>
            <w:r w:rsidR="003364FF" w:rsidRPr="008C60C2">
              <w:rPr>
                <w:b/>
                <w:bCs/>
                <w:color w:val="1D1D1D"/>
                <w:sz w:val="22"/>
                <w:szCs w:val="22"/>
              </w:rPr>
              <w:t>3</w:t>
            </w:r>
            <w:r w:rsidRPr="008C60C2">
              <w:rPr>
                <w:b/>
                <w:bCs/>
                <w:color w:val="1D1D1D"/>
                <w:sz w:val="22"/>
                <w:szCs w:val="22"/>
              </w:rPr>
              <w:t>: Halibut Quota Share Holdings by Owner Type in 2000 and 2014</w:t>
            </w:r>
          </w:p>
        </w:tc>
      </w:tr>
      <w:tr w:rsidR="00D336D9" w:rsidRPr="002261A6" w14:paraId="130EB78A" w14:textId="77777777" w:rsidTr="00FC4E85">
        <w:trPr>
          <w:trHeight w:val="1673"/>
        </w:trPr>
        <w:tc>
          <w:tcPr>
            <w:tcW w:w="1521" w:type="dxa"/>
            <w:hideMark/>
          </w:tcPr>
          <w:p w14:paraId="0F41E565" w14:textId="25A843B7" w:rsidR="005E6207" w:rsidRPr="008C60C2" w:rsidRDefault="005E6207" w:rsidP="005E6207">
            <w:pPr>
              <w:widowControl w:val="0"/>
              <w:autoSpaceDE w:val="0"/>
              <w:autoSpaceDN w:val="0"/>
              <w:adjustRightInd w:val="0"/>
              <w:rPr>
                <w:b/>
                <w:bCs/>
                <w:color w:val="1D1D1D"/>
              </w:rPr>
            </w:pPr>
            <w:r w:rsidRPr="008C60C2">
              <w:rPr>
                <w:b/>
                <w:bCs/>
                <w:color w:val="1D1D1D"/>
              </w:rPr>
              <w:t>Area</w:t>
            </w:r>
            <w:r w:rsidR="009136EF" w:rsidRPr="008C60C2">
              <w:rPr>
                <w:b/>
                <w:bCs/>
                <w:color w:val="1D1D1D"/>
              </w:rPr>
              <w:t>s</w:t>
            </w:r>
          </w:p>
        </w:tc>
        <w:tc>
          <w:tcPr>
            <w:tcW w:w="1350" w:type="dxa"/>
            <w:hideMark/>
          </w:tcPr>
          <w:p w14:paraId="6E0A1613" w14:textId="77777777" w:rsidR="005E6207" w:rsidRPr="008C60C2" w:rsidRDefault="005E6207" w:rsidP="005E6207">
            <w:pPr>
              <w:widowControl w:val="0"/>
              <w:autoSpaceDE w:val="0"/>
              <w:autoSpaceDN w:val="0"/>
              <w:adjustRightInd w:val="0"/>
              <w:rPr>
                <w:b/>
                <w:bCs/>
                <w:color w:val="1D1D1D"/>
                <w:sz w:val="22"/>
                <w:szCs w:val="22"/>
              </w:rPr>
            </w:pPr>
            <w:r w:rsidRPr="008C60C2">
              <w:rPr>
                <w:b/>
                <w:bCs/>
                <w:color w:val="1D1D1D"/>
                <w:sz w:val="22"/>
                <w:szCs w:val="22"/>
              </w:rPr>
              <w:t>Owner Type</w:t>
            </w:r>
          </w:p>
        </w:tc>
        <w:tc>
          <w:tcPr>
            <w:tcW w:w="1363" w:type="dxa"/>
            <w:hideMark/>
          </w:tcPr>
          <w:p w14:paraId="13FDD48F" w14:textId="77777777" w:rsidR="005E6207" w:rsidRPr="008C60C2" w:rsidRDefault="005E6207" w:rsidP="005E6207">
            <w:pPr>
              <w:widowControl w:val="0"/>
              <w:autoSpaceDE w:val="0"/>
              <w:autoSpaceDN w:val="0"/>
              <w:adjustRightInd w:val="0"/>
              <w:rPr>
                <w:b/>
                <w:bCs/>
                <w:color w:val="1D1D1D"/>
                <w:sz w:val="22"/>
                <w:szCs w:val="22"/>
              </w:rPr>
            </w:pPr>
            <w:r w:rsidRPr="008C60C2">
              <w:rPr>
                <w:b/>
                <w:bCs/>
                <w:color w:val="1D1D1D"/>
                <w:sz w:val="22"/>
                <w:szCs w:val="22"/>
              </w:rPr>
              <w:t>2000 Total Quota Share Holdings</w:t>
            </w:r>
          </w:p>
        </w:tc>
        <w:tc>
          <w:tcPr>
            <w:tcW w:w="1427" w:type="dxa"/>
            <w:hideMark/>
          </w:tcPr>
          <w:p w14:paraId="0BD03CF5" w14:textId="77777777" w:rsidR="005E6207" w:rsidRPr="008C60C2" w:rsidRDefault="005E6207" w:rsidP="005E6207">
            <w:pPr>
              <w:widowControl w:val="0"/>
              <w:autoSpaceDE w:val="0"/>
              <w:autoSpaceDN w:val="0"/>
              <w:adjustRightInd w:val="0"/>
              <w:rPr>
                <w:b/>
                <w:bCs/>
                <w:color w:val="1D1D1D"/>
                <w:sz w:val="22"/>
                <w:szCs w:val="22"/>
              </w:rPr>
            </w:pPr>
            <w:r w:rsidRPr="008C60C2">
              <w:rPr>
                <w:b/>
                <w:bCs/>
                <w:color w:val="1D1D1D"/>
                <w:sz w:val="22"/>
                <w:szCs w:val="22"/>
              </w:rPr>
              <w:t>2014 Total Quota Share Holdings</w:t>
            </w:r>
          </w:p>
        </w:tc>
        <w:tc>
          <w:tcPr>
            <w:tcW w:w="1440" w:type="dxa"/>
            <w:hideMark/>
          </w:tcPr>
          <w:p w14:paraId="4EBF2FA9" w14:textId="77777777" w:rsidR="005E6207" w:rsidRPr="008C60C2" w:rsidRDefault="005E6207" w:rsidP="005E6207">
            <w:pPr>
              <w:widowControl w:val="0"/>
              <w:autoSpaceDE w:val="0"/>
              <w:autoSpaceDN w:val="0"/>
              <w:adjustRightInd w:val="0"/>
              <w:rPr>
                <w:b/>
                <w:bCs/>
                <w:color w:val="1D1D1D"/>
                <w:sz w:val="22"/>
                <w:szCs w:val="22"/>
              </w:rPr>
            </w:pPr>
            <w:r w:rsidRPr="008C60C2">
              <w:rPr>
                <w:b/>
                <w:bCs/>
                <w:color w:val="1D1D1D"/>
                <w:sz w:val="22"/>
                <w:szCs w:val="22"/>
              </w:rPr>
              <w:t>Change in Total Quota Share Holdings</w:t>
            </w:r>
          </w:p>
        </w:tc>
        <w:tc>
          <w:tcPr>
            <w:tcW w:w="1170" w:type="dxa"/>
            <w:hideMark/>
          </w:tcPr>
          <w:p w14:paraId="17944A20" w14:textId="77777777" w:rsidR="005E6207" w:rsidRPr="008C60C2" w:rsidRDefault="005E6207" w:rsidP="005E6207">
            <w:pPr>
              <w:widowControl w:val="0"/>
              <w:autoSpaceDE w:val="0"/>
              <w:autoSpaceDN w:val="0"/>
              <w:adjustRightInd w:val="0"/>
              <w:rPr>
                <w:b/>
                <w:bCs/>
                <w:color w:val="1D1D1D"/>
                <w:sz w:val="22"/>
                <w:szCs w:val="22"/>
              </w:rPr>
            </w:pPr>
            <w:r w:rsidRPr="008C60C2">
              <w:rPr>
                <w:b/>
                <w:bCs/>
                <w:color w:val="1D1D1D"/>
                <w:sz w:val="22"/>
                <w:szCs w:val="22"/>
              </w:rPr>
              <w:t>Change Total Quota Share Holdings (%)</w:t>
            </w:r>
          </w:p>
        </w:tc>
        <w:tc>
          <w:tcPr>
            <w:tcW w:w="1226" w:type="dxa"/>
            <w:hideMark/>
          </w:tcPr>
          <w:p w14:paraId="2EEC7E66" w14:textId="77777777" w:rsidR="005E6207" w:rsidRPr="008C60C2" w:rsidRDefault="005E6207" w:rsidP="005E6207">
            <w:pPr>
              <w:widowControl w:val="0"/>
              <w:autoSpaceDE w:val="0"/>
              <w:autoSpaceDN w:val="0"/>
              <w:adjustRightInd w:val="0"/>
              <w:rPr>
                <w:b/>
                <w:bCs/>
                <w:color w:val="1D1D1D"/>
                <w:sz w:val="22"/>
                <w:szCs w:val="22"/>
              </w:rPr>
            </w:pPr>
            <w:r w:rsidRPr="008C60C2">
              <w:rPr>
                <w:b/>
                <w:bCs/>
                <w:color w:val="1D1D1D"/>
                <w:sz w:val="22"/>
                <w:szCs w:val="22"/>
              </w:rPr>
              <w:t>2000 Quota Share Holdings (%)</w:t>
            </w:r>
          </w:p>
        </w:tc>
        <w:tc>
          <w:tcPr>
            <w:tcW w:w="1294" w:type="dxa"/>
            <w:hideMark/>
          </w:tcPr>
          <w:p w14:paraId="41B9E18D" w14:textId="77777777" w:rsidR="005E6207" w:rsidRPr="008C60C2" w:rsidRDefault="005E6207" w:rsidP="005E6207">
            <w:pPr>
              <w:widowControl w:val="0"/>
              <w:autoSpaceDE w:val="0"/>
              <w:autoSpaceDN w:val="0"/>
              <w:adjustRightInd w:val="0"/>
              <w:rPr>
                <w:b/>
                <w:bCs/>
                <w:color w:val="1D1D1D"/>
                <w:sz w:val="22"/>
                <w:szCs w:val="22"/>
              </w:rPr>
            </w:pPr>
            <w:r w:rsidRPr="008C60C2">
              <w:rPr>
                <w:b/>
                <w:bCs/>
                <w:color w:val="1D1D1D"/>
                <w:sz w:val="22"/>
                <w:szCs w:val="22"/>
              </w:rPr>
              <w:t>2014 Quota Share Holdings (%)</w:t>
            </w:r>
          </w:p>
        </w:tc>
      </w:tr>
      <w:tr w:rsidR="00D336D9" w:rsidRPr="002261A6" w14:paraId="484A928C" w14:textId="77777777" w:rsidTr="00FC4E85">
        <w:trPr>
          <w:trHeight w:val="456"/>
        </w:trPr>
        <w:tc>
          <w:tcPr>
            <w:tcW w:w="1521" w:type="dxa"/>
            <w:vMerge w:val="restart"/>
            <w:hideMark/>
          </w:tcPr>
          <w:p w14:paraId="36A3F064" w14:textId="77777777" w:rsidR="005E6207" w:rsidRPr="008C60C2" w:rsidRDefault="005E6207" w:rsidP="005E6207">
            <w:pPr>
              <w:widowControl w:val="0"/>
              <w:autoSpaceDE w:val="0"/>
              <w:autoSpaceDN w:val="0"/>
              <w:adjustRightInd w:val="0"/>
              <w:rPr>
                <w:color w:val="1D1D1D"/>
              </w:rPr>
            </w:pPr>
            <w:r w:rsidRPr="008C60C2">
              <w:rPr>
                <w:color w:val="1D1D1D"/>
              </w:rPr>
              <w:t>All Management Areas</w:t>
            </w:r>
          </w:p>
        </w:tc>
        <w:tc>
          <w:tcPr>
            <w:tcW w:w="1350" w:type="dxa"/>
            <w:noWrap/>
            <w:hideMark/>
          </w:tcPr>
          <w:p w14:paraId="4A49FC34"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Corporation</w:t>
            </w:r>
          </w:p>
        </w:tc>
        <w:tc>
          <w:tcPr>
            <w:tcW w:w="1363" w:type="dxa"/>
            <w:noWrap/>
            <w:hideMark/>
          </w:tcPr>
          <w:p w14:paraId="135D227F" w14:textId="27B11965"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68,389,866 </w:t>
            </w:r>
          </w:p>
        </w:tc>
        <w:tc>
          <w:tcPr>
            <w:tcW w:w="1427" w:type="dxa"/>
            <w:noWrap/>
            <w:hideMark/>
          </w:tcPr>
          <w:p w14:paraId="7701202D" w14:textId="18985993"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55,352,871 </w:t>
            </w:r>
          </w:p>
        </w:tc>
        <w:tc>
          <w:tcPr>
            <w:tcW w:w="1440" w:type="dxa"/>
            <w:noWrap/>
            <w:hideMark/>
          </w:tcPr>
          <w:p w14:paraId="013C477A" w14:textId="6E851541"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-13,036,995</w:t>
            </w:r>
          </w:p>
        </w:tc>
        <w:tc>
          <w:tcPr>
            <w:tcW w:w="1170" w:type="dxa"/>
            <w:noWrap/>
            <w:hideMark/>
          </w:tcPr>
          <w:p w14:paraId="008EC0CE"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-19.1%</w:t>
            </w:r>
          </w:p>
        </w:tc>
        <w:tc>
          <w:tcPr>
            <w:tcW w:w="1226" w:type="dxa"/>
            <w:noWrap/>
            <w:hideMark/>
          </w:tcPr>
          <w:p w14:paraId="7F875C20"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20.6%</w:t>
            </w:r>
          </w:p>
        </w:tc>
        <w:tc>
          <w:tcPr>
            <w:tcW w:w="1294" w:type="dxa"/>
            <w:noWrap/>
            <w:hideMark/>
          </w:tcPr>
          <w:p w14:paraId="06E6334C"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8.8%</w:t>
            </w:r>
          </w:p>
        </w:tc>
      </w:tr>
      <w:tr w:rsidR="00D336D9" w:rsidRPr="002261A6" w14:paraId="74E31B65" w14:textId="77777777" w:rsidTr="00FC4E85">
        <w:trPr>
          <w:trHeight w:val="456"/>
        </w:trPr>
        <w:tc>
          <w:tcPr>
            <w:tcW w:w="1521" w:type="dxa"/>
            <w:vMerge/>
            <w:hideMark/>
          </w:tcPr>
          <w:p w14:paraId="6FE4D794" w14:textId="77777777" w:rsidR="005E6207" w:rsidRPr="008C60C2" w:rsidRDefault="005E6207" w:rsidP="005E6207">
            <w:pPr>
              <w:widowControl w:val="0"/>
              <w:autoSpaceDE w:val="0"/>
              <w:autoSpaceDN w:val="0"/>
              <w:adjustRightInd w:val="0"/>
              <w:ind w:firstLine="720"/>
              <w:rPr>
                <w:color w:val="1D1D1D"/>
              </w:rPr>
            </w:pPr>
          </w:p>
        </w:tc>
        <w:tc>
          <w:tcPr>
            <w:tcW w:w="1350" w:type="dxa"/>
            <w:noWrap/>
            <w:hideMark/>
          </w:tcPr>
          <w:p w14:paraId="392F36FC"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Individual</w:t>
            </w:r>
          </w:p>
        </w:tc>
        <w:tc>
          <w:tcPr>
            <w:tcW w:w="1363" w:type="dxa"/>
            <w:noWrap/>
            <w:hideMark/>
          </w:tcPr>
          <w:p w14:paraId="635D42E0" w14:textId="36591CBF"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226,477,344 </w:t>
            </w:r>
          </w:p>
        </w:tc>
        <w:tc>
          <w:tcPr>
            <w:tcW w:w="1427" w:type="dxa"/>
            <w:noWrap/>
            <w:hideMark/>
          </w:tcPr>
          <w:p w14:paraId="0BDB89B5" w14:textId="2B60A9A6"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525,146,678 </w:t>
            </w:r>
          </w:p>
        </w:tc>
        <w:tc>
          <w:tcPr>
            <w:tcW w:w="1440" w:type="dxa"/>
            <w:noWrap/>
            <w:hideMark/>
          </w:tcPr>
          <w:p w14:paraId="003EA1AD" w14:textId="50280BFC"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298,669,334 </w:t>
            </w:r>
          </w:p>
        </w:tc>
        <w:tc>
          <w:tcPr>
            <w:tcW w:w="1170" w:type="dxa"/>
            <w:noWrap/>
            <w:hideMark/>
          </w:tcPr>
          <w:p w14:paraId="7DCD10CF"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131.9%</w:t>
            </w:r>
          </w:p>
        </w:tc>
        <w:tc>
          <w:tcPr>
            <w:tcW w:w="1226" w:type="dxa"/>
            <w:noWrap/>
            <w:hideMark/>
          </w:tcPr>
          <w:p w14:paraId="3F0AC06C"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68.4%</w:t>
            </w:r>
          </w:p>
        </w:tc>
        <w:tc>
          <w:tcPr>
            <w:tcW w:w="1294" w:type="dxa"/>
            <w:noWrap/>
            <w:hideMark/>
          </w:tcPr>
          <w:p w14:paraId="1A84D4C4"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83.2%</w:t>
            </w:r>
          </w:p>
        </w:tc>
      </w:tr>
      <w:tr w:rsidR="00D336D9" w:rsidRPr="002261A6" w14:paraId="753156FD" w14:textId="77777777" w:rsidTr="00FC4E85">
        <w:trPr>
          <w:trHeight w:val="456"/>
        </w:trPr>
        <w:tc>
          <w:tcPr>
            <w:tcW w:w="1521" w:type="dxa"/>
            <w:vMerge/>
            <w:hideMark/>
          </w:tcPr>
          <w:p w14:paraId="479EFABC" w14:textId="77777777" w:rsidR="005E6207" w:rsidRPr="008C60C2" w:rsidRDefault="005E6207" w:rsidP="005E6207">
            <w:pPr>
              <w:widowControl w:val="0"/>
              <w:autoSpaceDE w:val="0"/>
              <w:autoSpaceDN w:val="0"/>
              <w:adjustRightInd w:val="0"/>
              <w:ind w:firstLine="720"/>
              <w:rPr>
                <w:color w:val="1D1D1D"/>
              </w:rPr>
            </w:pPr>
          </w:p>
        </w:tc>
        <w:tc>
          <w:tcPr>
            <w:tcW w:w="1350" w:type="dxa"/>
            <w:noWrap/>
            <w:hideMark/>
          </w:tcPr>
          <w:p w14:paraId="3905E0AE"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Skippers</w:t>
            </w:r>
          </w:p>
        </w:tc>
        <w:tc>
          <w:tcPr>
            <w:tcW w:w="1363" w:type="dxa"/>
            <w:noWrap/>
            <w:hideMark/>
          </w:tcPr>
          <w:p w14:paraId="318939A5" w14:textId="6D6C48A4"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29,332,432 </w:t>
            </w:r>
          </w:p>
        </w:tc>
        <w:tc>
          <w:tcPr>
            <w:tcW w:w="1427" w:type="dxa"/>
            <w:noWrap/>
            <w:hideMark/>
          </w:tcPr>
          <w:p w14:paraId="78753EE3" w14:textId="2B761E11"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43,975,919 </w:t>
            </w:r>
          </w:p>
        </w:tc>
        <w:tc>
          <w:tcPr>
            <w:tcW w:w="1440" w:type="dxa"/>
            <w:noWrap/>
            <w:hideMark/>
          </w:tcPr>
          <w:p w14:paraId="44FA8366" w14:textId="241A9941"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14,643,487 </w:t>
            </w:r>
          </w:p>
        </w:tc>
        <w:tc>
          <w:tcPr>
            <w:tcW w:w="1170" w:type="dxa"/>
            <w:noWrap/>
            <w:hideMark/>
          </w:tcPr>
          <w:p w14:paraId="598FC07C"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49.9%</w:t>
            </w:r>
          </w:p>
        </w:tc>
        <w:tc>
          <w:tcPr>
            <w:tcW w:w="1226" w:type="dxa"/>
            <w:noWrap/>
            <w:hideMark/>
          </w:tcPr>
          <w:p w14:paraId="7AD84C7B"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8.9%</w:t>
            </w:r>
          </w:p>
        </w:tc>
        <w:tc>
          <w:tcPr>
            <w:tcW w:w="1294" w:type="dxa"/>
            <w:noWrap/>
            <w:hideMark/>
          </w:tcPr>
          <w:p w14:paraId="56FAF90D"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7.0%</w:t>
            </w:r>
          </w:p>
        </w:tc>
      </w:tr>
      <w:tr w:rsidR="00D336D9" w:rsidRPr="002261A6" w14:paraId="4B60E450" w14:textId="77777777" w:rsidTr="00FC4E85">
        <w:trPr>
          <w:trHeight w:val="456"/>
        </w:trPr>
        <w:tc>
          <w:tcPr>
            <w:tcW w:w="1521" w:type="dxa"/>
            <w:vMerge/>
            <w:hideMark/>
          </w:tcPr>
          <w:p w14:paraId="00E31E00" w14:textId="77777777" w:rsidR="005E6207" w:rsidRPr="008C60C2" w:rsidRDefault="005E6207" w:rsidP="005E6207">
            <w:pPr>
              <w:widowControl w:val="0"/>
              <w:autoSpaceDE w:val="0"/>
              <w:autoSpaceDN w:val="0"/>
              <w:adjustRightInd w:val="0"/>
              <w:ind w:firstLine="720"/>
              <w:rPr>
                <w:color w:val="1D1D1D"/>
              </w:rPr>
            </w:pPr>
          </w:p>
        </w:tc>
        <w:tc>
          <w:tcPr>
            <w:tcW w:w="1350" w:type="dxa"/>
            <w:noWrap/>
            <w:hideMark/>
          </w:tcPr>
          <w:p w14:paraId="2402A3AB" w14:textId="13B0A441"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Other*</w:t>
            </w:r>
          </w:p>
        </w:tc>
        <w:tc>
          <w:tcPr>
            <w:tcW w:w="1363" w:type="dxa"/>
            <w:noWrap/>
            <w:hideMark/>
          </w:tcPr>
          <w:p w14:paraId="144D9D68" w14:textId="7A9A156C"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7,058,693 </w:t>
            </w:r>
          </w:p>
        </w:tc>
        <w:tc>
          <w:tcPr>
            <w:tcW w:w="1427" w:type="dxa"/>
            <w:noWrap/>
            <w:hideMark/>
          </w:tcPr>
          <w:p w14:paraId="009C6C4C" w14:textId="75A3B318"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7,052,910 </w:t>
            </w:r>
          </w:p>
        </w:tc>
        <w:tc>
          <w:tcPr>
            <w:tcW w:w="1440" w:type="dxa"/>
            <w:noWrap/>
            <w:hideMark/>
          </w:tcPr>
          <w:p w14:paraId="0BF362B6" w14:textId="0CD22E31"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-5,783</w:t>
            </w:r>
          </w:p>
        </w:tc>
        <w:tc>
          <w:tcPr>
            <w:tcW w:w="1170" w:type="dxa"/>
            <w:noWrap/>
            <w:hideMark/>
          </w:tcPr>
          <w:p w14:paraId="131E99B4"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100.0%</w:t>
            </w:r>
          </w:p>
        </w:tc>
        <w:tc>
          <w:tcPr>
            <w:tcW w:w="1226" w:type="dxa"/>
            <w:noWrap/>
            <w:hideMark/>
          </w:tcPr>
          <w:p w14:paraId="17FB50DB"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2.1%</w:t>
            </w:r>
          </w:p>
        </w:tc>
        <w:tc>
          <w:tcPr>
            <w:tcW w:w="1294" w:type="dxa"/>
            <w:noWrap/>
            <w:hideMark/>
          </w:tcPr>
          <w:p w14:paraId="1F599975"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1.1%</w:t>
            </w:r>
          </w:p>
        </w:tc>
      </w:tr>
      <w:tr w:rsidR="00D336D9" w:rsidRPr="002261A6" w14:paraId="3BB20A00" w14:textId="77777777" w:rsidTr="00FC4E85">
        <w:trPr>
          <w:trHeight w:val="408"/>
        </w:trPr>
        <w:tc>
          <w:tcPr>
            <w:tcW w:w="1521" w:type="dxa"/>
            <w:vMerge/>
            <w:hideMark/>
          </w:tcPr>
          <w:p w14:paraId="5F239D7D" w14:textId="77777777" w:rsidR="005E6207" w:rsidRPr="008C60C2" w:rsidRDefault="005E6207" w:rsidP="005E6207">
            <w:pPr>
              <w:widowControl w:val="0"/>
              <w:autoSpaceDE w:val="0"/>
              <w:autoSpaceDN w:val="0"/>
              <w:adjustRightInd w:val="0"/>
              <w:ind w:firstLine="720"/>
              <w:rPr>
                <w:color w:val="1D1D1D"/>
              </w:rPr>
            </w:pPr>
          </w:p>
        </w:tc>
        <w:tc>
          <w:tcPr>
            <w:tcW w:w="1350" w:type="dxa"/>
            <w:noWrap/>
            <w:hideMark/>
          </w:tcPr>
          <w:p w14:paraId="745DA8BC"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Total</w:t>
            </w:r>
          </w:p>
        </w:tc>
        <w:tc>
          <w:tcPr>
            <w:tcW w:w="1363" w:type="dxa"/>
            <w:noWrap/>
            <w:hideMark/>
          </w:tcPr>
          <w:p w14:paraId="481F3CD1" w14:textId="0434B8D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331,258,335 </w:t>
            </w:r>
          </w:p>
        </w:tc>
        <w:tc>
          <w:tcPr>
            <w:tcW w:w="1427" w:type="dxa"/>
            <w:noWrap/>
            <w:hideMark/>
          </w:tcPr>
          <w:p w14:paraId="716CF5F7" w14:textId="1C969303"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631,528,378 </w:t>
            </w:r>
          </w:p>
        </w:tc>
        <w:tc>
          <w:tcPr>
            <w:tcW w:w="1440" w:type="dxa"/>
            <w:noWrap/>
            <w:hideMark/>
          </w:tcPr>
          <w:p w14:paraId="7C24EEFA" w14:textId="57929E80"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 xml:space="preserve">300,270,043 </w:t>
            </w:r>
          </w:p>
        </w:tc>
        <w:tc>
          <w:tcPr>
            <w:tcW w:w="1170" w:type="dxa"/>
            <w:noWrap/>
            <w:hideMark/>
          </w:tcPr>
          <w:p w14:paraId="2FF0DC8A"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90.6%</w:t>
            </w:r>
          </w:p>
        </w:tc>
        <w:tc>
          <w:tcPr>
            <w:tcW w:w="1226" w:type="dxa"/>
            <w:noWrap/>
            <w:hideMark/>
          </w:tcPr>
          <w:p w14:paraId="46496D61"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100.0%</w:t>
            </w:r>
          </w:p>
        </w:tc>
        <w:tc>
          <w:tcPr>
            <w:tcW w:w="1294" w:type="dxa"/>
            <w:noWrap/>
            <w:hideMark/>
          </w:tcPr>
          <w:p w14:paraId="09F5F483" w14:textId="77777777" w:rsidR="005E6207" w:rsidRPr="008C60C2" w:rsidRDefault="005E6207" w:rsidP="005E6207">
            <w:pPr>
              <w:widowControl w:val="0"/>
              <w:autoSpaceDE w:val="0"/>
              <w:autoSpaceDN w:val="0"/>
              <w:adjustRightInd w:val="0"/>
              <w:rPr>
                <w:color w:val="1D1D1D"/>
                <w:sz w:val="22"/>
                <w:szCs w:val="22"/>
              </w:rPr>
            </w:pPr>
            <w:r w:rsidRPr="008C60C2">
              <w:rPr>
                <w:color w:val="1D1D1D"/>
                <w:sz w:val="22"/>
                <w:szCs w:val="22"/>
              </w:rPr>
              <w:t>100.0%</w:t>
            </w:r>
          </w:p>
        </w:tc>
      </w:tr>
      <w:tr w:rsidR="00C964A8" w:rsidRPr="002261A6" w14:paraId="365CE9AF" w14:textId="77777777" w:rsidTr="008C60C2">
        <w:trPr>
          <w:trHeight w:val="408"/>
        </w:trPr>
        <w:tc>
          <w:tcPr>
            <w:tcW w:w="10791" w:type="dxa"/>
            <w:gridSpan w:val="8"/>
          </w:tcPr>
          <w:p w14:paraId="6483FBBA" w14:textId="5D20C8A4" w:rsidR="00C964A8" w:rsidRPr="008C60C2" w:rsidRDefault="00C964A8" w:rsidP="006E083D">
            <w:pPr>
              <w:widowControl w:val="0"/>
              <w:autoSpaceDE w:val="0"/>
              <w:autoSpaceDN w:val="0"/>
              <w:adjustRightInd w:val="0"/>
              <w:rPr>
                <w:color w:val="1D1D1D"/>
                <w:sz w:val="22"/>
                <w:szCs w:val="22"/>
              </w:rPr>
            </w:pPr>
            <w:r w:rsidRPr="008C60C2">
              <w:rPr>
                <w:color w:val="1D1D1D"/>
                <w:sz w:val="22"/>
                <w:szCs w:val="22"/>
              </w:rPr>
              <w:t xml:space="preserve">*Other represents a compilation of other </w:t>
            </w:r>
            <w:r w:rsidR="005C245B" w:rsidRPr="008C60C2">
              <w:rPr>
                <w:color w:val="1D1D1D"/>
                <w:sz w:val="22"/>
                <w:szCs w:val="22"/>
              </w:rPr>
              <w:t>small owner categories (</w:t>
            </w:r>
            <w:r w:rsidR="006E083D">
              <w:rPr>
                <w:color w:val="1D1D1D"/>
                <w:sz w:val="22"/>
                <w:szCs w:val="22"/>
              </w:rPr>
              <w:t>e.g.,</w:t>
            </w:r>
            <w:r w:rsidR="005C245B" w:rsidRPr="008C60C2">
              <w:rPr>
                <w:color w:val="1D1D1D"/>
                <w:sz w:val="22"/>
                <w:szCs w:val="22"/>
              </w:rPr>
              <w:t xml:space="preserve"> Community Quota Entitie</w:t>
            </w:r>
            <w:r w:rsidRPr="008C60C2">
              <w:rPr>
                <w:color w:val="1D1D1D"/>
                <w:sz w:val="22"/>
                <w:szCs w:val="22"/>
              </w:rPr>
              <w:t>s, partnerships, trusts, etc.). Source: NMFS (2015).</w:t>
            </w:r>
          </w:p>
        </w:tc>
      </w:tr>
    </w:tbl>
    <w:p w14:paraId="19046948" w14:textId="5BEF28FD" w:rsidR="00EE1530" w:rsidRPr="003364FF" w:rsidRDefault="00EE1530" w:rsidP="00D80ED7">
      <w:pPr>
        <w:widowControl w:val="0"/>
        <w:autoSpaceDE w:val="0"/>
        <w:autoSpaceDN w:val="0"/>
        <w:adjustRightInd w:val="0"/>
        <w:spacing w:line="480" w:lineRule="auto"/>
        <w:ind w:firstLine="720"/>
        <w:rPr>
          <w:color w:val="1D1D1D"/>
        </w:rPr>
      </w:pPr>
    </w:p>
    <w:p w14:paraId="34C37BE7" w14:textId="161EFD09" w:rsidR="009F06F3" w:rsidRPr="008C60C2" w:rsidRDefault="0097693F" w:rsidP="00E52ADB">
      <w:pPr>
        <w:widowControl w:val="0"/>
        <w:autoSpaceDE w:val="0"/>
        <w:autoSpaceDN w:val="0"/>
        <w:adjustRightInd w:val="0"/>
        <w:spacing w:line="480" w:lineRule="auto"/>
        <w:ind w:firstLine="720"/>
      </w:pPr>
      <w:r w:rsidRPr="003364FF">
        <w:rPr>
          <w:color w:val="1D1D1D"/>
        </w:rPr>
        <w:t xml:space="preserve">Using a hired skipper is not legally </w:t>
      </w:r>
      <w:r w:rsidR="001B5EA5" w:rsidRPr="003364FF">
        <w:rPr>
          <w:color w:val="1D1D1D"/>
        </w:rPr>
        <w:t>equivalent</w:t>
      </w:r>
      <w:r w:rsidRPr="003364FF">
        <w:rPr>
          <w:color w:val="1D1D1D"/>
        </w:rPr>
        <w:t xml:space="preserve"> </w:t>
      </w:r>
      <w:r w:rsidR="009A1C61" w:rsidRPr="003364FF">
        <w:rPr>
          <w:color w:val="1D1D1D"/>
        </w:rPr>
        <w:t>to</w:t>
      </w:r>
      <w:r w:rsidRPr="003364FF">
        <w:rPr>
          <w:color w:val="1D1D1D"/>
        </w:rPr>
        <w:t xml:space="preserve"> a formal lease of quota shares. While any portion of an A-share holding may be leased during the year, leases on catcher vessel holdings are subject to greater restrictions</w:t>
      </w:r>
      <w:r w:rsidR="001B5EA5" w:rsidRPr="003364FF">
        <w:rPr>
          <w:color w:val="1D1D1D"/>
        </w:rPr>
        <w:t xml:space="preserve"> (NMFS 2015)</w:t>
      </w:r>
      <w:r w:rsidR="00790EAD" w:rsidRPr="003364FF">
        <w:rPr>
          <w:color w:val="1D1D1D"/>
        </w:rPr>
        <w:t>. There are a few situations where c</w:t>
      </w:r>
      <w:r w:rsidRPr="003364FF">
        <w:rPr>
          <w:color w:val="1D1D1D"/>
        </w:rPr>
        <w:t>atc</w:t>
      </w:r>
      <w:r w:rsidR="00790EAD" w:rsidRPr="003364FF">
        <w:rPr>
          <w:color w:val="1D1D1D"/>
        </w:rPr>
        <w:t>her vessel shares can be leased, including</w:t>
      </w:r>
      <w:r w:rsidR="00D80ED7" w:rsidRPr="003364FF">
        <w:rPr>
          <w:color w:val="1D1D1D"/>
        </w:rPr>
        <w:t xml:space="preserve"> circumstances like medical transfers or military leave. </w:t>
      </w:r>
      <w:r w:rsidR="00D80ED7" w:rsidRPr="003364FF">
        <w:t xml:space="preserve">Rules that permit temporary transfers and leasing are </w:t>
      </w:r>
      <w:r w:rsidR="00C64F64" w:rsidRPr="003364FF">
        <w:t>justified on standard economic terms</w:t>
      </w:r>
      <w:r w:rsidR="00D80ED7" w:rsidRPr="003364FF">
        <w:t xml:space="preserve"> because they allow for short-term reallocations of quota to those fishers that are willing </w:t>
      </w:r>
      <w:r w:rsidR="009F06F3" w:rsidRPr="003364FF">
        <w:t xml:space="preserve">to </w:t>
      </w:r>
      <w:r w:rsidR="00D80ED7" w:rsidRPr="003364FF">
        <w:t>fish and most able to pay</w:t>
      </w:r>
      <w:r w:rsidR="009F06F3" w:rsidRPr="003364FF">
        <w:t xml:space="preserve"> for the shares</w:t>
      </w:r>
      <w:r w:rsidR="00D80ED7" w:rsidRPr="003364FF">
        <w:t xml:space="preserve"> (</w:t>
      </w:r>
      <w:proofErr w:type="spellStart"/>
      <w:r w:rsidR="00D80ED7" w:rsidRPr="003364FF">
        <w:t>Alcock</w:t>
      </w:r>
      <w:proofErr w:type="spellEnd"/>
      <w:r w:rsidR="00D80ED7" w:rsidRPr="003364FF">
        <w:t xml:space="preserve"> 2006). </w:t>
      </w:r>
      <w:r w:rsidRPr="003364FF">
        <w:t xml:space="preserve">Table </w:t>
      </w:r>
      <w:r w:rsidR="003364FF">
        <w:t>4</w:t>
      </w:r>
      <w:r w:rsidR="003364FF" w:rsidRPr="008C60C2">
        <w:t xml:space="preserve"> </w:t>
      </w:r>
      <w:r w:rsidRPr="008C60C2">
        <w:t xml:space="preserve">below provides broad data on halibut quota share leasing activity from 1995-2014. </w:t>
      </w:r>
    </w:p>
    <w:tbl>
      <w:tblPr>
        <w:tblStyle w:val="TableGrid"/>
        <w:tblW w:w="9430" w:type="dxa"/>
        <w:tblLook w:val="04A0" w:firstRow="1" w:lastRow="0" w:firstColumn="1" w:lastColumn="0" w:noHBand="0" w:noVBand="1"/>
      </w:tblPr>
      <w:tblGrid>
        <w:gridCol w:w="1365"/>
        <w:gridCol w:w="1174"/>
        <w:gridCol w:w="1316"/>
        <w:gridCol w:w="1206"/>
        <w:gridCol w:w="1090"/>
        <w:gridCol w:w="1253"/>
        <w:gridCol w:w="1075"/>
        <w:gridCol w:w="951"/>
      </w:tblGrid>
      <w:tr w:rsidR="009136EF" w:rsidRPr="002261A6" w14:paraId="786F8238" w14:textId="77777777" w:rsidTr="00790EAD">
        <w:trPr>
          <w:trHeight w:val="301"/>
        </w:trPr>
        <w:tc>
          <w:tcPr>
            <w:tcW w:w="9430" w:type="dxa"/>
            <w:gridSpan w:val="8"/>
            <w:noWrap/>
            <w:hideMark/>
          </w:tcPr>
          <w:p w14:paraId="4908FA1A" w14:textId="3DDDF479" w:rsidR="009136EF" w:rsidRPr="008C60C2" w:rsidRDefault="009136EF" w:rsidP="003364FF">
            <w:pPr>
              <w:widowControl w:val="0"/>
              <w:autoSpaceDE w:val="0"/>
              <w:autoSpaceDN w:val="0"/>
              <w:adjustRightInd w:val="0"/>
              <w:ind w:firstLine="720"/>
              <w:rPr>
                <w:b/>
                <w:bCs/>
                <w:sz w:val="22"/>
                <w:szCs w:val="22"/>
              </w:rPr>
            </w:pPr>
            <w:r w:rsidRPr="008C60C2">
              <w:rPr>
                <w:b/>
                <w:bCs/>
                <w:sz w:val="22"/>
                <w:szCs w:val="22"/>
              </w:rPr>
              <w:t xml:space="preserve">                           Table </w:t>
            </w:r>
            <w:r w:rsidR="003364FF" w:rsidRPr="008C60C2">
              <w:rPr>
                <w:b/>
                <w:bCs/>
                <w:sz w:val="22"/>
                <w:szCs w:val="22"/>
              </w:rPr>
              <w:t>4</w:t>
            </w:r>
            <w:r w:rsidRPr="008C60C2">
              <w:rPr>
                <w:b/>
                <w:bCs/>
                <w:sz w:val="22"/>
                <w:szCs w:val="22"/>
              </w:rPr>
              <w:t>: Halibut Quota Share and Lease Information, 1995-2014</w:t>
            </w:r>
          </w:p>
        </w:tc>
      </w:tr>
      <w:tr w:rsidR="009136EF" w:rsidRPr="002261A6" w14:paraId="579D24E1" w14:textId="77777777" w:rsidTr="00790EAD">
        <w:trPr>
          <w:trHeight w:val="1158"/>
        </w:trPr>
        <w:tc>
          <w:tcPr>
            <w:tcW w:w="1343" w:type="dxa"/>
            <w:hideMark/>
          </w:tcPr>
          <w:p w14:paraId="68E3A92F" w14:textId="6ED6131D" w:rsidR="009136EF" w:rsidRPr="008C60C2" w:rsidRDefault="009136EF" w:rsidP="009136EF">
            <w:pPr>
              <w:widowControl w:val="0"/>
              <w:autoSpaceDE w:val="0"/>
              <w:autoSpaceDN w:val="0"/>
              <w:adjustRightInd w:val="0"/>
              <w:rPr>
                <w:b/>
                <w:bCs/>
                <w:sz w:val="22"/>
                <w:szCs w:val="22"/>
              </w:rPr>
            </w:pPr>
            <w:r w:rsidRPr="008C60C2">
              <w:rPr>
                <w:b/>
                <w:bCs/>
                <w:sz w:val="22"/>
                <w:szCs w:val="22"/>
              </w:rPr>
              <w:t>Areas</w:t>
            </w:r>
          </w:p>
        </w:tc>
        <w:tc>
          <w:tcPr>
            <w:tcW w:w="1302" w:type="dxa"/>
            <w:hideMark/>
          </w:tcPr>
          <w:p w14:paraId="00DE603F" w14:textId="77777777" w:rsidR="009136EF" w:rsidRPr="008C60C2" w:rsidRDefault="009136EF" w:rsidP="009136EF">
            <w:pPr>
              <w:widowControl w:val="0"/>
              <w:autoSpaceDE w:val="0"/>
              <w:autoSpaceDN w:val="0"/>
              <w:adjustRightInd w:val="0"/>
              <w:rPr>
                <w:b/>
                <w:bCs/>
                <w:sz w:val="22"/>
                <w:szCs w:val="22"/>
              </w:rPr>
            </w:pPr>
            <w:r w:rsidRPr="008C60C2">
              <w:rPr>
                <w:b/>
                <w:bCs/>
                <w:sz w:val="22"/>
                <w:szCs w:val="22"/>
              </w:rPr>
              <w:t>Year</w:t>
            </w:r>
          </w:p>
        </w:tc>
        <w:tc>
          <w:tcPr>
            <w:tcW w:w="1239" w:type="dxa"/>
            <w:hideMark/>
          </w:tcPr>
          <w:p w14:paraId="6E1F0123" w14:textId="77777777" w:rsidR="009136EF" w:rsidRPr="008C60C2" w:rsidRDefault="009136EF" w:rsidP="009136EF">
            <w:pPr>
              <w:widowControl w:val="0"/>
              <w:autoSpaceDE w:val="0"/>
              <w:autoSpaceDN w:val="0"/>
              <w:adjustRightInd w:val="0"/>
              <w:rPr>
                <w:b/>
                <w:bCs/>
                <w:sz w:val="22"/>
                <w:szCs w:val="22"/>
              </w:rPr>
            </w:pPr>
            <w:r w:rsidRPr="008C60C2">
              <w:rPr>
                <w:b/>
                <w:bCs/>
                <w:sz w:val="22"/>
                <w:szCs w:val="22"/>
              </w:rPr>
              <w:t>Year-End Quota Shares</w:t>
            </w:r>
          </w:p>
        </w:tc>
        <w:tc>
          <w:tcPr>
            <w:tcW w:w="1177" w:type="dxa"/>
            <w:hideMark/>
          </w:tcPr>
          <w:p w14:paraId="367B9B05" w14:textId="77777777" w:rsidR="009136EF" w:rsidRPr="008C60C2" w:rsidRDefault="009136EF" w:rsidP="009136EF">
            <w:pPr>
              <w:widowControl w:val="0"/>
              <w:autoSpaceDE w:val="0"/>
              <w:autoSpaceDN w:val="0"/>
              <w:adjustRightInd w:val="0"/>
              <w:rPr>
                <w:b/>
                <w:bCs/>
                <w:sz w:val="22"/>
                <w:szCs w:val="22"/>
              </w:rPr>
            </w:pPr>
            <w:r w:rsidRPr="008C60C2">
              <w:rPr>
                <w:b/>
                <w:bCs/>
                <w:sz w:val="22"/>
                <w:szCs w:val="22"/>
              </w:rPr>
              <w:t>Leased Quota Shares</w:t>
            </w:r>
          </w:p>
        </w:tc>
        <w:tc>
          <w:tcPr>
            <w:tcW w:w="1090" w:type="dxa"/>
            <w:hideMark/>
          </w:tcPr>
          <w:p w14:paraId="3EF6E536" w14:textId="77777777" w:rsidR="009136EF" w:rsidRPr="008C60C2" w:rsidRDefault="009136EF" w:rsidP="009136EF">
            <w:pPr>
              <w:widowControl w:val="0"/>
              <w:autoSpaceDE w:val="0"/>
              <w:autoSpaceDN w:val="0"/>
              <w:adjustRightInd w:val="0"/>
              <w:rPr>
                <w:b/>
                <w:bCs/>
                <w:sz w:val="22"/>
                <w:szCs w:val="22"/>
              </w:rPr>
            </w:pPr>
            <w:r w:rsidRPr="008C60C2">
              <w:rPr>
                <w:b/>
                <w:bCs/>
                <w:sz w:val="22"/>
                <w:szCs w:val="22"/>
              </w:rPr>
              <w:t>Quota Share Lease Rate (%)</w:t>
            </w:r>
          </w:p>
        </w:tc>
        <w:tc>
          <w:tcPr>
            <w:tcW w:w="1253" w:type="dxa"/>
            <w:hideMark/>
          </w:tcPr>
          <w:p w14:paraId="20C40CA8" w14:textId="77777777" w:rsidR="009136EF" w:rsidRPr="008C60C2" w:rsidRDefault="009136EF" w:rsidP="009136EF">
            <w:pPr>
              <w:widowControl w:val="0"/>
              <w:autoSpaceDE w:val="0"/>
              <w:autoSpaceDN w:val="0"/>
              <w:adjustRightInd w:val="0"/>
              <w:rPr>
                <w:b/>
                <w:bCs/>
                <w:sz w:val="22"/>
                <w:szCs w:val="22"/>
              </w:rPr>
            </w:pPr>
            <w:r w:rsidRPr="008C60C2">
              <w:rPr>
                <w:b/>
                <w:bCs/>
                <w:sz w:val="22"/>
                <w:szCs w:val="22"/>
              </w:rPr>
              <w:t>Year-End Persons*</w:t>
            </w:r>
          </w:p>
        </w:tc>
        <w:tc>
          <w:tcPr>
            <w:tcW w:w="1075" w:type="dxa"/>
            <w:hideMark/>
          </w:tcPr>
          <w:p w14:paraId="1C2639D0" w14:textId="77777777" w:rsidR="009136EF" w:rsidRPr="008C60C2" w:rsidRDefault="009136EF" w:rsidP="009136EF">
            <w:pPr>
              <w:widowControl w:val="0"/>
              <w:autoSpaceDE w:val="0"/>
              <w:autoSpaceDN w:val="0"/>
              <w:adjustRightInd w:val="0"/>
              <w:rPr>
                <w:b/>
                <w:bCs/>
                <w:sz w:val="22"/>
                <w:szCs w:val="22"/>
              </w:rPr>
            </w:pPr>
            <w:r w:rsidRPr="008C60C2">
              <w:rPr>
                <w:b/>
                <w:bCs/>
                <w:sz w:val="22"/>
                <w:szCs w:val="22"/>
              </w:rPr>
              <w:t>Unique Lessors</w:t>
            </w:r>
          </w:p>
        </w:tc>
        <w:tc>
          <w:tcPr>
            <w:tcW w:w="951" w:type="dxa"/>
            <w:hideMark/>
          </w:tcPr>
          <w:p w14:paraId="01849D8F" w14:textId="77777777" w:rsidR="009136EF" w:rsidRPr="008C60C2" w:rsidRDefault="009136EF" w:rsidP="009136EF">
            <w:pPr>
              <w:widowControl w:val="0"/>
              <w:autoSpaceDE w:val="0"/>
              <w:autoSpaceDN w:val="0"/>
              <w:adjustRightInd w:val="0"/>
              <w:rPr>
                <w:b/>
                <w:bCs/>
                <w:sz w:val="22"/>
                <w:szCs w:val="22"/>
              </w:rPr>
            </w:pPr>
            <w:r w:rsidRPr="008C60C2">
              <w:rPr>
                <w:b/>
                <w:bCs/>
                <w:sz w:val="22"/>
                <w:szCs w:val="22"/>
              </w:rPr>
              <w:t>Lessor Rate (%)</w:t>
            </w:r>
          </w:p>
        </w:tc>
      </w:tr>
      <w:tr w:rsidR="009136EF" w:rsidRPr="002261A6" w14:paraId="191F847A" w14:textId="77777777" w:rsidTr="00790EAD">
        <w:trPr>
          <w:trHeight w:val="301"/>
        </w:trPr>
        <w:tc>
          <w:tcPr>
            <w:tcW w:w="1343" w:type="dxa"/>
            <w:vMerge w:val="restart"/>
            <w:hideMark/>
          </w:tcPr>
          <w:p w14:paraId="429CB2D7" w14:textId="2DB5FE39" w:rsidR="009136EF" w:rsidRPr="008C60C2" w:rsidRDefault="009136EF" w:rsidP="009136EF">
            <w:pPr>
              <w:widowControl w:val="0"/>
              <w:autoSpaceDE w:val="0"/>
              <w:autoSpaceDN w:val="0"/>
              <w:adjustRightInd w:val="0"/>
              <w:rPr>
                <w:sz w:val="22"/>
                <w:szCs w:val="22"/>
              </w:rPr>
            </w:pPr>
            <w:r w:rsidRPr="008C60C2">
              <w:rPr>
                <w:bCs/>
                <w:sz w:val="22"/>
                <w:szCs w:val="22"/>
              </w:rPr>
              <w:t>All Management Areas</w:t>
            </w:r>
            <w:r w:rsidRPr="008C60C2">
              <w:rPr>
                <w:sz w:val="22"/>
                <w:szCs w:val="22"/>
              </w:rPr>
              <w:t> </w:t>
            </w:r>
          </w:p>
        </w:tc>
        <w:tc>
          <w:tcPr>
            <w:tcW w:w="1302" w:type="dxa"/>
            <w:hideMark/>
          </w:tcPr>
          <w:p w14:paraId="1085C504" w14:textId="77777777" w:rsidR="009136EF" w:rsidRPr="008C60C2" w:rsidRDefault="009136EF" w:rsidP="009136EF">
            <w:pPr>
              <w:widowControl w:val="0"/>
              <w:autoSpaceDE w:val="0"/>
              <w:autoSpaceDN w:val="0"/>
              <w:adjustRightInd w:val="0"/>
              <w:rPr>
                <w:sz w:val="22"/>
                <w:szCs w:val="22"/>
              </w:rPr>
            </w:pPr>
            <w:r w:rsidRPr="008C60C2">
              <w:rPr>
                <w:sz w:val="22"/>
                <w:szCs w:val="22"/>
              </w:rPr>
              <w:t>1995</w:t>
            </w:r>
          </w:p>
        </w:tc>
        <w:tc>
          <w:tcPr>
            <w:tcW w:w="1239" w:type="dxa"/>
            <w:hideMark/>
          </w:tcPr>
          <w:p w14:paraId="76E3D4EF" w14:textId="3C74B405" w:rsidR="009136EF" w:rsidRPr="008C60C2" w:rsidRDefault="009136EF" w:rsidP="009136EF">
            <w:pPr>
              <w:widowControl w:val="0"/>
              <w:autoSpaceDE w:val="0"/>
              <w:autoSpaceDN w:val="0"/>
              <w:adjustRightInd w:val="0"/>
              <w:rPr>
                <w:sz w:val="22"/>
                <w:szCs w:val="22"/>
              </w:rPr>
            </w:pPr>
            <w:r w:rsidRPr="008C60C2">
              <w:rPr>
                <w:sz w:val="22"/>
                <w:szCs w:val="22"/>
              </w:rPr>
              <w:t xml:space="preserve">326,864,917 </w:t>
            </w:r>
          </w:p>
        </w:tc>
        <w:tc>
          <w:tcPr>
            <w:tcW w:w="1177" w:type="dxa"/>
            <w:hideMark/>
          </w:tcPr>
          <w:p w14:paraId="1D6CD4A8" w14:textId="29A804F9" w:rsidR="009136EF" w:rsidRPr="008C60C2" w:rsidRDefault="009136EF" w:rsidP="009136EF">
            <w:pPr>
              <w:widowControl w:val="0"/>
              <w:autoSpaceDE w:val="0"/>
              <w:autoSpaceDN w:val="0"/>
              <w:adjustRightInd w:val="0"/>
              <w:rPr>
                <w:sz w:val="22"/>
                <w:szCs w:val="22"/>
              </w:rPr>
            </w:pPr>
            <w:r w:rsidRPr="008C60C2">
              <w:rPr>
                <w:sz w:val="22"/>
                <w:szCs w:val="22"/>
              </w:rPr>
              <w:t xml:space="preserve">2,516,123 </w:t>
            </w:r>
          </w:p>
        </w:tc>
        <w:tc>
          <w:tcPr>
            <w:tcW w:w="1090" w:type="dxa"/>
            <w:hideMark/>
          </w:tcPr>
          <w:p w14:paraId="7326E002" w14:textId="77777777" w:rsidR="009136EF" w:rsidRPr="008C60C2" w:rsidRDefault="009136EF" w:rsidP="009136EF">
            <w:pPr>
              <w:widowControl w:val="0"/>
              <w:autoSpaceDE w:val="0"/>
              <w:autoSpaceDN w:val="0"/>
              <w:adjustRightInd w:val="0"/>
              <w:rPr>
                <w:sz w:val="22"/>
                <w:szCs w:val="22"/>
              </w:rPr>
            </w:pPr>
            <w:r w:rsidRPr="008C60C2">
              <w:rPr>
                <w:sz w:val="22"/>
                <w:szCs w:val="22"/>
              </w:rPr>
              <w:t>0.8%</w:t>
            </w:r>
          </w:p>
        </w:tc>
        <w:tc>
          <w:tcPr>
            <w:tcW w:w="1253" w:type="dxa"/>
            <w:hideMark/>
          </w:tcPr>
          <w:p w14:paraId="356CA8A9" w14:textId="252B57CF" w:rsidR="009136EF" w:rsidRPr="008C60C2" w:rsidRDefault="009136EF" w:rsidP="009136EF">
            <w:pPr>
              <w:widowControl w:val="0"/>
              <w:autoSpaceDE w:val="0"/>
              <w:autoSpaceDN w:val="0"/>
              <w:adjustRightInd w:val="0"/>
              <w:rPr>
                <w:sz w:val="22"/>
                <w:szCs w:val="22"/>
              </w:rPr>
            </w:pPr>
            <w:r w:rsidRPr="008C60C2">
              <w:rPr>
                <w:sz w:val="22"/>
                <w:szCs w:val="22"/>
              </w:rPr>
              <w:t xml:space="preserve">6,730 </w:t>
            </w:r>
          </w:p>
        </w:tc>
        <w:tc>
          <w:tcPr>
            <w:tcW w:w="1075" w:type="dxa"/>
            <w:hideMark/>
          </w:tcPr>
          <w:p w14:paraId="248F1FA8" w14:textId="3B3B0126" w:rsidR="009136EF" w:rsidRPr="008C60C2" w:rsidRDefault="009136EF" w:rsidP="009136EF">
            <w:pPr>
              <w:widowControl w:val="0"/>
              <w:autoSpaceDE w:val="0"/>
              <w:autoSpaceDN w:val="0"/>
              <w:adjustRightInd w:val="0"/>
              <w:rPr>
                <w:sz w:val="22"/>
                <w:szCs w:val="22"/>
              </w:rPr>
            </w:pPr>
            <w:r w:rsidRPr="008C60C2">
              <w:rPr>
                <w:sz w:val="22"/>
                <w:szCs w:val="22"/>
              </w:rPr>
              <w:t xml:space="preserve">30 </w:t>
            </w:r>
          </w:p>
        </w:tc>
        <w:tc>
          <w:tcPr>
            <w:tcW w:w="951" w:type="dxa"/>
            <w:hideMark/>
          </w:tcPr>
          <w:p w14:paraId="21BE35B7" w14:textId="77777777" w:rsidR="009136EF" w:rsidRPr="008C60C2" w:rsidRDefault="009136EF" w:rsidP="009136EF">
            <w:pPr>
              <w:widowControl w:val="0"/>
              <w:autoSpaceDE w:val="0"/>
              <w:autoSpaceDN w:val="0"/>
              <w:adjustRightInd w:val="0"/>
              <w:rPr>
                <w:sz w:val="22"/>
                <w:szCs w:val="22"/>
              </w:rPr>
            </w:pPr>
            <w:r w:rsidRPr="008C60C2">
              <w:rPr>
                <w:sz w:val="22"/>
                <w:szCs w:val="22"/>
              </w:rPr>
              <w:t>0.4%</w:t>
            </w:r>
          </w:p>
        </w:tc>
      </w:tr>
      <w:tr w:rsidR="009136EF" w:rsidRPr="002261A6" w14:paraId="6841BDA6" w14:textId="77777777" w:rsidTr="00790EAD">
        <w:trPr>
          <w:trHeight w:val="301"/>
        </w:trPr>
        <w:tc>
          <w:tcPr>
            <w:tcW w:w="1343" w:type="dxa"/>
            <w:vMerge/>
            <w:hideMark/>
          </w:tcPr>
          <w:p w14:paraId="6929EB60" w14:textId="77777777" w:rsidR="009136EF" w:rsidRPr="008C60C2" w:rsidRDefault="009136EF" w:rsidP="009136EF">
            <w:pPr>
              <w:widowControl w:val="0"/>
              <w:autoSpaceDE w:val="0"/>
              <w:autoSpaceDN w:val="0"/>
              <w:adjustRightInd w:val="0"/>
              <w:spacing w:line="480" w:lineRule="auto"/>
              <w:ind w:firstLine="720"/>
              <w:rPr>
                <w:sz w:val="22"/>
                <w:szCs w:val="22"/>
              </w:rPr>
            </w:pPr>
          </w:p>
        </w:tc>
        <w:tc>
          <w:tcPr>
            <w:tcW w:w="1302" w:type="dxa"/>
            <w:hideMark/>
          </w:tcPr>
          <w:p w14:paraId="08379E6A" w14:textId="77777777" w:rsidR="009136EF" w:rsidRPr="008C60C2" w:rsidRDefault="009136EF" w:rsidP="009136EF">
            <w:pPr>
              <w:widowControl w:val="0"/>
              <w:autoSpaceDE w:val="0"/>
              <w:autoSpaceDN w:val="0"/>
              <w:adjustRightInd w:val="0"/>
              <w:rPr>
                <w:sz w:val="22"/>
                <w:szCs w:val="22"/>
              </w:rPr>
            </w:pPr>
            <w:r w:rsidRPr="008C60C2">
              <w:rPr>
                <w:sz w:val="22"/>
                <w:szCs w:val="22"/>
              </w:rPr>
              <w:t>2014</w:t>
            </w:r>
          </w:p>
        </w:tc>
        <w:tc>
          <w:tcPr>
            <w:tcW w:w="1239" w:type="dxa"/>
            <w:hideMark/>
          </w:tcPr>
          <w:p w14:paraId="58C5087F" w14:textId="642B0572" w:rsidR="009136EF" w:rsidRPr="008C60C2" w:rsidRDefault="009136EF" w:rsidP="009136EF">
            <w:pPr>
              <w:widowControl w:val="0"/>
              <w:autoSpaceDE w:val="0"/>
              <w:autoSpaceDN w:val="0"/>
              <w:adjustRightInd w:val="0"/>
              <w:rPr>
                <w:sz w:val="22"/>
                <w:szCs w:val="22"/>
              </w:rPr>
            </w:pPr>
            <w:r w:rsidRPr="008C60C2">
              <w:rPr>
                <w:sz w:val="22"/>
                <w:szCs w:val="22"/>
              </w:rPr>
              <w:t xml:space="preserve">331,556,698 </w:t>
            </w:r>
          </w:p>
        </w:tc>
        <w:tc>
          <w:tcPr>
            <w:tcW w:w="1177" w:type="dxa"/>
            <w:hideMark/>
          </w:tcPr>
          <w:p w14:paraId="19E3CEA0" w14:textId="0DCDC26A" w:rsidR="009136EF" w:rsidRPr="008C60C2" w:rsidRDefault="009136EF" w:rsidP="009136EF">
            <w:pPr>
              <w:widowControl w:val="0"/>
              <w:autoSpaceDE w:val="0"/>
              <w:autoSpaceDN w:val="0"/>
              <w:adjustRightInd w:val="0"/>
              <w:rPr>
                <w:sz w:val="22"/>
                <w:szCs w:val="22"/>
              </w:rPr>
            </w:pPr>
            <w:r w:rsidRPr="008C60C2">
              <w:rPr>
                <w:sz w:val="22"/>
                <w:szCs w:val="22"/>
              </w:rPr>
              <w:t xml:space="preserve">12,260,115 </w:t>
            </w:r>
          </w:p>
        </w:tc>
        <w:tc>
          <w:tcPr>
            <w:tcW w:w="1090" w:type="dxa"/>
            <w:hideMark/>
          </w:tcPr>
          <w:p w14:paraId="537A8579" w14:textId="77777777" w:rsidR="009136EF" w:rsidRPr="008C60C2" w:rsidRDefault="009136EF" w:rsidP="009136EF">
            <w:pPr>
              <w:widowControl w:val="0"/>
              <w:autoSpaceDE w:val="0"/>
              <w:autoSpaceDN w:val="0"/>
              <w:adjustRightInd w:val="0"/>
              <w:rPr>
                <w:sz w:val="22"/>
                <w:szCs w:val="22"/>
              </w:rPr>
            </w:pPr>
            <w:r w:rsidRPr="008C60C2">
              <w:rPr>
                <w:sz w:val="22"/>
                <w:szCs w:val="22"/>
              </w:rPr>
              <w:t>3.7%</w:t>
            </w:r>
          </w:p>
        </w:tc>
        <w:tc>
          <w:tcPr>
            <w:tcW w:w="1253" w:type="dxa"/>
            <w:hideMark/>
          </w:tcPr>
          <w:p w14:paraId="1E5F5963" w14:textId="0AD45DB8" w:rsidR="009136EF" w:rsidRPr="008C60C2" w:rsidRDefault="009136EF" w:rsidP="009136EF">
            <w:pPr>
              <w:widowControl w:val="0"/>
              <w:autoSpaceDE w:val="0"/>
              <w:autoSpaceDN w:val="0"/>
              <w:adjustRightInd w:val="0"/>
              <w:rPr>
                <w:sz w:val="22"/>
                <w:szCs w:val="22"/>
              </w:rPr>
            </w:pPr>
            <w:r w:rsidRPr="008C60C2">
              <w:rPr>
                <w:sz w:val="22"/>
                <w:szCs w:val="22"/>
              </w:rPr>
              <w:t xml:space="preserve">3,246 </w:t>
            </w:r>
          </w:p>
        </w:tc>
        <w:tc>
          <w:tcPr>
            <w:tcW w:w="1075" w:type="dxa"/>
            <w:hideMark/>
          </w:tcPr>
          <w:p w14:paraId="4AF4EA0E" w14:textId="203F660F" w:rsidR="009136EF" w:rsidRPr="008C60C2" w:rsidRDefault="009136EF" w:rsidP="009136EF">
            <w:pPr>
              <w:widowControl w:val="0"/>
              <w:autoSpaceDE w:val="0"/>
              <w:autoSpaceDN w:val="0"/>
              <w:adjustRightInd w:val="0"/>
              <w:rPr>
                <w:sz w:val="22"/>
                <w:szCs w:val="22"/>
              </w:rPr>
            </w:pPr>
            <w:r w:rsidRPr="008C60C2">
              <w:rPr>
                <w:sz w:val="22"/>
                <w:szCs w:val="22"/>
              </w:rPr>
              <w:t xml:space="preserve">124 </w:t>
            </w:r>
          </w:p>
        </w:tc>
        <w:tc>
          <w:tcPr>
            <w:tcW w:w="951" w:type="dxa"/>
            <w:hideMark/>
          </w:tcPr>
          <w:p w14:paraId="30C3F2AE" w14:textId="77777777" w:rsidR="009136EF" w:rsidRPr="008C60C2" w:rsidRDefault="009136EF" w:rsidP="009136EF">
            <w:pPr>
              <w:widowControl w:val="0"/>
              <w:autoSpaceDE w:val="0"/>
              <w:autoSpaceDN w:val="0"/>
              <w:adjustRightInd w:val="0"/>
              <w:rPr>
                <w:sz w:val="22"/>
                <w:szCs w:val="22"/>
              </w:rPr>
            </w:pPr>
            <w:r w:rsidRPr="008C60C2">
              <w:rPr>
                <w:sz w:val="22"/>
                <w:szCs w:val="22"/>
              </w:rPr>
              <w:t>3.8%</w:t>
            </w:r>
          </w:p>
        </w:tc>
      </w:tr>
      <w:tr w:rsidR="009136EF" w:rsidRPr="002261A6" w14:paraId="66998BD7" w14:textId="77777777" w:rsidTr="00790EAD">
        <w:trPr>
          <w:trHeight w:val="301"/>
        </w:trPr>
        <w:tc>
          <w:tcPr>
            <w:tcW w:w="1343" w:type="dxa"/>
            <w:vMerge/>
            <w:hideMark/>
          </w:tcPr>
          <w:p w14:paraId="3D156B3D" w14:textId="77777777" w:rsidR="009136EF" w:rsidRPr="008C60C2" w:rsidRDefault="009136EF" w:rsidP="009136EF">
            <w:pPr>
              <w:widowControl w:val="0"/>
              <w:autoSpaceDE w:val="0"/>
              <w:autoSpaceDN w:val="0"/>
              <w:adjustRightInd w:val="0"/>
              <w:spacing w:line="480" w:lineRule="auto"/>
              <w:ind w:firstLine="720"/>
              <w:rPr>
                <w:sz w:val="22"/>
                <w:szCs w:val="22"/>
              </w:rPr>
            </w:pPr>
          </w:p>
        </w:tc>
        <w:tc>
          <w:tcPr>
            <w:tcW w:w="1302" w:type="dxa"/>
            <w:hideMark/>
          </w:tcPr>
          <w:p w14:paraId="79BFC625" w14:textId="1F219748" w:rsidR="009136EF" w:rsidRPr="008C60C2" w:rsidRDefault="009136EF" w:rsidP="009136EF">
            <w:pPr>
              <w:widowControl w:val="0"/>
              <w:autoSpaceDE w:val="0"/>
              <w:autoSpaceDN w:val="0"/>
              <w:adjustRightInd w:val="0"/>
              <w:rPr>
                <w:sz w:val="22"/>
                <w:szCs w:val="22"/>
              </w:rPr>
            </w:pPr>
            <w:r w:rsidRPr="008C60C2">
              <w:rPr>
                <w:sz w:val="22"/>
                <w:szCs w:val="22"/>
              </w:rPr>
              <w:t>Avg. (1995-2014)</w:t>
            </w:r>
          </w:p>
        </w:tc>
        <w:tc>
          <w:tcPr>
            <w:tcW w:w="1239" w:type="dxa"/>
            <w:hideMark/>
          </w:tcPr>
          <w:p w14:paraId="4D21621E" w14:textId="617CDA40" w:rsidR="009136EF" w:rsidRPr="008C60C2" w:rsidRDefault="009136EF" w:rsidP="009136EF">
            <w:pPr>
              <w:widowControl w:val="0"/>
              <w:autoSpaceDE w:val="0"/>
              <w:autoSpaceDN w:val="0"/>
              <w:adjustRightInd w:val="0"/>
              <w:rPr>
                <w:sz w:val="22"/>
                <w:szCs w:val="22"/>
              </w:rPr>
            </w:pPr>
            <w:r w:rsidRPr="008C60C2">
              <w:rPr>
                <w:sz w:val="22"/>
                <w:szCs w:val="22"/>
              </w:rPr>
              <w:t xml:space="preserve">331,162,263 </w:t>
            </w:r>
          </w:p>
        </w:tc>
        <w:tc>
          <w:tcPr>
            <w:tcW w:w="1177" w:type="dxa"/>
            <w:hideMark/>
          </w:tcPr>
          <w:p w14:paraId="14BDE94D" w14:textId="2DD37B3B" w:rsidR="009136EF" w:rsidRPr="008C60C2" w:rsidRDefault="009136EF" w:rsidP="009136EF">
            <w:pPr>
              <w:widowControl w:val="0"/>
              <w:autoSpaceDE w:val="0"/>
              <w:autoSpaceDN w:val="0"/>
              <w:adjustRightInd w:val="0"/>
              <w:rPr>
                <w:sz w:val="22"/>
                <w:szCs w:val="22"/>
              </w:rPr>
            </w:pPr>
            <w:r w:rsidRPr="008C60C2">
              <w:rPr>
                <w:sz w:val="22"/>
                <w:szCs w:val="22"/>
              </w:rPr>
              <w:t xml:space="preserve">5,544,399 </w:t>
            </w:r>
          </w:p>
        </w:tc>
        <w:tc>
          <w:tcPr>
            <w:tcW w:w="1090" w:type="dxa"/>
            <w:hideMark/>
          </w:tcPr>
          <w:p w14:paraId="54ABDEA0" w14:textId="77777777" w:rsidR="009136EF" w:rsidRPr="008C60C2" w:rsidRDefault="009136EF" w:rsidP="009136EF">
            <w:pPr>
              <w:widowControl w:val="0"/>
              <w:autoSpaceDE w:val="0"/>
              <w:autoSpaceDN w:val="0"/>
              <w:adjustRightInd w:val="0"/>
              <w:rPr>
                <w:sz w:val="22"/>
                <w:szCs w:val="22"/>
              </w:rPr>
            </w:pPr>
            <w:r w:rsidRPr="008C60C2">
              <w:rPr>
                <w:sz w:val="22"/>
                <w:szCs w:val="22"/>
              </w:rPr>
              <w:t>1.7%</w:t>
            </w:r>
          </w:p>
        </w:tc>
        <w:tc>
          <w:tcPr>
            <w:tcW w:w="1253" w:type="dxa"/>
            <w:hideMark/>
          </w:tcPr>
          <w:p w14:paraId="60888E0B" w14:textId="101C1431" w:rsidR="009136EF" w:rsidRPr="008C60C2" w:rsidRDefault="009136EF" w:rsidP="009136EF">
            <w:pPr>
              <w:widowControl w:val="0"/>
              <w:autoSpaceDE w:val="0"/>
              <w:autoSpaceDN w:val="0"/>
              <w:adjustRightInd w:val="0"/>
              <w:rPr>
                <w:sz w:val="22"/>
                <w:szCs w:val="22"/>
              </w:rPr>
            </w:pPr>
            <w:r w:rsidRPr="008C60C2">
              <w:rPr>
                <w:sz w:val="22"/>
                <w:szCs w:val="22"/>
              </w:rPr>
              <w:t xml:space="preserve">4,486 </w:t>
            </w:r>
          </w:p>
        </w:tc>
        <w:tc>
          <w:tcPr>
            <w:tcW w:w="1075" w:type="dxa"/>
            <w:hideMark/>
          </w:tcPr>
          <w:p w14:paraId="71BE27BE" w14:textId="61A7F561" w:rsidR="009136EF" w:rsidRPr="008C60C2" w:rsidRDefault="009136EF" w:rsidP="009136EF">
            <w:pPr>
              <w:widowControl w:val="0"/>
              <w:autoSpaceDE w:val="0"/>
              <w:autoSpaceDN w:val="0"/>
              <w:adjustRightInd w:val="0"/>
              <w:rPr>
                <w:sz w:val="22"/>
                <w:szCs w:val="22"/>
              </w:rPr>
            </w:pPr>
            <w:r w:rsidRPr="008C60C2">
              <w:rPr>
                <w:sz w:val="22"/>
                <w:szCs w:val="22"/>
              </w:rPr>
              <w:t xml:space="preserve">65 </w:t>
            </w:r>
          </w:p>
        </w:tc>
        <w:tc>
          <w:tcPr>
            <w:tcW w:w="951" w:type="dxa"/>
            <w:hideMark/>
          </w:tcPr>
          <w:p w14:paraId="27078582" w14:textId="77777777" w:rsidR="009136EF" w:rsidRPr="008C60C2" w:rsidRDefault="009136EF" w:rsidP="009136EF">
            <w:pPr>
              <w:widowControl w:val="0"/>
              <w:autoSpaceDE w:val="0"/>
              <w:autoSpaceDN w:val="0"/>
              <w:adjustRightInd w:val="0"/>
              <w:rPr>
                <w:sz w:val="22"/>
                <w:szCs w:val="22"/>
              </w:rPr>
            </w:pPr>
            <w:r w:rsidRPr="008C60C2">
              <w:rPr>
                <w:sz w:val="22"/>
                <w:szCs w:val="22"/>
              </w:rPr>
              <w:t>1.5%</w:t>
            </w:r>
          </w:p>
        </w:tc>
      </w:tr>
      <w:tr w:rsidR="009136EF" w:rsidRPr="002261A6" w14:paraId="66CFB25F" w14:textId="77777777" w:rsidTr="00790EAD">
        <w:trPr>
          <w:trHeight w:val="301"/>
        </w:trPr>
        <w:tc>
          <w:tcPr>
            <w:tcW w:w="9430" w:type="dxa"/>
            <w:gridSpan w:val="8"/>
          </w:tcPr>
          <w:p w14:paraId="3289AD72" w14:textId="6F3CAEF3" w:rsidR="009136EF" w:rsidRPr="008C60C2" w:rsidRDefault="009136EF" w:rsidP="009136EF">
            <w:pPr>
              <w:widowControl w:val="0"/>
              <w:autoSpaceDE w:val="0"/>
              <w:autoSpaceDN w:val="0"/>
              <w:adjustRightInd w:val="0"/>
              <w:rPr>
                <w:sz w:val="22"/>
                <w:szCs w:val="22"/>
              </w:rPr>
            </w:pPr>
            <w:r w:rsidRPr="008C60C2">
              <w:rPr>
                <w:color w:val="1D1D1D"/>
                <w:sz w:val="22"/>
                <w:szCs w:val="22"/>
              </w:rPr>
              <w:t>*This count is not representative of unique owners. Rather, an individual that owns quota shares in multiple management</w:t>
            </w:r>
            <w:r w:rsidR="00005325" w:rsidRPr="008C60C2">
              <w:rPr>
                <w:color w:val="1D1D1D"/>
                <w:sz w:val="22"/>
                <w:szCs w:val="22"/>
              </w:rPr>
              <w:t xml:space="preserve"> areas</w:t>
            </w:r>
            <w:r w:rsidRPr="008C60C2">
              <w:rPr>
                <w:color w:val="1D1D1D"/>
                <w:sz w:val="22"/>
                <w:szCs w:val="22"/>
              </w:rPr>
              <w:t xml:space="preserve"> is counted in each area where their shares are held. Source: NMFS (2015).</w:t>
            </w:r>
          </w:p>
        </w:tc>
      </w:tr>
    </w:tbl>
    <w:p w14:paraId="09F28272" w14:textId="77777777" w:rsidR="009F06F3" w:rsidRPr="008C60C2" w:rsidRDefault="009F06F3" w:rsidP="00E52ADB">
      <w:pPr>
        <w:widowControl w:val="0"/>
        <w:autoSpaceDE w:val="0"/>
        <w:autoSpaceDN w:val="0"/>
        <w:adjustRightInd w:val="0"/>
        <w:spacing w:line="480" w:lineRule="auto"/>
        <w:ind w:firstLine="720"/>
      </w:pPr>
    </w:p>
    <w:p w14:paraId="5C74FA15" w14:textId="0B29AE73" w:rsidR="00D80ED7" w:rsidRPr="008C60C2" w:rsidRDefault="009136EF" w:rsidP="009136EF">
      <w:pPr>
        <w:widowControl w:val="0"/>
        <w:autoSpaceDE w:val="0"/>
        <w:autoSpaceDN w:val="0"/>
        <w:adjustRightInd w:val="0"/>
        <w:spacing w:line="480" w:lineRule="auto"/>
        <w:rPr>
          <w:color w:val="1D1D1D"/>
        </w:rPr>
      </w:pPr>
      <w:r w:rsidRPr="008C60C2">
        <w:t>These d</w:t>
      </w:r>
      <w:r w:rsidR="0092139F" w:rsidRPr="008C60C2">
        <w:t>ata demonstrate there have been a</w:t>
      </w:r>
      <w:r w:rsidRPr="008C60C2">
        <w:t xml:space="preserve"> limited number of lease transactions during the program’s first </w:t>
      </w:r>
      <w:r w:rsidR="00356784">
        <w:t>twenty</w:t>
      </w:r>
      <w:r w:rsidR="00356784" w:rsidRPr="008C60C2">
        <w:t xml:space="preserve"> </w:t>
      </w:r>
      <w:r w:rsidRPr="008C60C2">
        <w:t>years</w:t>
      </w:r>
      <w:r w:rsidR="0092139F" w:rsidRPr="008C60C2">
        <w:t xml:space="preserve"> for catcher vessel shares</w:t>
      </w:r>
      <w:r w:rsidR="00596D5A">
        <w:t xml:space="preserve">. </w:t>
      </w:r>
      <w:r w:rsidR="00D80ED7" w:rsidRPr="008C60C2">
        <w:t xml:space="preserve"> Leasing rules often raise distributional concerns because fishers leasing quota from owners receive significantly less rent from the catch while incurring all of the operating costs (</w:t>
      </w:r>
      <w:proofErr w:type="spellStart"/>
      <w:r w:rsidR="00D80ED7" w:rsidRPr="008C60C2">
        <w:t>Pálsson</w:t>
      </w:r>
      <w:proofErr w:type="spellEnd"/>
      <w:r w:rsidR="00D80ED7" w:rsidRPr="008C60C2">
        <w:t xml:space="preserve"> and </w:t>
      </w:r>
      <w:proofErr w:type="spellStart"/>
      <w:r w:rsidR="00D80ED7" w:rsidRPr="008C60C2">
        <w:t>Helgason</w:t>
      </w:r>
      <w:proofErr w:type="spellEnd"/>
      <w:r w:rsidR="00D80ED7" w:rsidRPr="008C60C2">
        <w:t xml:space="preserve"> 1995)</w:t>
      </w:r>
      <w:r w:rsidR="006E083D">
        <w:t xml:space="preserve">, </w:t>
      </w:r>
      <w:r w:rsidR="00D80ED7" w:rsidRPr="008C60C2">
        <w:t xml:space="preserve">disproportionately </w:t>
      </w:r>
      <w:r w:rsidR="00D80ED7" w:rsidRPr="008C60C2">
        <w:lastRenderedPageBreak/>
        <w:t>redistribut</w:t>
      </w:r>
      <w:r w:rsidR="006E083D">
        <w:t>ing</w:t>
      </w:r>
      <w:r w:rsidR="00D80ED7" w:rsidRPr="008C60C2">
        <w:t xml:space="preserve"> rents from crewmembers and hired skippers to quota owners where the latter are the primary beneficiar</w:t>
      </w:r>
      <w:r w:rsidR="000271AF" w:rsidRPr="008C60C2">
        <w:t>ies</w:t>
      </w:r>
      <w:r w:rsidR="00D80ED7" w:rsidRPr="008C60C2">
        <w:t xml:space="preserve">. </w:t>
      </w:r>
    </w:p>
    <w:p w14:paraId="29DF80BF" w14:textId="1084CF47" w:rsidR="006C0A02" w:rsidRPr="008C60C2" w:rsidRDefault="00124066" w:rsidP="004D7CE2">
      <w:pPr>
        <w:widowControl w:val="0"/>
        <w:autoSpaceDE w:val="0"/>
        <w:autoSpaceDN w:val="0"/>
        <w:adjustRightInd w:val="0"/>
        <w:spacing w:line="480" w:lineRule="auto"/>
        <w:rPr>
          <w:b/>
          <w:color w:val="1D1D1D"/>
        </w:rPr>
      </w:pPr>
      <w:r w:rsidRPr="008C60C2">
        <w:rPr>
          <w:b/>
          <w:color w:val="1D1D1D"/>
        </w:rPr>
        <w:t>6</w:t>
      </w:r>
      <w:r w:rsidR="005D6611" w:rsidRPr="008C60C2">
        <w:rPr>
          <w:b/>
          <w:color w:val="1D1D1D"/>
        </w:rPr>
        <w:t xml:space="preserve">.0 </w:t>
      </w:r>
      <w:r w:rsidR="0010542C" w:rsidRPr="008C60C2">
        <w:rPr>
          <w:b/>
          <w:color w:val="1D1D1D"/>
        </w:rPr>
        <w:t>Discussion</w:t>
      </w:r>
    </w:p>
    <w:p w14:paraId="5A669DA1" w14:textId="7A449EA4" w:rsidR="00EA1AC6" w:rsidRPr="008C60C2" w:rsidRDefault="004167E6" w:rsidP="00B73B5F">
      <w:pPr>
        <w:spacing w:line="480" w:lineRule="auto"/>
        <w:ind w:firstLine="720"/>
      </w:pPr>
      <w:r w:rsidRPr="008C60C2">
        <w:t xml:space="preserve">Alaska’s halibut and sablefish IFQ program is </w:t>
      </w:r>
      <w:r w:rsidR="003364FF">
        <w:t>c</w:t>
      </w:r>
      <w:r w:rsidRPr="008C60C2">
        <w:t xml:space="preserve">onsidered to be a management policy founded upon neoliberal preferences for </w:t>
      </w:r>
      <w:r w:rsidR="00B54FB4" w:rsidRPr="008C60C2">
        <w:t xml:space="preserve">free </w:t>
      </w:r>
      <w:r w:rsidRPr="008C60C2">
        <w:t xml:space="preserve">markets and </w:t>
      </w:r>
      <w:r w:rsidR="00B54FB4" w:rsidRPr="008C60C2">
        <w:t xml:space="preserve">strong </w:t>
      </w:r>
      <w:r w:rsidRPr="008C60C2">
        <w:t>property rights (</w:t>
      </w:r>
      <w:r w:rsidRPr="008C60C2">
        <w:rPr>
          <w:color w:val="000000" w:themeColor="text1"/>
        </w:rPr>
        <w:t>Carothers</w:t>
      </w:r>
      <w:r w:rsidR="003364FF">
        <w:rPr>
          <w:color w:val="000000" w:themeColor="text1"/>
        </w:rPr>
        <w:t xml:space="preserve"> 2008, </w:t>
      </w:r>
      <w:r w:rsidRPr="008C60C2">
        <w:t>2011)</w:t>
      </w:r>
      <w:r w:rsidR="00E217D9" w:rsidRPr="008C60C2">
        <w:t xml:space="preserve">, but </w:t>
      </w:r>
      <w:r w:rsidRPr="008C60C2">
        <w:t xml:space="preserve">the comparative analysis presented here </w:t>
      </w:r>
      <w:r w:rsidR="00E217D9" w:rsidRPr="008C60C2">
        <w:t>clarifies</w:t>
      </w:r>
      <w:r w:rsidR="00641175" w:rsidRPr="008C60C2">
        <w:t xml:space="preserve"> important</w:t>
      </w:r>
      <w:r w:rsidR="00E736C6" w:rsidRPr="008C60C2">
        <w:t xml:space="preserve"> </w:t>
      </w:r>
      <w:r w:rsidR="00E217D9" w:rsidRPr="008C60C2">
        <w:t>policy distinctions</w:t>
      </w:r>
      <w:r w:rsidR="00BC1F0D" w:rsidRPr="008C60C2">
        <w:t xml:space="preserve"> </w:t>
      </w:r>
      <w:r w:rsidRPr="008C60C2">
        <w:t xml:space="preserve">that </w:t>
      </w:r>
      <w:r w:rsidR="00F13618" w:rsidRPr="008C60C2">
        <w:t xml:space="preserve">can be </w:t>
      </w:r>
      <w:r w:rsidRPr="008C60C2">
        <w:t xml:space="preserve">missed when market-based policies are </w:t>
      </w:r>
      <w:r w:rsidR="00B54FB4" w:rsidRPr="008C60C2">
        <w:t xml:space="preserve">too </w:t>
      </w:r>
      <w:r w:rsidR="00EF7DFD" w:rsidRPr="008C60C2">
        <w:t xml:space="preserve">quickly </w:t>
      </w:r>
      <w:r w:rsidRPr="008C60C2">
        <w:t>celebrated or rejected as tools of commodification.</w:t>
      </w:r>
      <w:r w:rsidR="00E52ADB" w:rsidRPr="008C60C2">
        <w:t xml:space="preserve"> </w:t>
      </w:r>
      <w:r w:rsidR="00FC6A91" w:rsidRPr="008C60C2">
        <w:t xml:space="preserve">Alaska’s IFQ program includes unique rules that worked to prevent IFQs from being consolidated through the transfer or sale </w:t>
      </w:r>
      <w:r w:rsidR="00FC6A91">
        <w:t>of quota shares</w:t>
      </w:r>
      <w:r w:rsidR="00FC6A91" w:rsidRPr="008C60C2">
        <w:t xml:space="preserve">—rules that emerged from unique socio-political conditions in Alaska and that also appear at the surface to have had some success at protecting the interests of small fishing operators and communities. </w:t>
      </w:r>
      <w:r w:rsidR="00F92D46" w:rsidRPr="008C60C2">
        <w:t>For example</w:t>
      </w:r>
      <w:r w:rsidR="00A0155A" w:rsidRPr="008C60C2">
        <w:rPr>
          <w:color w:val="1D1D1D"/>
        </w:rPr>
        <w:t xml:space="preserve">, </w:t>
      </w:r>
      <w:r w:rsidR="003364FF" w:rsidRPr="008C60C2">
        <w:rPr>
          <w:color w:val="1D1D1D"/>
        </w:rPr>
        <w:t>Alaska’s</w:t>
      </w:r>
      <w:r w:rsidR="003364FF">
        <w:rPr>
          <w:color w:val="1D1D1D"/>
        </w:rPr>
        <w:t xml:space="preserve"> </w:t>
      </w:r>
      <w:r w:rsidR="00FC6A91">
        <w:rPr>
          <w:color w:val="1D1D1D"/>
        </w:rPr>
        <w:t xml:space="preserve">halibut </w:t>
      </w:r>
      <w:r w:rsidR="003364FF">
        <w:rPr>
          <w:color w:val="1D1D1D"/>
        </w:rPr>
        <w:t xml:space="preserve">program </w:t>
      </w:r>
      <w:r w:rsidR="00BA372D" w:rsidRPr="008C60C2">
        <w:rPr>
          <w:color w:val="1D1D1D"/>
        </w:rPr>
        <w:t>allocate</w:t>
      </w:r>
      <w:r w:rsidR="00E52ADB" w:rsidRPr="008C60C2">
        <w:rPr>
          <w:color w:val="1D1D1D"/>
        </w:rPr>
        <w:t>d</w:t>
      </w:r>
      <w:r w:rsidR="00BA372D" w:rsidRPr="008C60C2">
        <w:rPr>
          <w:color w:val="1D1D1D"/>
        </w:rPr>
        <w:t xml:space="preserve"> shares to individuals </w:t>
      </w:r>
      <w:r w:rsidR="00E52ADB" w:rsidRPr="008C60C2">
        <w:rPr>
          <w:color w:val="1D1D1D"/>
        </w:rPr>
        <w:t>and used</w:t>
      </w:r>
      <w:r w:rsidR="00BA372D" w:rsidRPr="008C60C2">
        <w:rPr>
          <w:color w:val="1D1D1D"/>
        </w:rPr>
        <w:t xml:space="preserve"> vessel class sizes to protect the diversity of </w:t>
      </w:r>
      <w:r w:rsidR="007A3473">
        <w:rPr>
          <w:color w:val="1D1D1D"/>
        </w:rPr>
        <w:t>the fishing fleet</w:t>
      </w:r>
      <w:r w:rsidR="003A05DB">
        <w:rPr>
          <w:color w:val="1D1D1D"/>
        </w:rPr>
        <w:t xml:space="preserve"> and</w:t>
      </w:r>
      <w:r w:rsidR="007A3473">
        <w:rPr>
          <w:color w:val="1D1D1D"/>
        </w:rPr>
        <w:t xml:space="preserve"> local </w:t>
      </w:r>
      <w:r w:rsidR="003A05DB">
        <w:rPr>
          <w:color w:val="1D1D1D"/>
        </w:rPr>
        <w:t xml:space="preserve">fishing </w:t>
      </w:r>
      <w:r w:rsidR="007A3473">
        <w:rPr>
          <w:color w:val="1D1D1D"/>
        </w:rPr>
        <w:t>communities</w:t>
      </w:r>
      <w:r w:rsidR="00BA372D" w:rsidRPr="008C60C2">
        <w:rPr>
          <w:color w:val="1D1D1D"/>
        </w:rPr>
        <w:t xml:space="preserve">. </w:t>
      </w:r>
      <w:r w:rsidR="00E217D9" w:rsidRPr="008C60C2">
        <w:rPr>
          <w:color w:val="1D1D1D"/>
        </w:rPr>
        <w:t>This decision sharply contrasts</w:t>
      </w:r>
      <w:r w:rsidR="00BA372D" w:rsidRPr="008C60C2">
        <w:rPr>
          <w:color w:val="1D1D1D"/>
        </w:rPr>
        <w:t xml:space="preserve"> New Zealand’s </w:t>
      </w:r>
      <w:r w:rsidR="00E52ADB" w:rsidRPr="008C60C2">
        <w:rPr>
          <w:color w:val="1D1D1D"/>
        </w:rPr>
        <w:t>deliberate removal of</w:t>
      </w:r>
      <w:r w:rsidR="00BA372D" w:rsidRPr="008C60C2">
        <w:rPr>
          <w:color w:val="000000" w:themeColor="text1"/>
        </w:rPr>
        <w:t xml:space="preserve"> part time fishers </w:t>
      </w:r>
      <w:r w:rsidR="00E217D9" w:rsidRPr="008C60C2">
        <w:rPr>
          <w:color w:val="000000" w:themeColor="text1"/>
        </w:rPr>
        <w:t>under the</w:t>
      </w:r>
      <w:r w:rsidR="00BA372D" w:rsidRPr="008C60C2">
        <w:rPr>
          <w:color w:val="000000" w:themeColor="text1"/>
        </w:rPr>
        <w:t xml:space="preserve"> QMS </w:t>
      </w:r>
      <w:r w:rsidR="00E217D9" w:rsidRPr="008C60C2">
        <w:rPr>
          <w:color w:val="000000" w:themeColor="text1"/>
        </w:rPr>
        <w:t xml:space="preserve">in order to prioritize </w:t>
      </w:r>
      <w:r w:rsidR="00BA372D" w:rsidRPr="008C60C2">
        <w:rPr>
          <w:color w:val="000000" w:themeColor="text1"/>
        </w:rPr>
        <w:t>professionalizing the industry</w:t>
      </w:r>
      <w:r w:rsidR="00E217D9" w:rsidRPr="008C60C2">
        <w:rPr>
          <w:color w:val="000000" w:themeColor="text1"/>
        </w:rPr>
        <w:t xml:space="preserve">, improve </w:t>
      </w:r>
      <w:r w:rsidR="00BA372D" w:rsidRPr="008C60C2">
        <w:rPr>
          <w:color w:val="000000" w:themeColor="text1"/>
        </w:rPr>
        <w:t>efficiency</w:t>
      </w:r>
      <w:r w:rsidR="00E217D9" w:rsidRPr="008C60C2">
        <w:rPr>
          <w:color w:val="000000" w:themeColor="text1"/>
        </w:rPr>
        <w:t>, and increase rents</w:t>
      </w:r>
      <w:r w:rsidR="00BA372D" w:rsidRPr="008C60C2">
        <w:rPr>
          <w:color w:val="000000" w:themeColor="text1"/>
        </w:rPr>
        <w:t>.</w:t>
      </w:r>
      <w:r w:rsidR="00FC6A91">
        <w:t xml:space="preserve"> </w:t>
      </w:r>
      <w:r w:rsidR="00593263">
        <w:t xml:space="preserve">However, even the most innovative rights-based management programs </w:t>
      </w:r>
      <w:r w:rsidR="003A05DB">
        <w:t xml:space="preserve">have limitations on the protections </w:t>
      </w:r>
      <w:r w:rsidR="00593263">
        <w:t>they are able to provide to local communities.</w:t>
      </w:r>
    </w:p>
    <w:p w14:paraId="6C88746D" w14:textId="3CEC4F58" w:rsidR="00750601" w:rsidRDefault="00FC6A91" w:rsidP="00750601">
      <w:pPr>
        <w:spacing w:line="480" w:lineRule="auto"/>
        <w:ind w:firstLine="720"/>
      </w:pPr>
      <w:r>
        <w:t xml:space="preserve">Despite the inclusion of these unique protective rules, the halibut fleet and </w:t>
      </w:r>
      <w:r w:rsidR="003A05DB">
        <w:t>Alaskan fishing</w:t>
      </w:r>
      <w:r w:rsidR="00D630C8">
        <w:t xml:space="preserve"> communities </w:t>
      </w:r>
      <w:r w:rsidR="00D630C8" w:rsidRPr="00E367B7">
        <w:t>ha</w:t>
      </w:r>
      <w:r w:rsidR="00D630C8">
        <w:t>ve</w:t>
      </w:r>
      <w:r w:rsidR="00D630C8" w:rsidRPr="00E367B7">
        <w:t xml:space="preserve"> undergone </w:t>
      </w:r>
      <w:r w:rsidR="00D630C8">
        <w:t xml:space="preserve">some </w:t>
      </w:r>
      <w:r w:rsidR="00D630C8" w:rsidRPr="00E367B7">
        <w:t xml:space="preserve">significant changes </w:t>
      </w:r>
      <w:r w:rsidR="00D630C8">
        <w:t>(Olson 2011)</w:t>
      </w:r>
      <w:r w:rsidR="00D630C8" w:rsidRPr="00E367B7">
        <w:t xml:space="preserve">. </w:t>
      </w:r>
      <w:r w:rsidR="00005B67">
        <w:t xml:space="preserve">Prior research </w:t>
      </w:r>
      <w:r w:rsidR="00AF11B0" w:rsidRPr="008C60C2">
        <w:t xml:space="preserve">acknowledges the inclusion of </w:t>
      </w:r>
      <w:r w:rsidR="00D92414" w:rsidRPr="008C60C2">
        <w:t>active participation rules</w:t>
      </w:r>
      <w:r w:rsidR="007A3473">
        <w:t xml:space="preserve"> (e.g., owner on board </w:t>
      </w:r>
      <w:r w:rsidR="00593263">
        <w:t>requirements</w:t>
      </w:r>
      <w:r w:rsidR="006E083D">
        <w:t xml:space="preserve"> or low quota aggregation limits</w:t>
      </w:r>
      <w:r w:rsidR="007A3473">
        <w:t>)</w:t>
      </w:r>
      <w:r w:rsidR="007A3473" w:rsidRPr="007A3473">
        <w:t xml:space="preserve"> that aim to protect </w:t>
      </w:r>
      <w:r w:rsidR="007A3473">
        <w:t xml:space="preserve">opportunities for </w:t>
      </w:r>
      <w:r w:rsidR="007A3473" w:rsidRPr="007A3473">
        <w:t xml:space="preserve">Alaskan </w:t>
      </w:r>
      <w:r w:rsidR="00D92414" w:rsidRPr="008C60C2">
        <w:t>fishing communities</w:t>
      </w:r>
      <w:r w:rsidR="00AF11B0" w:rsidRPr="008C60C2">
        <w:t>,</w:t>
      </w:r>
      <w:r w:rsidR="003A05DB">
        <w:t xml:space="preserve"> but</w:t>
      </w:r>
      <w:r w:rsidR="00AF11B0" w:rsidRPr="008C60C2">
        <w:t xml:space="preserve"> many see the</w:t>
      </w:r>
      <w:r w:rsidR="007A3473">
        <w:t>se rules</w:t>
      </w:r>
      <w:r w:rsidR="00AF11B0" w:rsidRPr="008C60C2">
        <w:t xml:space="preserve"> as insufficient for preventing negative distributional outcomes for fishing fleets and local communities (</w:t>
      </w:r>
      <w:proofErr w:type="spellStart"/>
      <w:r w:rsidR="00AF11B0" w:rsidRPr="008C60C2">
        <w:t>Szymkowiak</w:t>
      </w:r>
      <w:proofErr w:type="spellEnd"/>
      <w:r w:rsidR="00AF11B0" w:rsidRPr="008C60C2">
        <w:t xml:space="preserve"> and Himes-Cornell 2015, 2017)</w:t>
      </w:r>
      <w:r w:rsidR="007A3473">
        <w:t xml:space="preserve">. </w:t>
      </w:r>
      <w:r w:rsidR="00D336D9">
        <w:t xml:space="preserve">One critique </w:t>
      </w:r>
      <w:r w:rsidR="00D336D9">
        <w:lastRenderedPageBreak/>
        <w:t xml:space="preserve">leveraged against these rules </w:t>
      </w:r>
      <w:r w:rsidR="00005B67">
        <w:t xml:space="preserve">was </w:t>
      </w:r>
      <w:r w:rsidR="00D336D9">
        <w:t>the absence of any place-based requirements for owner residency</w:t>
      </w:r>
      <w:r w:rsidR="00750601">
        <w:t xml:space="preserve"> that would further</w:t>
      </w:r>
      <w:r w:rsidR="003A05DB">
        <w:t xml:space="preserve"> protect</w:t>
      </w:r>
      <w:r w:rsidR="000A075E">
        <w:t xml:space="preserve"> local fishing communities by ensuring quota shares stay</w:t>
      </w:r>
      <w:r w:rsidR="00005B67">
        <w:t>ed</w:t>
      </w:r>
      <w:r w:rsidR="000A075E">
        <w:t xml:space="preserve"> within the region </w:t>
      </w:r>
      <w:r w:rsidR="00D336D9">
        <w:t>(Carothers 2013)</w:t>
      </w:r>
      <w:r w:rsidR="00750601">
        <w:t xml:space="preserve">. </w:t>
      </w:r>
      <w:r w:rsidR="00D630C8">
        <w:t xml:space="preserve">A place-based requirement for quota shares may have had great utility for protecting </w:t>
      </w:r>
      <w:r w:rsidR="003A05DB">
        <w:t xml:space="preserve">these </w:t>
      </w:r>
      <w:r w:rsidR="00D630C8">
        <w:t>communities</w:t>
      </w:r>
      <w:r w:rsidR="006E083D">
        <w:t xml:space="preserve">—over </w:t>
      </w:r>
      <w:r w:rsidR="00630FA5" w:rsidRPr="008C60C2">
        <w:t xml:space="preserve">5.5 million halibut quota share units </w:t>
      </w:r>
      <w:r w:rsidR="006E083D">
        <w:t>were</w:t>
      </w:r>
      <w:r w:rsidR="003A05DB" w:rsidRPr="008C60C2">
        <w:t xml:space="preserve"> </w:t>
      </w:r>
      <w:r w:rsidR="00630FA5" w:rsidRPr="008C60C2">
        <w:t xml:space="preserve">sold </w:t>
      </w:r>
      <w:r w:rsidR="003A05DB">
        <w:t xml:space="preserve">by individuals </w:t>
      </w:r>
      <w:r w:rsidR="00E51037" w:rsidRPr="008C60C2">
        <w:t>residing in small remote fishing communities</w:t>
      </w:r>
      <w:r w:rsidR="006E083D">
        <w:t>—</w:t>
      </w:r>
      <w:r w:rsidR="0007315E" w:rsidRPr="008C60C2">
        <w:t>in the first few years after the IFQ program’s implementation</w:t>
      </w:r>
      <w:r w:rsidR="00D630C8">
        <w:t xml:space="preserve"> (Carothers et al., 2010)</w:t>
      </w:r>
      <w:r w:rsidR="001C5983" w:rsidRPr="008C60C2">
        <w:t>.</w:t>
      </w:r>
      <w:r w:rsidR="00E51037" w:rsidRPr="008C60C2">
        <w:t xml:space="preserve"> </w:t>
      </w:r>
      <w:r w:rsidR="00D336D9">
        <w:t>Although</w:t>
      </w:r>
      <w:r w:rsidR="00D336D9" w:rsidRPr="008C60C2">
        <w:t xml:space="preserve"> </w:t>
      </w:r>
      <w:r w:rsidR="00E51037" w:rsidRPr="008C60C2">
        <w:t>these trends might be alarming for managers</w:t>
      </w:r>
      <w:r w:rsidR="00D336D9">
        <w:t xml:space="preserve">, </w:t>
      </w:r>
      <w:r w:rsidR="00E51037" w:rsidRPr="008C60C2">
        <w:t>policy-makers</w:t>
      </w:r>
      <w:r w:rsidR="00D336D9">
        <w:t>, and local fishers,</w:t>
      </w:r>
      <w:r w:rsidR="00E51037" w:rsidRPr="008C60C2">
        <w:t xml:space="preserve"> </w:t>
      </w:r>
      <w:r w:rsidR="00D336D9">
        <w:t>these shares represent</w:t>
      </w:r>
      <w:r w:rsidR="00E51037" w:rsidRPr="008C60C2">
        <w:t xml:space="preserve"> approximately 10% of the total quota share</w:t>
      </w:r>
      <w:r w:rsidR="007A3473">
        <w:t xml:space="preserve"> transfers </w:t>
      </w:r>
      <w:r w:rsidR="00E51037" w:rsidRPr="008C60C2">
        <w:t>from 1995-1999 (Carothers et al.</w:t>
      </w:r>
      <w:r w:rsidR="007A3473">
        <w:t>,</w:t>
      </w:r>
      <w:r w:rsidR="00E51037" w:rsidRPr="008C60C2">
        <w:t xml:space="preserve"> 2010), and the data presented above in Table </w:t>
      </w:r>
      <w:r w:rsidR="007A3473">
        <w:t>3</w:t>
      </w:r>
      <w:r w:rsidR="00E51037" w:rsidRPr="008C60C2">
        <w:t xml:space="preserve"> suggests that individual operators are still the primary group of quota owners. </w:t>
      </w:r>
    </w:p>
    <w:p w14:paraId="4C4E9929" w14:textId="74CD76D6" w:rsidR="00EA2467" w:rsidRPr="008C60C2" w:rsidRDefault="007A3473" w:rsidP="00750601">
      <w:pPr>
        <w:spacing w:line="480" w:lineRule="auto"/>
        <w:ind w:firstLine="720"/>
      </w:pPr>
      <w:r>
        <w:t xml:space="preserve">These </w:t>
      </w:r>
      <w:r w:rsidR="00D630C8">
        <w:t>findings</w:t>
      </w:r>
      <w:r>
        <w:t xml:space="preserve"> make it clear that </w:t>
      </w:r>
      <w:r w:rsidR="00593263">
        <w:t>there is uncertainty regarding the</w:t>
      </w:r>
      <w:r>
        <w:t xml:space="preserve"> </w:t>
      </w:r>
      <w:r w:rsidR="00E51037" w:rsidRPr="008C60C2">
        <w:t xml:space="preserve">full implication of the equity rules contained in Alaska’s halibut IFQ program. </w:t>
      </w:r>
      <w:r w:rsidR="00FA3460">
        <w:t>Thus, o</w:t>
      </w:r>
      <w:r w:rsidR="00E51037" w:rsidRPr="008C60C2">
        <w:t xml:space="preserve">ne </w:t>
      </w:r>
      <w:r w:rsidRPr="007A3473">
        <w:t xml:space="preserve">important question arising from </w:t>
      </w:r>
      <w:r>
        <w:t>this research</w:t>
      </w:r>
      <w:r w:rsidRPr="007A3473">
        <w:t xml:space="preserve"> i</w:t>
      </w:r>
      <w:r w:rsidR="00E51037" w:rsidRPr="008C60C2">
        <w:t>s the extent to which equity rules protect Alaskan fishers</w:t>
      </w:r>
      <w:r>
        <w:t xml:space="preserve">, and which class of harvesters </w:t>
      </w:r>
      <w:r w:rsidR="00A46515">
        <w:t>receive the greatest benefit from these provisions</w:t>
      </w:r>
      <w:r w:rsidR="00E51037" w:rsidRPr="008C60C2">
        <w:t xml:space="preserve">. </w:t>
      </w:r>
      <w:r w:rsidR="00593263">
        <w:t>H</w:t>
      </w:r>
      <w:r w:rsidR="000A075E">
        <w:t xml:space="preserve">alibut fisher’s </w:t>
      </w:r>
      <w:r w:rsidR="00593263">
        <w:t>participation in the IFQ markets varies by individual’s</w:t>
      </w:r>
      <w:r w:rsidR="000A075E">
        <w:t xml:space="preserve"> </w:t>
      </w:r>
      <w:r w:rsidR="006C4836">
        <w:t xml:space="preserve">demographic background (e.g., </w:t>
      </w:r>
      <w:r w:rsidR="000A075E">
        <w:t xml:space="preserve">gender, income, age, </w:t>
      </w:r>
      <w:r w:rsidR="006C4836">
        <w:t xml:space="preserve">etc.), but </w:t>
      </w:r>
      <w:r w:rsidR="00593263">
        <w:t xml:space="preserve">many </w:t>
      </w:r>
      <w:r w:rsidR="006C4836">
        <w:t>individuals</w:t>
      </w:r>
      <w:r w:rsidR="00593263">
        <w:t xml:space="preserve"> </w:t>
      </w:r>
      <w:r w:rsidR="006C4836">
        <w:t xml:space="preserve">have sold their </w:t>
      </w:r>
      <w:r w:rsidR="00593263">
        <w:t xml:space="preserve">quota shares </w:t>
      </w:r>
      <w:r w:rsidR="006C4836">
        <w:t>because</w:t>
      </w:r>
      <w:r w:rsidR="00593263">
        <w:t xml:space="preserve"> the amount that they were issued</w:t>
      </w:r>
      <w:r w:rsidR="006C4836">
        <w:t xml:space="preserve"> was too</w:t>
      </w:r>
      <w:r w:rsidR="000A075E">
        <w:t xml:space="preserve"> small to be economically viable (Carothers 2013). Other fishers sold their shares because they needed money or were looking to retire from the industry (Carothers 2013). </w:t>
      </w:r>
      <w:r w:rsidR="00FC6A91">
        <w:t xml:space="preserve">In these instances, it is unlikely that protective </w:t>
      </w:r>
      <w:r w:rsidR="00005B67">
        <w:t xml:space="preserve">equity </w:t>
      </w:r>
      <w:r w:rsidR="00FC6A91">
        <w:t xml:space="preserve">rules would </w:t>
      </w:r>
      <w:r w:rsidR="00005B67">
        <w:t xml:space="preserve">have </w:t>
      </w:r>
      <w:r w:rsidR="00FC6A91">
        <w:t>affect</w:t>
      </w:r>
      <w:r w:rsidR="00005B67">
        <w:t>ed</w:t>
      </w:r>
      <w:r w:rsidR="00FC6A91">
        <w:t xml:space="preserve"> individual’s motivation to keep their quota shares because they were not designed to provide fishers a sufficient and livable income.  </w:t>
      </w:r>
    </w:p>
    <w:p w14:paraId="588D6ED7" w14:textId="77777777" w:rsidR="00596D5A" w:rsidRPr="008C60C2" w:rsidRDefault="00596D5A" w:rsidP="00596D5A">
      <w:pPr>
        <w:spacing w:line="480" w:lineRule="auto"/>
        <w:ind w:firstLine="720"/>
      </w:pPr>
      <w:r>
        <w:t xml:space="preserve">Other policy design alternatives that might have offered local fishing communities greater protection post-privatization articulated by some interviewees include an absolute prohibition on leasing of any sort except for A-share holders, the allocation of quota shares to processing facilities in remote fishing communities, and the requirement that owners be onboard </w:t>
      </w:r>
      <w:r>
        <w:lastRenderedPageBreak/>
        <w:t xml:space="preserve">regardless of their status as initial recipients of quota shares. Each of these suggestions would move Alaska even further from the ideal economic model. Future extensions of this research should explore what made the architecture of Alaska’s IFQ program politically viable given their strong deviation from the ideal economic model for fisheries governance. It </w:t>
      </w:r>
      <w:r w:rsidRPr="00B86DEA">
        <w:t xml:space="preserve">is </w:t>
      </w:r>
      <w:r>
        <w:t xml:space="preserve">also </w:t>
      </w:r>
      <w:r w:rsidRPr="00B86DEA">
        <w:t xml:space="preserve">necessary to understand the full implication of the equity rules contained in </w:t>
      </w:r>
      <w:r>
        <w:t>these policies</w:t>
      </w:r>
      <w:r w:rsidRPr="00B86DEA">
        <w:t xml:space="preserve"> to explain the extent to which </w:t>
      </w:r>
      <w:r>
        <w:t>they</w:t>
      </w:r>
      <w:r w:rsidRPr="00B86DEA">
        <w:t xml:space="preserve"> are able to </w:t>
      </w:r>
      <w:r>
        <w:t>support</w:t>
      </w:r>
      <w:r w:rsidRPr="00B86DEA">
        <w:t xml:space="preserve"> Alaskan fishers and fishing communities deal with the negative impacts </w:t>
      </w:r>
      <w:r w:rsidRPr="006C5E17">
        <w:t>brought on by privatization. The insights generated from such an analysis would also have policy design and management implications for loca</w:t>
      </w:r>
      <w:r>
        <w:t xml:space="preserve">tions with quota share programs </w:t>
      </w:r>
      <w:r w:rsidRPr="006C5E17">
        <w:t>beyond Alaska.</w:t>
      </w:r>
    </w:p>
    <w:p w14:paraId="015C30C5" w14:textId="0918109B" w:rsidR="0010542C" w:rsidRPr="008C60C2" w:rsidRDefault="00124066" w:rsidP="0010542C">
      <w:pPr>
        <w:spacing w:line="480" w:lineRule="auto"/>
        <w:rPr>
          <w:b/>
        </w:rPr>
      </w:pPr>
      <w:r w:rsidRPr="008C60C2">
        <w:rPr>
          <w:b/>
        </w:rPr>
        <w:t>7</w:t>
      </w:r>
      <w:r w:rsidR="0010542C" w:rsidRPr="008C60C2">
        <w:rPr>
          <w:b/>
        </w:rPr>
        <w:t xml:space="preserve">.0 Conclusion </w:t>
      </w:r>
    </w:p>
    <w:p w14:paraId="0E986286" w14:textId="77777777" w:rsidR="00596D5A" w:rsidRDefault="00596D5A" w:rsidP="00596D5A">
      <w:pPr>
        <w:spacing w:line="480" w:lineRule="auto"/>
        <w:ind w:firstLine="720"/>
      </w:pPr>
      <w:r>
        <w:t>IFQ policies</w:t>
      </w:r>
      <w:r w:rsidRPr="008C60C2">
        <w:t xml:space="preserve"> are divisive</w:t>
      </w:r>
      <w:r>
        <w:t>, but the comparative approach deployed here</w:t>
      </w:r>
      <w:r w:rsidRPr="008C60C2">
        <w:t xml:space="preserve"> </w:t>
      </w:r>
      <w:r>
        <w:t>explains how quota share policies can</w:t>
      </w:r>
      <w:r w:rsidRPr="008C60C2">
        <w:t xml:space="preserve"> vary in important and sometimes surprising ways. Alaska’s halibut </w:t>
      </w:r>
      <w:r>
        <w:t>IFQ program</w:t>
      </w:r>
      <w:r w:rsidRPr="008C60C2">
        <w:t xml:space="preserve"> is not only distinct from other policies </w:t>
      </w:r>
      <w:r>
        <w:t>considered here</w:t>
      </w:r>
      <w:r w:rsidRPr="008C60C2">
        <w:t xml:space="preserve">, but it also contains surprising inconsistencies to what we might expect to see out of a market-based policy because it explicitly foregoes wealth maximization. </w:t>
      </w:r>
      <w:r>
        <w:t>The</w:t>
      </w:r>
      <w:r w:rsidRPr="008C60C2">
        <w:t xml:space="preserve"> results </w:t>
      </w:r>
      <w:r>
        <w:t xml:space="preserve">presented here </w:t>
      </w:r>
      <w:r w:rsidRPr="008C60C2">
        <w:t xml:space="preserve">suggest that important variations in policy design features can be missed when individual quota programs are broadly advocated or dismissed as the commodification of nature which can have broader impacts on distributional outcomes for the associated fishing industries and local communities. </w:t>
      </w:r>
      <w:r>
        <w:t xml:space="preserve">Thus, </w:t>
      </w:r>
      <w:r w:rsidRPr="008C60C2">
        <w:t xml:space="preserve">there is a need for greater research to understand how these design features work in practice as well as the political conditions that made them viable. This is especially true for Alaska where the efficacy of </w:t>
      </w:r>
      <w:r>
        <w:t>specific</w:t>
      </w:r>
      <w:r w:rsidRPr="008C60C2">
        <w:t xml:space="preserve"> rules based on principles of social justice remain under explored.</w:t>
      </w:r>
    </w:p>
    <w:p w14:paraId="44464018" w14:textId="77777777" w:rsidR="00006A91" w:rsidRPr="008C60C2" w:rsidRDefault="00006A91" w:rsidP="00FE670B">
      <w:pPr>
        <w:jc w:val="center"/>
        <w:rPr>
          <w:b/>
        </w:rPr>
      </w:pPr>
    </w:p>
    <w:p w14:paraId="3326368D" w14:textId="77777777" w:rsidR="00B86DEA" w:rsidRDefault="00B86DEA" w:rsidP="00FE670B">
      <w:pPr>
        <w:jc w:val="center"/>
        <w:rPr>
          <w:b/>
        </w:rPr>
      </w:pPr>
    </w:p>
    <w:p w14:paraId="6859BED9" w14:textId="77777777" w:rsidR="00B86DEA" w:rsidRDefault="00B86DEA" w:rsidP="00FE670B">
      <w:pPr>
        <w:jc w:val="center"/>
        <w:rPr>
          <w:b/>
        </w:rPr>
      </w:pPr>
    </w:p>
    <w:p w14:paraId="0FF4CBFF" w14:textId="77777777" w:rsidR="00005B67" w:rsidRDefault="00005B67" w:rsidP="00FE670B">
      <w:pPr>
        <w:jc w:val="center"/>
        <w:rPr>
          <w:b/>
        </w:rPr>
      </w:pPr>
    </w:p>
    <w:p w14:paraId="76D0EED8" w14:textId="77777777" w:rsidR="00750601" w:rsidRPr="008C60C2" w:rsidRDefault="00750601" w:rsidP="008C60C2">
      <w:pPr>
        <w:rPr>
          <w:b/>
        </w:rPr>
      </w:pPr>
    </w:p>
    <w:p w14:paraId="5B5914CA" w14:textId="0AE5178E" w:rsidR="008323D2" w:rsidRPr="008C60C2" w:rsidRDefault="00655D3E" w:rsidP="00FE670B">
      <w:pPr>
        <w:jc w:val="center"/>
        <w:rPr>
          <w:b/>
        </w:rPr>
      </w:pPr>
      <w:r w:rsidRPr="008C60C2">
        <w:rPr>
          <w:b/>
        </w:rPr>
        <w:t>REFERENCES CITED</w:t>
      </w:r>
    </w:p>
    <w:p w14:paraId="232E1081" w14:textId="77777777" w:rsidR="00A747EC" w:rsidRPr="008C60C2" w:rsidRDefault="00A747EC" w:rsidP="00A40A6C">
      <w:pPr>
        <w:ind w:left="360"/>
        <w:rPr>
          <w:b/>
        </w:rPr>
      </w:pPr>
    </w:p>
    <w:p w14:paraId="23081C3B" w14:textId="32443B2A" w:rsidR="009932D7" w:rsidRPr="00005B67" w:rsidRDefault="009932D7" w:rsidP="008C46F2">
      <w:pPr>
        <w:ind w:left="720" w:hanging="720"/>
        <w:rPr>
          <w:color w:val="000000" w:themeColor="text1"/>
        </w:rPr>
      </w:pPr>
      <w:proofErr w:type="spellStart"/>
      <w:r w:rsidRPr="00005B67">
        <w:rPr>
          <w:color w:val="000000" w:themeColor="text1"/>
        </w:rPr>
        <w:t>Alcock</w:t>
      </w:r>
      <w:proofErr w:type="spellEnd"/>
      <w:r w:rsidRPr="00005B67">
        <w:rPr>
          <w:color w:val="000000" w:themeColor="text1"/>
        </w:rPr>
        <w:t xml:space="preserve">, Frank. 2006. “Property Rights and Equity in Fisheries Management: The Significance of Vertical Integration.” Conference Proceedings, Sharing the Fish Conference, Perth. Available: </w:t>
      </w:r>
      <w:hyperlink r:id="rId9" w:history="1">
        <w:r w:rsidRPr="00005B67">
          <w:rPr>
            <w:rStyle w:val="Hyperlink"/>
            <w:color w:val="000000" w:themeColor="text1"/>
            <w:u w:val="none"/>
          </w:rPr>
          <w:t>http://www.fishallocation.com/papers/pdf/papers/FrankAlcock.pdf</w:t>
        </w:r>
      </w:hyperlink>
      <w:r w:rsidRPr="00005B67">
        <w:rPr>
          <w:color w:val="000000" w:themeColor="text1"/>
        </w:rPr>
        <w:t xml:space="preserve"> (</w:t>
      </w:r>
      <w:r w:rsidR="006C4836" w:rsidRPr="00005B67">
        <w:rPr>
          <w:color w:val="000000" w:themeColor="text1"/>
        </w:rPr>
        <w:t xml:space="preserve">accessed </w:t>
      </w:r>
      <w:r w:rsidRPr="00005B67">
        <w:rPr>
          <w:color w:val="000000" w:themeColor="text1"/>
        </w:rPr>
        <w:t>January</w:t>
      </w:r>
      <w:r w:rsidR="006C4836" w:rsidRPr="00005B67">
        <w:rPr>
          <w:color w:val="000000" w:themeColor="text1"/>
        </w:rPr>
        <w:t xml:space="preserve"> 12th,</w:t>
      </w:r>
      <w:r w:rsidRPr="00005B67">
        <w:rPr>
          <w:color w:val="000000" w:themeColor="text1"/>
        </w:rPr>
        <w:t xml:space="preserve"> 2018). </w:t>
      </w:r>
    </w:p>
    <w:p w14:paraId="51D182CB" w14:textId="5A4D90E2" w:rsidR="005D13AA" w:rsidRPr="00005B67" w:rsidRDefault="000C5B86" w:rsidP="008C46F2">
      <w:pPr>
        <w:ind w:left="720" w:hanging="720"/>
        <w:rPr>
          <w:color w:val="000000" w:themeColor="text1"/>
        </w:rPr>
      </w:pPr>
      <w:r w:rsidRPr="00005B67">
        <w:rPr>
          <w:color w:val="000000" w:themeColor="text1"/>
        </w:rPr>
        <w:t xml:space="preserve">Anderson, Lee G. 1994. “An Economic Analysis of </w:t>
      </w:r>
      <w:proofErr w:type="spellStart"/>
      <w:r w:rsidRPr="00005B67">
        <w:rPr>
          <w:color w:val="000000" w:themeColor="text1"/>
        </w:rPr>
        <w:t>Highgrading</w:t>
      </w:r>
      <w:proofErr w:type="spellEnd"/>
      <w:r w:rsidRPr="00005B67">
        <w:rPr>
          <w:color w:val="000000" w:themeColor="text1"/>
        </w:rPr>
        <w:t xml:space="preserve"> in ITQ Fisheries Regulation Programs.” </w:t>
      </w:r>
      <w:r w:rsidRPr="00005B67">
        <w:rPr>
          <w:i/>
          <w:color w:val="000000" w:themeColor="text1"/>
        </w:rPr>
        <w:t>Marine Resource Economics</w:t>
      </w:r>
      <w:r w:rsidRPr="00005B67">
        <w:rPr>
          <w:color w:val="000000" w:themeColor="text1"/>
        </w:rPr>
        <w:t xml:space="preserve"> 9(3): 209-226.</w:t>
      </w:r>
    </w:p>
    <w:p w14:paraId="74F74800" w14:textId="79F511E1" w:rsidR="00260AF5" w:rsidRPr="00005B67" w:rsidRDefault="00260AF5" w:rsidP="00260AF5">
      <w:pPr>
        <w:widowControl w:val="0"/>
        <w:autoSpaceDE w:val="0"/>
        <w:autoSpaceDN w:val="0"/>
        <w:adjustRightInd w:val="0"/>
        <w:ind w:left="720" w:hanging="720"/>
        <w:rPr>
          <w:color w:val="000000" w:themeColor="text1"/>
        </w:rPr>
      </w:pPr>
      <w:r w:rsidRPr="00005B67">
        <w:rPr>
          <w:color w:val="000000" w:themeColor="text1"/>
        </w:rPr>
        <w:t xml:space="preserve">Anderson, Terry and Donald Leal. 2001. </w:t>
      </w:r>
      <w:r w:rsidRPr="00005B67">
        <w:rPr>
          <w:i/>
          <w:iCs/>
          <w:color w:val="000000" w:themeColor="text1"/>
        </w:rPr>
        <w:t>Free Market Environmentalism, Rev. Ed</w:t>
      </w:r>
      <w:r w:rsidRPr="00005B67">
        <w:rPr>
          <w:color w:val="000000" w:themeColor="text1"/>
        </w:rPr>
        <w:t>. New York: Palgrave.</w:t>
      </w:r>
    </w:p>
    <w:p w14:paraId="5C638684" w14:textId="01616A38" w:rsidR="00060DF4" w:rsidRPr="00005B67" w:rsidRDefault="00060DF4" w:rsidP="008C46F2">
      <w:pPr>
        <w:widowControl w:val="0"/>
        <w:autoSpaceDE w:val="0"/>
        <w:autoSpaceDN w:val="0"/>
        <w:adjustRightInd w:val="0"/>
        <w:ind w:left="720" w:hanging="720"/>
        <w:rPr>
          <w:color w:val="000000" w:themeColor="text1"/>
        </w:rPr>
      </w:pPr>
      <w:proofErr w:type="spellStart"/>
      <w:r w:rsidRPr="00005B67">
        <w:rPr>
          <w:color w:val="000000" w:themeColor="text1"/>
        </w:rPr>
        <w:t>Arnason</w:t>
      </w:r>
      <w:proofErr w:type="spellEnd"/>
      <w:r w:rsidRPr="00005B67">
        <w:rPr>
          <w:color w:val="000000" w:themeColor="text1"/>
        </w:rPr>
        <w:t>, Ragnar. 1993. "Ocean Fisheries Management: Recent International Developments</w:t>
      </w:r>
      <w:r w:rsidR="001F219E" w:rsidRPr="00005B67">
        <w:rPr>
          <w:color w:val="000000" w:themeColor="text1"/>
        </w:rPr>
        <w:t>.</w:t>
      </w:r>
      <w:r w:rsidRPr="00005B67">
        <w:rPr>
          <w:color w:val="000000" w:themeColor="text1"/>
        </w:rPr>
        <w:t xml:space="preserve">" </w:t>
      </w:r>
      <w:r w:rsidRPr="00005B67">
        <w:rPr>
          <w:i/>
          <w:color w:val="000000" w:themeColor="text1"/>
        </w:rPr>
        <w:t>Marine Policy</w:t>
      </w:r>
      <w:r w:rsidRPr="00005B67">
        <w:rPr>
          <w:color w:val="000000" w:themeColor="text1"/>
        </w:rPr>
        <w:t xml:space="preserve"> 5: 334-9.</w:t>
      </w:r>
    </w:p>
    <w:p w14:paraId="1860FB45" w14:textId="281F1AE9" w:rsidR="00CA6C6B" w:rsidRPr="00005B67" w:rsidRDefault="00CA6C6B" w:rsidP="008C46F2">
      <w:pPr>
        <w:widowControl w:val="0"/>
        <w:autoSpaceDE w:val="0"/>
        <w:autoSpaceDN w:val="0"/>
        <w:adjustRightInd w:val="0"/>
        <w:ind w:left="720" w:hanging="720"/>
        <w:rPr>
          <w:color w:val="000000" w:themeColor="text1"/>
        </w:rPr>
      </w:pPr>
      <w:proofErr w:type="spellStart"/>
      <w:r w:rsidRPr="00005B67">
        <w:rPr>
          <w:color w:val="000000" w:themeColor="text1"/>
        </w:rPr>
        <w:t>Arnason</w:t>
      </w:r>
      <w:proofErr w:type="spellEnd"/>
      <w:r w:rsidRPr="00005B67">
        <w:rPr>
          <w:color w:val="000000" w:themeColor="text1"/>
        </w:rPr>
        <w:t>, Ragnar. 200</w:t>
      </w:r>
      <w:r w:rsidR="00DA5967" w:rsidRPr="00005B67">
        <w:rPr>
          <w:color w:val="000000" w:themeColor="text1"/>
        </w:rPr>
        <w:t>5</w:t>
      </w:r>
      <w:r w:rsidRPr="00005B67">
        <w:rPr>
          <w:color w:val="000000" w:themeColor="text1"/>
        </w:rPr>
        <w:t>. “Property Rights</w:t>
      </w:r>
      <w:r w:rsidR="00A747EC" w:rsidRPr="00005B67">
        <w:rPr>
          <w:color w:val="000000" w:themeColor="text1"/>
        </w:rPr>
        <w:t xml:space="preserve"> </w:t>
      </w:r>
      <w:r w:rsidRPr="00005B67">
        <w:rPr>
          <w:color w:val="000000" w:themeColor="text1"/>
        </w:rPr>
        <w:t xml:space="preserve">in Fisheries: Iceland’s Experience with ITQs.” </w:t>
      </w:r>
      <w:r w:rsidRPr="00005B67">
        <w:rPr>
          <w:i/>
          <w:color w:val="000000" w:themeColor="text1"/>
        </w:rPr>
        <w:t>Reviews in Fish Biology and Fisheries</w:t>
      </w:r>
      <w:r w:rsidRPr="00005B67">
        <w:rPr>
          <w:color w:val="000000" w:themeColor="text1"/>
        </w:rPr>
        <w:t xml:space="preserve"> 15: 243-264.</w:t>
      </w:r>
    </w:p>
    <w:p w14:paraId="7F4F7D13" w14:textId="5CF0FBF1" w:rsidR="00EB77AA" w:rsidRPr="00005B67" w:rsidRDefault="00EB77AA" w:rsidP="008C46F2">
      <w:pPr>
        <w:pStyle w:val="NormalWeb"/>
        <w:spacing w:before="0" w:beforeAutospacing="0" w:after="0" w:afterAutospacing="0"/>
        <w:ind w:left="720" w:hanging="720"/>
        <w:rPr>
          <w:color w:val="000000" w:themeColor="text1"/>
        </w:rPr>
      </w:pPr>
      <w:proofErr w:type="spellStart"/>
      <w:r w:rsidRPr="00005B67">
        <w:rPr>
          <w:color w:val="000000" w:themeColor="text1"/>
        </w:rPr>
        <w:t>Batkin</w:t>
      </w:r>
      <w:proofErr w:type="spellEnd"/>
      <w:r w:rsidRPr="00005B67">
        <w:rPr>
          <w:color w:val="000000" w:themeColor="text1"/>
        </w:rPr>
        <w:t xml:space="preserve">, Kirsten M. 1996. “New Zealand’s Quota Management System: A Solution to the United States’ Federal Fisheries Management Crisis?” </w:t>
      </w:r>
      <w:r w:rsidRPr="00005B67">
        <w:rPr>
          <w:i/>
          <w:color w:val="000000" w:themeColor="text1"/>
        </w:rPr>
        <w:t>Natural Resources Journal</w:t>
      </w:r>
      <w:r w:rsidRPr="00005B67">
        <w:rPr>
          <w:color w:val="000000" w:themeColor="text1"/>
        </w:rPr>
        <w:t xml:space="preserve"> 36: 855-880.</w:t>
      </w:r>
    </w:p>
    <w:p w14:paraId="0E7516B0" w14:textId="24DAA25E" w:rsidR="000C5B86" w:rsidRPr="00005B67" w:rsidRDefault="000C5B86" w:rsidP="00EB77AA">
      <w:pPr>
        <w:widowControl w:val="0"/>
        <w:autoSpaceDE w:val="0"/>
        <w:autoSpaceDN w:val="0"/>
        <w:adjustRightInd w:val="0"/>
        <w:ind w:left="720" w:hanging="720"/>
        <w:rPr>
          <w:color w:val="000000" w:themeColor="text1"/>
        </w:rPr>
      </w:pPr>
      <w:proofErr w:type="spellStart"/>
      <w:r w:rsidRPr="00005B67">
        <w:rPr>
          <w:color w:val="000000" w:themeColor="text1"/>
        </w:rPr>
        <w:t>Batstone</w:t>
      </w:r>
      <w:proofErr w:type="spellEnd"/>
      <w:r w:rsidRPr="00005B67">
        <w:rPr>
          <w:color w:val="000000" w:themeColor="text1"/>
        </w:rPr>
        <w:t>, C.J.</w:t>
      </w:r>
      <w:r w:rsidR="00727B93" w:rsidRPr="00005B67">
        <w:rPr>
          <w:color w:val="000000" w:themeColor="text1"/>
        </w:rPr>
        <w:t xml:space="preserve"> and B.M.H.</w:t>
      </w:r>
      <w:r w:rsidRPr="00005B67">
        <w:rPr>
          <w:color w:val="000000" w:themeColor="text1"/>
        </w:rPr>
        <w:t xml:space="preserve"> Sharp.</w:t>
      </w:r>
      <w:r w:rsidR="001F219E" w:rsidRPr="00005B67">
        <w:rPr>
          <w:color w:val="000000" w:themeColor="text1"/>
        </w:rPr>
        <w:t xml:space="preserve"> </w:t>
      </w:r>
      <w:r w:rsidRPr="00005B67">
        <w:rPr>
          <w:color w:val="000000" w:themeColor="text1"/>
        </w:rPr>
        <w:t xml:space="preserve">1999. </w:t>
      </w:r>
      <w:r w:rsidR="001F219E" w:rsidRPr="00005B67">
        <w:rPr>
          <w:color w:val="000000" w:themeColor="text1"/>
        </w:rPr>
        <w:t>“</w:t>
      </w:r>
      <w:r w:rsidRPr="00005B67">
        <w:rPr>
          <w:color w:val="000000" w:themeColor="text1"/>
        </w:rPr>
        <w:t xml:space="preserve">New Zealand’s </w:t>
      </w:r>
      <w:r w:rsidR="001F219E" w:rsidRPr="00005B67">
        <w:rPr>
          <w:color w:val="000000" w:themeColor="text1"/>
        </w:rPr>
        <w:t>Q</w:t>
      </w:r>
      <w:r w:rsidRPr="00005B67">
        <w:rPr>
          <w:color w:val="000000" w:themeColor="text1"/>
        </w:rPr>
        <w:t xml:space="preserve">uota </w:t>
      </w:r>
      <w:r w:rsidR="001F219E" w:rsidRPr="00005B67">
        <w:rPr>
          <w:color w:val="000000" w:themeColor="text1"/>
        </w:rPr>
        <w:t>Management S</w:t>
      </w:r>
      <w:r w:rsidRPr="00005B67">
        <w:rPr>
          <w:color w:val="000000" w:themeColor="text1"/>
        </w:rPr>
        <w:t xml:space="preserve">ystem: </w:t>
      </w:r>
      <w:r w:rsidR="001F219E" w:rsidRPr="00005B67">
        <w:rPr>
          <w:color w:val="000000" w:themeColor="text1"/>
        </w:rPr>
        <w:t>T</w:t>
      </w:r>
      <w:r w:rsidRPr="00005B67">
        <w:rPr>
          <w:color w:val="000000" w:themeColor="text1"/>
        </w:rPr>
        <w:t xml:space="preserve">he </w:t>
      </w:r>
      <w:r w:rsidR="001F219E" w:rsidRPr="00005B67">
        <w:rPr>
          <w:color w:val="000000" w:themeColor="text1"/>
        </w:rPr>
        <w:t>First Ten Years</w:t>
      </w:r>
      <w:r w:rsidRPr="00005B67">
        <w:rPr>
          <w:color w:val="000000" w:themeColor="text1"/>
        </w:rPr>
        <w:t>.</w:t>
      </w:r>
      <w:r w:rsidR="001F219E" w:rsidRPr="00005B67">
        <w:rPr>
          <w:color w:val="000000" w:themeColor="text1"/>
        </w:rPr>
        <w:t>”</w:t>
      </w:r>
      <w:r w:rsidRPr="00005B67">
        <w:rPr>
          <w:color w:val="000000" w:themeColor="text1"/>
        </w:rPr>
        <w:t xml:space="preserve"> </w:t>
      </w:r>
      <w:r w:rsidRPr="00005B67">
        <w:rPr>
          <w:i/>
          <w:color w:val="000000" w:themeColor="text1"/>
        </w:rPr>
        <w:t>Marine Policy</w:t>
      </w:r>
      <w:r w:rsidRPr="00005B67">
        <w:rPr>
          <w:color w:val="000000" w:themeColor="text1"/>
        </w:rPr>
        <w:t xml:space="preserve"> 23</w:t>
      </w:r>
      <w:r w:rsidR="001F219E" w:rsidRPr="00005B67">
        <w:rPr>
          <w:color w:val="000000" w:themeColor="text1"/>
        </w:rPr>
        <w:t>:</w:t>
      </w:r>
      <w:r w:rsidRPr="00005B67">
        <w:rPr>
          <w:color w:val="000000" w:themeColor="text1"/>
        </w:rPr>
        <w:t xml:space="preserve"> 177</w:t>
      </w:r>
      <w:r w:rsidR="001F219E" w:rsidRPr="00005B67">
        <w:rPr>
          <w:color w:val="000000" w:themeColor="text1"/>
        </w:rPr>
        <w:t>-</w:t>
      </w:r>
      <w:r w:rsidRPr="00005B67">
        <w:rPr>
          <w:color w:val="000000" w:themeColor="text1"/>
        </w:rPr>
        <w:t xml:space="preserve">190. </w:t>
      </w:r>
    </w:p>
    <w:p w14:paraId="0198641F" w14:textId="448540C9" w:rsidR="00683C82" w:rsidRPr="00005B67" w:rsidRDefault="00683C82" w:rsidP="00721FEE">
      <w:pPr>
        <w:widowControl w:val="0"/>
        <w:autoSpaceDE w:val="0"/>
        <w:autoSpaceDN w:val="0"/>
        <w:adjustRightInd w:val="0"/>
        <w:ind w:left="720" w:hanging="720"/>
        <w:rPr>
          <w:color w:val="000000" w:themeColor="text1"/>
        </w:rPr>
      </w:pPr>
      <w:r w:rsidRPr="00005B67">
        <w:rPr>
          <w:color w:val="000000" w:themeColor="text1"/>
        </w:rPr>
        <w:t xml:space="preserve">Bernard, </w:t>
      </w:r>
      <w:r w:rsidR="00727B93" w:rsidRPr="00005B67">
        <w:rPr>
          <w:color w:val="000000" w:themeColor="text1"/>
        </w:rPr>
        <w:t>Russell H</w:t>
      </w:r>
      <w:r w:rsidRPr="00005B67">
        <w:rPr>
          <w:color w:val="000000" w:themeColor="text1"/>
        </w:rPr>
        <w:t xml:space="preserve">. 2006. </w:t>
      </w:r>
      <w:r w:rsidRPr="00005B67">
        <w:rPr>
          <w:i/>
          <w:color w:val="000000" w:themeColor="text1"/>
        </w:rPr>
        <w:t xml:space="preserve">Research </w:t>
      </w:r>
      <w:r w:rsidR="00727B93" w:rsidRPr="00005B67">
        <w:rPr>
          <w:i/>
          <w:color w:val="000000" w:themeColor="text1"/>
        </w:rPr>
        <w:t>Methods in Anthropology</w:t>
      </w:r>
      <w:r w:rsidRPr="00005B67">
        <w:rPr>
          <w:i/>
          <w:color w:val="000000" w:themeColor="text1"/>
        </w:rPr>
        <w:t xml:space="preserve">: </w:t>
      </w:r>
      <w:r w:rsidR="00727B93" w:rsidRPr="00005B67">
        <w:rPr>
          <w:i/>
          <w:color w:val="000000" w:themeColor="text1"/>
        </w:rPr>
        <w:t>Qualitative and Quantitative Approaches</w:t>
      </w:r>
      <w:r w:rsidRPr="00005B67">
        <w:rPr>
          <w:color w:val="000000" w:themeColor="text1"/>
        </w:rPr>
        <w:t xml:space="preserve">. Lanham: </w:t>
      </w:r>
      <w:proofErr w:type="spellStart"/>
      <w:r w:rsidRPr="00005B67">
        <w:rPr>
          <w:color w:val="000000" w:themeColor="text1"/>
        </w:rPr>
        <w:t>AltaMira</w:t>
      </w:r>
      <w:proofErr w:type="spellEnd"/>
      <w:r w:rsidRPr="00005B67">
        <w:rPr>
          <w:color w:val="000000" w:themeColor="text1"/>
        </w:rPr>
        <w:t xml:space="preserve"> Press.</w:t>
      </w:r>
    </w:p>
    <w:p w14:paraId="21BA7AA7" w14:textId="26AFC08A" w:rsidR="00171040" w:rsidRPr="00005B67" w:rsidRDefault="00171040" w:rsidP="004D7CE2">
      <w:pPr>
        <w:widowControl w:val="0"/>
        <w:autoSpaceDE w:val="0"/>
        <w:autoSpaceDN w:val="0"/>
        <w:adjustRightInd w:val="0"/>
        <w:ind w:left="720" w:hanging="720"/>
        <w:rPr>
          <w:color w:val="000000" w:themeColor="text1"/>
        </w:rPr>
      </w:pPr>
      <w:r w:rsidRPr="00005B67">
        <w:rPr>
          <w:color w:val="000000" w:themeColor="text1"/>
        </w:rPr>
        <w:t xml:space="preserve">Boyd, Robert O. and Christopher </w:t>
      </w:r>
      <w:proofErr w:type="spellStart"/>
      <w:r w:rsidRPr="00005B67">
        <w:rPr>
          <w:color w:val="000000" w:themeColor="text1"/>
        </w:rPr>
        <w:t>Dewees</w:t>
      </w:r>
      <w:proofErr w:type="spellEnd"/>
      <w:r w:rsidRPr="00005B67">
        <w:rPr>
          <w:color w:val="000000" w:themeColor="text1"/>
        </w:rPr>
        <w:t xml:space="preserve">. 1992. “Putting Theory into Practice: Individual Transferable Quotas in New Zealand’s Fisheries.” </w:t>
      </w:r>
      <w:r w:rsidRPr="00005B67">
        <w:rPr>
          <w:i/>
          <w:color w:val="000000" w:themeColor="text1"/>
        </w:rPr>
        <w:t>Society &amp; Natural Resources</w:t>
      </w:r>
      <w:r w:rsidRPr="00005B67">
        <w:rPr>
          <w:color w:val="000000" w:themeColor="text1"/>
        </w:rPr>
        <w:t xml:space="preserve"> 5(2): 179-198.</w:t>
      </w:r>
    </w:p>
    <w:p w14:paraId="1A0EFB94" w14:textId="3A515EDF" w:rsidR="00DA3684" w:rsidRPr="00005B67" w:rsidRDefault="00DA3684" w:rsidP="004D7CE2">
      <w:pPr>
        <w:widowControl w:val="0"/>
        <w:autoSpaceDE w:val="0"/>
        <w:autoSpaceDN w:val="0"/>
        <w:adjustRightInd w:val="0"/>
        <w:ind w:left="720" w:hanging="720"/>
        <w:rPr>
          <w:color w:val="000000" w:themeColor="text1"/>
        </w:rPr>
      </w:pPr>
      <w:r w:rsidRPr="00005B67">
        <w:rPr>
          <w:color w:val="000000" w:themeColor="text1"/>
        </w:rPr>
        <w:t xml:space="preserve">Brinson, </w:t>
      </w:r>
      <w:proofErr w:type="spellStart"/>
      <w:r w:rsidRPr="00005B67">
        <w:rPr>
          <w:color w:val="000000" w:themeColor="text1"/>
        </w:rPr>
        <w:t>Ayeisha</w:t>
      </w:r>
      <w:proofErr w:type="spellEnd"/>
      <w:r w:rsidRPr="00005B67">
        <w:rPr>
          <w:color w:val="000000" w:themeColor="text1"/>
        </w:rPr>
        <w:t xml:space="preserve"> A. and Eric M. Thunberg. 2016. </w:t>
      </w:r>
      <w:r w:rsidR="0078373A" w:rsidRPr="00005B67">
        <w:rPr>
          <w:color w:val="000000" w:themeColor="text1"/>
        </w:rPr>
        <w:t xml:space="preserve">“Performance of Federally Managed Catch Share Fisheries in the United States.” </w:t>
      </w:r>
      <w:r w:rsidR="0078373A" w:rsidRPr="00005B67">
        <w:rPr>
          <w:i/>
          <w:color w:val="000000" w:themeColor="text1"/>
        </w:rPr>
        <w:t>Fisheries Rese</w:t>
      </w:r>
      <w:r w:rsidR="0078373A" w:rsidRPr="00005B67">
        <w:rPr>
          <w:color w:val="000000" w:themeColor="text1"/>
        </w:rPr>
        <w:t xml:space="preserve">arch 179: 213-223. </w:t>
      </w:r>
      <w:r w:rsidRPr="00005B67">
        <w:rPr>
          <w:color w:val="000000" w:themeColor="text1"/>
        </w:rPr>
        <w:t xml:space="preserve"> </w:t>
      </w:r>
    </w:p>
    <w:p w14:paraId="0774A8E4" w14:textId="2A0DC713" w:rsidR="003413AA" w:rsidRPr="00005B67" w:rsidRDefault="003413AA" w:rsidP="008C46F2">
      <w:pPr>
        <w:pStyle w:val="EndnoteText"/>
        <w:ind w:left="720" w:hanging="720"/>
        <w:rPr>
          <w:rFonts w:ascii="Times New Roman" w:hAnsi="Times New Roman" w:cs="Times New Roman"/>
          <w:color w:val="000000" w:themeColor="text1"/>
        </w:rPr>
      </w:pPr>
      <w:r w:rsidRPr="00005B67">
        <w:rPr>
          <w:rFonts w:ascii="Times New Roman" w:hAnsi="Times New Roman" w:cs="Times New Roman"/>
          <w:color w:val="000000" w:themeColor="text1"/>
        </w:rPr>
        <w:t xml:space="preserve">Buck, Eugene H. 1995. “Individual Transferable Quotas in Fishery Management.” </w:t>
      </w:r>
      <w:r w:rsidRPr="00005B67">
        <w:rPr>
          <w:rFonts w:ascii="Times New Roman" w:hAnsi="Times New Roman" w:cs="Times New Roman"/>
          <w:i/>
          <w:color w:val="000000" w:themeColor="text1"/>
        </w:rPr>
        <w:t>CRS Report</w:t>
      </w:r>
      <w:r w:rsidRPr="00005B67">
        <w:rPr>
          <w:rFonts w:ascii="Times New Roman" w:hAnsi="Times New Roman" w:cs="Times New Roman"/>
          <w:color w:val="000000" w:themeColor="text1"/>
        </w:rPr>
        <w:t>: 1-20.</w:t>
      </w:r>
    </w:p>
    <w:p w14:paraId="3EF8B3C1" w14:textId="65E13DBC" w:rsidR="000C5B86" w:rsidRPr="00005B67" w:rsidRDefault="000C5B86" w:rsidP="00A747EC">
      <w:pPr>
        <w:widowControl w:val="0"/>
        <w:autoSpaceDE w:val="0"/>
        <w:autoSpaceDN w:val="0"/>
        <w:adjustRightInd w:val="0"/>
        <w:ind w:left="720" w:hanging="720"/>
        <w:rPr>
          <w:color w:val="000000" w:themeColor="text1"/>
        </w:rPr>
      </w:pPr>
      <w:r w:rsidRPr="00005B67">
        <w:rPr>
          <w:color w:val="000000" w:themeColor="text1"/>
        </w:rPr>
        <w:t>Butler, C</w:t>
      </w:r>
      <w:r w:rsidR="00A747EC" w:rsidRPr="00005B67">
        <w:rPr>
          <w:color w:val="000000" w:themeColor="text1"/>
        </w:rPr>
        <w:t xml:space="preserve">aroline </w:t>
      </w:r>
      <w:r w:rsidRPr="00005B67">
        <w:rPr>
          <w:color w:val="000000" w:themeColor="text1"/>
        </w:rPr>
        <w:t xml:space="preserve">F. 2008. </w:t>
      </w:r>
      <w:r w:rsidR="00531A63" w:rsidRPr="00005B67">
        <w:rPr>
          <w:color w:val="000000" w:themeColor="text1"/>
        </w:rPr>
        <w:t>“</w:t>
      </w:r>
      <w:r w:rsidRPr="00005B67">
        <w:rPr>
          <w:color w:val="000000" w:themeColor="text1"/>
        </w:rPr>
        <w:t xml:space="preserve">Paper </w:t>
      </w:r>
      <w:r w:rsidR="00531A63" w:rsidRPr="00005B67">
        <w:rPr>
          <w:color w:val="000000" w:themeColor="text1"/>
        </w:rPr>
        <w:t>Fi</w:t>
      </w:r>
      <w:r w:rsidRPr="00005B67">
        <w:rPr>
          <w:color w:val="000000" w:themeColor="text1"/>
        </w:rPr>
        <w:t xml:space="preserve">sh: </w:t>
      </w:r>
      <w:r w:rsidR="00531A63" w:rsidRPr="00005B67">
        <w:rPr>
          <w:color w:val="000000" w:themeColor="text1"/>
        </w:rPr>
        <w:t>T</w:t>
      </w:r>
      <w:r w:rsidRPr="00005B67">
        <w:rPr>
          <w:color w:val="000000" w:themeColor="text1"/>
        </w:rPr>
        <w:t xml:space="preserve">he </w:t>
      </w:r>
      <w:r w:rsidR="00531A63" w:rsidRPr="00005B67">
        <w:rPr>
          <w:color w:val="000000" w:themeColor="text1"/>
        </w:rPr>
        <w:t xml:space="preserve">Transformation </w:t>
      </w:r>
      <w:r w:rsidRPr="00005B67">
        <w:rPr>
          <w:color w:val="000000" w:themeColor="text1"/>
        </w:rPr>
        <w:t xml:space="preserve">of the </w:t>
      </w:r>
      <w:r w:rsidR="00531A63" w:rsidRPr="00005B67">
        <w:rPr>
          <w:color w:val="000000" w:themeColor="text1"/>
        </w:rPr>
        <w:t>Salmon Fi</w:t>
      </w:r>
      <w:r w:rsidRPr="00005B67">
        <w:rPr>
          <w:color w:val="000000" w:themeColor="text1"/>
        </w:rPr>
        <w:t>sheries of British Columbia.</w:t>
      </w:r>
      <w:r w:rsidR="00531A63" w:rsidRPr="00005B67">
        <w:rPr>
          <w:color w:val="000000" w:themeColor="text1"/>
        </w:rPr>
        <w:t>”</w:t>
      </w:r>
      <w:r w:rsidRPr="00005B67">
        <w:rPr>
          <w:color w:val="000000" w:themeColor="text1"/>
        </w:rPr>
        <w:t xml:space="preserve"> In: Lowe, M.E., Carothers, C. (Eds.), </w:t>
      </w:r>
      <w:r w:rsidRPr="00005B67">
        <w:rPr>
          <w:i/>
          <w:color w:val="000000" w:themeColor="text1"/>
        </w:rPr>
        <w:t>Enclosing the Fisheries: People, Places, and Power</w:t>
      </w:r>
      <w:r w:rsidRPr="00005B67">
        <w:rPr>
          <w:color w:val="000000" w:themeColor="text1"/>
        </w:rPr>
        <w:t xml:space="preserve">. Symposium 68. American Fisheries Society, Bethesda, MD, </w:t>
      </w:r>
      <w:r w:rsidR="00D604F4" w:rsidRPr="00005B67">
        <w:rPr>
          <w:color w:val="000000" w:themeColor="text1"/>
        </w:rPr>
        <w:t>pg</w:t>
      </w:r>
      <w:r w:rsidR="006C4836" w:rsidRPr="00005B67">
        <w:rPr>
          <w:color w:val="000000" w:themeColor="text1"/>
        </w:rPr>
        <w:t>.</w:t>
      </w:r>
      <w:r w:rsidR="00D604F4" w:rsidRPr="00005B67">
        <w:rPr>
          <w:color w:val="000000" w:themeColor="text1"/>
        </w:rPr>
        <w:t xml:space="preserve"> 75-98.</w:t>
      </w:r>
    </w:p>
    <w:p w14:paraId="6614CD8D" w14:textId="422BD054" w:rsidR="000C5B86" w:rsidRPr="00005B67" w:rsidRDefault="000C5B86" w:rsidP="00A747EC">
      <w:pPr>
        <w:widowControl w:val="0"/>
        <w:autoSpaceDE w:val="0"/>
        <w:autoSpaceDN w:val="0"/>
        <w:adjustRightInd w:val="0"/>
        <w:ind w:left="720" w:hanging="720"/>
        <w:rPr>
          <w:color w:val="000000" w:themeColor="text1"/>
        </w:rPr>
      </w:pPr>
      <w:r w:rsidRPr="00005B67">
        <w:rPr>
          <w:color w:val="000000" w:themeColor="text1"/>
        </w:rPr>
        <w:t>Carothers, C</w:t>
      </w:r>
      <w:r w:rsidR="00A747EC" w:rsidRPr="00005B67">
        <w:rPr>
          <w:color w:val="000000" w:themeColor="text1"/>
        </w:rPr>
        <w:t>ourtney.</w:t>
      </w:r>
      <w:r w:rsidRPr="00005B67">
        <w:rPr>
          <w:color w:val="000000" w:themeColor="text1"/>
        </w:rPr>
        <w:t xml:space="preserve"> 2008. </w:t>
      </w:r>
      <w:r w:rsidR="00461E39">
        <w:rPr>
          <w:color w:val="000000" w:themeColor="text1"/>
        </w:rPr>
        <w:t>“</w:t>
      </w:r>
      <w:r w:rsidRPr="00005B67">
        <w:rPr>
          <w:color w:val="000000" w:themeColor="text1"/>
        </w:rPr>
        <w:t>‘Rationalized Out’: Discourses and Realities of Fisheries Privatization in Kodiak, Alaska.</w:t>
      </w:r>
      <w:r w:rsidR="00461E39">
        <w:rPr>
          <w:color w:val="000000" w:themeColor="text1"/>
        </w:rPr>
        <w:t>”</w:t>
      </w:r>
      <w:r w:rsidRPr="00005B67">
        <w:rPr>
          <w:color w:val="000000" w:themeColor="text1"/>
        </w:rPr>
        <w:t xml:space="preserve"> In: Lowe, M.E., Carothers, C. (Eds.), </w:t>
      </w:r>
      <w:r w:rsidRPr="00005B67">
        <w:rPr>
          <w:i/>
          <w:color w:val="000000" w:themeColor="text1"/>
        </w:rPr>
        <w:t>Enclosing the Fisheries: People, Places, and Powe</w:t>
      </w:r>
      <w:r w:rsidRPr="00005B67">
        <w:rPr>
          <w:color w:val="000000" w:themeColor="text1"/>
        </w:rPr>
        <w:t>r. Symposium 68. American Fisheries Society, Bethesda, MD, p</w:t>
      </w:r>
      <w:r w:rsidR="00D604F4" w:rsidRPr="00005B67">
        <w:rPr>
          <w:color w:val="000000" w:themeColor="text1"/>
        </w:rPr>
        <w:t>g</w:t>
      </w:r>
      <w:r w:rsidR="006C4836" w:rsidRPr="00005B67">
        <w:rPr>
          <w:color w:val="000000" w:themeColor="text1"/>
        </w:rPr>
        <w:t xml:space="preserve">. </w:t>
      </w:r>
      <w:r w:rsidR="00D604F4" w:rsidRPr="00005B67">
        <w:rPr>
          <w:color w:val="000000" w:themeColor="text1"/>
        </w:rPr>
        <w:t>55-74.</w:t>
      </w:r>
      <w:r w:rsidRPr="00005B67">
        <w:rPr>
          <w:color w:val="000000" w:themeColor="text1"/>
        </w:rPr>
        <w:t xml:space="preserve"> </w:t>
      </w:r>
    </w:p>
    <w:p w14:paraId="0C325DFE" w14:textId="4AC59F89" w:rsidR="000C5B86" w:rsidRPr="00005B67" w:rsidRDefault="000C5B86" w:rsidP="00A747EC">
      <w:pPr>
        <w:widowControl w:val="0"/>
        <w:autoSpaceDE w:val="0"/>
        <w:autoSpaceDN w:val="0"/>
        <w:adjustRightInd w:val="0"/>
        <w:ind w:left="720" w:hanging="720"/>
        <w:rPr>
          <w:color w:val="000000" w:themeColor="text1"/>
        </w:rPr>
      </w:pPr>
      <w:r w:rsidRPr="00005B67">
        <w:rPr>
          <w:color w:val="000000" w:themeColor="text1"/>
        </w:rPr>
        <w:t>Carothers, C</w:t>
      </w:r>
      <w:r w:rsidR="00A747EC" w:rsidRPr="00005B67">
        <w:rPr>
          <w:color w:val="000000" w:themeColor="text1"/>
        </w:rPr>
        <w:t xml:space="preserve">ourtney, Daniel K. Lew, and Jennifer </w:t>
      </w:r>
      <w:proofErr w:type="spellStart"/>
      <w:r w:rsidR="00A747EC" w:rsidRPr="00005B67">
        <w:rPr>
          <w:color w:val="000000" w:themeColor="text1"/>
        </w:rPr>
        <w:t>Sepez</w:t>
      </w:r>
      <w:proofErr w:type="spellEnd"/>
      <w:r w:rsidR="00A747EC" w:rsidRPr="00005B67">
        <w:rPr>
          <w:color w:val="000000" w:themeColor="text1"/>
        </w:rPr>
        <w:t xml:space="preserve">. </w:t>
      </w:r>
      <w:r w:rsidRPr="00005B67">
        <w:rPr>
          <w:color w:val="000000" w:themeColor="text1"/>
        </w:rPr>
        <w:t xml:space="preserve">2010. </w:t>
      </w:r>
      <w:r w:rsidR="00531A63" w:rsidRPr="00005B67">
        <w:rPr>
          <w:color w:val="000000" w:themeColor="text1"/>
        </w:rPr>
        <w:t>“</w:t>
      </w:r>
      <w:r w:rsidRPr="00005B67">
        <w:rPr>
          <w:color w:val="000000" w:themeColor="text1"/>
        </w:rPr>
        <w:t xml:space="preserve">Fishing </w:t>
      </w:r>
      <w:r w:rsidR="00531A63" w:rsidRPr="00005B67">
        <w:rPr>
          <w:color w:val="000000" w:themeColor="text1"/>
        </w:rPr>
        <w:t>R</w:t>
      </w:r>
      <w:r w:rsidRPr="00005B67">
        <w:rPr>
          <w:color w:val="000000" w:themeColor="text1"/>
        </w:rPr>
        <w:t xml:space="preserve">ights and </w:t>
      </w:r>
      <w:r w:rsidR="00531A63" w:rsidRPr="00005B67">
        <w:rPr>
          <w:color w:val="000000" w:themeColor="text1"/>
        </w:rPr>
        <w:t>S</w:t>
      </w:r>
      <w:r w:rsidRPr="00005B67">
        <w:rPr>
          <w:color w:val="000000" w:themeColor="text1"/>
        </w:rPr>
        <w:t xml:space="preserve">mall </w:t>
      </w:r>
      <w:r w:rsidR="00531A63" w:rsidRPr="00005B67">
        <w:rPr>
          <w:color w:val="000000" w:themeColor="text1"/>
        </w:rPr>
        <w:t>Co</w:t>
      </w:r>
      <w:r w:rsidRPr="00005B67">
        <w:rPr>
          <w:color w:val="000000" w:themeColor="text1"/>
        </w:rPr>
        <w:t xml:space="preserve">mmunities: Alaska </w:t>
      </w:r>
      <w:r w:rsidR="00531A63" w:rsidRPr="00005B67">
        <w:rPr>
          <w:color w:val="000000" w:themeColor="text1"/>
        </w:rPr>
        <w:t xml:space="preserve">Halibut </w:t>
      </w:r>
      <w:r w:rsidRPr="00005B67">
        <w:rPr>
          <w:color w:val="000000" w:themeColor="text1"/>
        </w:rPr>
        <w:t xml:space="preserve">IFQ </w:t>
      </w:r>
      <w:r w:rsidR="00531A63" w:rsidRPr="00005B67">
        <w:rPr>
          <w:color w:val="000000" w:themeColor="text1"/>
        </w:rPr>
        <w:t>Tr</w:t>
      </w:r>
      <w:r w:rsidRPr="00005B67">
        <w:rPr>
          <w:color w:val="000000" w:themeColor="text1"/>
        </w:rPr>
        <w:t xml:space="preserve">ansfer </w:t>
      </w:r>
      <w:r w:rsidR="00531A63" w:rsidRPr="00005B67">
        <w:rPr>
          <w:color w:val="000000" w:themeColor="text1"/>
        </w:rPr>
        <w:t>P</w:t>
      </w:r>
      <w:r w:rsidRPr="00005B67">
        <w:rPr>
          <w:color w:val="000000" w:themeColor="text1"/>
        </w:rPr>
        <w:t>atterns.</w:t>
      </w:r>
      <w:r w:rsidR="00531A63" w:rsidRPr="00005B67">
        <w:rPr>
          <w:color w:val="000000" w:themeColor="text1"/>
        </w:rPr>
        <w:t>”</w:t>
      </w:r>
      <w:r w:rsidRPr="00005B67">
        <w:rPr>
          <w:color w:val="000000" w:themeColor="text1"/>
        </w:rPr>
        <w:t xml:space="preserve"> </w:t>
      </w:r>
      <w:r w:rsidRPr="00005B67">
        <w:rPr>
          <w:i/>
          <w:color w:val="000000" w:themeColor="text1"/>
        </w:rPr>
        <w:t>Ocean and Coastal Management</w:t>
      </w:r>
      <w:r w:rsidR="00461E39">
        <w:rPr>
          <w:color w:val="000000" w:themeColor="text1"/>
        </w:rPr>
        <w:t xml:space="preserve"> 53</w:t>
      </w:r>
      <w:r w:rsidRPr="00005B67">
        <w:rPr>
          <w:color w:val="000000" w:themeColor="text1"/>
        </w:rPr>
        <w:t>(9</w:t>
      </w:r>
      <w:r w:rsidR="00531A63" w:rsidRPr="00005B67">
        <w:rPr>
          <w:color w:val="000000" w:themeColor="text1"/>
        </w:rPr>
        <w:t>):</w:t>
      </w:r>
      <w:r w:rsidRPr="00005B67">
        <w:rPr>
          <w:color w:val="000000" w:themeColor="text1"/>
        </w:rPr>
        <w:t xml:space="preserve"> 518</w:t>
      </w:r>
      <w:r w:rsidR="00531A63" w:rsidRPr="00005B67">
        <w:rPr>
          <w:color w:val="000000" w:themeColor="text1"/>
        </w:rPr>
        <w:t>-</w:t>
      </w:r>
      <w:r w:rsidRPr="00005B67">
        <w:rPr>
          <w:color w:val="000000" w:themeColor="text1"/>
        </w:rPr>
        <w:t xml:space="preserve">523. </w:t>
      </w:r>
    </w:p>
    <w:p w14:paraId="034C88DB" w14:textId="77777777" w:rsidR="000C5B86" w:rsidRPr="00005B67" w:rsidRDefault="000C5B86" w:rsidP="008C46F2">
      <w:pPr>
        <w:pStyle w:val="EndnoteText"/>
        <w:ind w:left="720" w:hanging="720"/>
        <w:rPr>
          <w:rFonts w:ascii="Times New Roman" w:hAnsi="Times New Roman" w:cs="Times New Roman"/>
          <w:color w:val="000000" w:themeColor="text1"/>
        </w:rPr>
      </w:pPr>
      <w:r w:rsidRPr="00005B67">
        <w:rPr>
          <w:rFonts w:ascii="Times New Roman" w:hAnsi="Times New Roman" w:cs="Times New Roman"/>
          <w:color w:val="000000" w:themeColor="text1"/>
        </w:rPr>
        <w:t xml:space="preserve">Carothers, Courtney. 2011. “Equity and Access to Fishing Rights: Exploring the Community Quota Program in the Gulf of Alaska.” </w:t>
      </w:r>
      <w:r w:rsidRPr="00005B67">
        <w:rPr>
          <w:rFonts w:ascii="Times New Roman" w:hAnsi="Times New Roman" w:cs="Times New Roman"/>
          <w:i/>
          <w:color w:val="000000" w:themeColor="text1"/>
        </w:rPr>
        <w:t>Human Organization 70</w:t>
      </w:r>
      <w:r w:rsidRPr="00005B67">
        <w:rPr>
          <w:rFonts w:ascii="Times New Roman" w:hAnsi="Times New Roman" w:cs="Times New Roman"/>
          <w:color w:val="000000" w:themeColor="text1"/>
        </w:rPr>
        <w:t>(3): 213-223.</w:t>
      </w:r>
    </w:p>
    <w:p w14:paraId="2A2AFA26" w14:textId="58FF8B46" w:rsidR="000C5B86" w:rsidRPr="00005B67" w:rsidRDefault="000C5B86" w:rsidP="008C46F2">
      <w:pPr>
        <w:widowControl w:val="0"/>
        <w:autoSpaceDE w:val="0"/>
        <w:autoSpaceDN w:val="0"/>
        <w:adjustRightInd w:val="0"/>
        <w:ind w:left="720" w:hanging="720"/>
        <w:rPr>
          <w:color w:val="000000" w:themeColor="text1"/>
        </w:rPr>
      </w:pPr>
      <w:r w:rsidRPr="00005B67">
        <w:rPr>
          <w:color w:val="000000" w:themeColor="text1"/>
        </w:rPr>
        <w:t xml:space="preserve">Carothers, Courtney. 2013. </w:t>
      </w:r>
      <w:r w:rsidR="00531A63" w:rsidRPr="00005B67">
        <w:rPr>
          <w:color w:val="000000" w:themeColor="text1"/>
        </w:rPr>
        <w:t>“</w:t>
      </w:r>
      <w:r w:rsidRPr="00005B67">
        <w:rPr>
          <w:color w:val="000000" w:themeColor="text1"/>
        </w:rPr>
        <w:t xml:space="preserve">A </w:t>
      </w:r>
      <w:r w:rsidR="00531A63" w:rsidRPr="00005B67">
        <w:rPr>
          <w:color w:val="000000" w:themeColor="text1"/>
        </w:rPr>
        <w:t xml:space="preserve">Survey </w:t>
      </w:r>
      <w:r w:rsidRPr="00005B67">
        <w:rPr>
          <w:color w:val="000000" w:themeColor="text1"/>
        </w:rPr>
        <w:t xml:space="preserve">of US </w:t>
      </w:r>
      <w:r w:rsidR="00531A63" w:rsidRPr="00005B67">
        <w:rPr>
          <w:color w:val="000000" w:themeColor="text1"/>
        </w:rPr>
        <w:t>H</w:t>
      </w:r>
      <w:r w:rsidRPr="00005B67">
        <w:rPr>
          <w:color w:val="000000" w:themeColor="text1"/>
        </w:rPr>
        <w:t xml:space="preserve">alibut IFQ </w:t>
      </w:r>
      <w:r w:rsidR="00531A63" w:rsidRPr="00005B67">
        <w:rPr>
          <w:color w:val="000000" w:themeColor="text1"/>
        </w:rPr>
        <w:t>Ho</w:t>
      </w:r>
      <w:r w:rsidRPr="00005B67">
        <w:rPr>
          <w:color w:val="000000" w:themeColor="text1"/>
        </w:rPr>
        <w:t xml:space="preserve">lders: Market </w:t>
      </w:r>
      <w:r w:rsidR="00531A63" w:rsidRPr="00005B67">
        <w:rPr>
          <w:color w:val="000000" w:themeColor="text1"/>
        </w:rPr>
        <w:t>P</w:t>
      </w:r>
      <w:r w:rsidRPr="00005B67">
        <w:rPr>
          <w:color w:val="000000" w:themeColor="text1"/>
        </w:rPr>
        <w:t xml:space="preserve">articipation, </w:t>
      </w:r>
      <w:r w:rsidR="00531A63" w:rsidRPr="00005B67">
        <w:rPr>
          <w:color w:val="000000" w:themeColor="text1"/>
        </w:rPr>
        <w:t>A</w:t>
      </w:r>
      <w:r w:rsidRPr="00005B67">
        <w:rPr>
          <w:color w:val="000000" w:themeColor="text1"/>
        </w:rPr>
        <w:t xml:space="preserve">ttitudes, and </w:t>
      </w:r>
      <w:r w:rsidR="00531A63" w:rsidRPr="00005B67">
        <w:rPr>
          <w:color w:val="000000" w:themeColor="text1"/>
        </w:rPr>
        <w:t>I</w:t>
      </w:r>
      <w:r w:rsidRPr="00005B67">
        <w:rPr>
          <w:color w:val="000000" w:themeColor="text1"/>
        </w:rPr>
        <w:t>mpacts</w:t>
      </w:r>
      <w:r w:rsidR="003C6513" w:rsidRPr="00005B67">
        <w:rPr>
          <w:color w:val="000000" w:themeColor="text1"/>
        </w:rPr>
        <w:t xml:space="preserve">.” </w:t>
      </w:r>
      <w:r w:rsidRPr="00005B67">
        <w:rPr>
          <w:i/>
          <w:color w:val="000000" w:themeColor="text1"/>
        </w:rPr>
        <w:t>Marine Policy</w:t>
      </w:r>
      <w:r w:rsidRPr="00005B67">
        <w:rPr>
          <w:color w:val="000000" w:themeColor="text1"/>
        </w:rPr>
        <w:t xml:space="preserve"> </w:t>
      </w:r>
      <w:r w:rsidR="00D566F1" w:rsidRPr="00005B67">
        <w:rPr>
          <w:color w:val="000000" w:themeColor="text1"/>
        </w:rPr>
        <w:t xml:space="preserve">38: </w:t>
      </w:r>
      <w:r w:rsidR="009E4027" w:rsidRPr="00005B67">
        <w:rPr>
          <w:color w:val="000000" w:themeColor="text1"/>
        </w:rPr>
        <w:t>515-522.</w:t>
      </w:r>
    </w:p>
    <w:p w14:paraId="1BBC15BF" w14:textId="6B6CF5B8" w:rsidR="00017657" w:rsidRPr="00005B67" w:rsidRDefault="00017657" w:rsidP="00017657">
      <w:pPr>
        <w:widowControl w:val="0"/>
        <w:autoSpaceDE w:val="0"/>
        <w:autoSpaceDN w:val="0"/>
        <w:adjustRightInd w:val="0"/>
        <w:ind w:left="720" w:hanging="720"/>
        <w:rPr>
          <w:color w:val="000000" w:themeColor="text1"/>
        </w:rPr>
      </w:pPr>
      <w:r w:rsidRPr="00005B67">
        <w:rPr>
          <w:color w:val="000000" w:themeColor="text1"/>
        </w:rPr>
        <w:t xml:space="preserve">Casey, Keith E., Christopher M. </w:t>
      </w:r>
      <w:proofErr w:type="spellStart"/>
      <w:r w:rsidRPr="00005B67">
        <w:rPr>
          <w:color w:val="000000" w:themeColor="text1"/>
        </w:rPr>
        <w:t>Dewees</w:t>
      </w:r>
      <w:proofErr w:type="spellEnd"/>
      <w:r w:rsidRPr="00005B67">
        <w:rPr>
          <w:color w:val="000000" w:themeColor="text1"/>
        </w:rPr>
        <w:t xml:space="preserve">, Bruce R. </w:t>
      </w:r>
      <w:proofErr w:type="spellStart"/>
      <w:r w:rsidRPr="00005B67">
        <w:rPr>
          <w:color w:val="000000" w:themeColor="text1"/>
        </w:rPr>
        <w:t>Turris</w:t>
      </w:r>
      <w:proofErr w:type="spellEnd"/>
      <w:r w:rsidRPr="00005B67">
        <w:rPr>
          <w:color w:val="000000" w:themeColor="text1"/>
        </w:rPr>
        <w:t xml:space="preserve">, and James E. </w:t>
      </w:r>
      <w:proofErr w:type="spellStart"/>
      <w:r w:rsidRPr="00005B67">
        <w:rPr>
          <w:color w:val="000000" w:themeColor="text1"/>
        </w:rPr>
        <w:t>Wilen</w:t>
      </w:r>
      <w:proofErr w:type="spellEnd"/>
      <w:r w:rsidRPr="00005B67">
        <w:rPr>
          <w:color w:val="000000" w:themeColor="text1"/>
        </w:rPr>
        <w:t xml:space="preserve">. 1995. “The Effects of Individual Vessel Quotas in the British Columbia Halibut Fishery.” </w:t>
      </w:r>
      <w:r w:rsidRPr="00005B67">
        <w:rPr>
          <w:i/>
          <w:color w:val="000000" w:themeColor="text1"/>
        </w:rPr>
        <w:t>Marine Resource Economics</w:t>
      </w:r>
      <w:r w:rsidRPr="00005B67">
        <w:rPr>
          <w:color w:val="000000" w:themeColor="text1"/>
        </w:rPr>
        <w:t xml:space="preserve"> 10(3): 211-230. </w:t>
      </w:r>
    </w:p>
    <w:p w14:paraId="4DCB4D50" w14:textId="295A105D" w:rsidR="000C5B86" w:rsidRPr="00005B67" w:rsidRDefault="000C5B86" w:rsidP="008C46F2">
      <w:pPr>
        <w:widowControl w:val="0"/>
        <w:autoSpaceDE w:val="0"/>
        <w:autoSpaceDN w:val="0"/>
        <w:adjustRightInd w:val="0"/>
        <w:ind w:left="720" w:hanging="720"/>
        <w:rPr>
          <w:color w:val="000000" w:themeColor="text1"/>
        </w:rPr>
      </w:pPr>
      <w:r w:rsidRPr="00005B67">
        <w:rPr>
          <w:color w:val="000000" w:themeColor="text1"/>
        </w:rPr>
        <w:lastRenderedPageBreak/>
        <w:t xml:space="preserve">Chambers, Catherine and Courtney Carothers. </w:t>
      </w:r>
      <w:r w:rsidR="009E4027" w:rsidRPr="00005B67">
        <w:rPr>
          <w:color w:val="000000" w:themeColor="text1"/>
        </w:rPr>
        <w:t>2017</w:t>
      </w:r>
      <w:r w:rsidRPr="00005B67">
        <w:rPr>
          <w:color w:val="000000" w:themeColor="text1"/>
        </w:rPr>
        <w:t xml:space="preserve">. “Thirty Years After Privatization: A Survey of Icelandic Small-Boat Fishermen.” </w:t>
      </w:r>
      <w:r w:rsidRPr="00005B67">
        <w:rPr>
          <w:i/>
          <w:color w:val="000000" w:themeColor="text1"/>
        </w:rPr>
        <w:t>Marine Polic</w:t>
      </w:r>
      <w:r w:rsidR="009E4027" w:rsidRPr="00005B67">
        <w:rPr>
          <w:i/>
          <w:color w:val="000000" w:themeColor="text1"/>
        </w:rPr>
        <w:t>y</w:t>
      </w:r>
      <w:r w:rsidR="009E4027" w:rsidRPr="00005B67">
        <w:rPr>
          <w:color w:val="000000" w:themeColor="text1"/>
        </w:rPr>
        <w:t xml:space="preserve"> 80: 69-80.</w:t>
      </w:r>
      <w:r w:rsidRPr="00005B67">
        <w:rPr>
          <w:color w:val="000000" w:themeColor="text1"/>
        </w:rPr>
        <w:t xml:space="preserve"> </w:t>
      </w:r>
    </w:p>
    <w:p w14:paraId="6FFB5716" w14:textId="2C0EE097" w:rsidR="00017657" w:rsidRPr="00005B67" w:rsidRDefault="00017657" w:rsidP="004D7CE2">
      <w:pPr>
        <w:widowControl w:val="0"/>
        <w:tabs>
          <w:tab w:val="left" w:pos="220"/>
          <w:tab w:val="left" w:pos="720"/>
        </w:tabs>
        <w:autoSpaceDE w:val="0"/>
        <w:autoSpaceDN w:val="0"/>
        <w:adjustRightInd w:val="0"/>
        <w:ind w:left="720" w:hanging="720"/>
        <w:rPr>
          <w:color w:val="000000" w:themeColor="text1"/>
        </w:rPr>
      </w:pPr>
      <w:r w:rsidRPr="00005B67">
        <w:rPr>
          <w:color w:val="000000" w:themeColor="text1"/>
        </w:rPr>
        <w:t>Coase, Ronald H. 1960. "The Problem of Social Cost</w:t>
      </w:r>
      <w:r w:rsidR="003C6513" w:rsidRPr="00005B67">
        <w:rPr>
          <w:color w:val="000000" w:themeColor="text1"/>
        </w:rPr>
        <w:t xml:space="preserve">.” </w:t>
      </w:r>
      <w:r w:rsidRPr="00005B67">
        <w:rPr>
          <w:i/>
          <w:iCs/>
          <w:color w:val="000000" w:themeColor="text1"/>
        </w:rPr>
        <w:t>Journal of Law and Economics</w:t>
      </w:r>
      <w:r w:rsidRPr="00005B67">
        <w:rPr>
          <w:color w:val="000000" w:themeColor="text1"/>
        </w:rPr>
        <w:t xml:space="preserve"> </w:t>
      </w:r>
      <w:r w:rsidRPr="00005B67">
        <w:rPr>
          <w:bCs/>
          <w:color w:val="000000" w:themeColor="text1"/>
        </w:rPr>
        <w:t>3</w:t>
      </w:r>
      <w:r w:rsidRPr="00005B67">
        <w:rPr>
          <w:color w:val="000000" w:themeColor="text1"/>
        </w:rPr>
        <w:t xml:space="preserve"> (1): 1–44.</w:t>
      </w:r>
    </w:p>
    <w:p w14:paraId="585D0C85" w14:textId="2B96DCB1" w:rsidR="00D46849" w:rsidRPr="00005B67" w:rsidRDefault="00D46849">
      <w:pPr>
        <w:widowControl w:val="0"/>
        <w:autoSpaceDE w:val="0"/>
        <w:autoSpaceDN w:val="0"/>
        <w:adjustRightInd w:val="0"/>
        <w:ind w:left="720" w:hanging="720"/>
        <w:rPr>
          <w:color w:val="000000" w:themeColor="text1"/>
        </w:rPr>
      </w:pPr>
      <w:r w:rsidRPr="00005B67">
        <w:rPr>
          <w:color w:val="000000" w:themeColor="text1"/>
        </w:rPr>
        <w:t xml:space="preserve">Copes, </w:t>
      </w:r>
      <w:proofErr w:type="spellStart"/>
      <w:r w:rsidRPr="00005B67">
        <w:rPr>
          <w:color w:val="000000" w:themeColor="text1"/>
        </w:rPr>
        <w:t>Parzival</w:t>
      </w:r>
      <w:proofErr w:type="spellEnd"/>
      <w:r w:rsidRPr="00005B67">
        <w:rPr>
          <w:color w:val="000000" w:themeColor="text1"/>
        </w:rPr>
        <w:t xml:space="preserve">. 1986. “A Critical Review of the Individual Quota as a Device in Fisheries Management.” </w:t>
      </w:r>
      <w:r w:rsidRPr="00005B67">
        <w:rPr>
          <w:i/>
          <w:color w:val="000000" w:themeColor="text1"/>
        </w:rPr>
        <w:t>Land Economics</w:t>
      </w:r>
      <w:r w:rsidRPr="00005B67">
        <w:rPr>
          <w:color w:val="000000" w:themeColor="text1"/>
        </w:rPr>
        <w:t xml:space="preserve"> 62(3): 278-291.</w:t>
      </w:r>
    </w:p>
    <w:p w14:paraId="20FE15A9" w14:textId="47742787" w:rsidR="00157CDB" w:rsidRPr="00005B67" w:rsidRDefault="00157CDB" w:rsidP="00157CDB">
      <w:pPr>
        <w:widowControl w:val="0"/>
        <w:autoSpaceDE w:val="0"/>
        <w:autoSpaceDN w:val="0"/>
        <w:adjustRightInd w:val="0"/>
        <w:ind w:left="720" w:hanging="720"/>
        <w:rPr>
          <w:color w:val="000000" w:themeColor="text1"/>
        </w:rPr>
      </w:pPr>
      <w:proofErr w:type="spellStart"/>
      <w:r w:rsidRPr="00005B67">
        <w:rPr>
          <w:color w:val="000000" w:themeColor="text1"/>
        </w:rPr>
        <w:t>Demsetz</w:t>
      </w:r>
      <w:proofErr w:type="spellEnd"/>
      <w:r w:rsidRPr="00005B67">
        <w:rPr>
          <w:color w:val="000000" w:themeColor="text1"/>
        </w:rPr>
        <w:t xml:space="preserve">, Harold. 1967. “Toward a Theory of Property Rights,” </w:t>
      </w:r>
      <w:r w:rsidRPr="00005B67">
        <w:rPr>
          <w:i/>
          <w:iCs/>
          <w:color w:val="000000" w:themeColor="text1"/>
        </w:rPr>
        <w:t xml:space="preserve">American Economic Review </w:t>
      </w:r>
      <w:r w:rsidRPr="00005B67">
        <w:rPr>
          <w:color w:val="000000" w:themeColor="text1"/>
        </w:rPr>
        <w:t>57: 347.</w:t>
      </w:r>
    </w:p>
    <w:p w14:paraId="125A1F70" w14:textId="60C60D83" w:rsidR="000C5B86" w:rsidRPr="00005B67" w:rsidRDefault="000C5B86">
      <w:pPr>
        <w:widowControl w:val="0"/>
        <w:autoSpaceDE w:val="0"/>
        <w:autoSpaceDN w:val="0"/>
        <w:adjustRightInd w:val="0"/>
        <w:ind w:left="720" w:hanging="720"/>
        <w:rPr>
          <w:color w:val="000000" w:themeColor="text1"/>
        </w:rPr>
      </w:pPr>
      <w:proofErr w:type="spellStart"/>
      <w:r w:rsidRPr="00005B67">
        <w:rPr>
          <w:color w:val="000000" w:themeColor="text1"/>
        </w:rPr>
        <w:t>Dewees</w:t>
      </w:r>
      <w:proofErr w:type="spellEnd"/>
      <w:r w:rsidRPr="00005B67">
        <w:rPr>
          <w:color w:val="000000" w:themeColor="text1"/>
        </w:rPr>
        <w:t>, Christopher</w:t>
      </w:r>
      <w:r w:rsidR="00D604F4" w:rsidRPr="00005B67">
        <w:rPr>
          <w:color w:val="000000" w:themeColor="text1"/>
        </w:rPr>
        <w:t xml:space="preserve"> M</w:t>
      </w:r>
      <w:r w:rsidRPr="00005B67">
        <w:rPr>
          <w:color w:val="000000" w:themeColor="text1"/>
        </w:rPr>
        <w:t xml:space="preserve">. 1998. </w:t>
      </w:r>
      <w:r w:rsidR="00531A63" w:rsidRPr="00005B67">
        <w:rPr>
          <w:color w:val="000000" w:themeColor="text1"/>
        </w:rPr>
        <w:t>“</w:t>
      </w:r>
      <w:r w:rsidRPr="00005B67">
        <w:rPr>
          <w:color w:val="000000" w:themeColor="text1"/>
        </w:rPr>
        <w:t>Effects of Individual Quota Systems on New Zealand and British Columbia Fisheries.</w:t>
      </w:r>
      <w:r w:rsidR="00531A63" w:rsidRPr="00005B67">
        <w:rPr>
          <w:color w:val="000000" w:themeColor="text1"/>
        </w:rPr>
        <w:t>”</w:t>
      </w:r>
      <w:r w:rsidRPr="00005B67">
        <w:rPr>
          <w:color w:val="000000" w:themeColor="text1"/>
        </w:rPr>
        <w:t xml:space="preserve"> </w:t>
      </w:r>
      <w:r w:rsidRPr="00005B67">
        <w:rPr>
          <w:i/>
          <w:color w:val="000000" w:themeColor="text1"/>
        </w:rPr>
        <w:t>Ecological Applications</w:t>
      </w:r>
      <w:r w:rsidR="00531A63" w:rsidRPr="00005B67">
        <w:rPr>
          <w:color w:val="000000" w:themeColor="text1"/>
        </w:rPr>
        <w:t xml:space="preserve"> 8(1): 133-138.</w:t>
      </w:r>
    </w:p>
    <w:p w14:paraId="2674D7F7" w14:textId="3D91ADED" w:rsidR="000C5B86" w:rsidRPr="00005B67" w:rsidRDefault="000C5B86">
      <w:pPr>
        <w:widowControl w:val="0"/>
        <w:autoSpaceDE w:val="0"/>
        <w:autoSpaceDN w:val="0"/>
        <w:adjustRightInd w:val="0"/>
        <w:ind w:left="720" w:hanging="720"/>
        <w:rPr>
          <w:color w:val="000000" w:themeColor="text1"/>
        </w:rPr>
      </w:pPr>
      <w:proofErr w:type="spellStart"/>
      <w:r w:rsidRPr="00005B67">
        <w:rPr>
          <w:color w:val="000000" w:themeColor="text1"/>
        </w:rPr>
        <w:t>Dewees</w:t>
      </w:r>
      <w:proofErr w:type="spellEnd"/>
      <w:r w:rsidRPr="00005B67">
        <w:rPr>
          <w:color w:val="000000" w:themeColor="text1"/>
        </w:rPr>
        <w:t>, C</w:t>
      </w:r>
      <w:r w:rsidR="00D604F4" w:rsidRPr="00005B67">
        <w:rPr>
          <w:color w:val="000000" w:themeColor="text1"/>
        </w:rPr>
        <w:t>hristopher M.</w:t>
      </w:r>
      <w:r w:rsidRPr="00005B67">
        <w:rPr>
          <w:color w:val="000000" w:themeColor="text1"/>
        </w:rPr>
        <w:t xml:space="preserve"> 2008. </w:t>
      </w:r>
      <w:r w:rsidR="00D604F4" w:rsidRPr="00005B67">
        <w:rPr>
          <w:color w:val="000000" w:themeColor="text1"/>
        </w:rPr>
        <w:t>“</w:t>
      </w:r>
      <w:r w:rsidRPr="00005B67">
        <w:rPr>
          <w:color w:val="000000" w:themeColor="text1"/>
        </w:rPr>
        <w:t xml:space="preserve">Attitudes, </w:t>
      </w:r>
      <w:r w:rsidR="00D604F4" w:rsidRPr="00005B67">
        <w:rPr>
          <w:color w:val="000000" w:themeColor="text1"/>
        </w:rPr>
        <w:t>P</w:t>
      </w:r>
      <w:r w:rsidRPr="00005B67">
        <w:rPr>
          <w:color w:val="000000" w:themeColor="text1"/>
        </w:rPr>
        <w:t xml:space="preserve">erceptions, and </w:t>
      </w:r>
      <w:r w:rsidR="00D604F4" w:rsidRPr="00005B67">
        <w:rPr>
          <w:color w:val="000000" w:themeColor="text1"/>
        </w:rPr>
        <w:t>A</w:t>
      </w:r>
      <w:r w:rsidRPr="00005B67">
        <w:rPr>
          <w:color w:val="000000" w:themeColor="text1"/>
        </w:rPr>
        <w:t xml:space="preserve">daptations of New Zealand </w:t>
      </w:r>
      <w:r w:rsidR="00D604F4" w:rsidRPr="00005B67">
        <w:rPr>
          <w:color w:val="000000" w:themeColor="text1"/>
        </w:rPr>
        <w:t>C</w:t>
      </w:r>
      <w:r w:rsidRPr="00005B67">
        <w:rPr>
          <w:color w:val="000000" w:themeColor="text1"/>
        </w:rPr>
        <w:t xml:space="preserve">ommercial </w:t>
      </w:r>
      <w:r w:rsidR="00D604F4" w:rsidRPr="00005B67">
        <w:rPr>
          <w:color w:val="000000" w:themeColor="text1"/>
        </w:rPr>
        <w:t>Fishermen D</w:t>
      </w:r>
      <w:r w:rsidRPr="00005B67">
        <w:rPr>
          <w:color w:val="000000" w:themeColor="text1"/>
        </w:rPr>
        <w:t xml:space="preserve">uring 20 years of </w:t>
      </w:r>
      <w:r w:rsidR="00D604F4" w:rsidRPr="00005B67">
        <w:rPr>
          <w:color w:val="000000" w:themeColor="text1"/>
        </w:rPr>
        <w:t>I</w:t>
      </w:r>
      <w:r w:rsidRPr="00005B67">
        <w:rPr>
          <w:color w:val="000000" w:themeColor="text1"/>
        </w:rPr>
        <w:t xml:space="preserve">ndividual </w:t>
      </w:r>
      <w:r w:rsidR="00D604F4" w:rsidRPr="00005B67">
        <w:rPr>
          <w:color w:val="000000" w:themeColor="text1"/>
        </w:rPr>
        <w:t>T</w:t>
      </w:r>
      <w:r w:rsidRPr="00005B67">
        <w:rPr>
          <w:color w:val="000000" w:themeColor="text1"/>
        </w:rPr>
        <w:t xml:space="preserve">ransferable </w:t>
      </w:r>
      <w:r w:rsidR="00D604F4" w:rsidRPr="00005B67">
        <w:rPr>
          <w:color w:val="000000" w:themeColor="text1"/>
        </w:rPr>
        <w:t>Q</w:t>
      </w:r>
      <w:r w:rsidRPr="00005B67">
        <w:rPr>
          <w:color w:val="000000" w:themeColor="text1"/>
        </w:rPr>
        <w:t>uotas.</w:t>
      </w:r>
      <w:r w:rsidR="00D604F4" w:rsidRPr="00005B67">
        <w:rPr>
          <w:color w:val="000000" w:themeColor="text1"/>
        </w:rPr>
        <w:t>”</w:t>
      </w:r>
      <w:r w:rsidRPr="00005B67">
        <w:rPr>
          <w:color w:val="000000" w:themeColor="text1"/>
        </w:rPr>
        <w:t xml:space="preserve"> In: Lowe, M.E., Carothers, C. (Eds.), </w:t>
      </w:r>
      <w:r w:rsidRPr="00005B67">
        <w:rPr>
          <w:i/>
          <w:color w:val="000000" w:themeColor="text1"/>
        </w:rPr>
        <w:t>Enclosing the Fisheries: People, Places, and Power</w:t>
      </w:r>
      <w:r w:rsidRPr="00005B67">
        <w:rPr>
          <w:color w:val="000000" w:themeColor="text1"/>
        </w:rPr>
        <w:t xml:space="preserve">. Symposium 68. American Fisheries Society, Bethesda, MD, </w:t>
      </w:r>
      <w:proofErr w:type="spellStart"/>
      <w:r w:rsidRPr="00005B67">
        <w:rPr>
          <w:color w:val="000000" w:themeColor="text1"/>
        </w:rPr>
        <w:t>p</w:t>
      </w:r>
      <w:r w:rsidR="00D604F4" w:rsidRPr="00005B67">
        <w:rPr>
          <w:color w:val="000000" w:themeColor="text1"/>
        </w:rPr>
        <w:t>g</w:t>
      </w:r>
      <w:proofErr w:type="spellEnd"/>
      <w:r w:rsidR="00D604F4" w:rsidRPr="00005B67">
        <w:rPr>
          <w:color w:val="000000" w:themeColor="text1"/>
        </w:rPr>
        <w:t xml:space="preserve"> </w:t>
      </w:r>
      <w:r w:rsidRPr="00005B67">
        <w:rPr>
          <w:color w:val="000000" w:themeColor="text1"/>
        </w:rPr>
        <w:t>35</w:t>
      </w:r>
      <w:r w:rsidR="00D604F4" w:rsidRPr="00005B67">
        <w:rPr>
          <w:color w:val="000000" w:themeColor="text1"/>
        </w:rPr>
        <w:t>-</w:t>
      </w:r>
      <w:r w:rsidRPr="00005B67">
        <w:rPr>
          <w:color w:val="000000" w:themeColor="text1"/>
        </w:rPr>
        <w:t xml:space="preserve">53. </w:t>
      </w:r>
    </w:p>
    <w:p w14:paraId="6B8DF51F" w14:textId="77777777" w:rsidR="000C5B86" w:rsidRPr="00005B67" w:rsidRDefault="000C5B86" w:rsidP="00BE0207">
      <w:pPr>
        <w:ind w:left="720" w:hanging="720"/>
        <w:rPr>
          <w:color w:val="000000" w:themeColor="text1"/>
        </w:rPr>
      </w:pPr>
      <w:proofErr w:type="spellStart"/>
      <w:r w:rsidRPr="00005B67">
        <w:rPr>
          <w:color w:val="000000" w:themeColor="text1"/>
        </w:rPr>
        <w:t>Donkersloot</w:t>
      </w:r>
      <w:proofErr w:type="spellEnd"/>
      <w:r w:rsidRPr="00005B67">
        <w:rPr>
          <w:color w:val="000000" w:themeColor="text1"/>
        </w:rPr>
        <w:t xml:space="preserve">, Rachel and Courtney Carothers. 2014. “The Graying of the Alaskan Fishing Fleet.” </w:t>
      </w:r>
      <w:r w:rsidRPr="00005B67">
        <w:rPr>
          <w:i/>
          <w:color w:val="000000" w:themeColor="text1"/>
        </w:rPr>
        <w:t>Environment: Science and Policy for Sustainable Development</w:t>
      </w:r>
      <w:r w:rsidRPr="00005B67">
        <w:rPr>
          <w:color w:val="000000" w:themeColor="text1"/>
        </w:rPr>
        <w:t xml:space="preserve"> 58(3): 30-42.</w:t>
      </w:r>
    </w:p>
    <w:p w14:paraId="2DC5FE9F" w14:textId="057E8AE2" w:rsidR="00596D5A" w:rsidRPr="00596D5A" w:rsidRDefault="00596D5A" w:rsidP="00596D5A">
      <w:pPr>
        <w:widowControl w:val="0"/>
        <w:autoSpaceDE w:val="0"/>
        <w:autoSpaceDN w:val="0"/>
        <w:adjustRightInd w:val="0"/>
        <w:ind w:left="720" w:hanging="720"/>
      </w:pPr>
      <w:proofErr w:type="spellStart"/>
      <w:r w:rsidRPr="00915E64">
        <w:t>Eythórsson</w:t>
      </w:r>
      <w:proofErr w:type="spellEnd"/>
      <w:r w:rsidRPr="00915E64">
        <w:t xml:space="preserve">, </w:t>
      </w:r>
      <w:proofErr w:type="spellStart"/>
      <w:r w:rsidRPr="00915E64">
        <w:t>Einar</w:t>
      </w:r>
      <w:proofErr w:type="spellEnd"/>
      <w:r w:rsidRPr="00915E64">
        <w:t xml:space="preserve">. 1996. Coastal Communities and ITQ Management: The Case of Icelandic Fisheries.” </w:t>
      </w:r>
      <w:bookmarkStart w:id="0" w:name="_GoBack"/>
      <w:proofErr w:type="spellStart"/>
      <w:r w:rsidRPr="00596D5A">
        <w:rPr>
          <w:i/>
        </w:rPr>
        <w:t>Sociologia</w:t>
      </w:r>
      <w:proofErr w:type="spellEnd"/>
      <w:r w:rsidRPr="00596D5A">
        <w:rPr>
          <w:i/>
        </w:rPr>
        <w:t xml:space="preserve"> </w:t>
      </w:r>
      <w:proofErr w:type="spellStart"/>
      <w:r w:rsidRPr="00596D5A">
        <w:rPr>
          <w:i/>
        </w:rPr>
        <w:t>Ruralis</w:t>
      </w:r>
      <w:proofErr w:type="spellEnd"/>
      <w:r w:rsidRPr="00915E64">
        <w:t xml:space="preserve"> </w:t>
      </w:r>
      <w:bookmarkEnd w:id="0"/>
      <w:r w:rsidRPr="00915E64">
        <w:t xml:space="preserve">36(2): 212-223. </w:t>
      </w:r>
    </w:p>
    <w:p w14:paraId="00398618" w14:textId="770D481D" w:rsidR="00FC03D8" w:rsidRPr="00005B67" w:rsidRDefault="00FC03D8" w:rsidP="00FC03D8">
      <w:pPr>
        <w:widowControl w:val="0"/>
        <w:autoSpaceDE w:val="0"/>
        <w:autoSpaceDN w:val="0"/>
        <w:adjustRightInd w:val="0"/>
        <w:ind w:left="720" w:hanging="720"/>
        <w:rPr>
          <w:color w:val="000000" w:themeColor="text1"/>
        </w:rPr>
      </w:pPr>
      <w:proofErr w:type="spellStart"/>
      <w:r w:rsidRPr="00005B67">
        <w:rPr>
          <w:color w:val="000000" w:themeColor="text1"/>
        </w:rPr>
        <w:t>Ginter</w:t>
      </w:r>
      <w:proofErr w:type="spellEnd"/>
      <w:r w:rsidRPr="00005B67">
        <w:rPr>
          <w:color w:val="000000" w:themeColor="text1"/>
        </w:rPr>
        <w:t xml:space="preserve">, Jay C. 1995. “The Alaska Community Development Quota Fisheries Management Program.” </w:t>
      </w:r>
      <w:r w:rsidRPr="00005B67">
        <w:rPr>
          <w:i/>
          <w:color w:val="000000" w:themeColor="text1"/>
        </w:rPr>
        <w:t>Oceans and Coastal Management</w:t>
      </w:r>
      <w:r w:rsidRPr="00005B67">
        <w:rPr>
          <w:color w:val="000000" w:themeColor="text1"/>
        </w:rPr>
        <w:t xml:space="preserve"> 28(14):147–163 </w:t>
      </w:r>
    </w:p>
    <w:p w14:paraId="189C45EB" w14:textId="480B01F0" w:rsidR="00073765" w:rsidRPr="00005B67" w:rsidRDefault="00073765" w:rsidP="00721FEE">
      <w:pPr>
        <w:widowControl w:val="0"/>
        <w:autoSpaceDE w:val="0"/>
        <w:autoSpaceDN w:val="0"/>
        <w:adjustRightInd w:val="0"/>
        <w:ind w:left="720" w:hanging="720"/>
        <w:rPr>
          <w:color w:val="000000" w:themeColor="text1"/>
        </w:rPr>
      </w:pPr>
      <w:r w:rsidRPr="00005B67">
        <w:rPr>
          <w:color w:val="000000" w:themeColor="text1"/>
        </w:rPr>
        <w:t xml:space="preserve">Gordon, H. Scott. 1954. “The Economic Theory of a Common-Property Resource: The Fishery.” </w:t>
      </w:r>
      <w:r w:rsidRPr="00005B67">
        <w:rPr>
          <w:i/>
          <w:color w:val="000000" w:themeColor="text1"/>
        </w:rPr>
        <w:t>Journal of Political Economy</w:t>
      </w:r>
      <w:r w:rsidRPr="00005B67">
        <w:rPr>
          <w:color w:val="000000" w:themeColor="text1"/>
        </w:rPr>
        <w:t xml:space="preserve"> 62: 124-142. </w:t>
      </w:r>
    </w:p>
    <w:p w14:paraId="689848EB" w14:textId="77777777" w:rsidR="000C5B86" w:rsidRPr="00005B67" w:rsidRDefault="000C5B86" w:rsidP="00BE0207">
      <w:pPr>
        <w:widowControl w:val="0"/>
        <w:autoSpaceDE w:val="0"/>
        <w:autoSpaceDN w:val="0"/>
        <w:adjustRightInd w:val="0"/>
        <w:ind w:left="720" w:hanging="720"/>
        <w:rPr>
          <w:color w:val="000000" w:themeColor="text1"/>
        </w:rPr>
      </w:pPr>
      <w:proofErr w:type="spellStart"/>
      <w:r w:rsidRPr="00005B67">
        <w:rPr>
          <w:color w:val="000000" w:themeColor="text1"/>
        </w:rPr>
        <w:t>Hannesson</w:t>
      </w:r>
      <w:proofErr w:type="spellEnd"/>
      <w:r w:rsidRPr="00005B67">
        <w:rPr>
          <w:color w:val="000000" w:themeColor="text1"/>
        </w:rPr>
        <w:t xml:space="preserve">, </w:t>
      </w:r>
      <w:proofErr w:type="spellStart"/>
      <w:r w:rsidRPr="00005B67">
        <w:rPr>
          <w:color w:val="000000" w:themeColor="text1"/>
        </w:rPr>
        <w:t>Rognvaldur</w:t>
      </w:r>
      <w:proofErr w:type="spellEnd"/>
      <w:r w:rsidRPr="00005B67">
        <w:rPr>
          <w:color w:val="000000" w:themeColor="text1"/>
        </w:rPr>
        <w:t xml:space="preserve">. 2004. </w:t>
      </w:r>
      <w:r w:rsidRPr="00005B67">
        <w:rPr>
          <w:i/>
          <w:color w:val="000000" w:themeColor="text1"/>
        </w:rPr>
        <w:t>The Privatization of the Oceans</w:t>
      </w:r>
      <w:r w:rsidRPr="00005B67">
        <w:rPr>
          <w:color w:val="000000" w:themeColor="text1"/>
        </w:rPr>
        <w:t xml:space="preserve">. Cambridge: MIT Press. </w:t>
      </w:r>
    </w:p>
    <w:p w14:paraId="491D7DB4" w14:textId="525DD475" w:rsidR="00DA3684" w:rsidRPr="00005B67" w:rsidRDefault="00DA3684" w:rsidP="004D7CE2">
      <w:pPr>
        <w:widowControl w:val="0"/>
        <w:autoSpaceDE w:val="0"/>
        <w:autoSpaceDN w:val="0"/>
        <w:adjustRightInd w:val="0"/>
        <w:ind w:left="720" w:hanging="720"/>
        <w:rPr>
          <w:color w:val="000000" w:themeColor="text1"/>
        </w:rPr>
      </w:pPr>
      <w:proofErr w:type="spellStart"/>
      <w:r w:rsidRPr="00005B67">
        <w:rPr>
          <w:color w:val="000000" w:themeColor="text1"/>
        </w:rPr>
        <w:t>Holen</w:t>
      </w:r>
      <w:proofErr w:type="spellEnd"/>
      <w:r w:rsidRPr="00005B67">
        <w:rPr>
          <w:color w:val="000000" w:themeColor="text1"/>
        </w:rPr>
        <w:t xml:space="preserve">, David. 2014. “Fishing for Community and Culture: The Value of Fisheries in Rural Alaska.” </w:t>
      </w:r>
      <w:r w:rsidRPr="00005B67">
        <w:rPr>
          <w:i/>
          <w:color w:val="000000" w:themeColor="text1"/>
        </w:rPr>
        <w:t>Polar Record</w:t>
      </w:r>
      <w:r w:rsidRPr="00005B67">
        <w:rPr>
          <w:color w:val="000000" w:themeColor="text1"/>
        </w:rPr>
        <w:t xml:space="preserve"> 50(4): 403-413.</w:t>
      </w:r>
    </w:p>
    <w:p w14:paraId="6172BC43" w14:textId="6C0EE8B8" w:rsidR="008D7CF4" w:rsidRPr="00005B67" w:rsidRDefault="008D7CF4">
      <w:pPr>
        <w:ind w:left="720" w:hanging="720"/>
        <w:rPr>
          <w:color w:val="000000" w:themeColor="text1"/>
        </w:rPr>
      </w:pPr>
      <w:proofErr w:type="spellStart"/>
      <w:r w:rsidRPr="00005B67">
        <w:rPr>
          <w:color w:val="000000" w:themeColor="text1"/>
        </w:rPr>
        <w:t>Jentoft</w:t>
      </w:r>
      <w:proofErr w:type="spellEnd"/>
      <w:r w:rsidRPr="00005B67">
        <w:rPr>
          <w:color w:val="000000" w:themeColor="text1"/>
        </w:rPr>
        <w:t xml:space="preserve">, </w:t>
      </w:r>
      <w:proofErr w:type="spellStart"/>
      <w:r w:rsidRPr="00005B67">
        <w:rPr>
          <w:color w:val="000000" w:themeColor="text1"/>
        </w:rPr>
        <w:t>Svein</w:t>
      </w:r>
      <w:proofErr w:type="spellEnd"/>
      <w:r w:rsidRPr="00005B67">
        <w:rPr>
          <w:color w:val="000000" w:themeColor="text1"/>
        </w:rPr>
        <w:t xml:space="preserve">. 2004. “Institutions in Fisheries: What They Are, What They Do, and How They Change.” </w:t>
      </w:r>
      <w:r w:rsidRPr="00005B67">
        <w:rPr>
          <w:i/>
          <w:color w:val="000000" w:themeColor="text1"/>
        </w:rPr>
        <w:t>Marine Policy</w:t>
      </w:r>
      <w:r w:rsidRPr="00005B67">
        <w:rPr>
          <w:color w:val="000000" w:themeColor="text1"/>
        </w:rPr>
        <w:t xml:space="preserve"> 28: 137-149.</w:t>
      </w:r>
    </w:p>
    <w:p w14:paraId="32081656" w14:textId="27331305" w:rsidR="00060DF4" w:rsidRPr="00005B67" w:rsidRDefault="00060DF4">
      <w:pPr>
        <w:ind w:left="720" w:hanging="720"/>
        <w:rPr>
          <w:color w:val="000000" w:themeColor="text1"/>
        </w:rPr>
      </w:pPr>
      <w:proofErr w:type="spellStart"/>
      <w:r w:rsidRPr="00005B67">
        <w:rPr>
          <w:color w:val="000000" w:themeColor="text1"/>
        </w:rPr>
        <w:t>Karlsdóttir</w:t>
      </w:r>
      <w:proofErr w:type="spellEnd"/>
      <w:r w:rsidRPr="00005B67">
        <w:rPr>
          <w:color w:val="000000" w:themeColor="text1"/>
        </w:rPr>
        <w:t xml:space="preserve">, Anna. 2008. “Not Sure About the Shore! Transformation Effects on Individual Transferable Quotas on Iceland’s </w:t>
      </w:r>
      <w:r w:rsidR="001F219E" w:rsidRPr="00005B67">
        <w:rPr>
          <w:color w:val="000000" w:themeColor="text1"/>
        </w:rPr>
        <w:t xml:space="preserve">Fishing Economy </w:t>
      </w:r>
      <w:r w:rsidRPr="00005B67">
        <w:rPr>
          <w:color w:val="000000" w:themeColor="text1"/>
        </w:rPr>
        <w:t xml:space="preserve">and </w:t>
      </w:r>
      <w:r w:rsidR="001F219E" w:rsidRPr="00005B67">
        <w:rPr>
          <w:color w:val="000000" w:themeColor="text1"/>
        </w:rPr>
        <w:t>Communities</w:t>
      </w:r>
      <w:r w:rsidRPr="00005B67">
        <w:rPr>
          <w:color w:val="000000" w:themeColor="text1"/>
        </w:rPr>
        <w:t xml:space="preserve">.” In </w:t>
      </w:r>
      <w:r w:rsidRPr="00005B67">
        <w:rPr>
          <w:i/>
          <w:color w:val="000000" w:themeColor="text1"/>
        </w:rPr>
        <w:t>Enclosing the Fisheries, People, Places, and Power</w:t>
      </w:r>
      <w:r w:rsidRPr="00005B67">
        <w:rPr>
          <w:color w:val="000000" w:themeColor="text1"/>
        </w:rPr>
        <w:t>, edited by Marie Lowe and Courtney Carothers. Bethesda: The American Fisheries Association.</w:t>
      </w:r>
    </w:p>
    <w:p w14:paraId="1BBD4AF0" w14:textId="72466B5F" w:rsidR="00636638" w:rsidRPr="00005B67" w:rsidRDefault="000C5B86">
      <w:pPr>
        <w:ind w:left="720" w:hanging="720"/>
        <w:rPr>
          <w:color w:val="000000" w:themeColor="text1"/>
        </w:rPr>
      </w:pPr>
      <w:proofErr w:type="spellStart"/>
      <w:r w:rsidRPr="00005B67">
        <w:rPr>
          <w:color w:val="000000" w:themeColor="text1"/>
        </w:rPr>
        <w:t>Kurien</w:t>
      </w:r>
      <w:proofErr w:type="spellEnd"/>
      <w:r w:rsidRPr="00005B67">
        <w:rPr>
          <w:color w:val="000000" w:themeColor="text1"/>
        </w:rPr>
        <w:t xml:space="preserve">, John. 2000. “Icelandic Fisheries Governance: A Third World Understanding.” </w:t>
      </w:r>
      <w:r w:rsidRPr="00005B67">
        <w:rPr>
          <w:i/>
          <w:color w:val="000000" w:themeColor="text1"/>
        </w:rPr>
        <w:t>Economic and Political Weekly</w:t>
      </w:r>
      <w:r w:rsidRPr="00005B67">
        <w:rPr>
          <w:color w:val="000000" w:themeColor="text1"/>
        </w:rPr>
        <w:t xml:space="preserve"> 35(4): 3061-3066.</w:t>
      </w:r>
    </w:p>
    <w:p w14:paraId="743411B3" w14:textId="3179930B" w:rsidR="00636638" w:rsidRPr="00005B67" w:rsidRDefault="00636638">
      <w:pPr>
        <w:widowControl w:val="0"/>
        <w:autoSpaceDE w:val="0"/>
        <w:autoSpaceDN w:val="0"/>
        <w:adjustRightInd w:val="0"/>
        <w:ind w:left="720" w:hanging="720"/>
        <w:rPr>
          <w:color w:val="000000" w:themeColor="text1"/>
        </w:rPr>
      </w:pPr>
      <w:r w:rsidRPr="00005B67">
        <w:rPr>
          <w:color w:val="000000" w:themeColor="text1"/>
        </w:rPr>
        <w:t xml:space="preserve">Langdon, Steven J. 2008. “The community quota program in the Gulf of Alaska: A vehicle for Alaska Native village sustainability?” In </w:t>
      </w:r>
      <w:r w:rsidR="00A747EC" w:rsidRPr="00005B67">
        <w:rPr>
          <w:i/>
          <w:color w:val="000000" w:themeColor="text1"/>
        </w:rPr>
        <w:t>Enclosing the fisheries: P</w:t>
      </w:r>
      <w:r w:rsidRPr="00005B67">
        <w:rPr>
          <w:i/>
          <w:color w:val="000000" w:themeColor="text1"/>
        </w:rPr>
        <w:t xml:space="preserve">eople, </w:t>
      </w:r>
      <w:r w:rsidR="00A747EC" w:rsidRPr="00005B67">
        <w:rPr>
          <w:i/>
          <w:color w:val="000000" w:themeColor="text1"/>
        </w:rPr>
        <w:t>P</w:t>
      </w:r>
      <w:r w:rsidRPr="00005B67">
        <w:rPr>
          <w:i/>
          <w:color w:val="000000" w:themeColor="text1"/>
        </w:rPr>
        <w:t xml:space="preserve">laces, and </w:t>
      </w:r>
      <w:r w:rsidR="00A747EC" w:rsidRPr="00005B67">
        <w:rPr>
          <w:i/>
          <w:color w:val="000000" w:themeColor="text1"/>
        </w:rPr>
        <w:t>P</w:t>
      </w:r>
      <w:r w:rsidRPr="00005B67">
        <w:rPr>
          <w:i/>
          <w:color w:val="000000" w:themeColor="text1"/>
        </w:rPr>
        <w:t>ower</w:t>
      </w:r>
      <w:r w:rsidRPr="00005B67">
        <w:rPr>
          <w:color w:val="000000" w:themeColor="text1"/>
        </w:rPr>
        <w:t>, M. Lowe and C. Carothers, editors. American Fisheries Society Press, Bethesda, Maryland</w:t>
      </w:r>
      <w:r w:rsidR="00694D3E" w:rsidRPr="00005B67">
        <w:rPr>
          <w:color w:val="000000" w:themeColor="text1"/>
        </w:rPr>
        <w:t>: 155-194.</w:t>
      </w:r>
    </w:p>
    <w:p w14:paraId="14FCB516" w14:textId="67AE036F" w:rsidR="00057AA2" w:rsidRPr="00005B67" w:rsidRDefault="00057AA2" w:rsidP="00057AA2">
      <w:pPr>
        <w:widowControl w:val="0"/>
        <w:autoSpaceDE w:val="0"/>
        <w:autoSpaceDN w:val="0"/>
        <w:adjustRightInd w:val="0"/>
        <w:spacing w:line="180" w:lineRule="atLeast"/>
        <w:ind w:left="720" w:hanging="720"/>
        <w:rPr>
          <w:color w:val="000000" w:themeColor="text1"/>
        </w:rPr>
      </w:pPr>
      <w:r w:rsidRPr="00005B67">
        <w:rPr>
          <w:color w:val="000000" w:themeColor="text1"/>
        </w:rPr>
        <w:t xml:space="preserve">Lock, Kelly and Stefan Leslie. 2007. "New Zealand's Quota Management System: A History of the First 20 Years." </w:t>
      </w:r>
      <w:proofErr w:type="spellStart"/>
      <w:r w:rsidRPr="00005B67">
        <w:rPr>
          <w:i/>
          <w:color w:val="000000" w:themeColor="text1"/>
        </w:rPr>
        <w:t>Motu</w:t>
      </w:r>
      <w:proofErr w:type="spellEnd"/>
      <w:r w:rsidRPr="00005B67">
        <w:rPr>
          <w:i/>
          <w:color w:val="000000" w:themeColor="text1"/>
        </w:rPr>
        <w:t xml:space="preserve"> Working Paper 07-02, </w:t>
      </w:r>
      <w:proofErr w:type="spellStart"/>
      <w:r w:rsidRPr="00005B67">
        <w:rPr>
          <w:i/>
          <w:color w:val="000000" w:themeColor="text1"/>
        </w:rPr>
        <w:t>Motu</w:t>
      </w:r>
      <w:proofErr w:type="spellEnd"/>
      <w:r w:rsidRPr="00005B67">
        <w:rPr>
          <w:i/>
          <w:color w:val="000000" w:themeColor="text1"/>
        </w:rPr>
        <w:t xml:space="preserve"> Economic and Public Policy Research</w:t>
      </w:r>
      <w:r w:rsidRPr="00005B67">
        <w:rPr>
          <w:color w:val="000000" w:themeColor="text1"/>
        </w:rPr>
        <w:t>: 1-75.</w:t>
      </w:r>
    </w:p>
    <w:p w14:paraId="6B96DD5A" w14:textId="7326CE73" w:rsidR="00BE0207" w:rsidRPr="00005B67" w:rsidRDefault="00BE0207">
      <w:pPr>
        <w:widowControl w:val="0"/>
        <w:autoSpaceDE w:val="0"/>
        <w:autoSpaceDN w:val="0"/>
        <w:adjustRightInd w:val="0"/>
        <w:ind w:left="720" w:hanging="720"/>
        <w:rPr>
          <w:color w:val="000000" w:themeColor="text1"/>
        </w:rPr>
      </w:pPr>
      <w:proofErr w:type="spellStart"/>
      <w:r w:rsidRPr="00005B67">
        <w:rPr>
          <w:color w:val="000000" w:themeColor="text1"/>
        </w:rPr>
        <w:t>Lynham</w:t>
      </w:r>
      <w:proofErr w:type="spellEnd"/>
      <w:r w:rsidRPr="00005B67">
        <w:rPr>
          <w:color w:val="000000" w:themeColor="text1"/>
        </w:rPr>
        <w:t>, John. 2014. “How Have Catch Shares Been Allocated?</w:t>
      </w:r>
      <w:r w:rsidR="0000546D" w:rsidRPr="00005B67">
        <w:rPr>
          <w:color w:val="000000" w:themeColor="text1"/>
        </w:rPr>
        <w:t xml:space="preserve">” </w:t>
      </w:r>
      <w:r w:rsidR="0000546D" w:rsidRPr="00005B67">
        <w:rPr>
          <w:i/>
          <w:color w:val="000000" w:themeColor="text1"/>
        </w:rPr>
        <w:t>Marine Policy</w:t>
      </w:r>
      <w:r w:rsidR="0000546D" w:rsidRPr="00005B67">
        <w:rPr>
          <w:color w:val="000000" w:themeColor="text1"/>
        </w:rPr>
        <w:t xml:space="preserve"> 44: 42-48.</w:t>
      </w:r>
    </w:p>
    <w:p w14:paraId="170B71CF" w14:textId="1EEA0ADC" w:rsidR="00DF6F9B" w:rsidRPr="00005B67" w:rsidRDefault="00DF6F9B">
      <w:pPr>
        <w:widowControl w:val="0"/>
        <w:autoSpaceDE w:val="0"/>
        <w:autoSpaceDN w:val="0"/>
        <w:adjustRightInd w:val="0"/>
        <w:ind w:left="720" w:hanging="720"/>
        <w:rPr>
          <w:color w:val="000000" w:themeColor="text1"/>
        </w:rPr>
      </w:pPr>
      <w:r w:rsidRPr="00005B67">
        <w:rPr>
          <w:color w:val="000000" w:themeColor="text1"/>
        </w:rPr>
        <w:t xml:space="preserve">Mansfield, Becky. 2004. “Neoliberalism in the Oceans: "Rationalization," Property Rights, and the Commons Question.” </w:t>
      </w:r>
      <w:proofErr w:type="spellStart"/>
      <w:r w:rsidRPr="00005B67">
        <w:rPr>
          <w:i/>
          <w:color w:val="000000" w:themeColor="text1"/>
        </w:rPr>
        <w:t>Geoforum</w:t>
      </w:r>
      <w:proofErr w:type="spellEnd"/>
      <w:r w:rsidRPr="00005B67">
        <w:rPr>
          <w:color w:val="000000" w:themeColor="text1"/>
        </w:rPr>
        <w:t xml:space="preserve"> 35: 313-326. </w:t>
      </w:r>
    </w:p>
    <w:p w14:paraId="39020408" w14:textId="3F4E928B" w:rsidR="00027EB8" w:rsidRPr="00005B67" w:rsidRDefault="00027EB8">
      <w:pPr>
        <w:widowControl w:val="0"/>
        <w:autoSpaceDE w:val="0"/>
        <w:autoSpaceDN w:val="0"/>
        <w:adjustRightInd w:val="0"/>
        <w:ind w:left="720" w:hanging="720"/>
        <w:rPr>
          <w:color w:val="000000" w:themeColor="text1"/>
        </w:rPr>
      </w:pPr>
      <w:r w:rsidRPr="00005B67">
        <w:rPr>
          <w:color w:val="000000" w:themeColor="text1"/>
        </w:rPr>
        <w:t xml:space="preserve">Mansfield, Becky. 2007. “Property, Markets, and Dispossession: The Western Alaska Community Development Quota as Neoliberalism, Social Justice, Both, and Neither.” </w:t>
      </w:r>
      <w:r w:rsidRPr="00005B67">
        <w:rPr>
          <w:i/>
          <w:color w:val="000000" w:themeColor="text1"/>
        </w:rPr>
        <w:t>Antipode</w:t>
      </w:r>
      <w:r w:rsidRPr="00005B67">
        <w:rPr>
          <w:color w:val="000000" w:themeColor="text1"/>
        </w:rPr>
        <w:t xml:space="preserve"> 39(3): 479-499.</w:t>
      </w:r>
    </w:p>
    <w:p w14:paraId="70CDE333" w14:textId="771F682C" w:rsidR="00636638" w:rsidRPr="00005B67" w:rsidRDefault="00636638">
      <w:pPr>
        <w:widowControl w:val="0"/>
        <w:autoSpaceDE w:val="0"/>
        <w:autoSpaceDN w:val="0"/>
        <w:adjustRightInd w:val="0"/>
        <w:ind w:left="720" w:hanging="720"/>
        <w:rPr>
          <w:color w:val="000000" w:themeColor="text1"/>
        </w:rPr>
      </w:pPr>
      <w:proofErr w:type="spellStart"/>
      <w:r w:rsidRPr="00005B67">
        <w:rPr>
          <w:color w:val="000000" w:themeColor="text1"/>
        </w:rPr>
        <w:lastRenderedPageBreak/>
        <w:t>Moloney</w:t>
      </w:r>
      <w:proofErr w:type="spellEnd"/>
      <w:r w:rsidRPr="00005B67">
        <w:rPr>
          <w:color w:val="000000" w:themeColor="text1"/>
        </w:rPr>
        <w:t xml:space="preserve">, David and Peter </w:t>
      </w:r>
      <w:proofErr w:type="spellStart"/>
      <w:r w:rsidRPr="00005B67">
        <w:rPr>
          <w:color w:val="000000" w:themeColor="text1"/>
        </w:rPr>
        <w:t>Pearse</w:t>
      </w:r>
      <w:proofErr w:type="spellEnd"/>
      <w:r w:rsidRPr="00005B67">
        <w:rPr>
          <w:color w:val="000000" w:themeColor="text1"/>
        </w:rPr>
        <w:t xml:space="preserve">. 1979. “Quantitative </w:t>
      </w:r>
      <w:r w:rsidR="001E3F0C" w:rsidRPr="00005B67">
        <w:rPr>
          <w:color w:val="000000" w:themeColor="text1"/>
        </w:rPr>
        <w:t>Ri</w:t>
      </w:r>
      <w:r w:rsidRPr="00005B67">
        <w:rPr>
          <w:color w:val="000000" w:themeColor="text1"/>
        </w:rPr>
        <w:t xml:space="preserve">ghts as an </w:t>
      </w:r>
      <w:r w:rsidR="001E3F0C" w:rsidRPr="00005B67">
        <w:rPr>
          <w:color w:val="000000" w:themeColor="text1"/>
        </w:rPr>
        <w:t>In</w:t>
      </w:r>
      <w:r w:rsidRPr="00005B67">
        <w:rPr>
          <w:color w:val="000000" w:themeColor="text1"/>
        </w:rPr>
        <w:t xml:space="preserve">strument for </w:t>
      </w:r>
      <w:r w:rsidR="001E3F0C" w:rsidRPr="00005B67">
        <w:rPr>
          <w:color w:val="000000" w:themeColor="text1"/>
        </w:rPr>
        <w:t>Re</w:t>
      </w:r>
      <w:r w:rsidRPr="00005B67">
        <w:rPr>
          <w:color w:val="000000" w:themeColor="text1"/>
        </w:rPr>
        <w:t xml:space="preserve">gulating </w:t>
      </w:r>
      <w:r w:rsidR="001E3F0C" w:rsidRPr="00005B67">
        <w:rPr>
          <w:color w:val="000000" w:themeColor="text1"/>
        </w:rPr>
        <w:t>Commercial F</w:t>
      </w:r>
      <w:r w:rsidRPr="00005B67">
        <w:rPr>
          <w:color w:val="000000" w:themeColor="text1"/>
        </w:rPr>
        <w:t xml:space="preserve">isheries.” </w:t>
      </w:r>
      <w:r w:rsidRPr="00005B67">
        <w:rPr>
          <w:i/>
          <w:color w:val="000000" w:themeColor="text1"/>
        </w:rPr>
        <w:t>Journal of Fisheries Research Board of Canada</w:t>
      </w:r>
      <w:r w:rsidRPr="00005B67">
        <w:rPr>
          <w:color w:val="000000" w:themeColor="text1"/>
        </w:rPr>
        <w:t xml:space="preserve"> 36: 859-886. </w:t>
      </w:r>
    </w:p>
    <w:p w14:paraId="593F7C03" w14:textId="5F46C1E5" w:rsidR="00F318FE" w:rsidRPr="00005B67" w:rsidRDefault="00F318FE" w:rsidP="001002C4">
      <w:pPr>
        <w:widowControl w:val="0"/>
        <w:autoSpaceDE w:val="0"/>
        <w:autoSpaceDN w:val="0"/>
        <w:adjustRightInd w:val="0"/>
        <w:ind w:left="720" w:hanging="720"/>
        <w:rPr>
          <w:color w:val="000000" w:themeColor="text1"/>
        </w:rPr>
      </w:pPr>
      <w:r w:rsidRPr="00005B67">
        <w:rPr>
          <w:color w:val="000000" w:themeColor="text1"/>
        </w:rPr>
        <w:t xml:space="preserve">National Research Council. 1999. </w:t>
      </w:r>
      <w:r w:rsidRPr="00005B67">
        <w:rPr>
          <w:i/>
          <w:color w:val="000000" w:themeColor="text1"/>
        </w:rPr>
        <w:t>The Community Development Quota Program in Alaska</w:t>
      </w:r>
      <w:r w:rsidRPr="00005B67">
        <w:rPr>
          <w:color w:val="000000" w:themeColor="text1"/>
        </w:rPr>
        <w:t xml:space="preserve">. Washington, D.C.: National Academy Press. </w:t>
      </w:r>
    </w:p>
    <w:p w14:paraId="71FC1540" w14:textId="0BAFAD9F" w:rsidR="001002C4" w:rsidRPr="00005B67" w:rsidRDefault="001002C4" w:rsidP="001002C4">
      <w:pPr>
        <w:widowControl w:val="0"/>
        <w:autoSpaceDE w:val="0"/>
        <w:autoSpaceDN w:val="0"/>
        <w:adjustRightInd w:val="0"/>
        <w:ind w:left="720" w:hanging="720"/>
        <w:rPr>
          <w:color w:val="000000" w:themeColor="text1"/>
        </w:rPr>
      </w:pPr>
      <w:r w:rsidRPr="00005B67">
        <w:rPr>
          <w:color w:val="000000" w:themeColor="text1"/>
        </w:rPr>
        <w:t>NMFS. 2015. “Transfer Report: Changes Under Alaska’s Halibut IFQ Program, 1995 Through 2014.” Available from NMFS Alaska Regional Office, P.O. Box 21668, Juneau, AK, 99802. 172</w:t>
      </w:r>
      <w:r w:rsidRPr="00005B67">
        <w:rPr>
          <w:rFonts w:ascii="MS Mincho" w:eastAsia="MS Mincho" w:hAnsi="MS Mincho" w:cs="MS Mincho"/>
          <w:color w:val="000000" w:themeColor="text1"/>
        </w:rPr>
        <w:t> </w:t>
      </w:r>
    </w:p>
    <w:p w14:paraId="74C4355C" w14:textId="6EA3C4AE" w:rsidR="00120D4B" w:rsidRPr="00005B67" w:rsidRDefault="00636638" w:rsidP="001002C4">
      <w:pPr>
        <w:widowControl w:val="0"/>
        <w:autoSpaceDE w:val="0"/>
        <w:autoSpaceDN w:val="0"/>
        <w:adjustRightInd w:val="0"/>
        <w:ind w:left="720" w:hanging="720"/>
        <w:rPr>
          <w:color w:val="000000" w:themeColor="text1"/>
        </w:rPr>
      </w:pPr>
      <w:r w:rsidRPr="00005B67">
        <w:rPr>
          <w:color w:val="000000" w:themeColor="text1"/>
        </w:rPr>
        <w:t xml:space="preserve">NOAA </w:t>
      </w:r>
      <w:r w:rsidR="00120D4B" w:rsidRPr="00005B67">
        <w:rPr>
          <w:color w:val="000000" w:themeColor="text1"/>
        </w:rPr>
        <w:t xml:space="preserve">Fisheries Service. 2006. “Pacific halibut-sablefish IFQ report for fishing year 2006. Restricted Access Management, Alaska Region, Juneau.” Available at: http://www.fakr.noaa.gov/ram/rtf06.pdf. </w:t>
      </w:r>
    </w:p>
    <w:p w14:paraId="49BCC8BC" w14:textId="2D63913B" w:rsidR="005455A7" w:rsidRPr="00005B67" w:rsidRDefault="005455A7" w:rsidP="00CE77A3">
      <w:pPr>
        <w:ind w:left="720" w:hanging="720"/>
        <w:rPr>
          <w:color w:val="000000" w:themeColor="text1"/>
        </w:rPr>
      </w:pPr>
      <w:r w:rsidRPr="00005B67">
        <w:rPr>
          <w:color w:val="000000" w:themeColor="text1"/>
        </w:rPr>
        <w:t xml:space="preserve">Olson, Julia. 2011. “Understanding and Contextualizing Social Impacts from the </w:t>
      </w:r>
      <w:r w:rsidR="006C4836" w:rsidRPr="00005B67">
        <w:rPr>
          <w:color w:val="000000" w:themeColor="text1"/>
        </w:rPr>
        <w:t>Privatization</w:t>
      </w:r>
      <w:r w:rsidRPr="00005B67">
        <w:rPr>
          <w:color w:val="000000" w:themeColor="text1"/>
        </w:rPr>
        <w:t xml:space="preserve"> of Fisheries: An Overview.” </w:t>
      </w:r>
      <w:r w:rsidRPr="00005B67">
        <w:rPr>
          <w:i/>
          <w:color w:val="000000" w:themeColor="text1"/>
        </w:rPr>
        <w:t>Ocean and Coastal Management</w:t>
      </w:r>
      <w:r w:rsidRPr="00005B67">
        <w:rPr>
          <w:color w:val="000000" w:themeColor="text1"/>
        </w:rPr>
        <w:t xml:space="preserve"> 54: 353-363.</w:t>
      </w:r>
    </w:p>
    <w:p w14:paraId="6DA77E7A" w14:textId="5CDE3A9D" w:rsidR="00F67504" w:rsidRPr="00005B67" w:rsidRDefault="00F67504" w:rsidP="00CE77A3">
      <w:pPr>
        <w:ind w:left="720" w:hanging="720"/>
        <w:rPr>
          <w:color w:val="000000" w:themeColor="text1"/>
        </w:rPr>
      </w:pPr>
      <w:r w:rsidRPr="00005B67">
        <w:rPr>
          <w:color w:val="000000" w:themeColor="text1"/>
        </w:rPr>
        <w:t xml:space="preserve">Ostrom, Elinor. 1990. </w:t>
      </w:r>
      <w:r w:rsidRPr="00005B67">
        <w:rPr>
          <w:i/>
          <w:color w:val="000000" w:themeColor="text1"/>
        </w:rPr>
        <w:t>Governing the Commons: The Evolution of Institutions for Collective Action</w:t>
      </w:r>
      <w:r w:rsidRPr="00005B67">
        <w:rPr>
          <w:color w:val="000000" w:themeColor="text1"/>
        </w:rPr>
        <w:t xml:space="preserve">. Cambridge: Cambridge University Press. </w:t>
      </w:r>
    </w:p>
    <w:p w14:paraId="5D07126E" w14:textId="7C5BA279" w:rsidR="00C8383F" w:rsidRPr="00005B67" w:rsidRDefault="00C8383F" w:rsidP="006E0DF9">
      <w:pPr>
        <w:widowControl w:val="0"/>
        <w:autoSpaceDE w:val="0"/>
        <w:autoSpaceDN w:val="0"/>
        <w:adjustRightInd w:val="0"/>
        <w:ind w:left="720" w:hanging="720"/>
        <w:rPr>
          <w:color w:val="000000" w:themeColor="text1"/>
        </w:rPr>
      </w:pPr>
      <w:r w:rsidRPr="00005B67">
        <w:rPr>
          <w:color w:val="000000" w:themeColor="text1"/>
        </w:rPr>
        <w:t xml:space="preserve">Pacific Halibut Fisheries; </w:t>
      </w:r>
      <w:proofErr w:type="spellStart"/>
      <w:r w:rsidRPr="00005B67">
        <w:rPr>
          <w:color w:val="000000" w:themeColor="text1"/>
        </w:rPr>
        <w:t>Groundfish</w:t>
      </w:r>
      <w:proofErr w:type="spellEnd"/>
      <w:r w:rsidRPr="00005B67">
        <w:rPr>
          <w:color w:val="000000" w:themeColor="text1"/>
        </w:rPr>
        <w:t xml:space="preserve"> of the Gulf of Alaska; </w:t>
      </w:r>
      <w:proofErr w:type="spellStart"/>
      <w:r w:rsidRPr="00005B67">
        <w:rPr>
          <w:color w:val="000000" w:themeColor="text1"/>
        </w:rPr>
        <w:t>Groundfish</w:t>
      </w:r>
      <w:proofErr w:type="spellEnd"/>
      <w:r w:rsidRPr="00005B67">
        <w:rPr>
          <w:color w:val="000000" w:themeColor="text1"/>
        </w:rPr>
        <w:t xml:space="preserve"> of the Bering Sea and Aleutian Islands; Limited Access Management of Fisheries off Alaska, 58 Fed. Reg. § 215 (final rule Nov. 9, 1993) (to be codified at 50 C.F.R. p</w:t>
      </w:r>
      <w:r w:rsidR="006C4836" w:rsidRPr="00005B67">
        <w:rPr>
          <w:color w:val="000000" w:themeColor="text1"/>
        </w:rPr>
        <w:t>a</w:t>
      </w:r>
      <w:r w:rsidRPr="00005B67">
        <w:rPr>
          <w:color w:val="000000" w:themeColor="text1"/>
        </w:rPr>
        <w:t>rts. 204, 672, 675, and 676).</w:t>
      </w:r>
    </w:p>
    <w:p w14:paraId="66D74E8F" w14:textId="0E7DC6AB" w:rsidR="001309C8" w:rsidRPr="00005B67" w:rsidRDefault="001309C8" w:rsidP="004D7CE2">
      <w:pPr>
        <w:ind w:left="720" w:hanging="720"/>
        <w:rPr>
          <w:color w:val="000000" w:themeColor="text1"/>
        </w:rPr>
      </w:pPr>
      <w:proofErr w:type="spellStart"/>
      <w:r w:rsidRPr="00005B67">
        <w:rPr>
          <w:color w:val="000000" w:themeColor="text1"/>
        </w:rPr>
        <w:t>Pálsson</w:t>
      </w:r>
      <w:proofErr w:type="spellEnd"/>
      <w:r w:rsidRPr="00005B67">
        <w:rPr>
          <w:color w:val="000000" w:themeColor="text1"/>
        </w:rPr>
        <w:t xml:space="preserve">, </w:t>
      </w:r>
      <w:proofErr w:type="spellStart"/>
      <w:r w:rsidRPr="00005B67">
        <w:rPr>
          <w:color w:val="000000" w:themeColor="text1"/>
        </w:rPr>
        <w:t>Gisli</w:t>
      </w:r>
      <w:proofErr w:type="spellEnd"/>
      <w:r w:rsidRPr="00005B67">
        <w:rPr>
          <w:color w:val="000000" w:themeColor="text1"/>
        </w:rPr>
        <w:t xml:space="preserve"> &amp; </w:t>
      </w:r>
      <w:proofErr w:type="spellStart"/>
      <w:r w:rsidRPr="00005B67">
        <w:rPr>
          <w:color w:val="000000" w:themeColor="text1"/>
        </w:rPr>
        <w:t>Agnar</w:t>
      </w:r>
      <w:proofErr w:type="spellEnd"/>
      <w:r w:rsidRPr="00005B67">
        <w:rPr>
          <w:color w:val="000000" w:themeColor="text1"/>
        </w:rPr>
        <w:t xml:space="preserve"> </w:t>
      </w:r>
      <w:proofErr w:type="spellStart"/>
      <w:r w:rsidRPr="00005B67">
        <w:rPr>
          <w:color w:val="000000" w:themeColor="text1"/>
        </w:rPr>
        <w:t>Helgason</w:t>
      </w:r>
      <w:proofErr w:type="spellEnd"/>
      <w:r w:rsidRPr="00005B67">
        <w:rPr>
          <w:color w:val="000000" w:themeColor="text1"/>
        </w:rPr>
        <w:t xml:space="preserve">. 1995. “Figuring Fish and Measuring Men: The Individual Transferable Quota System in the Icelandic Cod Fishery.” </w:t>
      </w:r>
      <w:r w:rsidRPr="00005B67">
        <w:rPr>
          <w:i/>
          <w:color w:val="000000" w:themeColor="text1"/>
        </w:rPr>
        <w:t>Ocean &amp; Coastal Management</w:t>
      </w:r>
      <w:r w:rsidRPr="00005B67">
        <w:rPr>
          <w:color w:val="000000" w:themeColor="text1"/>
        </w:rPr>
        <w:t xml:space="preserve"> 20(1-3): 117-146. </w:t>
      </w:r>
    </w:p>
    <w:p w14:paraId="34CE9545" w14:textId="07B3D12F" w:rsidR="00636638" w:rsidRPr="00005B67" w:rsidRDefault="00636638" w:rsidP="009E4027">
      <w:pPr>
        <w:widowControl w:val="0"/>
        <w:autoSpaceDE w:val="0"/>
        <w:autoSpaceDN w:val="0"/>
        <w:adjustRightInd w:val="0"/>
        <w:ind w:left="720" w:hanging="720"/>
        <w:rPr>
          <w:color w:val="000000" w:themeColor="text1"/>
        </w:rPr>
      </w:pPr>
      <w:proofErr w:type="spellStart"/>
      <w:r w:rsidRPr="00005B67">
        <w:rPr>
          <w:color w:val="000000" w:themeColor="text1"/>
        </w:rPr>
        <w:t>Pautzke</w:t>
      </w:r>
      <w:proofErr w:type="spellEnd"/>
      <w:r w:rsidRPr="00005B67">
        <w:rPr>
          <w:color w:val="000000" w:themeColor="text1"/>
        </w:rPr>
        <w:t xml:space="preserve">, Clarence G. and Chris W. Oliver. 1997. “Development of the Individual Quota Program for Sablefish and Halibut </w:t>
      </w:r>
      <w:proofErr w:type="spellStart"/>
      <w:r w:rsidRPr="00005B67">
        <w:rPr>
          <w:color w:val="000000" w:themeColor="text1"/>
        </w:rPr>
        <w:t>Longline</w:t>
      </w:r>
      <w:proofErr w:type="spellEnd"/>
      <w:r w:rsidRPr="00005B67">
        <w:rPr>
          <w:color w:val="000000" w:themeColor="text1"/>
        </w:rPr>
        <w:t xml:space="preserve"> Fisheries off Alaska.” North Pacific Fishery Management Council: Anchorage.</w:t>
      </w:r>
    </w:p>
    <w:p w14:paraId="6EAD1957" w14:textId="142E8957" w:rsidR="000C5B86" w:rsidRPr="00005B67" w:rsidRDefault="000C5B86" w:rsidP="009E4027">
      <w:pPr>
        <w:widowControl w:val="0"/>
        <w:autoSpaceDE w:val="0"/>
        <w:autoSpaceDN w:val="0"/>
        <w:adjustRightInd w:val="0"/>
        <w:ind w:left="720" w:hanging="720"/>
        <w:rPr>
          <w:color w:val="000000" w:themeColor="text1"/>
        </w:rPr>
      </w:pPr>
      <w:r w:rsidRPr="00005B67">
        <w:rPr>
          <w:color w:val="000000" w:themeColor="text1"/>
        </w:rPr>
        <w:t>Pinkerton, E</w:t>
      </w:r>
      <w:r w:rsidR="005B5517" w:rsidRPr="00005B67">
        <w:rPr>
          <w:color w:val="000000" w:themeColor="text1"/>
        </w:rPr>
        <w:t xml:space="preserve">velyn and Daniel N. </w:t>
      </w:r>
      <w:r w:rsidRPr="00005B67">
        <w:rPr>
          <w:color w:val="000000" w:themeColor="text1"/>
        </w:rPr>
        <w:t>Edwards</w:t>
      </w:r>
      <w:r w:rsidR="005B5517" w:rsidRPr="00005B67">
        <w:rPr>
          <w:color w:val="000000" w:themeColor="text1"/>
        </w:rPr>
        <w:t>. 2009</w:t>
      </w:r>
      <w:r w:rsidRPr="00005B67">
        <w:rPr>
          <w:color w:val="000000" w:themeColor="text1"/>
        </w:rPr>
        <w:t xml:space="preserve">. </w:t>
      </w:r>
      <w:r w:rsidR="005B5517" w:rsidRPr="00005B67">
        <w:rPr>
          <w:color w:val="000000" w:themeColor="text1"/>
        </w:rPr>
        <w:t>“</w:t>
      </w:r>
      <w:r w:rsidRPr="00005B67">
        <w:rPr>
          <w:color w:val="000000" w:themeColor="text1"/>
        </w:rPr>
        <w:t xml:space="preserve">The </w:t>
      </w:r>
      <w:r w:rsidR="005B5517" w:rsidRPr="00005B67">
        <w:rPr>
          <w:color w:val="000000" w:themeColor="text1"/>
        </w:rPr>
        <w:t xml:space="preserve">Elephant </w:t>
      </w:r>
      <w:r w:rsidRPr="00005B67">
        <w:rPr>
          <w:color w:val="000000" w:themeColor="text1"/>
        </w:rPr>
        <w:t xml:space="preserve">in the </w:t>
      </w:r>
      <w:r w:rsidR="005B5517" w:rsidRPr="00005B67">
        <w:rPr>
          <w:color w:val="000000" w:themeColor="text1"/>
        </w:rPr>
        <w:t>R</w:t>
      </w:r>
      <w:r w:rsidRPr="00005B67">
        <w:rPr>
          <w:color w:val="000000" w:themeColor="text1"/>
        </w:rPr>
        <w:t xml:space="preserve">oom: </w:t>
      </w:r>
      <w:r w:rsidR="005B5517" w:rsidRPr="00005B67">
        <w:rPr>
          <w:color w:val="000000" w:themeColor="text1"/>
        </w:rPr>
        <w:t>Th</w:t>
      </w:r>
      <w:r w:rsidRPr="00005B67">
        <w:rPr>
          <w:color w:val="000000" w:themeColor="text1"/>
        </w:rPr>
        <w:t xml:space="preserve">e </w:t>
      </w:r>
      <w:r w:rsidR="005B5517" w:rsidRPr="00005B67">
        <w:rPr>
          <w:color w:val="000000" w:themeColor="text1"/>
        </w:rPr>
        <w:t>H</w:t>
      </w:r>
      <w:r w:rsidRPr="00005B67">
        <w:rPr>
          <w:color w:val="000000" w:themeColor="text1"/>
        </w:rPr>
        <w:t xml:space="preserve">idden </w:t>
      </w:r>
      <w:r w:rsidR="005B5517" w:rsidRPr="00005B67">
        <w:rPr>
          <w:color w:val="000000" w:themeColor="text1"/>
        </w:rPr>
        <w:t>C</w:t>
      </w:r>
      <w:r w:rsidRPr="00005B67">
        <w:rPr>
          <w:color w:val="000000" w:themeColor="text1"/>
        </w:rPr>
        <w:t xml:space="preserve">osts of </w:t>
      </w:r>
      <w:r w:rsidR="005B5517" w:rsidRPr="00005B67">
        <w:rPr>
          <w:color w:val="000000" w:themeColor="text1"/>
        </w:rPr>
        <w:t>L</w:t>
      </w:r>
      <w:r w:rsidRPr="00005B67">
        <w:rPr>
          <w:color w:val="000000" w:themeColor="text1"/>
        </w:rPr>
        <w:t xml:space="preserve">easing </w:t>
      </w:r>
      <w:r w:rsidR="005B5517" w:rsidRPr="00005B67">
        <w:rPr>
          <w:color w:val="000000" w:themeColor="text1"/>
        </w:rPr>
        <w:t>Individual Transferable Fishing Quotas</w:t>
      </w:r>
      <w:r w:rsidRPr="00005B67">
        <w:rPr>
          <w:color w:val="000000" w:themeColor="text1"/>
        </w:rPr>
        <w:t>.</w:t>
      </w:r>
      <w:r w:rsidR="005B5517" w:rsidRPr="00005B67">
        <w:rPr>
          <w:color w:val="000000" w:themeColor="text1"/>
        </w:rPr>
        <w:t>”</w:t>
      </w:r>
      <w:r w:rsidRPr="00005B67">
        <w:rPr>
          <w:color w:val="000000" w:themeColor="text1"/>
        </w:rPr>
        <w:t xml:space="preserve"> </w:t>
      </w:r>
      <w:r w:rsidRPr="00005B67">
        <w:rPr>
          <w:i/>
          <w:color w:val="000000" w:themeColor="text1"/>
        </w:rPr>
        <w:t>Marine Policy</w:t>
      </w:r>
      <w:r w:rsidRPr="00005B67">
        <w:rPr>
          <w:color w:val="000000" w:themeColor="text1"/>
        </w:rPr>
        <w:t xml:space="preserve"> 33(4)</w:t>
      </w:r>
      <w:r w:rsidR="005B5517" w:rsidRPr="00005B67">
        <w:rPr>
          <w:color w:val="000000" w:themeColor="text1"/>
        </w:rPr>
        <w:t>:</w:t>
      </w:r>
      <w:r w:rsidRPr="00005B67">
        <w:rPr>
          <w:color w:val="000000" w:themeColor="text1"/>
        </w:rPr>
        <w:t xml:space="preserve"> 707</w:t>
      </w:r>
      <w:r w:rsidR="00636638" w:rsidRPr="00005B67">
        <w:rPr>
          <w:color w:val="000000" w:themeColor="text1"/>
        </w:rPr>
        <w:t>-</w:t>
      </w:r>
      <w:r w:rsidRPr="00005B67">
        <w:rPr>
          <w:color w:val="000000" w:themeColor="text1"/>
        </w:rPr>
        <w:t xml:space="preserve">713. </w:t>
      </w:r>
    </w:p>
    <w:p w14:paraId="3FFF2642" w14:textId="1738FE54" w:rsidR="00636638" w:rsidRPr="00005B67" w:rsidRDefault="000C5B86" w:rsidP="00721FEE">
      <w:pPr>
        <w:ind w:left="720" w:hanging="720"/>
        <w:rPr>
          <w:color w:val="000000" w:themeColor="text1"/>
        </w:rPr>
      </w:pPr>
      <w:r w:rsidRPr="00005B67">
        <w:rPr>
          <w:color w:val="000000" w:themeColor="text1"/>
        </w:rPr>
        <w:t>Reedy-</w:t>
      </w:r>
      <w:proofErr w:type="spellStart"/>
      <w:r w:rsidRPr="00005B67">
        <w:rPr>
          <w:color w:val="000000" w:themeColor="text1"/>
        </w:rPr>
        <w:t>Maschner</w:t>
      </w:r>
      <w:proofErr w:type="spellEnd"/>
      <w:r w:rsidRPr="00005B67">
        <w:rPr>
          <w:color w:val="000000" w:themeColor="text1"/>
        </w:rPr>
        <w:t xml:space="preserve">, Catherine. 2007. “The Best-Laid Plans: Limited Entry Permits and Limited Entry Systems in Eastern Aleut Culture.” </w:t>
      </w:r>
      <w:r w:rsidRPr="00005B67">
        <w:rPr>
          <w:i/>
          <w:color w:val="000000" w:themeColor="text1"/>
        </w:rPr>
        <w:t xml:space="preserve">Human Organization </w:t>
      </w:r>
      <w:r w:rsidRPr="00005B67">
        <w:rPr>
          <w:color w:val="000000" w:themeColor="text1"/>
        </w:rPr>
        <w:t>66(2): 210-225.</w:t>
      </w:r>
    </w:p>
    <w:p w14:paraId="41FB2971" w14:textId="61D10B3B" w:rsidR="00636638" w:rsidRPr="00005B67" w:rsidRDefault="000C5B86" w:rsidP="009E4027">
      <w:pPr>
        <w:widowControl w:val="0"/>
        <w:autoSpaceDE w:val="0"/>
        <w:autoSpaceDN w:val="0"/>
        <w:adjustRightInd w:val="0"/>
        <w:ind w:left="720" w:hanging="720"/>
        <w:rPr>
          <w:bCs/>
          <w:color w:val="000000" w:themeColor="text1"/>
        </w:rPr>
      </w:pPr>
      <w:r w:rsidRPr="00005B67">
        <w:rPr>
          <w:color w:val="000000" w:themeColor="text1"/>
        </w:rPr>
        <w:t>Stewart, J</w:t>
      </w:r>
      <w:r w:rsidR="009E4027" w:rsidRPr="00005B67">
        <w:rPr>
          <w:color w:val="000000" w:themeColor="text1"/>
        </w:rPr>
        <w:t xml:space="preserve">ames, Kim </w:t>
      </w:r>
      <w:proofErr w:type="spellStart"/>
      <w:r w:rsidR="009E4027" w:rsidRPr="00005B67">
        <w:rPr>
          <w:color w:val="000000" w:themeColor="text1"/>
        </w:rPr>
        <w:t>Walshe</w:t>
      </w:r>
      <w:proofErr w:type="spellEnd"/>
      <w:r w:rsidR="009E4027" w:rsidRPr="00005B67">
        <w:rPr>
          <w:color w:val="000000" w:themeColor="text1"/>
        </w:rPr>
        <w:t xml:space="preserve">, and Beverly </w:t>
      </w:r>
      <w:proofErr w:type="spellStart"/>
      <w:r w:rsidR="009E4027" w:rsidRPr="00005B67">
        <w:rPr>
          <w:color w:val="000000" w:themeColor="text1"/>
        </w:rPr>
        <w:t>Moodie</w:t>
      </w:r>
      <w:proofErr w:type="spellEnd"/>
      <w:r w:rsidR="009E4027" w:rsidRPr="00005B67">
        <w:rPr>
          <w:color w:val="000000" w:themeColor="text1"/>
        </w:rPr>
        <w:t xml:space="preserve">. </w:t>
      </w:r>
      <w:r w:rsidRPr="00005B67">
        <w:rPr>
          <w:color w:val="000000" w:themeColor="text1"/>
        </w:rPr>
        <w:t xml:space="preserve">2006. </w:t>
      </w:r>
      <w:r w:rsidR="009E4027" w:rsidRPr="00005B67">
        <w:rPr>
          <w:color w:val="000000" w:themeColor="text1"/>
        </w:rPr>
        <w:t xml:space="preserve">“The Demise of the Small Fisher? A Profile of </w:t>
      </w:r>
      <w:proofErr w:type="spellStart"/>
      <w:r w:rsidR="009E4027" w:rsidRPr="00005B67">
        <w:rPr>
          <w:color w:val="000000" w:themeColor="text1"/>
        </w:rPr>
        <w:t>Exiters</w:t>
      </w:r>
      <w:proofErr w:type="spellEnd"/>
      <w:r w:rsidR="009E4027" w:rsidRPr="00005B67">
        <w:rPr>
          <w:color w:val="000000" w:themeColor="text1"/>
        </w:rPr>
        <w:t xml:space="preserve"> from the New Zealand Fishery.” </w:t>
      </w:r>
      <w:r w:rsidRPr="00005B67">
        <w:rPr>
          <w:i/>
          <w:color w:val="000000" w:themeColor="text1"/>
        </w:rPr>
        <w:t>Marine Policy</w:t>
      </w:r>
      <w:r w:rsidRPr="00005B67">
        <w:rPr>
          <w:color w:val="000000" w:themeColor="text1"/>
        </w:rPr>
        <w:t xml:space="preserve"> 30 (4)</w:t>
      </w:r>
      <w:r w:rsidR="009E4027" w:rsidRPr="00005B67">
        <w:rPr>
          <w:color w:val="000000" w:themeColor="text1"/>
        </w:rPr>
        <w:t>: 328-340.</w:t>
      </w:r>
    </w:p>
    <w:p w14:paraId="594C740E" w14:textId="1B6D5180" w:rsidR="00BB5051" w:rsidRPr="00005B67" w:rsidRDefault="00BB5051" w:rsidP="00721FEE">
      <w:pPr>
        <w:ind w:left="720" w:hanging="720"/>
        <w:rPr>
          <w:bCs/>
          <w:color w:val="000000" w:themeColor="text1"/>
        </w:rPr>
      </w:pPr>
      <w:proofErr w:type="spellStart"/>
      <w:r w:rsidRPr="00005B67">
        <w:rPr>
          <w:bCs/>
          <w:color w:val="000000" w:themeColor="text1"/>
        </w:rPr>
        <w:t>Syzmkowiak</w:t>
      </w:r>
      <w:proofErr w:type="spellEnd"/>
      <w:r w:rsidRPr="00005B67">
        <w:rPr>
          <w:bCs/>
          <w:color w:val="000000" w:themeColor="text1"/>
        </w:rPr>
        <w:t xml:space="preserve">, </w:t>
      </w:r>
      <w:proofErr w:type="spellStart"/>
      <w:r w:rsidRPr="00005B67">
        <w:rPr>
          <w:bCs/>
          <w:color w:val="000000" w:themeColor="text1"/>
        </w:rPr>
        <w:t>Marysia</w:t>
      </w:r>
      <w:proofErr w:type="spellEnd"/>
      <w:r w:rsidRPr="00005B67">
        <w:rPr>
          <w:bCs/>
          <w:color w:val="000000" w:themeColor="text1"/>
        </w:rPr>
        <w:t xml:space="preserve"> and Amber H. Himes-Cornell. 2015. “Towards Individual-Owned and Owner-Operated Fleets in the Alaska Halibut and Sablefish IFQ Program.” </w:t>
      </w:r>
      <w:r w:rsidRPr="00005B67">
        <w:rPr>
          <w:bCs/>
          <w:i/>
          <w:color w:val="000000" w:themeColor="text1"/>
        </w:rPr>
        <w:t>Maritime Studies</w:t>
      </w:r>
      <w:r w:rsidRPr="00005B67">
        <w:rPr>
          <w:bCs/>
          <w:color w:val="000000" w:themeColor="text1"/>
        </w:rPr>
        <w:t xml:space="preserve"> 14(19)</w:t>
      </w:r>
      <w:r w:rsidR="007F638E" w:rsidRPr="00005B67">
        <w:rPr>
          <w:bCs/>
          <w:color w:val="000000" w:themeColor="text1"/>
        </w:rPr>
        <w:t>:1-19.</w:t>
      </w:r>
    </w:p>
    <w:p w14:paraId="4BDC59B1" w14:textId="03960E33" w:rsidR="007F638E" w:rsidRPr="00005B67" w:rsidRDefault="007F638E" w:rsidP="00721FEE">
      <w:pPr>
        <w:ind w:left="720" w:hanging="720"/>
        <w:rPr>
          <w:bCs/>
          <w:color w:val="000000" w:themeColor="text1"/>
        </w:rPr>
      </w:pPr>
      <w:proofErr w:type="spellStart"/>
      <w:r w:rsidRPr="00005B67">
        <w:rPr>
          <w:bCs/>
          <w:color w:val="000000" w:themeColor="text1"/>
        </w:rPr>
        <w:t>Syzmkowiak</w:t>
      </w:r>
      <w:proofErr w:type="spellEnd"/>
      <w:r w:rsidRPr="00005B67">
        <w:rPr>
          <w:bCs/>
          <w:color w:val="000000" w:themeColor="text1"/>
        </w:rPr>
        <w:t xml:space="preserve">, </w:t>
      </w:r>
      <w:proofErr w:type="spellStart"/>
      <w:r w:rsidRPr="00005B67">
        <w:rPr>
          <w:bCs/>
          <w:color w:val="000000" w:themeColor="text1"/>
        </w:rPr>
        <w:t>Marysia</w:t>
      </w:r>
      <w:proofErr w:type="spellEnd"/>
      <w:r w:rsidRPr="00005B67">
        <w:rPr>
          <w:bCs/>
          <w:color w:val="000000" w:themeColor="text1"/>
        </w:rPr>
        <w:t xml:space="preserve"> and Amber H. Himes-Cornell. 2017. “Do Active Participation Measures Hel</w:t>
      </w:r>
      <w:r w:rsidR="005455A7" w:rsidRPr="00005B67">
        <w:rPr>
          <w:bCs/>
          <w:color w:val="000000" w:themeColor="text1"/>
        </w:rPr>
        <w:t>p</w:t>
      </w:r>
      <w:r w:rsidRPr="00005B67">
        <w:rPr>
          <w:bCs/>
          <w:color w:val="000000" w:themeColor="text1"/>
        </w:rPr>
        <w:t xml:space="preserve"> Fishermen Retain Fishing Privileges?” </w:t>
      </w:r>
      <w:r w:rsidRPr="00005B67">
        <w:rPr>
          <w:bCs/>
          <w:i/>
          <w:color w:val="000000" w:themeColor="text1"/>
        </w:rPr>
        <w:t>Coastal Management</w:t>
      </w:r>
      <w:r w:rsidRPr="00005B67">
        <w:rPr>
          <w:bCs/>
          <w:color w:val="000000" w:themeColor="text1"/>
        </w:rPr>
        <w:t xml:space="preserve"> 45(1): 56-72.</w:t>
      </w:r>
    </w:p>
    <w:p w14:paraId="31292C85" w14:textId="75DC195F" w:rsidR="00636638" w:rsidRPr="00005B67" w:rsidRDefault="00636638" w:rsidP="00721FEE">
      <w:pPr>
        <w:ind w:left="720" w:hanging="720"/>
        <w:rPr>
          <w:bCs/>
          <w:color w:val="000000" w:themeColor="text1"/>
        </w:rPr>
      </w:pPr>
      <w:r w:rsidRPr="00005B67">
        <w:rPr>
          <w:bCs/>
          <w:color w:val="000000" w:themeColor="text1"/>
        </w:rPr>
        <w:t xml:space="preserve">Thornton, Thomas F. and Jamie Hebert. 2015. “Neoliberal and Neo-Communal Herring Fisheries in Southeast Alaska: Reframing Sustainability in Ecosystems.” </w:t>
      </w:r>
      <w:r w:rsidRPr="00005B67">
        <w:rPr>
          <w:bCs/>
          <w:i/>
          <w:color w:val="000000" w:themeColor="text1"/>
        </w:rPr>
        <w:t>Marine Policy</w:t>
      </w:r>
      <w:r w:rsidRPr="00005B67">
        <w:rPr>
          <w:bCs/>
          <w:color w:val="000000" w:themeColor="text1"/>
        </w:rPr>
        <w:t xml:space="preserve"> 61: 366-375.</w:t>
      </w:r>
    </w:p>
    <w:p w14:paraId="5C497741" w14:textId="5C45C9CD" w:rsidR="000C5B86" w:rsidRPr="00005B67" w:rsidRDefault="006C4836" w:rsidP="00FC4E85">
      <w:pPr>
        <w:ind w:left="720" w:hanging="720"/>
        <w:rPr>
          <w:color w:val="000000" w:themeColor="text1"/>
        </w:rPr>
      </w:pPr>
      <w:r w:rsidRPr="00005B67">
        <w:rPr>
          <w:bCs/>
          <w:color w:val="000000" w:themeColor="text1"/>
        </w:rPr>
        <w:t xml:space="preserve">Wu, Hui. 2002. “Historical Studies of Rhetorical Women Here and there: Methodological Challenges to Dominant Interpretive Frameworks.” </w:t>
      </w:r>
      <w:r w:rsidRPr="00005B67">
        <w:rPr>
          <w:bCs/>
          <w:i/>
          <w:color w:val="000000" w:themeColor="text1"/>
        </w:rPr>
        <w:t>Rhetoric Society Quarterly</w:t>
      </w:r>
      <w:r w:rsidRPr="00005B67">
        <w:rPr>
          <w:bCs/>
          <w:color w:val="000000" w:themeColor="text1"/>
        </w:rPr>
        <w:t xml:space="preserve"> 32(1): 81-98. </w:t>
      </w:r>
    </w:p>
    <w:sectPr w:rsidR="000C5B86" w:rsidRPr="00005B67" w:rsidSect="0007680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0AAD1" w14:textId="77777777" w:rsidR="00CA3C1B" w:rsidRDefault="00CA3C1B" w:rsidP="00CA292E">
      <w:r>
        <w:separator/>
      </w:r>
    </w:p>
  </w:endnote>
  <w:endnote w:type="continuationSeparator" w:id="0">
    <w:p w14:paraId="1D6CAC39" w14:textId="77777777" w:rsidR="00CA3C1B" w:rsidRDefault="00CA3C1B" w:rsidP="00CA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D7038" w14:textId="77777777" w:rsidR="003A05DB" w:rsidRDefault="003A05DB" w:rsidP="006821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3487DF" w14:textId="77777777" w:rsidR="003A05DB" w:rsidRDefault="003A05DB" w:rsidP="006821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6B25" w14:textId="77777777" w:rsidR="003A05DB" w:rsidRPr="008C60C2" w:rsidRDefault="003A05DB" w:rsidP="004612F3">
    <w:pPr>
      <w:pStyle w:val="Footer"/>
      <w:framePr w:wrap="none" w:vAnchor="text" w:hAnchor="margin" w:xAlign="right" w:y="1"/>
      <w:rPr>
        <w:rStyle w:val="PageNumber"/>
        <w:rFonts w:ascii="Times New Roman" w:hAnsi="Times New Roman" w:cs="Times New Roman"/>
      </w:rPr>
    </w:pPr>
    <w:r w:rsidRPr="008C60C2">
      <w:rPr>
        <w:rStyle w:val="PageNumber"/>
        <w:rFonts w:ascii="Times New Roman" w:hAnsi="Times New Roman" w:cs="Times New Roman"/>
      </w:rPr>
      <w:fldChar w:fldCharType="begin"/>
    </w:r>
    <w:r w:rsidRPr="008C60C2">
      <w:rPr>
        <w:rStyle w:val="PageNumber"/>
        <w:rFonts w:ascii="Times New Roman" w:hAnsi="Times New Roman" w:cs="Times New Roman"/>
      </w:rPr>
      <w:instrText xml:space="preserve">PAGE  </w:instrText>
    </w:r>
    <w:r w:rsidRPr="008C60C2">
      <w:rPr>
        <w:rStyle w:val="PageNumber"/>
        <w:rFonts w:ascii="Times New Roman" w:hAnsi="Times New Roman" w:cs="Times New Roman"/>
      </w:rPr>
      <w:fldChar w:fldCharType="separate"/>
    </w:r>
    <w:r w:rsidR="00596D5A">
      <w:rPr>
        <w:rStyle w:val="PageNumber"/>
        <w:rFonts w:ascii="Times New Roman" w:hAnsi="Times New Roman" w:cs="Times New Roman"/>
        <w:noProof/>
      </w:rPr>
      <w:t>31</w:t>
    </w:r>
    <w:r w:rsidRPr="008C60C2">
      <w:rPr>
        <w:rStyle w:val="PageNumber"/>
        <w:rFonts w:ascii="Times New Roman" w:hAnsi="Times New Roman" w:cs="Times New Roman"/>
      </w:rPr>
      <w:fldChar w:fldCharType="end"/>
    </w:r>
  </w:p>
  <w:p w14:paraId="5FF4E1CE" w14:textId="77777777" w:rsidR="003A05DB" w:rsidRPr="00D06041" w:rsidRDefault="003A05DB">
    <w:pPr>
      <w:pStyle w:val="Footer"/>
      <w:rPr>
        <w:rFonts w:ascii="Optima" w:hAnsi="Optima"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6FFBB" w14:textId="77777777" w:rsidR="00CA3C1B" w:rsidRDefault="00CA3C1B" w:rsidP="00CA292E">
      <w:r>
        <w:separator/>
      </w:r>
    </w:p>
  </w:footnote>
  <w:footnote w:type="continuationSeparator" w:id="0">
    <w:p w14:paraId="72467F8F" w14:textId="77777777" w:rsidR="00CA3C1B" w:rsidRDefault="00CA3C1B" w:rsidP="00CA292E">
      <w:r>
        <w:continuationSeparator/>
      </w:r>
    </w:p>
  </w:footnote>
  <w:footnote w:id="1">
    <w:p w14:paraId="737284BD" w14:textId="3871A0A7" w:rsidR="003A05DB" w:rsidRPr="003F243B" w:rsidRDefault="003A05DB">
      <w:pPr>
        <w:pStyle w:val="FootnoteText"/>
        <w:rPr>
          <w:rFonts w:ascii="Times New Roman" w:hAnsi="Times New Roman" w:cs="Times New Roman"/>
          <w:sz w:val="20"/>
          <w:szCs w:val="20"/>
        </w:rPr>
      </w:pPr>
      <w:r w:rsidRPr="003F243B">
        <w:rPr>
          <w:rStyle w:val="FootnoteReference"/>
          <w:rFonts w:ascii="Times New Roman" w:hAnsi="Times New Roman" w:cs="Times New Roman"/>
          <w:color w:val="000000" w:themeColor="text1"/>
          <w:sz w:val="20"/>
          <w:szCs w:val="20"/>
        </w:rPr>
        <w:footnoteRef/>
      </w:r>
      <w:r w:rsidRPr="003F243B">
        <w:rPr>
          <w:rFonts w:ascii="Times New Roman" w:hAnsi="Times New Roman" w:cs="Times New Roman"/>
          <w:color w:val="000000" w:themeColor="text1"/>
          <w:sz w:val="20"/>
          <w:szCs w:val="20"/>
        </w:rPr>
        <w:t xml:space="preserve"> New Zealand </w:t>
      </w:r>
      <w:proofErr w:type="spellStart"/>
      <w:r w:rsidRPr="003F243B">
        <w:rPr>
          <w:rFonts w:ascii="Times New Roman" w:hAnsi="Times New Roman" w:cs="Times New Roman"/>
          <w:color w:val="000000" w:themeColor="text1"/>
          <w:sz w:val="20"/>
          <w:szCs w:val="20"/>
        </w:rPr>
        <w:t>FishServe</w:t>
      </w:r>
      <w:proofErr w:type="spellEnd"/>
      <w:r w:rsidRPr="003F243B">
        <w:rPr>
          <w:rFonts w:ascii="Times New Roman" w:hAnsi="Times New Roman" w:cs="Times New Roman"/>
          <w:color w:val="000000" w:themeColor="text1"/>
          <w:sz w:val="20"/>
          <w:szCs w:val="20"/>
        </w:rPr>
        <w:t xml:space="preserve">: </w:t>
      </w:r>
      <w:hyperlink r:id="rId1" w:history="1">
        <w:r w:rsidRPr="003F243B">
          <w:rPr>
            <w:rStyle w:val="Hyperlink"/>
            <w:rFonts w:ascii="Times New Roman" w:hAnsi="Times New Roman" w:cs="Times New Roman"/>
            <w:color w:val="000000" w:themeColor="text1"/>
            <w:sz w:val="20"/>
            <w:szCs w:val="20"/>
            <w:u w:val="none"/>
          </w:rPr>
          <w:t>https://www.fishserve.co.nz/information/quota-shares</w:t>
        </w:r>
      </w:hyperlink>
      <w:r w:rsidRPr="003F243B">
        <w:rPr>
          <w:rFonts w:ascii="Times New Roman" w:hAnsi="Times New Roman" w:cs="Times New Roman"/>
          <w:color w:val="000000" w:themeColor="text1"/>
          <w:sz w:val="20"/>
          <w:szCs w:val="20"/>
        </w:rPr>
        <w:t xml:space="preserve"> (accessed January 11th, 2017).</w:t>
      </w:r>
    </w:p>
  </w:footnote>
  <w:footnote w:id="2">
    <w:p w14:paraId="4584B3F8" w14:textId="2E8B8C45" w:rsidR="003A05DB" w:rsidRPr="008C60C2" w:rsidRDefault="003A05DB">
      <w:pPr>
        <w:pStyle w:val="FootnoteText"/>
        <w:rPr>
          <w:rFonts w:ascii="Times New Roman" w:hAnsi="Times New Roman" w:cs="Times New Roman"/>
          <w:sz w:val="20"/>
          <w:szCs w:val="20"/>
        </w:rPr>
      </w:pPr>
      <w:r w:rsidRPr="008C60C2">
        <w:rPr>
          <w:rStyle w:val="FootnoteReference"/>
          <w:rFonts w:ascii="Times New Roman" w:hAnsi="Times New Roman" w:cs="Times New Roman"/>
          <w:sz w:val="20"/>
          <w:szCs w:val="20"/>
        </w:rPr>
        <w:footnoteRef/>
      </w:r>
      <w:r w:rsidRPr="008C60C2">
        <w:rPr>
          <w:rFonts w:ascii="Times New Roman" w:hAnsi="Times New Roman" w:cs="Times New Roman"/>
          <w:sz w:val="20"/>
          <w:szCs w:val="20"/>
        </w:rPr>
        <w:t xml:space="preserve"> </w:t>
      </w:r>
      <w:r w:rsidRPr="008C60C2">
        <w:rPr>
          <w:rFonts w:ascii="Times New Roman" w:hAnsi="Times New Roman" w:cs="Times New Roman"/>
          <w:iCs/>
          <w:sz w:val="20"/>
          <w:szCs w:val="20"/>
        </w:rPr>
        <w:t>Halibut and sablefish were coupled together in the same program because both fisheries were overcapitalized, there was a sense of urgency to solve the management problems in each fishery, and the fisheries are harvested in a relatively similar fashion.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932AB"/>
    <w:multiLevelType w:val="hybridMultilevel"/>
    <w:tmpl w:val="6972A6A2"/>
    <w:lvl w:ilvl="0" w:tplc="D5CC8316">
      <w:start w:val="5"/>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B1165E"/>
    <w:multiLevelType w:val="hybridMultilevel"/>
    <w:tmpl w:val="E5FA2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73655"/>
    <w:multiLevelType w:val="hybridMultilevel"/>
    <w:tmpl w:val="B38C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473B3"/>
    <w:multiLevelType w:val="hybridMultilevel"/>
    <w:tmpl w:val="B7000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CA600A"/>
    <w:multiLevelType w:val="hybridMultilevel"/>
    <w:tmpl w:val="4CEC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83A83"/>
    <w:multiLevelType w:val="hybridMultilevel"/>
    <w:tmpl w:val="E60CE7E6"/>
    <w:lvl w:ilvl="0" w:tplc="5E6001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C416B"/>
    <w:multiLevelType w:val="hybridMultilevel"/>
    <w:tmpl w:val="7CB6C50E"/>
    <w:lvl w:ilvl="0" w:tplc="E742617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52E3E"/>
    <w:multiLevelType w:val="hybridMultilevel"/>
    <w:tmpl w:val="7D9C4B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3613FC"/>
    <w:multiLevelType w:val="hybridMultilevel"/>
    <w:tmpl w:val="4AE0D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67443D"/>
    <w:multiLevelType w:val="hybridMultilevel"/>
    <w:tmpl w:val="9924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D569E"/>
    <w:multiLevelType w:val="hybridMultilevel"/>
    <w:tmpl w:val="63EA7E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D2D2A73"/>
    <w:multiLevelType w:val="hybridMultilevel"/>
    <w:tmpl w:val="934079E2"/>
    <w:lvl w:ilvl="0" w:tplc="42D2F160">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B10EAD"/>
    <w:multiLevelType w:val="hybridMultilevel"/>
    <w:tmpl w:val="85B60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BC2B97"/>
    <w:multiLevelType w:val="hybridMultilevel"/>
    <w:tmpl w:val="FBF46DE8"/>
    <w:lvl w:ilvl="0" w:tplc="61427C3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14"/>
  </w:num>
  <w:num w:numId="5">
    <w:abstractNumId w:val="12"/>
  </w:num>
  <w:num w:numId="6">
    <w:abstractNumId w:val="6"/>
  </w:num>
  <w:num w:numId="7">
    <w:abstractNumId w:val="7"/>
  </w:num>
  <w:num w:numId="8">
    <w:abstractNumId w:val="2"/>
  </w:num>
  <w:num w:numId="9">
    <w:abstractNumId w:val="8"/>
  </w:num>
  <w:num w:numId="10">
    <w:abstractNumId w:val="0"/>
  </w:num>
  <w:num w:numId="11">
    <w:abstractNumId w:val="3"/>
  </w:num>
  <w:num w:numId="12">
    <w:abstractNumId w:val="5"/>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86"/>
    <w:rsid w:val="00001405"/>
    <w:rsid w:val="000033B9"/>
    <w:rsid w:val="00005325"/>
    <w:rsid w:val="0000546D"/>
    <w:rsid w:val="00005B67"/>
    <w:rsid w:val="00006A91"/>
    <w:rsid w:val="00010132"/>
    <w:rsid w:val="00010D3E"/>
    <w:rsid w:val="0001242D"/>
    <w:rsid w:val="00012452"/>
    <w:rsid w:val="00012F25"/>
    <w:rsid w:val="00012FB6"/>
    <w:rsid w:val="00014509"/>
    <w:rsid w:val="00015666"/>
    <w:rsid w:val="0001571F"/>
    <w:rsid w:val="00016226"/>
    <w:rsid w:val="00016CC1"/>
    <w:rsid w:val="00016CDB"/>
    <w:rsid w:val="00017657"/>
    <w:rsid w:val="00021972"/>
    <w:rsid w:val="00021E36"/>
    <w:rsid w:val="00023623"/>
    <w:rsid w:val="00023C0C"/>
    <w:rsid w:val="000245AF"/>
    <w:rsid w:val="00025B1C"/>
    <w:rsid w:val="00026178"/>
    <w:rsid w:val="000261DD"/>
    <w:rsid w:val="000271AF"/>
    <w:rsid w:val="0002756F"/>
    <w:rsid w:val="00027EB8"/>
    <w:rsid w:val="00030DDD"/>
    <w:rsid w:val="00031BA1"/>
    <w:rsid w:val="00031FB0"/>
    <w:rsid w:val="00032F30"/>
    <w:rsid w:val="00033CE4"/>
    <w:rsid w:val="0003520E"/>
    <w:rsid w:val="000357D5"/>
    <w:rsid w:val="000369F3"/>
    <w:rsid w:val="00041212"/>
    <w:rsid w:val="00041479"/>
    <w:rsid w:val="000420FD"/>
    <w:rsid w:val="00042663"/>
    <w:rsid w:val="000433AB"/>
    <w:rsid w:val="00044B01"/>
    <w:rsid w:val="00044DA2"/>
    <w:rsid w:val="00045213"/>
    <w:rsid w:val="00046CE5"/>
    <w:rsid w:val="000476B8"/>
    <w:rsid w:val="00050BE6"/>
    <w:rsid w:val="000511E4"/>
    <w:rsid w:val="00051E0D"/>
    <w:rsid w:val="0005507E"/>
    <w:rsid w:val="0005520C"/>
    <w:rsid w:val="00057AA2"/>
    <w:rsid w:val="00060DF4"/>
    <w:rsid w:val="00061379"/>
    <w:rsid w:val="000623CD"/>
    <w:rsid w:val="00062A33"/>
    <w:rsid w:val="00062AA5"/>
    <w:rsid w:val="000634DE"/>
    <w:rsid w:val="0006392A"/>
    <w:rsid w:val="00066056"/>
    <w:rsid w:val="000665A5"/>
    <w:rsid w:val="00066857"/>
    <w:rsid w:val="00066E58"/>
    <w:rsid w:val="00070D89"/>
    <w:rsid w:val="00071389"/>
    <w:rsid w:val="00071D83"/>
    <w:rsid w:val="0007315E"/>
    <w:rsid w:val="00073765"/>
    <w:rsid w:val="0007455E"/>
    <w:rsid w:val="0007461D"/>
    <w:rsid w:val="00074912"/>
    <w:rsid w:val="00075250"/>
    <w:rsid w:val="0007566E"/>
    <w:rsid w:val="00075D92"/>
    <w:rsid w:val="00075F55"/>
    <w:rsid w:val="00076800"/>
    <w:rsid w:val="0008187D"/>
    <w:rsid w:val="00083B3A"/>
    <w:rsid w:val="00084A76"/>
    <w:rsid w:val="00085E0D"/>
    <w:rsid w:val="00086DA3"/>
    <w:rsid w:val="0008741C"/>
    <w:rsid w:val="000927DB"/>
    <w:rsid w:val="00093685"/>
    <w:rsid w:val="00093A06"/>
    <w:rsid w:val="00094AB8"/>
    <w:rsid w:val="00094C39"/>
    <w:rsid w:val="00095493"/>
    <w:rsid w:val="00095B59"/>
    <w:rsid w:val="000A007F"/>
    <w:rsid w:val="000A075E"/>
    <w:rsid w:val="000A0E26"/>
    <w:rsid w:val="000A1510"/>
    <w:rsid w:val="000A51AC"/>
    <w:rsid w:val="000A58B7"/>
    <w:rsid w:val="000A689B"/>
    <w:rsid w:val="000A78A5"/>
    <w:rsid w:val="000A7B3C"/>
    <w:rsid w:val="000B1198"/>
    <w:rsid w:val="000B5258"/>
    <w:rsid w:val="000B54E6"/>
    <w:rsid w:val="000B660B"/>
    <w:rsid w:val="000B7099"/>
    <w:rsid w:val="000B745F"/>
    <w:rsid w:val="000B7A6C"/>
    <w:rsid w:val="000C206B"/>
    <w:rsid w:val="000C2F5D"/>
    <w:rsid w:val="000C5B86"/>
    <w:rsid w:val="000C6CE5"/>
    <w:rsid w:val="000C7E3E"/>
    <w:rsid w:val="000D1E53"/>
    <w:rsid w:val="000D3055"/>
    <w:rsid w:val="000D3A2B"/>
    <w:rsid w:val="000D3AE5"/>
    <w:rsid w:val="000D4810"/>
    <w:rsid w:val="000D54F8"/>
    <w:rsid w:val="000D7300"/>
    <w:rsid w:val="000D7427"/>
    <w:rsid w:val="000D7A54"/>
    <w:rsid w:val="000E256A"/>
    <w:rsid w:val="000E302C"/>
    <w:rsid w:val="000E33DB"/>
    <w:rsid w:val="000E7F34"/>
    <w:rsid w:val="000F0478"/>
    <w:rsid w:val="000F1512"/>
    <w:rsid w:val="000F197D"/>
    <w:rsid w:val="000F2790"/>
    <w:rsid w:val="000F74AF"/>
    <w:rsid w:val="000F7A96"/>
    <w:rsid w:val="000F7D9E"/>
    <w:rsid w:val="001002C4"/>
    <w:rsid w:val="00104192"/>
    <w:rsid w:val="001047B3"/>
    <w:rsid w:val="0010542C"/>
    <w:rsid w:val="00107A69"/>
    <w:rsid w:val="001108E9"/>
    <w:rsid w:val="00110D44"/>
    <w:rsid w:val="00110E98"/>
    <w:rsid w:val="00111C21"/>
    <w:rsid w:val="001124C5"/>
    <w:rsid w:val="0011325F"/>
    <w:rsid w:val="00113E6E"/>
    <w:rsid w:val="00113ED9"/>
    <w:rsid w:val="00114633"/>
    <w:rsid w:val="00114749"/>
    <w:rsid w:val="00114C29"/>
    <w:rsid w:val="00114D3D"/>
    <w:rsid w:val="00115263"/>
    <w:rsid w:val="001161AF"/>
    <w:rsid w:val="001166E2"/>
    <w:rsid w:val="0011770C"/>
    <w:rsid w:val="00117D55"/>
    <w:rsid w:val="00120D4B"/>
    <w:rsid w:val="00121C56"/>
    <w:rsid w:val="00121F30"/>
    <w:rsid w:val="00124066"/>
    <w:rsid w:val="0012448F"/>
    <w:rsid w:val="001257D8"/>
    <w:rsid w:val="00125A05"/>
    <w:rsid w:val="00127808"/>
    <w:rsid w:val="001309C8"/>
    <w:rsid w:val="001314D1"/>
    <w:rsid w:val="001349C1"/>
    <w:rsid w:val="00136E24"/>
    <w:rsid w:val="001373E5"/>
    <w:rsid w:val="001379A5"/>
    <w:rsid w:val="001401AC"/>
    <w:rsid w:val="001409D7"/>
    <w:rsid w:val="0014146C"/>
    <w:rsid w:val="00141AC5"/>
    <w:rsid w:val="00142552"/>
    <w:rsid w:val="00142F99"/>
    <w:rsid w:val="00145CB9"/>
    <w:rsid w:val="00145CE7"/>
    <w:rsid w:val="0014693B"/>
    <w:rsid w:val="001475EC"/>
    <w:rsid w:val="00147FE3"/>
    <w:rsid w:val="00150D77"/>
    <w:rsid w:val="0015139F"/>
    <w:rsid w:val="00152ADF"/>
    <w:rsid w:val="00153F93"/>
    <w:rsid w:val="0015416A"/>
    <w:rsid w:val="001560F1"/>
    <w:rsid w:val="0015643B"/>
    <w:rsid w:val="00156476"/>
    <w:rsid w:val="00156AA7"/>
    <w:rsid w:val="00156C2A"/>
    <w:rsid w:val="00157CDB"/>
    <w:rsid w:val="0016039B"/>
    <w:rsid w:val="00160B8C"/>
    <w:rsid w:val="00166511"/>
    <w:rsid w:val="00166E23"/>
    <w:rsid w:val="00167DC5"/>
    <w:rsid w:val="00170488"/>
    <w:rsid w:val="001708D0"/>
    <w:rsid w:val="00171040"/>
    <w:rsid w:val="00171D33"/>
    <w:rsid w:val="00171E8E"/>
    <w:rsid w:val="001727CA"/>
    <w:rsid w:val="00172ED7"/>
    <w:rsid w:val="00173BD9"/>
    <w:rsid w:val="00173D45"/>
    <w:rsid w:val="001819A6"/>
    <w:rsid w:val="0018245F"/>
    <w:rsid w:val="00183A81"/>
    <w:rsid w:val="00184336"/>
    <w:rsid w:val="00184F37"/>
    <w:rsid w:val="001862F6"/>
    <w:rsid w:val="001865F6"/>
    <w:rsid w:val="0018669F"/>
    <w:rsid w:val="00187795"/>
    <w:rsid w:val="00190D6D"/>
    <w:rsid w:val="0019263D"/>
    <w:rsid w:val="00192807"/>
    <w:rsid w:val="001936C0"/>
    <w:rsid w:val="00197089"/>
    <w:rsid w:val="001973C1"/>
    <w:rsid w:val="001A04EE"/>
    <w:rsid w:val="001A0754"/>
    <w:rsid w:val="001A0932"/>
    <w:rsid w:val="001A38C2"/>
    <w:rsid w:val="001A3A21"/>
    <w:rsid w:val="001A5D18"/>
    <w:rsid w:val="001B1B1D"/>
    <w:rsid w:val="001B31C3"/>
    <w:rsid w:val="001B3AB8"/>
    <w:rsid w:val="001B5177"/>
    <w:rsid w:val="001B5EA5"/>
    <w:rsid w:val="001B6A0F"/>
    <w:rsid w:val="001B7458"/>
    <w:rsid w:val="001C1DE1"/>
    <w:rsid w:val="001C2FE6"/>
    <w:rsid w:val="001C3EBD"/>
    <w:rsid w:val="001C3F9C"/>
    <w:rsid w:val="001C406F"/>
    <w:rsid w:val="001C4507"/>
    <w:rsid w:val="001C467D"/>
    <w:rsid w:val="001C46C5"/>
    <w:rsid w:val="001C5983"/>
    <w:rsid w:val="001C5C53"/>
    <w:rsid w:val="001D4108"/>
    <w:rsid w:val="001D6068"/>
    <w:rsid w:val="001D674B"/>
    <w:rsid w:val="001D78A2"/>
    <w:rsid w:val="001E1392"/>
    <w:rsid w:val="001E19DF"/>
    <w:rsid w:val="001E1A8E"/>
    <w:rsid w:val="001E1ADD"/>
    <w:rsid w:val="001E3104"/>
    <w:rsid w:val="001E3F0C"/>
    <w:rsid w:val="001E40A7"/>
    <w:rsid w:val="001E41DE"/>
    <w:rsid w:val="001E48C4"/>
    <w:rsid w:val="001F219E"/>
    <w:rsid w:val="001F26BF"/>
    <w:rsid w:val="001F331D"/>
    <w:rsid w:val="001F336B"/>
    <w:rsid w:val="0020142D"/>
    <w:rsid w:val="00201DE5"/>
    <w:rsid w:val="00203329"/>
    <w:rsid w:val="00203412"/>
    <w:rsid w:val="002044A7"/>
    <w:rsid w:val="00206734"/>
    <w:rsid w:val="00210509"/>
    <w:rsid w:val="00215567"/>
    <w:rsid w:val="00217B4E"/>
    <w:rsid w:val="00220F9B"/>
    <w:rsid w:val="002232D8"/>
    <w:rsid w:val="00223640"/>
    <w:rsid w:val="0022476B"/>
    <w:rsid w:val="002261A6"/>
    <w:rsid w:val="002300B6"/>
    <w:rsid w:val="00231507"/>
    <w:rsid w:val="00233056"/>
    <w:rsid w:val="00234A01"/>
    <w:rsid w:val="0023680E"/>
    <w:rsid w:val="00240F9B"/>
    <w:rsid w:val="00242F30"/>
    <w:rsid w:val="002438F3"/>
    <w:rsid w:val="00243C29"/>
    <w:rsid w:val="002445F6"/>
    <w:rsid w:val="00245613"/>
    <w:rsid w:val="00246C0D"/>
    <w:rsid w:val="00247C38"/>
    <w:rsid w:val="00250CA1"/>
    <w:rsid w:val="0025225D"/>
    <w:rsid w:val="00253B4B"/>
    <w:rsid w:val="00254CA6"/>
    <w:rsid w:val="002573B2"/>
    <w:rsid w:val="002576EB"/>
    <w:rsid w:val="00260AF5"/>
    <w:rsid w:val="00260B25"/>
    <w:rsid w:val="00263F4B"/>
    <w:rsid w:val="00265C56"/>
    <w:rsid w:val="00266600"/>
    <w:rsid w:val="00267B50"/>
    <w:rsid w:val="002707F3"/>
    <w:rsid w:val="00275FD1"/>
    <w:rsid w:val="00276CD6"/>
    <w:rsid w:val="00276ECF"/>
    <w:rsid w:val="00277CE4"/>
    <w:rsid w:val="0028309C"/>
    <w:rsid w:val="00283222"/>
    <w:rsid w:val="00286E69"/>
    <w:rsid w:val="00287A14"/>
    <w:rsid w:val="00287F74"/>
    <w:rsid w:val="00291D87"/>
    <w:rsid w:val="0029339C"/>
    <w:rsid w:val="002937F1"/>
    <w:rsid w:val="002A439A"/>
    <w:rsid w:val="002A4BA3"/>
    <w:rsid w:val="002A4D99"/>
    <w:rsid w:val="002A651C"/>
    <w:rsid w:val="002A6FB2"/>
    <w:rsid w:val="002B0B0E"/>
    <w:rsid w:val="002B0C9A"/>
    <w:rsid w:val="002B3299"/>
    <w:rsid w:val="002B6EFB"/>
    <w:rsid w:val="002B7368"/>
    <w:rsid w:val="002C2567"/>
    <w:rsid w:val="002C3E4F"/>
    <w:rsid w:val="002C4567"/>
    <w:rsid w:val="002C6169"/>
    <w:rsid w:val="002C6FC7"/>
    <w:rsid w:val="002C7259"/>
    <w:rsid w:val="002C7DD5"/>
    <w:rsid w:val="002D4297"/>
    <w:rsid w:val="002D4D67"/>
    <w:rsid w:val="002D5EE1"/>
    <w:rsid w:val="002D6BF2"/>
    <w:rsid w:val="002D704D"/>
    <w:rsid w:val="002D7DC7"/>
    <w:rsid w:val="002E076E"/>
    <w:rsid w:val="002E2E99"/>
    <w:rsid w:val="002E3558"/>
    <w:rsid w:val="002E3FC1"/>
    <w:rsid w:val="002E5CA9"/>
    <w:rsid w:val="002E7FDA"/>
    <w:rsid w:val="002F0546"/>
    <w:rsid w:val="002F0FC2"/>
    <w:rsid w:val="002F106C"/>
    <w:rsid w:val="002F132E"/>
    <w:rsid w:val="002F2192"/>
    <w:rsid w:val="002F3544"/>
    <w:rsid w:val="002F4178"/>
    <w:rsid w:val="002F4EEA"/>
    <w:rsid w:val="00301031"/>
    <w:rsid w:val="00301FB4"/>
    <w:rsid w:val="00306D6B"/>
    <w:rsid w:val="0031070D"/>
    <w:rsid w:val="00311636"/>
    <w:rsid w:val="00311E71"/>
    <w:rsid w:val="00313328"/>
    <w:rsid w:val="003142C7"/>
    <w:rsid w:val="00314441"/>
    <w:rsid w:val="0031616C"/>
    <w:rsid w:val="003178EA"/>
    <w:rsid w:val="003216F3"/>
    <w:rsid w:val="00322CF9"/>
    <w:rsid w:val="00323446"/>
    <w:rsid w:val="003251F4"/>
    <w:rsid w:val="0032528A"/>
    <w:rsid w:val="00326E66"/>
    <w:rsid w:val="003277C1"/>
    <w:rsid w:val="00327C4F"/>
    <w:rsid w:val="00330217"/>
    <w:rsid w:val="00332E81"/>
    <w:rsid w:val="00333083"/>
    <w:rsid w:val="003338A5"/>
    <w:rsid w:val="00334558"/>
    <w:rsid w:val="003349DB"/>
    <w:rsid w:val="00334C55"/>
    <w:rsid w:val="0033553B"/>
    <w:rsid w:val="003364FF"/>
    <w:rsid w:val="00340E7E"/>
    <w:rsid w:val="003413AA"/>
    <w:rsid w:val="0034297F"/>
    <w:rsid w:val="00342A65"/>
    <w:rsid w:val="00342B40"/>
    <w:rsid w:val="0034337F"/>
    <w:rsid w:val="0034375F"/>
    <w:rsid w:val="003443DF"/>
    <w:rsid w:val="003444B4"/>
    <w:rsid w:val="00345248"/>
    <w:rsid w:val="00346EE1"/>
    <w:rsid w:val="003479FE"/>
    <w:rsid w:val="0035034F"/>
    <w:rsid w:val="0035068B"/>
    <w:rsid w:val="00352AB2"/>
    <w:rsid w:val="003534CF"/>
    <w:rsid w:val="00356784"/>
    <w:rsid w:val="00362DFD"/>
    <w:rsid w:val="00363BC6"/>
    <w:rsid w:val="00363E31"/>
    <w:rsid w:val="00363F73"/>
    <w:rsid w:val="003656D0"/>
    <w:rsid w:val="003657B8"/>
    <w:rsid w:val="00365F23"/>
    <w:rsid w:val="003716B1"/>
    <w:rsid w:val="00372515"/>
    <w:rsid w:val="0037373C"/>
    <w:rsid w:val="00373F4A"/>
    <w:rsid w:val="003746F5"/>
    <w:rsid w:val="00376905"/>
    <w:rsid w:val="003803F2"/>
    <w:rsid w:val="003810D4"/>
    <w:rsid w:val="003826D3"/>
    <w:rsid w:val="00382BEC"/>
    <w:rsid w:val="003847CC"/>
    <w:rsid w:val="003851F3"/>
    <w:rsid w:val="00387E49"/>
    <w:rsid w:val="0039062D"/>
    <w:rsid w:val="0039183E"/>
    <w:rsid w:val="003959E5"/>
    <w:rsid w:val="003963FF"/>
    <w:rsid w:val="003A05DB"/>
    <w:rsid w:val="003A06F0"/>
    <w:rsid w:val="003A0A2A"/>
    <w:rsid w:val="003A0EAF"/>
    <w:rsid w:val="003A3B86"/>
    <w:rsid w:val="003A5624"/>
    <w:rsid w:val="003B05AA"/>
    <w:rsid w:val="003B3056"/>
    <w:rsid w:val="003B3350"/>
    <w:rsid w:val="003B4CD8"/>
    <w:rsid w:val="003B5C72"/>
    <w:rsid w:val="003B60FD"/>
    <w:rsid w:val="003B63EE"/>
    <w:rsid w:val="003C03D7"/>
    <w:rsid w:val="003C3164"/>
    <w:rsid w:val="003C4EFE"/>
    <w:rsid w:val="003C5E54"/>
    <w:rsid w:val="003C6513"/>
    <w:rsid w:val="003D1218"/>
    <w:rsid w:val="003D2C06"/>
    <w:rsid w:val="003D2E06"/>
    <w:rsid w:val="003D3D06"/>
    <w:rsid w:val="003D6D60"/>
    <w:rsid w:val="003D6E09"/>
    <w:rsid w:val="003D7262"/>
    <w:rsid w:val="003D7BAC"/>
    <w:rsid w:val="003D7D2D"/>
    <w:rsid w:val="003E0107"/>
    <w:rsid w:val="003E19E6"/>
    <w:rsid w:val="003E4947"/>
    <w:rsid w:val="003E62E4"/>
    <w:rsid w:val="003F1035"/>
    <w:rsid w:val="003F156D"/>
    <w:rsid w:val="003F243B"/>
    <w:rsid w:val="003F2C74"/>
    <w:rsid w:val="003F2F40"/>
    <w:rsid w:val="003F3EC3"/>
    <w:rsid w:val="003F6B1D"/>
    <w:rsid w:val="00403D1F"/>
    <w:rsid w:val="004041D4"/>
    <w:rsid w:val="004049D7"/>
    <w:rsid w:val="00405BE3"/>
    <w:rsid w:val="00405FC2"/>
    <w:rsid w:val="00407F61"/>
    <w:rsid w:val="00410074"/>
    <w:rsid w:val="00410644"/>
    <w:rsid w:val="00411165"/>
    <w:rsid w:val="00413F17"/>
    <w:rsid w:val="00413FB6"/>
    <w:rsid w:val="00414142"/>
    <w:rsid w:val="0041620C"/>
    <w:rsid w:val="004167E6"/>
    <w:rsid w:val="00424C4B"/>
    <w:rsid w:val="004257B5"/>
    <w:rsid w:val="00426B2F"/>
    <w:rsid w:val="00427601"/>
    <w:rsid w:val="00427D81"/>
    <w:rsid w:val="00427EFE"/>
    <w:rsid w:val="004306A0"/>
    <w:rsid w:val="004328F6"/>
    <w:rsid w:val="004374BA"/>
    <w:rsid w:val="00437C53"/>
    <w:rsid w:val="00445E96"/>
    <w:rsid w:val="00446499"/>
    <w:rsid w:val="00446D2C"/>
    <w:rsid w:val="004479BE"/>
    <w:rsid w:val="00447D22"/>
    <w:rsid w:val="0045035B"/>
    <w:rsid w:val="004516E9"/>
    <w:rsid w:val="004539B8"/>
    <w:rsid w:val="004554A1"/>
    <w:rsid w:val="00455514"/>
    <w:rsid w:val="00455964"/>
    <w:rsid w:val="00456026"/>
    <w:rsid w:val="004573BA"/>
    <w:rsid w:val="0046094B"/>
    <w:rsid w:val="004612F3"/>
    <w:rsid w:val="00461E39"/>
    <w:rsid w:val="0046421C"/>
    <w:rsid w:val="00464802"/>
    <w:rsid w:val="004656B9"/>
    <w:rsid w:val="0046659B"/>
    <w:rsid w:val="00467BC2"/>
    <w:rsid w:val="0047023A"/>
    <w:rsid w:val="004706D0"/>
    <w:rsid w:val="00471AEA"/>
    <w:rsid w:val="0047281C"/>
    <w:rsid w:val="004734D4"/>
    <w:rsid w:val="00474037"/>
    <w:rsid w:val="004759DF"/>
    <w:rsid w:val="00476147"/>
    <w:rsid w:val="00477D97"/>
    <w:rsid w:val="00481B88"/>
    <w:rsid w:val="00482D61"/>
    <w:rsid w:val="004830DC"/>
    <w:rsid w:val="00485084"/>
    <w:rsid w:val="00485C94"/>
    <w:rsid w:val="004861DE"/>
    <w:rsid w:val="004861FB"/>
    <w:rsid w:val="00487012"/>
    <w:rsid w:val="00487851"/>
    <w:rsid w:val="004878B5"/>
    <w:rsid w:val="00487E3F"/>
    <w:rsid w:val="00491518"/>
    <w:rsid w:val="00494C24"/>
    <w:rsid w:val="0049539C"/>
    <w:rsid w:val="004A00CC"/>
    <w:rsid w:val="004A01FB"/>
    <w:rsid w:val="004A1430"/>
    <w:rsid w:val="004A288A"/>
    <w:rsid w:val="004A3BF1"/>
    <w:rsid w:val="004A532A"/>
    <w:rsid w:val="004B0344"/>
    <w:rsid w:val="004B05B1"/>
    <w:rsid w:val="004B07DA"/>
    <w:rsid w:val="004B1560"/>
    <w:rsid w:val="004B26D8"/>
    <w:rsid w:val="004B512D"/>
    <w:rsid w:val="004B52FE"/>
    <w:rsid w:val="004C04CB"/>
    <w:rsid w:val="004C196D"/>
    <w:rsid w:val="004C1AEC"/>
    <w:rsid w:val="004C1D0E"/>
    <w:rsid w:val="004C538F"/>
    <w:rsid w:val="004C7351"/>
    <w:rsid w:val="004D018E"/>
    <w:rsid w:val="004D0D0E"/>
    <w:rsid w:val="004D1409"/>
    <w:rsid w:val="004D3669"/>
    <w:rsid w:val="004D3931"/>
    <w:rsid w:val="004D6306"/>
    <w:rsid w:val="004D63A4"/>
    <w:rsid w:val="004D6F58"/>
    <w:rsid w:val="004D7CE2"/>
    <w:rsid w:val="004E4A92"/>
    <w:rsid w:val="004E4F8E"/>
    <w:rsid w:val="004E5AE3"/>
    <w:rsid w:val="004E658C"/>
    <w:rsid w:val="004E71DE"/>
    <w:rsid w:val="004F149C"/>
    <w:rsid w:val="004F2A2A"/>
    <w:rsid w:val="004F3D74"/>
    <w:rsid w:val="004F67CF"/>
    <w:rsid w:val="004F70C9"/>
    <w:rsid w:val="00501179"/>
    <w:rsid w:val="00503C6F"/>
    <w:rsid w:val="00504511"/>
    <w:rsid w:val="00504A25"/>
    <w:rsid w:val="00504B7E"/>
    <w:rsid w:val="0050537D"/>
    <w:rsid w:val="00510653"/>
    <w:rsid w:val="00511CE5"/>
    <w:rsid w:val="00513A06"/>
    <w:rsid w:val="00514DCA"/>
    <w:rsid w:val="00515F30"/>
    <w:rsid w:val="00521B6D"/>
    <w:rsid w:val="00522999"/>
    <w:rsid w:val="00522C88"/>
    <w:rsid w:val="00525997"/>
    <w:rsid w:val="00525E3B"/>
    <w:rsid w:val="00525FD4"/>
    <w:rsid w:val="00526459"/>
    <w:rsid w:val="00530531"/>
    <w:rsid w:val="00531A63"/>
    <w:rsid w:val="00532832"/>
    <w:rsid w:val="00535058"/>
    <w:rsid w:val="00535541"/>
    <w:rsid w:val="00536A99"/>
    <w:rsid w:val="00537D91"/>
    <w:rsid w:val="00540CB2"/>
    <w:rsid w:val="00542023"/>
    <w:rsid w:val="00542CC5"/>
    <w:rsid w:val="00544360"/>
    <w:rsid w:val="00544A77"/>
    <w:rsid w:val="00544AED"/>
    <w:rsid w:val="005455A7"/>
    <w:rsid w:val="00545E09"/>
    <w:rsid w:val="005475BA"/>
    <w:rsid w:val="00550640"/>
    <w:rsid w:val="005507C6"/>
    <w:rsid w:val="00551196"/>
    <w:rsid w:val="005514F0"/>
    <w:rsid w:val="00552936"/>
    <w:rsid w:val="00554222"/>
    <w:rsid w:val="00556557"/>
    <w:rsid w:val="00556723"/>
    <w:rsid w:val="00560065"/>
    <w:rsid w:val="00560D79"/>
    <w:rsid w:val="0056129B"/>
    <w:rsid w:val="00562B5B"/>
    <w:rsid w:val="00564986"/>
    <w:rsid w:val="005665BB"/>
    <w:rsid w:val="00570410"/>
    <w:rsid w:val="005710F9"/>
    <w:rsid w:val="005741A6"/>
    <w:rsid w:val="00577DDC"/>
    <w:rsid w:val="00580182"/>
    <w:rsid w:val="00580238"/>
    <w:rsid w:val="00583088"/>
    <w:rsid w:val="00583EFB"/>
    <w:rsid w:val="0058407E"/>
    <w:rsid w:val="0059106E"/>
    <w:rsid w:val="005915DE"/>
    <w:rsid w:val="00592293"/>
    <w:rsid w:val="00593263"/>
    <w:rsid w:val="00595164"/>
    <w:rsid w:val="00595589"/>
    <w:rsid w:val="005957F4"/>
    <w:rsid w:val="00596D5A"/>
    <w:rsid w:val="00597D2A"/>
    <w:rsid w:val="005A1993"/>
    <w:rsid w:val="005A1EF4"/>
    <w:rsid w:val="005A24D8"/>
    <w:rsid w:val="005A289B"/>
    <w:rsid w:val="005A35FB"/>
    <w:rsid w:val="005A5BAB"/>
    <w:rsid w:val="005B05DB"/>
    <w:rsid w:val="005B087B"/>
    <w:rsid w:val="005B2508"/>
    <w:rsid w:val="005B2CE6"/>
    <w:rsid w:val="005B325A"/>
    <w:rsid w:val="005B4A37"/>
    <w:rsid w:val="005B4D4D"/>
    <w:rsid w:val="005B53C2"/>
    <w:rsid w:val="005B5517"/>
    <w:rsid w:val="005C0C9A"/>
    <w:rsid w:val="005C239B"/>
    <w:rsid w:val="005C245B"/>
    <w:rsid w:val="005C4EC8"/>
    <w:rsid w:val="005C6E8D"/>
    <w:rsid w:val="005D13AA"/>
    <w:rsid w:val="005D22EB"/>
    <w:rsid w:val="005D2F83"/>
    <w:rsid w:val="005D6611"/>
    <w:rsid w:val="005D6718"/>
    <w:rsid w:val="005D7EF3"/>
    <w:rsid w:val="005E0429"/>
    <w:rsid w:val="005E2895"/>
    <w:rsid w:val="005E2FF5"/>
    <w:rsid w:val="005E3C3C"/>
    <w:rsid w:val="005E5547"/>
    <w:rsid w:val="005E6207"/>
    <w:rsid w:val="005E7F47"/>
    <w:rsid w:val="005F05F7"/>
    <w:rsid w:val="005F062A"/>
    <w:rsid w:val="005F1AF6"/>
    <w:rsid w:val="005F2DD3"/>
    <w:rsid w:val="005F33B2"/>
    <w:rsid w:val="005F3C2A"/>
    <w:rsid w:val="005F4C20"/>
    <w:rsid w:val="005F51AE"/>
    <w:rsid w:val="005F6609"/>
    <w:rsid w:val="005F6B98"/>
    <w:rsid w:val="005F6EAF"/>
    <w:rsid w:val="005F6F09"/>
    <w:rsid w:val="00600015"/>
    <w:rsid w:val="00601378"/>
    <w:rsid w:val="006054AB"/>
    <w:rsid w:val="00606314"/>
    <w:rsid w:val="00607496"/>
    <w:rsid w:val="006117BC"/>
    <w:rsid w:val="00611FA5"/>
    <w:rsid w:val="00613EA3"/>
    <w:rsid w:val="006147C9"/>
    <w:rsid w:val="006149E2"/>
    <w:rsid w:val="006175A9"/>
    <w:rsid w:val="0061792B"/>
    <w:rsid w:val="00617E81"/>
    <w:rsid w:val="00620955"/>
    <w:rsid w:val="00622634"/>
    <w:rsid w:val="006232B5"/>
    <w:rsid w:val="006253DC"/>
    <w:rsid w:val="00625CD1"/>
    <w:rsid w:val="006268DF"/>
    <w:rsid w:val="006279E1"/>
    <w:rsid w:val="00630821"/>
    <w:rsid w:val="00630825"/>
    <w:rsid w:val="00630C6A"/>
    <w:rsid w:val="00630FA5"/>
    <w:rsid w:val="00631042"/>
    <w:rsid w:val="00631FAD"/>
    <w:rsid w:val="0063273F"/>
    <w:rsid w:val="00633EDC"/>
    <w:rsid w:val="00634592"/>
    <w:rsid w:val="00635880"/>
    <w:rsid w:val="00636638"/>
    <w:rsid w:val="00640D19"/>
    <w:rsid w:val="00641175"/>
    <w:rsid w:val="00641B67"/>
    <w:rsid w:val="006428ED"/>
    <w:rsid w:val="00642944"/>
    <w:rsid w:val="00642D9B"/>
    <w:rsid w:val="0064329C"/>
    <w:rsid w:val="0064529C"/>
    <w:rsid w:val="006467A7"/>
    <w:rsid w:val="00653A37"/>
    <w:rsid w:val="0065429E"/>
    <w:rsid w:val="00654A32"/>
    <w:rsid w:val="00655D3E"/>
    <w:rsid w:val="0066091A"/>
    <w:rsid w:val="0066165B"/>
    <w:rsid w:val="00662668"/>
    <w:rsid w:val="00663A80"/>
    <w:rsid w:val="006644AB"/>
    <w:rsid w:val="00664FD5"/>
    <w:rsid w:val="0066705B"/>
    <w:rsid w:val="006677E5"/>
    <w:rsid w:val="006709BB"/>
    <w:rsid w:val="006726B1"/>
    <w:rsid w:val="00675A27"/>
    <w:rsid w:val="0067736F"/>
    <w:rsid w:val="00677ABC"/>
    <w:rsid w:val="00677DC2"/>
    <w:rsid w:val="006804E4"/>
    <w:rsid w:val="00682144"/>
    <w:rsid w:val="00682ED5"/>
    <w:rsid w:val="00683C82"/>
    <w:rsid w:val="00684277"/>
    <w:rsid w:val="006847B5"/>
    <w:rsid w:val="0068720D"/>
    <w:rsid w:val="00690C1C"/>
    <w:rsid w:val="00692D7F"/>
    <w:rsid w:val="00692E30"/>
    <w:rsid w:val="0069320F"/>
    <w:rsid w:val="00694D3E"/>
    <w:rsid w:val="00695C03"/>
    <w:rsid w:val="00696E76"/>
    <w:rsid w:val="006A157D"/>
    <w:rsid w:val="006A1E1D"/>
    <w:rsid w:val="006A24BD"/>
    <w:rsid w:val="006A458A"/>
    <w:rsid w:val="006A68BF"/>
    <w:rsid w:val="006B051F"/>
    <w:rsid w:val="006B1A70"/>
    <w:rsid w:val="006B1EA2"/>
    <w:rsid w:val="006B2B19"/>
    <w:rsid w:val="006B32BF"/>
    <w:rsid w:val="006B6D3B"/>
    <w:rsid w:val="006B6EB7"/>
    <w:rsid w:val="006B733C"/>
    <w:rsid w:val="006B76CA"/>
    <w:rsid w:val="006C0A02"/>
    <w:rsid w:val="006C0BEA"/>
    <w:rsid w:val="006C22DE"/>
    <w:rsid w:val="006C26D3"/>
    <w:rsid w:val="006C404A"/>
    <w:rsid w:val="006C4836"/>
    <w:rsid w:val="006C4A7B"/>
    <w:rsid w:val="006C7B4B"/>
    <w:rsid w:val="006D0B7A"/>
    <w:rsid w:val="006D141B"/>
    <w:rsid w:val="006D3E41"/>
    <w:rsid w:val="006D51E6"/>
    <w:rsid w:val="006D6035"/>
    <w:rsid w:val="006D6672"/>
    <w:rsid w:val="006D6BBC"/>
    <w:rsid w:val="006E017A"/>
    <w:rsid w:val="006E083D"/>
    <w:rsid w:val="006E0A14"/>
    <w:rsid w:val="006E0BF0"/>
    <w:rsid w:val="006E0DF9"/>
    <w:rsid w:val="006E2437"/>
    <w:rsid w:val="006E2786"/>
    <w:rsid w:val="006E33FB"/>
    <w:rsid w:val="006E3B15"/>
    <w:rsid w:val="006E3F5A"/>
    <w:rsid w:val="006E4ACE"/>
    <w:rsid w:val="006E5092"/>
    <w:rsid w:val="006E5CEB"/>
    <w:rsid w:val="006E7269"/>
    <w:rsid w:val="006E7751"/>
    <w:rsid w:val="006E7CC0"/>
    <w:rsid w:val="006F039A"/>
    <w:rsid w:val="006F1B35"/>
    <w:rsid w:val="006F330A"/>
    <w:rsid w:val="006F4BE8"/>
    <w:rsid w:val="006F58F7"/>
    <w:rsid w:val="00702D2E"/>
    <w:rsid w:val="007030EA"/>
    <w:rsid w:val="007040E0"/>
    <w:rsid w:val="007042FA"/>
    <w:rsid w:val="007044E4"/>
    <w:rsid w:val="00706072"/>
    <w:rsid w:val="00706117"/>
    <w:rsid w:val="00707C6F"/>
    <w:rsid w:val="007104AD"/>
    <w:rsid w:val="00710597"/>
    <w:rsid w:val="007168CF"/>
    <w:rsid w:val="00716A4B"/>
    <w:rsid w:val="00720656"/>
    <w:rsid w:val="00720FA4"/>
    <w:rsid w:val="00721FEE"/>
    <w:rsid w:val="00724ABE"/>
    <w:rsid w:val="007269A3"/>
    <w:rsid w:val="00727B93"/>
    <w:rsid w:val="0073048A"/>
    <w:rsid w:val="007304E5"/>
    <w:rsid w:val="00730C3D"/>
    <w:rsid w:val="00731D18"/>
    <w:rsid w:val="0073247A"/>
    <w:rsid w:val="007331C8"/>
    <w:rsid w:val="00735B10"/>
    <w:rsid w:val="00736B1E"/>
    <w:rsid w:val="00737815"/>
    <w:rsid w:val="007426E2"/>
    <w:rsid w:val="00743112"/>
    <w:rsid w:val="007433A7"/>
    <w:rsid w:val="007435CF"/>
    <w:rsid w:val="007437A2"/>
    <w:rsid w:val="00744A5F"/>
    <w:rsid w:val="00744BB6"/>
    <w:rsid w:val="0074567B"/>
    <w:rsid w:val="00750601"/>
    <w:rsid w:val="00752142"/>
    <w:rsid w:val="00753437"/>
    <w:rsid w:val="0075408F"/>
    <w:rsid w:val="00754DCE"/>
    <w:rsid w:val="00756DA5"/>
    <w:rsid w:val="00756DB5"/>
    <w:rsid w:val="00756E03"/>
    <w:rsid w:val="00757BFC"/>
    <w:rsid w:val="00757BFF"/>
    <w:rsid w:val="00760DBC"/>
    <w:rsid w:val="0076184C"/>
    <w:rsid w:val="0076315C"/>
    <w:rsid w:val="007636D3"/>
    <w:rsid w:val="00763AE4"/>
    <w:rsid w:val="00763B16"/>
    <w:rsid w:val="00764E12"/>
    <w:rsid w:val="007654E0"/>
    <w:rsid w:val="00765F6C"/>
    <w:rsid w:val="00770823"/>
    <w:rsid w:val="00770CF6"/>
    <w:rsid w:val="007714A8"/>
    <w:rsid w:val="007715B0"/>
    <w:rsid w:val="0077182A"/>
    <w:rsid w:val="007744BF"/>
    <w:rsid w:val="00775EBD"/>
    <w:rsid w:val="00775EE2"/>
    <w:rsid w:val="007775AA"/>
    <w:rsid w:val="00777678"/>
    <w:rsid w:val="0078103B"/>
    <w:rsid w:val="0078125C"/>
    <w:rsid w:val="00782796"/>
    <w:rsid w:val="0078373A"/>
    <w:rsid w:val="00783D93"/>
    <w:rsid w:val="0078598F"/>
    <w:rsid w:val="00786173"/>
    <w:rsid w:val="0079043C"/>
    <w:rsid w:val="00790D01"/>
    <w:rsid w:val="00790EAD"/>
    <w:rsid w:val="007924F8"/>
    <w:rsid w:val="00792714"/>
    <w:rsid w:val="00793410"/>
    <w:rsid w:val="00794D9B"/>
    <w:rsid w:val="00795763"/>
    <w:rsid w:val="0079580E"/>
    <w:rsid w:val="00795C11"/>
    <w:rsid w:val="0079673C"/>
    <w:rsid w:val="00796AD9"/>
    <w:rsid w:val="007970F1"/>
    <w:rsid w:val="007978C5"/>
    <w:rsid w:val="007A076E"/>
    <w:rsid w:val="007A0BE7"/>
    <w:rsid w:val="007A2F31"/>
    <w:rsid w:val="007A3121"/>
    <w:rsid w:val="007A318D"/>
    <w:rsid w:val="007A3473"/>
    <w:rsid w:val="007A3BA9"/>
    <w:rsid w:val="007A3CE2"/>
    <w:rsid w:val="007A6160"/>
    <w:rsid w:val="007A61B0"/>
    <w:rsid w:val="007A63B6"/>
    <w:rsid w:val="007A671A"/>
    <w:rsid w:val="007B04B8"/>
    <w:rsid w:val="007B09B5"/>
    <w:rsid w:val="007B3C11"/>
    <w:rsid w:val="007B7788"/>
    <w:rsid w:val="007C0EEE"/>
    <w:rsid w:val="007C2029"/>
    <w:rsid w:val="007C2B3C"/>
    <w:rsid w:val="007C2E4F"/>
    <w:rsid w:val="007C38F5"/>
    <w:rsid w:val="007C5531"/>
    <w:rsid w:val="007C5E9D"/>
    <w:rsid w:val="007C6AE4"/>
    <w:rsid w:val="007C6CDC"/>
    <w:rsid w:val="007D027D"/>
    <w:rsid w:val="007D0848"/>
    <w:rsid w:val="007D1E87"/>
    <w:rsid w:val="007D59C0"/>
    <w:rsid w:val="007D60DF"/>
    <w:rsid w:val="007D75E4"/>
    <w:rsid w:val="007D7B9B"/>
    <w:rsid w:val="007E092A"/>
    <w:rsid w:val="007E15C2"/>
    <w:rsid w:val="007E1AD8"/>
    <w:rsid w:val="007E24A1"/>
    <w:rsid w:val="007E3F1F"/>
    <w:rsid w:val="007E4127"/>
    <w:rsid w:val="007E736C"/>
    <w:rsid w:val="007F075D"/>
    <w:rsid w:val="007F3946"/>
    <w:rsid w:val="007F4A58"/>
    <w:rsid w:val="007F62E6"/>
    <w:rsid w:val="007F638E"/>
    <w:rsid w:val="007F77B2"/>
    <w:rsid w:val="008000D5"/>
    <w:rsid w:val="008004AC"/>
    <w:rsid w:val="00802D66"/>
    <w:rsid w:val="008047B3"/>
    <w:rsid w:val="00804E00"/>
    <w:rsid w:val="00804F97"/>
    <w:rsid w:val="00807BCB"/>
    <w:rsid w:val="00807DB6"/>
    <w:rsid w:val="00811340"/>
    <w:rsid w:val="00814068"/>
    <w:rsid w:val="00814DA1"/>
    <w:rsid w:val="00816D0F"/>
    <w:rsid w:val="00820086"/>
    <w:rsid w:val="0082197F"/>
    <w:rsid w:val="00823702"/>
    <w:rsid w:val="00823A7A"/>
    <w:rsid w:val="00823B50"/>
    <w:rsid w:val="00824465"/>
    <w:rsid w:val="00824F5E"/>
    <w:rsid w:val="00826C71"/>
    <w:rsid w:val="008307D0"/>
    <w:rsid w:val="00831DDE"/>
    <w:rsid w:val="008323D2"/>
    <w:rsid w:val="00833E50"/>
    <w:rsid w:val="008342A4"/>
    <w:rsid w:val="008373C5"/>
    <w:rsid w:val="008378D9"/>
    <w:rsid w:val="00840BB5"/>
    <w:rsid w:val="00840F39"/>
    <w:rsid w:val="00842099"/>
    <w:rsid w:val="00844163"/>
    <w:rsid w:val="00844909"/>
    <w:rsid w:val="00846AD9"/>
    <w:rsid w:val="00847211"/>
    <w:rsid w:val="00847B4A"/>
    <w:rsid w:val="00850FCC"/>
    <w:rsid w:val="008517C8"/>
    <w:rsid w:val="008523CC"/>
    <w:rsid w:val="008527D3"/>
    <w:rsid w:val="008534CB"/>
    <w:rsid w:val="00854998"/>
    <w:rsid w:val="00855B01"/>
    <w:rsid w:val="0085606C"/>
    <w:rsid w:val="0086085B"/>
    <w:rsid w:val="0086108E"/>
    <w:rsid w:val="00861A7E"/>
    <w:rsid w:val="0086307B"/>
    <w:rsid w:val="00863219"/>
    <w:rsid w:val="00863831"/>
    <w:rsid w:val="00863EC9"/>
    <w:rsid w:val="00864DFE"/>
    <w:rsid w:val="00866E4A"/>
    <w:rsid w:val="008709E1"/>
    <w:rsid w:val="0087135A"/>
    <w:rsid w:val="00872202"/>
    <w:rsid w:val="00872B84"/>
    <w:rsid w:val="008742A2"/>
    <w:rsid w:val="008815FA"/>
    <w:rsid w:val="008820C9"/>
    <w:rsid w:val="00882911"/>
    <w:rsid w:val="00883924"/>
    <w:rsid w:val="00885B97"/>
    <w:rsid w:val="00886747"/>
    <w:rsid w:val="00892642"/>
    <w:rsid w:val="00893247"/>
    <w:rsid w:val="00893723"/>
    <w:rsid w:val="008946F3"/>
    <w:rsid w:val="00894CA2"/>
    <w:rsid w:val="008964D9"/>
    <w:rsid w:val="008964E1"/>
    <w:rsid w:val="00896C42"/>
    <w:rsid w:val="0089787F"/>
    <w:rsid w:val="008A02EB"/>
    <w:rsid w:val="008A11ED"/>
    <w:rsid w:val="008A128A"/>
    <w:rsid w:val="008A17A9"/>
    <w:rsid w:val="008A236D"/>
    <w:rsid w:val="008A25B9"/>
    <w:rsid w:val="008A6D81"/>
    <w:rsid w:val="008A7386"/>
    <w:rsid w:val="008A796E"/>
    <w:rsid w:val="008A7A62"/>
    <w:rsid w:val="008B27BD"/>
    <w:rsid w:val="008B415A"/>
    <w:rsid w:val="008B527E"/>
    <w:rsid w:val="008B5405"/>
    <w:rsid w:val="008B6E7A"/>
    <w:rsid w:val="008B7D81"/>
    <w:rsid w:val="008C0184"/>
    <w:rsid w:val="008C1106"/>
    <w:rsid w:val="008C1463"/>
    <w:rsid w:val="008C16E5"/>
    <w:rsid w:val="008C260F"/>
    <w:rsid w:val="008C3237"/>
    <w:rsid w:val="008C3C3D"/>
    <w:rsid w:val="008C46F2"/>
    <w:rsid w:val="008C4F33"/>
    <w:rsid w:val="008C60C2"/>
    <w:rsid w:val="008C7262"/>
    <w:rsid w:val="008C7F83"/>
    <w:rsid w:val="008D2852"/>
    <w:rsid w:val="008D37C6"/>
    <w:rsid w:val="008D4E79"/>
    <w:rsid w:val="008D63E0"/>
    <w:rsid w:val="008D6B27"/>
    <w:rsid w:val="008D6BD4"/>
    <w:rsid w:val="008D7CF4"/>
    <w:rsid w:val="008E1BD2"/>
    <w:rsid w:val="008E25E9"/>
    <w:rsid w:val="008E2736"/>
    <w:rsid w:val="008E2E59"/>
    <w:rsid w:val="008E73B5"/>
    <w:rsid w:val="008F14E9"/>
    <w:rsid w:val="008F4A12"/>
    <w:rsid w:val="008F66CD"/>
    <w:rsid w:val="009016C6"/>
    <w:rsid w:val="009024FA"/>
    <w:rsid w:val="00902AD1"/>
    <w:rsid w:val="00905C12"/>
    <w:rsid w:val="009072DE"/>
    <w:rsid w:val="00907398"/>
    <w:rsid w:val="00907C49"/>
    <w:rsid w:val="00911B11"/>
    <w:rsid w:val="00912413"/>
    <w:rsid w:val="00913042"/>
    <w:rsid w:val="0091321C"/>
    <w:rsid w:val="009136EF"/>
    <w:rsid w:val="00914895"/>
    <w:rsid w:val="0091767D"/>
    <w:rsid w:val="00920059"/>
    <w:rsid w:val="0092139F"/>
    <w:rsid w:val="0092189D"/>
    <w:rsid w:val="00922AD6"/>
    <w:rsid w:val="009234DD"/>
    <w:rsid w:val="00923716"/>
    <w:rsid w:val="009237C6"/>
    <w:rsid w:val="00924A36"/>
    <w:rsid w:val="00924E98"/>
    <w:rsid w:val="009253FA"/>
    <w:rsid w:val="0092579F"/>
    <w:rsid w:val="009270FC"/>
    <w:rsid w:val="009302F4"/>
    <w:rsid w:val="00930C5C"/>
    <w:rsid w:val="00934557"/>
    <w:rsid w:val="00940FB8"/>
    <w:rsid w:val="00943142"/>
    <w:rsid w:val="009449A8"/>
    <w:rsid w:val="009457BB"/>
    <w:rsid w:val="009466C4"/>
    <w:rsid w:val="00946D0C"/>
    <w:rsid w:val="00946D60"/>
    <w:rsid w:val="00946E96"/>
    <w:rsid w:val="00954D85"/>
    <w:rsid w:val="00956CB7"/>
    <w:rsid w:val="00957897"/>
    <w:rsid w:val="00957900"/>
    <w:rsid w:val="00957FAA"/>
    <w:rsid w:val="00961349"/>
    <w:rsid w:val="0096242D"/>
    <w:rsid w:val="00962552"/>
    <w:rsid w:val="00962B99"/>
    <w:rsid w:val="00963B4F"/>
    <w:rsid w:val="00963D8B"/>
    <w:rsid w:val="009645B1"/>
    <w:rsid w:val="009648CA"/>
    <w:rsid w:val="00965C4A"/>
    <w:rsid w:val="00967CE7"/>
    <w:rsid w:val="00971B28"/>
    <w:rsid w:val="0097216A"/>
    <w:rsid w:val="00972D61"/>
    <w:rsid w:val="00974C8F"/>
    <w:rsid w:val="00974D3C"/>
    <w:rsid w:val="009754F4"/>
    <w:rsid w:val="0097693F"/>
    <w:rsid w:val="00977866"/>
    <w:rsid w:val="00980072"/>
    <w:rsid w:val="00983325"/>
    <w:rsid w:val="00985010"/>
    <w:rsid w:val="00985241"/>
    <w:rsid w:val="00985862"/>
    <w:rsid w:val="009868AD"/>
    <w:rsid w:val="00991B3C"/>
    <w:rsid w:val="009932D7"/>
    <w:rsid w:val="0099347F"/>
    <w:rsid w:val="009967DF"/>
    <w:rsid w:val="009A187F"/>
    <w:rsid w:val="009A1C61"/>
    <w:rsid w:val="009A202B"/>
    <w:rsid w:val="009A2069"/>
    <w:rsid w:val="009A3569"/>
    <w:rsid w:val="009A3FF0"/>
    <w:rsid w:val="009A4CC4"/>
    <w:rsid w:val="009B10B5"/>
    <w:rsid w:val="009B2705"/>
    <w:rsid w:val="009B2A33"/>
    <w:rsid w:val="009B2A64"/>
    <w:rsid w:val="009B2E31"/>
    <w:rsid w:val="009B30B4"/>
    <w:rsid w:val="009B3C35"/>
    <w:rsid w:val="009B7EFB"/>
    <w:rsid w:val="009C1544"/>
    <w:rsid w:val="009C1800"/>
    <w:rsid w:val="009C2E46"/>
    <w:rsid w:val="009C384E"/>
    <w:rsid w:val="009C411B"/>
    <w:rsid w:val="009C6F47"/>
    <w:rsid w:val="009C7528"/>
    <w:rsid w:val="009D29DF"/>
    <w:rsid w:val="009D2E98"/>
    <w:rsid w:val="009D4C1D"/>
    <w:rsid w:val="009D6015"/>
    <w:rsid w:val="009D61C6"/>
    <w:rsid w:val="009D6837"/>
    <w:rsid w:val="009D72DE"/>
    <w:rsid w:val="009E1DBF"/>
    <w:rsid w:val="009E1EC0"/>
    <w:rsid w:val="009E4027"/>
    <w:rsid w:val="009E4209"/>
    <w:rsid w:val="009E6C24"/>
    <w:rsid w:val="009E7BE1"/>
    <w:rsid w:val="009F06F3"/>
    <w:rsid w:val="009F0ACF"/>
    <w:rsid w:val="009F3163"/>
    <w:rsid w:val="009F44AD"/>
    <w:rsid w:val="009F52B6"/>
    <w:rsid w:val="009F65A5"/>
    <w:rsid w:val="009F7592"/>
    <w:rsid w:val="00A00A63"/>
    <w:rsid w:val="00A00E4C"/>
    <w:rsid w:val="00A01519"/>
    <w:rsid w:val="00A01540"/>
    <w:rsid w:val="00A0155A"/>
    <w:rsid w:val="00A04A5C"/>
    <w:rsid w:val="00A07346"/>
    <w:rsid w:val="00A0788D"/>
    <w:rsid w:val="00A1173D"/>
    <w:rsid w:val="00A11EFB"/>
    <w:rsid w:val="00A1237B"/>
    <w:rsid w:val="00A12F19"/>
    <w:rsid w:val="00A14FFC"/>
    <w:rsid w:val="00A154EC"/>
    <w:rsid w:val="00A17182"/>
    <w:rsid w:val="00A21A4E"/>
    <w:rsid w:val="00A22F11"/>
    <w:rsid w:val="00A252F7"/>
    <w:rsid w:val="00A31852"/>
    <w:rsid w:val="00A322C0"/>
    <w:rsid w:val="00A34A35"/>
    <w:rsid w:val="00A3723F"/>
    <w:rsid w:val="00A379D3"/>
    <w:rsid w:val="00A40A6C"/>
    <w:rsid w:val="00A41C13"/>
    <w:rsid w:val="00A43935"/>
    <w:rsid w:val="00A4395B"/>
    <w:rsid w:val="00A446D2"/>
    <w:rsid w:val="00A45F08"/>
    <w:rsid w:val="00A46213"/>
    <w:rsid w:val="00A46515"/>
    <w:rsid w:val="00A5066D"/>
    <w:rsid w:val="00A518DB"/>
    <w:rsid w:val="00A520B8"/>
    <w:rsid w:val="00A532B9"/>
    <w:rsid w:val="00A55543"/>
    <w:rsid w:val="00A55573"/>
    <w:rsid w:val="00A56896"/>
    <w:rsid w:val="00A57F07"/>
    <w:rsid w:val="00A60912"/>
    <w:rsid w:val="00A61AFB"/>
    <w:rsid w:val="00A653D2"/>
    <w:rsid w:val="00A65CA7"/>
    <w:rsid w:val="00A663E2"/>
    <w:rsid w:val="00A70661"/>
    <w:rsid w:val="00A71EDB"/>
    <w:rsid w:val="00A747EC"/>
    <w:rsid w:val="00A75A0A"/>
    <w:rsid w:val="00A762A0"/>
    <w:rsid w:val="00A77100"/>
    <w:rsid w:val="00A7782E"/>
    <w:rsid w:val="00A820D5"/>
    <w:rsid w:val="00A82393"/>
    <w:rsid w:val="00A82D73"/>
    <w:rsid w:val="00A8311C"/>
    <w:rsid w:val="00A835E0"/>
    <w:rsid w:val="00A844A3"/>
    <w:rsid w:val="00A90834"/>
    <w:rsid w:val="00A920D0"/>
    <w:rsid w:val="00A9249E"/>
    <w:rsid w:val="00A934ED"/>
    <w:rsid w:val="00A94EAC"/>
    <w:rsid w:val="00A95309"/>
    <w:rsid w:val="00A9673C"/>
    <w:rsid w:val="00AA3FD7"/>
    <w:rsid w:val="00AA4ECC"/>
    <w:rsid w:val="00AA5A98"/>
    <w:rsid w:val="00AA65A9"/>
    <w:rsid w:val="00AA6AD0"/>
    <w:rsid w:val="00AA6F8E"/>
    <w:rsid w:val="00AB04B4"/>
    <w:rsid w:val="00AB14F8"/>
    <w:rsid w:val="00AB2256"/>
    <w:rsid w:val="00AB3641"/>
    <w:rsid w:val="00AB39DC"/>
    <w:rsid w:val="00AB72FA"/>
    <w:rsid w:val="00AC1510"/>
    <w:rsid w:val="00AC2527"/>
    <w:rsid w:val="00AC3AEB"/>
    <w:rsid w:val="00AC3EBD"/>
    <w:rsid w:val="00AC41D2"/>
    <w:rsid w:val="00AC479E"/>
    <w:rsid w:val="00AC580B"/>
    <w:rsid w:val="00AC6747"/>
    <w:rsid w:val="00AC6DD7"/>
    <w:rsid w:val="00AC6DFA"/>
    <w:rsid w:val="00AD0C37"/>
    <w:rsid w:val="00AD2481"/>
    <w:rsid w:val="00AD3C6D"/>
    <w:rsid w:val="00AD4A1E"/>
    <w:rsid w:val="00AD5899"/>
    <w:rsid w:val="00AD610B"/>
    <w:rsid w:val="00AD647B"/>
    <w:rsid w:val="00AE1EF9"/>
    <w:rsid w:val="00AE20FE"/>
    <w:rsid w:val="00AE2D82"/>
    <w:rsid w:val="00AE5409"/>
    <w:rsid w:val="00AE5A15"/>
    <w:rsid w:val="00AE7B7B"/>
    <w:rsid w:val="00AF11B0"/>
    <w:rsid w:val="00AF1755"/>
    <w:rsid w:val="00AF2266"/>
    <w:rsid w:val="00AF2984"/>
    <w:rsid w:val="00AF2F2C"/>
    <w:rsid w:val="00AF3BDF"/>
    <w:rsid w:val="00AF4D5D"/>
    <w:rsid w:val="00AF5253"/>
    <w:rsid w:val="00AF53F7"/>
    <w:rsid w:val="00AF57F0"/>
    <w:rsid w:val="00AF6714"/>
    <w:rsid w:val="00B003F2"/>
    <w:rsid w:val="00B00DEC"/>
    <w:rsid w:val="00B02975"/>
    <w:rsid w:val="00B06916"/>
    <w:rsid w:val="00B06E0B"/>
    <w:rsid w:val="00B10E61"/>
    <w:rsid w:val="00B14BF6"/>
    <w:rsid w:val="00B14D93"/>
    <w:rsid w:val="00B15593"/>
    <w:rsid w:val="00B162D6"/>
    <w:rsid w:val="00B164B7"/>
    <w:rsid w:val="00B211B9"/>
    <w:rsid w:val="00B223C4"/>
    <w:rsid w:val="00B235B4"/>
    <w:rsid w:val="00B24F9F"/>
    <w:rsid w:val="00B269D3"/>
    <w:rsid w:val="00B30A20"/>
    <w:rsid w:val="00B31163"/>
    <w:rsid w:val="00B31B16"/>
    <w:rsid w:val="00B32FDC"/>
    <w:rsid w:val="00B3573C"/>
    <w:rsid w:val="00B36079"/>
    <w:rsid w:val="00B373CD"/>
    <w:rsid w:val="00B4497D"/>
    <w:rsid w:val="00B449BA"/>
    <w:rsid w:val="00B44F88"/>
    <w:rsid w:val="00B45A0B"/>
    <w:rsid w:val="00B470BF"/>
    <w:rsid w:val="00B47270"/>
    <w:rsid w:val="00B47590"/>
    <w:rsid w:val="00B50D14"/>
    <w:rsid w:val="00B50D95"/>
    <w:rsid w:val="00B52B03"/>
    <w:rsid w:val="00B5428D"/>
    <w:rsid w:val="00B5446A"/>
    <w:rsid w:val="00B54FB4"/>
    <w:rsid w:val="00B57604"/>
    <w:rsid w:val="00B57CE3"/>
    <w:rsid w:val="00B635FF"/>
    <w:rsid w:val="00B64258"/>
    <w:rsid w:val="00B6553C"/>
    <w:rsid w:val="00B658EA"/>
    <w:rsid w:val="00B66205"/>
    <w:rsid w:val="00B6721A"/>
    <w:rsid w:val="00B67338"/>
    <w:rsid w:val="00B7042C"/>
    <w:rsid w:val="00B72B88"/>
    <w:rsid w:val="00B73B5F"/>
    <w:rsid w:val="00B747E7"/>
    <w:rsid w:val="00B747EC"/>
    <w:rsid w:val="00B769B5"/>
    <w:rsid w:val="00B80BD1"/>
    <w:rsid w:val="00B80DC0"/>
    <w:rsid w:val="00B82182"/>
    <w:rsid w:val="00B8445B"/>
    <w:rsid w:val="00B85499"/>
    <w:rsid w:val="00B854CB"/>
    <w:rsid w:val="00B85579"/>
    <w:rsid w:val="00B86DEA"/>
    <w:rsid w:val="00B87307"/>
    <w:rsid w:val="00B922F8"/>
    <w:rsid w:val="00B931A3"/>
    <w:rsid w:val="00B93909"/>
    <w:rsid w:val="00B958FC"/>
    <w:rsid w:val="00B95C02"/>
    <w:rsid w:val="00B96D1E"/>
    <w:rsid w:val="00B970CD"/>
    <w:rsid w:val="00B976DC"/>
    <w:rsid w:val="00BA13D1"/>
    <w:rsid w:val="00BA2C65"/>
    <w:rsid w:val="00BA3713"/>
    <w:rsid w:val="00BA372D"/>
    <w:rsid w:val="00BA3CD0"/>
    <w:rsid w:val="00BB252A"/>
    <w:rsid w:val="00BB3E79"/>
    <w:rsid w:val="00BB415E"/>
    <w:rsid w:val="00BB5051"/>
    <w:rsid w:val="00BB5058"/>
    <w:rsid w:val="00BB5BD8"/>
    <w:rsid w:val="00BB7AA2"/>
    <w:rsid w:val="00BB7BB6"/>
    <w:rsid w:val="00BC1250"/>
    <w:rsid w:val="00BC1F0D"/>
    <w:rsid w:val="00BC4219"/>
    <w:rsid w:val="00BC45AF"/>
    <w:rsid w:val="00BC56AD"/>
    <w:rsid w:val="00BC5BAE"/>
    <w:rsid w:val="00BC689F"/>
    <w:rsid w:val="00BD1332"/>
    <w:rsid w:val="00BD2383"/>
    <w:rsid w:val="00BD323D"/>
    <w:rsid w:val="00BD491E"/>
    <w:rsid w:val="00BD55A3"/>
    <w:rsid w:val="00BD5ACD"/>
    <w:rsid w:val="00BD5C96"/>
    <w:rsid w:val="00BD5E83"/>
    <w:rsid w:val="00BD72EB"/>
    <w:rsid w:val="00BD7452"/>
    <w:rsid w:val="00BE0207"/>
    <w:rsid w:val="00BE2BA7"/>
    <w:rsid w:val="00BF00EE"/>
    <w:rsid w:val="00BF1A5E"/>
    <w:rsid w:val="00BF39BE"/>
    <w:rsid w:val="00BF548F"/>
    <w:rsid w:val="00BF67D3"/>
    <w:rsid w:val="00C00EC2"/>
    <w:rsid w:val="00C01AC6"/>
    <w:rsid w:val="00C0369B"/>
    <w:rsid w:val="00C03E80"/>
    <w:rsid w:val="00C049F5"/>
    <w:rsid w:val="00C04D53"/>
    <w:rsid w:val="00C0755D"/>
    <w:rsid w:val="00C11A06"/>
    <w:rsid w:val="00C11DD7"/>
    <w:rsid w:val="00C13716"/>
    <w:rsid w:val="00C13BCD"/>
    <w:rsid w:val="00C13C01"/>
    <w:rsid w:val="00C15024"/>
    <w:rsid w:val="00C161F9"/>
    <w:rsid w:val="00C231DC"/>
    <w:rsid w:val="00C233D5"/>
    <w:rsid w:val="00C24CC9"/>
    <w:rsid w:val="00C26DBC"/>
    <w:rsid w:val="00C27ABD"/>
    <w:rsid w:val="00C305C4"/>
    <w:rsid w:val="00C30C8A"/>
    <w:rsid w:val="00C3217F"/>
    <w:rsid w:val="00C32EA9"/>
    <w:rsid w:val="00C32F6E"/>
    <w:rsid w:val="00C33389"/>
    <w:rsid w:val="00C34A75"/>
    <w:rsid w:val="00C36736"/>
    <w:rsid w:val="00C40268"/>
    <w:rsid w:val="00C43892"/>
    <w:rsid w:val="00C44C42"/>
    <w:rsid w:val="00C45578"/>
    <w:rsid w:val="00C4678E"/>
    <w:rsid w:val="00C47059"/>
    <w:rsid w:val="00C4762F"/>
    <w:rsid w:val="00C51015"/>
    <w:rsid w:val="00C51150"/>
    <w:rsid w:val="00C526AA"/>
    <w:rsid w:val="00C53358"/>
    <w:rsid w:val="00C53EF7"/>
    <w:rsid w:val="00C54093"/>
    <w:rsid w:val="00C54C9B"/>
    <w:rsid w:val="00C56B34"/>
    <w:rsid w:val="00C56D5B"/>
    <w:rsid w:val="00C571E8"/>
    <w:rsid w:val="00C57850"/>
    <w:rsid w:val="00C579E0"/>
    <w:rsid w:val="00C57E94"/>
    <w:rsid w:val="00C61500"/>
    <w:rsid w:val="00C61650"/>
    <w:rsid w:val="00C62273"/>
    <w:rsid w:val="00C64D8A"/>
    <w:rsid w:val="00C64F64"/>
    <w:rsid w:val="00C6555A"/>
    <w:rsid w:val="00C66EBD"/>
    <w:rsid w:val="00C70336"/>
    <w:rsid w:val="00C719BC"/>
    <w:rsid w:val="00C75275"/>
    <w:rsid w:val="00C77878"/>
    <w:rsid w:val="00C80581"/>
    <w:rsid w:val="00C80740"/>
    <w:rsid w:val="00C81874"/>
    <w:rsid w:val="00C81D88"/>
    <w:rsid w:val="00C82144"/>
    <w:rsid w:val="00C8323A"/>
    <w:rsid w:val="00C835DE"/>
    <w:rsid w:val="00C8383F"/>
    <w:rsid w:val="00C853CA"/>
    <w:rsid w:val="00C8648A"/>
    <w:rsid w:val="00C947AF"/>
    <w:rsid w:val="00C947FF"/>
    <w:rsid w:val="00C95915"/>
    <w:rsid w:val="00C9591A"/>
    <w:rsid w:val="00C964A8"/>
    <w:rsid w:val="00C96FC3"/>
    <w:rsid w:val="00CA12B3"/>
    <w:rsid w:val="00CA1D7E"/>
    <w:rsid w:val="00CA292E"/>
    <w:rsid w:val="00CA2ABE"/>
    <w:rsid w:val="00CA2DEB"/>
    <w:rsid w:val="00CA3C1B"/>
    <w:rsid w:val="00CA3DF3"/>
    <w:rsid w:val="00CA528A"/>
    <w:rsid w:val="00CA58FD"/>
    <w:rsid w:val="00CA6411"/>
    <w:rsid w:val="00CA6C6B"/>
    <w:rsid w:val="00CA6EED"/>
    <w:rsid w:val="00CA7D28"/>
    <w:rsid w:val="00CB13B1"/>
    <w:rsid w:val="00CB1769"/>
    <w:rsid w:val="00CB1BAB"/>
    <w:rsid w:val="00CB2C4C"/>
    <w:rsid w:val="00CB42CA"/>
    <w:rsid w:val="00CB560D"/>
    <w:rsid w:val="00CB6823"/>
    <w:rsid w:val="00CC44D5"/>
    <w:rsid w:val="00CC4D3F"/>
    <w:rsid w:val="00CC6156"/>
    <w:rsid w:val="00CD1B42"/>
    <w:rsid w:val="00CD1EF5"/>
    <w:rsid w:val="00CD25BE"/>
    <w:rsid w:val="00CD2A3B"/>
    <w:rsid w:val="00CD2F5A"/>
    <w:rsid w:val="00CD42F1"/>
    <w:rsid w:val="00CD46E9"/>
    <w:rsid w:val="00CD589E"/>
    <w:rsid w:val="00CD6E17"/>
    <w:rsid w:val="00CE0749"/>
    <w:rsid w:val="00CE085E"/>
    <w:rsid w:val="00CE0DC9"/>
    <w:rsid w:val="00CE2A61"/>
    <w:rsid w:val="00CE3B0C"/>
    <w:rsid w:val="00CE3B5F"/>
    <w:rsid w:val="00CE4502"/>
    <w:rsid w:val="00CE480F"/>
    <w:rsid w:val="00CE5991"/>
    <w:rsid w:val="00CE5F5E"/>
    <w:rsid w:val="00CE6E94"/>
    <w:rsid w:val="00CE74BE"/>
    <w:rsid w:val="00CE77A3"/>
    <w:rsid w:val="00CF1EFA"/>
    <w:rsid w:val="00CF2B1D"/>
    <w:rsid w:val="00CF3ED1"/>
    <w:rsid w:val="00CF5CB7"/>
    <w:rsid w:val="00CF769B"/>
    <w:rsid w:val="00CF7E2E"/>
    <w:rsid w:val="00D00505"/>
    <w:rsid w:val="00D00762"/>
    <w:rsid w:val="00D025B7"/>
    <w:rsid w:val="00D0262D"/>
    <w:rsid w:val="00D0592A"/>
    <w:rsid w:val="00D05DAC"/>
    <w:rsid w:val="00D06041"/>
    <w:rsid w:val="00D061BA"/>
    <w:rsid w:val="00D0665E"/>
    <w:rsid w:val="00D11B4C"/>
    <w:rsid w:val="00D11F27"/>
    <w:rsid w:val="00D11F61"/>
    <w:rsid w:val="00D13175"/>
    <w:rsid w:val="00D131C8"/>
    <w:rsid w:val="00D143FE"/>
    <w:rsid w:val="00D14D5A"/>
    <w:rsid w:val="00D15D2A"/>
    <w:rsid w:val="00D212C5"/>
    <w:rsid w:val="00D22245"/>
    <w:rsid w:val="00D232DD"/>
    <w:rsid w:val="00D252BD"/>
    <w:rsid w:val="00D3024A"/>
    <w:rsid w:val="00D30537"/>
    <w:rsid w:val="00D30F91"/>
    <w:rsid w:val="00D319CE"/>
    <w:rsid w:val="00D32A02"/>
    <w:rsid w:val="00D336D9"/>
    <w:rsid w:val="00D36455"/>
    <w:rsid w:val="00D371E0"/>
    <w:rsid w:val="00D37BA4"/>
    <w:rsid w:val="00D40063"/>
    <w:rsid w:val="00D40411"/>
    <w:rsid w:val="00D4113A"/>
    <w:rsid w:val="00D41813"/>
    <w:rsid w:val="00D429C0"/>
    <w:rsid w:val="00D46728"/>
    <w:rsid w:val="00D46849"/>
    <w:rsid w:val="00D47D87"/>
    <w:rsid w:val="00D47E53"/>
    <w:rsid w:val="00D51F7C"/>
    <w:rsid w:val="00D52550"/>
    <w:rsid w:val="00D53CDB"/>
    <w:rsid w:val="00D540CE"/>
    <w:rsid w:val="00D54BEC"/>
    <w:rsid w:val="00D55CF4"/>
    <w:rsid w:val="00D566F1"/>
    <w:rsid w:val="00D567A6"/>
    <w:rsid w:val="00D573AA"/>
    <w:rsid w:val="00D604F4"/>
    <w:rsid w:val="00D630C8"/>
    <w:rsid w:val="00D6644A"/>
    <w:rsid w:val="00D70BBE"/>
    <w:rsid w:val="00D71D52"/>
    <w:rsid w:val="00D73BB9"/>
    <w:rsid w:val="00D74333"/>
    <w:rsid w:val="00D761B0"/>
    <w:rsid w:val="00D76B8C"/>
    <w:rsid w:val="00D80698"/>
    <w:rsid w:val="00D80ED7"/>
    <w:rsid w:val="00D81081"/>
    <w:rsid w:val="00D825E5"/>
    <w:rsid w:val="00D85BE4"/>
    <w:rsid w:val="00D86838"/>
    <w:rsid w:val="00D86E2C"/>
    <w:rsid w:val="00D86F5B"/>
    <w:rsid w:val="00D8767F"/>
    <w:rsid w:val="00D92414"/>
    <w:rsid w:val="00D9286A"/>
    <w:rsid w:val="00D942EA"/>
    <w:rsid w:val="00D956B4"/>
    <w:rsid w:val="00D964BE"/>
    <w:rsid w:val="00D97244"/>
    <w:rsid w:val="00DA15D7"/>
    <w:rsid w:val="00DA1DB5"/>
    <w:rsid w:val="00DA355E"/>
    <w:rsid w:val="00DA3684"/>
    <w:rsid w:val="00DA5967"/>
    <w:rsid w:val="00DA5B49"/>
    <w:rsid w:val="00DA5DFD"/>
    <w:rsid w:val="00DA61BE"/>
    <w:rsid w:val="00DA6669"/>
    <w:rsid w:val="00DA7CA9"/>
    <w:rsid w:val="00DB062C"/>
    <w:rsid w:val="00DB09F5"/>
    <w:rsid w:val="00DB30E9"/>
    <w:rsid w:val="00DB3921"/>
    <w:rsid w:val="00DC02D7"/>
    <w:rsid w:val="00DC04DA"/>
    <w:rsid w:val="00DC06F7"/>
    <w:rsid w:val="00DC1F60"/>
    <w:rsid w:val="00DC3256"/>
    <w:rsid w:val="00DC692F"/>
    <w:rsid w:val="00DC7041"/>
    <w:rsid w:val="00DC766B"/>
    <w:rsid w:val="00DD402E"/>
    <w:rsid w:val="00DD4F53"/>
    <w:rsid w:val="00DD65DC"/>
    <w:rsid w:val="00DE09C6"/>
    <w:rsid w:val="00DE159C"/>
    <w:rsid w:val="00DE242F"/>
    <w:rsid w:val="00DE2D86"/>
    <w:rsid w:val="00DE3139"/>
    <w:rsid w:val="00DE414D"/>
    <w:rsid w:val="00DF106F"/>
    <w:rsid w:val="00DF191B"/>
    <w:rsid w:val="00DF3395"/>
    <w:rsid w:val="00DF346C"/>
    <w:rsid w:val="00DF3F92"/>
    <w:rsid w:val="00DF53A8"/>
    <w:rsid w:val="00DF62EA"/>
    <w:rsid w:val="00DF6F9B"/>
    <w:rsid w:val="00E00603"/>
    <w:rsid w:val="00E0085E"/>
    <w:rsid w:val="00E03DD0"/>
    <w:rsid w:val="00E0514F"/>
    <w:rsid w:val="00E0582E"/>
    <w:rsid w:val="00E06CDD"/>
    <w:rsid w:val="00E06FE7"/>
    <w:rsid w:val="00E0777F"/>
    <w:rsid w:val="00E12714"/>
    <w:rsid w:val="00E12AD6"/>
    <w:rsid w:val="00E136DC"/>
    <w:rsid w:val="00E1439F"/>
    <w:rsid w:val="00E1649F"/>
    <w:rsid w:val="00E21435"/>
    <w:rsid w:val="00E217D9"/>
    <w:rsid w:val="00E21883"/>
    <w:rsid w:val="00E22FF8"/>
    <w:rsid w:val="00E230E8"/>
    <w:rsid w:val="00E25B60"/>
    <w:rsid w:val="00E309A7"/>
    <w:rsid w:val="00E321A6"/>
    <w:rsid w:val="00E3305C"/>
    <w:rsid w:val="00E33DC1"/>
    <w:rsid w:val="00E364EE"/>
    <w:rsid w:val="00E365EA"/>
    <w:rsid w:val="00E429A8"/>
    <w:rsid w:val="00E441EF"/>
    <w:rsid w:val="00E443F9"/>
    <w:rsid w:val="00E4451C"/>
    <w:rsid w:val="00E451C0"/>
    <w:rsid w:val="00E45315"/>
    <w:rsid w:val="00E47FE6"/>
    <w:rsid w:val="00E51037"/>
    <w:rsid w:val="00E519EC"/>
    <w:rsid w:val="00E51F3A"/>
    <w:rsid w:val="00E52ADB"/>
    <w:rsid w:val="00E54AC5"/>
    <w:rsid w:val="00E563EC"/>
    <w:rsid w:val="00E56EF7"/>
    <w:rsid w:val="00E63119"/>
    <w:rsid w:val="00E638BE"/>
    <w:rsid w:val="00E63993"/>
    <w:rsid w:val="00E64728"/>
    <w:rsid w:val="00E65358"/>
    <w:rsid w:val="00E6561D"/>
    <w:rsid w:val="00E67E30"/>
    <w:rsid w:val="00E67F06"/>
    <w:rsid w:val="00E70E69"/>
    <w:rsid w:val="00E71E06"/>
    <w:rsid w:val="00E71F36"/>
    <w:rsid w:val="00E7268E"/>
    <w:rsid w:val="00E736C6"/>
    <w:rsid w:val="00E74F4D"/>
    <w:rsid w:val="00E75247"/>
    <w:rsid w:val="00E75328"/>
    <w:rsid w:val="00E76EBB"/>
    <w:rsid w:val="00E7735C"/>
    <w:rsid w:val="00E80126"/>
    <w:rsid w:val="00E81078"/>
    <w:rsid w:val="00E815C9"/>
    <w:rsid w:val="00E829ED"/>
    <w:rsid w:val="00E85FF2"/>
    <w:rsid w:val="00E879F4"/>
    <w:rsid w:val="00E87DEC"/>
    <w:rsid w:val="00E90973"/>
    <w:rsid w:val="00E923EC"/>
    <w:rsid w:val="00E93B0A"/>
    <w:rsid w:val="00E93F99"/>
    <w:rsid w:val="00E94294"/>
    <w:rsid w:val="00E97F4B"/>
    <w:rsid w:val="00EA1AC6"/>
    <w:rsid w:val="00EA2467"/>
    <w:rsid w:val="00EA27F8"/>
    <w:rsid w:val="00EA2F40"/>
    <w:rsid w:val="00EA467B"/>
    <w:rsid w:val="00EA5C9B"/>
    <w:rsid w:val="00EA6784"/>
    <w:rsid w:val="00EA7F22"/>
    <w:rsid w:val="00EB0876"/>
    <w:rsid w:val="00EB10CA"/>
    <w:rsid w:val="00EB244B"/>
    <w:rsid w:val="00EB3586"/>
    <w:rsid w:val="00EB506A"/>
    <w:rsid w:val="00EB52F7"/>
    <w:rsid w:val="00EB5870"/>
    <w:rsid w:val="00EB5DC1"/>
    <w:rsid w:val="00EB68BF"/>
    <w:rsid w:val="00EB77AA"/>
    <w:rsid w:val="00EB783B"/>
    <w:rsid w:val="00EC0677"/>
    <w:rsid w:val="00EC1343"/>
    <w:rsid w:val="00EC25DC"/>
    <w:rsid w:val="00EC30E5"/>
    <w:rsid w:val="00EC4CBD"/>
    <w:rsid w:val="00EC797E"/>
    <w:rsid w:val="00ED1714"/>
    <w:rsid w:val="00ED3972"/>
    <w:rsid w:val="00ED3FBA"/>
    <w:rsid w:val="00ED6964"/>
    <w:rsid w:val="00EE02E4"/>
    <w:rsid w:val="00EE1530"/>
    <w:rsid w:val="00EE3254"/>
    <w:rsid w:val="00EE3358"/>
    <w:rsid w:val="00EE33B2"/>
    <w:rsid w:val="00EE3833"/>
    <w:rsid w:val="00EE55F3"/>
    <w:rsid w:val="00EF05C9"/>
    <w:rsid w:val="00EF07C5"/>
    <w:rsid w:val="00EF0A26"/>
    <w:rsid w:val="00EF1B0D"/>
    <w:rsid w:val="00EF1E70"/>
    <w:rsid w:val="00EF2628"/>
    <w:rsid w:val="00EF2797"/>
    <w:rsid w:val="00EF3739"/>
    <w:rsid w:val="00EF42B4"/>
    <w:rsid w:val="00EF515A"/>
    <w:rsid w:val="00EF52FC"/>
    <w:rsid w:val="00EF7DFD"/>
    <w:rsid w:val="00F00EDD"/>
    <w:rsid w:val="00F011DD"/>
    <w:rsid w:val="00F01F74"/>
    <w:rsid w:val="00F0230F"/>
    <w:rsid w:val="00F03BE4"/>
    <w:rsid w:val="00F03CAF"/>
    <w:rsid w:val="00F05127"/>
    <w:rsid w:val="00F06418"/>
    <w:rsid w:val="00F06FD5"/>
    <w:rsid w:val="00F12203"/>
    <w:rsid w:val="00F127F2"/>
    <w:rsid w:val="00F12912"/>
    <w:rsid w:val="00F13618"/>
    <w:rsid w:val="00F13A2B"/>
    <w:rsid w:val="00F13CB1"/>
    <w:rsid w:val="00F1461F"/>
    <w:rsid w:val="00F15CED"/>
    <w:rsid w:val="00F1669A"/>
    <w:rsid w:val="00F2287B"/>
    <w:rsid w:val="00F23C6B"/>
    <w:rsid w:val="00F23C6C"/>
    <w:rsid w:val="00F26019"/>
    <w:rsid w:val="00F305D7"/>
    <w:rsid w:val="00F318FE"/>
    <w:rsid w:val="00F32B7F"/>
    <w:rsid w:val="00F32C51"/>
    <w:rsid w:val="00F33AD4"/>
    <w:rsid w:val="00F34F7F"/>
    <w:rsid w:val="00F35F84"/>
    <w:rsid w:val="00F418DC"/>
    <w:rsid w:val="00F41FD8"/>
    <w:rsid w:val="00F420F2"/>
    <w:rsid w:val="00F422C2"/>
    <w:rsid w:val="00F4257A"/>
    <w:rsid w:val="00F4317A"/>
    <w:rsid w:val="00F4397A"/>
    <w:rsid w:val="00F43D3E"/>
    <w:rsid w:val="00F44B5B"/>
    <w:rsid w:val="00F46314"/>
    <w:rsid w:val="00F46BB4"/>
    <w:rsid w:val="00F51365"/>
    <w:rsid w:val="00F51E2A"/>
    <w:rsid w:val="00F536CA"/>
    <w:rsid w:val="00F54253"/>
    <w:rsid w:val="00F57B21"/>
    <w:rsid w:val="00F61589"/>
    <w:rsid w:val="00F629F3"/>
    <w:rsid w:val="00F6300E"/>
    <w:rsid w:val="00F64265"/>
    <w:rsid w:val="00F66C7C"/>
    <w:rsid w:val="00F66FD7"/>
    <w:rsid w:val="00F67504"/>
    <w:rsid w:val="00F7038E"/>
    <w:rsid w:val="00F74C43"/>
    <w:rsid w:val="00F74F8D"/>
    <w:rsid w:val="00F750AF"/>
    <w:rsid w:val="00F7571B"/>
    <w:rsid w:val="00F762D4"/>
    <w:rsid w:val="00F77B1D"/>
    <w:rsid w:val="00F8106B"/>
    <w:rsid w:val="00F822CF"/>
    <w:rsid w:val="00F832E3"/>
    <w:rsid w:val="00F83D2F"/>
    <w:rsid w:val="00F85169"/>
    <w:rsid w:val="00F874B8"/>
    <w:rsid w:val="00F92BC3"/>
    <w:rsid w:val="00F92D46"/>
    <w:rsid w:val="00F96075"/>
    <w:rsid w:val="00F96203"/>
    <w:rsid w:val="00F97618"/>
    <w:rsid w:val="00F97976"/>
    <w:rsid w:val="00FA3160"/>
    <w:rsid w:val="00FA3213"/>
    <w:rsid w:val="00FA3460"/>
    <w:rsid w:val="00FA3EE7"/>
    <w:rsid w:val="00FA5482"/>
    <w:rsid w:val="00FA7AE0"/>
    <w:rsid w:val="00FB088A"/>
    <w:rsid w:val="00FB0ECC"/>
    <w:rsid w:val="00FB3763"/>
    <w:rsid w:val="00FB4699"/>
    <w:rsid w:val="00FB5768"/>
    <w:rsid w:val="00FB7421"/>
    <w:rsid w:val="00FB79B1"/>
    <w:rsid w:val="00FC03D8"/>
    <w:rsid w:val="00FC104D"/>
    <w:rsid w:val="00FC1C75"/>
    <w:rsid w:val="00FC2CE7"/>
    <w:rsid w:val="00FC3F5A"/>
    <w:rsid w:val="00FC4E85"/>
    <w:rsid w:val="00FC4F66"/>
    <w:rsid w:val="00FC6A53"/>
    <w:rsid w:val="00FC6A91"/>
    <w:rsid w:val="00FC7366"/>
    <w:rsid w:val="00FC762E"/>
    <w:rsid w:val="00FD3C98"/>
    <w:rsid w:val="00FD4838"/>
    <w:rsid w:val="00FD54E8"/>
    <w:rsid w:val="00FD553B"/>
    <w:rsid w:val="00FD566A"/>
    <w:rsid w:val="00FD6B06"/>
    <w:rsid w:val="00FD6D5B"/>
    <w:rsid w:val="00FD76B2"/>
    <w:rsid w:val="00FD7709"/>
    <w:rsid w:val="00FD790F"/>
    <w:rsid w:val="00FE141A"/>
    <w:rsid w:val="00FE2CC7"/>
    <w:rsid w:val="00FE502B"/>
    <w:rsid w:val="00FE57BA"/>
    <w:rsid w:val="00FE5A63"/>
    <w:rsid w:val="00FE5C50"/>
    <w:rsid w:val="00FE60C5"/>
    <w:rsid w:val="00FE670B"/>
    <w:rsid w:val="00FF235B"/>
    <w:rsid w:val="00FF2744"/>
    <w:rsid w:val="00FF3F4C"/>
    <w:rsid w:val="00FF51C6"/>
    <w:rsid w:val="00F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7D0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70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986"/>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CA292E"/>
    <w:rPr>
      <w:sz w:val="18"/>
      <w:szCs w:val="18"/>
    </w:rPr>
  </w:style>
  <w:style w:type="paragraph" w:styleId="CommentText">
    <w:name w:val="annotation text"/>
    <w:basedOn w:val="Normal"/>
    <w:link w:val="CommentTextChar"/>
    <w:uiPriority w:val="99"/>
    <w:semiHidden/>
    <w:unhideWhenUsed/>
    <w:rsid w:val="00CA292E"/>
    <w:rPr>
      <w:rFonts w:asciiTheme="minorHAnsi" w:hAnsiTheme="minorHAnsi" w:cstheme="minorBidi"/>
    </w:rPr>
  </w:style>
  <w:style w:type="character" w:customStyle="1" w:styleId="CommentTextChar">
    <w:name w:val="Comment Text Char"/>
    <w:basedOn w:val="DefaultParagraphFont"/>
    <w:link w:val="CommentText"/>
    <w:uiPriority w:val="99"/>
    <w:semiHidden/>
    <w:rsid w:val="00CA292E"/>
  </w:style>
  <w:style w:type="paragraph" w:styleId="FootnoteText">
    <w:name w:val="footnote text"/>
    <w:basedOn w:val="Normal"/>
    <w:link w:val="FootnoteTextChar"/>
    <w:uiPriority w:val="99"/>
    <w:unhideWhenUsed/>
    <w:rsid w:val="00CA292E"/>
    <w:rPr>
      <w:rFonts w:asciiTheme="minorHAnsi" w:hAnsiTheme="minorHAnsi" w:cstheme="minorBidi"/>
    </w:rPr>
  </w:style>
  <w:style w:type="character" w:customStyle="1" w:styleId="FootnoteTextChar">
    <w:name w:val="Footnote Text Char"/>
    <w:basedOn w:val="DefaultParagraphFont"/>
    <w:link w:val="FootnoteText"/>
    <w:uiPriority w:val="99"/>
    <w:rsid w:val="00CA292E"/>
  </w:style>
  <w:style w:type="character" w:styleId="FootnoteReference">
    <w:name w:val="footnote reference"/>
    <w:basedOn w:val="DefaultParagraphFont"/>
    <w:uiPriority w:val="99"/>
    <w:unhideWhenUsed/>
    <w:rsid w:val="00CA292E"/>
    <w:rPr>
      <w:vertAlign w:val="superscript"/>
    </w:rPr>
  </w:style>
  <w:style w:type="paragraph" w:styleId="BalloonText">
    <w:name w:val="Balloon Text"/>
    <w:basedOn w:val="Normal"/>
    <w:link w:val="BalloonTextChar"/>
    <w:uiPriority w:val="99"/>
    <w:semiHidden/>
    <w:unhideWhenUsed/>
    <w:rsid w:val="00CA292E"/>
    <w:rPr>
      <w:sz w:val="18"/>
      <w:szCs w:val="18"/>
    </w:rPr>
  </w:style>
  <w:style w:type="character" w:customStyle="1" w:styleId="BalloonTextChar">
    <w:name w:val="Balloon Text Char"/>
    <w:basedOn w:val="DefaultParagraphFont"/>
    <w:link w:val="BalloonText"/>
    <w:uiPriority w:val="99"/>
    <w:semiHidden/>
    <w:rsid w:val="00CA292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927DB"/>
    <w:rPr>
      <w:b/>
      <w:bCs/>
      <w:sz w:val="20"/>
      <w:szCs w:val="20"/>
    </w:rPr>
  </w:style>
  <w:style w:type="character" w:customStyle="1" w:styleId="CommentSubjectChar">
    <w:name w:val="Comment Subject Char"/>
    <w:basedOn w:val="CommentTextChar"/>
    <w:link w:val="CommentSubject"/>
    <w:uiPriority w:val="99"/>
    <w:semiHidden/>
    <w:rsid w:val="000927DB"/>
    <w:rPr>
      <w:b/>
      <w:bCs/>
      <w:sz w:val="20"/>
      <w:szCs w:val="20"/>
    </w:rPr>
  </w:style>
  <w:style w:type="paragraph" w:styleId="DocumentMap">
    <w:name w:val="Document Map"/>
    <w:basedOn w:val="Normal"/>
    <w:link w:val="DocumentMapChar"/>
    <w:uiPriority w:val="99"/>
    <w:semiHidden/>
    <w:unhideWhenUsed/>
    <w:rsid w:val="002A6FB2"/>
  </w:style>
  <w:style w:type="character" w:customStyle="1" w:styleId="DocumentMapChar">
    <w:name w:val="Document Map Char"/>
    <w:basedOn w:val="DefaultParagraphFont"/>
    <w:link w:val="DocumentMap"/>
    <w:uiPriority w:val="99"/>
    <w:semiHidden/>
    <w:rsid w:val="002A6FB2"/>
    <w:rPr>
      <w:rFonts w:ascii="Times New Roman" w:hAnsi="Times New Roman" w:cs="Times New Roman"/>
    </w:rPr>
  </w:style>
  <w:style w:type="paragraph" w:styleId="NormalWeb">
    <w:name w:val="Normal (Web)"/>
    <w:basedOn w:val="Normal"/>
    <w:uiPriority w:val="99"/>
    <w:unhideWhenUsed/>
    <w:rsid w:val="00EF42B4"/>
    <w:pPr>
      <w:spacing w:before="100" w:beforeAutospacing="1" w:after="100" w:afterAutospacing="1"/>
    </w:pPr>
  </w:style>
  <w:style w:type="paragraph" w:styleId="Footer">
    <w:name w:val="footer"/>
    <w:basedOn w:val="Normal"/>
    <w:link w:val="FooterChar"/>
    <w:uiPriority w:val="99"/>
    <w:unhideWhenUsed/>
    <w:rsid w:val="00C579E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C579E0"/>
  </w:style>
  <w:style w:type="character" w:styleId="PageNumber">
    <w:name w:val="page number"/>
    <w:basedOn w:val="DefaultParagraphFont"/>
    <w:uiPriority w:val="99"/>
    <w:semiHidden/>
    <w:unhideWhenUsed/>
    <w:rsid w:val="00C579E0"/>
  </w:style>
  <w:style w:type="paragraph" w:styleId="Header">
    <w:name w:val="header"/>
    <w:basedOn w:val="Normal"/>
    <w:link w:val="HeaderChar"/>
    <w:uiPriority w:val="99"/>
    <w:unhideWhenUsed/>
    <w:rsid w:val="00C579E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579E0"/>
  </w:style>
  <w:style w:type="paragraph" w:styleId="EndnoteText">
    <w:name w:val="endnote text"/>
    <w:basedOn w:val="Normal"/>
    <w:link w:val="EndnoteTextChar"/>
    <w:uiPriority w:val="99"/>
    <w:unhideWhenUsed/>
    <w:rsid w:val="000C5B86"/>
    <w:rPr>
      <w:rFonts w:asciiTheme="minorHAnsi" w:hAnsiTheme="minorHAnsi" w:cstheme="minorBidi"/>
    </w:rPr>
  </w:style>
  <w:style w:type="character" w:customStyle="1" w:styleId="EndnoteTextChar">
    <w:name w:val="Endnote Text Char"/>
    <w:basedOn w:val="DefaultParagraphFont"/>
    <w:link w:val="EndnoteText"/>
    <w:uiPriority w:val="99"/>
    <w:rsid w:val="000C5B86"/>
  </w:style>
  <w:style w:type="table" w:styleId="TableGrid">
    <w:name w:val="Table Grid"/>
    <w:basedOn w:val="TableNormal"/>
    <w:uiPriority w:val="39"/>
    <w:rsid w:val="00A66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B087B"/>
  </w:style>
  <w:style w:type="paragraph" w:styleId="Bibliography">
    <w:name w:val="Bibliography"/>
    <w:basedOn w:val="Normal"/>
    <w:next w:val="Normal"/>
    <w:uiPriority w:val="37"/>
    <w:unhideWhenUsed/>
    <w:rsid w:val="00EB0876"/>
    <w:rPr>
      <w:rFonts w:asciiTheme="minorHAnsi" w:hAnsiTheme="minorHAnsi" w:cstheme="minorBidi"/>
    </w:rPr>
  </w:style>
  <w:style w:type="character" w:styleId="Hyperlink">
    <w:name w:val="Hyperlink"/>
    <w:basedOn w:val="DefaultParagraphFont"/>
    <w:uiPriority w:val="99"/>
    <w:unhideWhenUsed/>
    <w:rsid w:val="00993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1026">
      <w:bodyDiv w:val="1"/>
      <w:marLeft w:val="0"/>
      <w:marRight w:val="0"/>
      <w:marTop w:val="0"/>
      <w:marBottom w:val="0"/>
      <w:divBdr>
        <w:top w:val="none" w:sz="0" w:space="0" w:color="auto"/>
        <w:left w:val="none" w:sz="0" w:space="0" w:color="auto"/>
        <w:bottom w:val="none" w:sz="0" w:space="0" w:color="auto"/>
        <w:right w:val="none" w:sz="0" w:space="0" w:color="auto"/>
      </w:divBdr>
    </w:div>
    <w:div w:id="160703568">
      <w:bodyDiv w:val="1"/>
      <w:marLeft w:val="0"/>
      <w:marRight w:val="0"/>
      <w:marTop w:val="0"/>
      <w:marBottom w:val="0"/>
      <w:divBdr>
        <w:top w:val="none" w:sz="0" w:space="0" w:color="auto"/>
        <w:left w:val="none" w:sz="0" w:space="0" w:color="auto"/>
        <w:bottom w:val="none" w:sz="0" w:space="0" w:color="auto"/>
        <w:right w:val="none" w:sz="0" w:space="0" w:color="auto"/>
      </w:divBdr>
      <w:divsChild>
        <w:div w:id="847986589">
          <w:marLeft w:val="0"/>
          <w:marRight w:val="0"/>
          <w:marTop w:val="0"/>
          <w:marBottom w:val="0"/>
          <w:divBdr>
            <w:top w:val="none" w:sz="0" w:space="0" w:color="auto"/>
            <w:left w:val="none" w:sz="0" w:space="0" w:color="auto"/>
            <w:bottom w:val="none" w:sz="0" w:space="0" w:color="auto"/>
            <w:right w:val="none" w:sz="0" w:space="0" w:color="auto"/>
          </w:divBdr>
          <w:divsChild>
            <w:div w:id="114257966">
              <w:marLeft w:val="0"/>
              <w:marRight w:val="0"/>
              <w:marTop w:val="0"/>
              <w:marBottom w:val="0"/>
              <w:divBdr>
                <w:top w:val="none" w:sz="0" w:space="0" w:color="auto"/>
                <w:left w:val="none" w:sz="0" w:space="0" w:color="auto"/>
                <w:bottom w:val="none" w:sz="0" w:space="0" w:color="auto"/>
                <w:right w:val="none" w:sz="0" w:space="0" w:color="auto"/>
              </w:divBdr>
              <w:divsChild>
                <w:div w:id="7482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2271">
      <w:bodyDiv w:val="1"/>
      <w:marLeft w:val="0"/>
      <w:marRight w:val="0"/>
      <w:marTop w:val="0"/>
      <w:marBottom w:val="0"/>
      <w:divBdr>
        <w:top w:val="none" w:sz="0" w:space="0" w:color="auto"/>
        <w:left w:val="none" w:sz="0" w:space="0" w:color="auto"/>
        <w:bottom w:val="none" w:sz="0" w:space="0" w:color="auto"/>
        <w:right w:val="none" w:sz="0" w:space="0" w:color="auto"/>
      </w:divBdr>
      <w:divsChild>
        <w:div w:id="2127892221">
          <w:marLeft w:val="0"/>
          <w:marRight w:val="0"/>
          <w:marTop w:val="0"/>
          <w:marBottom w:val="0"/>
          <w:divBdr>
            <w:top w:val="none" w:sz="0" w:space="0" w:color="auto"/>
            <w:left w:val="none" w:sz="0" w:space="0" w:color="auto"/>
            <w:bottom w:val="none" w:sz="0" w:space="0" w:color="auto"/>
            <w:right w:val="none" w:sz="0" w:space="0" w:color="auto"/>
          </w:divBdr>
          <w:divsChild>
            <w:div w:id="1114859624">
              <w:marLeft w:val="0"/>
              <w:marRight w:val="0"/>
              <w:marTop w:val="0"/>
              <w:marBottom w:val="0"/>
              <w:divBdr>
                <w:top w:val="none" w:sz="0" w:space="0" w:color="auto"/>
                <w:left w:val="none" w:sz="0" w:space="0" w:color="auto"/>
                <w:bottom w:val="none" w:sz="0" w:space="0" w:color="auto"/>
                <w:right w:val="none" w:sz="0" w:space="0" w:color="auto"/>
              </w:divBdr>
              <w:divsChild>
                <w:div w:id="6858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4982">
      <w:bodyDiv w:val="1"/>
      <w:marLeft w:val="0"/>
      <w:marRight w:val="0"/>
      <w:marTop w:val="0"/>
      <w:marBottom w:val="0"/>
      <w:divBdr>
        <w:top w:val="none" w:sz="0" w:space="0" w:color="auto"/>
        <w:left w:val="none" w:sz="0" w:space="0" w:color="auto"/>
        <w:bottom w:val="none" w:sz="0" w:space="0" w:color="auto"/>
        <w:right w:val="none" w:sz="0" w:space="0" w:color="auto"/>
      </w:divBdr>
    </w:div>
    <w:div w:id="864445539">
      <w:bodyDiv w:val="1"/>
      <w:marLeft w:val="0"/>
      <w:marRight w:val="0"/>
      <w:marTop w:val="0"/>
      <w:marBottom w:val="0"/>
      <w:divBdr>
        <w:top w:val="none" w:sz="0" w:space="0" w:color="auto"/>
        <w:left w:val="none" w:sz="0" w:space="0" w:color="auto"/>
        <w:bottom w:val="none" w:sz="0" w:space="0" w:color="auto"/>
        <w:right w:val="none" w:sz="0" w:space="0" w:color="auto"/>
      </w:divBdr>
    </w:div>
    <w:div w:id="1247377427">
      <w:bodyDiv w:val="1"/>
      <w:marLeft w:val="0"/>
      <w:marRight w:val="0"/>
      <w:marTop w:val="0"/>
      <w:marBottom w:val="0"/>
      <w:divBdr>
        <w:top w:val="none" w:sz="0" w:space="0" w:color="auto"/>
        <w:left w:val="none" w:sz="0" w:space="0" w:color="auto"/>
        <w:bottom w:val="none" w:sz="0" w:space="0" w:color="auto"/>
        <w:right w:val="none" w:sz="0" w:space="0" w:color="auto"/>
      </w:divBdr>
      <w:divsChild>
        <w:div w:id="1981614810">
          <w:marLeft w:val="0"/>
          <w:marRight w:val="0"/>
          <w:marTop w:val="0"/>
          <w:marBottom w:val="0"/>
          <w:divBdr>
            <w:top w:val="none" w:sz="0" w:space="0" w:color="auto"/>
            <w:left w:val="none" w:sz="0" w:space="0" w:color="auto"/>
            <w:bottom w:val="none" w:sz="0" w:space="0" w:color="auto"/>
            <w:right w:val="none" w:sz="0" w:space="0" w:color="auto"/>
          </w:divBdr>
          <w:divsChild>
            <w:div w:id="699401042">
              <w:marLeft w:val="0"/>
              <w:marRight w:val="0"/>
              <w:marTop w:val="0"/>
              <w:marBottom w:val="0"/>
              <w:divBdr>
                <w:top w:val="none" w:sz="0" w:space="0" w:color="auto"/>
                <w:left w:val="none" w:sz="0" w:space="0" w:color="auto"/>
                <w:bottom w:val="none" w:sz="0" w:space="0" w:color="auto"/>
                <w:right w:val="none" w:sz="0" w:space="0" w:color="auto"/>
              </w:divBdr>
              <w:divsChild>
                <w:div w:id="202253221">
                  <w:marLeft w:val="0"/>
                  <w:marRight w:val="0"/>
                  <w:marTop w:val="0"/>
                  <w:marBottom w:val="0"/>
                  <w:divBdr>
                    <w:top w:val="none" w:sz="0" w:space="0" w:color="auto"/>
                    <w:left w:val="none" w:sz="0" w:space="0" w:color="auto"/>
                    <w:bottom w:val="none" w:sz="0" w:space="0" w:color="auto"/>
                    <w:right w:val="none" w:sz="0" w:space="0" w:color="auto"/>
                  </w:divBdr>
                  <w:divsChild>
                    <w:div w:id="381366319">
                      <w:marLeft w:val="0"/>
                      <w:marRight w:val="0"/>
                      <w:marTop w:val="0"/>
                      <w:marBottom w:val="0"/>
                      <w:divBdr>
                        <w:top w:val="none" w:sz="0" w:space="0" w:color="auto"/>
                        <w:left w:val="none" w:sz="0" w:space="0" w:color="auto"/>
                        <w:bottom w:val="none" w:sz="0" w:space="0" w:color="auto"/>
                        <w:right w:val="none" w:sz="0" w:space="0" w:color="auto"/>
                      </w:divBdr>
                    </w:div>
                  </w:divsChild>
                </w:div>
                <w:div w:id="266431863">
                  <w:marLeft w:val="0"/>
                  <w:marRight w:val="0"/>
                  <w:marTop w:val="0"/>
                  <w:marBottom w:val="0"/>
                  <w:divBdr>
                    <w:top w:val="none" w:sz="0" w:space="0" w:color="auto"/>
                    <w:left w:val="none" w:sz="0" w:space="0" w:color="auto"/>
                    <w:bottom w:val="none" w:sz="0" w:space="0" w:color="auto"/>
                    <w:right w:val="none" w:sz="0" w:space="0" w:color="auto"/>
                  </w:divBdr>
                  <w:divsChild>
                    <w:div w:id="308634294">
                      <w:marLeft w:val="0"/>
                      <w:marRight w:val="0"/>
                      <w:marTop w:val="0"/>
                      <w:marBottom w:val="0"/>
                      <w:divBdr>
                        <w:top w:val="none" w:sz="0" w:space="0" w:color="auto"/>
                        <w:left w:val="none" w:sz="0" w:space="0" w:color="auto"/>
                        <w:bottom w:val="none" w:sz="0" w:space="0" w:color="auto"/>
                        <w:right w:val="none" w:sz="0" w:space="0" w:color="auto"/>
                      </w:divBdr>
                    </w:div>
                  </w:divsChild>
                </w:div>
                <w:div w:id="327176576">
                  <w:marLeft w:val="0"/>
                  <w:marRight w:val="0"/>
                  <w:marTop w:val="0"/>
                  <w:marBottom w:val="0"/>
                  <w:divBdr>
                    <w:top w:val="none" w:sz="0" w:space="0" w:color="auto"/>
                    <w:left w:val="none" w:sz="0" w:space="0" w:color="auto"/>
                    <w:bottom w:val="none" w:sz="0" w:space="0" w:color="auto"/>
                    <w:right w:val="none" w:sz="0" w:space="0" w:color="auto"/>
                  </w:divBdr>
                  <w:divsChild>
                    <w:div w:id="171534227">
                      <w:marLeft w:val="0"/>
                      <w:marRight w:val="0"/>
                      <w:marTop w:val="0"/>
                      <w:marBottom w:val="0"/>
                      <w:divBdr>
                        <w:top w:val="none" w:sz="0" w:space="0" w:color="auto"/>
                        <w:left w:val="none" w:sz="0" w:space="0" w:color="auto"/>
                        <w:bottom w:val="none" w:sz="0" w:space="0" w:color="auto"/>
                        <w:right w:val="none" w:sz="0" w:space="0" w:color="auto"/>
                      </w:divBdr>
                    </w:div>
                  </w:divsChild>
                </w:div>
                <w:div w:id="484051454">
                  <w:marLeft w:val="0"/>
                  <w:marRight w:val="0"/>
                  <w:marTop w:val="0"/>
                  <w:marBottom w:val="0"/>
                  <w:divBdr>
                    <w:top w:val="none" w:sz="0" w:space="0" w:color="auto"/>
                    <w:left w:val="none" w:sz="0" w:space="0" w:color="auto"/>
                    <w:bottom w:val="none" w:sz="0" w:space="0" w:color="auto"/>
                    <w:right w:val="none" w:sz="0" w:space="0" w:color="auto"/>
                  </w:divBdr>
                  <w:divsChild>
                    <w:div w:id="193082255">
                      <w:marLeft w:val="0"/>
                      <w:marRight w:val="0"/>
                      <w:marTop w:val="0"/>
                      <w:marBottom w:val="0"/>
                      <w:divBdr>
                        <w:top w:val="none" w:sz="0" w:space="0" w:color="auto"/>
                        <w:left w:val="none" w:sz="0" w:space="0" w:color="auto"/>
                        <w:bottom w:val="none" w:sz="0" w:space="0" w:color="auto"/>
                        <w:right w:val="none" w:sz="0" w:space="0" w:color="auto"/>
                      </w:divBdr>
                    </w:div>
                  </w:divsChild>
                </w:div>
                <w:div w:id="505946483">
                  <w:marLeft w:val="0"/>
                  <w:marRight w:val="0"/>
                  <w:marTop w:val="0"/>
                  <w:marBottom w:val="0"/>
                  <w:divBdr>
                    <w:top w:val="none" w:sz="0" w:space="0" w:color="auto"/>
                    <w:left w:val="none" w:sz="0" w:space="0" w:color="auto"/>
                    <w:bottom w:val="none" w:sz="0" w:space="0" w:color="auto"/>
                    <w:right w:val="none" w:sz="0" w:space="0" w:color="auto"/>
                  </w:divBdr>
                  <w:divsChild>
                    <w:div w:id="185798915">
                      <w:marLeft w:val="0"/>
                      <w:marRight w:val="0"/>
                      <w:marTop w:val="0"/>
                      <w:marBottom w:val="0"/>
                      <w:divBdr>
                        <w:top w:val="none" w:sz="0" w:space="0" w:color="auto"/>
                        <w:left w:val="none" w:sz="0" w:space="0" w:color="auto"/>
                        <w:bottom w:val="none" w:sz="0" w:space="0" w:color="auto"/>
                        <w:right w:val="none" w:sz="0" w:space="0" w:color="auto"/>
                      </w:divBdr>
                    </w:div>
                  </w:divsChild>
                </w:div>
                <w:div w:id="819734262">
                  <w:marLeft w:val="0"/>
                  <w:marRight w:val="0"/>
                  <w:marTop w:val="0"/>
                  <w:marBottom w:val="0"/>
                  <w:divBdr>
                    <w:top w:val="none" w:sz="0" w:space="0" w:color="auto"/>
                    <w:left w:val="none" w:sz="0" w:space="0" w:color="auto"/>
                    <w:bottom w:val="none" w:sz="0" w:space="0" w:color="auto"/>
                    <w:right w:val="none" w:sz="0" w:space="0" w:color="auto"/>
                  </w:divBdr>
                  <w:divsChild>
                    <w:div w:id="550112835">
                      <w:marLeft w:val="0"/>
                      <w:marRight w:val="0"/>
                      <w:marTop w:val="0"/>
                      <w:marBottom w:val="0"/>
                      <w:divBdr>
                        <w:top w:val="none" w:sz="0" w:space="0" w:color="auto"/>
                        <w:left w:val="none" w:sz="0" w:space="0" w:color="auto"/>
                        <w:bottom w:val="none" w:sz="0" w:space="0" w:color="auto"/>
                        <w:right w:val="none" w:sz="0" w:space="0" w:color="auto"/>
                      </w:divBdr>
                    </w:div>
                  </w:divsChild>
                </w:div>
                <w:div w:id="1371880719">
                  <w:marLeft w:val="0"/>
                  <w:marRight w:val="0"/>
                  <w:marTop w:val="0"/>
                  <w:marBottom w:val="0"/>
                  <w:divBdr>
                    <w:top w:val="none" w:sz="0" w:space="0" w:color="auto"/>
                    <w:left w:val="none" w:sz="0" w:space="0" w:color="auto"/>
                    <w:bottom w:val="none" w:sz="0" w:space="0" w:color="auto"/>
                    <w:right w:val="none" w:sz="0" w:space="0" w:color="auto"/>
                  </w:divBdr>
                  <w:divsChild>
                    <w:div w:id="1470322072">
                      <w:marLeft w:val="0"/>
                      <w:marRight w:val="0"/>
                      <w:marTop w:val="0"/>
                      <w:marBottom w:val="0"/>
                      <w:divBdr>
                        <w:top w:val="none" w:sz="0" w:space="0" w:color="auto"/>
                        <w:left w:val="none" w:sz="0" w:space="0" w:color="auto"/>
                        <w:bottom w:val="none" w:sz="0" w:space="0" w:color="auto"/>
                        <w:right w:val="none" w:sz="0" w:space="0" w:color="auto"/>
                      </w:divBdr>
                    </w:div>
                  </w:divsChild>
                </w:div>
                <w:div w:id="1802846100">
                  <w:marLeft w:val="0"/>
                  <w:marRight w:val="0"/>
                  <w:marTop w:val="0"/>
                  <w:marBottom w:val="0"/>
                  <w:divBdr>
                    <w:top w:val="none" w:sz="0" w:space="0" w:color="auto"/>
                    <w:left w:val="none" w:sz="0" w:space="0" w:color="auto"/>
                    <w:bottom w:val="none" w:sz="0" w:space="0" w:color="auto"/>
                    <w:right w:val="none" w:sz="0" w:space="0" w:color="auto"/>
                  </w:divBdr>
                  <w:divsChild>
                    <w:div w:id="728264371">
                      <w:marLeft w:val="0"/>
                      <w:marRight w:val="0"/>
                      <w:marTop w:val="0"/>
                      <w:marBottom w:val="0"/>
                      <w:divBdr>
                        <w:top w:val="none" w:sz="0" w:space="0" w:color="auto"/>
                        <w:left w:val="none" w:sz="0" w:space="0" w:color="auto"/>
                        <w:bottom w:val="none" w:sz="0" w:space="0" w:color="auto"/>
                        <w:right w:val="none" w:sz="0" w:space="0" w:color="auto"/>
                      </w:divBdr>
                    </w:div>
                  </w:divsChild>
                </w:div>
                <w:div w:id="1807429262">
                  <w:marLeft w:val="0"/>
                  <w:marRight w:val="0"/>
                  <w:marTop w:val="0"/>
                  <w:marBottom w:val="0"/>
                  <w:divBdr>
                    <w:top w:val="none" w:sz="0" w:space="0" w:color="auto"/>
                    <w:left w:val="none" w:sz="0" w:space="0" w:color="auto"/>
                    <w:bottom w:val="none" w:sz="0" w:space="0" w:color="auto"/>
                    <w:right w:val="none" w:sz="0" w:space="0" w:color="auto"/>
                  </w:divBdr>
                  <w:divsChild>
                    <w:div w:id="1359698619">
                      <w:marLeft w:val="0"/>
                      <w:marRight w:val="0"/>
                      <w:marTop w:val="0"/>
                      <w:marBottom w:val="0"/>
                      <w:divBdr>
                        <w:top w:val="none" w:sz="0" w:space="0" w:color="auto"/>
                        <w:left w:val="none" w:sz="0" w:space="0" w:color="auto"/>
                        <w:bottom w:val="none" w:sz="0" w:space="0" w:color="auto"/>
                        <w:right w:val="none" w:sz="0" w:space="0" w:color="auto"/>
                      </w:divBdr>
                    </w:div>
                  </w:divsChild>
                </w:div>
                <w:div w:id="2112583352">
                  <w:marLeft w:val="0"/>
                  <w:marRight w:val="0"/>
                  <w:marTop w:val="0"/>
                  <w:marBottom w:val="0"/>
                  <w:divBdr>
                    <w:top w:val="none" w:sz="0" w:space="0" w:color="auto"/>
                    <w:left w:val="none" w:sz="0" w:space="0" w:color="auto"/>
                    <w:bottom w:val="none" w:sz="0" w:space="0" w:color="auto"/>
                    <w:right w:val="none" w:sz="0" w:space="0" w:color="auto"/>
                  </w:divBdr>
                  <w:divsChild>
                    <w:div w:id="13341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4306">
      <w:bodyDiv w:val="1"/>
      <w:marLeft w:val="0"/>
      <w:marRight w:val="0"/>
      <w:marTop w:val="0"/>
      <w:marBottom w:val="0"/>
      <w:divBdr>
        <w:top w:val="none" w:sz="0" w:space="0" w:color="auto"/>
        <w:left w:val="none" w:sz="0" w:space="0" w:color="auto"/>
        <w:bottom w:val="none" w:sz="0" w:space="0" w:color="auto"/>
        <w:right w:val="none" w:sz="0" w:space="0" w:color="auto"/>
      </w:divBdr>
    </w:div>
    <w:div w:id="1531410132">
      <w:bodyDiv w:val="1"/>
      <w:marLeft w:val="0"/>
      <w:marRight w:val="0"/>
      <w:marTop w:val="0"/>
      <w:marBottom w:val="0"/>
      <w:divBdr>
        <w:top w:val="none" w:sz="0" w:space="0" w:color="auto"/>
        <w:left w:val="none" w:sz="0" w:space="0" w:color="auto"/>
        <w:bottom w:val="none" w:sz="0" w:space="0" w:color="auto"/>
        <w:right w:val="none" w:sz="0" w:space="0" w:color="auto"/>
      </w:divBdr>
    </w:div>
    <w:div w:id="1553536813">
      <w:bodyDiv w:val="1"/>
      <w:marLeft w:val="0"/>
      <w:marRight w:val="0"/>
      <w:marTop w:val="0"/>
      <w:marBottom w:val="0"/>
      <w:divBdr>
        <w:top w:val="none" w:sz="0" w:space="0" w:color="auto"/>
        <w:left w:val="none" w:sz="0" w:space="0" w:color="auto"/>
        <w:bottom w:val="none" w:sz="0" w:space="0" w:color="auto"/>
        <w:right w:val="none" w:sz="0" w:space="0" w:color="auto"/>
      </w:divBdr>
    </w:div>
    <w:div w:id="1610115278">
      <w:bodyDiv w:val="1"/>
      <w:marLeft w:val="0"/>
      <w:marRight w:val="0"/>
      <w:marTop w:val="0"/>
      <w:marBottom w:val="0"/>
      <w:divBdr>
        <w:top w:val="none" w:sz="0" w:space="0" w:color="auto"/>
        <w:left w:val="none" w:sz="0" w:space="0" w:color="auto"/>
        <w:bottom w:val="none" w:sz="0" w:space="0" w:color="auto"/>
        <w:right w:val="none" w:sz="0" w:space="0" w:color="auto"/>
      </w:divBdr>
    </w:div>
    <w:div w:id="1723090777">
      <w:bodyDiv w:val="1"/>
      <w:marLeft w:val="0"/>
      <w:marRight w:val="0"/>
      <w:marTop w:val="0"/>
      <w:marBottom w:val="0"/>
      <w:divBdr>
        <w:top w:val="none" w:sz="0" w:space="0" w:color="auto"/>
        <w:left w:val="none" w:sz="0" w:space="0" w:color="auto"/>
        <w:bottom w:val="none" w:sz="0" w:space="0" w:color="auto"/>
        <w:right w:val="none" w:sz="0" w:space="0" w:color="auto"/>
      </w:divBdr>
    </w:div>
    <w:div w:id="1736970783">
      <w:bodyDiv w:val="1"/>
      <w:marLeft w:val="0"/>
      <w:marRight w:val="0"/>
      <w:marTop w:val="0"/>
      <w:marBottom w:val="0"/>
      <w:divBdr>
        <w:top w:val="none" w:sz="0" w:space="0" w:color="auto"/>
        <w:left w:val="none" w:sz="0" w:space="0" w:color="auto"/>
        <w:bottom w:val="none" w:sz="0" w:space="0" w:color="auto"/>
        <w:right w:val="none" w:sz="0" w:space="0" w:color="auto"/>
      </w:divBdr>
    </w:div>
    <w:div w:id="1917978696">
      <w:bodyDiv w:val="1"/>
      <w:marLeft w:val="0"/>
      <w:marRight w:val="0"/>
      <w:marTop w:val="0"/>
      <w:marBottom w:val="0"/>
      <w:divBdr>
        <w:top w:val="none" w:sz="0" w:space="0" w:color="auto"/>
        <w:left w:val="none" w:sz="0" w:space="0" w:color="auto"/>
        <w:bottom w:val="none" w:sz="0" w:space="0" w:color="auto"/>
        <w:right w:val="none" w:sz="0" w:space="0" w:color="auto"/>
      </w:divBdr>
    </w:div>
    <w:div w:id="1958219140">
      <w:bodyDiv w:val="1"/>
      <w:marLeft w:val="0"/>
      <w:marRight w:val="0"/>
      <w:marTop w:val="0"/>
      <w:marBottom w:val="0"/>
      <w:divBdr>
        <w:top w:val="none" w:sz="0" w:space="0" w:color="auto"/>
        <w:left w:val="none" w:sz="0" w:space="0" w:color="auto"/>
        <w:bottom w:val="none" w:sz="0" w:space="0" w:color="auto"/>
        <w:right w:val="none" w:sz="0" w:space="0" w:color="auto"/>
      </w:divBdr>
      <w:divsChild>
        <w:div w:id="1220747639">
          <w:marLeft w:val="0"/>
          <w:marRight w:val="0"/>
          <w:marTop w:val="0"/>
          <w:marBottom w:val="0"/>
          <w:divBdr>
            <w:top w:val="none" w:sz="0" w:space="0" w:color="auto"/>
            <w:left w:val="none" w:sz="0" w:space="0" w:color="auto"/>
            <w:bottom w:val="none" w:sz="0" w:space="0" w:color="auto"/>
            <w:right w:val="none" w:sz="0" w:space="0" w:color="auto"/>
          </w:divBdr>
          <w:divsChild>
            <w:div w:id="1438981521">
              <w:marLeft w:val="0"/>
              <w:marRight w:val="0"/>
              <w:marTop w:val="0"/>
              <w:marBottom w:val="0"/>
              <w:divBdr>
                <w:top w:val="none" w:sz="0" w:space="0" w:color="auto"/>
                <w:left w:val="none" w:sz="0" w:space="0" w:color="auto"/>
                <w:bottom w:val="none" w:sz="0" w:space="0" w:color="auto"/>
                <w:right w:val="none" w:sz="0" w:space="0" w:color="auto"/>
              </w:divBdr>
              <w:divsChild>
                <w:div w:id="77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63934">
      <w:bodyDiv w:val="1"/>
      <w:marLeft w:val="0"/>
      <w:marRight w:val="0"/>
      <w:marTop w:val="0"/>
      <w:marBottom w:val="0"/>
      <w:divBdr>
        <w:top w:val="none" w:sz="0" w:space="0" w:color="auto"/>
        <w:left w:val="none" w:sz="0" w:space="0" w:color="auto"/>
        <w:bottom w:val="none" w:sz="0" w:space="0" w:color="auto"/>
        <w:right w:val="none" w:sz="0" w:space="0" w:color="auto"/>
      </w:divBdr>
      <w:divsChild>
        <w:div w:id="67579820">
          <w:marLeft w:val="0"/>
          <w:marRight w:val="0"/>
          <w:marTop w:val="0"/>
          <w:marBottom w:val="0"/>
          <w:divBdr>
            <w:top w:val="none" w:sz="0" w:space="0" w:color="auto"/>
            <w:left w:val="none" w:sz="0" w:space="0" w:color="auto"/>
            <w:bottom w:val="none" w:sz="0" w:space="0" w:color="auto"/>
            <w:right w:val="none" w:sz="0" w:space="0" w:color="auto"/>
          </w:divBdr>
          <w:divsChild>
            <w:div w:id="470024305">
              <w:marLeft w:val="0"/>
              <w:marRight w:val="0"/>
              <w:marTop w:val="0"/>
              <w:marBottom w:val="0"/>
              <w:divBdr>
                <w:top w:val="none" w:sz="0" w:space="0" w:color="auto"/>
                <w:left w:val="none" w:sz="0" w:space="0" w:color="auto"/>
                <w:bottom w:val="none" w:sz="0" w:space="0" w:color="auto"/>
                <w:right w:val="none" w:sz="0" w:space="0" w:color="auto"/>
              </w:divBdr>
              <w:divsChild>
                <w:div w:id="13148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haapala@purdue.edu" TargetMode="External"/><Relationship Id="rId9" Type="http://schemas.openxmlformats.org/officeDocument/2006/relationships/hyperlink" Target="http://www.fishallocation.com/papers/pdf/papers/FrankAlcock.pdf"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shserve.co.nz/information/quota-sh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2135E3-F613-374A-8C1C-F85E1EFF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10063</Words>
  <Characters>57363</Characters>
  <Application>Microsoft Macintosh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Haapala</cp:lastModifiedBy>
  <cp:revision>4</cp:revision>
  <dcterms:created xsi:type="dcterms:W3CDTF">2018-03-06T16:14:00Z</dcterms:created>
  <dcterms:modified xsi:type="dcterms:W3CDTF">2018-03-12T15:38:00Z</dcterms:modified>
</cp:coreProperties>
</file>