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7375D" w14:textId="77777777" w:rsidR="00D74843" w:rsidRPr="00420741" w:rsidRDefault="00D74843" w:rsidP="00D74843">
      <w:pPr>
        <w:jc w:val="center"/>
        <w:rPr>
          <w:rFonts w:asciiTheme="majorHAnsi" w:eastAsia="Times New Roman" w:hAnsiTheme="majorHAnsi" w:cs="Times New Roman"/>
          <w:b/>
          <w:bCs/>
          <w:sz w:val="56"/>
          <w:szCs w:val="56"/>
        </w:rPr>
      </w:pPr>
    </w:p>
    <w:p w14:paraId="22B3E898" w14:textId="77777777" w:rsidR="00D74843" w:rsidRPr="00420741" w:rsidRDefault="00D74843" w:rsidP="00D74843">
      <w:pPr>
        <w:jc w:val="center"/>
        <w:rPr>
          <w:rFonts w:asciiTheme="majorHAnsi" w:eastAsia="Times New Roman" w:hAnsiTheme="majorHAnsi" w:cs="Times New Roman"/>
          <w:b/>
          <w:bCs/>
          <w:sz w:val="56"/>
          <w:szCs w:val="56"/>
        </w:rPr>
      </w:pPr>
    </w:p>
    <w:p w14:paraId="6AEEC1CB" w14:textId="77777777" w:rsidR="00D74843" w:rsidRPr="00420741" w:rsidRDefault="00D74843" w:rsidP="00D74843">
      <w:pPr>
        <w:jc w:val="center"/>
        <w:rPr>
          <w:rFonts w:asciiTheme="majorHAnsi" w:eastAsia="Times New Roman" w:hAnsiTheme="majorHAnsi" w:cs="Times New Roman"/>
          <w:b/>
          <w:bCs/>
          <w:sz w:val="56"/>
          <w:szCs w:val="56"/>
        </w:rPr>
      </w:pPr>
      <w:r w:rsidRPr="00420741">
        <w:rPr>
          <w:rFonts w:asciiTheme="majorHAnsi" w:eastAsia="Times New Roman" w:hAnsiTheme="majorHAnsi" w:cs="Times New Roman"/>
          <w:b/>
          <w:bCs/>
          <w:sz w:val="56"/>
          <w:szCs w:val="56"/>
        </w:rPr>
        <w:t>Republicanism, Climate Adaptation, and the Transition Movement</w:t>
      </w:r>
    </w:p>
    <w:p w14:paraId="648D79E3" w14:textId="77777777" w:rsidR="00D74843" w:rsidRPr="00420741" w:rsidRDefault="00D74843" w:rsidP="00D74843">
      <w:pPr>
        <w:jc w:val="center"/>
        <w:rPr>
          <w:rFonts w:eastAsia="Times New Roman" w:cs="Times New Roman"/>
          <w:b/>
          <w:bCs/>
        </w:rPr>
      </w:pPr>
    </w:p>
    <w:p w14:paraId="2289DE18" w14:textId="77777777" w:rsidR="00D74843" w:rsidRPr="00420741" w:rsidRDefault="00D74843" w:rsidP="00D74843">
      <w:pPr>
        <w:jc w:val="center"/>
        <w:rPr>
          <w:rFonts w:eastAsia="Times New Roman" w:cs="Times New Roman"/>
          <w:b/>
          <w:bCs/>
        </w:rPr>
      </w:pPr>
    </w:p>
    <w:p w14:paraId="1E1A1663" w14:textId="77777777" w:rsidR="00D74843" w:rsidRPr="00420741" w:rsidRDefault="00D74843" w:rsidP="00D74843">
      <w:pPr>
        <w:jc w:val="center"/>
        <w:rPr>
          <w:rFonts w:eastAsia="Times New Roman" w:cs="Times New Roman"/>
          <w:b/>
          <w:bCs/>
        </w:rPr>
      </w:pPr>
    </w:p>
    <w:p w14:paraId="69D99B5F" w14:textId="77777777" w:rsidR="00D74843" w:rsidRPr="00420741" w:rsidRDefault="00D74843" w:rsidP="00D74843">
      <w:pPr>
        <w:jc w:val="center"/>
        <w:rPr>
          <w:rFonts w:eastAsia="Times New Roman" w:cs="Times New Roman"/>
          <w:b/>
          <w:bCs/>
        </w:rPr>
      </w:pPr>
    </w:p>
    <w:p w14:paraId="5C2A6952" w14:textId="77777777" w:rsidR="00D74843" w:rsidRPr="00420741" w:rsidRDefault="00D74843" w:rsidP="00D74843">
      <w:pPr>
        <w:jc w:val="center"/>
        <w:rPr>
          <w:rFonts w:asciiTheme="majorHAnsi" w:eastAsia="Times New Roman" w:hAnsiTheme="majorHAnsi" w:cs="Times New Roman"/>
          <w:bCs/>
          <w:sz w:val="28"/>
          <w:szCs w:val="28"/>
        </w:rPr>
      </w:pPr>
      <w:r w:rsidRPr="00420741">
        <w:rPr>
          <w:rFonts w:asciiTheme="majorHAnsi" w:eastAsia="Times New Roman" w:hAnsiTheme="majorHAnsi" w:cs="Times New Roman"/>
          <w:bCs/>
          <w:sz w:val="28"/>
          <w:szCs w:val="28"/>
        </w:rPr>
        <w:t>Presented at the Western Political Science Association Annual Meeting</w:t>
      </w:r>
    </w:p>
    <w:p w14:paraId="62175883" w14:textId="77777777" w:rsidR="00D74843" w:rsidRPr="00420741" w:rsidRDefault="00D74843" w:rsidP="00D74843">
      <w:pPr>
        <w:jc w:val="center"/>
        <w:rPr>
          <w:rFonts w:asciiTheme="majorHAnsi" w:eastAsia="Times New Roman" w:hAnsiTheme="majorHAnsi" w:cs="Times New Roman"/>
          <w:sz w:val="28"/>
          <w:szCs w:val="28"/>
        </w:rPr>
      </w:pPr>
      <w:r w:rsidRPr="00420741">
        <w:rPr>
          <w:rFonts w:asciiTheme="majorHAnsi" w:eastAsia="Times New Roman" w:hAnsiTheme="majorHAnsi" w:cs="Times New Roman"/>
          <w:sz w:val="28"/>
          <w:szCs w:val="28"/>
        </w:rPr>
        <w:t>March 24, 2016</w:t>
      </w:r>
    </w:p>
    <w:p w14:paraId="34AB7EBE" w14:textId="77777777" w:rsidR="00D74843" w:rsidRPr="00420741" w:rsidRDefault="00D74843" w:rsidP="00D74843">
      <w:pPr>
        <w:jc w:val="center"/>
        <w:rPr>
          <w:rFonts w:asciiTheme="majorHAnsi" w:eastAsia="Times New Roman" w:hAnsiTheme="majorHAnsi" w:cs="Times New Roman"/>
          <w:sz w:val="28"/>
          <w:szCs w:val="28"/>
        </w:rPr>
      </w:pPr>
      <w:r w:rsidRPr="00420741">
        <w:rPr>
          <w:rFonts w:asciiTheme="majorHAnsi" w:eastAsia="Times New Roman" w:hAnsiTheme="majorHAnsi" w:cs="Times New Roman"/>
          <w:sz w:val="28"/>
          <w:szCs w:val="28"/>
        </w:rPr>
        <w:t>San Diego, CA</w:t>
      </w:r>
    </w:p>
    <w:p w14:paraId="322A211B" w14:textId="77777777" w:rsidR="00D74843" w:rsidRPr="00420741" w:rsidRDefault="00D74843" w:rsidP="00D74843">
      <w:pPr>
        <w:jc w:val="center"/>
        <w:rPr>
          <w:rFonts w:asciiTheme="majorHAnsi" w:eastAsia="Times New Roman" w:hAnsiTheme="majorHAnsi" w:cs="Times New Roman"/>
          <w:sz w:val="28"/>
          <w:szCs w:val="28"/>
        </w:rPr>
      </w:pPr>
    </w:p>
    <w:p w14:paraId="1544D9BC" w14:textId="77777777" w:rsidR="00D74843" w:rsidRPr="00420741" w:rsidRDefault="00D74843" w:rsidP="00D74843">
      <w:pPr>
        <w:jc w:val="center"/>
        <w:rPr>
          <w:rFonts w:asciiTheme="majorHAnsi" w:eastAsia="Times New Roman" w:hAnsiTheme="majorHAnsi" w:cs="Times New Roman"/>
          <w:b/>
          <w:sz w:val="28"/>
          <w:szCs w:val="28"/>
        </w:rPr>
      </w:pPr>
      <w:r w:rsidRPr="00420741">
        <w:rPr>
          <w:rFonts w:asciiTheme="majorHAnsi" w:eastAsia="Times New Roman" w:hAnsiTheme="majorHAnsi" w:cs="Times New Roman"/>
          <w:b/>
          <w:sz w:val="28"/>
          <w:szCs w:val="28"/>
        </w:rPr>
        <w:br/>
        <w:t>Peter F. Cannavò</w:t>
      </w:r>
    </w:p>
    <w:p w14:paraId="0D61BB5F" w14:textId="77777777" w:rsidR="00D74843" w:rsidRPr="00420741" w:rsidRDefault="00D74843" w:rsidP="00D74843">
      <w:pPr>
        <w:jc w:val="center"/>
        <w:rPr>
          <w:rFonts w:asciiTheme="majorHAnsi" w:eastAsia="Times New Roman" w:hAnsiTheme="majorHAnsi" w:cs="Times New Roman"/>
          <w:sz w:val="28"/>
          <w:szCs w:val="28"/>
        </w:rPr>
      </w:pPr>
      <w:r w:rsidRPr="00420741">
        <w:rPr>
          <w:rFonts w:asciiTheme="majorHAnsi" w:eastAsia="Times New Roman" w:hAnsiTheme="majorHAnsi" w:cs="Times New Roman"/>
          <w:sz w:val="28"/>
          <w:szCs w:val="28"/>
        </w:rPr>
        <w:t>Hamilton College</w:t>
      </w:r>
    </w:p>
    <w:p w14:paraId="795DD638" w14:textId="77777777" w:rsidR="00D74843" w:rsidRPr="00420741" w:rsidRDefault="00D74843" w:rsidP="00D74843">
      <w:pPr>
        <w:jc w:val="center"/>
        <w:rPr>
          <w:rFonts w:asciiTheme="majorHAnsi" w:eastAsia="Times New Roman" w:hAnsiTheme="majorHAnsi" w:cs="Times New Roman"/>
          <w:sz w:val="28"/>
          <w:szCs w:val="28"/>
        </w:rPr>
      </w:pPr>
      <w:r w:rsidRPr="00420741">
        <w:rPr>
          <w:rFonts w:asciiTheme="majorHAnsi" w:eastAsia="Times New Roman" w:hAnsiTheme="majorHAnsi" w:cs="Times New Roman"/>
          <w:sz w:val="28"/>
          <w:szCs w:val="28"/>
        </w:rPr>
        <w:t>Clinton, NY</w:t>
      </w:r>
    </w:p>
    <w:p w14:paraId="1FF010B7" w14:textId="77777777" w:rsidR="000E3032" w:rsidRPr="00420741" w:rsidRDefault="00227768" w:rsidP="00D74843">
      <w:pPr>
        <w:jc w:val="center"/>
        <w:rPr>
          <w:rFonts w:asciiTheme="majorHAnsi" w:eastAsia="Times New Roman" w:hAnsiTheme="majorHAnsi" w:cs="Times New Roman"/>
          <w:sz w:val="28"/>
          <w:szCs w:val="28"/>
        </w:rPr>
      </w:pPr>
      <w:hyperlink r:id="rId8" w:history="1">
        <w:r w:rsidR="00D74843" w:rsidRPr="00420741">
          <w:rPr>
            <w:rStyle w:val="Hyperlink"/>
            <w:rFonts w:asciiTheme="majorHAnsi" w:eastAsia="Times New Roman" w:hAnsiTheme="majorHAnsi" w:cs="Times New Roman"/>
            <w:color w:val="auto"/>
            <w:sz w:val="28"/>
            <w:szCs w:val="28"/>
          </w:rPr>
          <w:t>pcannavo@hamilton.edu</w:t>
        </w:r>
      </w:hyperlink>
    </w:p>
    <w:p w14:paraId="57BE0562" w14:textId="77777777" w:rsidR="00D74843" w:rsidRPr="00420741" w:rsidRDefault="00D74843">
      <w:r w:rsidRPr="00420741">
        <w:br w:type="page"/>
      </w:r>
    </w:p>
    <w:p w14:paraId="2FE176B1" w14:textId="70A25670" w:rsidR="00D74843" w:rsidRPr="00C54090" w:rsidRDefault="00D74843" w:rsidP="007F2350">
      <w:pPr>
        <w:spacing w:line="480" w:lineRule="auto"/>
        <w:ind w:firstLine="720"/>
      </w:pPr>
      <w:r w:rsidRPr="00C54090">
        <w:lastRenderedPageBreak/>
        <w:t xml:space="preserve">The </w:t>
      </w:r>
      <w:r w:rsidR="007450C9">
        <w:t>Transition Towns</w:t>
      </w:r>
      <w:r w:rsidR="00871390" w:rsidRPr="00C54090">
        <w:t xml:space="preserve"> movement has been </w:t>
      </w:r>
      <w:r w:rsidR="00BB5F62">
        <w:t>cited</w:t>
      </w:r>
      <w:r w:rsidR="00DB686D" w:rsidRPr="0059044D">
        <w:rPr>
          <w:rStyle w:val="EndnoteReference"/>
          <w:lang w:val="en-GB"/>
        </w:rPr>
        <w:endnoteReference w:id="1"/>
      </w:r>
      <w:r w:rsidR="00871390" w:rsidRPr="00C54090">
        <w:t xml:space="preserve"> as </w:t>
      </w:r>
      <w:r w:rsidR="003B4ADD">
        <w:t xml:space="preserve">embodying elements of </w:t>
      </w:r>
      <w:r w:rsidR="00871390" w:rsidRPr="00C54090">
        <w:t xml:space="preserve">a civic republican response to climate change.  In this paper, I will discuss some of the main contours of </w:t>
      </w:r>
      <w:r w:rsidR="00BB5F62">
        <w:t>Transition</w:t>
      </w:r>
      <w:r w:rsidR="00871390" w:rsidRPr="00C54090">
        <w:t xml:space="preserve"> and </w:t>
      </w:r>
      <w:r w:rsidR="008C11EB" w:rsidRPr="00C54090">
        <w:t xml:space="preserve">assess its potential as a green republican response to climate change.  I will focus </w:t>
      </w:r>
      <w:r w:rsidR="007450C9">
        <w:t xml:space="preserve">my critique </w:t>
      </w:r>
      <w:r w:rsidR="008C11EB" w:rsidRPr="00C54090">
        <w:t xml:space="preserve">on the following dimensions of the Transition movement: 1) its </w:t>
      </w:r>
      <w:r w:rsidR="007450C9">
        <w:t>emphasis</w:t>
      </w:r>
      <w:r w:rsidR="008C11EB" w:rsidRPr="00C54090">
        <w:t xml:space="preserve"> on resilienc</w:t>
      </w:r>
      <w:r w:rsidR="00431E86">
        <w:t>e in the face of climate change,</w:t>
      </w:r>
      <w:r w:rsidR="008C11EB" w:rsidRPr="00C54090">
        <w:t xml:space="preserve"> </w:t>
      </w:r>
      <w:r w:rsidR="007450C9">
        <w:t>2) its localism</w:t>
      </w:r>
      <w:r w:rsidR="00431E86">
        <w:t>,</w:t>
      </w:r>
      <w:r w:rsidR="007450C9">
        <w:t xml:space="preserve"> </w:t>
      </w:r>
      <w:r w:rsidR="005A432C" w:rsidRPr="00C54090">
        <w:t xml:space="preserve">and </w:t>
      </w:r>
      <w:r w:rsidR="008C11EB" w:rsidRPr="00C54090">
        <w:t>3) its apolitical character</w:t>
      </w:r>
      <w:r w:rsidR="005A432C" w:rsidRPr="00C54090">
        <w:t xml:space="preserve">.  I will argue that while the Transition movement is promising as a </w:t>
      </w:r>
      <w:r w:rsidR="00783BB1" w:rsidRPr="00C54090">
        <w:t xml:space="preserve">partial </w:t>
      </w:r>
      <w:r w:rsidR="005A432C" w:rsidRPr="00C54090">
        <w:t xml:space="preserve">republican response to climate change, </w:t>
      </w:r>
      <w:r w:rsidR="007450C9">
        <w:t xml:space="preserve">these three </w:t>
      </w:r>
      <w:r w:rsidR="003B4ADD">
        <w:t xml:space="preserve">problematic </w:t>
      </w:r>
      <w:r w:rsidR="007450C9">
        <w:t>aspects of Transition</w:t>
      </w:r>
      <w:r w:rsidR="005A432C" w:rsidRPr="00C54090">
        <w:t xml:space="preserve"> suggest that Transition is more appropriately a part of a larger green republican climate politics rather than a sufficient approach on its own.</w:t>
      </w:r>
    </w:p>
    <w:p w14:paraId="0993D5D6" w14:textId="77777777" w:rsidR="005A432C" w:rsidRPr="00C54090" w:rsidRDefault="005A432C" w:rsidP="008C11EB">
      <w:pPr>
        <w:spacing w:line="480" w:lineRule="auto"/>
      </w:pPr>
    </w:p>
    <w:p w14:paraId="36DB2222" w14:textId="126E4C13" w:rsidR="005A432C" w:rsidRPr="00C54090" w:rsidRDefault="00430B82" w:rsidP="008C11EB">
      <w:pPr>
        <w:spacing w:line="480" w:lineRule="auto"/>
        <w:rPr>
          <w:b/>
        </w:rPr>
      </w:pPr>
      <w:r w:rsidRPr="00C54090">
        <w:rPr>
          <w:b/>
        </w:rPr>
        <w:t xml:space="preserve">Civic </w:t>
      </w:r>
      <w:r w:rsidR="00894FA0">
        <w:rPr>
          <w:b/>
        </w:rPr>
        <w:t>Republicanism</w:t>
      </w:r>
    </w:p>
    <w:p w14:paraId="77A38718" w14:textId="67901363" w:rsidR="00AC63D8" w:rsidRPr="00C54090" w:rsidRDefault="005A432C" w:rsidP="00AC63D8">
      <w:pPr>
        <w:spacing w:line="480" w:lineRule="auto"/>
        <w:ind w:firstLine="720"/>
      </w:pPr>
      <w:r w:rsidRPr="00C54090">
        <w:t xml:space="preserve">Civic republicanism emphasizes citizens’ active participation in crafting, deliberating on, and pursuing their community’s political ends.  Republican liberty, in contrast to liberalism, is not so much about freedom </w:t>
      </w:r>
      <w:r w:rsidRPr="00C54090">
        <w:rPr>
          <w:i/>
        </w:rPr>
        <w:t>from</w:t>
      </w:r>
      <w:r w:rsidRPr="00C54090">
        <w:t xml:space="preserve"> government, but about collective </w:t>
      </w:r>
      <w:r w:rsidRPr="00C54090">
        <w:rPr>
          <w:i/>
        </w:rPr>
        <w:t>self-government</w:t>
      </w:r>
      <w:r w:rsidRPr="00C54090">
        <w:t xml:space="preserve"> and the virtues that enable citizens to be self-governing, to be free from political and economic domination</w:t>
      </w:r>
      <w:r w:rsidR="005A6D56">
        <w:t xml:space="preserve"> (in other words, structures and relationships that enable on party to exercise arbitrary power over another – on this, see more below)</w:t>
      </w:r>
      <w:r w:rsidRPr="00C54090">
        <w:t>, and to deliberate with another to pursue a common life and the common goods that animate it.  Republicans extend self-government not only to political institutions, but also to other spheres of life, including the economy, civil society, and even the family.</w:t>
      </w:r>
      <w:r w:rsidR="00DB686D">
        <w:t xml:space="preserve"> </w:t>
      </w:r>
      <w:r w:rsidRPr="00C54090">
        <w:t xml:space="preserve"> They favor restraints on the market or at least on materialistic values, especially in the interests of limiting inequality and self-interest, both of which can </w:t>
      </w:r>
      <w:r w:rsidR="002D0EFC" w:rsidRPr="00C54090">
        <w:t xml:space="preserve">foster domination, and </w:t>
      </w:r>
      <w:r w:rsidRPr="00C54090">
        <w:t>undermine self-government, community, and civic virtue and lead to corruption.</w:t>
      </w:r>
      <w:r w:rsidR="00CE7B7A">
        <w:t xml:space="preserve">  They favor the economic independence or self-reliance of individuals or communities, not as an atomistic barrier to the rest of society but as a way of protecting citizens from domination by others and also enabling them to deliberate about the common good free from economic coercion.</w:t>
      </w:r>
      <w:r w:rsidRPr="00C54090">
        <w:rPr>
          <w:rStyle w:val="EndnoteReference"/>
        </w:rPr>
        <w:endnoteReference w:id="2"/>
      </w:r>
      <w:r w:rsidR="00AC63D8" w:rsidRPr="00C54090">
        <w:t xml:space="preserve">  </w:t>
      </w:r>
    </w:p>
    <w:p w14:paraId="212A2BA0" w14:textId="52457A5A" w:rsidR="002D0EFC" w:rsidRPr="00CE7B7A" w:rsidRDefault="005A432C" w:rsidP="00CE7B7A">
      <w:pPr>
        <w:spacing w:line="480" w:lineRule="auto"/>
        <w:ind w:firstLine="720"/>
        <w:rPr>
          <w:lang w:val="en-GB"/>
        </w:rPr>
      </w:pPr>
      <w:r w:rsidRPr="00C54090">
        <w:t xml:space="preserve">Civic republicanism has roots in the political thought of Aristotle and Cicero and in the historical experience of the Greek city-states and the Roman Republic.  Civic republican thought flourished in Renaissance Florence and early modern Poland, Holland, and England.  Republican themes were also articulated by a number of political philosophers, including Machiavelli, James Harrington, Montesquieu, Rousseau, Mary Wollstonecraft, and others. </w:t>
      </w:r>
      <w:r w:rsidRPr="00C54090">
        <w:rPr>
          <w:lang w:val="en-GB"/>
        </w:rPr>
        <w:t xml:space="preserve"> Finally, </w:t>
      </w:r>
      <w:r w:rsidRPr="00C54090">
        <w:t>the American Founders were motivated by a republican perspective</w:t>
      </w:r>
      <w:r w:rsidR="00431E86">
        <w:t>, one</w:t>
      </w:r>
      <w:r w:rsidRPr="00C54090">
        <w:t xml:space="preserve"> that remained influential in the United States until at least the early 19</w:t>
      </w:r>
      <w:r w:rsidRPr="00C54090">
        <w:rPr>
          <w:vertAlign w:val="superscript"/>
        </w:rPr>
        <w:t>th</w:t>
      </w:r>
      <w:r w:rsidRPr="00C54090">
        <w:t xml:space="preserve"> century.</w:t>
      </w:r>
      <w:r w:rsidR="00AC63D8" w:rsidRPr="00C54090">
        <w:t xml:space="preserve"> </w:t>
      </w:r>
      <w:r w:rsidR="00431E86">
        <w:t xml:space="preserve"> </w:t>
      </w:r>
      <w:r w:rsidRPr="00C54090">
        <w:t>Michael Sandel shows civic republican influence carrying over into the nineteenth and early twentieth centuries, for example in the Republican Party’s mid-nineteenth century free labor ideology and in the early labor movement.  Indeed, Sandel argues that civic republican themes have continued in the rhetoric of some American politicians, both Democratic and Republican, and that republicanism has informed various political movements since the beginning of the twentieth century, including aspects of the Progressive Era, as well as the Civil Rights movement and community organizing movements, and the anti-sprawl and New Urbanist movements.</w:t>
      </w:r>
      <w:r w:rsidR="00894FA0" w:rsidRPr="00C54090">
        <w:rPr>
          <w:rStyle w:val="EndnoteReference"/>
        </w:rPr>
        <w:endnoteReference w:id="3"/>
      </w:r>
      <w:r w:rsidRPr="00C54090">
        <w:rPr>
          <w:rStyle w:val="EndnoteReference"/>
        </w:rPr>
        <w:t xml:space="preserve"> </w:t>
      </w:r>
      <w:r w:rsidR="00894FA0">
        <w:t xml:space="preserve"> </w:t>
      </w:r>
      <w:r w:rsidRPr="00C54090">
        <w:t>Elsewhere, I argue that the American suburb, perhaps the quintessential embodiment of a consumption-oriented, free-market society, actually has republican roots.</w:t>
      </w:r>
      <w:r w:rsidRPr="00C54090">
        <w:rPr>
          <w:rStyle w:val="EndnoteReference"/>
        </w:rPr>
        <w:endnoteReference w:id="4"/>
      </w:r>
      <w:r w:rsidR="00430B82" w:rsidRPr="00C54090">
        <w:t xml:space="preserve"> </w:t>
      </w:r>
    </w:p>
    <w:p w14:paraId="2C674BDB" w14:textId="2D046B17" w:rsidR="005A432C" w:rsidRPr="00C54090" w:rsidRDefault="005A432C" w:rsidP="002D0EFC">
      <w:pPr>
        <w:pStyle w:val="EndnoteText"/>
        <w:spacing w:line="480" w:lineRule="auto"/>
        <w:ind w:firstLine="720"/>
      </w:pPr>
      <w:r w:rsidRPr="00C54090">
        <w:t>A republican society would emphasize a robustly participatory, engaged, deliberative political culture.  It would secure non-dominating relationships in the political sphere, as well as in economics, the workplace, the family, and civil society.  It would impose limits on economic inequality.  It would ensure that citizens have the social and material basis for independence.  It would cultivate relevant civic virtues.  It would view society as more a collective enterprise than merely a mutual pact for the protection of individual rights.</w:t>
      </w:r>
      <w:r w:rsidR="00CE7B7A">
        <w:t xml:space="preserve"> </w:t>
      </w:r>
      <w:r w:rsidRPr="00C54090">
        <w:t xml:space="preserve"> </w:t>
      </w:r>
      <w:r w:rsidR="002D0EFC" w:rsidRPr="00C54090">
        <w:t>Moreover, it would have more opportunities for local self-governance, whether through citizens groups, civic associations, town meetings, neighborhood assemblies, and so forth.  Where feasible, political institutions would be decentralized down to their lowest level of competent jurisdiction.</w:t>
      </w:r>
    </w:p>
    <w:p w14:paraId="7EE65AFF" w14:textId="15B23C01" w:rsidR="005A432C" w:rsidRPr="00C54090" w:rsidRDefault="00F91A7E" w:rsidP="002D0EFC">
      <w:pPr>
        <w:spacing w:line="480" w:lineRule="auto"/>
        <w:ind w:firstLine="720"/>
      </w:pPr>
      <w:r w:rsidRPr="00C54090">
        <w:t xml:space="preserve">A republican society might also be a green one, as republicanism and environmentalism have significant commonalities.  </w:t>
      </w:r>
      <w:r w:rsidR="003D1322">
        <w:t>As I have argued elsewhere</w:t>
      </w:r>
      <w:r w:rsidR="00CE7B7A" w:rsidRPr="00C54090">
        <w:t xml:space="preserve">, the environmental movement </w:t>
      </w:r>
      <w:r w:rsidR="00227768">
        <w:t xml:space="preserve">itself </w:t>
      </w:r>
      <w:r w:rsidR="003D1322">
        <w:t>has</w:t>
      </w:r>
      <w:r w:rsidR="00CE7B7A" w:rsidRPr="00C54090">
        <w:t xml:space="preserve"> strong republican overtones, a view I share with other scholars.</w:t>
      </w:r>
      <w:r w:rsidR="00CE7B7A" w:rsidRPr="00C54090">
        <w:rPr>
          <w:rStyle w:val="EndnoteReference"/>
        </w:rPr>
        <w:endnoteReference w:id="5"/>
      </w:r>
      <w:r w:rsidR="00CE7B7A" w:rsidRPr="00C54090">
        <w:t xml:space="preserve"> </w:t>
      </w:r>
      <w:r w:rsidR="00CE7B7A">
        <w:t xml:space="preserve"> </w:t>
      </w:r>
      <w:r w:rsidR="005A432C" w:rsidRPr="00C54090">
        <w:t>Though reformist environmentalists might support centralized regulation and top-down ecological management, more radical green activists distrust governmental or corporate bureaucracies</w:t>
      </w:r>
      <w:r w:rsidR="002D0EFC" w:rsidRPr="00C54090">
        <w:t xml:space="preserve"> and</w:t>
      </w:r>
      <w:r w:rsidR="005A432C" w:rsidRPr="00C54090">
        <w:t xml:space="preserve"> share republicans’ preference for political decentralization and local self-government. </w:t>
      </w:r>
      <w:r w:rsidR="003D1322">
        <w:t xml:space="preserve"> </w:t>
      </w:r>
      <w:r w:rsidR="00AC63D8" w:rsidRPr="00C54090">
        <w:rPr>
          <w:lang w:val="en-GB"/>
        </w:rPr>
        <w:t xml:space="preserve">Like republicans, many environmentalists </w:t>
      </w:r>
      <w:r w:rsidR="00AC63D8" w:rsidRPr="00C54090">
        <w:t xml:space="preserve">see civic participation </w:t>
      </w:r>
      <w:r w:rsidR="003D1322">
        <w:t xml:space="preserve">and local democracy </w:t>
      </w:r>
      <w:r w:rsidR="00AC63D8" w:rsidRPr="00C54090">
        <w:t xml:space="preserve">as upholding the common good against special interests.  </w:t>
      </w:r>
    </w:p>
    <w:p w14:paraId="6D76D02B" w14:textId="0BD32A01" w:rsidR="005A432C" w:rsidRPr="00C54090" w:rsidRDefault="002D0EFC" w:rsidP="00430B82">
      <w:pPr>
        <w:spacing w:line="480" w:lineRule="auto"/>
        <w:ind w:firstLine="720"/>
        <w:rPr>
          <w:lang w:val="en-GB"/>
        </w:rPr>
      </w:pPr>
      <w:r w:rsidRPr="00C54090">
        <w:t xml:space="preserve">There are other similarities.  </w:t>
      </w:r>
      <w:r w:rsidR="005A432C" w:rsidRPr="00C54090">
        <w:t xml:space="preserve">Both republicanism and environmentalism harbor suspicion or even hostility toward luxury, consumption, and the market.  Like republicans, more radical environmentalists critique capitalism and limitless growth and favor material simplicity over luxury and consumption.  As we will see, republicanism often associates capitalism with degenerative corruption, domination by special interests, divisive inequalities, and a breakdown in civic virtue and engagement.  Many greens see similar problems: capitalism enables special interests, such as polluters and developers, to profit off environmental abuse; it makes economically dependent workers, such as coal miners, oppose sustainability; it commodifies nature and place; its focus on consumption and growth violates ecological limits, promotes pollution and environmental destruction, fosters materialism and greed, and discourages sacrifice for the ecological good. </w:t>
      </w:r>
    </w:p>
    <w:p w14:paraId="16AD8E4A" w14:textId="40CAE9B4" w:rsidR="005A432C" w:rsidRPr="00C54090" w:rsidRDefault="005A432C" w:rsidP="00227768">
      <w:pPr>
        <w:spacing w:line="480" w:lineRule="auto"/>
        <w:ind w:firstLine="720"/>
        <w:rPr>
          <w:lang w:val="en-GB"/>
        </w:rPr>
      </w:pPr>
      <w:r w:rsidRPr="00C54090">
        <w:rPr>
          <w:lang w:val="en-GB"/>
        </w:rPr>
        <w:t xml:space="preserve">Both republicanism and environmentalism are centrally concerned about social and/or ecological vulnerability in the face of </w:t>
      </w:r>
      <w:r w:rsidRPr="00C54090">
        <w:t xml:space="preserve">corruption or degenerative change.  Both views suggest that citizens should have a certain characters or virtues to stave off corruption and protect society and/or the environment.  </w:t>
      </w:r>
      <w:r w:rsidR="003D1322">
        <w:t>T</w:t>
      </w:r>
      <w:r w:rsidRPr="00C54090">
        <w:t>he</w:t>
      </w:r>
      <w:r w:rsidR="00F74455" w:rsidRPr="00C54090">
        <w:t>re is thus</w:t>
      </w:r>
      <w:r w:rsidRPr="00C54090">
        <w:t xml:space="preserve"> </w:t>
      </w:r>
      <w:r w:rsidR="00F74455" w:rsidRPr="00C54090">
        <w:t>a</w:t>
      </w:r>
      <w:r w:rsidRPr="00C54090">
        <w:t xml:space="preserve"> focus on long-term stability or sustainability in both republicanism and environmentalism.  </w:t>
      </w:r>
      <w:r w:rsidRPr="00C54090">
        <w:rPr>
          <w:lang w:val="en-GB"/>
        </w:rPr>
        <w:t xml:space="preserve">As </w:t>
      </w:r>
      <w:r w:rsidR="003B4ADD">
        <w:rPr>
          <w:lang w:val="en-GB"/>
        </w:rPr>
        <w:t xml:space="preserve">John </w:t>
      </w:r>
      <w:r w:rsidRPr="00C54090">
        <w:rPr>
          <w:lang w:val="en-GB"/>
        </w:rPr>
        <w:t xml:space="preserve">Barry </w:t>
      </w:r>
      <w:r w:rsidR="00F74455" w:rsidRPr="00C54090">
        <w:rPr>
          <w:lang w:val="en-GB"/>
        </w:rPr>
        <w:t>argues, the</w:t>
      </w:r>
      <w:r w:rsidRPr="00C54090">
        <w:rPr>
          <w:lang w:val="en-GB"/>
        </w:rPr>
        <w:t xml:space="preserve"> republic’s determinate existence in space and time, and republicans’ historical concern – often to the point of pessimism – with eventual corruption give republicanism an appreciation of limits, of people’s dependence on and vulnerability to external forces, and even of the republic’s ecological conditions and specificities.</w:t>
      </w:r>
      <w:r w:rsidRPr="00C54090">
        <w:rPr>
          <w:rStyle w:val="EndnoteReference"/>
          <w:lang w:val="en-GB"/>
        </w:rPr>
        <w:endnoteReference w:id="6"/>
      </w:r>
      <w:r w:rsidRPr="00C54090">
        <w:t xml:space="preserve"> </w:t>
      </w:r>
      <w:r w:rsidRPr="00C54090">
        <w:rPr>
          <w:lang w:val="en-GB"/>
        </w:rPr>
        <w:t xml:space="preserve"> Barry thus calls sustainability “a central value for republicans.”</w:t>
      </w:r>
      <w:r w:rsidRPr="00C54090">
        <w:rPr>
          <w:rStyle w:val="EndnoteReference"/>
          <w:lang w:val="en-GB"/>
        </w:rPr>
        <w:endnoteReference w:id="7"/>
      </w:r>
      <w:r w:rsidRPr="00C54090">
        <w:rPr>
          <w:lang w:val="en-GB"/>
        </w:rPr>
        <w:t xml:space="preserve">  Rather than adopting modernity’s conventional narrative of human progress, the republic must maintain itself against degenerative forces.  This makes the republican polity an intergenerational compact: one cannot fall back on the prospect of future progress, economic growth, or the invisible hand to give license to either material greed or ecologically profligate practices in the present.</w:t>
      </w:r>
      <w:r w:rsidRPr="00C54090">
        <w:rPr>
          <w:rStyle w:val="EndnoteReference"/>
          <w:lang w:val="en-GB"/>
        </w:rPr>
        <w:endnoteReference w:id="8"/>
      </w:r>
      <w:r w:rsidRPr="00C54090">
        <w:rPr>
          <w:lang w:val="en-GB"/>
        </w:rPr>
        <w:t xml:space="preserve">  </w:t>
      </w:r>
    </w:p>
    <w:p w14:paraId="1B385D37" w14:textId="77777777" w:rsidR="005A432C" w:rsidRPr="00C54090" w:rsidRDefault="005A432C" w:rsidP="005A432C">
      <w:pPr>
        <w:spacing w:line="480" w:lineRule="auto"/>
        <w:rPr>
          <w:lang w:val="en-GB"/>
        </w:rPr>
      </w:pPr>
    </w:p>
    <w:p w14:paraId="13923686" w14:textId="6B426CBF" w:rsidR="00F74455" w:rsidRPr="00C54090" w:rsidRDefault="00F74455" w:rsidP="005A432C">
      <w:pPr>
        <w:spacing w:line="480" w:lineRule="auto"/>
        <w:rPr>
          <w:b/>
          <w:lang w:val="en-GB"/>
        </w:rPr>
      </w:pPr>
      <w:r w:rsidRPr="00C54090">
        <w:rPr>
          <w:b/>
          <w:lang w:val="en-GB"/>
        </w:rPr>
        <w:t>The Transition Movement</w:t>
      </w:r>
    </w:p>
    <w:p w14:paraId="3C46F6CE" w14:textId="41EF0D4B" w:rsidR="000E4B92" w:rsidRDefault="00F74455" w:rsidP="007F2350">
      <w:pPr>
        <w:spacing w:line="480" w:lineRule="auto"/>
        <w:ind w:firstLine="720"/>
        <w:rPr>
          <w:rFonts w:cs="Baskerville"/>
        </w:rPr>
      </w:pPr>
      <w:r w:rsidRPr="00C54090">
        <w:rPr>
          <w:rFonts w:cs="Baskerville"/>
        </w:rPr>
        <w:t xml:space="preserve">The Transition </w:t>
      </w:r>
      <w:r w:rsidR="00BB5F62" w:rsidRPr="00C54090">
        <w:rPr>
          <w:rFonts w:cs="Baskerville"/>
        </w:rPr>
        <w:t>movement</w:t>
      </w:r>
      <w:r w:rsidR="00BB5F62" w:rsidRPr="00C54090">
        <w:t xml:space="preserve"> focuses on three key global challenges: c</w:t>
      </w:r>
      <w:r w:rsidR="00BB5F62" w:rsidRPr="00C54090">
        <w:rPr>
          <w:rFonts w:cs="Times New Roman"/>
        </w:rPr>
        <w:t>limate change, reliance on fossil fuels (including the controversial issue of Peak Oil, which I will not elaborate on here)</w:t>
      </w:r>
      <w:r w:rsidR="00BB5F62" w:rsidRPr="00C54090">
        <w:t>, and g</w:t>
      </w:r>
      <w:r w:rsidR="00BB5F62" w:rsidRPr="00C54090">
        <w:rPr>
          <w:rFonts w:cs="Times New Roman"/>
        </w:rPr>
        <w:t>lobal economic crisis.  Transition addresses the problems through local action</w:t>
      </w:r>
      <w:r w:rsidR="00BB5F62">
        <w:rPr>
          <w:rFonts w:cs="Times New Roman"/>
        </w:rPr>
        <w:t xml:space="preserve"> – the creation of “Transition Towns” </w:t>
      </w:r>
      <w:r w:rsidR="007F2350">
        <w:rPr>
          <w:rFonts w:cs="Times New Roman"/>
        </w:rPr>
        <w:t xml:space="preserve">or “Transition </w:t>
      </w:r>
      <w:r w:rsidR="00431E86">
        <w:rPr>
          <w:rFonts w:cs="Times New Roman"/>
        </w:rPr>
        <w:t>initiatives</w:t>
      </w:r>
      <w:r w:rsidR="007F2350">
        <w:rPr>
          <w:rFonts w:cs="Times New Roman"/>
        </w:rPr>
        <w:t xml:space="preserve">” </w:t>
      </w:r>
      <w:r w:rsidR="00BB5F62">
        <w:rPr>
          <w:rFonts w:cs="Times New Roman"/>
        </w:rPr>
        <w:t>–</w:t>
      </w:r>
      <w:r w:rsidR="00BB5F62" w:rsidRPr="00C54090">
        <w:rPr>
          <w:rFonts w:cs="Times New Roman"/>
        </w:rPr>
        <w:t xml:space="preserve"> to build economic</w:t>
      </w:r>
      <w:r w:rsidR="007F2350">
        <w:rPr>
          <w:rFonts w:cs="Times New Roman"/>
        </w:rPr>
        <w:t>, social,</w:t>
      </w:r>
      <w:r w:rsidR="00BB5F62" w:rsidRPr="00C54090">
        <w:rPr>
          <w:rFonts w:cs="Times New Roman"/>
        </w:rPr>
        <w:t xml:space="preserve"> and </w:t>
      </w:r>
      <w:r w:rsidR="007F2350">
        <w:rPr>
          <w:rFonts w:cs="Times New Roman"/>
        </w:rPr>
        <w:t>environmental</w:t>
      </w:r>
      <w:r w:rsidR="00BB5F62" w:rsidRPr="00C54090">
        <w:rPr>
          <w:rFonts w:cs="Times New Roman"/>
        </w:rPr>
        <w:t xml:space="preserve"> resiliency, </w:t>
      </w:r>
      <w:r w:rsidR="007F2350">
        <w:rPr>
          <w:rFonts w:cs="Times New Roman"/>
        </w:rPr>
        <w:t xml:space="preserve">reduce energy </w:t>
      </w:r>
      <w:r w:rsidR="00BB5F62" w:rsidRPr="00C54090">
        <w:rPr>
          <w:rFonts w:cs="Times New Roman"/>
        </w:rPr>
        <w:t xml:space="preserve">use, and end fossil fuel dependence.  </w:t>
      </w:r>
      <w:r w:rsidR="007F2350">
        <w:rPr>
          <w:rFonts w:cs="Times New Roman"/>
        </w:rPr>
        <w:t xml:space="preserve">The </w:t>
      </w:r>
      <w:r w:rsidRPr="00C54090">
        <w:rPr>
          <w:rFonts w:cs="Baskerville"/>
        </w:rPr>
        <w:t xml:space="preserve">movement started in </w:t>
      </w:r>
      <w:r w:rsidR="00420741" w:rsidRPr="00C54090">
        <w:rPr>
          <w:rFonts w:cs="Baskerville"/>
        </w:rPr>
        <w:t>2005-</w:t>
      </w:r>
      <w:r w:rsidRPr="00C54090">
        <w:rPr>
          <w:rFonts w:cs="Baskerville"/>
        </w:rPr>
        <w:t xml:space="preserve">2006 with two groups, in </w:t>
      </w:r>
      <w:r w:rsidR="00431E86" w:rsidRPr="00C54090">
        <w:rPr>
          <w:rFonts w:cs="Baskerville"/>
        </w:rPr>
        <w:t>Kin</w:t>
      </w:r>
      <w:r w:rsidR="00431E86">
        <w:rPr>
          <w:rFonts w:cs="Baskerville"/>
        </w:rPr>
        <w:t>sal</w:t>
      </w:r>
      <w:r w:rsidR="00431E86" w:rsidRPr="00C54090">
        <w:rPr>
          <w:rFonts w:cs="Baskerville"/>
        </w:rPr>
        <w:t>e</w:t>
      </w:r>
      <w:r w:rsidR="00420741" w:rsidRPr="00C54090">
        <w:rPr>
          <w:rFonts w:cs="Baskerville"/>
        </w:rPr>
        <w:t xml:space="preserve">, </w:t>
      </w:r>
      <w:r w:rsidRPr="00C54090">
        <w:rPr>
          <w:rFonts w:cs="Baskerville"/>
        </w:rPr>
        <w:t>Ireland</w:t>
      </w:r>
      <w:r w:rsidR="00420741" w:rsidRPr="00C54090">
        <w:rPr>
          <w:rFonts w:cs="Baskerville"/>
        </w:rPr>
        <w:t>,</w:t>
      </w:r>
      <w:r w:rsidRPr="00C54090">
        <w:rPr>
          <w:rFonts w:cs="Baskerville"/>
        </w:rPr>
        <w:t xml:space="preserve"> and </w:t>
      </w:r>
      <w:r w:rsidR="00420741" w:rsidRPr="00C54090">
        <w:rPr>
          <w:rFonts w:cs="Baskerville"/>
        </w:rPr>
        <w:t>Totnes,</w:t>
      </w:r>
      <w:r w:rsidRPr="00C54090">
        <w:rPr>
          <w:rFonts w:cs="Baskerville"/>
        </w:rPr>
        <w:t xml:space="preserve"> UK.</w:t>
      </w:r>
      <w:r w:rsidRPr="00C54090">
        <w:t xml:space="preserve">  </w:t>
      </w:r>
      <w:r w:rsidR="00AC6864" w:rsidRPr="00C54090">
        <w:rPr>
          <w:rFonts w:cs="Baskerville"/>
        </w:rPr>
        <w:t>By 201</w:t>
      </w:r>
      <w:r w:rsidR="000E4B92">
        <w:rPr>
          <w:rFonts w:cs="Baskerville"/>
        </w:rPr>
        <w:t>3</w:t>
      </w:r>
      <w:r w:rsidRPr="00C54090">
        <w:rPr>
          <w:rFonts w:cs="Baskerville"/>
        </w:rPr>
        <w:t>, there were over 1100 initiatives in over 43 countries.</w:t>
      </w:r>
      <w:r w:rsidR="000E4B92">
        <w:rPr>
          <w:rStyle w:val="EndnoteReference"/>
          <w:rFonts w:cs="Baskerville"/>
        </w:rPr>
        <w:endnoteReference w:id="9"/>
      </w:r>
      <w:r w:rsidRPr="00C54090">
        <w:rPr>
          <w:rFonts w:cs="Baskerville"/>
        </w:rPr>
        <w:t xml:space="preserve">  </w:t>
      </w:r>
    </w:p>
    <w:p w14:paraId="4AB133CE" w14:textId="7B67C372" w:rsidR="00AC6864" w:rsidRPr="00C54090" w:rsidRDefault="00AF3840" w:rsidP="007F2350">
      <w:pPr>
        <w:spacing w:line="480" w:lineRule="auto"/>
        <w:ind w:firstLine="720"/>
        <w:rPr>
          <w:rFonts w:cs="Times New Roman"/>
        </w:rPr>
      </w:pPr>
      <w:r w:rsidRPr="00C54090">
        <w:rPr>
          <w:rFonts w:cs="Times New Roman"/>
        </w:rPr>
        <w:t xml:space="preserve">With regard to climate change, Transition efforts can fit into both </w:t>
      </w:r>
      <w:r w:rsidR="00AC6864" w:rsidRPr="00C54090">
        <w:rPr>
          <w:rFonts w:cs="Times New Roman"/>
        </w:rPr>
        <w:t>mitigation</w:t>
      </w:r>
      <w:r w:rsidRPr="00C54090">
        <w:rPr>
          <w:rFonts w:cs="Times New Roman"/>
        </w:rPr>
        <w:t xml:space="preserve"> and </w:t>
      </w:r>
      <w:r w:rsidR="00AC6864" w:rsidRPr="00C54090">
        <w:rPr>
          <w:rFonts w:cs="Times New Roman"/>
        </w:rPr>
        <w:t xml:space="preserve">adaptation.  In terms of mitigation, Transition groups </w:t>
      </w:r>
      <w:r w:rsidR="000E4B92">
        <w:rPr>
          <w:rFonts w:cs="Times New Roman"/>
        </w:rPr>
        <w:t xml:space="preserve">work to </w:t>
      </w:r>
      <w:r w:rsidR="00AC6864" w:rsidRPr="00C54090">
        <w:rPr>
          <w:rFonts w:cs="Times New Roman"/>
        </w:rPr>
        <w:t xml:space="preserve">reduce reliance on fossil fuels and thus promote reductions in greenhouse gas emissions.  At the same time, the Transition movement’s effort to build local economic self-determination, especially </w:t>
      </w:r>
      <w:r w:rsidR="00431E86">
        <w:rPr>
          <w:rFonts w:cs="Times New Roman"/>
        </w:rPr>
        <w:t>with regard to</w:t>
      </w:r>
      <w:r w:rsidR="00AC6864" w:rsidRPr="00C54090">
        <w:rPr>
          <w:rFonts w:cs="Times New Roman"/>
        </w:rPr>
        <w:t xml:space="preserve"> food production, would </w:t>
      </w:r>
      <w:r w:rsidR="000E4B92">
        <w:rPr>
          <w:rFonts w:cs="Times New Roman"/>
        </w:rPr>
        <w:t xml:space="preserve">ostensibly </w:t>
      </w:r>
      <w:r w:rsidR="00AC6864" w:rsidRPr="00C54090">
        <w:rPr>
          <w:rFonts w:cs="Times New Roman"/>
        </w:rPr>
        <w:t>make local communities more resilient in the face of disruptive climatic events.</w:t>
      </w:r>
      <w:r w:rsidR="000E4B92">
        <w:rPr>
          <w:rFonts w:cs="Times New Roman"/>
        </w:rPr>
        <w:t xml:space="preserve">  However, the movement, with its focus on resilience, tends to lean more toward adaptation.</w:t>
      </w:r>
    </w:p>
    <w:p w14:paraId="26C21B31" w14:textId="6668DB78" w:rsidR="000D70A3" w:rsidRPr="00C54090" w:rsidRDefault="007D712A" w:rsidP="000D70A3">
      <w:pPr>
        <w:spacing w:line="480" w:lineRule="auto"/>
        <w:ind w:firstLine="720"/>
        <w:rPr>
          <w:rFonts w:cs="Times New Roman"/>
        </w:rPr>
      </w:pPr>
      <w:r w:rsidRPr="00C54090">
        <w:rPr>
          <w:rFonts w:cs="Times New Roman"/>
        </w:rPr>
        <w:t xml:space="preserve">One must distinguish between individual Transition initiatives, which are generally at the </w:t>
      </w:r>
      <w:r w:rsidR="000E4B92">
        <w:rPr>
          <w:rFonts w:cs="Times New Roman"/>
        </w:rPr>
        <w:t>level</w:t>
      </w:r>
      <w:r w:rsidRPr="00C54090">
        <w:rPr>
          <w:rFonts w:cs="Times New Roman"/>
        </w:rPr>
        <w:t xml:space="preserve"> of </w:t>
      </w:r>
      <w:r w:rsidR="00F76CCD" w:rsidRPr="00C54090">
        <w:rPr>
          <w:rFonts w:cs="Times New Roman"/>
        </w:rPr>
        <w:t xml:space="preserve">a street, neighborhood, </w:t>
      </w:r>
      <w:r w:rsidRPr="00C54090">
        <w:rPr>
          <w:rFonts w:cs="Times New Roman"/>
        </w:rPr>
        <w:t>small town</w:t>
      </w:r>
      <w:r w:rsidR="00F76CCD" w:rsidRPr="00C54090">
        <w:rPr>
          <w:rFonts w:cs="Times New Roman"/>
        </w:rPr>
        <w:t>,</w:t>
      </w:r>
      <w:r w:rsidRPr="00C54090">
        <w:rPr>
          <w:rFonts w:cs="Times New Roman"/>
        </w:rPr>
        <w:t xml:space="preserve"> or </w:t>
      </w:r>
      <w:r w:rsidR="000E4B92">
        <w:rPr>
          <w:rFonts w:cs="Times New Roman"/>
        </w:rPr>
        <w:t xml:space="preserve">perhaps a </w:t>
      </w:r>
      <w:r w:rsidRPr="00C54090">
        <w:rPr>
          <w:rFonts w:cs="Times New Roman"/>
        </w:rPr>
        <w:t xml:space="preserve">municipality, </w:t>
      </w:r>
      <w:r w:rsidR="003D3374" w:rsidRPr="00C54090">
        <w:rPr>
          <w:rFonts w:cs="Times New Roman"/>
        </w:rPr>
        <w:t xml:space="preserve">though usually on the scale of communities with no more than 20,000 people, </w:t>
      </w:r>
      <w:r w:rsidRPr="00C54090">
        <w:rPr>
          <w:rFonts w:cs="Times New Roman"/>
        </w:rPr>
        <w:t>and the</w:t>
      </w:r>
      <w:r w:rsidR="008F669E" w:rsidRPr="00C54090">
        <w:rPr>
          <w:rFonts w:cs="Times New Roman"/>
        </w:rPr>
        <w:t xml:space="preserve"> </w:t>
      </w:r>
      <w:r w:rsidR="00AC6864" w:rsidRPr="00C54090">
        <w:rPr>
          <w:rFonts w:cs="Times New Roman"/>
        </w:rPr>
        <w:t xml:space="preserve">larger </w:t>
      </w:r>
      <w:r w:rsidR="008F669E" w:rsidRPr="00C54090">
        <w:rPr>
          <w:rFonts w:cs="Times New Roman"/>
        </w:rPr>
        <w:t>Transition movement</w:t>
      </w:r>
      <w:r w:rsidR="00AC6864" w:rsidRPr="00C54090">
        <w:rPr>
          <w:rFonts w:cs="Times New Roman"/>
        </w:rPr>
        <w:t xml:space="preserve"> </w:t>
      </w:r>
      <w:r w:rsidRPr="00C54090">
        <w:rPr>
          <w:rFonts w:cs="Times New Roman"/>
        </w:rPr>
        <w:t xml:space="preserve">itself.  The movement </w:t>
      </w:r>
      <w:r w:rsidR="00AC6864" w:rsidRPr="00C54090">
        <w:rPr>
          <w:rFonts w:cs="Times New Roman"/>
        </w:rPr>
        <w:t xml:space="preserve">does not present a top-down blueprint for action.  Rather, </w:t>
      </w:r>
      <w:r w:rsidR="008413A7" w:rsidRPr="00C54090">
        <w:rPr>
          <w:rFonts w:cs="Times New Roman"/>
        </w:rPr>
        <w:t>through</w:t>
      </w:r>
      <w:r w:rsidR="00D11DFE" w:rsidRPr="00C54090">
        <w:rPr>
          <w:rFonts w:cs="Times New Roman"/>
        </w:rPr>
        <w:t xml:space="preserve"> national, </w:t>
      </w:r>
      <w:r w:rsidRPr="00C54090">
        <w:rPr>
          <w:rFonts w:cs="Times New Roman"/>
        </w:rPr>
        <w:t>regional</w:t>
      </w:r>
      <w:r w:rsidR="00D11DFE" w:rsidRPr="00C54090">
        <w:rPr>
          <w:rFonts w:cs="Times New Roman"/>
        </w:rPr>
        <w:t>, or municipal</w:t>
      </w:r>
      <w:r w:rsidRPr="00C54090">
        <w:rPr>
          <w:rFonts w:cs="Times New Roman"/>
        </w:rPr>
        <w:t xml:space="preserve"> ‘hubs’</w:t>
      </w:r>
      <w:r w:rsidR="00AC6864" w:rsidRPr="00C54090">
        <w:rPr>
          <w:rFonts w:cs="Times New Roman"/>
        </w:rPr>
        <w:t xml:space="preserve"> </w:t>
      </w:r>
      <w:r w:rsidRPr="00C54090">
        <w:rPr>
          <w:rFonts w:cs="Times New Roman"/>
        </w:rPr>
        <w:t>like the UK National Hub</w:t>
      </w:r>
      <w:r w:rsidR="000D70A3" w:rsidRPr="00C54090">
        <w:rPr>
          <w:rFonts w:cs="Times New Roman"/>
        </w:rPr>
        <w:t>, Transition US,</w:t>
      </w:r>
      <w:r w:rsidRPr="00C54090">
        <w:rPr>
          <w:rFonts w:cs="Times New Roman"/>
        </w:rPr>
        <w:t xml:space="preserve"> or the Mid</w:t>
      </w:r>
      <w:r w:rsidR="008413A7" w:rsidRPr="00C54090">
        <w:rPr>
          <w:rFonts w:cs="Times New Roman"/>
        </w:rPr>
        <w:t xml:space="preserve">-Atlantic Transition Hub, it works </w:t>
      </w:r>
      <w:r w:rsidR="00AC6864" w:rsidRPr="00C54090">
        <w:rPr>
          <w:rFonts w:cs="Times New Roman"/>
        </w:rPr>
        <w:t xml:space="preserve">as a kind of facilitating network </w:t>
      </w:r>
      <w:r w:rsidR="008413A7" w:rsidRPr="00C54090">
        <w:rPr>
          <w:rFonts w:cs="Times New Roman"/>
        </w:rPr>
        <w:t>that</w:t>
      </w:r>
      <w:r w:rsidR="00AC6864" w:rsidRPr="00C54090">
        <w:rPr>
          <w:rFonts w:cs="Times New Roman"/>
        </w:rPr>
        <w:t xml:space="preserve"> </w:t>
      </w:r>
      <w:r w:rsidR="008F669E" w:rsidRPr="00C54090">
        <w:rPr>
          <w:rFonts w:cs="Times New Roman"/>
        </w:rPr>
        <w:t xml:space="preserve">helps </w:t>
      </w:r>
      <w:r w:rsidR="008413A7" w:rsidRPr="00C54090">
        <w:rPr>
          <w:rFonts w:cs="Times New Roman"/>
        </w:rPr>
        <w:t>nurture more local</w:t>
      </w:r>
      <w:r w:rsidR="008F669E" w:rsidRPr="00C54090">
        <w:rPr>
          <w:rFonts w:cs="Times New Roman"/>
        </w:rPr>
        <w:t xml:space="preserve"> initiatives.</w:t>
      </w:r>
      <w:r w:rsidR="008F669E" w:rsidRPr="00C54090">
        <w:t xml:space="preserve">  </w:t>
      </w:r>
      <w:r w:rsidR="008413A7" w:rsidRPr="00C54090">
        <w:t xml:space="preserve">These larger groups </w:t>
      </w:r>
      <w:r w:rsidR="000E4B92">
        <w:t xml:space="preserve">pursue a number of tasks.  They </w:t>
      </w:r>
      <w:r w:rsidR="008413A7" w:rsidRPr="00C54090">
        <w:t xml:space="preserve">share information, </w:t>
      </w:r>
      <w:r w:rsidR="00D82001" w:rsidRPr="00C54090">
        <w:t xml:space="preserve">organize gatherings, </w:t>
      </w:r>
      <w:r w:rsidR="00236686" w:rsidRPr="00C54090">
        <w:t>make connections with groups in other regions or countries, maintain an online and social media presence for the movement, provide</w:t>
      </w:r>
      <w:r w:rsidR="008413A7" w:rsidRPr="00C54090">
        <w:t xml:space="preserve"> directories of initiatives, facilitate communication among groups, </w:t>
      </w:r>
      <w:r w:rsidR="009B127B" w:rsidRPr="00C54090">
        <w:t xml:space="preserve">help with fundraising, </w:t>
      </w:r>
      <w:r w:rsidR="008413A7" w:rsidRPr="00C54090">
        <w:t xml:space="preserve">offer </w:t>
      </w:r>
      <w:r w:rsidR="000D70A3" w:rsidRPr="00C54090">
        <w:t xml:space="preserve">publicity and </w:t>
      </w:r>
      <w:r w:rsidR="008413A7" w:rsidRPr="00C54090">
        <w:t>media resources,</w:t>
      </w:r>
      <w:r w:rsidR="00236686" w:rsidRPr="00C54090">
        <w:t xml:space="preserve"> provide technical support,</w:t>
      </w:r>
      <w:r w:rsidR="000228EA" w:rsidRPr="00C54090">
        <w:t xml:space="preserve"> publish books,</w:t>
      </w:r>
      <w:r w:rsidR="008413A7" w:rsidRPr="00C54090">
        <w:t xml:space="preserve"> and provide training in group organization and governance, conflict resolution, and sustainable living.</w:t>
      </w:r>
      <w:r w:rsidRPr="00C54090">
        <w:rPr>
          <w:rStyle w:val="EndnoteReference"/>
        </w:rPr>
        <w:endnoteReference w:id="10"/>
      </w:r>
      <w:r w:rsidR="000D70A3" w:rsidRPr="00C54090">
        <w:t xml:space="preserve">  Transition US describes itself as “based on a living cell, a biological system, in keeping with the organic emergence of the Transition movement.  </w:t>
      </w:r>
      <w:r w:rsidR="000D70A3" w:rsidRPr="00C54090">
        <w:rPr>
          <w:rFonts w:cs="Times New Roman"/>
        </w:rPr>
        <w:t>Various scales of initiative emerge organically … at scales that feel most appropriate to them, guided by the Purpose and Principles of Transition. Regional groups may network together creating ‘hubs’ of Transition Initiatives that work to common purpose.”  Transition US</w:t>
      </w:r>
      <w:r w:rsidR="000D70A3" w:rsidRPr="00C54090">
        <w:t xml:space="preserve"> “</w:t>
      </w:r>
      <w:r w:rsidR="000D70A3" w:rsidRPr="00C54090">
        <w:rPr>
          <w:rFonts w:cs="Times New Roman"/>
        </w:rPr>
        <w:t>functions like a cell membrane, enshrining the Purpose and Principles common to the wider Transition Movement and acts as a catalyst to keep the circle expanding as the number of initiatives it contains grows.”</w:t>
      </w:r>
      <w:r w:rsidR="000D70A3" w:rsidRPr="00C54090">
        <w:rPr>
          <w:rStyle w:val="EndnoteReference"/>
          <w:rFonts w:cs="Times New Roman"/>
        </w:rPr>
        <w:endnoteReference w:id="11"/>
      </w:r>
      <w:r w:rsidR="00D11DFE" w:rsidRPr="00C54090">
        <w:rPr>
          <w:rFonts w:cs="Times New Roman"/>
        </w:rPr>
        <w:t xml:space="preserve">  </w:t>
      </w:r>
    </w:p>
    <w:p w14:paraId="38B7B059" w14:textId="77777777" w:rsidR="009C6CD3" w:rsidRDefault="00F76CCD" w:rsidP="00D11DFE">
      <w:pPr>
        <w:spacing w:line="480" w:lineRule="auto"/>
        <w:ind w:firstLine="720"/>
      </w:pPr>
      <w:r w:rsidRPr="00C54090">
        <w:t>For individual Transition efforts, t</w:t>
      </w:r>
      <w:r w:rsidR="008F669E" w:rsidRPr="00C54090">
        <w:t xml:space="preserve">he overall approach seems to be to start with an initiating group that publicizes </w:t>
      </w:r>
      <w:r w:rsidRPr="00C54090">
        <w:t>the movement</w:t>
      </w:r>
      <w:r w:rsidR="008F669E" w:rsidRPr="00C54090">
        <w:t xml:space="preserve"> for about a year </w:t>
      </w:r>
      <w:r w:rsidRPr="00C54090">
        <w:t xml:space="preserve">through events like film screenings </w:t>
      </w:r>
      <w:r w:rsidR="008F669E" w:rsidRPr="00C54090">
        <w:t>and</w:t>
      </w:r>
      <w:r w:rsidR="00DF0C56" w:rsidRPr="00C54090">
        <w:t xml:space="preserve"> lectures,</w:t>
      </w:r>
      <w:r w:rsidR="008F669E" w:rsidRPr="00C54090">
        <w:t xml:space="preserve"> </w:t>
      </w:r>
      <w:r w:rsidR="000E4B92">
        <w:t xml:space="preserve">and so </w:t>
      </w:r>
      <w:r w:rsidR="008F669E" w:rsidRPr="00C54090">
        <w:t>gets people involved</w:t>
      </w:r>
      <w:r w:rsidR="00DF0C56" w:rsidRPr="00C54090">
        <w:t xml:space="preserve">, and </w:t>
      </w:r>
      <w:r w:rsidR="000E4B92">
        <w:t xml:space="preserve">eventually </w:t>
      </w:r>
      <w:r w:rsidR="00DF0C56" w:rsidRPr="00C54090">
        <w:t>receives training from the larger hub</w:t>
      </w:r>
      <w:r w:rsidRPr="00C54090">
        <w:t>.  The group t</w:t>
      </w:r>
      <w:r w:rsidR="008F669E" w:rsidRPr="00C54090">
        <w:t>hen has a Great Unleashing, an organizing event that brings in people from the community and leads to the dissolution of the initiating committee</w:t>
      </w:r>
      <w:r w:rsidRPr="00C54090">
        <w:t xml:space="preserve"> and the creation of an established, active group</w:t>
      </w:r>
      <w:r w:rsidR="008F669E" w:rsidRPr="00C54090">
        <w:t xml:space="preserve">.  </w:t>
      </w:r>
      <w:r w:rsidR="00DF0C56" w:rsidRPr="00C54090">
        <w:t xml:space="preserve">As groups mature, they move from </w:t>
      </w:r>
      <w:r w:rsidR="008F669E" w:rsidRPr="00C54090">
        <w:t>small</w:t>
      </w:r>
      <w:r w:rsidR="00DF0C56" w:rsidRPr="00C54090">
        <w:t>er</w:t>
      </w:r>
      <w:r w:rsidR="008F669E" w:rsidRPr="00C54090">
        <w:t xml:space="preserve">-scale projects like community gardens to larger, </w:t>
      </w:r>
      <w:r w:rsidR="00DF0C56" w:rsidRPr="00C54090">
        <w:t>more holistic</w:t>
      </w:r>
      <w:r w:rsidR="008F669E" w:rsidRPr="00C54090">
        <w:t xml:space="preserve"> efforts that address issues like transportation infras</w:t>
      </w:r>
      <w:r w:rsidR="00DF0C56" w:rsidRPr="00C54090">
        <w:t xml:space="preserve">tructure and energy generation.  </w:t>
      </w:r>
    </w:p>
    <w:p w14:paraId="354A3884" w14:textId="43891424" w:rsidR="009C6CD3" w:rsidRDefault="00DF0C56" w:rsidP="00D11DFE">
      <w:pPr>
        <w:spacing w:line="480" w:lineRule="auto"/>
        <w:ind w:firstLine="720"/>
        <w:rPr>
          <w:rFonts w:cs="Times New Roman"/>
        </w:rPr>
      </w:pPr>
      <w:r w:rsidRPr="00C54090">
        <w:t xml:space="preserve">Specific </w:t>
      </w:r>
      <w:r w:rsidR="008F669E" w:rsidRPr="00C54090">
        <w:rPr>
          <w:rFonts w:cs="Times New Roman"/>
        </w:rPr>
        <w:t xml:space="preserve">Transition projects around the world have included </w:t>
      </w:r>
      <w:r w:rsidR="004825C4" w:rsidRPr="00C54090">
        <w:rPr>
          <w:rFonts w:cs="Times New Roman"/>
        </w:rPr>
        <w:t>community-owned energy cooperatives</w:t>
      </w:r>
      <w:r w:rsidR="009304FC" w:rsidRPr="00C54090">
        <w:rPr>
          <w:rFonts w:cs="Times New Roman"/>
        </w:rPr>
        <w:t xml:space="preserve"> and renewable energy development</w:t>
      </w:r>
      <w:r w:rsidR="004825C4" w:rsidRPr="00C54090">
        <w:rPr>
          <w:rFonts w:cs="Times New Roman"/>
        </w:rPr>
        <w:t xml:space="preserve">; efforts to make local businesses, like dry cleaners, environmentally friendly; </w:t>
      </w:r>
      <w:r w:rsidR="008F669E" w:rsidRPr="00C54090">
        <w:rPr>
          <w:rFonts w:cs="Times New Roman"/>
        </w:rPr>
        <w:t>permaculture</w:t>
      </w:r>
      <w:r w:rsidR="004825C4" w:rsidRPr="00C54090">
        <w:rPr>
          <w:rFonts w:cs="Times New Roman"/>
        </w:rPr>
        <w:t xml:space="preserve"> farming</w:t>
      </w:r>
      <w:r w:rsidR="008F669E" w:rsidRPr="00C54090">
        <w:rPr>
          <w:rFonts w:cs="Times New Roman"/>
        </w:rPr>
        <w:t xml:space="preserve">, urban gardens, and bee hives; </w:t>
      </w:r>
      <w:r w:rsidR="00D11DFE" w:rsidRPr="00C54090">
        <w:rPr>
          <w:rFonts w:cs="Times New Roman"/>
        </w:rPr>
        <w:t xml:space="preserve">tree-planting; </w:t>
      </w:r>
      <w:r w:rsidR="008F669E" w:rsidRPr="00C54090">
        <w:rPr>
          <w:rFonts w:cs="Times New Roman"/>
        </w:rPr>
        <w:t>water- and energy-saving projects and building retrofits; rainwater collection; composting, waste recycling, and waste reduction</w:t>
      </w:r>
      <w:r w:rsidRPr="00C54090">
        <w:rPr>
          <w:rFonts w:cs="Times New Roman"/>
        </w:rPr>
        <w:t xml:space="preserve"> projects</w:t>
      </w:r>
      <w:r w:rsidR="008F669E" w:rsidRPr="00C54090">
        <w:rPr>
          <w:rFonts w:cs="Times New Roman"/>
        </w:rPr>
        <w:t xml:space="preserve">; </w:t>
      </w:r>
      <w:r w:rsidR="000E4B92">
        <w:rPr>
          <w:rFonts w:cs="Times New Roman"/>
        </w:rPr>
        <w:t>design of</w:t>
      </w:r>
      <w:r w:rsidR="00096602" w:rsidRPr="00C54090">
        <w:rPr>
          <w:rFonts w:cs="Times New Roman"/>
        </w:rPr>
        <w:t xml:space="preserve"> </w:t>
      </w:r>
      <w:r w:rsidR="008F669E" w:rsidRPr="00C54090">
        <w:rPr>
          <w:rFonts w:cs="Times New Roman"/>
        </w:rPr>
        <w:t xml:space="preserve">pedestrian- and bicycle-friendly streets; </w:t>
      </w:r>
      <w:r w:rsidR="000E4B92">
        <w:rPr>
          <w:rFonts w:cs="Times New Roman"/>
        </w:rPr>
        <w:t xml:space="preserve">street fairs, </w:t>
      </w:r>
      <w:r w:rsidR="008F669E" w:rsidRPr="00C54090">
        <w:rPr>
          <w:rFonts w:cs="Times New Roman"/>
        </w:rPr>
        <w:t>festivals</w:t>
      </w:r>
      <w:r w:rsidR="000E4B92">
        <w:rPr>
          <w:rFonts w:cs="Times New Roman"/>
        </w:rPr>
        <w:t>, and arts and other cultural initiatives</w:t>
      </w:r>
      <w:r w:rsidR="008F669E" w:rsidRPr="00C54090">
        <w:rPr>
          <w:rFonts w:cs="Times New Roman"/>
        </w:rPr>
        <w:t xml:space="preserve">; </w:t>
      </w:r>
      <w:r w:rsidR="000E4B92">
        <w:rPr>
          <w:rFonts w:cs="Times New Roman"/>
        </w:rPr>
        <w:t xml:space="preserve">creation of </w:t>
      </w:r>
      <w:r w:rsidR="000E4B92" w:rsidRPr="00C54090">
        <w:rPr>
          <w:rFonts w:cs="Times New Roman"/>
        </w:rPr>
        <w:t xml:space="preserve">local business and craft enterprises; </w:t>
      </w:r>
      <w:r w:rsidR="000228EA" w:rsidRPr="00C54090">
        <w:rPr>
          <w:rFonts w:cs="Times New Roman"/>
        </w:rPr>
        <w:t xml:space="preserve">partnerships with </w:t>
      </w:r>
      <w:r w:rsidR="000E4B92">
        <w:rPr>
          <w:rFonts w:cs="Times New Roman"/>
        </w:rPr>
        <w:t xml:space="preserve">existing </w:t>
      </w:r>
      <w:r w:rsidR="000228EA" w:rsidRPr="00C54090">
        <w:rPr>
          <w:rFonts w:cs="Times New Roman"/>
        </w:rPr>
        <w:t xml:space="preserve">local businesses; </w:t>
      </w:r>
      <w:r w:rsidR="008F669E" w:rsidRPr="00C54090">
        <w:rPr>
          <w:rFonts w:cs="Times New Roman"/>
        </w:rPr>
        <w:t>film series and other informational events; environmental education</w:t>
      </w:r>
      <w:r w:rsidR="000E4B92">
        <w:rPr>
          <w:rFonts w:cs="Times New Roman"/>
        </w:rPr>
        <w:t xml:space="preserve"> initiatives</w:t>
      </w:r>
      <w:r w:rsidR="008F669E" w:rsidRPr="00C54090">
        <w:rPr>
          <w:rFonts w:cs="Times New Roman"/>
        </w:rPr>
        <w:t xml:space="preserve">; local currencies and barter networks; health fairs; and Energy Descent Action Plans </w:t>
      </w:r>
      <w:r w:rsidR="000E4B92">
        <w:rPr>
          <w:rFonts w:cs="Times New Roman"/>
        </w:rPr>
        <w:t xml:space="preserve">(EDAPs).  </w:t>
      </w:r>
      <w:r w:rsidR="00585387">
        <w:rPr>
          <w:rFonts w:cs="Times New Roman"/>
        </w:rPr>
        <w:t xml:space="preserve"> </w:t>
      </w:r>
      <w:r w:rsidR="000E4B92">
        <w:rPr>
          <w:rFonts w:cs="Times New Roman"/>
        </w:rPr>
        <w:t>A</w:t>
      </w:r>
      <w:r w:rsidR="008F669E" w:rsidRPr="00C54090">
        <w:rPr>
          <w:rFonts w:cs="Times New Roman"/>
        </w:rPr>
        <w:t xml:space="preserve">n </w:t>
      </w:r>
      <w:r w:rsidR="008F669E" w:rsidRPr="00C54090">
        <w:t>EDAP sets out a vision of a powered-down, resilient, relocalized future, and then backcasts, in a series of practical steps, creati</w:t>
      </w:r>
      <w:r w:rsidR="000E4B92">
        <w:t>ng a map to get there from here</w:t>
      </w:r>
      <w:r w:rsidR="008F669E" w:rsidRPr="00C54090">
        <w:t>.</w:t>
      </w:r>
      <w:r w:rsidR="008F669E" w:rsidRPr="00C54090">
        <w:rPr>
          <w:rFonts w:cs="Times New Roman"/>
        </w:rPr>
        <w:t xml:space="preserve"> </w:t>
      </w:r>
      <w:r w:rsidR="00096602" w:rsidRPr="00C54090">
        <w:rPr>
          <w:rFonts w:cs="Times New Roman"/>
        </w:rPr>
        <w:t xml:space="preserve">  </w:t>
      </w:r>
    </w:p>
    <w:p w14:paraId="7FDFC46B" w14:textId="7023E11C" w:rsidR="00D21DD7" w:rsidRDefault="00D21DD7" w:rsidP="00D11DFE">
      <w:pPr>
        <w:spacing w:line="480" w:lineRule="auto"/>
        <w:ind w:firstLine="720"/>
        <w:rPr>
          <w:rFonts w:cs="Times New Roman"/>
        </w:rPr>
      </w:pPr>
      <w:r>
        <w:rPr>
          <w:rFonts w:cs="Times New Roman"/>
        </w:rPr>
        <w:t xml:space="preserve">A particularly ambitious effort in the U.S., </w:t>
      </w:r>
      <w:r w:rsidRPr="00C54090">
        <w:rPr>
          <w:rFonts w:cs="Times New Roman"/>
        </w:rPr>
        <w:t xml:space="preserve">Jamaica Plain New Economy Transition (JPNET), based in the Jamaica Plain neighborhood in Boston, has been intensively active at the neighborhood level.  </w:t>
      </w:r>
      <w:r w:rsidRPr="00C54090">
        <w:t>JPNET has organiz</w:t>
      </w:r>
      <w:r>
        <w:t>ed farmer’s markets, established</w:t>
      </w:r>
      <w:r w:rsidRPr="00C54090">
        <w:t xml:space="preserve"> a local currency, hired a full-time</w:t>
      </w:r>
      <w:r>
        <w:t xml:space="preserve"> bi-lingual community organizer, created</w:t>
      </w:r>
      <w:r w:rsidRPr="00C54090">
        <w:t xml:space="preserve"> a Community Leaders Fellowship, launched a New Economy Enterprise Hub to create place-based and sustainable jobs and livelihoods and promote racial justice and equity, </w:t>
      </w:r>
      <w:r>
        <w:t>provided</w:t>
      </w:r>
      <w:r w:rsidRPr="00C54090">
        <w:t xml:space="preserve"> money and assistance with incubating local enterprises, and worked with a local dry cleaner to stop using toxic chemicals.  JPNET also organizes annual State of Our Neighborhood Forums and issues annual reports gauging “indicators of community resilience.”</w:t>
      </w:r>
      <w:r w:rsidRPr="00C54090">
        <w:rPr>
          <w:rStyle w:val="EndnoteReference"/>
        </w:rPr>
        <w:endnoteReference w:id="12"/>
      </w:r>
      <w:r w:rsidRPr="00C54090">
        <w:t xml:space="preserve">  These include, among other things, population level and ethnic and socioeconomic diversity, local food production in community gardens, energy use, access to energy off the grid, access to non-automobile transportation, number of neighborhood businesses and jobs, availab</w:t>
      </w:r>
      <w:r>
        <w:t xml:space="preserve">ility of local support networks, </w:t>
      </w:r>
      <w:r w:rsidRPr="00C54090">
        <w:t>individuals’ connectivity to neighbors and the local community, skill level in the local population, and individuals’ physical and financial health.</w:t>
      </w:r>
      <w:r w:rsidRPr="00C54090">
        <w:rPr>
          <w:rStyle w:val="EndnoteReference"/>
          <w:rFonts w:cs="Times New Roman"/>
        </w:rPr>
        <w:endnoteReference w:id="13"/>
      </w:r>
      <w:r w:rsidRPr="00C54090">
        <w:t xml:space="preserve">  </w:t>
      </w:r>
    </w:p>
    <w:p w14:paraId="6ABA6C97" w14:textId="678680CF" w:rsidR="00D11DFE" w:rsidRPr="00C54090" w:rsidRDefault="00096602" w:rsidP="00D11DFE">
      <w:pPr>
        <w:spacing w:line="480" w:lineRule="auto"/>
        <w:ind w:firstLine="720"/>
        <w:rPr>
          <w:rFonts w:cs="Times New Roman"/>
        </w:rPr>
      </w:pPr>
      <w:r w:rsidRPr="00C54090">
        <w:rPr>
          <w:rFonts w:cs="Times New Roman"/>
        </w:rPr>
        <w:t xml:space="preserve">In </w:t>
      </w:r>
      <w:r w:rsidR="00DA1FE2" w:rsidRPr="00C54090">
        <w:rPr>
          <w:rFonts w:cs="Times New Roman"/>
        </w:rPr>
        <w:t xml:space="preserve">the interests of sustainability, </w:t>
      </w:r>
      <w:r w:rsidRPr="00C54090">
        <w:rPr>
          <w:rFonts w:cs="Times New Roman"/>
        </w:rPr>
        <w:t>lo</w:t>
      </w:r>
      <w:r w:rsidR="00431E86">
        <w:rPr>
          <w:rFonts w:cs="Times New Roman"/>
        </w:rPr>
        <w:t xml:space="preserve">cal self-reliance, </w:t>
      </w:r>
      <w:r w:rsidRPr="00C54090">
        <w:rPr>
          <w:rFonts w:cs="Times New Roman"/>
        </w:rPr>
        <w:t xml:space="preserve">resilience, </w:t>
      </w:r>
      <w:r w:rsidR="00DA1FE2" w:rsidRPr="00C54090">
        <w:rPr>
          <w:rFonts w:cs="Times New Roman"/>
        </w:rPr>
        <w:t xml:space="preserve">and community-building, </w:t>
      </w:r>
      <w:r w:rsidRPr="00C54090">
        <w:rPr>
          <w:rFonts w:cs="Times New Roman"/>
        </w:rPr>
        <w:t>Transition groups also aim at reskilling</w:t>
      </w:r>
      <w:r w:rsidR="000E4B92">
        <w:rPr>
          <w:rFonts w:cs="Times New Roman"/>
        </w:rPr>
        <w:t xml:space="preserve"> people and communities to be more self-reliant and less dependent on and vulnerable to global economic </w:t>
      </w:r>
      <w:r w:rsidR="00AD72E7">
        <w:rPr>
          <w:rFonts w:cs="Times New Roman"/>
        </w:rPr>
        <w:t>networks.  They hold</w:t>
      </w:r>
      <w:r w:rsidRPr="00C54090">
        <w:rPr>
          <w:rFonts w:cs="Times New Roman"/>
        </w:rPr>
        <w:t xml:space="preserve"> workshops aimed at re-skilling in crafts and practices like farming, horticulture, </w:t>
      </w:r>
      <w:r w:rsidRPr="00C54090">
        <w:rPr>
          <w:rFonts w:eastAsia="Times New Roman" w:cs="Times New Roman"/>
        </w:rPr>
        <w:t xml:space="preserve">gardening, cooking, baking, canning, weaving, sewing, </w:t>
      </w:r>
      <w:r w:rsidR="00DA1FE2" w:rsidRPr="00C54090">
        <w:rPr>
          <w:rFonts w:eastAsia="Times New Roman" w:cs="Times New Roman"/>
        </w:rPr>
        <w:t xml:space="preserve">spinning, brewing, </w:t>
      </w:r>
      <w:r w:rsidRPr="00C54090">
        <w:rPr>
          <w:rFonts w:eastAsia="Times New Roman" w:cs="Times New Roman"/>
        </w:rPr>
        <w:t>bee-keeping, animal husbandry, herbal medicine, bicycle maintenance, stove construction, plumbing, vermiculture, teaching, emergency preparedness, rainwater harvesting, building and constructing with natural materials, paper-making, aquaculture, hunting, fishing, sailing, furniture</w:t>
      </w:r>
      <w:r w:rsidR="00DA1FE2" w:rsidRPr="00C54090">
        <w:rPr>
          <w:rFonts w:eastAsia="Times New Roman" w:cs="Times New Roman"/>
        </w:rPr>
        <w:t>-</w:t>
      </w:r>
      <w:r w:rsidRPr="00C54090">
        <w:rPr>
          <w:rFonts w:eastAsia="Times New Roman" w:cs="Times New Roman"/>
        </w:rPr>
        <w:t xml:space="preserve">making, welding, </w:t>
      </w:r>
      <w:r w:rsidR="00DA1FE2" w:rsidRPr="00C54090">
        <w:rPr>
          <w:rFonts w:eastAsia="Times New Roman" w:cs="Times New Roman"/>
        </w:rPr>
        <w:t xml:space="preserve">water purification, </w:t>
      </w:r>
      <w:r w:rsidRPr="00C54090">
        <w:rPr>
          <w:rFonts w:eastAsia="Times New Roman" w:cs="Times New Roman"/>
        </w:rPr>
        <w:t>making music, storytelling, crowd</w:t>
      </w:r>
      <w:r w:rsidR="00AD72E7">
        <w:rPr>
          <w:rFonts w:eastAsia="Times New Roman" w:cs="Times New Roman"/>
        </w:rPr>
        <w:t>-</w:t>
      </w:r>
      <w:r w:rsidRPr="00C54090">
        <w:rPr>
          <w:rFonts w:eastAsia="Times New Roman" w:cs="Times New Roman"/>
        </w:rPr>
        <w:t xml:space="preserve">funding, first aid, tanning, woodworking, </w:t>
      </w:r>
      <w:r w:rsidR="00DA1FE2" w:rsidRPr="00C54090">
        <w:rPr>
          <w:rFonts w:eastAsia="Times New Roman" w:cs="Times New Roman"/>
        </w:rPr>
        <w:t>small engine repair, green home design,</w:t>
      </w:r>
      <w:r w:rsidRPr="00C54090">
        <w:rPr>
          <w:rFonts w:eastAsia="Times New Roman" w:cs="Times New Roman"/>
        </w:rPr>
        <w:t xml:space="preserve"> and biodiesel</w:t>
      </w:r>
      <w:r w:rsidR="00AD72E7">
        <w:rPr>
          <w:rFonts w:eastAsia="Times New Roman" w:cs="Times New Roman"/>
        </w:rPr>
        <w:t xml:space="preserve"> manufacture</w:t>
      </w:r>
      <w:r w:rsidRPr="00C54090">
        <w:rPr>
          <w:rFonts w:eastAsia="Times New Roman" w:cs="Times New Roman"/>
        </w:rPr>
        <w:t>.</w:t>
      </w:r>
      <w:r w:rsidR="00DA1FE2" w:rsidRPr="00C54090">
        <w:rPr>
          <w:rStyle w:val="EndnoteReference"/>
          <w:rFonts w:eastAsia="Times New Roman" w:cs="Times New Roman"/>
        </w:rPr>
        <w:t xml:space="preserve"> </w:t>
      </w:r>
      <w:r w:rsidR="00DA1FE2" w:rsidRPr="00C54090">
        <w:rPr>
          <w:rStyle w:val="EndnoteReference"/>
          <w:rFonts w:eastAsia="Times New Roman" w:cs="Times New Roman"/>
        </w:rPr>
        <w:endnoteReference w:id="14"/>
      </w:r>
      <w:r w:rsidR="00DA1FE2" w:rsidRPr="00C54090">
        <w:rPr>
          <w:rFonts w:cs="Times New Roman"/>
        </w:rPr>
        <w:t xml:space="preserve">  Philip Barnes of Media, Pennsylvania’s Transition town, </w:t>
      </w:r>
      <w:r w:rsidR="00AD72E7">
        <w:rPr>
          <w:rFonts w:cs="Times New Roman"/>
        </w:rPr>
        <w:t>says that</w:t>
      </w:r>
      <w:r w:rsidR="00DA1FE2" w:rsidRPr="00C54090">
        <w:rPr>
          <w:rFonts w:cs="Times New Roman"/>
        </w:rPr>
        <w:t xml:space="preserve"> “</w:t>
      </w:r>
      <w:r w:rsidR="00DA1FE2" w:rsidRPr="00C54090">
        <w:rPr>
          <w:rFonts w:eastAsia="Times New Roman" w:cs="Times New Roman"/>
        </w:rPr>
        <w:t>reskilling is first and foremost a community-oriented method to master the simple, practical, and useful appropriate technologies that will be prevalent in a localized and carbon-constrained world.”</w:t>
      </w:r>
      <w:r w:rsidR="00DA1FE2" w:rsidRPr="00C54090">
        <w:rPr>
          <w:rStyle w:val="EndnoteReference"/>
          <w:rFonts w:eastAsia="Times New Roman" w:cs="Times New Roman"/>
        </w:rPr>
        <w:endnoteReference w:id="15"/>
      </w:r>
      <w:r w:rsidR="00A363FC" w:rsidRPr="00C54090">
        <w:rPr>
          <w:rFonts w:eastAsia="Times New Roman" w:cs="Times New Roman"/>
        </w:rPr>
        <w:t xml:space="preserve">  </w:t>
      </w:r>
    </w:p>
    <w:p w14:paraId="54A8A1A3" w14:textId="79627999" w:rsidR="00BF0F28" w:rsidRPr="00C54090" w:rsidRDefault="00D11DFE" w:rsidP="00BF0F28">
      <w:pPr>
        <w:spacing w:line="480" w:lineRule="auto"/>
        <w:ind w:firstLine="720"/>
        <w:rPr>
          <w:rFonts w:cs="Times New Roman"/>
        </w:rPr>
      </w:pPr>
      <w:r w:rsidRPr="00C54090">
        <w:rPr>
          <w:rFonts w:cs="Times New Roman"/>
        </w:rPr>
        <w:t>For larger cities, like Transition Bristol in the UK – Bristol has a population of over 428,000 – Transition can work on two levels.</w:t>
      </w:r>
      <w:r w:rsidR="00DA257F" w:rsidRPr="00C54090">
        <w:rPr>
          <w:rStyle w:val="EndnoteReference"/>
          <w:rFonts w:cs="Times New Roman"/>
        </w:rPr>
        <w:endnoteReference w:id="16"/>
      </w:r>
      <w:r w:rsidRPr="00C54090">
        <w:rPr>
          <w:rFonts w:cs="Times New Roman"/>
        </w:rPr>
        <w:t xml:space="preserve">  At one level is a set of networked, village-scale initiatives.  Transition Bristol holds monthly meetings to bring </w:t>
      </w:r>
      <w:r w:rsidR="004825C4" w:rsidRPr="00C54090">
        <w:rPr>
          <w:rFonts w:cs="Times New Roman"/>
        </w:rPr>
        <w:t>Transition participants</w:t>
      </w:r>
      <w:r w:rsidRPr="00C54090">
        <w:rPr>
          <w:rFonts w:cs="Times New Roman"/>
        </w:rPr>
        <w:t xml:space="preserve"> together, maintains a website, and runs a series of events and talks.   However, there is a second, more encompassing level, as Transition Bristol </w:t>
      </w:r>
      <w:r w:rsidR="00035EBE" w:rsidRPr="00C54090">
        <w:rPr>
          <w:rFonts w:cs="Times New Roman"/>
        </w:rPr>
        <w:t>has been</w:t>
      </w:r>
      <w:r w:rsidRPr="00C54090">
        <w:rPr>
          <w:rFonts w:cs="Times New Roman"/>
        </w:rPr>
        <w:t xml:space="preserve"> </w:t>
      </w:r>
      <w:r w:rsidR="00AD72E7">
        <w:rPr>
          <w:rFonts w:cs="Times New Roman"/>
        </w:rPr>
        <w:t xml:space="preserve">developing </w:t>
      </w:r>
      <w:r w:rsidR="00035EBE" w:rsidRPr="00C54090">
        <w:rPr>
          <w:rFonts w:cs="Times New Roman"/>
        </w:rPr>
        <w:t>energy, transport, and food strategies</w:t>
      </w:r>
      <w:r w:rsidRPr="00C54090">
        <w:rPr>
          <w:rFonts w:cs="Times New Roman"/>
        </w:rPr>
        <w:t xml:space="preserve"> for the whole city</w:t>
      </w:r>
      <w:r w:rsidR="00035EBE" w:rsidRPr="00C54090">
        <w:rPr>
          <w:rFonts w:cs="Times New Roman"/>
        </w:rPr>
        <w:t>.</w:t>
      </w:r>
      <w:r w:rsidR="00035EBE" w:rsidRPr="00C54090">
        <w:rPr>
          <w:rStyle w:val="EndnoteReference"/>
          <w:rFonts w:cs="Times New Roman"/>
        </w:rPr>
        <w:endnoteReference w:id="17"/>
      </w:r>
      <w:r w:rsidR="009304FC" w:rsidRPr="00C54090">
        <w:rPr>
          <w:rFonts w:cs="Times New Roman"/>
        </w:rPr>
        <w:t xml:space="preserve">  </w:t>
      </w:r>
    </w:p>
    <w:p w14:paraId="63192A95" w14:textId="13638699" w:rsidR="00D11DFE" w:rsidRPr="00C54090" w:rsidRDefault="009304FC" w:rsidP="00BF0F28">
      <w:pPr>
        <w:spacing w:line="480" w:lineRule="auto"/>
        <w:ind w:firstLine="720"/>
      </w:pPr>
      <w:r w:rsidRPr="00C54090">
        <w:rPr>
          <w:rFonts w:cs="Times New Roman"/>
        </w:rPr>
        <w:t xml:space="preserve">A somewhat different way of pursuing a </w:t>
      </w:r>
      <w:r w:rsidR="00431E86" w:rsidRPr="00C54090">
        <w:rPr>
          <w:rFonts w:cs="Times New Roman"/>
        </w:rPr>
        <w:t>citywide</w:t>
      </w:r>
      <w:r w:rsidRPr="00C54090">
        <w:rPr>
          <w:rFonts w:cs="Times New Roman"/>
        </w:rPr>
        <w:t xml:space="preserve"> scale is to start on a neighborhood level and then expand. </w:t>
      </w:r>
      <w:r w:rsidR="00D21DD7">
        <w:t xml:space="preserve"> For example</w:t>
      </w:r>
      <w:r w:rsidR="00BF0F28" w:rsidRPr="00C54090">
        <w:t xml:space="preserve">, JPNET has been </w:t>
      </w:r>
      <w:r w:rsidR="00D21DD7">
        <w:t>reaching</w:t>
      </w:r>
      <w:r w:rsidR="00BF0F28" w:rsidRPr="00C54090">
        <w:t xml:space="preserve"> beyond its own neighborhood</w:t>
      </w:r>
      <w:r w:rsidR="00C97A0C">
        <w:t xml:space="preserve"> and</w:t>
      </w:r>
      <w:r w:rsidR="00BF0F28" w:rsidRPr="00C54090">
        <w:t xml:space="preserve"> </w:t>
      </w:r>
      <w:r w:rsidRPr="00C54090">
        <w:rPr>
          <w:rFonts w:cs="Times New Roman"/>
        </w:rPr>
        <w:t xml:space="preserve">launched the Boston Food Forest Coalition.  </w:t>
      </w:r>
      <w:r w:rsidRPr="00C54090">
        <w:t>The Coalition seeks “to establish a public food forest network throughout the City of Boston. This network will consist of publicly accessible edible gardens, orchards, and food forests.”</w:t>
      </w:r>
      <w:r w:rsidR="00892740" w:rsidRPr="00C54090">
        <w:rPr>
          <w:rStyle w:val="EndnoteReference"/>
        </w:rPr>
        <w:endnoteReference w:id="18"/>
      </w:r>
      <w:r w:rsidR="00BF0F28" w:rsidRPr="00C54090">
        <w:t xml:space="preserve">  </w:t>
      </w:r>
    </w:p>
    <w:p w14:paraId="298D0E67" w14:textId="77777777" w:rsidR="00E147F4" w:rsidRPr="00C54090" w:rsidRDefault="00E147F4" w:rsidP="00BF0F28">
      <w:pPr>
        <w:spacing w:line="480" w:lineRule="auto"/>
        <w:ind w:firstLine="720"/>
      </w:pPr>
    </w:p>
    <w:p w14:paraId="667171DE" w14:textId="0917DC76" w:rsidR="00E147F4" w:rsidRPr="00C54090" w:rsidRDefault="00D11DFE" w:rsidP="00E147F4">
      <w:pPr>
        <w:pStyle w:val="Heading1"/>
        <w:spacing w:before="0" w:beforeAutospacing="0" w:after="0" w:afterAutospacing="0" w:line="480" w:lineRule="auto"/>
        <w:rPr>
          <w:rFonts w:asciiTheme="minorHAnsi" w:eastAsia="Times New Roman" w:hAnsiTheme="minorHAnsi" w:cs="Times New Roman"/>
          <w:sz w:val="24"/>
          <w:szCs w:val="24"/>
        </w:rPr>
      </w:pPr>
      <w:r w:rsidRPr="00C54090">
        <w:rPr>
          <w:rFonts w:asciiTheme="minorHAnsi" w:eastAsia="Times New Roman" w:hAnsiTheme="minorHAnsi" w:cs="Times New Roman"/>
          <w:sz w:val="24"/>
          <w:szCs w:val="24"/>
        </w:rPr>
        <w:t xml:space="preserve">The </w:t>
      </w:r>
      <w:r w:rsidR="00D30F5F" w:rsidRPr="00C54090">
        <w:rPr>
          <w:rFonts w:asciiTheme="minorHAnsi" w:eastAsia="Times New Roman" w:hAnsiTheme="minorHAnsi" w:cs="Times New Roman"/>
          <w:sz w:val="24"/>
          <w:szCs w:val="24"/>
        </w:rPr>
        <w:t>Seven</w:t>
      </w:r>
      <w:r w:rsidRPr="00C54090">
        <w:rPr>
          <w:rFonts w:asciiTheme="minorHAnsi" w:eastAsia="Times New Roman" w:hAnsiTheme="minorHAnsi" w:cs="Times New Roman"/>
          <w:sz w:val="24"/>
          <w:szCs w:val="24"/>
        </w:rPr>
        <w:t xml:space="preserve"> Guiding Principles of Transition</w:t>
      </w:r>
    </w:p>
    <w:p w14:paraId="1914CFAE" w14:textId="30C55F80" w:rsidR="00E147F4" w:rsidRPr="00C54090" w:rsidRDefault="00E147F4" w:rsidP="00E147F4">
      <w:pPr>
        <w:pStyle w:val="Heading1"/>
        <w:spacing w:before="0" w:beforeAutospacing="0" w:after="0" w:afterAutospacing="0" w:line="480" w:lineRule="auto"/>
        <w:ind w:firstLine="720"/>
        <w:rPr>
          <w:rFonts w:asciiTheme="minorHAnsi" w:eastAsia="Times New Roman" w:hAnsiTheme="minorHAnsi" w:cs="Times New Roman"/>
          <w:b w:val="0"/>
          <w:sz w:val="24"/>
          <w:szCs w:val="24"/>
        </w:rPr>
      </w:pPr>
      <w:r w:rsidRPr="00C54090">
        <w:rPr>
          <w:rFonts w:asciiTheme="minorHAnsi" w:hAnsiTheme="minorHAnsi"/>
          <w:b w:val="0"/>
          <w:sz w:val="24"/>
          <w:szCs w:val="24"/>
        </w:rPr>
        <w:t xml:space="preserve">Barry </w:t>
      </w:r>
      <w:r w:rsidR="005354FF" w:rsidRPr="00C54090">
        <w:rPr>
          <w:rFonts w:asciiTheme="minorHAnsi" w:hAnsiTheme="minorHAnsi"/>
          <w:b w:val="0"/>
          <w:sz w:val="24"/>
          <w:szCs w:val="24"/>
        </w:rPr>
        <w:t>sees Transition as having key affinities with republicanism.</w:t>
      </w:r>
      <w:r w:rsidR="001B0424" w:rsidRPr="00C54090">
        <w:rPr>
          <w:rFonts w:asciiTheme="minorHAnsi" w:hAnsiTheme="minorHAnsi"/>
          <w:b w:val="0"/>
          <w:sz w:val="24"/>
          <w:szCs w:val="24"/>
        </w:rPr>
        <w:t xml:space="preserve">  A look at Transition’s core principles illustrates this affinity. </w:t>
      </w:r>
    </w:p>
    <w:p w14:paraId="60F94CB4" w14:textId="6192D1DC" w:rsidR="002315EE" w:rsidRPr="008027C8" w:rsidRDefault="00892740" w:rsidP="008027C8">
      <w:pPr>
        <w:pStyle w:val="NormalWeb"/>
        <w:spacing w:before="0" w:beforeAutospacing="0" w:after="0" w:afterAutospacing="0" w:line="480" w:lineRule="auto"/>
        <w:ind w:firstLine="720"/>
        <w:rPr>
          <w:rStyle w:val="Strong"/>
          <w:rFonts w:asciiTheme="minorHAnsi" w:hAnsiTheme="minorHAnsi"/>
          <w:b w:val="0"/>
          <w:sz w:val="24"/>
          <w:szCs w:val="24"/>
        </w:rPr>
      </w:pPr>
      <w:r w:rsidRPr="00C54090">
        <w:rPr>
          <w:rStyle w:val="Strong"/>
          <w:rFonts w:asciiTheme="minorHAnsi" w:hAnsiTheme="minorHAnsi"/>
          <w:b w:val="0"/>
          <w:sz w:val="24"/>
          <w:szCs w:val="24"/>
        </w:rPr>
        <w:t xml:space="preserve">The Transition </w:t>
      </w:r>
      <w:r w:rsidR="001B0424" w:rsidRPr="00C54090">
        <w:rPr>
          <w:rStyle w:val="Strong"/>
          <w:rFonts w:asciiTheme="minorHAnsi" w:hAnsiTheme="minorHAnsi"/>
          <w:b w:val="0"/>
          <w:sz w:val="24"/>
          <w:szCs w:val="24"/>
        </w:rPr>
        <w:t xml:space="preserve">US website lists </w:t>
      </w:r>
      <w:r w:rsidRPr="00C54090">
        <w:rPr>
          <w:rStyle w:val="Strong"/>
          <w:rFonts w:asciiTheme="minorHAnsi" w:hAnsiTheme="minorHAnsi"/>
          <w:b w:val="0"/>
          <w:sz w:val="24"/>
          <w:szCs w:val="24"/>
        </w:rPr>
        <w:t>seven guiding principles.</w:t>
      </w:r>
      <w:r w:rsidR="00794925" w:rsidRPr="00C54090">
        <w:rPr>
          <w:rStyle w:val="EndnoteReference"/>
          <w:rFonts w:asciiTheme="minorHAnsi" w:hAnsiTheme="minorHAnsi"/>
          <w:bCs/>
          <w:sz w:val="24"/>
          <w:szCs w:val="24"/>
        </w:rPr>
        <w:endnoteReference w:id="19"/>
      </w:r>
      <w:r w:rsidRPr="00C54090">
        <w:rPr>
          <w:rStyle w:val="Strong"/>
          <w:rFonts w:asciiTheme="minorHAnsi" w:hAnsiTheme="minorHAnsi"/>
          <w:b w:val="0"/>
          <w:sz w:val="24"/>
          <w:szCs w:val="24"/>
        </w:rPr>
        <w:t xml:space="preserve">  These are</w:t>
      </w:r>
      <w:r w:rsidR="001B0424" w:rsidRPr="00C54090">
        <w:rPr>
          <w:rStyle w:val="Strong"/>
          <w:rFonts w:asciiTheme="minorHAnsi" w:hAnsiTheme="minorHAnsi"/>
          <w:b w:val="0"/>
          <w:sz w:val="24"/>
          <w:szCs w:val="24"/>
        </w:rPr>
        <w:t>, slightly paraphrased</w:t>
      </w:r>
      <w:r w:rsidRPr="00C54090">
        <w:rPr>
          <w:rStyle w:val="Strong"/>
          <w:rFonts w:asciiTheme="minorHAnsi" w:hAnsiTheme="minorHAnsi"/>
          <w:b w:val="0"/>
          <w:sz w:val="24"/>
          <w:szCs w:val="24"/>
        </w:rPr>
        <w:t>:</w:t>
      </w:r>
      <w:r w:rsidR="001B0424" w:rsidRPr="00C54090">
        <w:rPr>
          <w:rStyle w:val="Strong"/>
          <w:rFonts w:asciiTheme="minorHAnsi" w:hAnsiTheme="minorHAnsi"/>
          <w:b w:val="0"/>
          <w:sz w:val="24"/>
          <w:szCs w:val="24"/>
        </w:rPr>
        <w:t xml:space="preserve"> 1) positive v</w:t>
      </w:r>
      <w:r w:rsidR="00D11DFE" w:rsidRPr="00C54090">
        <w:rPr>
          <w:rStyle w:val="Strong"/>
          <w:rFonts w:asciiTheme="minorHAnsi" w:hAnsiTheme="minorHAnsi"/>
          <w:b w:val="0"/>
          <w:sz w:val="24"/>
          <w:szCs w:val="24"/>
        </w:rPr>
        <w:t>isioning</w:t>
      </w:r>
      <w:r w:rsidR="001B0424" w:rsidRPr="00C54090">
        <w:rPr>
          <w:rFonts w:asciiTheme="minorHAnsi" w:hAnsiTheme="minorHAnsi"/>
          <w:bCs/>
          <w:sz w:val="24"/>
          <w:szCs w:val="24"/>
        </w:rPr>
        <w:t xml:space="preserve">, 2) </w:t>
      </w:r>
      <w:r w:rsidR="001B0424" w:rsidRPr="00C54090">
        <w:rPr>
          <w:rStyle w:val="Strong"/>
          <w:rFonts w:asciiTheme="minorHAnsi" w:hAnsiTheme="minorHAnsi"/>
          <w:b w:val="0"/>
          <w:sz w:val="24"/>
          <w:szCs w:val="24"/>
        </w:rPr>
        <w:t>helping p</w:t>
      </w:r>
      <w:r w:rsidR="00D11DFE" w:rsidRPr="00C54090">
        <w:rPr>
          <w:rStyle w:val="Strong"/>
          <w:rFonts w:asciiTheme="minorHAnsi" w:hAnsiTheme="minorHAnsi"/>
          <w:b w:val="0"/>
          <w:sz w:val="24"/>
          <w:szCs w:val="24"/>
        </w:rPr>
        <w:t xml:space="preserve">eople </w:t>
      </w:r>
      <w:r w:rsidR="001B0424" w:rsidRPr="00C54090">
        <w:rPr>
          <w:rStyle w:val="Strong"/>
          <w:rFonts w:asciiTheme="minorHAnsi" w:hAnsiTheme="minorHAnsi"/>
          <w:b w:val="0"/>
          <w:sz w:val="24"/>
          <w:szCs w:val="24"/>
        </w:rPr>
        <w:t>a</w:t>
      </w:r>
      <w:r w:rsidR="00D11DFE" w:rsidRPr="00C54090">
        <w:rPr>
          <w:rStyle w:val="Strong"/>
          <w:rFonts w:asciiTheme="minorHAnsi" w:hAnsiTheme="minorHAnsi"/>
          <w:b w:val="0"/>
          <w:sz w:val="24"/>
          <w:szCs w:val="24"/>
        </w:rPr>
        <w:t xml:space="preserve">ccess </w:t>
      </w:r>
      <w:r w:rsidR="001B0424" w:rsidRPr="00C54090">
        <w:rPr>
          <w:rStyle w:val="Strong"/>
          <w:rFonts w:asciiTheme="minorHAnsi" w:hAnsiTheme="minorHAnsi"/>
          <w:b w:val="0"/>
          <w:sz w:val="24"/>
          <w:szCs w:val="24"/>
        </w:rPr>
        <w:t>g</w:t>
      </w:r>
      <w:r w:rsidR="00D11DFE" w:rsidRPr="00C54090">
        <w:rPr>
          <w:rStyle w:val="Strong"/>
          <w:rFonts w:asciiTheme="minorHAnsi" w:hAnsiTheme="minorHAnsi"/>
          <w:b w:val="0"/>
          <w:sz w:val="24"/>
          <w:szCs w:val="24"/>
        </w:rPr>
        <w:t xml:space="preserve">ood </w:t>
      </w:r>
      <w:r w:rsidR="001B0424" w:rsidRPr="00C54090">
        <w:rPr>
          <w:rStyle w:val="Strong"/>
          <w:rFonts w:asciiTheme="minorHAnsi" w:hAnsiTheme="minorHAnsi"/>
          <w:b w:val="0"/>
          <w:sz w:val="24"/>
          <w:szCs w:val="24"/>
        </w:rPr>
        <w:t>i</w:t>
      </w:r>
      <w:r w:rsidR="00D11DFE" w:rsidRPr="00C54090">
        <w:rPr>
          <w:rStyle w:val="Strong"/>
          <w:rFonts w:asciiTheme="minorHAnsi" w:hAnsiTheme="minorHAnsi"/>
          <w:b w:val="0"/>
          <w:sz w:val="24"/>
          <w:szCs w:val="24"/>
        </w:rPr>
        <w:t xml:space="preserve">nformation and </w:t>
      </w:r>
      <w:r w:rsidR="001B0424" w:rsidRPr="00C54090">
        <w:rPr>
          <w:rStyle w:val="Strong"/>
          <w:rFonts w:asciiTheme="minorHAnsi" w:hAnsiTheme="minorHAnsi"/>
          <w:b w:val="0"/>
          <w:sz w:val="24"/>
          <w:szCs w:val="24"/>
        </w:rPr>
        <w:t>t</w:t>
      </w:r>
      <w:r w:rsidR="00D11DFE" w:rsidRPr="00C54090">
        <w:rPr>
          <w:rStyle w:val="Strong"/>
          <w:rFonts w:asciiTheme="minorHAnsi" w:hAnsiTheme="minorHAnsi"/>
          <w:b w:val="0"/>
          <w:sz w:val="24"/>
          <w:szCs w:val="24"/>
        </w:rPr>
        <w:t>rust</w:t>
      </w:r>
      <w:r w:rsidR="001B0424" w:rsidRPr="00C54090">
        <w:rPr>
          <w:rStyle w:val="Strong"/>
          <w:rFonts w:asciiTheme="minorHAnsi" w:hAnsiTheme="minorHAnsi"/>
          <w:b w:val="0"/>
          <w:sz w:val="24"/>
          <w:szCs w:val="24"/>
        </w:rPr>
        <w:t>ing</w:t>
      </w:r>
      <w:r w:rsidR="00D11DFE" w:rsidRPr="00C54090">
        <w:rPr>
          <w:rStyle w:val="Strong"/>
          <w:rFonts w:asciiTheme="minorHAnsi" w:hAnsiTheme="minorHAnsi"/>
          <w:b w:val="0"/>
          <w:sz w:val="24"/>
          <w:szCs w:val="24"/>
        </w:rPr>
        <w:t xml:space="preserve"> </w:t>
      </w:r>
      <w:r w:rsidR="001B0424" w:rsidRPr="00C54090">
        <w:rPr>
          <w:rStyle w:val="Strong"/>
          <w:rFonts w:asciiTheme="minorHAnsi" w:hAnsiTheme="minorHAnsi"/>
          <w:b w:val="0"/>
          <w:sz w:val="24"/>
          <w:szCs w:val="24"/>
        </w:rPr>
        <w:t>t</w:t>
      </w:r>
      <w:r w:rsidR="00D11DFE" w:rsidRPr="00C54090">
        <w:rPr>
          <w:rStyle w:val="Strong"/>
          <w:rFonts w:asciiTheme="minorHAnsi" w:hAnsiTheme="minorHAnsi"/>
          <w:b w:val="0"/>
          <w:sz w:val="24"/>
          <w:szCs w:val="24"/>
        </w:rPr>
        <w:t xml:space="preserve">hem to </w:t>
      </w:r>
      <w:r w:rsidR="001B0424" w:rsidRPr="00C54090">
        <w:rPr>
          <w:rStyle w:val="Strong"/>
          <w:rFonts w:asciiTheme="minorHAnsi" w:hAnsiTheme="minorHAnsi"/>
          <w:b w:val="0"/>
          <w:sz w:val="24"/>
          <w:szCs w:val="24"/>
        </w:rPr>
        <w:t>m</w:t>
      </w:r>
      <w:r w:rsidR="00D11DFE" w:rsidRPr="00C54090">
        <w:rPr>
          <w:rStyle w:val="Strong"/>
          <w:rFonts w:asciiTheme="minorHAnsi" w:hAnsiTheme="minorHAnsi"/>
          <w:b w:val="0"/>
          <w:sz w:val="24"/>
          <w:szCs w:val="24"/>
        </w:rPr>
        <w:t xml:space="preserve">ake </w:t>
      </w:r>
      <w:r w:rsidR="001B0424" w:rsidRPr="00C54090">
        <w:rPr>
          <w:rStyle w:val="Strong"/>
          <w:rFonts w:asciiTheme="minorHAnsi" w:hAnsiTheme="minorHAnsi"/>
          <w:b w:val="0"/>
          <w:sz w:val="24"/>
          <w:szCs w:val="24"/>
        </w:rPr>
        <w:t>g</w:t>
      </w:r>
      <w:r w:rsidR="00D11DFE" w:rsidRPr="00C54090">
        <w:rPr>
          <w:rStyle w:val="Strong"/>
          <w:rFonts w:asciiTheme="minorHAnsi" w:hAnsiTheme="minorHAnsi"/>
          <w:b w:val="0"/>
          <w:sz w:val="24"/>
          <w:szCs w:val="24"/>
        </w:rPr>
        <w:t xml:space="preserve">ood </w:t>
      </w:r>
      <w:r w:rsidR="001B0424" w:rsidRPr="00C54090">
        <w:rPr>
          <w:rStyle w:val="Strong"/>
          <w:rFonts w:asciiTheme="minorHAnsi" w:hAnsiTheme="minorHAnsi"/>
          <w:b w:val="0"/>
          <w:sz w:val="24"/>
          <w:szCs w:val="24"/>
        </w:rPr>
        <w:t>d</w:t>
      </w:r>
      <w:r w:rsidR="00D11DFE" w:rsidRPr="00C54090">
        <w:rPr>
          <w:rStyle w:val="Strong"/>
          <w:rFonts w:asciiTheme="minorHAnsi" w:hAnsiTheme="minorHAnsi"/>
          <w:b w:val="0"/>
          <w:sz w:val="24"/>
          <w:szCs w:val="24"/>
        </w:rPr>
        <w:t>ecisions</w:t>
      </w:r>
      <w:r w:rsidR="001B0424" w:rsidRPr="00C54090">
        <w:rPr>
          <w:rStyle w:val="Strong"/>
          <w:rFonts w:asciiTheme="minorHAnsi" w:hAnsiTheme="minorHAnsi"/>
          <w:b w:val="0"/>
          <w:sz w:val="24"/>
          <w:szCs w:val="24"/>
        </w:rPr>
        <w:t>; 3) i</w:t>
      </w:r>
      <w:r w:rsidRPr="00C54090">
        <w:rPr>
          <w:rStyle w:val="Strong"/>
          <w:rFonts w:asciiTheme="minorHAnsi" w:hAnsiTheme="minorHAnsi"/>
          <w:b w:val="0"/>
          <w:sz w:val="24"/>
          <w:szCs w:val="24"/>
        </w:rPr>
        <w:t xml:space="preserve">nclusion and </w:t>
      </w:r>
      <w:r w:rsidR="001B0424" w:rsidRPr="00C54090">
        <w:rPr>
          <w:rStyle w:val="Strong"/>
          <w:rFonts w:asciiTheme="minorHAnsi" w:hAnsiTheme="minorHAnsi"/>
          <w:b w:val="0"/>
          <w:sz w:val="24"/>
          <w:szCs w:val="24"/>
        </w:rPr>
        <w:t>o</w:t>
      </w:r>
      <w:r w:rsidRPr="00C54090">
        <w:rPr>
          <w:rStyle w:val="Strong"/>
          <w:rFonts w:asciiTheme="minorHAnsi" w:hAnsiTheme="minorHAnsi"/>
          <w:b w:val="0"/>
          <w:sz w:val="24"/>
          <w:szCs w:val="24"/>
        </w:rPr>
        <w:t>penness</w:t>
      </w:r>
      <w:r w:rsidR="001B0424" w:rsidRPr="00C54090">
        <w:rPr>
          <w:rStyle w:val="Strong"/>
          <w:rFonts w:asciiTheme="minorHAnsi" w:hAnsiTheme="minorHAnsi"/>
          <w:b w:val="0"/>
          <w:sz w:val="24"/>
          <w:szCs w:val="24"/>
        </w:rPr>
        <w:t>; 4) s</w:t>
      </w:r>
      <w:r w:rsidR="00D11DFE" w:rsidRPr="00C54090">
        <w:rPr>
          <w:rStyle w:val="Strong"/>
          <w:rFonts w:asciiTheme="minorHAnsi" w:hAnsiTheme="minorHAnsi"/>
          <w:b w:val="0"/>
          <w:sz w:val="24"/>
          <w:szCs w:val="24"/>
        </w:rPr>
        <w:t xml:space="preserve">haring and </w:t>
      </w:r>
      <w:r w:rsidR="001B0424" w:rsidRPr="00C54090">
        <w:rPr>
          <w:rStyle w:val="Strong"/>
          <w:rFonts w:asciiTheme="minorHAnsi" w:hAnsiTheme="minorHAnsi"/>
          <w:b w:val="0"/>
          <w:sz w:val="24"/>
          <w:szCs w:val="24"/>
        </w:rPr>
        <w:t>n</w:t>
      </w:r>
      <w:r w:rsidR="00D11DFE" w:rsidRPr="00C54090">
        <w:rPr>
          <w:rStyle w:val="Strong"/>
          <w:rFonts w:asciiTheme="minorHAnsi" w:hAnsiTheme="minorHAnsi"/>
          <w:b w:val="0"/>
          <w:sz w:val="24"/>
          <w:szCs w:val="24"/>
        </w:rPr>
        <w:t>etworking</w:t>
      </w:r>
      <w:r w:rsidR="001B0424" w:rsidRPr="00C54090">
        <w:rPr>
          <w:rStyle w:val="Strong"/>
          <w:rFonts w:asciiTheme="minorHAnsi" w:hAnsiTheme="minorHAnsi"/>
          <w:b w:val="0"/>
          <w:sz w:val="24"/>
          <w:szCs w:val="24"/>
        </w:rPr>
        <w:t>; 5) b</w:t>
      </w:r>
      <w:r w:rsidR="00D11DFE" w:rsidRPr="00C54090">
        <w:rPr>
          <w:rStyle w:val="Strong"/>
          <w:rFonts w:asciiTheme="minorHAnsi" w:hAnsiTheme="minorHAnsi"/>
          <w:b w:val="0"/>
          <w:sz w:val="24"/>
          <w:szCs w:val="24"/>
        </w:rPr>
        <w:t>uild</w:t>
      </w:r>
      <w:r w:rsidR="001B0424" w:rsidRPr="00C54090">
        <w:rPr>
          <w:rStyle w:val="Strong"/>
          <w:rFonts w:asciiTheme="minorHAnsi" w:hAnsiTheme="minorHAnsi"/>
          <w:b w:val="0"/>
          <w:sz w:val="24"/>
          <w:szCs w:val="24"/>
        </w:rPr>
        <w:t>ing</w:t>
      </w:r>
      <w:r w:rsidR="00D11DFE" w:rsidRPr="00C54090">
        <w:rPr>
          <w:rStyle w:val="Strong"/>
          <w:rFonts w:asciiTheme="minorHAnsi" w:hAnsiTheme="minorHAnsi"/>
          <w:b w:val="0"/>
          <w:sz w:val="24"/>
          <w:szCs w:val="24"/>
        </w:rPr>
        <w:t xml:space="preserve"> </w:t>
      </w:r>
      <w:r w:rsidR="001B0424" w:rsidRPr="00C54090">
        <w:rPr>
          <w:rStyle w:val="Strong"/>
          <w:rFonts w:asciiTheme="minorHAnsi" w:hAnsiTheme="minorHAnsi"/>
          <w:b w:val="0"/>
          <w:sz w:val="24"/>
          <w:szCs w:val="24"/>
        </w:rPr>
        <w:t>r</w:t>
      </w:r>
      <w:r w:rsidR="00D11DFE" w:rsidRPr="00C54090">
        <w:rPr>
          <w:rStyle w:val="Strong"/>
          <w:rFonts w:asciiTheme="minorHAnsi" w:hAnsiTheme="minorHAnsi"/>
          <w:b w:val="0"/>
          <w:sz w:val="24"/>
          <w:szCs w:val="24"/>
        </w:rPr>
        <w:t>esilience</w:t>
      </w:r>
      <w:r w:rsidR="001B0424" w:rsidRPr="00C54090">
        <w:rPr>
          <w:rStyle w:val="Strong"/>
          <w:rFonts w:asciiTheme="minorHAnsi" w:hAnsiTheme="minorHAnsi"/>
          <w:b w:val="0"/>
          <w:sz w:val="24"/>
          <w:szCs w:val="24"/>
        </w:rPr>
        <w:t>; 6) i</w:t>
      </w:r>
      <w:r w:rsidR="00D11DFE" w:rsidRPr="00C54090">
        <w:rPr>
          <w:rStyle w:val="Strong"/>
          <w:rFonts w:asciiTheme="minorHAnsi" w:hAnsiTheme="minorHAnsi"/>
          <w:b w:val="0"/>
          <w:sz w:val="24"/>
          <w:szCs w:val="24"/>
        </w:rPr>
        <w:t xml:space="preserve">nner and </w:t>
      </w:r>
      <w:r w:rsidR="001B0424" w:rsidRPr="00C54090">
        <w:rPr>
          <w:rStyle w:val="Strong"/>
          <w:rFonts w:asciiTheme="minorHAnsi" w:hAnsiTheme="minorHAnsi"/>
          <w:b w:val="0"/>
          <w:sz w:val="24"/>
          <w:szCs w:val="24"/>
        </w:rPr>
        <w:t>o</w:t>
      </w:r>
      <w:r w:rsidR="00D11DFE" w:rsidRPr="00C54090">
        <w:rPr>
          <w:rStyle w:val="Strong"/>
          <w:rFonts w:asciiTheme="minorHAnsi" w:hAnsiTheme="minorHAnsi"/>
          <w:b w:val="0"/>
          <w:sz w:val="24"/>
          <w:szCs w:val="24"/>
        </w:rPr>
        <w:t xml:space="preserve">uter </w:t>
      </w:r>
      <w:r w:rsidR="001B0424" w:rsidRPr="00C54090">
        <w:rPr>
          <w:rStyle w:val="Strong"/>
          <w:rFonts w:asciiTheme="minorHAnsi" w:hAnsiTheme="minorHAnsi"/>
          <w:b w:val="0"/>
          <w:sz w:val="24"/>
          <w:szCs w:val="24"/>
        </w:rPr>
        <w:t>t</w:t>
      </w:r>
      <w:r w:rsidR="00D11DFE" w:rsidRPr="00C54090">
        <w:rPr>
          <w:rStyle w:val="Strong"/>
          <w:rFonts w:asciiTheme="minorHAnsi" w:hAnsiTheme="minorHAnsi"/>
          <w:b w:val="0"/>
          <w:sz w:val="24"/>
          <w:szCs w:val="24"/>
        </w:rPr>
        <w:t>ransition</w:t>
      </w:r>
      <w:r w:rsidR="001B0424" w:rsidRPr="00C54090">
        <w:rPr>
          <w:rStyle w:val="Strong"/>
          <w:rFonts w:asciiTheme="minorHAnsi" w:hAnsiTheme="minorHAnsi"/>
          <w:b w:val="0"/>
          <w:sz w:val="24"/>
          <w:szCs w:val="24"/>
        </w:rPr>
        <w:t>; and 7) s</w:t>
      </w:r>
      <w:r w:rsidR="00D11DFE" w:rsidRPr="00C54090">
        <w:rPr>
          <w:rStyle w:val="Strong"/>
          <w:rFonts w:asciiTheme="minorHAnsi" w:hAnsiTheme="minorHAnsi"/>
          <w:b w:val="0"/>
          <w:sz w:val="24"/>
          <w:szCs w:val="24"/>
        </w:rPr>
        <w:t>ubsidiarity</w:t>
      </w:r>
      <w:r w:rsidR="001B0424" w:rsidRPr="00C54090">
        <w:rPr>
          <w:rStyle w:val="Strong"/>
          <w:rFonts w:asciiTheme="minorHAnsi" w:hAnsiTheme="minorHAnsi"/>
          <w:b w:val="0"/>
          <w:sz w:val="24"/>
          <w:szCs w:val="24"/>
        </w:rPr>
        <w:t xml:space="preserve">, meaning </w:t>
      </w:r>
      <w:r w:rsidR="00D11DFE" w:rsidRPr="00C54090">
        <w:rPr>
          <w:rStyle w:val="Strong"/>
          <w:rFonts w:asciiTheme="minorHAnsi" w:hAnsiTheme="minorHAnsi"/>
          <w:b w:val="0"/>
          <w:sz w:val="24"/>
          <w:szCs w:val="24"/>
        </w:rPr>
        <w:t>self-organization and decision making at the appropriate level</w:t>
      </w:r>
      <w:r w:rsidR="001B0424" w:rsidRPr="00C54090">
        <w:rPr>
          <w:rStyle w:val="Strong"/>
          <w:rFonts w:asciiTheme="minorHAnsi" w:hAnsiTheme="minorHAnsi"/>
          <w:b w:val="0"/>
          <w:sz w:val="24"/>
          <w:szCs w:val="24"/>
        </w:rPr>
        <w:t>.  I will discuss these in a somewhat different order</w:t>
      </w:r>
      <w:r w:rsidR="008027C8">
        <w:rPr>
          <w:rStyle w:val="Strong"/>
          <w:rFonts w:asciiTheme="minorHAnsi" w:hAnsiTheme="minorHAnsi"/>
          <w:b w:val="0"/>
          <w:sz w:val="24"/>
          <w:szCs w:val="24"/>
        </w:rPr>
        <w:t>, beginning with one that seems particularly fundamental</w:t>
      </w:r>
      <w:r w:rsidR="001B0424" w:rsidRPr="00C54090">
        <w:rPr>
          <w:rStyle w:val="Strong"/>
          <w:rFonts w:asciiTheme="minorHAnsi" w:hAnsiTheme="minorHAnsi"/>
          <w:b w:val="0"/>
          <w:sz w:val="24"/>
          <w:szCs w:val="24"/>
        </w:rPr>
        <w:t>.</w:t>
      </w:r>
    </w:p>
    <w:p w14:paraId="14ADA8D2" w14:textId="14D90A42" w:rsidR="001B0424" w:rsidRPr="008027C8" w:rsidRDefault="00D30F5F" w:rsidP="001B0424">
      <w:pPr>
        <w:spacing w:line="480" w:lineRule="auto"/>
        <w:ind w:firstLine="720"/>
        <w:rPr>
          <w:rFonts w:cs="Times New Roman"/>
          <w:b/>
          <w:i/>
        </w:rPr>
      </w:pPr>
      <w:r w:rsidRPr="008027C8">
        <w:rPr>
          <w:rFonts w:cs="Times New Roman"/>
          <w:b/>
          <w:i/>
        </w:rPr>
        <w:t xml:space="preserve">Building </w:t>
      </w:r>
      <w:r w:rsidR="001B0424" w:rsidRPr="008027C8">
        <w:rPr>
          <w:rFonts w:cs="Times New Roman"/>
          <w:b/>
          <w:i/>
        </w:rPr>
        <w:t>Resilience</w:t>
      </w:r>
    </w:p>
    <w:p w14:paraId="5139E37E" w14:textId="7041F954" w:rsidR="0019479F" w:rsidRPr="006D78F7" w:rsidRDefault="00505316" w:rsidP="001B0424">
      <w:pPr>
        <w:spacing w:line="480" w:lineRule="auto"/>
        <w:ind w:firstLine="720"/>
        <w:rPr>
          <w:rFonts w:cs="Times New Roman"/>
        </w:rPr>
      </w:pPr>
      <w:r w:rsidRPr="006D78F7">
        <w:rPr>
          <w:rFonts w:cs="Times New Roman"/>
        </w:rPr>
        <w:t xml:space="preserve">Hopkins </w:t>
      </w:r>
      <w:r w:rsidR="00AF3116" w:rsidRPr="006D78F7">
        <w:rPr>
          <w:rFonts w:cs="Times New Roman"/>
        </w:rPr>
        <w:t xml:space="preserve">opens </w:t>
      </w:r>
      <w:r w:rsidR="006D78F7" w:rsidRPr="006D78F7">
        <w:rPr>
          <w:rFonts w:cs="Times New Roman"/>
          <w:i/>
        </w:rPr>
        <w:t>The</w:t>
      </w:r>
      <w:r w:rsidR="00AF3116" w:rsidRPr="006D78F7">
        <w:rPr>
          <w:rFonts w:cs="Times New Roman"/>
        </w:rPr>
        <w:t xml:space="preserve"> </w:t>
      </w:r>
      <w:r w:rsidR="00AF3116" w:rsidRPr="006D78F7">
        <w:rPr>
          <w:rFonts w:cs="Times New Roman"/>
          <w:i/>
        </w:rPr>
        <w:t>Transition Handbook</w:t>
      </w:r>
      <w:r w:rsidR="00AF3116" w:rsidRPr="006D78F7">
        <w:rPr>
          <w:rFonts w:cs="Times New Roman"/>
        </w:rPr>
        <w:t xml:space="preserve"> with the following: “Central to this book is the concept of resilience.”  </w:t>
      </w:r>
      <w:r w:rsidR="006D78F7" w:rsidRPr="006D78F7">
        <w:rPr>
          <w:rFonts w:cs="Times New Roman"/>
        </w:rPr>
        <w:t xml:space="preserve">This has already been made clear to the reader by the subtitle, </w:t>
      </w:r>
      <w:r w:rsidR="006D78F7" w:rsidRPr="006D78F7">
        <w:rPr>
          <w:i/>
        </w:rPr>
        <w:t>From Oil Dependency to Local Resilience</w:t>
      </w:r>
      <w:r w:rsidR="006D78F7" w:rsidRPr="006D78F7">
        <w:t xml:space="preserve">.  </w:t>
      </w:r>
      <w:r w:rsidR="006D78F7">
        <w:rPr>
          <w:rFonts w:cs="Times New Roman"/>
        </w:rPr>
        <w:t>Hopkins</w:t>
      </w:r>
      <w:r w:rsidR="00D00D7B" w:rsidRPr="006D78F7">
        <w:rPr>
          <w:rFonts w:cs="Times New Roman"/>
        </w:rPr>
        <w:t xml:space="preserve"> defines </w:t>
      </w:r>
      <w:r w:rsidRPr="006D78F7">
        <w:rPr>
          <w:rFonts w:cs="Times New Roman"/>
          <w:i/>
        </w:rPr>
        <w:t>resilience</w:t>
      </w:r>
      <w:r w:rsidRPr="006D78F7">
        <w:rPr>
          <w:rFonts w:cs="Times New Roman"/>
        </w:rPr>
        <w:t xml:space="preserve"> as </w:t>
      </w:r>
      <w:r w:rsidR="00D00D7B" w:rsidRPr="006D78F7">
        <w:rPr>
          <w:rFonts w:cs="Times New Roman"/>
        </w:rPr>
        <w:t>“</w:t>
      </w:r>
      <w:r w:rsidRPr="006D78F7">
        <w:rPr>
          <w:rFonts w:cs="Times New Roman"/>
        </w:rPr>
        <w:t>the ability of a system, from individual people to whole economies, to hold together and maintain their ability to function in the face of change and shocks from the outside.”</w:t>
      </w:r>
      <w:r w:rsidRPr="006D78F7">
        <w:rPr>
          <w:rStyle w:val="EndnoteReference"/>
          <w:rFonts w:cs="Times New Roman"/>
        </w:rPr>
        <w:endnoteReference w:id="20"/>
      </w:r>
      <w:r w:rsidRPr="006D78F7">
        <w:rPr>
          <w:rFonts w:cs="Times New Roman"/>
        </w:rPr>
        <w:t xml:space="preserve"> </w:t>
      </w:r>
    </w:p>
    <w:p w14:paraId="18ACE163" w14:textId="28401921" w:rsidR="00626518" w:rsidRPr="00C54090" w:rsidRDefault="0019479F" w:rsidP="0019479F">
      <w:pPr>
        <w:spacing w:line="480" w:lineRule="auto"/>
        <w:ind w:firstLine="720"/>
        <w:rPr>
          <w:rFonts w:cs="Times New Roman"/>
        </w:rPr>
      </w:pPr>
      <w:r w:rsidRPr="00C54090">
        <w:rPr>
          <w:rFonts w:cs="Times New Roman"/>
        </w:rPr>
        <w:t xml:space="preserve">Hopkins </w:t>
      </w:r>
      <w:r w:rsidR="00431E86" w:rsidRPr="00C54090">
        <w:rPr>
          <w:rFonts w:cs="Times New Roman"/>
        </w:rPr>
        <w:t>maintains</w:t>
      </w:r>
      <w:r w:rsidR="00431E86">
        <w:rPr>
          <w:rFonts w:cs="Times New Roman"/>
        </w:rPr>
        <w:t xml:space="preserve"> that</w:t>
      </w:r>
      <w:r w:rsidRPr="00C54090">
        <w:rPr>
          <w:rFonts w:cs="Times New Roman"/>
        </w:rPr>
        <w:t xml:space="preserve"> “cutting emissions without resilience-building is ultimately futile.”</w:t>
      </w:r>
      <w:r w:rsidRPr="00C54090">
        <w:rPr>
          <w:rStyle w:val="EndnoteReference"/>
          <w:rFonts w:cs="Times New Roman"/>
        </w:rPr>
        <w:endnoteReference w:id="21"/>
      </w:r>
      <w:r w:rsidRPr="00C54090">
        <w:rPr>
          <w:rFonts w:cs="Times New Roman"/>
        </w:rPr>
        <w:t xml:space="preserve">  </w:t>
      </w:r>
      <w:r w:rsidR="00FF501C">
        <w:rPr>
          <w:rFonts w:cs="Times New Roman"/>
        </w:rPr>
        <w:t>Resilience is in many ways about adaptation: adapting to</w:t>
      </w:r>
      <w:r>
        <w:rPr>
          <w:rFonts w:cs="Times New Roman"/>
        </w:rPr>
        <w:t xml:space="preserve"> now-inevitable</w:t>
      </w:r>
      <w:r w:rsidR="00FF501C">
        <w:rPr>
          <w:rFonts w:cs="Times New Roman"/>
        </w:rPr>
        <w:t xml:space="preserve"> future climate change, adapting to life without fossil fuels, adapting to </w:t>
      </w:r>
      <w:r w:rsidR="00C43918">
        <w:rPr>
          <w:rFonts w:cs="Times New Roman"/>
        </w:rPr>
        <w:t xml:space="preserve">reduced energy use and material wealth. </w:t>
      </w:r>
      <w:r>
        <w:rPr>
          <w:rFonts w:cs="Times New Roman"/>
        </w:rPr>
        <w:t xml:space="preserve"> </w:t>
      </w:r>
      <w:r w:rsidR="00CC162E" w:rsidRPr="00C54090">
        <w:rPr>
          <w:rFonts w:cs="Times New Roman"/>
        </w:rPr>
        <w:t>Hopkins</w:t>
      </w:r>
      <w:r>
        <w:rPr>
          <w:rFonts w:cs="Times New Roman"/>
        </w:rPr>
        <w:t xml:space="preserve"> thus</w:t>
      </w:r>
      <w:r w:rsidR="00CC162E" w:rsidRPr="00C54090">
        <w:rPr>
          <w:rFonts w:cs="Times New Roman"/>
        </w:rPr>
        <w:t xml:space="preserve"> ties resilience to living within ecological limits: a resilient society has the “ability to function indefinitely and to live within its limits, and [is] able to thrive for having done so.”</w:t>
      </w:r>
      <w:r w:rsidR="00CC162E" w:rsidRPr="00C54090">
        <w:rPr>
          <w:rStyle w:val="EndnoteReference"/>
          <w:rFonts w:cs="Times New Roman"/>
        </w:rPr>
        <w:endnoteReference w:id="22"/>
      </w:r>
      <w:r w:rsidR="00CC162E" w:rsidRPr="00C54090">
        <w:rPr>
          <w:rFonts w:cs="Times New Roman"/>
        </w:rPr>
        <w:t xml:space="preserve"> </w:t>
      </w:r>
      <w:r w:rsidR="00BA0BD0" w:rsidRPr="00C54090">
        <w:rPr>
          <w:rFonts w:cs="Times New Roman"/>
        </w:rPr>
        <w:t xml:space="preserve"> The acceptance of limits implies </w:t>
      </w:r>
      <w:r w:rsidR="00626518" w:rsidRPr="00C54090">
        <w:rPr>
          <w:rFonts w:cs="Times New Roman"/>
        </w:rPr>
        <w:t>recognition</w:t>
      </w:r>
      <w:r w:rsidR="00BA0BD0" w:rsidRPr="00C54090">
        <w:rPr>
          <w:rFonts w:cs="Times New Roman"/>
        </w:rPr>
        <w:t xml:space="preserve"> that there are things beyond the control of an individual or society.  </w:t>
      </w:r>
      <w:r w:rsidR="00CC162E" w:rsidRPr="00C54090">
        <w:rPr>
          <w:rFonts w:cs="Times New Roman"/>
        </w:rPr>
        <w:t xml:space="preserve">Barry </w:t>
      </w:r>
      <w:r w:rsidR="00BA0BD0" w:rsidRPr="00C54090">
        <w:rPr>
          <w:rFonts w:cs="Times New Roman"/>
        </w:rPr>
        <w:t>sees resilience as a realism that enables adaptation:</w:t>
      </w:r>
      <w:r w:rsidR="00CC162E" w:rsidRPr="00C54090">
        <w:rPr>
          <w:rFonts w:cs="Times New Roman"/>
        </w:rPr>
        <w:t xml:space="preserve"> “To be resilient means, at the most basic level, to live, to be able to continue living in the face of often negative changes in circumstances and those </w:t>
      </w:r>
      <w:r w:rsidR="00CC162E" w:rsidRPr="00C54090">
        <w:rPr>
          <w:rFonts w:cs="Times New Roman"/>
          <w:i/>
        </w:rPr>
        <w:t>inevitable</w:t>
      </w:r>
      <w:r w:rsidR="00CC162E" w:rsidRPr="00C54090">
        <w:rPr>
          <w:rFonts w:cs="Times New Roman"/>
        </w:rPr>
        <w:t xml:space="preserve"> and often unpredictable challenges all humans and all societies face.”</w:t>
      </w:r>
      <w:r w:rsidR="00CC162E" w:rsidRPr="00C54090">
        <w:rPr>
          <w:rStyle w:val="EndnoteReference"/>
          <w:rFonts w:cs="Times New Roman"/>
        </w:rPr>
        <w:endnoteReference w:id="23"/>
      </w:r>
      <w:r w:rsidR="00CC162E" w:rsidRPr="00C54090">
        <w:rPr>
          <w:rFonts w:cs="Times New Roman"/>
        </w:rPr>
        <w:t xml:space="preserve"> </w:t>
      </w:r>
      <w:r w:rsidR="00BA0BD0" w:rsidRPr="00C54090">
        <w:rPr>
          <w:rFonts w:cs="Times New Roman"/>
        </w:rPr>
        <w:t>Resilient actors</w:t>
      </w:r>
      <w:r w:rsidR="005E4E67" w:rsidRPr="00C54090">
        <w:rPr>
          <w:rFonts w:cs="Times New Roman"/>
        </w:rPr>
        <w:t xml:space="preserve"> </w:t>
      </w:r>
      <w:r w:rsidR="00BA0BD0" w:rsidRPr="00C54090">
        <w:rPr>
          <w:rFonts w:cs="Times New Roman"/>
        </w:rPr>
        <w:t>recognize</w:t>
      </w:r>
      <w:r w:rsidR="005E4E67" w:rsidRPr="00C54090">
        <w:rPr>
          <w:rFonts w:cs="Times New Roman"/>
        </w:rPr>
        <w:t xml:space="preserve"> </w:t>
      </w:r>
      <w:r w:rsidR="00BA0BD0" w:rsidRPr="00C54090">
        <w:rPr>
          <w:rFonts w:cs="Times New Roman"/>
        </w:rPr>
        <w:t>their</w:t>
      </w:r>
      <w:r w:rsidR="005E4E67" w:rsidRPr="00C54090">
        <w:rPr>
          <w:rFonts w:cs="Times New Roman"/>
        </w:rPr>
        <w:t xml:space="preserve"> </w:t>
      </w:r>
      <w:r w:rsidR="001468A9" w:rsidRPr="00C54090">
        <w:rPr>
          <w:rFonts w:cs="Times New Roman"/>
        </w:rPr>
        <w:t xml:space="preserve">limits </w:t>
      </w:r>
      <w:r w:rsidR="00BA0BD0" w:rsidRPr="00C54090">
        <w:rPr>
          <w:rFonts w:cs="Times New Roman"/>
        </w:rPr>
        <w:t>as well as</w:t>
      </w:r>
      <w:r w:rsidR="001468A9" w:rsidRPr="00C54090">
        <w:rPr>
          <w:rFonts w:cs="Times New Roman"/>
        </w:rPr>
        <w:t xml:space="preserve"> </w:t>
      </w:r>
      <w:r w:rsidR="00BA0BD0" w:rsidRPr="00C54090">
        <w:rPr>
          <w:rFonts w:cs="Times New Roman"/>
        </w:rPr>
        <w:t>their</w:t>
      </w:r>
      <w:r w:rsidR="001468A9" w:rsidRPr="00C54090">
        <w:rPr>
          <w:rFonts w:cs="Times New Roman"/>
        </w:rPr>
        <w:t xml:space="preserve"> </w:t>
      </w:r>
      <w:r w:rsidR="005E4E67" w:rsidRPr="00C54090">
        <w:rPr>
          <w:rFonts w:cs="Times New Roman"/>
        </w:rPr>
        <w:t>vulnerability in the face of future changes.</w:t>
      </w:r>
      <w:r w:rsidR="005E4E67" w:rsidRPr="00C54090">
        <w:rPr>
          <w:rStyle w:val="EndnoteReference"/>
          <w:rFonts w:cs="Times New Roman"/>
        </w:rPr>
        <w:endnoteReference w:id="24"/>
      </w:r>
      <w:r w:rsidR="008922A6" w:rsidRPr="00C54090">
        <w:rPr>
          <w:rFonts w:cs="Times New Roman"/>
        </w:rPr>
        <w:t xml:space="preserve">  </w:t>
      </w:r>
      <w:r w:rsidR="00626518" w:rsidRPr="00C54090">
        <w:rPr>
          <w:rFonts w:cs="Times New Roman"/>
        </w:rPr>
        <w:t>Barry emphasizes, “Resilience … is a way of coping with rather than eliminating vulnerability and contingency.”</w:t>
      </w:r>
      <w:r w:rsidR="00626518" w:rsidRPr="00C54090">
        <w:rPr>
          <w:rStyle w:val="EndnoteReference"/>
          <w:rFonts w:cs="Times New Roman"/>
        </w:rPr>
        <w:endnoteReference w:id="25"/>
      </w:r>
      <w:r w:rsidR="00626518" w:rsidRPr="00C54090">
        <w:rPr>
          <w:rFonts w:cs="Times New Roman"/>
        </w:rPr>
        <w:t xml:space="preserve">  </w:t>
      </w:r>
    </w:p>
    <w:p w14:paraId="05626FA4" w14:textId="21D76FAE" w:rsidR="00C63398" w:rsidRPr="00C54090" w:rsidRDefault="00626518" w:rsidP="00C63398">
      <w:pPr>
        <w:spacing w:line="480" w:lineRule="auto"/>
        <w:ind w:firstLine="720"/>
        <w:rPr>
          <w:rFonts w:cs="Times New Roman"/>
        </w:rPr>
      </w:pPr>
      <w:r w:rsidRPr="00C54090">
        <w:rPr>
          <w:rFonts w:cs="Times New Roman"/>
        </w:rPr>
        <w:t>Resilience also involves, in Barry’s words, “institutional capacity and cultivating appropriate dispositions, habits, and virtues.”</w:t>
      </w:r>
      <w:r w:rsidRPr="00C54090">
        <w:rPr>
          <w:rStyle w:val="EndnoteReference"/>
          <w:rFonts w:cs="Times New Roman"/>
        </w:rPr>
        <w:endnoteReference w:id="26"/>
      </w:r>
      <w:r w:rsidRPr="00C54090">
        <w:rPr>
          <w:rFonts w:cs="Times New Roman"/>
        </w:rPr>
        <w:t xml:space="preserve">  He notes that “resilient individuals or communities are ones that demonstrate certain virtues or characteristics, such as flexibility, adaptability, and adeptness in responding, willingness to change, including especially one’s views or previously held beliefs or values, and foresight to plan ahead for contingencies, envisage different scenarios, and the ability to make informed judgements.”</w:t>
      </w:r>
      <w:r w:rsidRPr="00C54090">
        <w:rPr>
          <w:rStyle w:val="EndnoteReference"/>
          <w:rFonts w:cs="Times New Roman"/>
        </w:rPr>
        <w:endnoteReference w:id="27"/>
      </w:r>
      <w:r w:rsidRPr="00C54090">
        <w:rPr>
          <w:rFonts w:cs="Times New Roman"/>
        </w:rPr>
        <w:t xml:space="preserve">  Resilience </w:t>
      </w:r>
      <w:r w:rsidR="0019479F">
        <w:rPr>
          <w:rFonts w:cs="Times New Roman"/>
        </w:rPr>
        <w:t>entails</w:t>
      </w:r>
      <w:r w:rsidRPr="00C54090">
        <w:rPr>
          <w:rFonts w:cs="Times New Roman"/>
        </w:rPr>
        <w:t xml:space="preserve"> creativity, innovation, and a recognition that conditions are impermanent and in flux.</w:t>
      </w:r>
      <w:r w:rsidRPr="00C54090">
        <w:rPr>
          <w:rStyle w:val="EndnoteReference"/>
          <w:rFonts w:cs="Times New Roman"/>
        </w:rPr>
        <w:endnoteReference w:id="28"/>
      </w:r>
      <w:r w:rsidRPr="00C54090">
        <w:rPr>
          <w:rFonts w:cs="Times New Roman"/>
        </w:rPr>
        <w:t xml:space="preserve"> </w:t>
      </w:r>
      <w:r w:rsidR="008922A6" w:rsidRPr="00C54090">
        <w:rPr>
          <w:rFonts w:cs="Times New Roman"/>
        </w:rPr>
        <w:t>Barry notes, “Resilience can be regarded itself as a virtue, linked to older virtues of fortitude and also expressing elements of courage, foresight, and prudence.”</w:t>
      </w:r>
      <w:r w:rsidR="008922A6" w:rsidRPr="00C54090">
        <w:rPr>
          <w:rStyle w:val="EndnoteReference"/>
          <w:rFonts w:cs="Times New Roman"/>
        </w:rPr>
        <w:endnoteReference w:id="29"/>
      </w:r>
      <w:r w:rsidRPr="00C54090">
        <w:rPr>
          <w:rFonts w:cs="Times New Roman"/>
        </w:rPr>
        <w:t xml:space="preserve">  He notes that the classical virtue of courage or fortitude is often exhibited in the face of adversities that one cannot necessarily eliminate but with which one must cope.</w:t>
      </w:r>
      <w:r w:rsidRPr="00C54090">
        <w:rPr>
          <w:rStyle w:val="EndnoteReference"/>
          <w:rFonts w:cs="Times New Roman"/>
        </w:rPr>
        <w:endnoteReference w:id="30"/>
      </w:r>
    </w:p>
    <w:p w14:paraId="2E97455F" w14:textId="0BF1D746" w:rsidR="005D0EB9" w:rsidRPr="00C54090" w:rsidRDefault="00C63398" w:rsidP="00BB4CC5">
      <w:pPr>
        <w:spacing w:line="480" w:lineRule="auto"/>
        <w:ind w:firstLine="720"/>
        <w:rPr>
          <w:rFonts w:cs="Times New Roman"/>
        </w:rPr>
      </w:pPr>
      <w:r w:rsidRPr="00C54090">
        <w:rPr>
          <w:rFonts w:cs="Times New Roman"/>
        </w:rPr>
        <w:t>The notion of resilience as a virtue recalls republicanism and also</w:t>
      </w:r>
      <w:r w:rsidR="002315EE" w:rsidRPr="00C54090">
        <w:rPr>
          <w:rFonts w:cs="Times New Roman"/>
        </w:rPr>
        <w:t xml:space="preserve"> fits with republicanism’s recognition of limit</w:t>
      </w:r>
      <w:r w:rsidRPr="00C54090">
        <w:rPr>
          <w:rFonts w:cs="Times New Roman"/>
        </w:rPr>
        <w:t xml:space="preserve">s and vulnerability to external forces, cited above.  </w:t>
      </w:r>
      <w:r w:rsidR="00626518" w:rsidRPr="00C54090">
        <w:rPr>
          <w:rFonts w:cs="Times New Roman"/>
        </w:rPr>
        <w:t xml:space="preserve">Resilience, Barry says, “resonate[s] with some key civic republican themes around contingency, action, uncertainty, </w:t>
      </w:r>
      <w:r w:rsidR="00626518" w:rsidRPr="00C54090">
        <w:rPr>
          <w:rFonts w:cs="Times New Roman"/>
          <w:i/>
        </w:rPr>
        <w:t>virtù</w:t>
      </w:r>
      <w:r w:rsidR="00626518" w:rsidRPr="00C54090">
        <w:rPr>
          <w:rFonts w:cs="Times New Roman"/>
        </w:rPr>
        <w:t xml:space="preserve"> and </w:t>
      </w:r>
      <w:r w:rsidR="00626518" w:rsidRPr="00C54090">
        <w:rPr>
          <w:rFonts w:cs="Times New Roman"/>
          <w:i/>
        </w:rPr>
        <w:t>fortuna</w:t>
      </w:r>
      <w:r w:rsidR="00626518" w:rsidRPr="00C54090">
        <w:rPr>
          <w:rFonts w:cs="Times New Roman"/>
        </w:rPr>
        <w:t xml:space="preserve"> as articulated by Machiavelli and others.”</w:t>
      </w:r>
      <w:r w:rsidR="00626518" w:rsidRPr="00C54090">
        <w:rPr>
          <w:rStyle w:val="EndnoteReference"/>
          <w:rFonts w:cs="Times New Roman"/>
        </w:rPr>
        <w:endnoteReference w:id="31"/>
      </w:r>
      <w:r w:rsidR="00626518" w:rsidRPr="00C54090">
        <w:rPr>
          <w:rFonts w:cs="Times New Roman"/>
        </w:rPr>
        <w:t xml:space="preserve"> </w:t>
      </w:r>
      <w:r w:rsidR="001F5D72" w:rsidRPr="00C54090">
        <w:rPr>
          <w:rFonts w:cs="Arial"/>
          <w:color w:val="000000"/>
        </w:rPr>
        <w:t xml:space="preserve">Machiavelli likens </w:t>
      </w:r>
      <w:r w:rsidR="001F5D72" w:rsidRPr="00C54090">
        <w:rPr>
          <w:rFonts w:cs="Arial"/>
          <w:i/>
          <w:color w:val="000000"/>
        </w:rPr>
        <w:t>fortuna</w:t>
      </w:r>
      <w:r w:rsidR="001F5D72" w:rsidRPr="00C54090">
        <w:rPr>
          <w:rFonts w:cs="Arial"/>
          <w:color w:val="000000"/>
        </w:rPr>
        <w:t xml:space="preserve"> “to one of those violent rivers which, when they become enraged, flood the plains, ruin the trees and the buildings, lift earth from this part, drop in another …  And although they are like this, it is not as if men, when times are quiet, could not provide for them with dikes and dams so that when they rise later, either they go by a canal or their impetus is neither so wanton nor so damaging.”</w:t>
      </w:r>
      <w:r w:rsidR="001401A0" w:rsidRPr="00C54090">
        <w:rPr>
          <w:rStyle w:val="EndnoteReference"/>
          <w:lang w:val="en-GB"/>
        </w:rPr>
        <w:endnoteReference w:id="32"/>
      </w:r>
      <w:r w:rsidR="001F5D72" w:rsidRPr="00C54090">
        <w:rPr>
          <w:rFonts w:cs="Arial"/>
          <w:color w:val="000000"/>
        </w:rPr>
        <w:t xml:space="preserve">  </w:t>
      </w:r>
      <w:r w:rsidR="00BB4CC5">
        <w:rPr>
          <w:rFonts w:cs="Arial"/>
          <w:color w:val="000000"/>
        </w:rPr>
        <w:t>E</w:t>
      </w:r>
      <w:r w:rsidR="001401A0" w:rsidRPr="00C54090">
        <w:rPr>
          <w:rFonts w:cs="Arial"/>
          <w:color w:val="000000"/>
        </w:rPr>
        <w:t xml:space="preserve">ndowed with </w:t>
      </w:r>
      <w:r w:rsidR="001401A0" w:rsidRPr="00C54090">
        <w:rPr>
          <w:rFonts w:cs="Times New Roman"/>
          <w:i/>
        </w:rPr>
        <w:t>virtù</w:t>
      </w:r>
      <w:r w:rsidR="001401A0" w:rsidRPr="00C54090">
        <w:rPr>
          <w:rFonts w:cs="Times New Roman"/>
        </w:rPr>
        <w:t>,</w:t>
      </w:r>
      <w:r w:rsidR="00BB4CC5">
        <w:rPr>
          <w:rFonts w:cs="Times New Roman"/>
        </w:rPr>
        <w:t xml:space="preserve"> one</w:t>
      </w:r>
      <w:r w:rsidR="001401A0" w:rsidRPr="00C54090">
        <w:rPr>
          <w:rFonts w:cs="Times New Roman"/>
        </w:rPr>
        <w:t xml:space="preserve"> is able to not only take advantage of opportunities provided by </w:t>
      </w:r>
      <w:r w:rsidR="001401A0" w:rsidRPr="00C54090">
        <w:rPr>
          <w:rFonts w:cs="Times New Roman"/>
          <w:i/>
        </w:rPr>
        <w:t>fortuna</w:t>
      </w:r>
      <w:r w:rsidR="001401A0" w:rsidRPr="00C54090">
        <w:rPr>
          <w:rFonts w:cs="Times New Roman"/>
        </w:rPr>
        <w:t>, but also plan ahead for when fortune turns and maintain resilience in the face of potential calamity.</w:t>
      </w:r>
      <w:r w:rsidR="001401A0" w:rsidRPr="00C54090">
        <w:rPr>
          <w:rStyle w:val="EndnoteReference"/>
          <w:rFonts w:cs="Times New Roman"/>
        </w:rPr>
        <w:endnoteReference w:id="33"/>
      </w:r>
      <w:r w:rsidR="00626518" w:rsidRPr="00C54090">
        <w:rPr>
          <w:rFonts w:cs="Times New Roman"/>
        </w:rPr>
        <w:t xml:space="preserve">  The wise statesman does not control the river itself and</w:t>
      </w:r>
      <w:r w:rsidR="00BB4CC5">
        <w:rPr>
          <w:rFonts w:cs="Times New Roman"/>
        </w:rPr>
        <w:t xml:space="preserve"> cannot</w:t>
      </w:r>
      <w:r w:rsidR="00626518" w:rsidRPr="00C54090">
        <w:rPr>
          <w:rFonts w:cs="Times New Roman"/>
        </w:rPr>
        <w:t xml:space="preserve"> prevent its waters from actually rising, but is able to cope with the water when it rises.</w:t>
      </w:r>
    </w:p>
    <w:p w14:paraId="118D2F97" w14:textId="70676694" w:rsidR="002315EE" w:rsidRPr="00BB4CC5" w:rsidRDefault="002315EE" w:rsidP="00AC6864">
      <w:pPr>
        <w:spacing w:line="480" w:lineRule="auto"/>
        <w:rPr>
          <w:rFonts w:cs="Times New Roman"/>
          <w:b/>
          <w:i/>
        </w:rPr>
      </w:pPr>
      <w:r w:rsidRPr="00BB4CC5">
        <w:rPr>
          <w:rFonts w:cs="Times New Roman"/>
          <w:b/>
          <w:i/>
        </w:rPr>
        <w:tab/>
        <w:t>Positive Visioning</w:t>
      </w:r>
    </w:p>
    <w:p w14:paraId="136DFF9F" w14:textId="3830C3A2" w:rsidR="00C8616C" w:rsidRPr="00C54090" w:rsidRDefault="00BB4CC5" w:rsidP="001F5D72">
      <w:pPr>
        <w:spacing w:line="480" w:lineRule="auto"/>
        <w:ind w:firstLine="720"/>
        <w:rPr>
          <w:rFonts w:cs="Times New Roman"/>
        </w:rPr>
      </w:pPr>
      <w:r>
        <w:rPr>
          <w:rFonts w:cs="Times New Roman"/>
        </w:rPr>
        <w:t>Though</w:t>
      </w:r>
      <w:r w:rsidR="001B13A8" w:rsidRPr="00C54090">
        <w:rPr>
          <w:rFonts w:cs="Times New Roman"/>
        </w:rPr>
        <w:t xml:space="preserve"> </w:t>
      </w:r>
      <w:r w:rsidR="00626518" w:rsidRPr="00C54090">
        <w:rPr>
          <w:rFonts w:cs="Times New Roman"/>
        </w:rPr>
        <w:t xml:space="preserve">Transition’s emphasis on </w:t>
      </w:r>
      <w:r w:rsidR="001B13A8" w:rsidRPr="00C54090">
        <w:rPr>
          <w:rFonts w:cs="Times New Roman"/>
        </w:rPr>
        <w:t xml:space="preserve">resilience </w:t>
      </w:r>
      <w:r w:rsidR="00A73AAC" w:rsidRPr="00C54090">
        <w:rPr>
          <w:rFonts w:cs="Times New Roman"/>
        </w:rPr>
        <w:t>involves</w:t>
      </w:r>
      <w:r w:rsidR="001B13A8" w:rsidRPr="00C54090">
        <w:rPr>
          <w:rFonts w:cs="Times New Roman"/>
        </w:rPr>
        <w:t xml:space="preserve"> the recognition of limits and the expectation of future challenges, </w:t>
      </w:r>
      <w:r w:rsidR="005D0EB9" w:rsidRPr="00C54090">
        <w:rPr>
          <w:rFonts w:cs="Times New Roman"/>
        </w:rPr>
        <w:t xml:space="preserve">Transition </w:t>
      </w:r>
      <w:r w:rsidR="00626518" w:rsidRPr="00C54090">
        <w:rPr>
          <w:rFonts w:cs="Times New Roman"/>
        </w:rPr>
        <w:t xml:space="preserve">departs from republicanism’s </w:t>
      </w:r>
      <w:r w:rsidR="00C63398" w:rsidRPr="00C54090">
        <w:rPr>
          <w:rFonts w:cs="Times New Roman"/>
        </w:rPr>
        <w:t xml:space="preserve">aforementioned </w:t>
      </w:r>
      <w:r w:rsidR="00626518" w:rsidRPr="00C54090">
        <w:rPr>
          <w:rFonts w:cs="Times New Roman"/>
        </w:rPr>
        <w:t>pessimism</w:t>
      </w:r>
      <w:r w:rsidR="002315EE" w:rsidRPr="00C54090">
        <w:rPr>
          <w:rFonts w:cs="Times New Roman"/>
        </w:rPr>
        <w:t xml:space="preserve">.  </w:t>
      </w:r>
      <w:r w:rsidR="00C63398" w:rsidRPr="00C54090">
        <w:rPr>
          <w:rFonts w:cs="Times New Roman"/>
        </w:rPr>
        <w:t xml:space="preserve">Rather, </w:t>
      </w:r>
      <w:r w:rsidR="005D0EB9" w:rsidRPr="00C54090">
        <w:rPr>
          <w:rFonts w:cs="Times New Roman"/>
        </w:rPr>
        <w:t xml:space="preserve">Transition and its concept of </w:t>
      </w:r>
      <w:r w:rsidR="00C63398" w:rsidRPr="00C54090">
        <w:rPr>
          <w:rFonts w:cs="Times New Roman"/>
        </w:rPr>
        <w:t>resilience</w:t>
      </w:r>
      <w:r w:rsidR="005D0EB9" w:rsidRPr="00C54090">
        <w:rPr>
          <w:rFonts w:cs="Times New Roman"/>
        </w:rPr>
        <w:t xml:space="preserve"> involve</w:t>
      </w:r>
      <w:r w:rsidR="001B13A8" w:rsidRPr="00C54090">
        <w:rPr>
          <w:rFonts w:cs="Times New Roman"/>
        </w:rPr>
        <w:t xml:space="preserve"> positive visioning.  Barry says that a “unique feature of the Transition movement is its upbeat, inclusive, and positive character</w:t>
      </w:r>
      <w:r w:rsidR="00DC14B8" w:rsidRPr="00C54090">
        <w:rPr>
          <w:rFonts w:cs="Times New Roman"/>
        </w:rPr>
        <w:t>,</w:t>
      </w:r>
      <w:r w:rsidR="001B13A8" w:rsidRPr="00C54090">
        <w:rPr>
          <w:rFonts w:cs="Times New Roman"/>
        </w:rPr>
        <w:t>”</w:t>
      </w:r>
      <w:r w:rsidR="00DC14B8" w:rsidRPr="00C54090">
        <w:rPr>
          <w:rStyle w:val="EndnoteReference"/>
          <w:rFonts w:cs="Times New Roman"/>
        </w:rPr>
        <w:endnoteReference w:id="34"/>
      </w:r>
      <w:r w:rsidR="00DC14B8" w:rsidRPr="00C54090">
        <w:rPr>
          <w:rFonts w:cs="Times New Roman"/>
        </w:rPr>
        <w:t xml:space="preserve"> one that welcomes and indeed strives for a future with less energy.</w:t>
      </w:r>
      <w:r w:rsidR="00DC14B8" w:rsidRPr="00C54090">
        <w:rPr>
          <w:rStyle w:val="EndnoteReference"/>
          <w:rFonts w:cs="Times New Roman"/>
        </w:rPr>
        <w:endnoteReference w:id="35"/>
      </w:r>
      <w:r w:rsidR="00DC14B8" w:rsidRPr="00C54090">
        <w:rPr>
          <w:rFonts w:cs="Times New Roman"/>
        </w:rPr>
        <w:t xml:space="preserve">  </w:t>
      </w:r>
      <w:r w:rsidR="00C63398" w:rsidRPr="00C54090">
        <w:rPr>
          <w:rFonts w:cs="Times New Roman"/>
        </w:rPr>
        <w:t xml:space="preserve">Such a future, </w:t>
      </w:r>
      <w:r w:rsidR="00C8616C" w:rsidRPr="00C54090">
        <w:rPr>
          <w:rFonts w:cs="Times New Roman"/>
        </w:rPr>
        <w:t>Barry says, “is not viewed as regressive, negative, or something to be resisted, but rather viewed as an opportunity for the creative exploration of new ways of living that try to achieve high quality of life with less energy and resources.”</w:t>
      </w:r>
      <w:r w:rsidR="00EB1FB5" w:rsidRPr="00C54090">
        <w:rPr>
          <w:rStyle w:val="EndnoteReference"/>
          <w:rFonts w:cs="Times New Roman"/>
        </w:rPr>
        <w:endnoteReference w:id="36"/>
      </w:r>
    </w:p>
    <w:p w14:paraId="72A04931" w14:textId="5708E97A" w:rsidR="005D0EB9" w:rsidRPr="00C54090" w:rsidRDefault="00B44FB8" w:rsidP="00C8616C">
      <w:pPr>
        <w:spacing w:line="480" w:lineRule="auto"/>
        <w:ind w:firstLine="720"/>
        <w:rPr>
          <w:rFonts w:cs="Times New Roman"/>
        </w:rPr>
      </w:pPr>
      <w:r w:rsidRPr="00C54090">
        <w:rPr>
          <w:rFonts w:cs="Times New Roman"/>
        </w:rPr>
        <w:t>This</w:t>
      </w:r>
      <w:r w:rsidR="005D0EB9" w:rsidRPr="00C54090">
        <w:rPr>
          <w:rFonts w:cs="Times New Roman"/>
        </w:rPr>
        <w:t xml:space="preserve"> positive visioning acknowledges that the future is constrained but also sees exhilarating and almost infinite possibility within those constraints. </w:t>
      </w:r>
      <w:r w:rsidRPr="00C54090">
        <w:rPr>
          <w:rFonts w:cs="Times New Roman"/>
        </w:rPr>
        <w:t xml:space="preserve"> </w:t>
      </w:r>
      <w:r w:rsidR="005D0EB9" w:rsidRPr="00C54090">
        <w:rPr>
          <w:rFonts w:cs="Times New Roman"/>
        </w:rPr>
        <w:t>Hopkins says that in starting a Transition group, one should not impose a plan or blueprint from the outset, but instead, “Let it go where it wants to go.”</w:t>
      </w:r>
      <w:r w:rsidR="005D0EB9" w:rsidRPr="00C54090">
        <w:rPr>
          <w:rStyle w:val="EndnoteReference"/>
          <w:rFonts w:cs="Times New Roman"/>
        </w:rPr>
        <w:endnoteReference w:id="37"/>
      </w:r>
      <w:r w:rsidR="005D0EB9" w:rsidRPr="00C54090">
        <w:rPr>
          <w:rFonts w:cs="Times New Roman"/>
        </w:rPr>
        <w:t xml:space="preserve">  Transition, according to Barry, </w:t>
      </w:r>
      <w:r w:rsidRPr="00C54090">
        <w:rPr>
          <w:rFonts w:cs="Times New Roman"/>
        </w:rPr>
        <w:t xml:space="preserve">involves </w:t>
      </w:r>
      <w:r w:rsidR="00C8616C" w:rsidRPr="00C54090">
        <w:rPr>
          <w:rFonts w:cs="Times New Roman"/>
        </w:rPr>
        <w:t>“</w:t>
      </w:r>
      <w:r w:rsidRPr="00C54090">
        <w:rPr>
          <w:rFonts w:cs="Times New Roman"/>
        </w:rPr>
        <w:t>improvisation</w:t>
      </w:r>
      <w:r w:rsidR="00C8616C" w:rsidRPr="00C54090">
        <w:rPr>
          <w:rFonts w:cs="Times New Roman"/>
        </w:rPr>
        <w:t xml:space="preserve"> [and] </w:t>
      </w:r>
      <w:r w:rsidRPr="00C54090">
        <w:rPr>
          <w:rFonts w:cs="Times New Roman"/>
        </w:rPr>
        <w:t xml:space="preserve">responsible and informed risk-taking,” in a process that is </w:t>
      </w:r>
      <w:r w:rsidR="00C8616C" w:rsidRPr="00C54090">
        <w:rPr>
          <w:rFonts w:cs="Times New Roman"/>
        </w:rPr>
        <w:t>“spontaneous, creative, messy, and unpredictable,” and involves an effort to reduce unsustainability in a way that is “both disruptive and transgressive.”</w:t>
      </w:r>
      <w:r w:rsidR="00C8616C" w:rsidRPr="00C54090">
        <w:rPr>
          <w:rStyle w:val="EndnoteReference"/>
          <w:rFonts w:cs="Times New Roman"/>
        </w:rPr>
        <w:endnoteReference w:id="38"/>
      </w:r>
      <w:r w:rsidR="00C8616C" w:rsidRPr="00C54090">
        <w:rPr>
          <w:rFonts w:cs="Times New Roman"/>
        </w:rPr>
        <w:t xml:space="preserve"> </w:t>
      </w:r>
      <w:r w:rsidR="005D0EB9" w:rsidRPr="00C54090">
        <w:rPr>
          <w:rFonts w:cs="Times New Roman"/>
        </w:rPr>
        <w:t xml:space="preserve"> </w:t>
      </w:r>
      <w:r w:rsidR="00BB4CC5">
        <w:rPr>
          <w:rFonts w:cs="Times New Roman"/>
        </w:rPr>
        <w:t>Yet t</w:t>
      </w:r>
      <w:r w:rsidR="005D0EB9" w:rsidRPr="00C54090">
        <w:rPr>
          <w:rFonts w:cs="Times New Roman"/>
        </w:rPr>
        <w:t xml:space="preserve">his improvisation is </w:t>
      </w:r>
      <w:r w:rsidR="00BB4CC5">
        <w:rPr>
          <w:rFonts w:cs="Times New Roman"/>
        </w:rPr>
        <w:t>neither</w:t>
      </w:r>
      <w:r w:rsidR="005D0EB9" w:rsidRPr="00C54090">
        <w:rPr>
          <w:rFonts w:cs="Times New Roman"/>
        </w:rPr>
        <w:t xml:space="preserve"> reckless </w:t>
      </w:r>
      <w:r w:rsidR="00AC1E2F" w:rsidRPr="00C54090">
        <w:rPr>
          <w:rFonts w:cs="Times New Roman"/>
        </w:rPr>
        <w:t>n</w:t>
      </w:r>
      <w:r w:rsidR="005D0EB9" w:rsidRPr="00C54090">
        <w:rPr>
          <w:rFonts w:cs="Times New Roman"/>
        </w:rPr>
        <w:t xml:space="preserve">or marked by </w:t>
      </w:r>
      <w:r w:rsidR="00AC1E2F" w:rsidRPr="00C54090">
        <w:rPr>
          <w:rFonts w:cs="Times New Roman"/>
        </w:rPr>
        <w:t>modernity’s hubris:</w:t>
      </w:r>
      <w:r w:rsidR="005D0EB9" w:rsidRPr="00C54090">
        <w:rPr>
          <w:rFonts w:cs="Times New Roman"/>
        </w:rPr>
        <w:t xml:space="preserve"> Transition emphasizes humility and a “cautious and considered approach to decision-making and action.”</w:t>
      </w:r>
      <w:r w:rsidR="005D0EB9" w:rsidRPr="00C54090">
        <w:rPr>
          <w:rStyle w:val="EndnoteReference"/>
        </w:rPr>
        <w:endnoteReference w:id="39"/>
      </w:r>
    </w:p>
    <w:p w14:paraId="6D7F83E3" w14:textId="4AFB2C75" w:rsidR="00722E0A" w:rsidRPr="00C54090" w:rsidRDefault="003938E1" w:rsidP="005F0A8E">
      <w:pPr>
        <w:spacing w:line="480" w:lineRule="auto"/>
        <w:ind w:firstLine="720"/>
        <w:rPr>
          <w:rFonts w:cs="Times New Roman"/>
        </w:rPr>
      </w:pPr>
      <w:r w:rsidRPr="00C54090">
        <w:rPr>
          <w:rFonts w:cs="Times New Roman"/>
        </w:rPr>
        <w:t>Positive visioning means that</w:t>
      </w:r>
      <w:r w:rsidR="00AC1E2F" w:rsidRPr="00C54090">
        <w:rPr>
          <w:rFonts w:cs="Times New Roman"/>
        </w:rPr>
        <w:t xml:space="preserve"> </w:t>
      </w:r>
      <w:r w:rsidR="00C8616C" w:rsidRPr="00C54090">
        <w:rPr>
          <w:rFonts w:cs="Times New Roman"/>
        </w:rPr>
        <w:t>Transition offers</w:t>
      </w:r>
      <w:r w:rsidRPr="00C54090">
        <w:rPr>
          <w:rFonts w:cs="Times New Roman"/>
        </w:rPr>
        <w:t xml:space="preserve"> what Barry calls</w:t>
      </w:r>
      <w:r w:rsidR="00C8616C" w:rsidRPr="00C54090">
        <w:rPr>
          <w:rFonts w:cs="Times New Roman"/>
        </w:rPr>
        <w:t xml:space="preserve"> “concrete utopian” experiments for imagining a different kind of society.</w:t>
      </w:r>
      <w:r w:rsidR="00C8616C" w:rsidRPr="00C54090">
        <w:rPr>
          <w:rStyle w:val="EndnoteReference"/>
          <w:rFonts w:cs="Times New Roman"/>
        </w:rPr>
        <w:endnoteReference w:id="40"/>
      </w:r>
      <w:r w:rsidR="00E16D56" w:rsidRPr="00C54090">
        <w:rPr>
          <w:rFonts w:cs="Times New Roman"/>
        </w:rPr>
        <w:t xml:space="preserve">  </w:t>
      </w:r>
      <w:r w:rsidR="005D0EB9" w:rsidRPr="00C54090">
        <w:rPr>
          <w:rFonts w:cs="Times New Roman"/>
        </w:rPr>
        <w:t xml:space="preserve">In other words, “to live in a less unsustainable society is to live in a </w:t>
      </w:r>
      <w:r w:rsidR="005D0EB9" w:rsidRPr="00C54090">
        <w:rPr>
          <w:rFonts w:cs="Times New Roman"/>
          <w:i/>
        </w:rPr>
        <w:t>different type of society</w:t>
      </w:r>
      <w:r w:rsidR="005D0EB9" w:rsidRPr="00C54090">
        <w:rPr>
          <w:rFonts w:cs="Times New Roman"/>
        </w:rPr>
        <w:t xml:space="preserve"> not simply the ‘greening’ of the existing one.”</w:t>
      </w:r>
      <w:r w:rsidR="005D0EB9" w:rsidRPr="00C54090">
        <w:rPr>
          <w:rStyle w:val="EndnoteReference"/>
          <w:rFonts w:cs="Times New Roman"/>
        </w:rPr>
        <w:endnoteReference w:id="41"/>
      </w:r>
      <w:r w:rsidR="005D0EB9" w:rsidRPr="00C54090">
        <w:rPr>
          <w:rFonts w:cs="Times New Roman"/>
        </w:rPr>
        <w:t xml:space="preserve">  </w:t>
      </w:r>
    </w:p>
    <w:p w14:paraId="4FF389FC" w14:textId="4D015F63" w:rsidR="00722E0A" w:rsidRPr="005F0A8E" w:rsidRDefault="00722E0A" w:rsidP="00722E0A">
      <w:pPr>
        <w:spacing w:line="480" w:lineRule="auto"/>
        <w:ind w:firstLine="720"/>
        <w:rPr>
          <w:rFonts w:cs="Times New Roman"/>
          <w:b/>
          <w:i/>
        </w:rPr>
      </w:pPr>
      <w:r w:rsidRPr="005F0A8E">
        <w:rPr>
          <w:rFonts w:cs="Times New Roman"/>
          <w:b/>
          <w:i/>
        </w:rPr>
        <w:t>Inner and Outer Transition</w:t>
      </w:r>
    </w:p>
    <w:p w14:paraId="5FE1E74C" w14:textId="77777777" w:rsidR="00ED187D" w:rsidRDefault="001468A9" w:rsidP="00FA4521">
      <w:pPr>
        <w:spacing w:line="480" w:lineRule="auto"/>
        <w:ind w:firstLine="720"/>
        <w:rPr>
          <w:rFonts w:cs="Times New Roman"/>
        </w:rPr>
      </w:pPr>
      <w:r w:rsidRPr="00C54090">
        <w:rPr>
          <w:rFonts w:cs="Times New Roman"/>
        </w:rPr>
        <w:t xml:space="preserve">Inner and outer transition means that Transition requires not just changes in institutions, technologies, economies, culture, and practices, but also </w:t>
      </w:r>
      <w:r w:rsidR="008922A6" w:rsidRPr="00C54090">
        <w:rPr>
          <w:rFonts w:cs="Times New Roman"/>
        </w:rPr>
        <w:t>changes in perspective and psychology.  As Barry points out, this is related to the movement’s interest in reskilling and entails coping, empowerment, and building social connections in the face of daunting challenges like climate change that might otherwise induce helplessness.</w:t>
      </w:r>
      <w:r w:rsidR="008922A6" w:rsidRPr="00C54090">
        <w:rPr>
          <w:rStyle w:val="EndnoteReference"/>
          <w:rFonts w:cs="Times New Roman"/>
        </w:rPr>
        <w:endnoteReference w:id="42"/>
      </w:r>
      <w:r w:rsidR="00EB1FB5" w:rsidRPr="00C54090">
        <w:rPr>
          <w:rFonts w:cs="Times New Roman"/>
        </w:rPr>
        <w:t xml:space="preserve">  </w:t>
      </w:r>
    </w:p>
    <w:p w14:paraId="10C9688C" w14:textId="75A42CC8" w:rsidR="001468A9" w:rsidRPr="00C54090" w:rsidRDefault="00ED187D" w:rsidP="00FA4521">
      <w:pPr>
        <w:spacing w:line="480" w:lineRule="auto"/>
        <w:ind w:firstLine="720"/>
        <w:rPr>
          <w:rFonts w:cs="Times New Roman"/>
        </w:rPr>
      </w:pPr>
      <w:r>
        <w:rPr>
          <w:rFonts w:cs="Times New Roman"/>
        </w:rPr>
        <w:t xml:space="preserve">In developing the notion of inner transition, </w:t>
      </w:r>
      <w:r w:rsidR="00C108C0" w:rsidRPr="00C54090">
        <w:rPr>
          <w:rFonts w:cs="Times New Roman"/>
        </w:rPr>
        <w:t xml:space="preserve">Hopkins </w:t>
      </w:r>
      <w:r>
        <w:rPr>
          <w:rFonts w:cs="Times New Roman"/>
        </w:rPr>
        <w:t xml:space="preserve">also </w:t>
      </w:r>
      <w:r w:rsidR="00C108C0" w:rsidRPr="00C54090">
        <w:rPr>
          <w:rFonts w:cs="Times New Roman"/>
        </w:rPr>
        <w:t>draws on the psychology of change and of addiction treatment.</w:t>
      </w:r>
      <w:r w:rsidR="00C108C0" w:rsidRPr="00C54090">
        <w:rPr>
          <w:rStyle w:val="EndnoteReference"/>
        </w:rPr>
        <w:endnoteReference w:id="43"/>
      </w:r>
      <w:r w:rsidR="00C108C0" w:rsidRPr="00C54090">
        <w:rPr>
          <w:rFonts w:cs="Times New Roman"/>
        </w:rPr>
        <w:t xml:space="preserve">  </w:t>
      </w:r>
      <w:r w:rsidR="00EB1FB5" w:rsidRPr="00C54090">
        <w:rPr>
          <w:rFonts w:cs="Times New Roman"/>
        </w:rPr>
        <w:t xml:space="preserve">A key part of inner transition is shedding our individual and collective addiction to an energy-intensive, high-consumption way of life and </w:t>
      </w:r>
      <w:r w:rsidR="00753399" w:rsidRPr="00C54090">
        <w:rPr>
          <w:rFonts w:cs="Times New Roman"/>
        </w:rPr>
        <w:t xml:space="preserve">cultivating courage and </w:t>
      </w:r>
      <w:r w:rsidR="00EB1FB5" w:rsidRPr="00C54090">
        <w:rPr>
          <w:rFonts w:cs="Times New Roman"/>
        </w:rPr>
        <w:t>coping with the fear induced by the impending end of that way of life.</w:t>
      </w:r>
      <w:r w:rsidR="00EB1FB5" w:rsidRPr="00C54090">
        <w:rPr>
          <w:rStyle w:val="EndnoteReference"/>
          <w:rFonts w:cs="Times New Roman"/>
        </w:rPr>
        <w:endnoteReference w:id="44"/>
      </w:r>
      <w:r w:rsidR="00FD73B1" w:rsidRPr="00C54090">
        <w:rPr>
          <w:rFonts w:cs="Times New Roman"/>
        </w:rPr>
        <w:t xml:space="preserve"> </w:t>
      </w:r>
      <w:r w:rsidR="00C108C0" w:rsidRPr="00C54090">
        <w:rPr>
          <w:rFonts w:cs="Times New Roman"/>
        </w:rPr>
        <w:t xml:space="preserve"> This</w:t>
      </w:r>
      <w:r w:rsidR="005F0A8E">
        <w:rPr>
          <w:rFonts w:cs="Times New Roman"/>
        </w:rPr>
        <w:t xml:space="preserve"> of course</w:t>
      </w:r>
      <w:r w:rsidR="00C108C0" w:rsidRPr="00C54090">
        <w:rPr>
          <w:rFonts w:cs="Times New Roman"/>
        </w:rPr>
        <w:t xml:space="preserve"> ties in with positive visioning. </w:t>
      </w:r>
      <w:r w:rsidR="005F0A8E">
        <w:rPr>
          <w:rFonts w:cs="Times New Roman"/>
        </w:rPr>
        <w:t xml:space="preserve"> It</w:t>
      </w:r>
      <w:r w:rsidR="00CE4945">
        <w:rPr>
          <w:rFonts w:cs="Times New Roman"/>
        </w:rPr>
        <w:t xml:space="preserve"> </w:t>
      </w:r>
      <w:r>
        <w:rPr>
          <w:rFonts w:cs="Times New Roman"/>
        </w:rPr>
        <w:t xml:space="preserve">also </w:t>
      </w:r>
      <w:r w:rsidR="005F0A8E">
        <w:rPr>
          <w:rFonts w:cs="Times New Roman"/>
        </w:rPr>
        <w:t>relates to the idea, discussed above,</w:t>
      </w:r>
      <w:r w:rsidR="00CE4945">
        <w:rPr>
          <w:rFonts w:cs="Times New Roman"/>
        </w:rPr>
        <w:t xml:space="preserve"> that Transition involves the cultivation of certain character traits, particularly virtues, suited to a green, post-carbon society.</w:t>
      </w:r>
    </w:p>
    <w:p w14:paraId="14A528E6" w14:textId="77777777" w:rsidR="00D30F5F" w:rsidRPr="005F0A8E" w:rsidRDefault="00D30F5F" w:rsidP="00D30F5F">
      <w:pPr>
        <w:pStyle w:val="NormalWeb"/>
        <w:spacing w:before="0" w:beforeAutospacing="0" w:after="0" w:afterAutospacing="0" w:line="480" w:lineRule="auto"/>
        <w:ind w:firstLine="720"/>
        <w:rPr>
          <w:rFonts w:asciiTheme="minorHAnsi" w:hAnsiTheme="minorHAnsi"/>
          <w:i/>
          <w:sz w:val="24"/>
          <w:szCs w:val="24"/>
        </w:rPr>
      </w:pPr>
      <w:r w:rsidRPr="005F0A8E">
        <w:rPr>
          <w:rFonts w:asciiTheme="minorHAnsi" w:hAnsiTheme="minorHAnsi"/>
          <w:b/>
          <w:i/>
          <w:sz w:val="24"/>
          <w:szCs w:val="24"/>
        </w:rPr>
        <w:t>Inclusion and Openness;</w:t>
      </w:r>
      <w:r w:rsidRPr="005F0A8E">
        <w:rPr>
          <w:rFonts w:asciiTheme="minorHAnsi" w:hAnsiTheme="minorHAnsi"/>
          <w:i/>
          <w:sz w:val="24"/>
          <w:szCs w:val="24"/>
        </w:rPr>
        <w:t xml:space="preserve"> </w:t>
      </w:r>
      <w:r w:rsidRPr="005F0A8E">
        <w:rPr>
          <w:rStyle w:val="Strong"/>
          <w:rFonts w:asciiTheme="minorHAnsi" w:hAnsiTheme="minorHAnsi"/>
          <w:i/>
          <w:sz w:val="24"/>
          <w:szCs w:val="24"/>
        </w:rPr>
        <w:t>Sharing and Networking</w:t>
      </w:r>
    </w:p>
    <w:p w14:paraId="1F1EC012" w14:textId="2D86975C" w:rsidR="00D30F5F" w:rsidRPr="00C54090" w:rsidRDefault="00D30F5F" w:rsidP="00D30F5F">
      <w:pPr>
        <w:spacing w:line="480" w:lineRule="auto"/>
      </w:pPr>
      <w:r w:rsidRPr="00C54090">
        <w:tab/>
      </w:r>
      <w:r w:rsidR="00C108C0" w:rsidRPr="00C54090">
        <w:t xml:space="preserve">For the Transition movement, </w:t>
      </w:r>
      <w:r w:rsidRPr="00C54090">
        <w:rPr>
          <w:i/>
        </w:rPr>
        <w:t>inclusion and openness</w:t>
      </w:r>
      <w:r w:rsidRPr="00C54090">
        <w:t xml:space="preserve"> </w:t>
      </w:r>
      <w:r w:rsidR="00C108C0" w:rsidRPr="00C54090">
        <w:t>involves</w:t>
      </w:r>
      <w:r w:rsidRPr="00C54090">
        <w:t xml:space="preserve"> connecti</w:t>
      </w:r>
      <w:r w:rsidR="00C108C0" w:rsidRPr="00C54090">
        <w:t xml:space="preserve">ng with the local community, from activists to plain citizens to government agencies to businesses.  It means </w:t>
      </w:r>
      <w:r w:rsidRPr="00C54090">
        <w:t>recognizing “</w:t>
      </w:r>
      <w:r w:rsidRPr="00C54090">
        <w:rPr>
          <w:rFonts w:eastAsia="Times New Roman" w:cs="Times New Roman"/>
        </w:rPr>
        <w:t>the principle that there is no room for ‘them and us’ thinking.”</w:t>
      </w:r>
      <w:r w:rsidRPr="00C54090">
        <w:rPr>
          <w:rStyle w:val="EndnoteReference"/>
          <w:rFonts w:eastAsia="Times New Roman" w:cs="Times New Roman"/>
        </w:rPr>
        <w:endnoteReference w:id="45"/>
      </w:r>
      <w:r w:rsidRPr="00C54090">
        <w:t xml:space="preserve">  B</w:t>
      </w:r>
      <w:r w:rsidR="005F0A8E">
        <w:t xml:space="preserve">arry says that </w:t>
      </w:r>
      <w:r w:rsidRPr="00C54090">
        <w:t>“at the heart of transition is the re/creating or reviving of community and forms of social solidarity.”</w:t>
      </w:r>
      <w:r w:rsidRPr="00C54090">
        <w:rPr>
          <w:rStyle w:val="EndnoteReference"/>
        </w:rPr>
        <w:endnoteReference w:id="46"/>
      </w:r>
      <w:r w:rsidRPr="00C54090">
        <w:t xml:space="preserve">  Such solidarity, says Barry, involves reversing contemporary atomization and hyper-individualism and pursuing “a shared societal project” to change our way of life.</w:t>
      </w:r>
      <w:r w:rsidRPr="00C54090">
        <w:rPr>
          <w:rStyle w:val="EndnoteReference"/>
        </w:rPr>
        <w:endnoteReference w:id="47"/>
      </w:r>
      <w:r w:rsidR="00C116AF" w:rsidRPr="00C54090">
        <w:t xml:space="preserve"> </w:t>
      </w:r>
    </w:p>
    <w:p w14:paraId="7C135B41" w14:textId="2C2C2CE0" w:rsidR="00867649" w:rsidRPr="005F0A8E" w:rsidRDefault="00C116AF" w:rsidP="005F0A8E">
      <w:pPr>
        <w:pStyle w:val="NormalWeb"/>
        <w:spacing w:before="0" w:beforeAutospacing="0" w:after="0" w:afterAutospacing="0" w:line="480" w:lineRule="auto"/>
        <w:ind w:firstLine="720"/>
        <w:rPr>
          <w:rStyle w:val="Strong"/>
          <w:rFonts w:asciiTheme="minorHAnsi" w:hAnsiTheme="minorHAnsi"/>
          <w:b w:val="0"/>
          <w:bCs w:val="0"/>
          <w:sz w:val="24"/>
          <w:szCs w:val="24"/>
        </w:rPr>
      </w:pPr>
      <w:r w:rsidRPr="00C54090">
        <w:rPr>
          <w:rFonts w:asciiTheme="minorHAnsi" w:hAnsiTheme="minorHAnsi"/>
          <w:sz w:val="24"/>
          <w:szCs w:val="24"/>
        </w:rPr>
        <w:t>These values tie</w:t>
      </w:r>
      <w:r w:rsidR="00C108C0" w:rsidRPr="00C54090">
        <w:rPr>
          <w:rFonts w:asciiTheme="minorHAnsi" w:hAnsiTheme="minorHAnsi"/>
          <w:sz w:val="24"/>
          <w:szCs w:val="24"/>
        </w:rPr>
        <w:t xml:space="preserve"> in with republicanism’s emphasis on </w:t>
      </w:r>
      <w:r w:rsidR="00867649" w:rsidRPr="00C54090">
        <w:rPr>
          <w:rFonts w:asciiTheme="minorHAnsi" w:hAnsiTheme="minorHAnsi"/>
          <w:sz w:val="24"/>
          <w:szCs w:val="24"/>
        </w:rPr>
        <w:t xml:space="preserve">the common good over private interests.  </w:t>
      </w:r>
      <w:r w:rsidR="00C108C0" w:rsidRPr="00C54090">
        <w:rPr>
          <w:rFonts w:asciiTheme="minorHAnsi" w:hAnsiTheme="minorHAnsi"/>
          <w:sz w:val="24"/>
          <w:szCs w:val="24"/>
        </w:rPr>
        <w:t>Republicanism demands</w:t>
      </w:r>
      <w:r w:rsidR="00867649" w:rsidRPr="00C54090">
        <w:rPr>
          <w:rFonts w:asciiTheme="minorHAnsi" w:hAnsiTheme="minorHAnsi"/>
          <w:sz w:val="24"/>
          <w:szCs w:val="24"/>
        </w:rPr>
        <w:t xml:space="preserve"> a strong sense of civic identity and see</w:t>
      </w:r>
      <w:r w:rsidR="00C108C0" w:rsidRPr="00C54090">
        <w:rPr>
          <w:rFonts w:asciiTheme="minorHAnsi" w:hAnsiTheme="minorHAnsi"/>
          <w:sz w:val="24"/>
          <w:szCs w:val="24"/>
        </w:rPr>
        <w:t>s</w:t>
      </w:r>
      <w:r w:rsidR="00867649" w:rsidRPr="00C54090">
        <w:rPr>
          <w:rFonts w:asciiTheme="minorHAnsi" w:hAnsiTheme="minorHAnsi"/>
          <w:sz w:val="24"/>
          <w:szCs w:val="24"/>
        </w:rPr>
        <w:t xml:space="preserve"> in </w:t>
      </w:r>
      <w:r w:rsidR="00C108C0" w:rsidRPr="00C54090">
        <w:rPr>
          <w:rFonts w:asciiTheme="minorHAnsi" w:hAnsiTheme="minorHAnsi"/>
          <w:sz w:val="24"/>
          <w:szCs w:val="24"/>
        </w:rPr>
        <w:t>a politics a deliberative</w:t>
      </w:r>
      <w:r w:rsidR="00867649" w:rsidRPr="00C54090">
        <w:rPr>
          <w:rFonts w:asciiTheme="minorHAnsi" w:hAnsiTheme="minorHAnsi"/>
          <w:sz w:val="24"/>
          <w:szCs w:val="24"/>
        </w:rPr>
        <w:t xml:space="preserve"> enterprise to further </w:t>
      </w:r>
      <w:r w:rsidRPr="00C54090">
        <w:rPr>
          <w:rFonts w:asciiTheme="minorHAnsi" w:hAnsiTheme="minorHAnsi"/>
          <w:sz w:val="24"/>
          <w:szCs w:val="24"/>
        </w:rPr>
        <w:t>collective</w:t>
      </w:r>
      <w:r w:rsidR="00867649" w:rsidRPr="00C54090">
        <w:rPr>
          <w:rFonts w:asciiTheme="minorHAnsi" w:hAnsiTheme="minorHAnsi"/>
          <w:sz w:val="24"/>
          <w:szCs w:val="24"/>
        </w:rPr>
        <w:t xml:space="preserve"> ends.  </w:t>
      </w:r>
      <w:r w:rsidR="00C108C0" w:rsidRPr="00C54090">
        <w:rPr>
          <w:rFonts w:asciiTheme="minorHAnsi" w:hAnsiTheme="minorHAnsi"/>
          <w:sz w:val="24"/>
          <w:szCs w:val="24"/>
        </w:rPr>
        <w:t>Michael Sandel</w:t>
      </w:r>
      <w:r w:rsidR="00867649" w:rsidRPr="00C54090">
        <w:rPr>
          <w:rFonts w:asciiTheme="minorHAnsi" w:hAnsiTheme="minorHAnsi"/>
          <w:sz w:val="24"/>
          <w:szCs w:val="24"/>
        </w:rPr>
        <w:t xml:space="preserve"> notes that republican “[s]elf-government ... requires ... citizens who sufficiently identify with their communities to think and act with a view to the common good.”</w:t>
      </w:r>
      <w:r w:rsidR="00C108C0" w:rsidRPr="00C54090">
        <w:rPr>
          <w:rStyle w:val="EndnoteReference"/>
          <w:rFonts w:asciiTheme="minorHAnsi" w:hAnsiTheme="minorHAnsi"/>
          <w:sz w:val="24"/>
          <w:szCs w:val="24"/>
        </w:rPr>
        <w:endnoteReference w:id="48"/>
      </w:r>
      <w:r w:rsidR="00867649" w:rsidRPr="00C54090">
        <w:rPr>
          <w:rFonts w:asciiTheme="minorHAnsi" w:hAnsiTheme="minorHAnsi"/>
          <w:sz w:val="24"/>
          <w:szCs w:val="24"/>
        </w:rPr>
        <w:t xml:space="preserve"> </w:t>
      </w:r>
      <w:r w:rsidRPr="00C54090">
        <w:rPr>
          <w:rFonts w:asciiTheme="minorHAnsi" w:hAnsiTheme="minorHAnsi"/>
          <w:sz w:val="24"/>
          <w:szCs w:val="24"/>
        </w:rPr>
        <w:t xml:space="preserve"> </w:t>
      </w:r>
      <w:r w:rsidR="00867649" w:rsidRPr="00C54090">
        <w:rPr>
          <w:rFonts w:asciiTheme="minorHAnsi" w:hAnsiTheme="minorHAnsi"/>
          <w:sz w:val="24"/>
          <w:szCs w:val="24"/>
        </w:rPr>
        <w:t xml:space="preserve">Through </w:t>
      </w:r>
      <w:r w:rsidRPr="00C54090">
        <w:rPr>
          <w:rFonts w:asciiTheme="minorHAnsi" w:hAnsiTheme="minorHAnsi"/>
          <w:sz w:val="24"/>
          <w:szCs w:val="24"/>
        </w:rPr>
        <w:t>self-government</w:t>
      </w:r>
      <w:r w:rsidR="00867649" w:rsidRPr="00C54090">
        <w:rPr>
          <w:rFonts w:asciiTheme="minorHAnsi" w:hAnsiTheme="minorHAnsi"/>
          <w:sz w:val="24"/>
          <w:szCs w:val="24"/>
        </w:rPr>
        <w:t xml:space="preserve">, citizens realize </w:t>
      </w:r>
      <w:r w:rsidRPr="00C54090">
        <w:rPr>
          <w:rFonts w:asciiTheme="minorHAnsi" w:hAnsiTheme="minorHAnsi"/>
          <w:sz w:val="24"/>
          <w:szCs w:val="24"/>
        </w:rPr>
        <w:t>a strong sense of community</w:t>
      </w:r>
      <w:r w:rsidR="00867649" w:rsidRPr="00C54090">
        <w:rPr>
          <w:rFonts w:asciiTheme="minorHAnsi" w:hAnsiTheme="minorHAnsi"/>
          <w:sz w:val="24"/>
          <w:szCs w:val="24"/>
        </w:rPr>
        <w:t xml:space="preserve">. </w:t>
      </w:r>
      <w:r w:rsidRPr="00C54090">
        <w:rPr>
          <w:rFonts w:asciiTheme="minorHAnsi" w:hAnsiTheme="minorHAnsi"/>
          <w:sz w:val="24"/>
          <w:szCs w:val="24"/>
        </w:rPr>
        <w:t xml:space="preserve"> And the Transition </w:t>
      </w:r>
      <w:r w:rsidR="00B556D2" w:rsidRPr="00C54090">
        <w:rPr>
          <w:rFonts w:asciiTheme="minorHAnsi" w:hAnsiTheme="minorHAnsi"/>
          <w:sz w:val="24"/>
          <w:szCs w:val="24"/>
        </w:rPr>
        <w:t>principle</w:t>
      </w:r>
      <w:r w:rsidRPr="00C54090">
        <w:rPr>
          <w:rFonts w:asciiTheme="minorHAnsi" w:hAnsiTheme="minorHAnsi"/>
          <w:sz w:val="24"/>
          <w:szCs w:val="24"/>
        </w:rPr>
        <w:t xml:space="preserve"> of </w:t>
      </w:r>
      <w:r w:rsidRPr="00C54090">
        <w:rPr>
          <w:rFonts w:asciiTheme="minorHAnsi" w:hAnsiTheme="minorHAnsi"/>
          <w:i/>
          <w:sz w:val="24"/>
          <w:szCs w:val="24"/>
        </w:rPr>
        <w:t>sharing and networking</w:t>
      </w:r>
      <w:r w:rsidRPr="00C54090">
        <w:rPr>
          <w:rFonts w:asciiTheme="minorHAnsi" w:hAnsiTheme="minorHAnsi"/>
          <w:sz w:val="24"/>
          <w:szCs w:val="24"/>
        </w:rPr>
        <w:t xml:space="preserve"> suggests building solidaristic bonds </w:t>
      </w:r>
      <w:r w:rsidR="00B556D2" w:rsidRPr="00C54090">
        <w:rPr>
          <w:rFonts w:asciiTheme="minorHAnsi" w:hAnsiTheme="minorHAnsi"/>
          <w:sz w:val="24"/>
          <w:szCs w:val="24"/>
        </w:rPr>
        <w:t>beyond one’s own community or Transition initiative: “Transition Initiatives dedicate themselves to sharing their successes, failures, insights and connections at the various scales across the Transition network, so as to more widely build up a collective body of experience.”</w:t>
      </w:r>
      <w:r w:rsidR="00C54090" w:rsidRPr="00C54090">
        <w:rPr>
          <w:rStyle w:val="EndnoteReference"/>
          <w:rFonts w:asciiTheme="minorHAnsi" w:hAnsiTheme="minorHAnsi"/>
          <w:sz w:val="24"/>
          <w:szCs w:val="24"/>
        </w:rPr>
        <w:endnoteReference w:id="49"/>
      </w:r>
    </w:p>
    <w:p w14:paraId="5E344A66" w14:textId="50873040" w:rsidR="00BD49C9" w:rsidRPr="005F0A8E" w:rsidRDefault="00D30F5F" w:rsidP="00D30F5F">
      <w:pPr>
        <w:spacing w:line="480" w:lineRule="auto"/>
        <w:ind w:firstLine="720"/>
        <w:rPr>
          <w:rStyle w:val="Strong"/>
          <w:i/>
        </w:rPr>
      </w:pPr>
      <w:r w:rsidRPr="005F0A8E">
        <w:rPr>
          <w:rStyle w:val="Strong"/>
          <w:i/>
        </w:rPr>
        <w:t>Trusting People to Make Good Decisions</w:t>
      </w:r>
    </w:p>
    <w:p w14:paraId="63BCDB05" w14:textId="77777777" w:rsidR="005F0A8E" w:rsidRDefault="00F811FE" w:rsidP="006202C7">
      <w:pPr>
        <w:spacing w:line="480" w:lineRule="auto"/>
        <w:ind w:firstLine="720"/>
        <w:rPr>
          <w:rFonts w:cs="Times New Roman"/>
        </w:rPr>
      </w:pPr>
      <w:r w:rsidRPr="00C54090">
        <w:t xml:space="preserve">The Transition movement is fundamentally democratic.  It emphasizes the ability of local communities to decide their own economic and political fate and to structure their lives independently of global markets and capitalism and free of centralized state control.  </w:t>
      </w:r>
      <w:r w:rsidR="005F0A8E" w:rsidRPr="00C54090">
        <w:rPr>
          <w:rFonts w:cs="Times New Roman"/>
        </w:rPr>
        <w:t>Transition emphasizes the notion that “communities of people can shape the conditions (socio-ecological and social) for their own flourishing.”</w:t>
      </w:r>
      <w:r w:rsidR="005F0A8E" w:rsidRPr="00C54090">
        <w:rPr>
          <w:rStyle w:val="EndnoteReference"/>
        </w:rPr>
        <w:endnoteReference w:id="50"/>
      </w:r>
      <w:r w:rsidR="005F0A8E">
        <w:rPr>
          <w:rFonts w:cs="Times New Roman"/>
        </w:rPr>
        <w:t xml:space="preserve">  </w:t>
      </w:r>
    </w:p>
    <w:p w14:paraId="05AA38A9" w14:textId="28B3938A" w:rsidR="001A7B42" w:rsidRPr="00C54090" w:rsidRDefault="00F811FE" w:rsidP="006202C7">
      <w:pPr>
        <w:spacing w:line="480" w:lineRule="auto"/>
        <w:ind w:firstLine="720"/>
      </w:pPr>
      <w:r w:rsidRPr="00C54090">
        <w:t>There is significant commonality with republicanism</w:t>
      </w:r>
      <w:r w:rsidR="005F0A8E">
        <w:t xml:space="preserve"> here</w:t>
      </w:r>
      <w:r w:rsidR="001A7B42" w:rsidRPr="00C54090">
        <w:t>.</w:t>
      </w:r>
      <w:r w:rsidRPr="00C54090">
        <w:t xml:space="preserve"> </w:t>
      </w:r>
      <w:r w:rsidR="005F0A8E">
        <w:t xml:space="preserve"> </w:t>
      </w:r>
      <w:r w:rsidR="001A7B42" w:rsidRPr="00C54090">
        <w:rPr>
          <w:lang w:val="en-GB"/>
        </w:rPr>
        <w:t xml:space="preserve">Republicans argue that </w:t>
      </w:r>
      <w:r w:rsidR="001A7B42" w:rsidRPr="00C54090">
        <w:t>pursuit of the common good means giving the citizenry – rather than concentrated economic and political special interests – collective governance of society.</w:t>
      </w:r>
      <w:r w:rsidR="001A7B42" w:rsidRPr="00C54090">
        <w:rPr>
          <w:position w:val="6"/>
          <w:vertAlign w:val="superscript"/>
        </w:rPr>
        <w:endnoteReference w:id="51"/>
      </w:r>
      <w:r w:rsidR="001A7B42" w:rsidRPr="00C54090">
        <w:t xml:space="preserve">  </w:t>
      </w:r>
      <w:r w:rsidR="005A6D56">
        <w:t xml:space="preserve">As mentioned earlier, civic </w:t>
      </w:r>
      <w:r w:rsidR="00CE4945" w:rsidRPr="00C54090">
        <w:t>republicans</w:t>
      </w:r>
      <w:r w:rsidR="005A6D56">
        <w:t xml:space="preserve"> see</w:t>
      </w:r>
      <w:r w:rsidR="00CE4945" w:rsidRPr="00C54090">
        <w:t xml:space="preserve"> liberty not so much </w:t>
      </w:r>
      <w:r w:rsidR="005A6D56">
        <w:t>as</w:t>
      </w:r>
      <w:r w:rsidR="00CE4945" w:rsidRPr="00C54090">
        <w:t xml:space="preserve"> freedom </w:t>
      </w:r>
      <w:r w:rsidR="00CE4945" w:rsidRPr="00C54090">
        <w:rPr>
          <w:i/>
        </w:rPr>
        <w:t>from</w:t>
      </w:r>
      <w:r w:rsidR="00CE4945" w:rsidRPr="00C54090">
        <w:t xml:space="preserve"> government, but </w:t>
      </w:r>
      <w:r w:rsidR="005A6D56">
        <w:t>as</w:t>
      </w:r>
      <w:r w:rsidR="00CE4945" w:rsidRPr="00C54090">
        <w:t xml:space="preserve"> collective </w:t>
      </w:r>
      <w:r w:rsidR="00CE4945" w:rsidRPr="00C54090">
        <w:rPr>
          <w:i/>
        </w:rPr>
        <w:t>self-government</w:t>
      </w:r>
      <w:r w:rsidR="00CE4945" w:rsidRPr="00C54090">
        <w:t xml:space="preserve">.  </w:t>
      </w:r>
      <w:r w:rsidR="00CE4945">
        <w:t xml:space="preserve">Thad </w:t>
      </w:r>
      <w:r w:rsidR="00CE4945" w:rsidRPr="00C54090">
        <w:t>Williamson notes, “The most fundamental claim of contemporary civic republican thought is that freedom should be centrally understood as the ability to influence, through participation in collective action, the social forces that shape the life of both individuals and communities: self-governance, in short, is coextensive with freedom</w:t>
      </w:r>
      <w:r w:rsidR="00CE4945">
        <w:t>.</w:t>
      </w:r>
      <w:r w:rsidR="00CE4945" w:rsidRPr="00C54090">
        <w:t>”</w:t>
      </w:r>
      <w:r w:rsidR="00CE4945">
        <w:rPr>
          <w:rStyle w:val="EndnoteReference"/>
        </w:rPr>
        <w:endnoteReference w:id="52"/>
      </w:r>
      <w:r w:rsidR="00CE4945" w:rsidRPr="00C54090">
        <w:t xml:space="preserve"> </w:t>
      </w:r>
      <w:r w:rsidR="00CE4945">
        <w:t xml:space="preserve"> </w:t>
      </w:r>
      <w:r w:rsidR="00CE4945" w:rsidRPr="00C54090">
        <w:t>Iseult Honohan says, “Republican political autonomy means that citizens … follow purposes that they can endorse as theirs, in so far as they have a say in shaping and sustaining them.”  Citizens must have “some ability to control the conditions of their collective life</w:t>
      </w:r>
      <w:r w:rsidR="00CE4945">
        <w:t>.</w:t>
      </w:r>
      <w:r w:rsidR="00CE4945" w:rsidRPr="00C54090">
        <w:t>”</w:t>
      </w:r>
      <w:r w:rsidR="00CE4945">
        <w:rPr>
          <w:rStyle w:val="EndnoteReference"/>
        </w:rPr>
        <w:endnoteReference w:id="53"/>
      </w:r>
      <w:r w:rsidR="00CE4945" w:rsidRPr="00C54090">
        <w:t xml:space="preserve"> </w:t>
      </w:r>
    </w:p>
    <w:p w14:paraId="58976547" w14:textId="77777777" w:rsidR="00C1254C" w:rsidRDefault="003D42BA" w:rsidP="00C54090">
      <w:pPr>
        <w:spacing w:line="480" w:lineRule="auto"/>
        <w:ind w:firstLine="720"/>
      </w:pPr>
      <w:r>
        <w:t>S</w:t>
      </w:r>
      <w:r w:rsidR="00C54090" w:rsidRPr="00C54090">
        <w:t xml:space="preserve">elf-government </w:t>
      </w:r>
      <w:r w:rsidR="003A43CE">
        <w:t>is entailed not only by the ability of the demos to pursue the public good, but also by the</w:t>
      </w:r>
      <w:r w:rsidR="00C54090" w:rsidRPr="00C54090">
        <w:t xml:space="preserve"> republican </w:t>
      </w:r>
      <w:r w:rsidR="003A43CE">
        <w:t>ideal</w:t>
      </w:r>
      <w:r w:rsidR="00C54090" w:rsidRPr="00C54090">
        <w:t xml:space="preserve"> of non-domination. </w:t>
      </w:r>
      <w:r>
        <w:t xml:space="preserve"> </w:t>
      </w:r>
      <w:r w:rsidR="005A6D56" w:rsidRPr="00C54090">
        <w:t>Domination involves the power to arbitrarily and intentionally interfere with others in their making of choices,</w:t>
      </w:r>
      <w:r w:rsidR="005A6D56" w:rsidRPr="00C54090">
        <w:rPr>
          <w:rStyle w:val="EndnoteReference"/>
        </w:rPr>
        <w:endnoteReference w:id="54"/>
      </w:r>
      <w:r w:rsidR="005A6D56" w:rsidRPr="00C54090">
        <w:t xml:space="preserve"> whether or not that power is exercised; it also involves “the ability to impose obligations and duties on others arbitrarily.”</w:t>
      </w:r>
      <w:r w:rsidR="005A6D56" w:rsidRPr="00C54090">
        <w:rPr>
          <w:rStyle w:val="EndnoteReference"/>
        </w:rPr>
        <w:endnoteReference w:id="55"/>
      </w:r>
      <w:r w:rsidR="005A6D56" w:rsidRPr="00C54090">
        <w:t xml:space="preserve">  </w:t>
      </w:r>
      <w:r w:rsidR="005A6D56">
        <w:t xml:space="preserve">Authority by </w:t>
      </w:r>
      <w:r w:rsidR="00C1254C">
        <w:t xml:space="preserve">established by </w:t>
      </w:r>
      <w:r w:rsidR="005A6D56">
        <w:t xml:space="preserve">consent or established out of necessity to secure the good of </w:t>
      </w:r>
      <w:r w:rsidR="00C1254C">
        <w:t>those</w:t>
      </w:r>
      <w:r w:rsidR="005A6D56">
        <w:t xml:space="preserve"> – such as children – who are unable to consent is not domination.   </w:t>
      </w:r>
    </w:p>
    <w:p w14:paraId="44DE04AE" w14:textId="280C87C8" w:rsidR="005A6D56" w:rsidRPr="001C44C5" w:rsidRDefault="00A4670C" w:rsidP="00C54090">
      <w:pPr>
        <w:spacing w:line="480" w:lineRule="auto"/>
        <w:ind w:firstLine="720"/>
      </w:pPr>
      <w:r w:rsidRPr="001C44C5">
        <w:t>Non</w:t>
      </w:r>
      <w:r w:rsidR="005A6D56" w:rsidRPr="001C44C5">
        <w:t xml:space="preserve">-domination is not just about whether those in power actually interfere with others but about how power is fundamentally structured.  </w:t>
      </w:r>
      <w:r w:rsidR="001C44C5" w:rsidRPr="001C44C5">
        <w:t xml:space="preserve">Cécile Laborde and John Maynor </w:t>
      </w:r>
      <w:r w:rsidR="005A6D56" w:rsidRPr="001C44C5">
        <w:t xml:space="preserve">say, “For republican thinkers, living in subjection to the will of others </w:t>
      </w:r>
      <w:r w:rsidR="005A6D56" w:rsidRPr="001C44C5">
        <w:rPr>
          <w:i/>
        </w:rPr>
        <w:t>in itself</w:t>
      </w:r>
      <w:r w:rsidR="005A6D56" w:rsidRPr="001C44C5">
        <w:t xml:space="preserve"> limits liberty.”  They maintain that “domination is a function of the relationship of unequal power between persons, groups of persons, or agencies of the state.”  One should not live at the mercy of another.</w:t>
      </w:r>
      <w:r w:rsidR="005A6D56" w:rsidRPr="001C44C5">
        <w:rPr>
          <w:rStyle w:val="EndnoteReference"/>
        </w:rPr>
        <w:endnoteReference w:id="56"/>
      </w:r>
    </w:p>
    <w:p w14:paraId="70046402" w14:textId="231A3B71" w:rsidR="00C54090" w:rsidRPr="00C54090" w:rsidRDefault="003A43CE" w:rsidP="005A6D56">
      <w:pPr>
        <w:spacing w:line="480" w:lineRule="auto"/>
        <w:ind w:firstLine="720"/>
      </w:pPr>
      <w:r>
        <w:t>N</w:t>
      </w:r>
      <w:r w:rsidR="00C54090" w:rsidRPr="00C54090">
        <w:t>on-domination</w:t>
      </w:r>
      <w:r w:rsidR="005A6D56">
        <w:t xml:space="preserve"> accordingly</w:t>
      </w:r>
      <w:r w:rsidR="00C54090" w:rsidRPr="00C54090">
        <w:t xml:space="preserve"> </w:t>
      </w:r>
      <w:r>
        <w:t>involves the idea</w:t>
      </w:r>
      <w:r w:rsidR="00C54090" w:rsidRPr="00C54090">
        <w:t xml:space="preserve"> that “agents are free when they are not subject to the </w:t>
      </w:r>
      <w:r w:rsidR="00C54090" w:rsidRPr="005F0A8E">
        <w:t>possibility</w:t>
      </w:r>
      <w:r w:rsidR="00C54090" w:rsidRPr="00C54090">
        <w:t xml:space="preserve"> of arbitrary interference, or domination.”</w:t>
      </w:r>
      <w:r w:rsidR="00C54090" w:rsidRPr="00C54090">
        <w:rPr>
          <w:rStyle w:val="EndnoteReference"/>
        </w:rPr>
        <w:endnoteReference w:id="57"/>
      </w:r>
      <w:r w:rsidR="00C54090" w:rsidRPr="00C54090">
        <w:t xml:space="preserve"> Non-domination requires that political power be accountable to the public</w:t>
      </w:r>
      <w:r>
        <w:t>, which in turn means</w:t>
      </w:r>
      <w:r w:rsidR="00C54090" w:rsidRPr="00C54090">
        <w:t xml:space="preserve"> an engaged, vigilant citizenry</w:t>
      </w:r>
      <w:r>
        <w:t xml:space="preserve"> and self-government</w:t>
      </w:r>
      <w:r w:rsidR="00C54090" w:rsidRPr="00C54090">
        <w:t xml:space="preserve">. </w:t>
      </w:r>
      <w:r w:rsidR="005A6D56">
        <w:t xml:space="preserve"> Philip </w:t>
      </w:r>
      <w:r w:rsidR="00C54090" w:rsidRPr="00C54090">
        <w:t>Pettit says, “Democratic participation may be essential to the republic, but that is because it is necessary for promoting the enjoyment of freedom as non-domination.”</w:t>
      </w:r>
      <w:r w:rsidR="00C54090" w:rsidRPr="00C54090">
        <w:rPr>
          <w:rStyle w:val="EndnoteReference"/>
        </w:rPr>
        <w:endnoteReference w:id="58"/>
      </w:r>
      <w:r w:rsidR="00C54090" w:rsidRPr="00C54090">
        <w:t xml:space="preserve">  </w:t>
      </w:r>
    </w:p>
    <w:p w14:paraId="3B149611" w14:textId="5CB7F5FA" w:rsidR="003D4793" w:rsidRDefault="003A43CE" w:rsidP="003A43CE">
      <w:pPr>
        <w:spacing w:line="480" w:lineRule="auto"/>
        <w:ind w:firstLine="720"/>
      </w:pPr>
      <w:r>
        <w:t>Non-domination relates to the classica</w:t>
      </w:r>
      <w:r w:rsidR="005A6D56">
        <w:t>l republican value</w:t>
      </w:r>
      <w:r>
        <w:t xml:space="preserve"> of</w:t>
      </w:r>
      <w:r w:rsidR="00F811FE" w:rsidRPr="00C54090">
        <w:t xml:space="preserve"> </w:t>
      </w:r>
      <w:r>
        <w:rPr>
          <w:i/>
        </w:rPr>
        <w:t>i</w:t>
      </w:r>
      <w:r w:rsidR="00F811FE" w:rsidRPr="00C54090">
        <w:rPr>
          <w:i/>
        </w:rPr>
        <w:t>ndependence</w:t>
      </w:r>
      <w:r>
        <w:t>,</w:t>
      </w:r>
      <w:r w:rsidR="00F811FE" w:rsidRPr="00C54090">
        <w:rPr>
          <w:rStyle w:val="EndnoteReference"/>
        </w:rPr>
        <w:endnoteReference w:id="59"/>
      </w:r>
      <w:r w:rsidR="00F811FE" w:rsidRPr="00C54090">
        <w:t xml:space="preserve"> the idea that a person </w:t>
      </w:r>
      <w:r w:rsidR="005A6D56">
        <w:t>should</w:t>
      </w:r>
      <w:r w:rsidR="00F811FE" w:rsidRPr="00C54090">
        <w:t xml:space="preserve"> stand on their own two feet economically and politically </w:t>
      </w:r>
      <w:r>
        <w:t xml:space="preserve">rather than being dependent on someone who controls their fate and dictates their vision of the common good.  </w:t>
      </w:r>
      <w:r w:rsidR="0096777D" w:rsidRPr="00C54090">
        <w:t>Historically, republicans celebrated those having an independent economic base</w:t>
      </w:r>
      <w:r w:rsidR="003D4793">
        <w:t xml:space="preserve"> and limited material ambitions</w:t>
      </w:r>
      <w:r w:rsidR="0096777D" w:rsidRPr="00C54090">
        <w:t>, such as the small</w:t>
      </w:r>
      <w:r w:rsidR="003D4793">
        <w:t xml:space="preserve"> farmer</w:t>
      </w:r>
      <w:r w:rsidR="0096777D" w:rsidRPr="00C54090">
        <w:t xml:space="preserve"> and the self-employed artisan</w:t>
      </w:r>
      <w:r>
        <w:t xml:space="preserve">. </w:t>
      </w:r>
      <w:r w:rsidR="0096777D" w:rsidRPr="00C54090">
        <w:t>“‘Independence’ in pursuing one’s economic calling and ‘independence’ as a citizen were entwined.”</w:t>
      </w:r>
      <w:r w:rsidR="0096777D" w:rsidRPr="00C54090">
        <w:rPr>
          <w:position w:val="6"/>
          <w:vertAlign w:val="superscript"/>
        </w:rPr>
        <w:endnoteReference w:id="60"/>
      </w:r>
      <w:r w:rsidR="0096777D" w:rsidRPr="00C54090">
        <w:t xml:space="preserve"> As </w:t>
      </w:r>
      <w:r>
        <w:t xml:space="preserve">Drew </w:t>
      </w:r>
      <w:r w:rsidR="0096777D" w:rsidRPr="00C54090">
        <w:t>McCoy puts it, economic independence “permitted a citizen to participate responsibly in the political process, for it allowed him to pursue spontaneously the common or public good, rather than the narrow interest of the men – or the government – on whom he depended for his support.”</w:t>
      </w:r>
      <w:r w:rsidR="0096777D" w:rsidRPr="00C54090">
        <w:rPr>
          <w:rStyle w:val="EndnoteReference"/>
        </w:rPr>
        <w:endnoteReference w:id="61"/>
      </w:r>
      <w:r w:rsidR="0096777D" w:rsidRPr="00C54090">
        <w:t xml:space="preserve"> </w:t>
      </w:r>
    </w:p>
    <w:p w14:paraId="7BFC86D5" w14:textId="350DE907" w:rsidR="00580B98" w:rsidRPr="00C54090" w:rsidRDefault="003D4793" w:rsidP="003A43CE">
      <w:pPr>
        <w:spacing w:line="480" w:lineRule="auto"/>
        <w:ind w:firstLine="720"/>
      </w:pPr>
      <w:r>
        <w:t>S</w:t>
      </w:r>
      <w:r w:rsidR="00580B98" w:rsidRPr="00C54090">
        <w:t>ome republicans, such as Barry,</w:t>
      </w:r>
      <w:r w:rsidR="003A43CE">
        <w:rPr>
          <w:rStyle w:val="EndnoteReference"/>
        </w:rPr>
        <w:endnoteReference w:id="62"/>
      </w:r>
      <w:r w:rsidR="00580B98" w:rsidRPr="00C54090">
        <w:t xml:space="preserve"> have moved away from the corollary focus on independence toward a focus on mutual vulnerability and interdependence.  Here, the citizen is still conceived as independent of political or economic domination.  However, </w:t>
      </w:r>
      <w:r>
        <w:t>one</w:t>
      </w:r>
      <w:r w:rsidR="00580B98" w:rsidRPr="00C54090">
        <w:t xml:space="preserve"> is connected to others by shared vulnerability in the face of threats to the community and the individual and by the mutual interdependencies that arise through collective life.  </w:t>
      </w:r>
      <w:r w:rsidR="006202C7">
        <w:t>S</w:t>
      </w:r>
      <w:r w:rsidR="00580B98" w:rsidRPr="00C54090">
        <w:t>uch mutual vulnerability and reliance, so long as they are reciprocal and egalitarian, are not inconsistent with independence from relationships of domination and subordination.</w:t>
      </w:r>
      <w:r w:rsidR="00580B98" w:rsidRPr="00C54090">
        <w:rPr>
          <w:rStyle w:val="EndnoteReference"/>
        </w:rPr>
        <w:endnoteReference w:id="63"/>
      </w:r>
      <w:r w:rsidR="00580B98" w:rsidRPr="00C54090">
        <w:t xml:space="preserve">  </w:t>
      </w:r>
      <w:r w:rsidR="006202C7">
        <w:t>In fact, it is mutual reliance that would enable a local community to escape domination by external political and economic forces.</w:t>
      </w:r>
    </w:p>
    <w:p w14:paraId="35D7EF1B" w14:textId="22EB049D" w:rsidR="00D30F5F" w:rsidRPr="00646059" w:rsidRDefault="006202C7" w:rsidP="00646059">
      <w:pPr>
        <w:spacing w:line="480" w:lineRule="auto"/>
        <w:ind w:firstLine="720"/>
        <w:rPr>
          <w:rFonts w:cs="Times New Roman"/>
        </w:rPr>
      </w:pPr>
      <w:r>
        <w:rPr>
          <w:bCs/>
        </w:rPr>
        <w:t xml:space="preserve">This brings us back to the democratic aspect of Transition. </w:t>
      </w:r>
      <w:r w:rsidR="000C16D5">
        <w:rPr>
          <w:rFonts w:cs="Times New Roman"/>
        </w:rPr>
        <w:t xml:space="preserve"> </w:t>
      </w:r>
      <w:r w:rsidR="00554A78">
        <w:rPr>
          <w:rFonts w:cs="Times New Roman"/>
        </w:rPr>
        <w:t xml:space="preserve">The movement trusts people to collectively manage their own political and economic lives and thus emphasizes self-government, </w:t>
      </w:r>
      <w:r w:rsidR="00EB25EC">
        <w:rPr>
          <w:rFonts w:cs="Times New Roman"/>
        </w:rPr>
        <w:t>especially on a local level, as I discuss below.  Moreover, Transition</w:t>
      </w:r>
      <w:r w:rsidR="00554A78">
        <w:rPr>
          <w:rFonts w:cs="Times New Roman"/>
        </w:rPr>
        <w:t xml:space="preserve"> </w:t>
      </w:r>
      <w:r w:rsidR="00EB25EC">
        <w:rPr>
          <w:rFonts w:cs="Times New Roman"/>
        </w:rPr>
        <w:t>pursues</w:t>
      </w:r>
      <w:r w:rsidR="00554A78">
        <w:rPr>
          <w:rFonts w:cs="Times New Roman"/>
        </w:rPr>
        <w:t xml:space="preserve"> non-domination </w:t>
      </w:r>
      <w:r w:rsidR="00EB25EC">
        <w:rPr>
          <w:rFonts w:cs="Times New Roman"/>
        </w:rPr>
        <w:t>through</w:t>
      </w:r>
      <w:r w:rsidR="00554A78">
        <w:rPr>
          <w:rFonts w:cs="Times New Roman"/>
        </w:rPr>
        <w:t xml:space="preserve"> </w:t>
      </w:r>
      <w:r w:rsidR="003D4793">
        <w:rPr>
          <w:rFonts w:cs="Times New Roman"/>
        </w:rPr>
        <w:t xml:space="preserve">collective </w:t>
      </w:r>
      <w:r w:rsidR="00554A78">
        <w:rPr>
          <w:rFonts w:cs="Times New Roman"/>
        </w:rPr>
        <w:t>independence from larger political and economic forces</w:t>
      </w:r>
      <w:r w:rsidR="00A4670C">
        <w:rPr>
          <w:rFonts w:cs="Times New Roman"/>
        </w:rPr>
        <w:t xml:space="preserve"> and power structures</w:t>
      </w:r>
      <w:r w:rsidR="00554A78">
        <w:rPr>
          <w:rFonts w:cs="Times New Roman"/>
        </w:rPr>
        <w:t xml:space="preserve">.  </w:t>
      </w:r>
      <w:r w:rsidR="000C16D5" w:rsidRPr="00C54090">
        <w:rPr>
          <w:rFonts w:cs="Times New Roman"/>
        </w:rPr>
        <w:t xml:space="preserve">Barry </w:t>
      </w:r>
      <w:r w:rsidR="000C16D5">
        <w:rPr>
          <w:rFonts w:cs="Times New Roman"/>
        </w:rPr>
        <w:t>describes</w:t>
      </w:r>
      <w:r w:rsidR="000C16D5" w:rsidRPr="00C54090">
        <w:rPr>
          <w:rFonts w:cs="Times New Roman"/>
        </w:rPr>
        <w:t xml:space="preserve"> Transition activists as “pioneers” who organize “outposts” in the “empty lands/wilderness” of “the dominant Western consumer and high-energy way of life.”</w:t>
      </w:r>
      <w:r w:rsidR="000C16D5" w:rsidRPr="00C54090">
        <w:rPr>
          <w:rStyle w:val="EndnoteReference"/>
          <w:rFonts w:cs="Times New Roman"/>
        </w:rPr>
        <w:endnoteReference w:id="64"/>
      </w:r>
      <w:r w:rsidR="000C16D5" w:rsidRPr="00C54090">
        <w:rPr>
          <w:rFonts w:cs="Times New Roman"/>
        </w:rPr>
        <w:t xml:space="preserve">   The</w:t>
      </w:r>
      <w:r w:rsidR="00554A78">
        <w:rPr>
          <w:rFonts w:cs="Times New Roman"/>
        </w:rPr>
        <w:t>se</w:t>
      </w:r>
      <w:r w:rsidR="000C16D5" w:rsidRPr="00C54090">
        <w:rPr>
          <w:rFonts w:cs="Times New Roman"/>
        </w:rPr>
        <w:t xml:space="preserve"> outpost</w:t>
      </w:r>
      <w:r w:rsidR="00554A78">
        <w:rPr>
          <w:rFonts w:cs="Times New Roman"/>
        </w:rPr>
        <w:t>s</w:t>
      </w:r>
      <w:r w:rsidR="000C16D5" w:rsidRPr="00C54090">
        <w:rPr>
          <w:rFonts w:cs="Times New Roman"/>
        </w:rPr>
        <w:t xml:space="preserve"> </w:t>
      </w:r>
      <w:r w:rsidR="00554A78">
        <w:rPr>
          <w:rFonts w:cs="Times New Roman"/>
        </w:rPr>
        <w:t>are a pioneering vanguard for the</w:t>
      </w:r>
      <w:r w:rsidR="000C16D5" w:rsidRPr="00C54090">
        <w:rPr>
          <w:rFonts w:cs="Times New Roman"/>
        </w:rPr>
        <w:t xml:space="preserve"> Transition concept of “a local economy progressively decoupling from the long supply chains of energy, materials, and commodities of the globalized economy.”</w:t>
      </w:r>
      <w:r w:rsidR="000C16D5" w:rsidRPr="00C54090">
        <w:rPr>
          <w:rStyle w:val="EndnoteReference"/>
          <w:rFonts w:cs="Times New Roman"/>
        </w:rPr>
        <w:endnoteReference w:id="65"/>
      </w:r>
      <w:r w:rsidR="000C16D5" w:rsidRPr="00C54090">
        <w:rPr>
          <w:rFonts w:cs="Times New Roman"/>
        </w:rPr>
        <w:t xml:space="preserve">  </w:t>
      </w:r>
    </w:p>
    <w:p w14:paraId="17170DBD" w14:textId="6A76C79A" w:rsidR="00BD49C9" w:rsidRPr="00646059" w:rsidRDefault="00BD49C9" w:rsidP="00FA4521">
      <w:pPr>
        <w:spacing w:line="480" w:lineRule="auto"/>
        <w:ind w:firstLine="720"/>
        <w:rPr>
          <w:rFonts w:cs="Times New Roman"/>
          <w:b/>
          <w:i/>
        </w:rPr>
      </w:pPr>
      <w:r w:rsidRPr="00646059">
        <w:rPr>
          <w:rFonts w:cs="Times New Roman"/>
          <w:b/>
          <w:i/>
        </w:rPr>
        <w:t>Subsidiarity</w:t>
      </w:r>
    </w:p>
    <w:p w14:paraId="09A2F955" w14:textId="7F1F454A" w:rsidR="00EE19F2" w:rsidRPr="00C54090" w:rsidRDefault="008C22A7" w:rsidP="00EE19F2">
      <w:pPr>
        <w:pStyle w:val="NormalWeb"/>
        <w:spacing w:before="0" w:beforeAutospacing="0" w:after="0" w:afterAutospacing="0" w:line="480" w:lineRule="auto"/>
        <w:rPr>
          <w:rFonts w:asciiTheme="minorHAnsi" w:hAnsiTheme="minorHAnsi"/>
          <w:sz w:val="24"/>
          <w:szCs w:val="24"/>
        </w:rPr>
      </w:pPr>
      <w:r w:rsidRPr="00C54090">
        <w:rPr>
          <w:rFonts w:asciiTheme="minorHAnsi" w:hAnsiTheme="minorHAnsi"/>
          <w:sz w:val="24"/>
          <w:szCs w:val="24"/>
        </w:rPr>
        <w:tab/>
        <w:t xml:space="preserve">Subsidiarity expresses the idea that challenges like climate change must be addressed at multiple levels rather than through a top-down approach. </w:t>
      </w:r>
      <w:r w:rsidR="001C44C5">
        <w:rPr>
          <w:rFonts w:asciiTheme="minorHAnsi" w:hAnsiTheme="minorHAnsi"/>
          <w:sz w:val="24"/>
          <w:szCs w:val="24"/>
        </w:rPr>
        <w:t xml:space="preserve"> The Transition US website says</w:t>
      </w:r>
      <w:r w:rsidRPr="00C54090">
        <w:rPr>
          <w:rFonts w:asciiTheme="minorHAnsi" w:hAnsiTheme="minorHAnsi"/>
          <w:sz w:val="24"/>
          <w:szCs w:val="24"/>
        </w:rPr>
        <w:t xml:space="preserve"> that subsidiarity “embodies the idea that the intention of the Transition model is not to centralize or control decision making, but rather to work with everyone so that it is practiced at the most appropriate, practical and empowering level, and in such a way that it models the ability of natural systems to self organize.”</w:t>
      </w:r>
      <w:r w:rsidR="00794925" w:rsidRPr="00C54090">
        <w:rPr>
          <w:rStyle w:val="EndnoteReference"/>
          <w:rFonts w:asciiTheme="minorHAnsi" w:hAnsiTheme="minorHAnsi"/>
          <w:bCs/>
          <w:sz w:val="24"/>
          <w:szCs w:val="24"/>
        </w:rPr>
        <w:endnoteReference w:id="66"/>
      </w:r>
      <w:r w:rsidR="00794925" w:rsidRPr="00C54090">
        <w:rPr>
          <w:rFonts w:asciiTheme="minorHAnsi" w:hAnsiTheme="minorHAnsi"/>
          <w:sz w:val="24"/>
          <w:szCs w:val="24"/>
        </w:rPr>
        <w:t xml:space="preserve">  </w:t>
      </w:r>
      <w:r w:rsidR="00D126A0" w:rsidRPr="00C54090">
        <w:rPr>
          <w:rFonts w:asciiTheme="minorHAnsi" w:hAnsiTheme="minorHAnsi"/>
          <w:sz w:val="24"/>
          <w:szCs w:val="24"/>
        </w:rPr>
        <w:t xml:space="preserve">Hopkins </w:t>
      </w:r>
      <w:r w:rsidR="000B1627" w:rsidRPr="00C54090">
        <w:rPr>
          <w:rFonts w:asciiTheme="minorHAnsi" w:hAnsiTheme="minorHAnsi"/>
          <w:sz w:val="24"/>
          <w:szCs w:val="24"/>
        </w:rPr>
        <w:t>acknowledges</w:t>
      </w:r>
      <w:r w:rsidR="001C44C5">
        <w:rPr>
          <w:rFonts w:asciiTheme="minorHAnsi" w:hAnsiTheme="minorHAnsi"/>
          <w:sz w:val="24"/>
          <w:szCs w:val="24"/>
        </w:rPr>
        <w:t>,</w:t>
      </w:r>
      <w:r w:rsidR="000B1627" w:rsidRPr="00C54090">
        <w:rPr>
          <w:rFonts w:asciiTheme="minorHAnsi" w:hAnsiTheme="minorHAnsi"/>
          <w:sz w:val="24"/>
          <w:szCs w:val="24"/>
        </w:rPr>
        <w:t xml:space="preserve"> “Responding to climate change on an adequate scale requires a lot of money and an unprecedented degree of global cooperation.”</w:t>
      </w:r>
      <w:r w:rsidR="00C9625A" w:rsidRPr="00C54090">
        <w:rPr>
          <w:rStyle w:val="EndnoteReference"/>
          <w:rFonts w:asciiTheme="minorHAnsi" w:hAnsiTheme="minorHAnsi"/>
          <w:sz w:val="24"/>
          <w:szCs w:val="24"/>
        </w:rPr>
        <w:endnoteReference w:id="67"/>
      </w:r>
      <w:r w:rsidR="000B1627" w:rsidRPr="00C54090">
        <w:rPr>
          <w:rFonts w:asciiTheme="minorHAnsi" w:hAnsiTheme="minorHAnsi"/>
          <w:sz w:val="24"/>
          <w:szCs w:val="24"/>
        </w:rPr>
        <w:t xml:space="preserve">  </w:t>
      </w:r>
      <w:r w:rsidR="00C9625A" w:rsidRPr="00C54090">
        <w:rPr>
          <w:rFonts w:asciiTheme="minorHAnsi" w:hAnsiTheme="minorHAnsi"/>
          <w:sz w:val="24"/>
          <w:szCs w:val="24"/>
        </w:rPr>
        <w:t xml:space="preserve">He </w:t>
      </w:r>
      <w:r w:rsidR="00D126A0" w:rsidRPr="00C54090">
        <w:rPr>
          <w:rFonts w:asciiTheme="minorHAnsi" w:hAnsiTheme="minorHAnsi"/>
          <w:sz w:val="24"/>
          <w:szCs w:val="24"/>
        </w:rPr>
        <w:t>says, “Transition Initiatives are not the only response to peak oil and climate change; any coherent national response will also need government and business responses at all levels.”  Yet</w:t>
      </w:r>
      <w:r w:rsidR="00554A78">
        <w:rPr>
          <w:rFonts w:asciiTheme="minorHAnsi" w:hAnsiTheme="minorHAnsi"/>
          <w:sz w:val="24"/>
          <w:szCs w:val="24"/>
        </w:rPr>
        <w:t>, in keeping with the value of self-government,</w:t>
      </w:r>
      <w:r w:rsidR="00D126A0" w:rsidRPr="00C54090">
        <w:rPr>
          <w:rFonts w:asciiTheme="minorHAnsi" w:hAnsiTheme="minorHAnsi"/>
          <w:sz w:val="24"/>
          <w:szCs w:val="24"/>
        </w:rPr>
        <w:t xml:space="preserve"> he emphasizes that absent efforts like Transition and its approach of positive visioning and local action, “any government responses will be doomed to failure, or will need to battle protractedly against the will of the people.”</w:t>
      </w:r>
      <w:r w:rsidR="00D126A0" w:rsidRPr="00C54090">
        <w:rPr>
          <w:rStyle w:val="EndnoteReference"/>
          <w:rFonts w:asciiTheme="minorHAnsi" w:hAnsiTheme="minorHAnsi"/>
          <w:sz w:val="24"/>
          <w:szCs w:val="24"/>
        </w:rPr>
        <w:endnoteReference w:id="68"/>
      </w:r>
      <w:r w:rsidR="00C9625A" w:rsidRPr="00C54090">
        <w:rPr>
          <w:rFonts w:asciiTheme="minorHAnsi" w:hAnsiTheme="minorHAnsi"/>
          <w:sz w:val="24"/>
          <w:szCs w:val="24"/>
        </w:rPr>
        <w:t xml:space="preserve">  While some policy “needs to be driven at a national governmental level, much of the momentum and pressure, as well as the diversity of projects and initiatives that need sanction or support from government, can come from the local level.”</w:t>
      </w:r>
      <w:r w:rsidR="00C9625A" w:rsidRPr="00C54090">
        <w:rPr>
          <w:rStyle w:val="EndnoteReference"/>
          <w:rFonts w:asciiTheme="minorHAnsi" w:hAnsiTheme="minorHAnsi"/>
          <w:sz w:val="24"/>
          <w:szCs w:val="24"/>
        </w:rPr>
        <w:endnoteReference w:id="69"/>
      </w:r>
      <w:r w:rsidR="002A17B7" w:rsidRPr="00C54090">
        <w:rPr>
          <w:rFonts w:asciiTheme="minorHAnsi" w:hAnsiTheme="minorHAnsi"/>
          <w:sz w:val="24"/>
          <w:szCs w:val="24"/>
        </w:rPr>
        <w:t xml:space="preserve">  </w:t>
      </w:r>
      <w:r w:rsidR="00D24C55" w:rsidRPr="00C54090">
        <w:rPr>
          <w:rFonts w:asciiTheme="minorHAnsi" w:hAnsiTheme="minorHAnsi"/>
          <w:sz w:val="24"/>
          <w:szCs w:val="24"/>
        </w:rPr>
        <w:t>Moreover, “resilience-building is about working on small changes to lots of niches in the place, making lots of small interventions rather than a few large ones.”</w:t>
      </w:r>
      <w:r w:rsidR="00D24C55" w:rsidRPr="00C54090">
        <w:rPr>
          <w:rStyle w:val="EndnoteReference"/>
          <w:rFonts w:asciiTheme="minorHAnsi" w:hAnsiTheme="minorHAnsi"/>
          <w:sz w:val="24"/>
          <w:szCs w:val="24"/>
        </w:rPr>
        <w:endnoteReference w:id="70"/>
      </w:r>
      <w:r w:rsidR="00D24C55" w:rsidRPr="00C54090">
        <w:rPr>
          <w:rFonts w:asciiTheme="minorHAnsi" w:hAnsiTheme="minorHAnsi"/>
          <w:sz w:val="24"/>
          <w:szCs w:val="24"/>
        </w:rPr>
        <w:t xml:space="preserve"> </w:t>
      </w:r>
    </w:p>
    <w:p w14:paraId="022B97CD" w14:textId="2335B440" w:rsidR="00486DA4" w:rsidRPr="00C54090" w:rsidRDefault="00486DA4" w:rsidP="00D24C55">
      <w:pPr>
        <w:pStyle w:val="NormalWeb"/>
        <w:spacing w:before="0" w:beforeAutospacing="0" w:after="0" w:afterAutospacing="0" w:line="480" w:lineRule="auto"/>
        <w:ind w:firstLine="720"/>
        <w:rPr>
          <w:rFonts w:asciiTheme="minorHAnsi" w:hAnsiTheme="minorHAnsi"/>
          <w:sz w:val="24"/>
          <w:szCs w:val="24"/>
        </w:rPr>
      </w:pPr>
      <w:r w:rsidRPr="00C54090">
        <w:rPr>
          <w:rFonts w:asciiTheme="minorHAnsi" w:hAnsiTheme="minorHAnsi"/>
          <w:sz w:val="24"/>
          <w:szCs w:val="24"/>
        </w:rPr>
        <w:t xml:space="preserve">Hopkins embraces </w:t>
      </w:r>
      <w:r w:rsidR="00431E86" w:rsidRPr="00C54090">
        <w:rPr>
          <w:rFonts w:asciiTheme="minorHAnsi" w:hAnsiTheme="minorHAnsi"/>
          <w:sz w:val="24"/>
          <w:szCs w:val="24"/>
        </w:rPr>
        <w:t>citywide</w:t>
      </w:r>
      <w:r w:rsidRPr="00C54090">
        <w:rPr>
          <w:rFonts w:asciiTheme="minorHAnsi" w:hAnsiTheme="minorHAnsi"/>
          <w:sz w:val="24"/>
          <w:szCs w:val="24"/>
        </w:rPr>
        <w:t xml:space="preserve"> efforts like Bristol’s but also emphasizes that such efforts involve </w:t>
      </w:r>
      <w:r w:rsidR="00910770" w:rsidRPr="00C54090">
        <w:rPr>
          <w:rFonts w:asciiTheme="minorHAnsi" w:hAnsiTheme="minorHAnsi"/>
          <w:sz w:val="24"/>
          <w:szCs w:val="24"/>
        </w:rPr>
        <w:t xml:space="preserve">– as Bristol’s does – </w:t>
      </w:r>
      <w:r w:rsidRPr="00C54090">
        <w:rPr>
          <w:rFonts w:asciiTheme="minorHAnsi" w:hAnsiTheme="minorHAnsi"/>
          <w:sz w:val="24"/>
          <w:szCs w:val="24"/>
        </w:rPr>
        <w:t xml:space="preserve">neighborhood-level </w:t>
      </w:r>
      <w:r w:rsidR="00910770" w:rsidRPr="00C54090">
        <w:rPr>
          <w:rFonts w:asciiTheme="minorHAnsi" w:hAnsiTheme="minorHAnsi"/>
          <w:sz w:val="24"/>
          <w:szCs w:val="24"/>
        </w:rPr>
        <w:t xml:space="preserve">or “village” </w:t>
      </w:r>
      <w:r w:rsidRPr="00C54090">
        <w:rPr>
          <w:rFonts w:asciiTheme="minorHAnsi" w:hAnsiTheme="minorHAnsi"/>
          <w:sz w:val="24"/>
          <w:szCs w:val="24"/>
        </w:rPr>
        <w:t>initiatives</w:t>
      </w:r>
      <w:r w:rsidR="00910770" w:rsidRPr="00C54090">
        <w:rPr>
          <w:rFonts w:asciiTheme="minorHAnsi" w:hAnsiTheme="minorHAnsi"/>
          <w:sz w:val="24"/>
          <w:szCs w:val="24"/>
        </w:rPr>
        <w:t xml:space="preserve"> and that one must certainly start from a small scale and work upwards rather than proceed from the top down</w:t>
      </w:r>
      <w:r w:rsidRPr="00C54090">
        <w:rPr>
          <w:rFonts w:asciiTheme="minorHAnsi" w:hAnsiTheme="minorHAnsi"/>
          <w:sz w:val="24"/>
          <w:szCs w:val="24"/>
        </w:rPr>
        <w:t>:</w:t>
      </w:r>
    </w:p>
    <w:p w14:paraId="10E3AFB2" w14:textId="5592489F" w:rsidR="00486DA4" w:rsidRPr="00C54090" w:rsidRDefault="00486DA4" w:rsidP="00486DA4">
      <w:pPr>
        <w:pStyle w:val="NormalWeb"/>
        <w:spacing w:before="0" w:beforeAutospacing="0" w:after="0" w:afterAutospacing="0"/>
        <w:ind w:left="720"/>
        <w:rPr>
          <w:rFonts w:asciiTheme="minorHAnsi" w:hAnsiTheme="minorHAnsi"/>
          <w:sz w:val="24"/>
          <w:szCs w:val="24"/>
        </w:rPr>
      </w:pPr>
      <w:r w:rsidRPr="00C54090">
        <w:rPr>
          <w:rFonts w:asciiTheme="minorHAnsi" w:hAnsiTheme="minorHAnsi"/>
          <w:sz w:val="24"/>
          <w:szCs w:val="24"/>
        </w:rPr>
        <w:t>I have come to think that the ideal scale for a Transition Initiative is one over which you can feel you can have an influence.  A town of 5,000 people, for example, is one that you can relate to; it is one with which you can become familiar.</w:t>
      </w:r>
      <w:r w:rsidRPr="00C54090">
        <w:rPr>
          <w:rStyle w:val="EndnoteReference"/>
          <w:rFonts w:asciiTheme="minorHAnsi" w:hAnsiTheme="minorHAnsi"/>
          <w:sz w:val="24"/>
          <w:szCs w:val="24"/>
        </w:rPr>
        <w:endnoteReference w:id="71"/>
      </w:r>
    </w:p>
    <w:p w14:paraId="7639F612" w14:textId="77777777" w:rsidR="00486DA4" w:rsidRPr="00C54090" w:rsidRDefault="00486DA4" w:rsidP="00486DA4">
      <w:pPr>
        <w:pStyle w:val="NormalWeb"/>
        <w:spacing w:before="0" w:beforeAutospacing="0" w:after="0" w:afterAutospacing="0"/>
        <w:ind w:left="720"/>
        <w:rPr>
          <w:rFonts w:asciiTheme="minorHAnsi" w:hAnsiTheme="minorHAnsi"/>
          <w:sz w:val="24"/>
          <w:szCs w:val="24"/>
        </w:rPr>
      </w:pPr>
    </w:p>
    <w:p w14:paraId="20B3CF7D" w14:textId="2800B423" w:rsidR="00D24C55" w:rsidRPr="00C54090" w:rsidRDefault="00333A71" w:rsidP="00486DA4">
      <w:pPr>
        <w:pStyle w:val="NormalWeb"/>
        <w:spacing w:before="0" w:beforeAutospacing="0" w:after="0" w:afterAutospacing="0" w:line="480" w:lineRule="auto"/>
        <w:ind w:firstLine="720"/>
        <w:rPr>
          <w:rFonts w:asciiTheme="minorHAnsi" w:hAnsiTheme="minorHAnsi"/>
          <w:sz w:val="24"/>
          <w:szCs w:val="24"/>
        </w:rPr>
      </w:pPr>
      <w:r w:rsidRPr="00C54090">
        <w:rPr>
          <w:rFonts w:asciiTheme="minorHAnsi" w:hAnsiTheme="minorHAnsi"/>
          <w:sz w:val="24"/>
          <w:szCs w:val="24"/>
        </w:rPr>
        <w:t>Such a bottom-up approach also in</w:t>
      </w:r>
      <w:r w:rsidR="00616E2A" w:rsidRPr="00C54090">
        <w:rPr>
          <w:rFonts w:asciiTheme="minorHAnsi" w:hAnsiTheme="minorHAnsi"/>
          <w:sz w:val="24"/>
          <w:szCs w:val="24"/>
        </w:rPr>
        <w:t>volves local experimentation: “The exact set of solutions that will work in one place will not necessarily work in other places: each community will assemble its own solutions, responses, and tools.”</w:t>
      </w:r>
      <w:r w:rsidR="00616E2A" w:rsidRPr="00C54090">
        <w:rPr>
          <w:rStyle w:val="EndnoteReference"/>
          <w:rFonts w:asciiTheme="minorHAnsi" w:hAnsiTheme="minorHAnsi"/>
          <w:sz w:val="24"/>
          <w:szCs w:val="24"/>
        </w:rPr>
        <w:endnoteReference w:id="72"/>
      </w:r>
      <w:r w:rsidR="00616E2A" w:rsidRPr="00C54090">
        <w:rPr>
          <w:rFonts w:asciiTheme="minorHAnsi" w:hAnsiTheme="minorHAnsi"/>
          <w:sz w:val="24"/>
          <w:szCs w:val="24"/>
        </w:rPr>
        <w:t xml:space="preserve">  </w:t>
      </w:r>
      <w:r w:rsidR="00D24C55" w:rsidRPr="00C54090">
        <w:rPr>
          <w:rFonts w:asciiTheme="minorHAnsi" w:hAnsiTheme="minorHAnsi"/>
          <w:sz w:val="24"/>
          <w:szCs w:val="24"/>
        </w:rPr>
        <w:t xml:space="preserve">Hopkins </w:t>
      </w:r>
      <w:r w:rsidR="00431E86" w:rsidRPr="00C54090">
        <w:rPr>
          <w:rFonts w:asciiTheme="minorHAnsi" w:hAnsiTheme="minorHAnsi"/>
          <w:sz w:val="24"/>
          <w:szCs w:val="24"/>
        </w:rPr>
        <w:t>maintains</w:t>
      </w:r>
      <w:r w:rsidR="00431E86">
        <w:rPr>
          <w:rFonts w:asciiTheme="minorHAnsi" w:hAnsiTheme="minorHAnsi"/>
          <w:sz w:val="24"/>
          <w:szCs w:val="24"/>
        </w:rPr>
        <w:t xml:space="preserve"> that</w:t>
      </w:r>
      <w:r w:rsidR="00D24C55" w:rsidRPr="00C54090">
        <w:rPr>
          <w:rFonts w:asciiTheme="minorHAnsi" w:hAnsiTheme="minorHAnsi"/>
          <w:sz w:val="24"/>
          <w:szCs w:val="24"/>
        </w:rPr>
        <w:t xml:space="preserve"> “those at the top lack the knowledge of local conditions and how to respond to them.”</w:t>
      </w:r>
      <w:r w:rsidR="00D24C55" w:rsidRPr="00C54090">
        <w:rPr>
          <w:rStyle w:val="EndnoteReference"/>
          <w:rFonts w:asciiTheme="minorHAnsi" w:hAnsiTheme="minorHAnsi"/>
          <w:sz w:val="24"/>
          <w:szCs w:val="24"/>
        </w:rPr>
        <w:endnoteReference w:id="73"/>
      </w:r>
      <w:r w:rsidR="00D24C55" w:rsidRPr="00C54090">
        <w:rPr>
          <w:rFonts w:asciiTheme="minorHAnsi" w:hAnsiTheme="minorHAnsi"/>
          <w:sz w:val="24"/>
          <w:szCs w:val="24"/>
        </w:rPr>
        <w:t xml:space="preserve"> F</w:t>
      </w:r>
      <w:r w:rsidR="00CA1A2C" w:rsidRPr="00C54090">
        <w:rPr>
          <w:rFonts w:asciiTheme="minorHAnsi" w:hAnsiTheme="minorHAnsi"/>
          <w:sz w:val="24"/>
          <w:szCs w:val="24"/>
        </w:rPr>
        <w:t>or one thing, f</w:t>
      </w:r>
      <w:r w:rsidR="00D24C55" w:rsidRPr="00C54090">
        <w:rPr>
          <w:rFonts w:asciiTheme="minorHAnsi" w:hAnsiTheme="minorHAnsi"/>
          <w:sz w:val="24"/>
          <w:szCs w:val="24"/>
        </w:rPr>
        <w:t>eedbacks are tighter at a local level.  Whereas globalization hides the impacts of one’s actions, “In a more localised system, the results of our actions are more obvious … Tightening feedback loops will have beneficial results, allowing us to bring the consequences of our actions closer to home, rather than their being so far from our awareness that they don’t even register.”</w:t>
      </w:r>
      <w:r w:rsidR="005048B1" w:rsidRPr="00C54090">
        <w:rPr>
          <w:rStyle w:val="EndnoteReference"/>
          <w:rFonts w:asciiTheme="minorHAnsi" w:hAnsiTheme="minorHAnsi"/>
          <w:sz w:val="24"/>
          <w:szCs w:val="24"/>
        </w:rPr>
        <w:endnoteReference w:id="74"/>
      </w:r>
      <w:r w:rsidR="005048B1" w:rsidRPr="00C54090">
        <w:rPr>
          <w:rFonts w:asciiTheme="minorHAnsi" w:hAnsiTheme="minorHAnsi"/>
          <w:sz w:val="24"/>
          <w:szCs w:val="24"/>
        </w:rPr>
        <w:t xml:space="preserve">  </w:t>
      </w:r>
      <w:r w:rsidR="00D24C55" w:rsidRPr="00C54090">
        <w:rPr>
          <w:rFonts w:asciiTheme="minorHAnsi" w:hAnsiTheme="minorHAnsi"/>
          <w:sz w:val="24"/>
          <w:szCs w:val="24"/>
        </w:rPr>
        <w:t xml:space="preserve">   </w:t>
      </w:r>
    </w:p>
    <w:p w14:paraId="79EBEB0D" w14:textId="6DB22B9B" w:rsidR="0042207C" w:rsidRPr="00C54090" w:rsidRDefault="00CA1A2C" w:rsidP="00EE18BC">
      <w:pPr>
        <w:widowControl w:val="0"/>
        <w:autoSpaceDE w:val="0"/>
        <w:autoSpaceDN w:val="0"/>
        <w:adjustRightInd w:val="0"/>
        <w:spacing w:line="480" w:lineRule="auto"/>
        <w:ind w:firstLine="720"/>
        <w:rPr>
          <w:rFonts w:cs="Times New Roman"/>
        </w:rPr>
      </w:pPr>
      <w:r w:rsidRPr="00C54090">
        <w:t xml:space="preserve">Localism means more modularity: in other words, localities become more self-contained in their economic and other material practices.  </w:t>
      </w:r>
      <w:r w:rsidR="00146A49" w:rsidRPr="00C54090">
        <w:t xml:space="preserve">Hopkins </w:t>
      </w:r>
      <w:r w:rsidR="00554A78">
        <w:t>says</w:t>
      </w:r>
      <w:r w:rsidR="00146A49" w:rsidRPr="00C54090">
        <w:t>, “We aren’t looking to create a ‘nothing in, nothing out’ economy, but rather to close economic loops where possible and to produce locally what we can.”</w:t>
      </w:r>
      <w:r w:rsidR="00146A49" w:rsidRPr="00C54090">
        <w:rPr>
          <w:rStyle w:val="EndnoteReference"/>
        </w:rPr>
        <w:endnoteReference w:id="75"/>
      </w:r>
      <w:r w:rsidR="00146A49" w:rsidRPr="00C54090">
        <w:t xml:space="preserve">  </w:t>
      </w:r>
    </w:p>
    <w:p w14:paraId="17A3D709" w14:textId="6AA53E4B" w:rsidR="00CA1A2C" w:rsidRPr="00C54090" w:rsidRDefault="00CA1A2C" w:rsidP="0042207C">
      <w:pPr>
        <w:widowControl w:val="0"/>
        <w:autoSpaceDE w:val="0"/>
        <w:autoSpaceDN w:val="0"/>
        <w:adjustRightInd w:val="0"/>
        <w:spacing w:line="480" w:lineRule="auto"/>
        <w:ind w:firstLine="720"/>
        <w:rPr>
          <w:rFonts w:cs="Times New Roman"/>
        </w:rPr>
      </w:pPr>
      <w:r w:rsidRPr="00C54090">
        <w:t xml:space="preserve">Modularity </w:t>
      </w:r>
      <w:r w:rsidR="00352122" w:rsidRPr="00C54090">
        <w:t>means less energy use for the transportation of goods in a carbon-constrained world.</w:t>
      </w:r>
      <w:r w:rsidR="00352122" w:rsidRPr="00C54090">
        <w:rPr>
          <w:rStyle w:val="EndnoteReference"/>
        </w:rPr>
        <w:endnoteReference w:id="76"/>
      </w:r>
      <w:r w:rsidR="00352122" w:rsidRPr="00C54090">
        <w:t xml:space="preserve">  It also </w:t>
      </w:r>
      <w:r w:rsidRPr="00C54090">
        <w:t>enables localities to insulate themselves from external shocks.  Hopkins notes, “The over-networked nature of modern, highly connected systems allow shock to travel rapidly through them, with potentially disastrous results.”  He cites the enormous ripple effects when a bank or investment firm fails, or when food products in one factory are contaminated.  By contrast, a “more modular structure means that the parts of a system can more effectively self-organise in the event of shock.”</w:t>
      </w:r>
      <w:r w:rsidRPr="00C54090">
        <w:rPr>
          <w:rStyle w:val="EndnoteReference"/>
        </w:rPr>
        <w:endnoteReference w:id="77"/>
      </w:r>
      <w:r w:rsidR="00172F92" w:rsidRPr="00C54090">
        <w:t xml:space="preserve">  Modularity “mean[s] that we engage with the wider world but from an ethic of networking and information sharing rather than of mutual dependence.”</w:t>
      </w:r>
      <w:r w:rsidR="00172F92" w:rsidRPr="00C54090">
        <w:rPr>
          <w:rStyle w:val="EndnoteReference"/>
        </w:rPr>
        <w:endnoteReference w:id="78"/>
      </w:r>
    </w:p>
    <w:p w14:paraId="0A4F0F7E" w14:textId="3A66E149" w:rsidR="00FC56B6" w:rsidRPr="00C54090" w:rsidRDefault="002A17B7" w:rsidP="00486DA4">
      <w:pPr>
        <w:pStyle w:val="NormalWeb"/>
        <w:spacing w:before="0" w:beforeAutospacing="0" w:after="0" w:afterAutospacing="0" w:line="480" w:lineRule="auto"/>
        <w:ind w:firstLine="720"/>
        <w:rPr>
          <w:rFonts w:asciiTheme="minorHAnsi" w:hAnsiTheme="minorHAnsi"/>
          <w:sz w:val="24"/>
          <w:szCs w:val="24"/>
        </w:rPr>
      </w:pPr>
      <w:r w:rsidRPr="00C54090">
        <w:rPr>
          <w:rFonts w:asciiTheme="minorHAnsi" w:hAnsiTheme="minorHAnsi"/>
          <w:sz w:val="24"/>
          <w:szCs w:val="24"/>
        </w:rPr>
        <w:t>Operating at the local level also entails “build[ing] a bridge to local government,” especially as</w:t>
      </w:r>
      <w:r w:rsidR="001C44C5">
        <w:rPr>
          <w:rFonts w:asciiTheme="minorHAnsi" w:hAnsiTheme="minorHAnsi"/>
          <w:sz w:val="24"/>
          <w:szCs w:val="24"/>
        </w:rPr>
        <w:t xml:space="preserve"> a</w:t>
      </w:r>
      <w:r w:rsidRPr="00C54090">
        <w:rPr>
          <w:rFonts w:asciiTheme="minorHAnsi" w:hAnsiTheme="minorHAnsi"/>
          <w:sz w:val="24"/>
          <w:szCs w:val="24"/>
        </w:rPr>
        <w:t xml:space="preserve"> Transition </w:t>
      </w:r>
      <w:r w:rsidR="001C44C5">
        <w:rPr>
          <w:rFonts w:asciiTheme="minorHAnsi" w:hAnsiTheme="minorHAnsi"/>
          <w:sz w:val="24"/>
          <w:szCs w:val="24"/>
        </w:rPr>
        <w:t>initiative</w:t>
      </w:r>
      <w:r w:rsidRPr="00C54090">
        <w:rPr>
          <w:rFonts w:asciiTheme="minorHAnsi" w:hAnsiTheme="minorHAnsi"/>
          <w:sz w:val="24"/>
          <w:szCs w:val="24"/>
        </w:rPr>
        <w:t xml:space="preserve"> evolve</w:t>
      </w:r>
      <w:r w:rsidR="001C44C5" w:rsidRPr="00C54090">
        <w:rPr>
          <w:rFonts w:asciiTheme="minorHAnsi" w:hAnsiTheme="minorHAnsi"/>
          <w:sz w:val="24"/>
          <w:szCs w:val="24"/>
        </w:rPr>
        <w:t>s</w:t>
      </w:r>
      <w:r w:rsidRPr="00C54090">
        <w:rPr>
          <w:rFonts w:asciiTheme="minorHAnsi" w:hAnsiTheme="minorHAnsi"/>
          <w:sz w:val="24"/>
          <w:szCs w:val="24"/>
        </w:rPr>
        <w:t xml:space="preserve"> to the creation of an Energy Descent Action Plan.</w:t>
      </w:r>
      <w:r w:rsidRPr="00C54090">
        <w:rPr>
          <w:rStyle w:val="EndnoteReference"/>
          <w:rFonts w:asciiTheme="minorHAnsi" w:hAnsiTheme="minorHAnsi"/>
          <w:sz w:val="24"/>
          <w:szCs w:val="24"/>
        </w:rPr>
        <w:endnoteReference w:id="79"/>
      </w:r>
      <w:r w:rsidR="00E03E51" w:rsidRPr="00C54090">
        <w:rPr>
          <w:rFonts w:asciiTheme="minorHAnsi" w:hAnsiTheme="minorHAnsi"/>
          <w:sz w:val="24"/>
          <w:szCs w:val="24"/>
        </w:rPr>
        <w:t xml:space="preserve">  However, Transition groups, not local government, should drive the process</w:t>
      </w:r>
      <w:r w:rsidR="006D50B2" w:rsidRPr="00C54090">
        <w:rPr>
          <w:rFonts w:asciiTheme="minorHAnsi" w:hAnsiTheme="minorHAnsi"/>
          <w:sz w:val="24"/>
          <w:szCs w:val="24"/>
        </w:rPr>
        <w:t xml:space="preserve">; local government should play a supportive role, through </w:t>
      </w:r>
      <w:r w:rsidR="001C44C5">
        <w:rPr>
          <w:rFonts w:asciiTheme="minorHAnsi" w:hAnsiTheme="minorHAnsi"/>
          <w:sz w:val="24"/>
          <w:szCs w:val="24"/>
        </w:rPr>
        <w:t>endorsement</w:t>
      </w:r>
      <w:r w:rsidR="006D50B2" w:rsidRPr="00C54090">
        <w:rPr>
          <w:rFonts w:asciiTheme="minorHAnsi" w:hAnsiTheme="minorHAnsi"/>
          <w:sz w:val="24"/>
          <w:szCs w:val="24"/>
        </w:rPr>
        <w:t>, resources, and implementation</w:t>
      </w:r>
      <w:r w:rsidR="00E03E51" w:rsidRPr="00C54090">
        <w:rPr>
          <w:rFonts w:asciiTheme="minorHAnsi" w:hAnsiTheme="minorHAnsi"/>
          <w:sz w:val="24"/>
          <w:szCs w:val="24"/>
        </w:rPr>
        <w:t>.</w:t>
      </w:r>
      <w:r w:rsidR="00E03E51" w:rsidRPr="00C54090">
        <w:rPr>
          <w:rStyle w:val="EndnoteReference"/>
          <w:rFonts w:asciiTheme="minorHAnsi" w:hAnsiTheme="minorHAnsi"/>
          <w:sz w:val="24"/>
          <w:szCs w:val="24"/>
        </w:rPr>
        <w:endnoteReference w:id="80"/>
      </w:r>
    </w:p>
    <w:p w14:paraId="482C8C5A" w14:textId="26E38FC3" w:rsidR="008F669E" w:rsidRPr="00C54090" w:rsidRDefault="00FC56B6" w:rsidP="00FC56B6">
      <w:pPr>
        <w:pStyle w:val="NormalWeb"/>
        <w:spacing w:before="0" w:beforeAutospacing="0" w:after="0" w:afterAutospacing="0" w:line="480" w:lineRule="auto"/>
        <w:ind w:firstLine="720"/>
        <w:rPr>
          <w:rFonts w:asciiTheme="minorHAnsi" w:hAnsiTheme="minorHAnsi"/>
          <w:sz w:val="24"/>
          <w:szCs w:val="24"/>
        </w:rPr>
      </w:pPr>
      <w:r w:rsidRPr="00C54090">
        <w:rPr>
          <w:rFonts w:asciiTheme="minorHAnsi" w:hAnsiTheme="minorHAnsi"/>
          <w:sz w:val="24"/>
          <w:szCs w:val="24"/>
        </w:rPr>
        <w:t xml:space="preserve">For the Transition movement, subsidiarity is connected to the </w:t>
      </w:r>
      <w:r w:rsidR="008C22A7" w:rsidRPr="00C54090">
        <w:rPr>
          <w:rFonts w:asciiTheme="minorHAnsi" w:hAnsiTheme="minorHAnsi"/>
          <w:sz w:val="24"/>
          <w:szCs w:val="24"/>
        </w:rPr>
        <w:t xml:space="preserve">agricultural practice of permaculture, </w:t>
      </w:r>
      <w:r w:rsidR="00794925" w:rsidRPr="00C54090">
        <w:rPr>
          <w:rFonts w:asciiTheme="minorHAnsi" w:hAnsiTheme="minorHAnsi"/>
          <w:sz w:val="24"/>
          <w:szCs w:val="24"/>
        </w:rPr>
        <w:t xml:space="preserve">which focuses on </w:t>
      </w:r>
      <w:r w:rsidR="00670DC4" w:rsidRPr="00C54090">
        <w:rPr>
          <w:rFonts w:asciiTheme="minorHAnsi" w:hAnsiTheme="minorHAnsi"/>
          <w:sz w:val="24"/>
          <w:szCs w:val="24"/>
        </w:rPr>
        <w:t>using natural landscape principles and ecosystemic processes rather than external inputs to grow crops.  “Permaculture,” says Transition movement founder Rob Hopkins, “mov[es] away from annual cropping and monoculture in agriculture to multi-layered systems making use of productive and useful trees and perennial plants.”  The permaculture concept, says Hopkins, goes beyond agriculture, as “sustainability in food cannot happen in isolation from the range of other elements that make up society – economics, building, energy, and so on.”  The term “permaculture,” he says, is about “the creation of a culture of permanence.”</w:t>
      </w:r>
      <w:r w:rsidRPr="00C54090">
        <w:rPr>
          <w:rStyle w:val="EndnoteReference"/>
          <w:rFonts w:asciiTheme="minorHAnsi" w:hAnsiTheme="minorHAnsi"/>
          <w:sz w:val="24"/>
          <w:szCs w:val="24"/>
        </w:rPr>
        <w:endnoteReference w:id="81"/>
      </w:r>
      <w:r w:rsidR="008F669E" w:rsidRPr="00C54090">
        <w:rPr>
          <w:rFonts w:asciiTheme="minorHAnsi" w:hAnsiTheme="minorHAnsi"/>
          <w:sz w:val="24"/>
          <w:szCs w:val="24"/>
        </w:rPr>
        <w:br/>
      </w:r>
      <w:r w:rsidR="009D4D70" w:rsidRPr="00C54090">
        <w:rPr>
          <w:rFonts w:asciiTheme="minorHAnsi" w:hAnsiTheme="minorHAnsi"/>
          <w:sz w:val="24"/>
          <w:szCs w:val="24"/>
        </w:rPr>
        <w:tab/>
        <w:t>Barry maintains, “Following this permaculture ethos, Transition initiatives can be seen as grassroots attempts to self-consciously enhance local adaptive capacity.  They seek to do this particularly through increasing self-organization and self-management at the local, community level.”  Such management involves “flexible and open-ended adaptation rather than the imposition of fixed goals or objectives on …</w:t>
      </w:r>
      <w:r w:rsidR="007A7433" w:rsidRPr="00C54090">
        <w:rPr>
          <w:rFonts w:asciiTheme="minorHAnsi" w:hAnsiTheme="minorHAnsi"/>
          <w:sz w:val="24"/>
          <w:szCs w:val="24"/>
        </w:rPr>
        <w:t xml:space="preserve"> socio-ecological systems</w:t>
      </w:r>
      <w:r w:rsidR="009D4D70" w:rsidRPr="00C54090">
        <w:rPr>
          <w:rFonts w:asciiTheme="minorHAnsi" w:hAnsiTheme="minorHAnsi"/>
          <w:sz w:val="24"/>
          <w:szCs w:val="24"/>
        </w:rPr>
        <w:t>”</w:t>
      </w:r>
      <w:r w:rsidR="007A7433" w:rsidRPr="00C54090">
        <w:rPr>
          <w:rFonts w:asciiTheme="minorHAnsi" w:hAnsiTheme="minorHAnsi"/>
          <w:sz w:val="24"/>
          <w:szCs w:val="24"/>
        </w:rPr>
        <w:t xml:space="preserve"> and eschews a single, centralized solution to the problem of climate change.</w:t>
      </w:r>
      <w:r w:rsidR="009D4D70" w:rsidRPr="00C54090">
        <w:rPr>
          <w:rStyle w:val="EndnoteReference"/>
          <w:rFonts w:asciiTheme="minorHAnsi" w:hAnsiTheme="minorHAnsi"/>
          <w:sz w:val="24"/>
          <w:szCs w:val="24"/>
        </w:rPr>
        <w:endnoteReference w:id="82"/>
      </w:r>
      <w:r w:rsidR="009D4D70" w:rsidRPr="00C54090">
        <w:rPr>
          <w:rFonts w:asciiTheme="minorHAnsi" w:hAnsiTheme="minorHAnsi"/>
          <w:sz w:val="24"/>
          <w:szCs w:val="24"/>
        </w:rPr>
        <w:t xml:space="preserve"> </w:t>
      </w:r>
    </w:p>
    <w:p w14:paraId="525AB632" w14:textId="77777777" w:rsidR="00D30F5F" w:rsidRPr="00C54090" w:rsidRDefault="00D30F5F" w:rsidP="00FC56B6">
      <w:pPr>
        <w:pStyle w:val="NormalWeb"/>
        <w:spacing w:before="0" w:beforeAutospacing="0" w:after="0" w:afterAutospacing="0" w:line="480" w:lineRule="auto"/>
        <w:ind w:firstLine="720"/>
        <w:rPr>
          <w:rFonts w:asciiTheme="minorHAnsi" w:hAnsiTheme="minorHAnsi"/>
          <w:sz w:val="24"/>
          <w:szCs w:val="24"/>
        </w:rPr>
      </w:pPr>
    </w:p>
    <w:p w14:paraId="77572F38" w14:textId="4B5FA023" w:rsidR="003B2C04" w:rsidRPr="002F2C4A" w:rsidRDefault="002F2C4A" w:rsidP="002F2C4A">
      <w:pPr>
        <w:spacing w:line="480" w:lineRule="auto"/>
        <w:rPr>
          <w:b/>
        </w:rPr>
      </w:pPr>
      <w:r w:rsidRPr="002F2C4A">
        <w:rPr>
          <w:b/>
        </w:rPr>
        <w:t>Critique of the Transition Concept</w:t>
      </w:r>
    </w:p>
    <w:p w14:paraId="1B4CF9E3" w14:textId="77777777" w:rsidR="00C13EF6" w:rsidRDefault="00F44F4A" w:rsidP="00C13EF6">
      <w:pPr>
        <w:spacing w:line="480" w:lineRule="auto"/>
      </w:pPr>
      <w:r w:rsidRPr="00C54090">
        <w:tab/>
      </w:r>
      <w:r w:rsidR="002F2C4A">
        <w:t xml:space="preserve">Is the Transition concept viable on its own terms?  Or, are Transition initiatives ultimately dependent for their success </w:t>
      </w:r>
      <w:r w:rsidR="00E165E3">
        <w:t xml:space="preserve">on a larger political framework?  </w:t>
      </w:r>
      <w:r w:rsidR="00C13EF6">
        <w:t xml:space="preserve">Several problems arise here.  </w:t>
      </w:r>
      <w:r w:rsidR="00A00A70">
        <w:t xml:space="preserve">The </w:t>
      </w:r>
      <w:r w:rsidR="00C13EF6">
        <w:t>first involves Transition’s focus on</w:t>
      </w:r>
      <w:r w:rsidR="00A00A70">
        <w:t xml:space="preserve"> resilie</w:t>
      </w:r>
      <w:r w:rsidR="00521BDC">
        <w:t xml:space="preserve">nce </w:t>
      </w:r>
      <w:r w:rsidR="00C13EF6">
        <w:t xml:space="preserve">and </w:t>
      </w:r>
      <w:r w:rsidR="00A00A70">
        <w:t xml:space="preserve">adaptation </w:t>
      </w:r>
      <w:r w:rsidR="00C13EF6">
        <w:t>in the face of</w:t>
      </w:r>
      <w:r w:rsidR="00A00A70">
        <w:t xml:space="preserve"> climate change.  </w:t>
      </w:r>
    </w:p>
    <w:p w14:paraId="5E6387DE" w14:textId="7C092BF3" w:rsidR="0080297E" w:rsidRDefault="00A00A70" w:rsidP="00C13EF6">
      <w:pPr>
        <w:spacing w:line="480" w:lineRule="auto"/>
        <w:ind w:firstLine="720"/>
      </w:pPr>
      <w:r>
        <w:t>Barry</w:t>
      </w:r>
      <w:r w:rsidRPr="00C54090">
        <w:t xml:space="preserve"> notes</w:t>
      </w:r>
      <w:r>
        <w:t xml:space="preserve"> that Transition initiatives are</w:t>
      </w:r>
      <w:r w:rsidRPr="00C54090">
        <w:t xml:space="preserve"> </w:t>
      </w:r>
      <w:r w:rsidR="00C13EF6">
        <w:t>consistent with</w:t>
      </w:r>
      <w:r w:rsidRPr="00C54090">
        <w:t xml:space="preserve"> the concept, put forth by Will Steffen, Johan Rockström and others, of coping with the Anthropocene by working within certain global ecological thresholds, or ‘planetary boundaries,’ to maintain a “safe operating space” for humanity.</w:t>
      </w:r>
      <w:r w:rsidRPr="00C54090">
        <w:rPr>
          <w:rStyle w:val="EndnoteReference"/>
        </w:rPr>
        <w:endnoteReference w:id="83"/>
      </w:r>
      <w:r w:rsidRPr="00C54090">
        <w:t xml:space="preserve"> </w:t>
      </w:r>
      <w:r>
        <w:t xml:space="preserve"> </w:t>
      </w:r>
      <w:r w:rsidR="00C13EF6">
        <w:t>I would argue that absent an ambitious framework of national and global actions to limit greenhouse gas emissions, the maintenance of such a safe operating space, and the continued viability of Transition initiatives, becomes nearly impossible.</w:t>
      </w:r>
    </w:p>
    <w:p w14:paraId="30C629E1" w14:textId="5145C9F8" w:rsidR="0080297E" w:rsidRDefault="0080297E" w:rsidP="0080297E">
      <w:pPr>
        <w:spacing w:line="480" w:lineRule="auto"/>
        <w:ind w:firstLine="720"/>
      </w:pPr>
      <w:r>
        <w:t xml:space="preserve">The notion of a safe operating space </w:t>
      </w:r>
      <w:r w:rsidR="00251A82">
        <w:t>was initially</w:t>
      </w:r>
      <w:r>
        <w:t xml:space="preserve"> </w:t>
      </w:r>
      <w:r w:rsidR="00251A82">
        <w:t>used</w:t>
      </w:r>
      <w:r>
        <w:t xml:space="preserve"> by </w:t>
      </w:r>
      <w:r w:rsidRPr="00C54090">
        <w:t xml:space="preserve">Rockström </w:t>
      </w:r>
      <w:r>
        <w:t xml:space="preserve">to describe the Holocene epoch.  </w:t>
      </w:r>
      <w:r w:rsidRPr="00F87816">
        <w:t>The global climate has been relatively stable and hospitable during the Holocene Epoch, which began about 11,500 years ago with the end of the last major glaciation.</w:t>
      </w:r>
      <w:r>
        <w:t xml:space="preserve"> </w:t>
      </w:r>
      <w:r w:rsidRPr="00F87816">
        <w:t xml:space="preserve"> Within </w:t>
      </w:r>
      <w:r w:rsidR="00C13EF6">
        <w:t>the context of relatively stability in</w:t>
      </w:r>
      <w:r w:rsidRPr="00F87816">
        <w:t xml:space="preserve"> </w:t>
      </w:r>
      <w:r w:rsidR="00C13EF6" w:rsidRPr="00F87816">
        <w:t xml:space="preserve">sea level, major climatic zones, seasonal cycles, the distribution of vegetation and animal life, the severity range of storms, and </w:t>
      </w:r>
      <w:r w:rsidR="00C13EF6">
        <w:t xml:space="preserve">ranges of temperature, </w:t>
      </w:r>
      <w:r w:rsidRPr="00F87816">
        <w:t>human civilization spread across the Earth.  Certainly in many places – such as the American Southwest, Central America, Greenland, and the Middle East – settlements and whole civilizations came and went under the impact of regional droughts or warming or cooling spells,</w:t>
      </w:r>
      <w:r w:rsidRPr="00F87816">
        <w:rPr>
          <w:rStyle w:val="EndnoteReference"/>
        </w:rPr>
        <w:endnoteReference w:id="84"/>
      </w:r>
      <w:r w:rsidRPr="00F87816">
        <w:t xml:space="preserve"> but the basic contours of the Earth’s geography and climate have not experienced major, abrupt shifts.  </w:t>
      </w:r>
      <w:r w:rsidR="00431E86">
        <w:t>That stability has enabled human</w:t>
      </w:r>
      <w:r w:rsidR="00C13EF6">
        <w:rPr>
          <w:lang w:val="en-GB"/>
        </w:rPr>
        <w:t xml:space="preserve"> beings</w:t>
      </w:r>
      <w:r w:rsidRPr="00F87816">
        <w:rPr>
          <w:lang w:val="en-GB"/>
        </w:rPr>
        <w:t xml:space="preserve"> </w:t>
      </w:r>
      <w:r w:rsidR="00C13EF6">
        <w:rPr>
          <w:lang w:val="en-GB"/>
        </w:rPr>
        <w:t>to establish enduring</w:t>
      </w:r>
      <w:r w:rsidRPr="00F87816">
        <w:rPr>
          <w:lang w:val="en-GB"/>
        </w:rPr>
        <w:t xml:space="preserve"> agricultural practices, durable shelter and infrastructure, cultural traditions, trade routes, land tenure arrangements, and political boundaries and communities.</w:t>
      </w:r>
      <w:r w:rsidRPr="00F87816">
        <w:rPr>
          <w:rStyle w:val="EndnoteReference"/>
          <w:lang w:val="en-GB"/>
        </w:rPr>
        <w:endnoteReference w:id="85"/>
      </w:r>
      <w:r w:rsidRPr="00F87816">
        <w:rPr>
          <w:lang w:val="en-GB"/>
        </w:rPr>
        <w:t xml:space="preserve">  </w:t>
      </w:r>
      <w:r>
        <w:rPr>
          <w:lang w:val="en-GB"/>
        </w:rPr>
        <w:t xml:space="preserve">The global ecological changes ushered in by humanity have prompted Steffen and </w:t>
      </w:r>
      <w:r w:rsidRPr="00C54090">
        <w:t>Rockström</w:t>
      </w:r>
      <w:r>
        <w:t xml:space="preserve">, as well as Paul Crutzen and others, to argue that the Holocene </w:t>
      </w:r>
      <w:r w:rsidRPr="00F87816">
        <w:t xml:space="preserve">has now given way to – or should be </w:t>
      </w:r>
      <w:r w:rsidR="00C13EF6">
        <w:t>replaced</w:t>
      </w:r>
      <w:r w:rsidRPr="00F87816">
        <w:t xml:space="preserve"> by – the Anthropocene, an epoch in which human beings are a major biogeochemical force on the Earth and will leave a major mark on the fossil record.</w:t>
      </w:r>
      <w:r w:rsidRPr="00F87816">
        <w:rPr>
          <w:rStyle w:val="EndnoteReference"/>
        </w:rPr>
        <w:endnoteReference w:id="86"/>
      </w:r>
      <w:r w:rsidRPr="00F87816">
        <w:t xml:space="preserve">  </w:t>
      </w:r>
    </w:p>
    <w:p w14:paraId="6C935886" w14:textId="70D55303" w:rsidR="00251A82" w:rsidRDefault="00915054" w:rsidP="00251A82">
      <w:pPr>
        <w:spacing w:line="480" w:lineRule="auto"/>
        <w:ind w:firstLine="720"/>
      </w:pPr>
      <w:r>
        <w:t xml:space="preserve">The loss of Holocene stability </w:t>
      </w:r>
      <w:r w:rsidR="00B26797">
        <w:t xml:space="preserve">certainly </w:t>
      </w:r>
      <w:r>
        <w:t>calls for the kind of resilient coping and psychological adjustment that Hopkins and Barry describe.  We must recognize</w:t>
      </w:r>
      <w:r w:rsidR="00521BDC">
        <w:t xml:space="preserve"> and accept</w:t>
      </w:r>
      <w:r>
        <w:t xml:space="preserve"> that the planet has changed and is changing.  Consequently, we must create resilient practices and institutions that can not only anticipate environmental changes but also operate within the ecological constraints and limits imposed by our transition away from fossil fuels and by the new environmental conditions we must confront.  </w:t>
      </w:r>
      <w:r w:rsidR="00521BDC">
        <w:t xml:space="preserve">Barry invokes </w:t>
      </w:r>
      <w:r w:rsidR="00251A82" w:rsidRPr="00C54090">
        <w:t>Rockström</w:t>
      </w:r>
      <w:r w:rsidR="00251A82">
        <w:t xml:space="preserve">’s </w:t>
      </w:r>
      <w:r w:rsidR="00521BDC">
        <w:t xml:space="preserve">concept of a safe operating space in the context of discussing how a resilient society would </w:t>
      </w:r>
      <w:r w:rsidR="00B26797">
        <w:t>respect</w:t>
      </w:r>
      <w:r w:rsidR="00521BDC">
        <w:t xml:space="preserve"> limits i</w:t>
      </w:r>
      <w:r w:rsidR="00B26797">
        <w:t>n order to maximize “head room.</w:t>
      </w:r>
      <w:r w:rsidR="00521BDC">
        <w:t xml:space="preserve">” </w:t>
      </w:r>
      <w:r w:rsidR="00B26797">
        <w:t xml:space="preserve"> I</w:t>
      </w:r>
      <w:r w:rsidR="00521BDC">
        <w:t xml:space="preserve">n other words, </w:t>
      </w:r>
      <w:r w:rsidR="00B26797">
        <w:t>such a society would ensure</w:t>
      </w:r>
      <w:r w:rsidR="00521BDC">
        <w:t xml:space="preserve"> that “systems are so designed with sufficient room for manoeuvre so that there is enough space and time for adapting and changing tack as needs be.”</w:t>
      </w:r>
      <w:r w:rsidR="00521BDC" w:rsidRPr="00C54090">
        <w:rPr>
          <w:rStyle w:val="EndnoteReference"/>
          <w:rFonts w:cs="Times New Roman"/>
        </w:rPr>
        <w:endnoteReference w:id="87"/>
      </w:r>
      <w:r w:rsidR="00251A82" w:rsidRPr="00251A82">
        <w:t xml:space="preserve"> </w:t>
      </w:r>
      <w:r w:rsidR="00251A82">
        <w:t xml:space="preserve"> </w:t>
      </w:r>
      <w:r w:rsidR="00B26797">
        <w:t>Thus, as noted earlier,</w:t>
      </w:r>
      <w:r w:rsidR="00251A82">
        <w:t xml:space="preserve"> Transition initiatives, by recognizing ecological limits and working within them, can foster resilience.  </w:t>
      </w:r>
      <w:r w:rsidR="00B26797">
        <w:t xml:space="preserve">It is by overreaching, in terms of excessive material ambition the associated demands on the global economy and the natural environment, that community renders itself vulnerable to disaster.  </w:t>
      </w:r>
      <w:r w:rsidR="00251A82">
        <w:t xml:space="preserve">To repeat an aforementioned quote by Hopkins, </w:t>
      </w:r>
      <w:r w:rsidR="00251A82" w:rsidRPr="00C54090">
        <w:rPr>
          <w:rFonts w:cs="Times New Roman"/>
        </w:rPr>
        <w:t>a resilient society has the “ability to function indefinitely and to live within its limits, and [is] able to thrive for having done so.”</w:t>
      </w:r>
      <w:r w:rsidR="00251A82">
        <w:t xml:space="preserve">  </w:t>
      </w:r>
    </w:p>
    <w:p w14:paraId="6D68284E" w14:textId="77777777" w:rsidR="00B26797" w:rsidRDefault="00251A82" w:rsidP="00B52F40">
      <w:pPr>
        <w:spacing w:line="480" w:lineRule="auto"/>
        <w:ind w:firstLine="720"/>
      </w:pPr>
      <w:r>
        <w:t xml:space="preserve">Earlier, we spoke of resilience in terms of Machiavelli’s dikes and dams.  </w:t>
      </w:r>
      <w:r w:rsidR="00B52F40">
        <w:t>Yet</w:t>
      </w:r>
      <w:r>
        <w:t xml:space="preserve"> even the notion of dikes and dams evokes misguided attempts to conquer and control nature.  Perhaps </w:t>
      </w:r>
      <w:r w:rsidR="00B52F40">
        <w:t xml:space="preserve">a </w:t>
      </w:r>
      <w:r>
        <w:t xml:space="preserve">more apt analogy or even illustration would be the idea of </w:t>
      </w:r>
      <w:r w:rsidR="00B52F40">
        <w:t>setting aside</w:t>
      </w:r>
      <w:r>
        <w:t xml:space="preserve"> undeveloped parkland or green</w:t>
      </w:r>
      <w:r w:rsidR="00B26797">
        <w:t xml:space="preserve"> </w:t>
      </w:r>
      <w:r>
        <w:t xml:space="preserve">space to accommodate a </w:t>
      </w:r>
      <w:r w:rsidR="00B52F40">
        <w:t xml:space="preserve">riparian floods or rising sea levels.  </w:t>
      </w:r>
    </w:p>
    <w:p w14:paraId="71D3BE54" w14:textId="6356C2B2" w:rsidR="00B52F40" w:rsidRDefault="00915054" w:rsidP="00B52F40">
      <w:pPr>
        <w:spacing w:line="480" w:lineRule="auto"/>
        <w:ind w:firstLine="720"/>
      </w:pPr>
      <w:r w:rsidRPr="00DA674B">
        <w:t>However,</w:t>
      </w:r>
      <w:r w:rsidR="00B52F40">
        <w:t xml:space="preserve"> whether we are talking about dikes, dams, or floodplains,</w:t>
      </w:r>
      <w:r w:rsidRPr="00DA674B">
        <w:t xml:space="preserve"> the</w:t>
      </w:r>
      <w:r w:rsidR="006D6EBB" w:rsidRPr="00DA674B">
        <w:t xml:space="preserve"> crisis of the Anthropocene calls for mo</w:t>
      </w:r>
      <w:r w:rsidRPr="00DA674B">
        <w:t xml:space="preserve">re </w:t>
      </w:r>
      <w:r w:rsidR="006D6EBB" w:rsidRPr="00DA674B">
        <w:t>than resilience</w:t>
      </w:r>
      <w:r w:rsidR="00080C03" w:rsidRPr="00DA674B">
        <w:t xml:space="preserve">. </w:t>
      </w:r>
      <w:r w:rsidR="006D6EBB" w:rsidRPr="00DA674B">
        <w:t xml:space="preserve"> </w:t>
      </w:r>
      <w:r w:rsidR="00B52F40">
        <w:t>Here, we must return to the aforementioned planetary boundaries and safe operating space.</w:t>
      </w:r>
    </w:p>
    <w:p w14:paraId="36F80D21" w14:textId="1B9DE383" w:rsidR="00C57B5F" w:rsidRDefault="00B52F40" w:rsidP="00B52F40">
      <w:pPr>
        <w:spacing w:line="480" w:lineRule="auto"/>
        <w:ind w:firstLine="720"/>
        <w:rPr>
          <w:rFonts w:cs="Times New Roman"/>
          <w:color w:val="000000"/>
        </w:rPr>
      </w:pPr>
      <w:r>
        <w:t xml:space="preserve">In addressing the challenges of the Anthropocene, </w:t>
      </w:r>
      <w:r w:rsidR="006D6EBB" w:rsidRPr="00DA674B">
        <w:t xml:space="preserve">Steffen and others argue for a </w:t>
      </w:r>
      <w:r w:rsidR="006D6EBB" w:rsidRPr="00DA674B">
        <w:rPr>
          <w:rFonts w:cs="Arial"/>
          <w:color w:val="000000"/>
        </w:rPr>
        <w:t xml:space="preserve">Planetary Boundaries approach.  </w:t>
      </w:r>
      <w:r w:rsidR="007D71F9" w:rsidRPr="00DA674B">
        <w:rPr>
          <w:rFonts w:cs="Arial"/>
          <w:color w:val="000000"/>
        </w:rPr>
        <w:t>They argue, “</w:t>
      </w:r>
      <w:r w:rsidR="007D71F9" w:rsidRPr="00DA674B">
        <w:rPr>
          <w:rFonts w:cs="Times New Roman"/>
        </w:rPr>
        <w:t>The twenty-first century challenge is different from any other that humanity has faced. The planetary nature of the challenge is unique, and demands a global-scale solution that transcends national boundaries and cultural divides.”</w:t>
      </w:r>
      <w:r w:rsidR="003157C1" w:rsidRPr="00DA674B">
        <w:rPr>
          <w:rStyle w:val="EndnoteReference"/>
          <w:rFonts w:cs="Times New Roman"/>
        </w:rPr>
        <w:endnoteReference w:id="88"/>
      </w:r>
      <w:r w:rsidR="007D71F9" w:rsidRPr="00DA674B">
        <w:rPr>
          <w:rFonts w:cs="Times New Roman"/>
        </w:rPr>
        <w:t xml:space="preserve">  </w:t>
      </w:r>
      <w:r w:rsidR="006D6EBB" w:rsidRPr="00DA674B">
        <w:rPr>
          <w:rFonts w:cs="Arial"/>
          <w:color w:val="000000"/>
        </w:rPr>
        <w:t>The</w:t>
      </w:r>
      <w:r w:rsidR="00080C03" w:rsidRPr="00DA674B">
        <w:rPr>
          <w:rFonts w:cs="Arial"/>
          <w:color w:val="000000"/>
        </w:rPr>
        <w:t>ir</w:t>
      </w:r>
      <w:r w:rsidR="006D6EBB" w:rsidRPr="00DA674B">
        <w:rPr>
          <w:rFonts w:cs="Arial"/>
          <w:color w:val="000000"/>
        </w:rPr>
        <w:t xml:space="preserve"> </w:t>
      </w:r>
      <w:r w:rsidR="00080C03" w:rsidRPr="00DA674B">
        <w:rPr>
          <w:rFonts w:cs="Arial"/>
          <w:color w:val="000000"/>
        </w:rPr>
        <w:t>“</w:t>
      </w:r>
      <w:r w:rsidR="006D6EBB" w:rsidRPr="00DA674B">
        <w:rPr>
          <w:rFonts w:cs="Arial"/>
          <w:color w:val="000000"/>
        </w:rPr>
        <w:t xml:space="preserve">Planetary Boundaries </w:t>
      </w:r>
      <w:r w:rsidR="00080C03" w:rsidRPr="00DA674B">
        <w:rPr>
          <w:rFonts w:cs="Arial"/>
          <w:color w:val="000000"/>
        </w:rPr>
        <w:t xml:space="preserve">(PB) </w:t>
      </w:r>
      <w:r w:rsidR="006D6EBB" w:rsidRPr="00DA674B">
        <w:rPr>
          <w:rFonts w:cs="Arial"/>
          <w:color w:val="000000"/>
        </w:rPr>
        <w:t xml:space="preserve">approach </w:t>
      </w:r>
      <w:r w:rsidR="00080C03" w:rsidRPr="00DA674B">
        <w:rPr>
          <w:rFonts w:cs="Times New Roman"/>
          <w:color w:val="000000"/>
        </w:rPr>
        <w:t>attempts to define a ‘safe operating space’ for humanity by analyzing the intrinsic dynamics of the Earth System and identifying points or levels relating to critical global-scale processes beyond which humanity should not go. The fundamental principle underlying the PB approach is that a Holocene-like state of the Earth System is the only one that we can be sure provides an accommodating environment for the development of humanity.</w:t>
      </w:r>
      <w:r w:rsidR="00080C03" w:rsidRPr="00DA674B">
        <w:rPr>
          <w:rFonts w:cs="Arial"/>
          <w:color w:val="000000"/>
        </w:rPr>
        <w:t>”</w:t>
      </w:r>
      <w:r w:rsidR="00080C03" w:rsidRPr="00DA674B">
        <w:rPr>
          <w:rStyle w:val="EndnoteReference"/>
          <w:rFonts w:cs="Times New Roman"/>
        </w:rPr>
        <w:endnoteReference w:id="89"/>
      </w:r>
      <w:r w:rsidR="00080C03" w:rsidRPr="00DA674B">
        <w:rPr>
          <w:rFonts w:cs="Arial"/>
          <w:color w:val="000000"/>
        </w:rPr>
        <w:t xml:space="preserve"> </w:t>
      </w:r>
      <w:r w:rsidR="00C57B5F" w:rsidRPr="00DA674B">
        <w:rPr>
          <w:rFonts w:cs="Arial"/>
          <w:color w:val="000000"/>
        </w:rPr>
        <w:t>The authors identify “[n]ine planetary boundaries … which, if respected</w:t>
      </w:r>
      <w:r w:rsidR="00C57B5F" w:rsidRPr="00DA674B">
        <w:rPr>
          <w:rFonts w:cs="Times New Roman"/>
          <w:color w:val="000000"/>
        </w:rPr>
        <w:t>, would likely ensure that the Earth System remains in a Holocene-like state.”  These are climate change, stratospheric ozone, ocean acidification, the nitrogen and phosphorus cycles, biodiversity loss, land-use change, freshwater use, aerosol loading, and chemical pollution.</w:t>
      </w:r>
      <w:r w:rsidR="00C57B5F" w:rsidRPr="00DA674B">
        <w:rPr>
          <w:rStyle w:val="EndnoteReference"/>
          <w:rFonts w:cs="Times New Roman"/>
        </w:rPr>
        <w:endnoteReference w:id="90"/>
      </w:r>
      <w:r w:rsidR="00C57B5F" w:rsidRPr="00DA674B">
        <w:rPr>
          <w:rFonts w:cs="Times New Roman"/>
        </w:rPr>
        <w:t xml:space="preserve"> </w:t>
      </w:r>
      <w:r w:rsidR="00C57B5F" w:rsidRPr="00DA674B">
        <w:rPr>
          <w:rFonts w:cs="Times New Roman"/>
          <w:color w:val="000000"/>
        </w:rPr>
        <w:t xml:space="preserve"> Respecting these boundaries would require “successful and effective global governance and stewardship.”</w:t>
      </w:r>
      <w:r w:rsidR="00C57B5F" w:rsidRPr="00DA674B">
        <w:rPr>
          <w:rStyle w:val="EndnoteReference"/>
          <w:rFonts w:cs="Times New Roman"/>
        </w:rPr>
        <w:endnoteReference w:id="91"/>
      </w:r>
      <w:r w:rsidR="00C57B5F" w:rsidRPr="00DA674B">
        <w:rPr>
          <w:rFonts w:cs="Times New Roman"/>
          <w:color w:val="000000"/>
        </w:rPr>
        <w:t xml:space="preserve">  However, the response need not be confined to the global level.  Drawing on the work of Elinor Ostrom, they acknowledge that “global governance and planetary stewardship could also be built in a multi-level, cumulative way by identifying where, when and for whom there are – or could be as a result of policy</w:t>
      </w:r>
      <w:r w:rsidR="00DA674B" w:rsidRPr="00DA674B">
        <w:rPr>
          <w:rFonts w:cs="Times New Roman"/>
          <w:color w:val="000000"/>
        </w:rPr>
        <w:t xml:space="preserve"> – </w:t>
      </w:r>
      <w:r w:rsidR="00C57B5F" w:rsidRPr="00DA674B">
        <w:rPr>
          <w:rFonts w:cs="Times New Roman"/>
          <w:color w:val="000000"/>
        </w:rPr>
        <w:t>incentives to act, independently of</w:t>
      </w:r>
      <w:r w:rsidR="00DA674B" w:rsidRPr="00DA674B">
        <w:rPr>
          <w:rFonts w:cs="Times New Roman"/>
          <w:color w:val="000000"/>
        </w:rPr>
        <w:t xml:space="preserve"> </w:t>
      </w:r>
      <w:r w:rsidR="00C57B5F" w:rsidRPr="00DA674B">
        <w:rPr>
          <w:rFonts w:cs="Times New Roman"/>
          <w:color w:val="000000"/>
        </w:rPr>
        <w:t>the international level</w:t>
      </w:r>
      <w:r w:rsidR="00DA674B" w:rsidRPr="00DA674B">
        <w:rPr>
          <w:rFonts w:cs="Times New Roman"/>
          <w:color w:val="000000"/>
        </w:rPr>
        <w:t xml:space="preserve">. The </w:t>
      </w:r>
      <w:r w:rsidR="00C57B5F" w:rsidRPr="00DA674B">
        <w:rPr>
          <w:rFonts w:cs="Times New Roman"/>
          <w:color w:val="000000"/>
        </w:rPr>
        <w:t>resulting governance system would be ‘polycentric’, also</w:t>
      </w:r>
      <w:r w:rsidR="00DA674B" w:rsidRPr="00DA674B">
        <w:rPr>
          <w:rFonts w:cs="Times New Roman"/>
          <w:color w:val="000000"/>
        </w:rPr>
        <w:t xml:space="preserve"> </w:t>
      </w:r>
      <w:r w:rsidR="00C57B5F" w:rsidRPr="00DA674B">
        <w:rPr>
          <w:rFonts w:cs="Times New Roman"/>
          <w:color w:val="000000"/>
        </w:rPr>
        <w:t>allowing for more experimentation and learning.</w:t>
      </w:r>
      <w:r w:rsidR="00DA674B" w:rsidRPr="00DA674B">
        <w:rPr>
          <w:rFonts w:cs="Times New Roman"/>
          <w:color w:val="000000"/>
        </w:rPr>
        <w:t>”</w:t>
      </w:r>
      <w:r w:rsidR="00DA674B" w:rsidRPr="00DA674B">
        <w:rPr>
          <w:rStyle w:val="EndnoteReference"/>
          <w:rFonts w:cs="Times New Roman"/>
        </w:rPr>
        <w:endnoteReference w:id="92"/>
      </w:r>
      <w:r w:rsidR="00C57B5F" w:rsidRPr="00DA674B">
        <w:rPr>
          <w:rFonts w:cs="Times New Roman"/>
          <w:color w:val="000000"/>
        </w:rPr>
        <w:t xml:space="preserve"> </w:t>
      </w:r>
    </w:p>
    <w:p w14:paraId="27ED52AA" w14:textId="629F6F7B" w:rsidR="003B7CF5" w:rsidRDefault="00B52F40" w:rsidP="00B52F40">
      <w:pPr>
        <w:spacing w:line="480" w:lineRule="auto"/>
        <w:ind w:firstLine="720"/>
        <w:rPr>
          <w:rFonts w:cs="Times New Roman"/>
          <w:color w:val="000000"/>
        </w:rPr>
      </w:pPr>
      <w:r>
        <w:rPr>
          <w:rFonts w:cs="Times New Roman"/>
          <w:color w:val="000000"/>
        </w:rPr>
        <w:t xml:space="preserve">There are several important points to be gleaned here.  </w:t>
      </w:r>
      <w:r w:rsidR="00CE1695">
        <w:rPr>
          <w:rFonts w:cs="Times New Roman"/>
          <w:color w:val="000000"/>
        </w:rPr>
        <w:t xml:space="preserve">First of all, resilience, especially for a local community, is only feasible within certain bounds.  </w:t>
      </w:r>
      <w:r w:rsidR="00755CDC">
        <w:rPr>
          <w:rFonts w:cs="Times New Roman"/>
          <w:color w:val="000000"/>
        </w:rPr>
        <w:t xml:space="preserve">To take the most obvious example, the only resilience available to a coastal community or a small island nation facing inundation is to move elsewhere.  Short of a community’s complete erasure, severe storms or extreme water shortages may make continued existence extremely difficult.  </w:t>
      </w:r>
      <w:r w:rsidR="000874D6">
        <w:rPr>
          <w:rFonts w:cs="Times New Roman"/>
          <w:color w:val="000000"/>
        </w:rPr>
        <w:t>Indeed</w:t>
      </w:r>
      <w:r w:rsidR="009B2E56">
        <w:rPr>
          <w:rFonts w:cs="Times New Roman"/>
          <w:color w:val="000000"/>
        </w:rPr>
        <w:t xml:space="preserve">, the kind of local democracy </w:t>
      </w:r>
      <w:r w:rsidR="000874D6">
        <w:rPr>
          <w:rFonts w:cs="Times New Roman"/>
          <w:color w:val="000000"/>
        </w:rPr>
        <w:t xml:space="preserve">and self-reliance </w:t>
      </w:r>
      <w:r w:rsidR="009B2E56">
        <w:rPr>
          <w:rFonts w:cs="Times New Roman"/>
          <w:color w:val="000000"/>
        </w:rPr>
        <w:t xml:space="preserve">favored by the Transition movement may become very difficult in the event of natural disaster.  </w:t>
      </w:r>
      <w:r w:rsidR="009B2E56">
        <w:t>D</w:t>
      </w:r>
      <w:r w:rsidR="009B2E56" w:rsidRPr="0059044D">
        <w:t xml:space="preserve">isasters disrupt normal social and political life and create states of emergency.  Far from being self-governing, citizens can lose their personal possessions, livelihoods, and political voices and become dependent on emergency management and aid agencies.  They can find themselves in brutal, inhospitable shelters, as witnessed by the harrowing experience of New Orleans residents who ended up at the Superdome during Hurricane Katrina.  </w:t>
      </w:r>
      <w:r w:rsidR="009B2E56">
        <w:t>Breena</w:t>
      </w:r>
      <w:r w:rsidR="009B2E56" w:rsidRPr="0059044D">
        <w:t xml:space="preserve"> Holland says that a person displaced by climate change “is likely to face unknown periods of time</w:t>
      </w:r>
      <w:r w:rsidR="009B2E56">
        <w:t>” during</w:t>
      </w:r>
      <w:r w:rsidR="009B2E56" w:rsidRPr="0059044D">
        <w:t xml:space="preserve"> which </w:t>
      </w:r>
      <w:r w:rsidR="009B2E56">
        <w:t>they may lose</w:t>
      </w:r>
      <w:r w:rsidR="009B2E56" w:rsidRPr="0059044D">
        <w:t xml:space="preserve"> </w:t>
      </w:r>
      <w:r w:rsidR="009B2E56">
        <w:t>“</w:t>
      </w:r>
      <w:r w:rsidR="009B2E56" w:rsidRPr="0059044D">
        <w:t>normal rights of citizenship</w:t>
      </w:r>
      <w:r w:rsidR="00AF6040">
        <w:t xml:space="preserve">” such as </w:t>
      </w:r>
      <w:r w:rsidR="00AF6040" w:rsidRPr="0059044D">
        <w:t>“being able to participate in political choices that determine one’s life and being able to hold property and seek employment.”</w:t>
      </w:r>
      <w:r w:rsidR="009B2E56" w:rsidRPr="0059044D">
        <w:rPr>
          <w:rStyle w:val="EndnoteReference"/>
        </w:rPr>
        <w:endnoteReference w:id="93"/>
      </w:r>
      <w:r w:rsidR="009B2E56" w:rsidRPr="0059044D">
        <w:t xml:space="preserve"> </w:t>
      </w:r>
      <w:r w:rsidR="00AF6040">
        <w:t>Instead</w:t>
      </w:r>
      <w:r w:rsidR="009B2E56" w:rsidRPr="0059044D">
        <w:t>, “an experience of dependency on others may ensue, leaving the person unable to even make decisions influencing the various factors that determine her well-being.”</w:t>
      </w:r>
      <w:r w:rsidR="009B2E56" w:rsidRPr="0059044D">
        <w:rPr>
          <w:rStyle w:val="EndnoteReference"/>
        </w:rPr>
        <w:endnoteReference w:id="94"/>
      </w:r>
      <w:r w:rsidR="009B2E56" w:rsidRPr="0059044D">
        <w:t xml:space="preserve">  People can end up being “cogs in a machine to be shuttled along helplessly in the wake of climate-related disasters.”</w:t>
      </w:r>
      <w:r w:rsidR="009B2E56" w:rsidRPr="0059044D">
        <w:rPr>
          <w:rStyle w:val="EndnoteReference"/>
        </w:rPr>
        <w:endnoteReference w:id="95"/>
      </w:r>
      <w:r w:rsidR="009B2E56" w:rsidRPr="0059044D">
        <w:t xml:space="preserve"> Rather than being independent, self-governing members of a collective political enterprise, individuals become dependent clients of government agencies, aid organizations, or reluctant host communities.</w:t>
      </w:r>
    </w:p>
    <w:p w14:paraId="132DC720" w14:textId="687E888C" w:rsidR="00B52F40" w:rsidRPr="00277357" w:rsidRDefault="00755CDC" w:rsidP="00277357">
      <w:pPr>
        <w:spacing w:line="480" w:lineRule="auto"/>
        <w:ind w:firstLine="720"/>
      </w:pPr>
      <w:r>
        <w:rPr>
          <w:rFonts w:cs="Times New Roman"/>
          <w:color w:val="000000"/>
        </w:rPr>
        <w:t xml:space="preserve">Moreover, resilience is also relative to </w:t>
      </w:r>
      <w:r w:rsidR="003B7CF5">
        <w:rPr>
          <w:rFonts w:cs="Times New Roman"/>
          <w:color w:val="000000"/>
        </w:rPr>
        <w:t xml:space="preserve">local </w:t>
      </w:r>
      <w:r>
        <w:rPr>
          <w:rFonts w:cs="Times New Roman"/>
          <w:color w:val="000000"/>
        </w:rPr>
        <w:t xml:space="preserve">adaptive resources.  A </w:t>
      </w:r>
      <w:r w:rsidR="000661FC">
        <w:rPr>
          <w:rFonts w:cs="Times New Roman"/>
          <w:color w:val="000000"/>
        </w:rPr>
        <w:t xml:space="preserve">relatively affluent </w:t>
      </w:r>
      <w:r>
        <w:rPr>
          <w:rFonts w:cs="Times New Roman"/>
          <w:color w:val="000000"/>
        </w:rPr>
        <w:t>community may have the expertise, institutional capacity, infrastructure, and financ</w:t>
      </w:r>
      <w:r w:rsidR="003B7CF5">
        <w:rPr>
          <w:rFonts w:cs="Times New Roman"/>
          <w:color w:val="000000"/>
        </w:rPr>
        <w:t>es</w:t>
      </w:r>
      <w:r>
        <w:rPr>
          <w:rFonts w:cs="Times New Roman"/>
          <w:color w:val="000000"/>
        </w:rPr>
        <w:t xml:space="preserve"> to successfully plan for its own resilience, whereas a less privileged community </w:t>
      </w:r>
      <w:r w:rsidR="003B7CF5">
        <w:rPr>
          <w:rFonts w:cs="Times New Roman"/>
          <w:color w:val="000000"/>
        </w:rPr>
        <w:t xml:space="preserve">may lack these resources. </w:t>
      </w:r>
      <w:r w:rsidR="000661FC">
        <w:rPr>
          <w:rFonts w:cs="Times New Roman"/>
          <w:color w:val="000000"/>
        </w:rPr>
        <w:t xml:space="preserve"> This disparity is most marked between the global North and South.  Peter </w:t>
      </w:r>
      <w:r w:rsidR="00277357">
        <w:rPr>
          <w:rFonts w:cs="Times New Roman"/>
          <w:color w:val="000000"/>
        </w:rPr>
        <w:t xml:space="preserve">North </w:t>
      </w:r>
      <w:r w:rsidR="000661FC">
        <w:rPr>
          <w:rFonts w:cs="Times New Roman"/>
          <w:color w:val="000000"/>
        </w:rPr>
        <w:t xml:space="preserve">thus </w:t>
      </w:r>
      <w:r w:rsidR="00277357">
        <w:rPr>
          <w:rFonts w:cs="Times New Roman"/>
          <w:color w:val="000000"/>
        </w:rPr>
        <w:t>points out that “</w:t>
      </w:r>
      <w:r w:rsidR="00277357">
        <w:t>[l]</w:t>
      </w:r>
      <w:r w:rsidR="00277357" w:rsidRPr="00C54090">
        <w:t xml:space="preserve">ocalisation would </w:t>
      </w:r>
      <w:r w:rsidR="00277357">
        <w:t>…</w:t>
      </w:r>
      <w:r w:rsidR="00277357" w:rsidRPr="00C54090">
        <w:t xml:space="preserve"> need to address issues of justice associated with processes of uneven and unequal development between spaces with different natural and human resource </w:t>
      </w:r>
      <w:r w:rsidR="00277357">
        <w:t>endowments.”</w:t>
      </w:r>
      <w:r w:rsidR="00BA401F">
        <w:rPr>
          <w:rStyle w:val="EndnoteReference"/>
        </w:rPr>
        <w:endnoteReference w:id="96"/>
      </w:r>
      <w:r w:rsidR="00277357">
        <w:t xml:space="preserve">  </w:t>
      </w:r>
      <w:r w:rsidR="000661FC">
        <w:t xml:space="preserve">Esther Alloun and Samuel Alexander warn, </w:t>
      </w:r>
      <w:r w:rsidR="002C4A10">
        <w:t>“The danger is real that the Transition movement may end up as little more than an exclusive middle-class club for nice, comfortable people who already have the resources and options to adapt.”</w:t>
      </w:r>
      <w:r w:rsidR="001A7671">
        <w:rPr>
          <w:rStyle w:val="EndnoteReference"/>
        </w:rPr>
        <w:endnoteReference w:id="97"/>
      </w:r>
      <w:r w:rsidR="00E830BC">
        <w:t xml:space="preserve">  The result could be a “gated community” or “bunker” approach amidst a highly unequal global “geography of resilience.”</w:t>
      </w:r>
      <w:r w:rsidR="00E830BC">
        <w:rPr>
          <w:rStyle w:val="EndnoteReference"/>
        </w:rPr>
        <w:endnoteReference w:id="98"/>
      </w:r>
    </w:p>
    <w:p w14:paraId="3A01A7B0" w14:textId="0D0A666F" w:rsidR="003B7CF5" w:rsidRPr="00B52F40" w:rsidRDefault="003B7CF5" w:rsidP="00B52F40">
      <w:pPr>
        <w:spacing w:line="480" w:lineRule="auto"/>
        <w:ind w:firstLine="720"/>
      </w:pPr>
      <w:r>
        <w:rPr>
          <w:rFonts w:cs="Times New Roman"/>
          <w:color w:val="000000"/>
        </w:rPr>
        <w:t xml:space="preserve">In the end, Transition, or any </w:t>
      </w:r>
      <w:r w:rsidR="00AF6040">
        <w:rPr>
          <w:rFonts w:cs="Times New Roman"/>
          <w:color w:val="000000"/>
        </w:rPr>
        <w:t xml:space="preserve">program of resilience or adaptation, ultimately depends on some stability </w:t>
      </w:r>
      <w:r w:rsidR="00466A26">
        <w:rPr>
          <w:rFonts w:cs="Times New Roman"/>
          <w:color w:val="000000"/>
        </w:rPr>
        <w:t xml:space="preserve">and predictability </w:t>
      </w:r>
      <w:r w:rsidR="00AF6040">
        <w:rPr>
          <w:rFonts w:cs="Times New Roman"/>
          <w:color w:val="000000"/>
        </w:rPr>
        <w:t xml:space="preserve">of ecological background conditions.  </w:t>
      </w:r>
      <w:r w:rsidR="00466A26">
        <w:rPr>
          <w:rFonts w:cs="Times New Roman"/>
          <w:color w:val="000000"/>
        </w:rPr>
        <w:t xml:space="preserve">Even Machiavelli’s dikes and dams assume that </w:t>
      </w:r>
      <w:r w:rsidR="00FD4500">
        <w:rPr>
          <w:rFonts w:cs="Times New Roman"/>
          <w:color w:val="000000"/>
        </w:rPr>
        <w:t>the</w:t>
      </w:r>
      <w:r w:rsidR="00466A26">
        <w:rPr>
          <w:rFonts w:cs="Times New Roman"/>
          <w:color w:val="000000"/>
        </w:rPr>
        <w:t xml:space="preserve"> river will rise only so much and not more</w:t>
      </w:r>
      <w:r w:rsidR="000661FC">
        <w:rPr>
          <w:rFonts w:cs="Times New Roman"/>
          <w:color w:val="000000"/>
        </w:rPr>
        <w:t xml:space="preserve">: dikes, dams, and even floodplains are of little use when submerged.  </w:t>
      </w:r>
      <w:r w:rsidR="00AF6040">
        <w:rPr>
          <w:rFonts w:cs="Times New Roman"/>
          <w:color w:val="000000"/>
        </w:rPr>
        <w:t xml:space="preserve">And this stability in turn depends on </w:t>
      </w:r>
      <w:r w:rsidR="00466A26">
        <w:rPr>
          <w:rFonts w:cs="Times New Roman"/>
          <w:color w:val="000000"/>
        </w:rPr>
        <w:t>action to prevent large-scale ecological decline, action</w:t>
      </w:r>
      <w:r w:rsidR="005915E3">
        <w:rPr>
          <w:rFonts w:cs="Times New Roman"/>
          <w:color w:val="000000"/>
        </w:rPr>
        <w:t xml:space="preserve"> – especially setting global targets for emissions reductions and </w:t>
      </w:r>
      <w:r w:rsidR="000661FC">
        <w:rPr>
          <w:rFonts w:cs="Times New Roman"/>
          <w:color w:val="000000"/>
        </w:rPr>
        <w:t>transferring</w:t>
      </w:r>
      <w:r w:rsidR="005915E3">
        <w:rPr>
          <w:rFonts w:cs="Times New Roman"/>
          <w:color w:val="000000"/>
        </w:rPr>
        <w:t xml:space="preserve"> resources </w:t>
      </w:r>
      <w:r w:rsidR="000661FC">
        <w:rPr>
          <w:rFonts w:cs="Times New Roman"/>
          <w:color w:val="000000"/>
        </w:rPr>
        <w:t xml:space="preserve">for mitigation and adaptation </w:t>
      </w:r>
      <w:r w:rsidR="005915E3">
        <w:rPr>
          <w:rFonts w:cs="Times New Roman"/>
          <w:color w:val="000000"/>
        </w:rPr>
        <w:t>from North to South, rich to poor –</w:t>
      </w:r>
      <w:r w:rsidR="00466A26">
        <w:rPr>
          <w:rFonts w:cs="Times New Roman"/>
          <w:color w:val="000000"/>
        </w:rPr>
        <w:t xml:space="preserve"> that is really beyond the scope of individual local communities.</w:t>
      </w:r>
    </w:p>
    <w:p w14:paraId="6A7A22FD" w14:textId="11FB5693" w:rsidR="009A2E90" w:rsidRPr="0091745B" w:rsidRDefault="00175787" w:rsidP="0091745B">
      <w:pPr>
        <w:spacing w:line="480" w:lineRule="auto"/>
        <w:ind w:firstLine="720"/>
        <w:rPr>
          <w:rFonts w:cs="Times New Roman"/>
        </w:rPr>
      </w:pPr>
      <w:r>
        <w:t xml:space="preserve">This brings Transition’s localism into question.  The republican tradition does not </w:t>
      </w:r>
      <w:r w:rsidR="005915E3">
        <w:t xml:space="preserve">in fact </w:t>
      </w:r>
      <w:r>
        <w:t xml:space="preserve">unequivocally endorse localism.  </w:t>
      </w:r>
      <w:r w:rsidR="00F44F4A" w:rsidRPr="00C54090">
        <w:t xml:space="preserve">For most republicans, meaningful self-government – beyond the familiar institutions of representative democracy – entails some form of political and economic decentralization.  Moreover, a sense of community and common civic purpose </w:t>
      </w:r>
      <w:r w:rsidR="005120DE">
        <w:t>may be</w:t>
      </w:r>
      <w:r w:rsidR="00F44F4A" w:rsidRPr="00C54090">
        <w:t xml:space="preserve"> most easily sustained at a smaller political and geographic scale.</w:t>
      </w:r>
      <w:r w:rsidR="00F44F4A" w:rsidRPr="00C54090">
        <w:rPr>
          <w:rStyle w:val="EndnoteReference"/>
        </w:rPr>
        <w:endnoteReference w:id="99"/>
      </w:r>
      <w:r w:rsidR="00F44F4A" w:rsidRPr="00C54090">
        <w:t xml:space="preserve">  </w:t>
      </w:r>
      <w:r>
        <w:t>Yet</w:t>
      </w:r>
      <w:r w:rsidR="00F44F4A" w:rsidRPr="00C54090">
        <w:t xml:space="preserve"> republicanism has long involved a debate over whether a sovereign political unit must be small. </w:t>
      </w:r>
      <w:r w:rsidR="0091745B">
        <w:t xml:space="preserve"> </w:t>
      </w:r>
      <w:r w:rsidR="00F44F4A" w:rsidRPr="00C54090">
        <w:t>David Miller notes, “Early republican thought more or less took for granted the city as the place where republican politics might be practiced.”</w:t>
      </w:r>
      <w:r w:rsidR="00F44F4A" w:rsidRPr="00C54090">
        <w:rPr>
          <w:rStyle w:val="EndnoteReference"/>
        </w:rPr>
        <w:endnoteReference w:id="100"/>
      </w:r>
      <w:r w:rsidR="00F44F4A" w:rsidRPr="00C54090">
        <w:t xml:space="preserve">  Machiavelli, however, warned of the dangers of small republics being subject to foreign invasion.</w:t>
      </w:r>
      <w:r w:rsidR="00F44F4A" w:rsidRPr="00C54090">
        <w:rPr>
          <w:rStyle w:val="EndnoteReference"/>
        </w:rPr>
        <w:endnoteReference w:id="101"/>
      </w:r>
      <w:r w:rsidR="0091745B">
        <w:t xml:space="preserve">  </w:t>
      </w:r>
      <w:r w:rsidR="0091745B">
        <w:rPr>
          <w:rFonts w:cs="Times New Roman"/>
        </w:rPr>
        <w:t>J</w:t>
      </w:r>
      <w:r w:rsidR="00F44F4A" w:rsidRPr="00C54090">
        <w:t xml:space="preserve">ames Madison, of course, also warned of </w:t>
      </w:r>
      <w:r w:rsidR="000751E3">
        <w:t xml:space="preserve">the </w:t>
      </w:r>
      <w:r w:rsidR="00F44F4A" w:rsidRPr="00C54090">
        <w:t xml:space="preserve">dangers of small republics in </w:t>
      </w:r>
      <w:r w:rsidR="00F44F4A" w:rsidRPr="00C54090">
        <w:rPr>
          <w:i/>
        </w:rPr>
        <w:t>Federalist</w:t>
      </w:r>
      <w:r w:rsidR="00F44F4A" w:rsidRPr="00C54090">
        <w:t xml:space="preserve"> 10.  Here, Madison’s concern was over the power of majority factions and majoritarian tyranny in smaller polities.  Madison was justifying the creation of the United States as the first modern republic founded on a continental scale.</w:t>
      </w:r>
      <w:r w:rsidR="000751E3">
        <w:t xml:space="preserve"> </w:t>
      </w:r>
      <w:r w:rsidR="00F44F4A" w:rsidRPr="00C54090">
        <w:t xml:space="preserve"> Madison, as well as Machiavelli and Montesquieu, suggested that the vulnerability of small republics could be addressed via a federation of republics.</w:t>
      </w:r>
      <w:r w:rsidR="00F44F4A" w:rsidRPr="00C54090">
        <w:rPr>
          <w:rStyle w:val="EndnoteReference"/>
        </w:rPr>
        <w:endnoteReference w:id="102"/>
      </w:r>
      <w:r w:rsidR="00F44F4A" w:rsidRPr="00C54090">
        <w:t xml:space="preserve">  </w:t>
      </w:r>
      <w:r w:rsidR="000751E3">
        <w:t xml:space="preserve">In fact, </w:t>
      </w:r>
      <w:r w:rsidR="00F44F4A" w:rsidRPr="00C54090">
        <w:t xml:space="preserve">Pettit </w:t>
      </w:r>
      <w:r w:rsidR="000751E3">
        <w:t>maintains</w:t>
      </w:r>
      <w:r w:rsidR="00F44F4A" w:rsidRPr="00C54090">
        <w:t xml:space="preserve"> that “republicans have been traditionally partial to federations.”</w:t>
      </w:r>
      <w:r w:rsidR="00F44F4A" w:rsidRPr="00C54090">
        <w:rPr>
          <w:rStyle w:val="EndnoteReference"/>
        </w:rPr>
        <w:endnoteReference w:id="103"/>
      </w:r>
      <w:r w:rsidR="00F44F4A" w:rsidRPr="00C54090">
        <w:t xml:space="preserve">  </w:t>
      </w:r>
    </w:p>
    <w:p w14:paraId="485FE0FF" w14:textId="24739AB0" w:rsidR="00E636A5" w:rsidRDefault="00F44F4A" w:rsidP="009A2E90">
      <w:pPr>
        <w:spacing w:line="480" w:lineRule="auto"/>
        <w:ind w:firstLine="720"/>
      </w:pPr>
      <w:r w:rsidRPr="00C54090">
        <w:t xml:space="preserve">Miller </w:t>
      </w:r>
      <w:r w:rsidR="009A2E90">
        <w:t>thus observes</w:t>
      </w:r>
      <w:r w:rsidR="00E636A5">
        <w:t xml:space="preserve"> that the republican tradition has yielded</w:t>
      </w:r>
      <w:r w:rsidRPr="00C54090">
        <w:t xml:space="preserve"> two overall models: a small, fairly homogeneous political community heavily reliant on civic virtue and based on direct self-government, and a larger political community including multiple jurisdictions and social divisions and reliant on constitutional checks and balances and governed through representative institutions; these models, he notes, are not mutually exclusive.</w:t>
      </w:r>
      <w:r w:rsidRPr="00C54090">
        <w:rPr>
          <w:rStyle w:val="EndnoteReference"/>
        </w:rPr>
        <w:endnoteReference w:id="104"/>
      </w:r>
      <w:r w:rsidRPr="00C54090">
        <w:t xml:space="preserve"> </w:t>
      </w:r>
      <w:r w:rsidR="009A2E90">
        <w:t xml:space="preserve"> In line with the second model, </w:t>
      </w:r>
      <w:r w:rsidRPr="00C54090">
        <w:t xml:space="preserve">contemporary </w:t>
      </w:r>
      <w:r w:rsidR="009A2E90">
        <w:t xml:space="preserve">republicans have suggested </w:t>
      </w:r>
      <w:r w:rsidRPr="00C54090">
        <w:t xml:space="preserve">approaches to meaningful republican self-government at a large scale, even a global scale. </w:t>
      </w:r>
      <w:r w:rsidR="009A2E90">
        <w:t xml:space="preserve"> They</w:t>
      </w:r>
      <w:r w:rsidRPr="00C54090">
        <w:t xml:space="preserve"> often advocate dispersing political participation and authority throughout the state and civil society and beyond national boundaries.  Sandel, for example, talks about “dispersing sovereignty” across various levels of governance to create “a multiplicity of communities and political bodies.”</w:t>
      </w:r>
      <w:r w:rsidRPr="00C54090">
        <w:rPr>
          <w:rStyle w:val="EndnoteReference"/>
        </w:rPr>
        <w:endnoteReference w:id="105"/>
      </w:r>
      <w:r w:rsidRPr="00C54090">
        <w:t xml:space="preserve">  </w:t>
      </w:r>
      <w:r w:rsidR="009B62D2">
        <w:t>This is not unlike the polycentric approach to planetar</w:t>
      </w:r>
      <w:r w:rsidR="005915E3">
        <w:t xml:space="preserve">y stewardship mentioned earlier and it suggests that a focus on any one scale of governance may be quite arbitrary. </w:t>
      </w:r>
      <w:r w:rsidR="00277357">
        <w:t xml:space="preserve"> </w:t>
      </w:r>
      <w:r w:rsidR="005915E3">
        <w:t>North asks, “</w:t>
      </w:r>
      <w:r w:rsidR="005915E3" w:rsidRPr="00C54090">
        <w:t>If space is constructed relationally, can you cut a bit off? Where does the ‘local’ stop and the ‘global’ begin? If spatial relationships are conceptualised as flowing networks that has temporarily congeal in places, does it make sense to try to capture them at any certain scale?</w:t>
      </w:r>
      <w:r w:rsidR="005915E3">
        <w:t>”</w:t>
      </w:r>
      <w:r w:rsidR="005915E3">
        <w:rPr>
          <w:rStyle w:val="EndnoteReference"/>
        </w:rPr>
        <w:endnoteReference w:id="106"/>
      </w:r>
    </w:p>
    <w:p w14:paraId="07ABFB21" w14:textId="77777777" w:rsidR="00202DD5" w:rsidRDefault="005120DE" w:rsidP="003672B7">
      <w:pPr>
        <w:spacing w:line="480" w:lineRule="auto"/>
        <w:ind w:firstLine="720"/>
        <w:rPr>
          <w:rFonts w:cs="Times New Roman"/>
        </w:rPr>
      </w:pPr>
      <w:r>
        <w:rPr>
          <w:rFonts w:cs="Times New Roman"/>
        </w:rPr>
        <w:t>Drawing on</w:t>
      </w:r>
      <w:r w:rsidRPr="00C54090">
        <w:rPr>
          <w:rFonts w:cs="Times New Roman"/>
        </w:rPr>
        <w:t xml:space="preserve"> Machiavelli and his praise </w:t>
      </w:r>
      <w:r>
        <w:rPr>
          <w:rFonts w:cs="Times New Roman"/>
        </w:rPr>
        <w:t>for</w:t>
      </w:r>
      <w:r w:rsidRPr="00C54090">
        <w:rPr>
          <w:rFonts w:cs="Times New Roman"/>
        </w:rPr>
        <w:t xml:space="preserve"> the Roman Republic, Francisco Seijo argues that small republics are non-resilient, because they are vulnerable to external events: “It is difficult to imagine a political entity that is immune from the impacts of distant political or economic upheavals (such as wars, depressions, or trade embargoes placed by or upon other nations) or effectively insulated from environmental disasters (such as earthquakes, hurricanes, plagues, and climate change).”</w:t>
      </w:r>
      <w:r w:rsidRPr="00C54090">
        <w:rPr>
          <w:rStyle w:val="EndnoteReference"/>
          <w:rFonts w:cs="Times New Roman"/>
        </w:rPr>
        <w:endnoteReference w:id="107"/>
      </w:r>
      <w:r>
        <w:rPr>
          <w:rFonts w:cs="Times New Roman"/>
        </w:rPr>
        <w:t xml:space="preserve">  As noted in the foregoing discussion of resilience, a small Transition community may lack the resources or even the sheer territorial scope to deal with a major climate event. </w:t>
      </w:r>
      <w:r w:rsidR="00E13161">
        <w:rPr>
          <w:rFonts w:cs="Times New Roman"/>
        </w:rPr>
        <w:t xml:space="preserve"> </w:t>
      </w:r>
    </w:p>
    <w:p w14:paraId="53B78F80" w14:textId="6034AC9B" w:rsidR="005120DE" w:rsidRPr="003672B7" w:rsidRDefault="00202DD5" w:rsidP="003672B7">
      <w:pPr>
        <w:spacing w:line="480" w:lineRule="auto"/>
        <w:ind w:firstLine="720"/>
      </w:pPr>
      <w:r>
        <w:rPr>
          <w:rFonts w:cs="Times New Roman"/>
        </w:rPr>
        <w:t>To reiterate, a</w:t>
      </w:r>
      <w:r w:rsidR="00E13161">
        <w:rPr>
          <w:rFonts w:cs="Times New Roman"/>
        </w:rPr>
        <w:t>n effective response to clim</w:t>
      </w:r>
      <w:r w:rsidR="003672B7">
        <w:rPr>
          <w:rFonts w:cs="Times New Roman"/>
        </w:rPr>
        <w:t xml:space="preserve">ate change entails policymaking, particularly mitigation efforts, </w:t>
      </w:r>
      <w:r w:rsidR="00E13161">
        <w:rPr>
          <w:rFonts w:cs="Times New Roman"/>
        </w:rPr>
        <w:t xml:space="preserve">at </w:t>
      </w:r>
      <w:r w:rsidR="003672B7">
        <w:rPr>
          <w:rFonts w:cs="Times New Roman"/>
        </w:rPr>
        <w:t>higher levels of governance.</w:t>
      </w:r>
      <w:r w:rsidR="00E13161">
        <w:rPr>
          <w:rFonts w:cs="Times New Roman"/>
        </w:rPr>
        <w:t xml:space="preserve"> </w:t>
      </w:r>
      <w:r w:rsidR="003672B7">
        <w:rPr>
          <w:rFonts w:cs="Times New Roman"/>
        </w:rPr>
        <w:t xml:space="preserve"> </w:t>
      </w:r>
      <w:r w:rsidR="003672B7" w:rsidRPr="00C54090">
        <w:rPr>
          <w:rFonts w:cs="Times New Roman"/>
        </w:rPr>
        <w:t xml:space="preserve">British Green Party activist Rupert Read </w:t>
      </w:r>
      <w:r w:rsidR="003672B7">
        <w:rPr>
          <w:rFonts w:cs="Times New Roman"/>
        </w:rPr>
        <w:t>argues</w:t>
      </w:r>
      <w:r w:rsidR="003672B7" w:rsidRPr="00C54090">
        <w:rPr>
          <w:rFonts w:cs="Times New Roman"/>
        </w:rPr>
        <w:t xml:space="preserve">, “Transition Towns are a wonderful and inspiring experiment. But, alone, they can function only as </w:t>
      </w:r>
      <w:r w:rsidR="003672B7" w:rsidRPr="00C54090">
        <w:rPr>
          <w:rFonts w:cs="Times New Roman"/>
          <w:i/>
          <w:iCs/>
        </w:rPr>
        <w:t xml:space="preserve">demonstration projects. </w:t>
      </w:r>
      <w:r w:rsidR="003672B7" w:rsidRPr="00C54090">
        <w:rPr>
          <w:rFonts w:cs="Times New Roman"/>
        </w:rPr>
        <w:t xml:space="preserve">They show what is </w:t>
      </w:r>
      <w:r w:rsidR="003672B7" w:rsidRPr="00C54090">
        <w:rPr>
          <w:rFonts w:cs="Times New Roman"/>
          <w:i/>
          <w:iCs/>
        </w:rPr>
        <w:t>possible</w:t>
      </w:r>
      <w:r w:rsidR="003672B7" w:rsidRPr="00C54090">
        <w:rPr>
          <w:rFonts w:cs="Times New Roman"/>
        </w:rPr>
        <w:t>.</w:t>
      </w:r>
      <w:r w:rsidR="003672B7">
        <w:rPr>
          <w:rFonts w:cs="Times New Roman"/>
        </w:rPr>
        <w:t xml:space="preserve">”  In other words, Transition initiatives alone cannot achieve the </w:t>
      </w:r>
      <w:r>
        <w:rPr>
          <w:rFonts w:cs="Times New Roman"/>
        </w:rPr>
        <w:t xml:space="preserve">very </w:t>
      </w:r>
      <w:r w:rsidR="003672B7">
        <w:rPr>
          <w:rFonts w:cs="Times New Roman"/>
        </w:rPr>
        <w:t>possibilities that the movement reveals.  Read maintains that in order to actually reduce the use of fossil fuels, not just in Transition towns, but elsewhere, there must be “[</w:t>
      </w:r>
      <w:r>
        <w:rPr>
          <w:rFonts w:cs="Times New Roman"/>
        </w:rPr>
        <w:t>l</w:t>
      </w:r>
      <w:r w:rsidR="003672B7">
        <w:rPr>
          <w:rFonts w:cs="Times New Roman"/>
        </w:rPr>
        <w:t>]</w:t>
      </w:r>
      <w:r w:rsidR="003672B7" w:rsidRPr="00C54090">
        <w:rPr>
          <w:rFonts w:cs="Times New Roman"/>
        </w:rPr>
        <w:t xml:space="preserve">egislation that enforces lower </w:t>
      </w:r>
      <w:r w:rsidR="003672B7" w:rsidRPr="00C54090">
        <w:rPr>
          <w:rFonts w:cs="Times New Roman"/>
          <w:i/>
          <w:iCs/>
        </w:rPr>
        <w:t>overall</w:t>
      </w:r>
      <w:r w:rsidR="003672B7" w:rsidRPr="00C54090">
        <w:rPr>
          <w:rFonts w:cs="Times New Roman"/>
        </w:rPr>
        <w:t xml:space="preserve"> use of fossil fuels, and/or, I suppose, legislation that obliges every town to try to become a transition town.” </w:t>
      </w:r>
      <w:r w:rsidR="003672B7">
        <w:rPr>
          <w:rFonts w:cs="Times New Roman"/>
        </w:rPr>
        <w:t xml:space="preserve"> Transition outposts could not survive without external support:</w:t>
      </w:r>
      <w:r w:rsidR="003672B7" w:rsidRPr="00C54090">
        <w:rPr>
          <w:rFonts w:cs="Times New Roman"/>
        </w:rPr>
        <w:t xml:space="preserve"> “The admirable local action of Transition Towns is countermanded by economic effects of that action elsewhere in an unreformed more global economy.” </w:t>
      </w:r>
      <w:r w:rsidR="003672B7">
        <w:rPr>
          <w:rFonts w:cs="Times New Roman"/>
        </w:rPr>
        <w:t xml:space="preserve">Read concludes, </w:t>
      </w:r>
      <w:r w:rsidR="003672B7" w:rsidRPr="00C54090">
        <w:rPr>
          <w:rFonts w:cs="Times New Roman"/>
        </w:rPr>
        <w:t>“Without policies such as carbon rationing, and, at a global level, ‘Contraction and Convergence’</w:t>
      </w:r>
      <w:r w:rsidR="002B2DC2">
        <w:rPr>
          <w:rStyle w:val="EndnoteReference"/>
          <w:rFonts w:cs="Times New Roman"/>
        </w:rPr>
        <w:endnoteReference w:id="108"/>
      </w:r>
      <w:r w:rsidR="003672B7" w:rsidRPr="00C54090">
        <w:rPr>
          <w:rFonts w:cs="Times New Roman"/>
        </w:rPr>
        <w:t xml:space="preserve"> being put into place,</w:t>
      </w:r>
      <w:r w:rsidR="003672B7" w:rsidRPr="00C54090">
        <w:rPr>
          <w:rFonts w:cs="Times New Roman"/>
          <w:i/>
          <w:iCs/>
        </w:rPr>
        <w:t xml:space="preserve"> the Transition Towns movement will do virtually nothing to prevent the onset of climate catastrophe though excessive burning of fossil fuels.”</w:t>
      </w:r>
      <w:r w:rsidR="003672B7" w:rsidRPr="00C54090">
        <w:rPr>
          <w:rStyle w:val="EndnoteReference"/>
          <w:rFonts w:cs="Times New Roman"/>
        </w:rPr>
        <w:endnoteReference w:id="109"/>
      </w:r>
      <w:r w:rsidR="003672B7">
        <w:rPr>
          <w:rFonts w:cs="Times New Roman"/>
          <w:iCs/>
        </w:rPr>
        <w:t xml:space="preserve"> </w:t>
      </w:r>
    </w:p>
    <w:p w14:paraId="7235090F" w14:textId="4097232A" w:rsidR="005120DE" w:rsidRPr="005120DE" w:rsidRDefault="005120DE" w:rsidP="009B62D2">
      <w:pPr>
        <w:spacing w:line="480" w:lineRule="auto"/>
        <w:ind w:firstLine="720"/>
      </w:pPr>
      <w:r w:rsidRPr="005120DE">
        <w:t>Small, self-contained communities can also be havens of oppression, and n</w:t>
      </w:r>
      <w:r w:rsidR="009B62D2" w:rsidRPr="005120DE">
        <w:t xml:space="preserve">on-domination may necessitate republican institutions beyond the local level.  </w:t>
      </w:r>
      <w:r w:rsidR="00E636A5" w:rsidRPr="005120DE">
        <w:t xml:space="preserve">James </w:t>
      </w:r>
      <w:r w:rsidR="00F44F4A" w:rsidRPr="005120DE">
        <w:t>Bohman argues that impermeably bounded political communities become agents of domination, especially toward those outside their boundaries who are subject to colonialism or who are stateless and denied basic rights associated with membership.</w:t>
      </w:r>
      <w:r w:rsidR="00F44F4A" w:rsidRPr="005120DE">
        <w:rPr>
          <w:rStyle w:val="EndnoteReference"/>
        </w:rPr>
        <w:endnoteReference w:id="110"/>
      </w:r>
      <w:r w:rsidR="00F44F4A" w:rsidRPr="005120DE">
        <w:t xml:space="preserve"> </w:t>
      </w:r>
      <w:r w:rsidRPr="005120DE">
        <w:t xml:space="preserve">North thus </w:t>
      </w:r>
      <w:r>
        <w:t xml:space="preserve">pointedly </w:t>
      </w:r>
      <w:r w:rsidRPr="005120DE">
        <w:t>asks of Transition and similar movements, “How would localisation cope with climate change migration?”</w:t>
      </w:r>
      <w:r w:rsidRPr="005120DE">
        <w:rPr>
          <w:rStyle w:val="EndnoteReference"/>
        </w:rPr>
        <w:endnoteReference w:id="111"/>
      </w:r>
    </w:p>
    <w:p w14:paraId="16CD9B7C" w14:textId="7845175C" w:rsidR="00F44F4A" w:rsidRPr="00C54090" w:rsidRDefault="00202DD5" w:rsidP="009B62D2">
      <w:pPr>
        <w:spacing w:line="480" w:lineRule="auto"/>
        <w:ind w:firstLine="720"/>
      </w:pPr>
      <w:r>
        <w:t>To the degree that environmental degradation, including climate change, is itself an act of domination by powerful political and economic actors,</w:t>
      </w:r>
      <w:r>
        <w:rPr>
          <w:rStyle w:val="EndnoteReference"/>
        </w:rPr>
        <w:endnoteReference w:id="112"/>
      </w:r>
      <w:r>
        <w:t xml:space="preserve"> republican institutions need to exist at higher levels of governance.  </w:t>
      </w:r>
      <w:r w:rsidR="00F44F4A" w:rsidRPr="00C54090">
        <w:t>Bohman believes that the ideal of non-domination thus necessitates transnational federalism.</w:t>
      </w:r>
      <w:r w:rsidR="00F44F4A" w:rsidRPr="00C54090">
        <w:rPr>
          <w:rStyle w:val="EndnoteReference"/>
        </w:rPr>
        <w:endnoteReference w:id="113"/>
      </w:r>
      <w:r w:rsidR="00F44F4A" w:rsidRPr="00C54090">
        <w:t xml:space="preserve">  He suggests “the creation of federations based on interlocking and self-enhancing relationships between various levels of republi</w:t>
      </w:r>
      <w:r w:rsidR="009A2E90">
        <w:t>can institutions, including one</w:t>
      </w:r>
      <w:r w:rsidR="00F44F4A" w:rsidRPr="00C54090">
        <w:t>s crossing state boundaries.”</w:t>
      </w:r>
      <w:r w:rsidR="00F44F4A" w:rsidRPr="00C54090">
        <w:rPr>
          <w:rStyle w:val="EndnoteReference"/>
        </w:rPr>
        <w:endnoteReference w:id="114"/>
      </w:r>
      <w:r w:rsidR="00F44F4A" w:rsidRPr="00C54090">
        <w:t xml:space="preserve">  </w:t>
      </w:r>
      <w:r w:rsidR="00E636A5">
        <w:t xml:space="preserve">This would </w:t>
      </w:r>
      <w:r>
        <w:t xml:space="preserve">not mean centralized world government, but would involve </w:t>
      </w:r>
      <w:r w:rsidR="00E636A5">
        <w:t>a</w:t>
      </w:r>
      <w:r w:rsidR="00F44F4A" w:rsidRPr="00C54090">
        <w:t xml:space="preserve"> dispersal of decision-making “across different institutional levels, deliberative bodies, and various offices”</w:t>
      </w:r>
      <w:r w:rsidR="00F44F4A" w:rsidRPr="00C54090">
        <w:rPr>
          <w:rStyle w:val="EndnoteReference"/>
        </w:rPr>
        <w:endnoteReference w:id="115"/>
      </w:r>
      <w:r w:rsidR="00F44F4A" w:rsidRPr="00C54090">
        <w:t xml:space="preserve"> to prevent dangerous concentrations of social and political power. </w:t>
      </w:r>
      <w:r w:rsidR="00E636A5">
        <w:t xml:space="preserve"> </w:t>
      </w:r>
    </w:p>
    <w:p w14:paraId="5B32CF0F" w14:textId="77777777" w:rsidR="003672B7" w:rsidRDefault="005120DE" w:rsidP="003672B7">
      <w:pPr>
        <w:pStyle w:val="NormalWeb"/>
        <w:spacing w:before="0" w:beforeAutospacing="0" w:after="0" w:afterAutospacing="0" w:line="480" w:lineRule="auto"/>
        <w:ind w:firstLine="720"/>
        <w:rPr>
          <w:rFonts w:asciiTheme="minorHAnsi" w:hAnsiTheme="minorHAnsi"/>
          <w:sz w:val="24"/>
          <w:szCs w:val="24"/>
        </w:rPr>
      </w:pPr>
      <w:r w:rsidRPr="005120DE">
        <w:rPr>
          <w:rFonts w:asciiTheme="minorHAnsi" w:hAnsiTheme="minorHAnsi"/>
          <w:sz w:val="24"/>
          <w:szCs w:val="24"/>
        </w:rPr>
        <w:t>As noted earlier, Hopkins does concede</w:t>
      </w:r>
      <w:r w:rsidR="009B62D2" w:rsidRPr="005120DE">
        <w:rPr>
          <w:rFonts w:asciiTheme="minorHAnsi" w:hAnsiTheme="minorHAnsi"/>
          <w:sz w:val="24"/>
          <w:szCs w:val="24"/>
        </w:rPr>
        <w:t xml:space="preserve"> the need for action at higher levels of government</w:t>
      </w:r>
      <w:r w:rsidRPr="005120DE">
        <w:rPr>
          <w:rFonts w:asciiTheme="minorHAnsi" w:hAnsiTheme="minorHAnsi"/>
          <w:sz w:val="24"/>
          <w:szCs w:val="24"/>
        </w:rPr>
        <w:t xml:space="preserve">.  Interestingly, </w:t>
      </w:r>
      <w:r>
        <w:rPr>
          <w:rFonts w:asciiTheme="minorHAnsi" w:hAnsiTheme="minorHAnsi"/>
          <w:sz w:val="24"/>
          <w:szCs w:val="24"/>
        </w:rPr>
        <w:t>he even</w:t>
      </w:r>
      <w:r w:rsidRPr="005120DE">
        <w:rPr>
          <w:rFonts w:asciiTheme="minorHAnsi" w:hAnsiTheme="minorHAnsi"/>
          <w:sz w:val="24"/>
          <w:szCs w:val="24"/>
        </w:rPr>
        <w:t xml:space="preserve"> speaks favorably of the British government’s emergency efforts during World War II</w:t>
      </w:r>
      <w:r w:rsidR="001B0DEA">
        <w:rPr>
          <w:rFonts w:asciiTheme="minorHAnsi" w:hAnsiTheme="minorHAnsi"/>
          <w:sz w:val="24"/>
          <w:szCs w:val="24"/>
        </w:rPr>
        <w:t>.</w:t>
      </w:r>
      <w:r w:rsidRPr="005120DE">
        <w:rPr>
          <w:rStyle w:val="EndnoteReference"/>
          <w:rFonts w:asciiTheme="minorHAnsi" w:hAnsiTheme="minorHAnsi"/>
          <w:sz w:val="24"/>
          <w:szCs w:val="24"/>
        </w:rPr>
        <w:endnoteReference w:id="116"/>
      </w:r>
      <w:r w:rsidRPr="005120DE">
        <w:rPr>
          <w:rFonts w:asciiTheme="minorHAnsi" w:hAnsiTheme="minorHAnsi"/>
          <w:sz w:val="24"/>
          <w:szCs w:val="24"/>
        </w:rPr>
        <w:t xml:space="preserve"> </w:t>
      </w:r>
      <w:r w:rsidR="001B0DEA">
        <w:rPr>
          <w:rFonts w:asciiTheme="minorHAnsi" w:hAnsiTheme="minorHAnsi"/>
          <w:sz w:val="24"/>
          <w:szCs w:val="24"/>
        </w:rPr>
        <w:t xml:space="preserve"> </w:t>
      </w:r>
      <w:r w:rsidRPr="005120DE">
        <w:rPr>
          <w:rFonts w:asciiTheme="minorHAnsi" w:hAnsiTheme="minorHAnsi"/>
          <w:sz w:val="24"/>
          <w:szCs w:val="24"/>
        </w:rPr>
        <w:t xml:space="preserve">These involved food rationing and </w:t>
      </w:r>
      <w:r w:rsidR="001B0DEA">
        <w:rPr>
          <w:rFonts w:asciiTheme="minorHAnsi" w:hAnsiTheme="minorHAnsi"/>
          <w:sz w:val="24"/>
          <w:szCs w:val="24"/>
        </w:rPr>
        <w:t>national efforts to increase</w:t>
      </w:r>
      <w:r w:rsidRPr="005120DE">
        <w:rPr>
          <w:rFonts w:asciiTheme="minorHAnsi" w:hAnsiTheme="minorHAnsi"/>
          <w:sz w:val="24"/>
          <w:szCs w:val="24"/>
        </w:rPr>
        <w:t xml:space="preserve"> home food production.   </w:t>
      </w:r>
      <w:r w:rsidR="001B0DEA">
        <w:rPr>
          <w:rFonts w:asciiTheme="minorHAnsi" w:hAnsiTheme="minorHAnsi"/>
          <w:sz w:val="24"/>
          <w:szCs w:val="24"/>
        </w:rPr>
        <w:t xml:space="preserve">He is open to a national program of </w:t>
      </w:r>
      <w:r w:rsidR="001B0DEA" w:rsidRPr="005120DE">
        <w:rPr>
          <w:rFonts w:asciiTheme="minorHAnsi" w:hAnsiTheme="minorHAnsi"/>
          <w:sz w:val="24"/>
          <w:szCs w:val="24"/>
        </w:rPr>
        <w:t xml:space="preserve">carbon rationing </w:t>
      </w:r>
      <w:r w:rsidR="001B0DEA">
        <w:rPr>
          <w:rFonts w:asciiTheme="minorHAnsi" w:hAnsiTheme="minorHAnsi"/>
          <w:sz w:val="24"/>
          <w:szCs w:val="24"/>
        </w:rPr>
        <w:t>in the UK</w:t>
      </w:r>
      <w:r w:rsidR="001B0DEA" w:rsidRPr="005120DE">
        <w:rPr>
          <w:rFonts w:asciiTheme="minorHAnsi" w:hAnsiTheme="minorHAnsi"/>
          <w:sz w:val="24"/>
          <w:szCs w:val="24"/>
        </w:rPr>
        <w:t>.</w:t>
      </w:r>
      <w:r w:rsidR="001B0DEA" w:rsidRPr="005120DE">
        <w:rPr>
          <w:rStyle w:val="EndnoteReference"/>
          <w:rFonts w:asciiTheme="minorHAnsi" w:hAnsiTheme="minorHAnsi"/>
          <w:sz w:val="24"/>
          <w:szCs w:val="24"/>
        </w:rPr>
        <w:endnoteReference w:id="117"/>
      </w:r>
      <w:r w:rsidR="001B0DEA" w:rsidRPr="005120DE">
        <w:rPr>
          <w:rFonts w:asciiTheme="minorHAnsi" w:hAnsiTheme="minorHAnsi"/>
          <w:sz w:val="24"/>
          <w:szCs w:val="24"/>
        </w:rPr>
        <w:t xml:space="preserve">  </w:t>
      </w:r>
      <w:r w:rsidR="001B0DEA">
        <w:rPr>
          <w:rFonts w:asciiTheme="minorHAnsi" w:hAnsiTheme="minorHAnsi"/>
          <w:sz w:val="24"/>
          <w:szCs w:val="24"/>
        </w:rPr>
        <w:t xml:space="preserve">So clearly, he </w:t>
      </w:r>
      <w:r w:rsidRPr="005120DE">
        <w:rPr>
          <w:rFonts w:asciiTheme="minorHAnsi" w:hAnsiTheme="minorHAnsi"/>
          <w:sz w:val="24"/>
          <w:szCs w:val="24"/>
        </w:rPr>
        <w:t>is reluctant to</w:t>
      </w:r>
      <w:r w:rsidR="004E378B">
        <w:rPr>
          <w:rFonts w:asciiTheme="minorHAnsi" w:hAnsiTheme="minorHAnsi"/>
          <w:sz w:val="24"/>
          <w:szCs w:val="24"/>
        </w:rPr>
        <w:t xml:space="preserve"> entirely</w:t>
      </w:r>
      <w:r w:rsidRPr="005120DE">
        <w:rPr>
          <w:rFonts w:asciiTheme="minorHAnsi" w:hAnsiTheme="minorHAnsi"/>
          <w:sz w:val="24"/>
          <w:szCs w:val="24"/>
        </w:rPr>
        <w:t xml:space="preserve"> reject approaches to climate change and energy policy</w:t>
      </w:r>
      <w:r w:rsidR="00DE0C09">
        <w:rPr>
          <w:rFonts w:asciiTheme="minorHAnsi" w:hAnsiTheme="minorHAnsi"/>
          <w:sz w:val="24"/>
          <w:szCs w:val="24"/>
        </w:rPr>
        <w:t xml:space="preserve"> at larger scales of governance</w:t>
      </w:r>
      <w:r w:rsidRPr="005120DE">
        <w:rPr>
          <w:rFonts w:asciiTheme="minorHAnsi" w:hAnsiTheme="minorHAnsi"/>
          <w:sz w:val="24"/>
          <w:szCs w:val="24"/>
        </w:rPr>
        <w:t>.  “Transition Initiatives,” he says, “will function best in the context of a combination of top-down and bottom-up responses, none of which can address the challenge in isolation.”</w:t>
      </w:r>
      <w:r w:rsidRPr="005120DE">
        <w:rPr>
          <w:rStyle w:val="EndnoteReference"/>
          <w:rFonts w:asciiTheme="minorHAnsi" w:hAnsiTheme="minorHAnsi"/>
          <w:sz w:val="24"/>
          <w:szCs w:val="24"/>
        </w:rPr>
        <w:endnoteReference w:id="118"/>
      </w:r>
      <w:r w:rsidRPr="005120DE">
        <w:rPr>
          <w:rFonts w:asciiTheme="minorHAnsi" w:hAnsiTheme="minorHAnsi"/>
          <w:sz w:val="24"/>
          <w:szCs w:val="24"/>
        </w:rPr>
        <w:t xml:space="preserve"> </w:t>
      </w:r>
      <w:r w:rsidR="004E378B">
        <w:rPr>
          <w:rFonts w:asciiTheme="minorHAnsi" w:hAnsiTheme="minorHAnsi"/>
          <w:sz w:val="24"/>
          <w:szCs w:val="24"/>
        </w:rPr>
        <w:t xml:space="preserve"> In fact, Transition Ireland and Northern Ireland played a key role in getting the Irish government to open up its national energy planning to significant public participation and also helped shape the final report</w:t>
      </w:r>
      <w:r w:rsidR="003672B7">
        <w:rPr>
          <w:rFonts w:asciiTheme="minorHAnsi" w:hAnsiTheme="minorHAnsi"/>
          <w:sz w:val="24"/>
          <w:szCs w:val="24"/>
        </w:rPr>
        <w:t>, released in December 2015</w:t>
      </w:r>
      <w:r w:rsidR="004E378B">
        <w:rPr>
          <w:rFonts w:asciiTheme="minorHAnsi" w:hAnsiTheme="minorHAnsi"/>
          <w:sz w:val="24"/>
          <w:szCs w:val="24"/>
        </w:rPr>
        <w:t>.</w:t>
      </w:r>
      <w:r w:rsidR="003672B7">
        <w:rPr>
          <w:rStyle w:val="EndnoteReference"/>
          <w:rFonts w:asciiTheme="minorHAnsi" w:hAnsiTheme="minorHAnsi"/>
          <w:sz w:val="24"/>
          <w:szCs w:val="24"/>
        </w:rPr>
        <w:endnoteReference w:id="119"/>
      </w:r>
      <w:r w:rsidR="004E378B">
        <w:rPr>
          <w:rFonts w:asciiTheme="minorHAnsi" w:hAnsiTheme="minorHAnsi"/>
          <w:sz w:val="24"/>
          <w:szCs w:val="24"/>
        </w:rPr>
        <w:t xml:space="preserve">  </w:t>
      </w:r>
    </w:p>
    <w:p w14:paraId="0DDD241C" w14:textId="77777777" w:rsidR="00BC01B7" w:rsidRDefault="005120DE" w:rsidP="00BC01B7">
      <w:pPr>
        <w:pStyle w:val="NormalWeb"/>
        <w:spacing w:before="0" w:beforeAutospacing="0" w:after="0" w:afterAutospacing="0" w:line="480" w:lineRule="auto"/>
        <w:ind w:firstLine="720"/>
        <w:rPr>
          <w:rFonts w:asciiTheme="minorHAnsi" w:hAnsiTheme="minorHAnsi"/>
          <w:sz w:val="24"/>
          <w:szCs w:val="24"/>
        </w:rPr>
      </w:pPr>
      <w:r w:rsidRPr="003672B7">
        <w:rPr>
          <w:rFonts w:asciiTheme="minorHAnsi" w:hAnsiTheme="minorHAnsi"/>
          <w:sz w:val="24"/>
          <w:szCs w:val="24"/>
        </w:rPr>
        <w:t xml:space="preserve">However, </w:t>
      </w:r>
      <w:r w:rsidR="003672B7" w:rsidRPr="003672B7">
        <w:rPr>
          <w:rFonts w:asciiTheme="minorHAnsi" w:hAnsiTheme="minorHAnsi"/>
          <w:sz w:val="24"/>
          <w:szCs w:val="24"/>
        </w:rPr>
        <w:t xml:space="preserve">Hopkins also maintains that </w:t>
      </w:r>
      <w:r w:rsidRPr="003672B7">
        <w:rPr>
          <w:rFonts w:asciiTheme="minorHAnsi" w:hAnsiTheme="minorHAnsi"/>
          <w:sz w:val="24"/>
          <w:szCs w:val="24"/>
        </w:rPr>
        <w:t xml:space="preserve">local communities should not wait around for top-down responses, and successful action at the national or global level will be “more likely in an environment where community responses are abundant and vibrant.”  </w:t>
      </w:r>
      <w:r w:rsidR="001B0DEA" w:rsidRPr="003672B7">
        <w:rPr>
          <w:rFonts w:asciiTheme="minorHAnsi" w:hAnsiTheme="minorHAnsi"/>
          <w:sz w:val="24"/>
          <w:szCs w:val="24"/>
        </w:rPr>
        <w:t>Local Transition i</w:t>
      </w:r>
      <w:r w:rsidRPr="003672B7">
        <w:rPr>
          <w:rFonts w:asciiTheme="minorHAnsi" w:hAnsiTheme="minorHAnsi"/>
          <w:sz w:val="24"/>
          <w:szCs w:val="24"/>
        </w:rPr>
        <w:t>nitiative</w:t>
      </w:r>
      <w:r w:rsidR="001B0DEA" w:rsidRPr="003672B7">
        <w:rPr>
          <w:rFonts w:asciiTheme="minorHAnsi" w:hAnsiTheme="minorHAnsi"/>
          <w:sz w:val="24"/>
          <w:szCs w:val="24"/>
        </w:rPr>
        <w:t>s</w:t>
      </w:r>
      <w:r w:rsidRPr="003672B7">
        <w:rPr>
          <w:rFonts w:asciiTheme="minorHAnsi" w:hAnsiTheme="minorHAnsi"/>
          <w:sz w:val="24"/>
          <w:szCs w:val="24"/>
        </w:rPr>
        <w:t xml:space="preserve"> </w:t>
      </w:r>
      <w:r w:rsidR="001B0DEA" w:rsidRPr="003672B7">
        <w:rPr>
          <w:rFonts w:asciiTheme="minorHAnsi" w:hAnsiTheme="minorHAnsi"/>
          <w:sz w:val="24"/>
          <w:szCs w:val="24"/>
        </w:rPr>
        <w:t>would</w:t>
      </w:r>
      <w:r w:rsidRPr="003672B7">
        <w:rPr>
          <w:rFonts w:asciiTheme="minorHAnsi" w:hAnsiTheme="minorHAnsi"/>
          <w:sz w:val="24"/>
          <w:szCs w:val="24"/>
        </w:rPr>
        <w:t xml:space="preserve"> make national efforts like carbon rationing politically palatable to the electorate.</w:t>
      </w:r>
      <w:r w:rsidRPr="003672B7">
        <w:rPr>
          <w:rStyle w:val="EndnoteReference"/>
          <w:rFonts w:asciiTheme="minorHAnsi" w:hAnsiTheme="minorHAnsi"/>
          <w:sz w:val="24"/>
          <w:szCs w:val="24"/>
        </w:rPr>
        <w:endnoteReference w:id="120"/>
      </w:r>
      <w:r w:rsidR="003672B7" w:rsidRPr="003672B7">
        <w:rPr>
          <w:rFonts w:asciiTheme="minorHAnsi" w:hAnsiTheme="minorHAnsi"/>
          <w:sz w:val="24"/>
          <w:szCs w:val="24"/>
        </w:rPr>
        <w:t xml:space="preserve">  Moreover,</w:t>
      </w:r>
      <w:r w:rsidR="00DE0C09" w:rsidRPr="003672B7">
        <w:rPr>
          <w:rFonts w:asciiTheme="minorHAnsi" w:hAnsiTheme="minorHAnsi"/>
          <w:sz w:val="24"/>
          <w:szCs w:val="24"/>
        </w:rPr>
        <w:t xml:space="preserve"> the initiative for change would still come from the bottom up.  To repeat an earlier quote from Hopkins: “much of the momentum and pressure, as well as the diversity of projects and initiatives that need sanction or support from government, can come from the local level.”</w:t>
      </w:r>
      <w:r w:rsidR="008741C8" w:rsidRPr="003672B7">
        <w:rPr>
          <w:rFonts w:asciiTheme="minorHAnsi" w:hAnsiTheme="minorHAnsi"/>
          <w:sz w:val="24"/>
          <w:szCs w:val="24"/>
        </w:rPr>
        <w:t xml:space="preserve">  </w:t>
      </w:r>
    </w:p>
    <w:p w14:paraId="739EA516" w14:textId="614EFC63" w:rsidR="00BC01B7" w:rsidRPr="00BC01B7" w:rsidRDefault="00202DD5" w:rsidP="00BC01B7">
      <w:pPr>
        <w:pStyle w:val="NormalWeb"/>
        <w:spacing w:before="0" w:beforeAutospacing="0" w:after="0" w:afterAutospacing="0" w:line="480" w:lineRule="auto"/>
        <w:ind w:firstLine="720"/>
        <w:rPr>
          <w:rFonts w:asciiTheme="minorHAnsi" w:hAnsiTheme="minorHAnsi"/>
          <w:sz w:val="24"/>
          <w:szCs w:val="24"/>
        </w:rPr>
      </w:pPr>
      <w:r w:rsidRPr="00BC01B7">
        <w:rPr>
          <w:rFonts w:asciiTheme="minorHAnsi" w:hAnsiTheme="minorHAnsi"/>
          <w:sz w:val="24"/>
          <w:szCs w:val="24"/>
        </w:rPr>
        <w:t xml:space="preserve">But does the focus on local </w:t>
      </w:r>
      <w:r w:rsidR="003421A2" w:rsidRPr="00BC01B7">
        <w:rPr>
          <w:rFonts w:asciiTheme="minorHAnsi" w:hAnsiTheme="minorHAnsi"/>
          <w:sz w:val="24"/>
          <w:szCs w:val="24"/>
        </w:rPr>
        <w:t>initiative</w:t>
      </w:r>
      <w:r w:rsidRPr="00BC01B7">
        <w:rPr>
          <w:rFonts w:asciiTheme="minorHAnsi" w:hAnsiTheme="minorHAnsi"/>
          <w:sz w:val="24"/>
          <w:szCs w:val="24"/>
        </w:rPr>
        <w:t xml:space="preserve"> from below amount to an </w:t>
      </w:r>
      <w:r w:rsidR="007402F6" w:rsidRPr="00BC01B7">
        <w:rPr>
          <w:rFonts w:asciiTheme="minorHAnsi" w:hAnsiTheme="minorHAnsi"/>
          <w:sz w:val="24"/>
          <w:szCs w:val="24"/>
        </w:rPr>
        <w:t xml:space="preserve">apolitical stance when it comes to challenging </w:t>
      </w:r>
      <w:r w:rsidR="003421A2" w:rsidRPr="00BC01B7">
        <w:rPr>
          <w:rFonts w:asciiTheme="minorHAnsi" w:hAnsiTheme="minorHAnsi"/>
          <w:sz w:val="24"/>
          <w:szCs w:val="24"/>
        </w:rPr>
        <w:t xml:space="preserve">the </w:t>
      </w:r>
      <w:r w:rsidR="007402F6" w:rsidRPr="00BC01B7">
        <w:rPr>
          <w:rFonts w:asciiTheme="minorHAnsi" w:hAnsiTheme="minorHAnsi"/>
          <w:sz w:val="24"/>
          <w:szCs w:val="24"/>
        </w:rPr>
        <w:t>national and international neoliberal policies and</w:t>
      </w:r>
      <w:r w:rsidR="00922A9A" w:rsidRPr="00BC01B7">
        <w:rPr>
          <w:rFonts w:asciiTheme="minorHAnsi" w:hAnsiTheme="minorHAnsi"/>
          <w:sz w:val="24"/>
          <w:szCs w:val="24"/>
        </w:rPr>
        <w:t xml:space="preserve"> power structures </w:t>
      </w:r>
      <w:r w:rsidR="003421A2" w:rsidRPr="00BC01B7">
        <w:rPr>
          <w:rFonts w:asciiTheme="minorHAnsi" w:hAnsiTheme="minorHAnsi"/>
          <w:sz w:val="24"/>
          <w:szCs w:val="24"/>
        </w:rPr>
        <w:t>behind</w:t>
      </w:r>
      <w:r w:rsidR="00922A9A" w:rsidRPr="00BC01B7">
        <w:rPr>
          <w:rFonts w:asciiTheme="minorHAnsi" w:hAnsiTheme="minorHAnsi"/>
          <w:sz w:val="24"/>
          <w:szCs w:val="24"/>
        </w:rPr>
        <w:t xml:space="preserve"> </w:t>
      </w:r>
      <w:r w:rsidR="003421A2" w:rsidRPr="00BC01B7">
        <w:rPr>
          <w:rFonts w:asciiTheme="minorHAnsi" w:hAnsiTheme="minorHAnsi"/>
          <w:sz w:val="24"/>
          <w:szCs w:val="24"/>
        </w:rPr>
        <w:t xml:space="preserve">the </w:t>
      </w:r>
      <w:r w:rsidR="00BC01B7">
        <w:rPr>
          <w:rFonts w:asciiTheme="minorHAnsi" w:hAnsiTheme="minorHAnsi"/>
          <w:sz w:val="24"/>
          <w:szCs w:val="24"/>
        </w:rPr>
        <w:t>very</w:t>
      </w:r>
      <w:r w:rsidR="003421A2" w:rsidRPr="00BC01B7">
        <w:rPr>
          <w:rFonts w:asciiTheme="minorHAnsi" w:hAnsiTheme="minorHAnsi"/>
          <w:sz w:val="24"/>
          <w:szCs w:val="24"/>
        </w:rPr>
        <w:t xml:space="preserve"> </w:t>
      </w:r>
      <w:r w:rsidR="00BC01B7">
        <w:rPr>
          <w:rFonts w:asciiTheme="minorHAnsi" w:hAnsiTheme="minorHAnsi"/>
          <w:sz w:val="24"/>
          <w:szCs w:val="24"/>
        </w:rPr>
        <w:t xml:space="preserve">ecological and economic </w:t>
      </w:r>
      <w:r w:rsidR="003421A2" w:rsidRPr="00BC01B7">
        <w:rPr>
          <w:rFonts w:asciiTheme="minorHAnsi" w:hAnsiTheme="minorHAnsi"/>
          <w:sz w:val="24"/>
          <w:szCs w:val="24"/>
        </w:rPr>
        <w:t>problems that Transition seeks to address</w:t>
      </w:r>
      <w:r w:rsidR="007402F6" w:rsidRPr="00BC01B7">
        <w:rPr>
          <w:rFonts w:asciiTheme="minorHAnsi" w:hAnsiTheme="minorHAnsi"/>
          <w:sz w:val="24"/>
          <w:szCs w:val="24"/>
        </w:rPr>
        <w:t>?</w:t>
      </w:r>
      <w:r w:rsidR="009B62D2" w:rsidRPr="00BC01B7">
        <w:rPr>
          <w:rFonts w:asciiTheme="minorHAnsi" w:hAnsiTheme="minorHAnsi"/>
          <w:sz w:val="24"/>
          <w:szCs w:val="24"/>
        </w:rPr>
        <w:t xml:space="preserve"> </w:t>
      </w:r>
      <w:r w:rsidR="00BC01B7">
        <w:rPr>
          <w:rFonts w:asciiTheme="minorHAnsi" w:hAnsiTheme="minorHAnsi"/>
          <w:sz w:val="24"/>
          <w:szCs w:val="24"/>
        </w:rPr>
        <w:t xml:space="preserve"> </w:t>
      </w:r>
      <w:r w:rsidR="00BC01B7" w:rsidRPr="00BC01B7">
        <w:rPr>
          <w:rFonts w:asciiTheme="minorHAnsi" w:hAnsiTheme="minorHAnsi"/>
          <w:sz w:val="24"/>
          <w:szCs w:val="24"/>
        </w:rPr>
        <w:t xml:space="preserve">These </w:t>
      </w:r>
      <w:r w:rsidR="00BC01B7">
        <w:rPr>
          <w:rFonts w:asciiTheme="minorHAnsi" w:hAnsiTheme="minorHAnsi"/>
          <w:sz w:val="24"/>
          <w:szCs w:val="24"/>
        </w:rPr>
        <w:t>problems,</w:t>
      </w:r>
      <w:r w:rsidR="00BC01B7" w:rsidRPr="00BC01B7">
        <w:rPr>
          <w:rFonts w:asciiTheme="minorHAnsi" w:hAnsiTheme="minorHAnsi"/>
          <w:sz w:val="24"/>
          <w:szCs w:val="24"/>
        </w:rPr>
        <w:t xml:space="preserve"> Paul Chatterton and Alice Cutler point out, “occur through active government policies, which try to maintain the economic and political, ‘business as usual’ scenarios. Unfortunately, left unchallenged they could also wipe out the best efforts at local sustainability, like a tsunami in front of a sand castle.”</w:t>
      </w:r>
      <w:r w:rsidR="00BC01B7" w:rsidRPr="00BC01B7">
        <w:rPr>
          <w:rStyle w:val="EndnoteReference"/>
          <w:rFonts w:asciiTheme="minorHAnsi" w:hAnsiTheme="minorHAnsi"/>
          <w:sz w:val="24"/>
          <w:szCs w:val="24"/>
        </w:rPr>
        <w:endnoteReference w:id="121"/>
      </w:r>
    </w:p>
    <w:p w14:paraId="6001D921" w14:textId="3FBC9E4D" w:rsidR="00B16802" w:rsidRPr="004D1ADA" w:rsidRDefault="007D7619" w:rsidP="007402F6">
      <w:pPr>
        <w:pStyle w:val="NormalWeb"/>
        <w:spacing w:before="0" w:beforeAutospacing="0" w:after="0" w:afterAutospacing="0" w:line="480" w:lineRule="auto"/>
        <w:ind w:firstLine="720"/>
        <w:rPr>
          <w:rFonts w:asciiTheme="minorHAnsi" w:hAnsiTheme="minorHAnsi"/>
          <w:sz w:val="24"/>
          <w:szCs w:val="24"/>
        </w:rPr>
      </w:pPr>
      <w:r w:rsidRPr="004D1ADA">
        <w:rPr>
          <w:rFonts w:asciiTheme="minorHAnsi" w:hAnsiTheme="minorHAnsi"/>
          <w:iCs/>
          <w:sz w:val="24"/>
          <w:szCs w:val="24"/>
        </w:rPr>
        <w:t xml:space="preserve">Transition’s emphasis on positive visioning involves a rejection of confrontational politics, for fear that this will alienate members of the community.  The idea instead is to build an alternative set of institutions that will be the foundation of a new political structure as society transitions out of its current </w:t>
      </w:r>
      <w:r w:rsidR="00BC01B7">
        <w:rPr>
          <w:rFonts w:asciiTheme="minorHAnsi" w:hAnsiTheme="minorHAnsi"/>
          <w:iCs/>
          <w:sz w:val="24"/>
          <w:szCs w:val="24"/>
        </w:rPr>
        <w:t xml:space="preserve">political, economic, and </w:t>
      </w:r>
      <w:r w:rsidRPr="004D1ADA">
        <w:rPr>
          <w:rFonts w:asciiTheme="minorHAnsi" w:hAnsiTheme="minorHAnsi"/>
          <w:iCs/>
          <w:sz w:val="24"/>
          <w:szCs w:val="24"/>
        </w:rPr>
        <w:t xml:space="preserve">ideological framework.  </w:t>
      </w:r>
      <w:r w:rsidR="008D67D1" w:rsidRPr="004D1ADA">
        <w:rPr>
          <w:rFonts w:asciiTheme="minorHAnsi" w:hAnsiTheme="minorHAnsi"/>
          <w:iCs/>
          <w:sz w:val="24"/>
          <w:szCs w:val="24"/>
        </w:rPr>
        <w:t>In a blog post, Hopkins argues</w:t>
      </w:r>
      <w:r w:rsidR="001C4B72" w:rsidRPr="004D1ADA">
        <w:rPr>
          <w:rFonts w:asciiTheme="minorHAnsi" w:hAnsiTheme="minorHAnsi"/>
          <w:iCs/>
          <w:sz w:val="24"/>
          <w:szCs w:val="24"/>
        </w:rPr>
        <w:t xml:space="preserve"> as follows:</w:t>
      </w:r>
    </w:p>
    <w:p w14:paraId="5D6263EA" w14:textId="7D621EBC" w:rsidR="001C4B72" w:rsidRPr="008D67D1" w:rsidRDefault="001C4B72" w:rsidP="008D67D1">
      <w:pPr>
        <w:pStyle w:val="NormalWeb"/>
        <w:spacing w:before="0" w:beforeAutospacing="0" w:after="0" w:afterAutospacing="0"/>
        <w:ind w:left="720"/>
        <w:rPr>
          <w:rFonts w:asciiTheme="minorHAnsi" w:hAnsiTheme="minorHAnsi"/>
          <w:sz w:val="24"/>
          <w:szCs w:val="24"/>
        </w:rPr>
      </w:pPr>
      <w:r w:rsidRPr="008D67D1">
        <w:rPr>
          <w:rFonts w:asciiTheme="minorHAnsi" w:hAnsiTheme="minorHAnsi"/>
          <w:sz w:val="24"/>
          <w:szCs w:val="24"/>
        </w:rPr>
        <w:t>If I decided to run for election as a Transition Town candidate, alongside my great Transition-related policies, I would need to have policies on abortion, healthcare, education, defence, international trade, etc</w:t>
      </w:r>
      <w:r w:rsidR="00431E86">
        <w:rPr>
          <w:rFonts w:asciiTheme="minorHAnsi" w:hAnsiTheme="minorHAnsi"/>
          <w:sz w:val="24"/>
          <w:szCs w:val="24"/>
        </w:rPr>
        <w:t>.</w:t>
      </w:r>
      <w:r w:rsidRPr="008D67D1">
        <w:rPr>
          <w:rFonts w:asciiTheme="minorHAnsi" w:hAnsiTheme="minorHAnsi"/>
          <w:sz w:val="24"/>
          <w:szCs w:val="24"/>
        </w:rPr>
        <w:t xml:space="preserve"> etc.  Every time I state a policy on one of those issues, I increasingly place myself somewhere on the left/right, pro/anti-growth, pro/anti-capitalism spectrum.  As soon as I do that, I lose all the people who don't also inhabit that place.  What works at the national political level becomes profoundly unskilful at the local level.</w:t>
      </w:r>
    </w:p>
    <w:p w14:paraId="65C951BB" w14:textId="77777777" w:rsidR="00E830BC" w:rsidRDefault="00E830BC" w:rsidP="00E830BC">
      <w:pPr>
        <w:ind w:left="720" w:firstLine="720"/>
        <w:rPr>
          <w:rFonts w:cs="Times New Roman"/>
        </w:rPr>
      </w:pPr>
    </w:p>
    <w:p w14:paraId="229FF076" w14:textId="77777777" w:rsidR="001C4B72" w:rsidRDefault="001C4B72" w:rsidP="00E830BC">
      <w:pPr>
        <w:ind w:left="720"/>
        <w:rPr>
          <w:rFonts w:cs="Times New Roman"/>
        </w:rPr>
      </w:pPr>
      <w:r w:rsidRPr="001C4B72">
        <w:rPr>
          <w:rFonts w:cs="Times New Roman"/>
        </w:rPr>
        <w:t>Working through a Transition initiative, that lack of an explicit political positioning is one of our key strengths.  It enables you to build the kind of diverse, cross-political groups that building more resilient communities requires.  It enables the creation of projects on a meaningful scale, but unfettered by party politics and wider issues.  It’s the ‘power to convene’ that Transition is so good at, which is virtually impossible to do in a truly inclusive way if you are seen as being politically aligned.</w:t>
      </w:r>
    </w:p>
    <w:p w14:paraId="77514DF8" w14:textId="77777777" w:rsidR="00E830BC" w:rsidRPr="001C4B72" w:rsidRDefault="00E830BC" w:rsidP="00E830BC">
      <w:pPr>
        <w:ind w:left="720"/>
        <w:rPr>
          <w:rFonts w:cs="Times New Roman"/>
        </w:rPr>
      </w:pPr>
    </w:p>
    <w:p w14:paraId="4FEAFF4A" w14:textId="72BB2E73" w:rsidR="008D67D1" w:rsidRDefault="001C4B72" w:rsidP="008D67D1">
      <w:pPr>
        <w:pStyle w:val="NormalWeb"/>
        <w:spacing w:before="0" w:beforeAutospacing="0" w:after="0" w:afterAutospacing="0"/>
        <w:rPr>
          <w:rFonts w:asciiTheme="minorHAnsi" w:hAnsiTheme="minorHAnsi"/>
          <w:iCs/>
          <w:sz w:val="24"/>
          <w:szCs w:val="24"/>
        </w:rPr>
      </w:pPr>
      <w:r w:rsidRPr="008D67D1">
        <w:rPr>
          <w:rFonts w:asciiTheme="minorHAnsi" w:hAnsiTheme="minorHAnsi"/>
          <w:iCs/>
          <w:sz w:val="24"/>
          <w:szCs w:val="24"/>
        </w:rPr>
        <w:t xml:space="preserve">He raises doubts about </w:t>
      </w:r>
      <w:r w:rsidR="00E830BC">
        <w:rPr>
          <w:rFonts w:asciiTheme="minorHAnsi" w:hAnsiTheme="minorHAnsi"/>
          <w:iCs/>
          <w:sz w:val="24"/>
          <w:szCs w:val="24"/>
        </w:rPr>
        <w:t>direct protest</w:t>
      </w:r>
      <w:r w:rsidR="008D67D1" w:rsidRPr="008D67D1">
        <w:rPr>
          <w:rFonts w:asciiTheme="minorHAnsi" w:hAnsiTheme="minorHAnsi"/>
          <w:iCs/>
          <w:sz w:val="24"/>
          <w:szCs w:val="24"/>
        </w:rPr>
        <w:t xml:space="preserve"> over issues like fracking</w:t>
      </w:r>
      <w:r w:rsidRPr="008D67D1">
        <w:rPr>
          <w:rFonts w:asciiTheme="minorHAnsi" w:hAnsiTheme="minorHAnsi"/>
          <w:iCs/>
          <w:sz w:val="24"/>
          <w:szCs w:val="24"/>
        </w:rPr>
        <w:t xml:space="preserve">: </w:t>
      </w:r>
    </w:p>
    <w:p w14:paraId="05291789" w14:textId="77777777" w:rsidR="00E830BC" w:rsidRPr="008D67D1" w:rsidRDefault="00E830BC" w:rsidP="008D67D1">
      <w:pPr>
        <w:pStyle w:val="NormalWeb"/>
        <w:spacing w:before="0" w:beforeAutospacing="0" w:after="0" w:afterAutospacing="0"/>
        <w:rPr>
          <w:rFonts w:asciiTheme="minorHAnsi" w:hAnsiTheme="minorHAnsi"/>
          <w:iCs/>
          <w:sz w:val="24"/>
          <w:szCs w:val="24"/>
        </w:rPr>
      </w:pPr>
    </w:p>
    <w:p w14:paraId="7197AB60" w14:textId="384204DD" w:rsidR="001C4B72" w:rsidRPr="008D67D1" w:rsidRDefault="001C4B72" w:rsidP="008D67D1">
      <w:pPr>
        <w:pStyle w:val="NormalWeb"/>
        <w:spacing w:before="0" w:beforeAutospacing="0" w:after="0" w:afterAutospacing="0"/>
        <w:ind w:left="720"/>
        <w:rPr>
          <w:rFonts w:asciiTheme="minorHAnsi" w:hAnsiTheme="minorHAnsi"/>
          <w:sz w:val="24"/>
          <w:szCs w:val="24"/>
        </w:rPr>
      </w:pPr>
      <w:r w:rsidRPr="008D67D1">
        <w:rPr>
          <w:rFonts w:asciiTheme="minorHAnsi" w:hAnsiTheme="minorHAnsi"/>
          <w:sz w:val="24"/>
          <w:szCs w:val="24"/>
        </w:rPr>
        <w:t>But the question then arises as to whether, when the Queen’s Speech gives, among other things, fracking companies the powers to frack under your home without your permission, your best option is to get your neighbours together to reduce your energy use and start a community energy company</w:t>
      </w:r>
      <w:r w:rsidR="00431E86">
        <w:rPr>
          <w:rFonts w:asciiTheme="minorHAnsi" w:hAnsiTheme="minorHAnsi"/>
          <w:sz w:val="24"/>
          <w:szCs w:val="24"/>
        </w:rPr>
        <w:t xml:space="preserve"> </w:t>
      </w:r>
      <w:r w:rsidRPr="008D67D1">
        <w:rPr>
          <w:rFonts w:asciiTheme="minorHAnsi" w:hAnsiTheme="minorHAnsi"/>
          <w:sz w:val="24"/>
          <w:szCs w:val="24"/>
        </w:rPr>
        <w:t>..., or to lobby and protest?  And which, ultimately, is more ‘political’?</w:t>
      </w:r>
      <w:r w:rsidR="008D67D1" w:rsidRPr="008D67D1">
        <w:rPr>
          <w:rStyle w:val="EndnoteReference"/>
          <w:rFonts w:asciiTheme="minorHAnsi" w:hAnsiTheme="minorHAnsi"/>
          <w:sz w:val="24"/>
          <w:szCs w:val="24"/>
        </w:rPr>
        <w:endnoteReference w:id="122"/>
      </w:r>
    </w:p>
    <w:p w14:paraId="52B2A9B3" w14:textId="77777777" w:rsidR="008D67D1" w:rsidRPr="008D67D1" w:rsidRDefault="008D67D1" w:rsidP="008D67D1">
      <w:pPr>
        <w:pStyle w:val="NormalWeb"/>
        <w:spacing w:before="0" w:beforeAutospacing="0" w:after="0" w:afterAutospacing="0"/>
        <w:rPr>
          <w:rFonts w:asciiTheme="minorHAnsi" w:hAnsiTheme="minorHAnsi"/>
          <w:sz w:val="24"/>
          <w:szCs w:val="24"/>
        </w:rPr>
      </w:pPr>
    </w:p>
    <w:p w14:paraId="1F4A87DC" w14:textId="2648344D" w:rsidR="00F44F4A" w:rsidRPr="00E249DF" w:rsidRDefault="008E15C6" w:rsidP="008E15C6">
      <w:pPr>
        <w:pStyle w:val="Default"/>
        <w:spacing w:before="240" w:after="240" w:line="480" w:lineRule="auto"/>
        <w:rPr>
          <w:rFonts w:asciiTheme="minorHAnsi" w:hAnsiTheme="minorHAnsi"/>
        </w:rPr>
      </w:pPr>
      <w:r w:rsidRPr="00E249DF">
        <w:rPr>
          <w:rFonts w:asciiTheme="minorHAnsi" w:hAnsiTheme="minorHAnsi"/>
        </w:rPr>
        <w:t>Yet, this stance, which Hopkins refuses to call apolitical, may amount to, in the words of Esther Alloun and Samuel Alexander, “set[ting] out to ignore capitalism to death by building the new economy within the shell of the old.”</w:t>
      </w:r>
      <w:r w:rsidRPr="00E249DF">
        <w:rPr>
          <w:rStyle w:val="EndnoteReference"/>
          <w:rFonts w:asciiTheme="minorHAnsi" w:hAnsiTheme="minorHAnsi"/>
        </w:rPr>
        <w:endnoteReference w:id="123"/>
      </w:r>
      <w:r w:rsidRPr="00E249DF">
        <w:rPr>
          <w:rFonts w:asciiTheme="minorHAnsi" w:hAnsiTheme="minorHAnsi"/>
        </w:rPr>
        <w:t xml:space="preserve"> Chatterton and Cutler note that </w:t>
      </w:r>
      <w:r w:rsidR="007519B3" w:rsidRPr="00E249DF">
        <w:rPr>
          <w:rFonts w:asciiTheme="minorHAnsi" w:hAnsiTheme="minorHAnsi"/>
        </w:rPr>
        <w:t xml:space="preserve">the economic and political structures associated with capitalism, including the firms profiting from burning carbon and from other forms of environmental destruction, will not simply fold as Transition efforts proliferate but will fight back to maintain their position: “It </w:t>
      </w:r>
      <w:r w:rsidR="007519B3" w:rsidRPr="00E249DF">
        <w:rPr>
          <w:rFonts w:asciiTheme="minorHAnsi" w:hAnsiTheme="minorHAnsi" w:cs="Times New Roman"/>
        </w:rPr>
        <w:t>seems naïve to assume that companies such as Shell and Stat Oil, BP or Esso will easily give up and go home or fundamentally change what they do while it is still so enormously profitable.</w:t>
      </w:r>
      <w:r w:rsidR="00AC035B" w:rsidRPr="00E249DF">
        <w:rPr>
          <w:rStyle w:val="EndnoteReference"/>
          <w:rFonts w:asciiTheme="minorHAnsi" w:hAnsiTheme="minorHAnsi"/>
        </w:rPr>
        <w:t>”</w:t>
      </w:r>
      <w:r w:rsidR="00AC035B" w:rsidRPr="00E249DF">
        <w:rPr>
          <w:rStyle w:val="EndnoteReference"/>
          <w:rFonts w:asciiTheme="minorHAnsi" w:hAnsiTheme="minorHAnsi"/>
        </w:rPr>
        <w:endnoteReference w:id="124"/>
      </w:r>
      <w:r w:rsidR="007519B3" w:rsidRPr="00E249DF">
        <w:rPr>
          <w:rFonts w:asciiTheme="minorHAnsi" w:hAnsiTheme="minorHAnsi" w:cs="Times New Roman"/>
        </w:rPr>
        <w:t xml:space="preserve"> </w:t>
      </w:r>
      <w:r w:rsidR="00AC035B" w:rsidRPr="00E249DF">
        <w:rPr>
          <w:rFonts w:asciiTheme="minorHAnsi" w:hAnsiTheme="minorHAnsi" w:cs="Times New Roman"/>
        </w:rPr>
        <w:t xml:space="preserve"> </w:t>
      </w:r>
      <w:r w:rsidR="007519B3" w:rsidRPr="00E249DF">
        <w:rPr>
          <w:rFonts w:asciiTheme="minorHAnsi" w:hAnsiTheme="minorHAnsi"/>
        </w:rPr>
        <w:t xml:space="preserve">A true transition, they argue, has to operate not only and perhaps not even primarily at a local level, but at </w:t>
      </w:r>
      <w:r w:rsidR="00AC035B" w:rsidRPr="00E249DF">
        <w:rPr>
          <w:rFonts w:asciiTheme="minorHAnsi" w:hAnsiTheme="minorHAnsi"/>
        </w:rPr>
        <w:t>the larger systemic level of global carbon emissions and global capitalism:</w:t>
      </w:r>
    </w:p>
    <w:p w14:paraId="25195113" w14:textId="1F97B6A0" w:rsidR="00AC035B" w:rsidRPr="00AC035B" w:rsidRDefault="00AC035B" w:rsidP="00E249DF">
      <w:pPr>
        <w:pStyle w:val="Default"/>
        <w:ind w:left="720"/>
        <w:rPr>
          <w:rFonts w:asciiTheme="minorHAnsi" w:hAnsiTheme="minorHAnsi"/>
        </w:rPr>
      </w:pPr>
      <w:r w:rsidRPr="00AC035B">
        <w:rPr>
          <w:rFonts w:asciiTheme="minorHAnsi" w:hAnsiTheme="minorHAnsi" w:cs="Times New Roman"/>
        </w:rPr>
        <w:t>It is useful here to clarify between two very different types of changes. There are possible environmental improvements in a place (recycling or reducing pollution in a local river for example) and environmental improvements to a system (stabilising carbon in the global atmosphere for example). The crucial point is that no causal relationship can be assumed between the two types of change. For example making environmental improvements in our communities does not necessarily make improvements of the second type, like protecting global ecosystems. For this we need very different kinds of changes such as institutional reorganisation, curbing corporate power and drastically shifting the way the economy and consumer society works. These involve confronting all sorts of vested interests and wealthy elites and it is here that we have to be realistic about what kinds of changes we can achieve without some kind of overarching societal change.</w:t>
      </w:r>
      <w:r>
        <w:rPr>
          <w:rStyle w:val="EndnoteReference"/>
          <w:rFonts w:asciiTheme="minorHAnsi" w:hAnsiTheme="minorHAnsi"/>
        </w:rPr>
        <w:endnoteReference w:id="125"/>
      </w:r>
    </w:p>
    <w:p w14:paraId="15DB4EEA" w14:textId="77777777" w:rsidR="009F1BC5" w:rsidRPr="00C54090" w:rsidRDefault="009F1BC5" w:rsidP="008D67D1"/>
    <w:p w14:paraId="3B3DF681" w14:textId="43FCC240" w:rsidR="0032780B" w:rsidRDefault="00A14EDF" w:rsidP="00C66E4D">
      <w:pPr>
        <w:widowControl w:val="0"/>
        <w:autoSpaceDE w:val="0"/>
        <w:autoSpaceDN w:val="0"/>
        <w:adjustRightInd w:val="0"/>
        <w:spacing w:line="480" w:lineRule="auto"/>
        <w:rPr>
          <w:rFonts w:cs="Times New Roman"/>
        </w:rPr>
      </w:pPr>
      <w:r>
        <w:rPr>
          <w:rFonts w:cs="Times New Roman"/>
        </w:rPr>
        <w:t xml:space="preserve">Just </w:t>
      </w:r>
      <w:r w:rsidR="00FD5D81">
        <w:rPr>
          <w:rFonts w:cs="Times New Roman"/>
        </w:rPr>
        <w:t xml:space="preserve">as </w:t>
      </w:r>
      <w:r>
        <w:rPr>
          <w:rFonts w:cs="Times New Roman"/>
        </w:rPr>
        <w:t xml:space="preserve">Hopkins argues that national policies cannot </w:t>
      </w:r>
      <w:r w:rsidR="003E2A81">
        <w:rPr>
          <w:rFonts w:cs="Times New Roman"/>
        </w:rPr>
        <w:t xml:space="preserve">succeed without change on the ground, </w:t>
      </w:r>
      <w:r w:rsidR="00C66E4D">
        <w:rPr>
          <w:rFonts w:cs="Times New Roman"/>
        </w:rPr>
        <w:t xml:space="preserve">Transition cannot leave the </w:t>
      </w:r>
      <w:r w:rsidR="003E2A81">
        <w:rPr>
          <w:rFonts w:cs="Times New Roman"/>
        </w:rPr>
        <w:t xml:space="preserve">systemic, national- or global-level policies </w:t>
      </w:r>
      <w:r w:rsidR="00FD5D81">
        <w:rPr>
          <w:rFonts w:cs="Times New Roman"/>
        </w:rPr>
        <w:t xml:space="preserve">and structures of domination </w:t>
      </w:r>
      <w:r w:rsidR="003E2A81">
        <w:rPr>
          <w:rFonts w:cs="Times New Roman"/>
        </w:rPr>
        <w:t xml:space="preserve">to merely take care of themselves while </w:t>
      </w:r>
      <w:r w:rsidR="004A347D">
        <w:rPr>
          <w:rFonts w:cs="Times New Roman"/>
        </w:rPr>
        <w:t>activists</w:t>
      </w:r>
      <w:r w:rsidR="003E2A81">
        <w:rPr>
          <w:rFonts w:cs="Times New Roman"/>
        </w:rPr>
        <w:t xml:space="preserve"> focus on local, in-place policies.  In fact, a genuine commitment to subsidiarity</w:t>
      </w:r>
      <w:r w:rsidR="003B4ADD">
        <w:rPr>
          <w:rFonts w:cs="Times New Roman"/>
        </w:rPr>
        <w:t>, non-domination, and sustainability</w:t>
      </w:r>
      <w:r w:rsidR="003E2A81">
        <w:rPr>
          <w:rFonts w:cs="Times New Roman"/>
        </w:rPr>
        <w:t xml:space="preserve"> would more fully require the importance and interdependence of multiple levels of government rather than putting excessive focus on the local.</w:t>
      </w:r>
    </w:p>
    <w:p w14:paraId="288CE9FD" w14:textId="77777777" w:rsidR="003E2A81" w:rsidRDefault="003E2A81" w:rsidP="00C66E4D">
      <w:pPr>
        <w:widowControl w:val="0"/>
        <w:autoSpaceDE w:val="0"/>
        <w:autoSpaceDN w:val="0"/>
        <w:adjustRightInd w:val="0"/>
        <w:spacing w:line="480" w:lineRule="auto"/>
        <w:rPr>
          <w:rFonts w:cs="Times New Roman"/>
        </w:rPr>
      </w:pPr>
    </w:p>
    <w:p w14:paraId="40F9478E" w14:textId="0F644E10" w:rsidR="003E2A81" w:rsidRPr="003E2A81" w:rsidRDefault="003E2A81" w:rsidP="00C66E4D">
      <w:pPr>
        <w:widowControl w:val="0"/>
        <w:autoSpaceDE w:val="0"/>
        <w:autoSpaceDN w:val="0"/>
        <w:adjustRightInd w:val="0"/>
        <w:spacing w:line="480" w:lineRule="auto"/>
        <w:rPr>
          <w:rFonts w:cs="Times New Roman"/>
          <w:b/>
        </w:rPr>
      </w:pPr>
      <w:r w:rsidRPr="003E2A81">
        <w:rPr>
          <w:rFonts w:cs="Times New Roman"/>
          <w:b/>
        </w:rPr>
        <w:t>Conclusion</w:t>
      </w:r>
    </w:p>
    <w:p w14:paraId="363AF8B7" w14:textId="001B6660" w:rsidR="003E2A81" w:rsidRDefault="00ED187D" w:rsidP="003E2A81">
      <w:pPr>
        <w:widowControl w:val="0"/>
        <w:autoSpaceDE w:val="0"/>
        <w:autoSpaceDN w:val="0"/>
        <w:adjustRightInd w:val="0"/>
        <w:spacing w:line="480" w:lineRule="auto"/>
        <w:ind w:firstLine="720"/>
        <w:rPr>
          <w:rFonts w:cs="Times New Roman"/>
        </w:rPr>
      </w:pPr>
      <w:r>
        <w:rPr>
          <w:rFonts w:cs="Times New Roman"/>
        </w:rPr>
        <w:t xml:space="preserve">Barry says that he offers “a somewhat uncritical account of Transition” in order to highlight its promising contributions to a green, republican politics.  He acknowledges, “I do not think </w:t>
      </w:r>
      <w:r w:rsidR="009B1292">
        <w:rPr>
          <w:rFonts w:cs="Times New Roman"/>
        </w:rPr>
        <w:t>it [i.e. Transition] is a panacea for addressing actually existing unsustainability.  However, nor do the main proponents of the Transition movement perspective.”</w:t>
      </w:r>
      <w:r w:rsidR="009B1292">
        <w:rPr>
          <w:rStyle w:val="EndnoteReference"/>
          <w:rFonts w:cs="Times New Roman"/>
        </w:rPr>
        <w:endnoteReference w:id="126"/>
      </w:r>
      <w:r>
        <w:rPr>
          <w:rFonts w:cs="Times New Roman"/>
        </w:rPr>
        <w:t xml:space="preserve"> </w:t>
      </w:r>
      <w:r w:rsidR="00787198">
        <w:rPr>
          <w:rFonts w:cs="Times New Roman"/>
        </w:rPr>
        <w:t xml:space="preserve"> </w:t>
      </w:r>
      <w:r w:rsidR="00807FDB">
        <w:rPr>
          <w:rFonts w:cs="Times New Roman"/>
        </w:rPr>
        <w:t>And, for my part, I do not want to dismiss the contributions of the Transition movement</w:t>
      </w:r>
      <w:r w:rsidR="00585387">
        <w:rPr>
          <w:rFonts w:cs="Times New Roman"/>
        </w:rPr>
        <w:t xml:space="preserve"> (especially as I have been trying to organize a Transition effort in my own city!)</w:t>
      </w:r>
      <w:r w:rsidR="00C27AC5">
        <w:rPr>
          <w:rFonts w:cs="Times New Roman"/>
        </w:rPr>
        <w:t xml:space="preserve">.  </w:t>
      </w:r>
      <w:r w:rsidR="002E7B98">
        <w:rPr>
          <w:rFonts w:cs="Times New Roman"/>
        </w:rPr>
        <w:t>P</w:t>
      </w:r>
      <w:r w:rsidR="00787198">
        <w:rPr>
          <w:rFonts w:cs="Times New Roman"/>
        </w:rPr>
        <w:t xml:space="preserve">ublic political discourse about climate change is heavily focused on larger political scales, including global – e.g. the Paris Agreement; supranational – e.g. the European Union’s emissions trading system; national – e.g. U.S. President Barack Obama’s Clean Power Plan; </w:t>
      </w:r>
      <w:r w:rsidR="002E7B98">
        <w:rPr>
          <w:rFonts w:cs="Times New Roman"/>
        </w:rPr>
        <w:t xml:space="preserve">or </w:t>
      </w:r>
      <w:r w:rsidR="00787198">
        <w:rPr>
          <w:rFonts w:cs="Times New Roman"/>
        </w:rPr>
        <w:t>state – e.g. California’s ambitious carbon emissions policies</w:t>
      </w:r>
      <w:r w:rsidR="002E7B98">
        <w:rPr>
          <w:rFonts w:cs="Times New Roman"/>
        </w:rPr>
        <w:t>.  Yet</w:t>
      </w:r>
      <w:r w:rsidR="00C56301">
        <w:rPr>
          <w:rFonts w:cs="Times New Roman"/>
        </w:rPr>
        <w:t xml:space="preserve"> </w:t>
      </w:r>
      <w:r w:rsidR="00807FDB">
        <w:rPr>
          <w:rFonts w:cs="Times New Roman"/>
        </w:rPr>
        <w:t xml:space="preserve">an enormous amount can happen at the </w:t>
      </w:r>
      <w:r w:rsidR="002E7B98">
        <w:rPr>
          <w:rFonts w:cs="Times New Roman"/>
        </w:rPr>
        <w:t xml:space="preserve">local level, and not just municipalities, but also neighborhoods and streets.  A truly green and truly republican politics needs to simultaneously tackle challenges at all levels.  </w:t>
      </w:r>
      <w:r w:rsidR="002B2DC2">
        <w:rPr>
          <w:rFonts w:cs="Times New Roman"/>
        </w:rPr>
        <w:t>Political action at</w:t>
      </w:r>
      <w:r w:rsidR="002E7B98">
        <w:rPr>
          <w:rFonts w:cs="Times New Roman"/>
        </w:rPr>
        <w:t xml:space="preserve"> larger scales</w:t>
      </w:r>
      <w:r w:rsidR="002B2DC2">
        <w:rPr>
          <w:rFonts w:cs="Times New Roman"/>
        </w:rPr>
        <w:t xml:space="preserve"> needs to</w:t>
      </w:r>
      <w:r w:rsidR="00705A4F">
        <w:rPr>
          <w:rFonts w:cs="Times New Roman"/>
        </w:rPr>
        <w:t>: 1)</w:t>
      </w:r>
      <w:r w:rsidR="002B2DC2">
        <w:rPr>
          <w:rFonts w:cs="Times New Roman"/>
        </w:rPr>
        <w:t xml:space="preserve"> address</w:t>
      </w:r>
      <w:r w:rsidR="002E7B98">
        <w:rPr>
          <w:rFonts w:cs="Times New Roman"/>
        </w:rPr>
        <w:t xml:space="preserve"> </w:t>
      </w:r>
      <w:r w:rsidR="002B2DC2">
        <w:rPr>
          <w:rFonts w:cs="Times New Roman"/>
        </w:rPr>
        <w:t xml:space="preserve">neoliberal power structures and policies in order to </w:t>
      </w:r>
      <w:r w:rsidR="00705A4F">
        <w:rPr>
          <w:rFonts w:cs="Times New Roman"/>
        </w:rPr>
        <w:t>pursue</w:t>
      </w:r>
      <w:r w:rsidR="002B2DC2">
        <w:rPr>
          <w:rFonts w:cs="Times New Roman"/>
        </w:rPr>
        <w:t xml:space="preserve"> republican non-domination and </w:t>
      </w:r>
      <w:r w:rsidR="00705A4F">
        <w:rPr>
          <w:rFonts w:cs="Times New Roman"/>
        </w:rPr>
        <w:t xml:space="preserve">2) </w:t>
      </w:r>
      <w:r w:rsidR="002B2DC2">
        <w:rPr>
          <w:rFonts w:cs="Times New Roman"/>
        </w:rPr>
        <w:t xml:space="preserve">establish ambitious emissions reduction targets and </w:t>
      </w:r>
      <w:r w:rsidR="00705A4F">
        <w:rPr>
          <w:rFonts w:cs="Times New Roman"/>
        </w:rPr>
        <w:t>climate justice policies so that we may</w:t>
      </w:r>
      <w:r w:rsidR="002B2DC2">
        <w:rPr>
          <w:rFonts w:cs="Times New Roman"/>
        </w:rPr>
        <w:t xml:space="preserve"> secure </w:t>
      </w:r>
      <w:r w:rsidR="00705A4F">
        <w:rPr>
          <w:rFonts w:cs="Times New Roman"/>
        </w:rPr>
        <w:t xml:space="preserve">whatever </w:t>
      </w:r>
      <w:r w:rsidR="002B2DC2">
        <w:rPr>
          <w:rFonts w:cs="Times New Roman"/>
        </w:rPr>
        <w:t xml:space="preserve">climate stability </w:t>
      </w:r>
      <w:r w:rsidR="00705A4F">
        <w:rPr>
          <w:rFonts w:cs="Times New Roman"/>
        </w:rPr>
        <w:t>– i.e. a ‘safe operating space’ – we still can and enable all communities to adapt to whatever climate change we can no longer prevent</w:t>
      </w:r>
      <w:r w:rsidR="002B2DC2">
        <w:rPr>
          <w:rFonts w:cs="Times New Roman"/>
        </w:rPr>
        <w:t xml:space="preserve">.  However, the </w:t>
      </w:r>
      <w:r w:rsidR="00705A4F">
        <w:rPr>
          <w:rFonts w:cs="Times New Roman"/>
        </w:rPr>
        <w:t xml:space="preserve">larger, systemic level is appropriate for setting overall targets and political frameworks.  To </w:t>
      </w:r>
      <w:r w:rsidR="00585387">
        <w:rPr>
          <w:rFonts w:cs="Times New Roman"/>
        </w:rPr>
        <w:t>fully secure</w:t>
      </w:r>
      <w:r w:rsidR="00705A4F">
        <w:rPr>
          <w:rFonts w:cs="Times New Roman"/>
        </w:rPr>
        <w:t xml:space="preserve"> republican self-government</w:t>
      </w:r>
      <w:r w:rsidR="00585387">
        <w:rPr>
          <w:rFonts w:cs="Times New Roman"/>
        </w:rPr>
        <w:t>, as well as enhance communitarian values and civic virtue,</w:t>
      </w:r>
      <w:r w:rsidR="00705A4F">
        <w:rPr>
          <w:rFonts w:cs="Times New Roman"/>
        </w:rPr>
        <w:t xml:space="preserve"> and also generate grassroots support for policies that will inevitably involve material sacrifice, especially in the developed world, </w:t>
      </w:r>
      <w:r w:rsidR="00585387">
        <w:rPr>
          <w:rFonts w:cs="Times New Roman"/>
        </w:rPr>
        <w:t xml:space="preserve">a lot of the formulation, implementation, and ‘ownership’ of specific policy needs to take place at the local or even micro – e.g. street – level.  And the right implementation policies will vary from community </w:t>
      </w:r>
      <w:r w:rsidR="00324F6D">
        <w:rPr>
          <w:rFonts w:cs="Times New Roman"/>
        </w:rPr>
        <w:t xml:space="preserve">to community.  The concrete, place-specific </w:t>
      </w:r>
      <w:r w:rsidR="00585387">
        <w:rPr>
          <w:rFonts w:cs="Times New Roman"/>
        </w:rPr>
        <w:t>initiatives</w:t>
      </w:r>
      <w:r w:rsidR="00324F6D">
        <w:rPr>
          <w:rFonts w:cs="Times New Roman"/>
        </w:rPr>
        <w:t xml:space="preserve">, from community gardens to EDAPs, pursued </w:t>
      </w:r>
      <w:r w:rsidR="00585387">
        <w:rPr>
          <w:rFonts w:cs="Times New Roman"/>
        </w:rPr>
        <w:t>by Transition activists</w:t>
      </w:r>
      <w:r w:rsidR="00453B88">
        <w:rPr>
          <w:rFonts w:cs="Times New Roman"/>
        </w:rPr>
        <w:t xml:space="preserve">, </w:t>
      </w:r>
      <w:r w:rsidR="00585387">
        <w:rPr>
          <w:rFonts w:cs="Times New Roman"/>
        </w:rPr>
        <w:t>as well as regional, municipal, and neighborhood policies emerging from complementary movements like Environmental Justice and New Urbanism, offer an essential contribution to the realization of a green, republican politics across a diversity of communities in a carbon-constrained world</w:t>
      </w:r>
      <w:r w:rsidR="002E7B98">
        <w:rPr>
          <w:rFonts w:cs="Times New Roman"/>
        </w:rPr>
        <w:t xml:space="preserve">.  </w:t>
      </w:r>
    </w:p>
    <w:p w14:paraId="29ED16A6" w14:textId="1F067D69" w:rsidR="003E2A81" w:rsidRDefault="003E2A81" w:rsidP="00C66E4D">
      <w:pPr>
        <w:widowControl w:val="0"/>
        <w:autoSpaceDE w:val="0"/>
        <w:autoSpaceDN w:val="0"/>
        <w:adjustRightInd w:val="0"/>
        <w:spacing w:line="480" w:lineRule="auto"/>
        <w:rPr>
          <w:rFonts w:cs="Times New Roman"/>
        </w:rPr>
      </w:pPr>
      <w:r>
        <w:rPr>
          <w:rFonts w:cs="Times New Roman"/>
        </w:rPr>
        <w:tab/>
      </w:r>
    </w:p>
    <w:p w14:paraId="6F515A6A" w14:textId="77777777" w:rsidR="003E2A81" w:rsidRPr="00C54090" w:rsidRDefault="003E2A81" w:rsidP="00C66E4D">
      <w:pPr>
        <w:widowControl w:val="0"/>
        <w:autoSpaceDE w:val="0"/>
        <w:autoSpaceDN w:val="0"/>
        <w:adjustRightInd w:val="0"/>
        <w:spacing w:line="480" w:lineRule="auto"/>
        <w:rPr>
          <w:rFonts w:cs="Times New Roman"/>
        </w:rPr>
      </w:pPr>
    </w:p>
    <w:p w14:paraId="77929319" w14:textId="3649EB79" w:rsidR="004A2BE7" w:rsidRPr="00C54090" w:rsidRDefault="004A2BE7" w:rsidP="00176C22">
      <w:pPr>
        <w:spacing w:line="480" w:lineRule="auto"/>
        <w:ind w:firstLine="720"/>
      </w:pPr>
    </w:p>
    <w:sectPr w:rsidR="004A2BE7" w:rsidRPr="00C54090" w:rsidSect="0019479F">
      <w:headerReference w:type="even" r:id="rId9"/>
      <w:headerReference w:type="default" r:id="rId10"/>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A643E" w14:textId="77777777" w:rsidR="00324F6D" w:rsidRDefault="00324F6D" w:rsidP="005A432C">
      <w:r>
        <w:separator/>
      </w:r>
    </w:p>
  </w:endnote>
  <w:endnote w:type="continuationSeparator" w:id="0">
    <w:p w14:paraId="3FE0B528" w14:textId="77777777" w:rsidR="00324F6D" w:rsidRDefault="00324F6D" w:rsidP="005A432C">
      <w:r>
        <w:continuationSeparator/>
      </w:r>
    </w:p>
  </w:endnote>
  <w:endnote w:id="1">
    <w:p w14:paraId="47E5A6A9" w14:textId="671F8F5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especially, John Barry, </w:t>
      </w:r>
      <w:r w:rsidRPr="002B2DC2">
        <w:rPr>
          <w:i/>
          <w:sz w:val="20"/>
          <w:szCs w:val="20"/>
        </w:rPr>
        <w:t>The</w:t>
      </w:r>
      <w:r w:rsidRPr="002B2DC2">
        <w:rPr>
          <w:sz w:val="20"/>
          <w:szCs w:val="20"/>
        </w:rPr>
        <w:t xml:space="preserve"> </w:t>
      </w:r>
      <w:r w:rsidRPr="002B2DC2">
        <w:rPr>
          <w:i/>
          <w:sz w:val="20"/>
          <w:szCs w:val="20"/>
        </w:rPr>
        <w:t>Politics of Actually Existing Unsustainability: Human Flourishing in a Climate-Changed, Carbon-Constrained World</w:t>
      </w:r>
      <w:r w:rsidRPr="002B2DC2">
        <w:rPr>
          <w:sz w:val="20"/>
          <w:szCs w:val="20"/>
        </w:rPr>
        <w:t xml:space="preserve"> (Oxford: Oxford University Press, 2012), pp. </w:t>
      </w:r>
      <w:r w:rsidRPr="002B2DC2">
        <w:rPr>
          <w:sz w:val="20"/>
          <w:szCs w:val="20"/>
          <w:lang w:val="en-GB"/>
        </w:rPr>
        <w:t>78-116.</w:t>
      </w:r>
    </w:p>
  </w:endnote>
  <w:endnote w:id="2">
    <w:p w14:paraId="6D52C1B3" w14:textId="30D12B25" w:rsidR="00324F6D" w:rsidRPr="002B2DC2" w:rsidRDefault="00324F6D" w:rsidP="00202DD5">
      <w:pPr>
        <w:pStyle w:val="EndnoteText"/>
        <w:spacing w:before="240" w:after="240"/>
        <w:rPr>
          <w:color w:val="FF0000"/>
          <w:sz w:val="20"/>
          <w:szCs w:val="20"/>
        </w:rPr>
      </w:pPr>
      <w:r w:rsidRPr="002B2DC2">
        <w:rPr>
          <w:rStyle w:val="EndnoteReference"/>
          <w:sz w:val="20"/>
          <w:szCs w:val="20"/>
        </w:rPr>
        <w:endnoteRef/>
      </w:r>
      <w:r w:rsidRPr="002B2DC2">
        <w:rPr>
          <w:sz w:val="20"/>
          <w:szCs w:val="20"/>
        </w:rPr>
        <w:t xml:space="preserve"> On civic republicanism, see, for example, Philip Pettit, </w:t>
      </w:r>
      <w:dir w:val="ltr">
        <w:r w:rsidRPr="002B2DC2">
          <w:rPr>
            <w:rFonts w:cs="Arial"/>
            <w:bCs/>
            <w:i/>
            <w:color w:val="262626"/>
            <w:sz w:val="20"/>
            <w:szCs w:val="20"/>
          </w:rPr>
          <w:t>Republicanism</w:t>
        </w:r>
        <w:r w:rsidRPr="002B2DC2">
          <w:rPr>
            <w:rFonts w:cs="Arial"/>
            <w:bCs/>
            <w:i/>
            <w:color w:val="262626"/>
            <w:sz w:val="20"/>
            <w:szCs w:val="20"/>
          </w:rPr>
          <w:t xml:space="preserve">‬: </w:t>
        </w:r>
        <w:dir w:val="ltr">
          <w:r w:rsidRPr="002B2DC2">
            <w:rPr>
              <w:rFonts w:cs="Arial"/>
              <w:i/>
              <w:color w:val="262626"/>
              <w:sz w:val="20"/>
              <w:szCs w:val="20"/>
            </w:rPr>
            <w:t>A Theory of Freedom and Government</w:t>
          </w:r>
          <w:r w:rsidRPr="002B2DC2">
            <w:rPr>
              <w:rFonts w:cs="Arial"/>
              <w:bCs/>
              <w:color w:val="262626"/>
              <w:sz w:val="20"/>
              <w:szCs w:val="20"/>
            </w:rPr>
            <w:t xml:space="preserve">‬ (Oxford: Oxford University Press, 1997); </w:t>
          </w:r>
          <w:r w:rsidRPr="002B2DC2">
            <w:rPr>
              <w:sz w:val="20"/>
              <w:szCs w:val="20"/>
            </w:rPr>
            <w:t xml:space="preserve">Philip Pettit, </w:t>
          </w:r>
          <w:r w:rsidRPr="002B2DC2">
            <w:rPr>
              <w:i/>
              <w:sz w:val="20"/>
              <w:szCs w:val="20"/>
            </w:rPr>
            <w:t>On the People's Terms: A Republican Theory and Model of Democracy</w:t>
          </w:r>
          <w:r w:rsidRPr="002B2DC2">
            <w:rPr>
              <w:sz w:val="20"/>
              <w:szCs w:val="20"/>
            </w:rPr>
            <w:t xml:space="preserve"> (Cambridge: Cambridge University Press, 2012); Iseult Honohan, </w:t>
          </w:r>
          <w:r w:rsidRPr="002B2DC2">
            <w:rPr>
              <w:i/>
              <w:sz w:val="20"/>
              <w:szCs w:val="20"/>
            </w:rPr>
            <w:t>Civic Republicanism</w:t>
          </w:r>
          <w:r w:rsidRPr="002B2DC2">
            <w:rPr>
              <w:sz w:val="20"/>
              <w:szCs w:val="20"/>
            </w:rPr>
            <w:t xml:space="preserve"> (New York: Routledge, 2002); Cécile Laborde and John Maynor, “The Republican Contribution to Contemporary Political Theory,” in Cécile Laborde and John Maynor, eds., </w:t>
          </w:r>
          <w:r w:rsidRPr="002B2DC2">
            <w:rPr>
              <w:i/>
              <w:sz w:val="20"/>
              <w:szCs w:val="20"/>
            </w:rPr>
            <w:t>Republicanism and Political Theory</w:t>
          </w:r>
          <w:r w:rsidRPr="002B2DC2">
            <w:rPr>
              <w:sz w:val="20"/>
              <w:szCs w:val="20"/>
            </w:rPr>
            <w:t xml:space="preserve"> (Malden: Blackwell, 2008), pp.1-28; John Maynor, </w:t>
          </w:r>
          <w:r w:rsidRPr="002B2DC2">
            <w:rPr>
              <w:i/>
              <w:sz w:val="20"/>
              <w:szCs w:val="20"/>
            </w:rPr>
            <w:t>Republicanism in the Modern World</w:t>
          </w:r>
          <w:r w:rsidRPr="002B2DC2">
            <w:rPr>
              <w:sz w:val="20"/>
              <w:szCs w:val="20"/>
            </w:rPr>
            <w:t xml:space="preserve"> (Cambridge: Polity, 2003); Michael J. Sandel, </w:t>
          </w:r>
          <w:r w:rsidRPr="002B2DC2">
            <w:rPr>
              <w:i/>
              <w:sz w:val="20"/>
              <w:szCs w:val="20"/>
            </w:rPr>
            <w:t xml:space="preserve">Democracy’s Discontent: America in Search of a Public Philosophy </w:t>
          </w:r>
          <w:r w:rsidRPr="002B2DC2">
            <w:rPr>
              <w:sz w:val="20"/>
              <w:szCs w:val="20"/>
            </w:rPr>
            <w:t xml:space="preserve">(Cambridge: Harvard University Press, 1996); Richard Dagger, </w:t>
          </w:r>
          <w:r w:rsidRPr="002B2DC2">
            <w:rPr>
              <w:rFonts w:cs="Arial"/>
              <w:bCs/>
              <w:i/>
              <w:sz w:val="20"/>
              <w:szCs w:val="20"/>
            </w:rPr>
            <w:t>Civic Virtues: Rights, Citizenship, and Republican Liberalism</w:t>
          </w:r>
          <w:r w:rsidRPr="002B2DC2">
            <w:rPr>
              <w:rFonts w:cs="Arial"/>
              <w:bCs/>
              <w:sz w:val="20"/>
              <w:szCs w:val="20"/>
            </w:rPr>
            <w:t xml:space="preserve"> (Oxford:</w:t>
          </w:r>
          <w:r w:rsidR="00431E86">
            <w:rPr>
              <w:rFonts w:cs="Arial"/>
              <w:bCs/>
              <w:sz w:val="20"/>
              <w:szCs w:val="20"/>
            </w:rPr>
            <w:t xml:space="preserve"> Oxford University Press, 1997).</w:t>
          </w:r>
          <w:r w:rsidRPr="002B2DC2">
            <w:rPr>
              <w:sz w:val="20"/>
              <w:szCs w:val="20"/>
            </w:rPr>
            <w:t xml:space="preserve"> </w:t>
          </w:r>
          <w:r w:rsidRPr="002B2DC2">
            <w:rPr>
              <w:sz w:val="20"/>
              <w:szCs w:val="20"/>
            </w:rPr>
            <w:t>‬</w:t>
          </w:r>
          <w:r w:rsidRPr="002B2DC2">
            <w:rPr>
              <w:sz w:val="20"/>
              <w:szCs w:val="20"/>
            </w:rPr>
            <w:t>‬</w:t>
          </w:r>
        </w:dir>
      </w:dir>
    </w:p>
  </w:endnote>
  <w:endnote w:id="3">
    <w:p w14:paraId="562E2C5F" w14:textId="50BA2E3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For historical background on republicanism, see Honohan, </w:t>
      </w:r>
      <w:r w:rsidRPr="002B2DC2">
        <w:rPr>
          <w:i/>
          <w:sz w:val="20"/>
          <w:szCs w:val="20"/>
        </w:rPr>
        <w:t>Civic Republicanism</w:t>
      </w:r>
      <w:r w:rsidRPr="002B2DC2">
        <w:rPr>
          <w:sz w:val="20"/>
          <w:szCs w:val="20"/>
        </w:rPr>
        <w:t xml:space="preserve">; Garrett Ward Sheldon, </w:t>
      </w:r>
      <w:r w:rsidRPr="002B2DC2">
        <w:rPr>
          <w:i/>
          <w:sz w:val="20"/>
          <w:szCs w:val="20"/>
        </w:rPr>
        <w:t>The Political Philosophy of</w:t>
      </w:r>
      <w:r w:rsidRPr="002B2DC2">
        <w:rPr>
          <w:sz w:val="20"/>
          <w:szCs w:val="20"/>
        </w:rPr>
        <w:t xml:space="preserve"> </w:t>
      </w:r>
      <w:r w:rsidRPr="002B2DC2">
        <w:rPr>
          <w:i/>
          <w:sz w:val="20"/>
          <w:szCs w:val="20"/>
        </w:rPr>
        <w:t>Thomas Jefferson</w:t>
      </w:r>
      <w:r w:rsidRPr="002B2DC2">
        <w:rPr>
          <w:sz w:val="20"/>
          <w:szCs w:val="20"/>
        </w:rPr>
        <w:t xml:space="preserve"> (Baltimore: Johns Hopkins University Press, 1993), pp.5-7, and Laborde and Maynor, “Republican Contribution, pp. 2-3; J.G.A. Pocock,</w:t>
      </w:r>
      <w:r w:rsidRPr="002B2DC2">
        <w:rPr>
          <w:i/>
          <w:sz w:val="20"/>
          <w:szCs w:val="20"/>
        </w:rPr>
        <w:t xml:space="preserve"> The Machiavellian Moment: Florentine Political Thought and the Atlantic Republican Tradition</w:t>
      </w:r>
      <w:r w:rsidRPr="002B2DC2">
        <w:rPr>
          <w:sz w:val="20"/>
          <w:szCs w:val="20"/>
        </w:rPr>
        <w:t xml:space="preserve"> (Princeton: Princeton University Press, 1975); J.G.A. Pocock, “Civic Humanism and its Role in Anglo-American Thought” (1968), reprinted in J.G.A. Pocock, </w:t>
      </w:r>
      <w:r w:rsidRPr="002B2DC2">
        <w:rPr>
          <w:i/>
          <w:sz w:val="20"/>
          <w:szCs w:val="20"/>
        </w:rPr>
        <w:t xml:space="preserve">Politics, Language, and Time: Essays on Political Thought and History </w:t>
      </w:r>
      <w:r w:rsidRPr="002B2DC2">
        <w:rPr>
          <w:sz w:val="20"/>
          <w:szCs w:val="20"/>
        </w:rPr>
        <w:t xml:space="preserve">(Chicago: University of Chicago Press, 1989); Gisela Bock, Quentin Skinner, and Maurizio Viroli, eds., </w:t>
      </w:r>
      <w:r w:rsidRPr="002B2DC2">
        <w:rPr>
          <w:i/>
          <w:sz w:val="20"/>
          <w:szCs w:val="20"/>
        </w:rPr>
        <w:t>Machiavelli and Republicanism</w:t>
      </w:r>
      <w:r w:rsidRPr="002B2DC2">
        <w:rPr>
          <w:sz w:val="20"/>
          <w:szCs w:val="20"/>
        </w:rPr>
        <w:t xml:space="preserve"> (Cambridge: </w:t>
      </w:r>
      <w:bookmarkStart w:id="0" w:name="_GoBack"/>
      <w:bookmarkEnd w:id="0"/>
      <w:r w:rsidRPr="002B2DC2">
        <w:rPr>
          <w:sz w:val="20"/>
          <w:szCs w:val="20"/>
        </w:rPr>
        <w:t xml:space="preserve">Cambridge University Press, 1990); Quentin Skinner, </w:t>
      </w:r>
      <w:r w:rsidRPr="002B2DC2">
        <w:rPr>
          <w:rStyle w:val="a-size-large"/>
          <w:rFonts w:eastAsia="Times New Roman" w:cs="Times New Roman"/>
          <w:i/>
          <w:sz w:val="20"/>
          <w:szCs w:val="20"/>
        </w:rPr>
        <w:t>The Foundations of Modern Political Thought, Vol. 1: The Renaissance</w:t>
      </w:r>
      <w:r w:rsidRPr="002B2DC2">
        <w:rPr>
          <w:rFonts w:eastAsia="Times New Roman" w:cs="Times New Roman"/>
          <w:sz w:val="20"/>
          <w:szCs w:val="20"/>
        </w:rPr>
        <w:t xml:space="preserve"> </w:t>
      </w:r>
      <w:r w:rsidRPr="002B2DC2">
        <w:rPr>
          <w:sz w:val="20"/>
          <w:szCs w:val="20"/>
        </w:rPr>
        <w:t xml:space="preserve">(Cambridge: Cambridge University Press, 1978).  On the republican tradition in the U.S., see Pocock’s aforementioned writings, as well as Sandel, </w:t>
      </w:r>
      <w:r w:rsidRPr="002B2DC2">
        <w:rPr>
          <w:i/>
          <w:sz w:val="20"/>
          <w:szCs w:val="20"/>
        </w:rPr>
        <w:t>Democracy’s Discontent</w:t>
      </w:r>
      <w:r w:rsidRPr="002B2DC2">
        <w:rPr>
          <w:sz w:val="20"/>
          <w:szCs w:val="20"/>
        </w:rPr>
        <w:t xml:space="preserve">; Drew McCoy, </w:t>
      </w:r>
      <w:r w:rsidRPr="002B2DC2">
        <w:rPr>
          <w:rFonts w:cs="Arial"/>
          <w:bCs/>
          <w:i/>
          <w:color w:val="0E0E0E"/>
          <w:sz w:val="20"/>
          <w:szCs w:val="20"/>
        </w:rPr>
        <w:t>The Elusive Republic: Political Economy in Jeffersonian America</w:t>
      </w:r>
      <w:r w:rsidRPr="002B2DC2">
        <w:rPr>
          <w:rFonts w:cs="Arial"/>
          <w:bCs/>
          <w:color w:val="0E0E0E"/>
          <w:sz w:val="20"/>
          <w:szCs w:val="20"/>
        </w:rPr>
        <w:t xml:space="preserve"> (Chapel Hill: The University of North Carolina Press, 1980); </w:t>
      </w:r>
      <w:r w:rsidRPr="002B2DC2">
        <w:rPr>
          <w:sz w:val="20"/>
          <w:szCs w:val="20"/>
        </w:rPr>
        <w:t xml:space="preserve">Gordon S. Wood, The </w:t>
      </w:r>
      <w:r w:rsidRPr="002B2DC2">
        <w:rPr>
          <w:i/>
          <w:sz w:val="20"/>
          <w:szCs w:val="20"/>
        </w:rPr>
        <w:t xml:space="preserve">Creation of the American Republic, 1776-1787 </w:t>
      </w:r>
      <w:r w:rsidRPr="002B2DC2">
        <w:rPr>
          <w:sz w:val="20"/>
          <w:szCs w:val="20"/>
        </w:rPr>
        <w:t xml:space="preserve">(New York: W.W. Norton, 1969); Bernard Bailyn, </w:t>
      </w:r>
      <w:r w:rsidRPr="002B2DC2">
        <w:rPr>
          <w:i/>
          <w:sz w:val="20"/>
          <w:szCs w:val="20"/>
        </w:rPr>
        <w:t xml:space="preserve">The Ideological Origins of the American Revolution </w:t>
      </w:r>
      <w:r w:rsidRPr="002B2DC2">
        <w:rPr>
          <w:sz w:val="20"/>
          <w:szCs w:val="20"/>
        </w:rPr>
        <w:t xml:space="preserve">(Enlarged edition) (Cambridge: Harvard University Press, 1992); Sandel, </w:t>
      </w:r>
      <w:r w:rsidRPr="002B2DC2">
        <w:rPr>
          <w:i/>
          <w:sz w:val="20"/>
          <w:szCs w:val="20"/>
        </w:rPr>
        <w:t>Democracy’s Discontent</w:t>
      </w:r>
      <w:r w:rsidRPr="002B2DC2">
        <w:rPr>
          <w:sz w:val="20"/>
          <w:szCs w:val="20"/>
        </w:rPr>
        <w:t xml:space="preserve">; Lance Banning, </w:t>
      </w:r>
      <w:r w:rsidRPr="002B2DC2">
        <w:rPr>
          <w:i/>
          <w:sz w:val="20"/>
          <w:szCs w:val="20"/>
        </w:rPr>
        <w:t>The Jeffersonian Persuasion: Evolution of a Party Ideology</w:t>
      </w:r>
      <w:r w:rsidRPr="002B2DC2">
        <w:rPr>
          <w:sz w:val="20"/>
          <w:szCs w:val="20"/>
        </w:rPr>
        <w:t xml:space="preserve"> (Ithaca: Cornell University Press, 1978); Michael Lienesch, </w:t>
      </w:r>
      <w:r w:rsidRPr="002B2DC2">
        <w:rPr>
          <w:i/>
          <w:sz w:val="20"/>
          <w:szCs w:val="20"/>
        </w:rPr>
        <w:t>New Order of the Ages: Time, the Constitution, and the Making of Modern American Political Thought</w:t>
      </w:r>
      <w:r w:rsidRPr="002B2DC2">
        <w:rPr>
          <w:sz w:val="20"/>
          <w:szCs w:val="20"/>
        </w:rPr>
        <w:t xml:space="preserve"> (Princeton: Princeton University Press, 1988); William E. Forbath, “The Ambiguities of Free Labor: Labor and the Law in the Gilded Age,” </w:t>
      </w:r>
      <w:r w:rsidRPr="002B2DC2">
        <w:rPr>
          <w:i/>
          <w:sz w:val="20"/>
          <w:szCs w:val="20"/>
        </w:rPr>
        <w:t>Wisconsin Law Review</w:t>
      </w:r>
      <w:r w:rsidRPr="002B2DC2">
        <w:rPr>
          <w:sz w:val="20"/>
          <w:szCs w:val="20"/>
        </w:rPr>
        <w:t xml:space="preserve"> (1985), pp.787-791</w:t>
      </w:r>
    </w:p>
  </w:endnote>
  <w:endnote w:id="4">
    <w:p w14:paraId="0FE35AD4" w14:textId="77777777" w:rsidR="00324F6D" w:rsidRPr="002B2DC2" w:rsidRDefault="00324F6D" w:rsidP="00202DD5">
      <w:pPr>
        <w:spacing w:before="240" w:after="240"/>
        <w:rPr>
          <w:sz w:val="20"/>
          <w:szCs w:val="20"/>
        </w:rPr>
      </w:pPr>
      <w:r w:rsidRPr="002B2DC2">
        <w:rPr>
          <w:rStyle w:val="EndnoteReference"/>
          <w:sz w:val="20"/>
          <w:szCs w:val="20"/>
        </w:rPr>
        <w:endnoteRef/>
      </w:r>
      <w:r w:rsidRPr="002B2DC2">
        <w:rPr>
          <w:sz w:val="20"/>
          <w:szCs w:val="20"/>
        </w:rPr>
        <w:t xml:space="preserve"> Peter F. Cannavò, “Civic Virtue and Sacrifice in a Suburban Nation,” in Michael Maniates and John M. Meyer, eds., </w:t>
      </w:r>
      <w:r w:rsidRPr="002B2DC2">
        <w:rPr>
          <w:i/>
          <w:sz w:val="20"/>
          <w:szCs w:val="20"/>
        </w:rPr>
        <w:t>The Environmental Politics of Sacrifice</w:t>
      </w:r>
      <w:r w:rsidRPr="002B2DC2">
        <w:rPr>
          <w:sz w:val="20"/>
          <w:szCs w:val="20"/>
        </w:rPr>
        <w:t xml:space="preserve"> (Cambridge: The MIT Press, 2010), pp.217-246.</w:t>
      </w:r>
    </w:p>
  </w:endnote>
  <w:endnote w:id="5">
    <w:p w14:paraId="4DAB0060" w14:textId="77777777" w:rsidR="00324F6D" w:rsidRPr="002B2DC2" w:rsidRDefault="00324F6D" w:rsidP="00202DD5">
      <w:pPr>
        <w:spacing w:before="240" w:after="240"/>
        <w:rPr>
          <w:sz w:val="20"/>
          <w:szCs w:val="20"/>
        </w:rPr>
      </w:pPr>
      <w:r w:rsidRPr="002B2DC2">
        <w:rPr>
          <w:rStyle w:val="EndnoteReference"/>
          <w:sz w:val="20"/>
          <w:szCs w:val="20"/>
        </w:rPr>
        <w:endnoteRef/>
      </w:r>
      <w:r w:rsidRPr="002B2DC2">
        <w:rPr>
          <w:sz w:val="20"/>
          <w:szCs w:val="20"/>
        </w:rPr>
        <w:t xml:space="preserve"> See the following by Peter F. Cannavò: “Civic Virtue and Sacrifice”; “Environmental Political Theory and Republicanism,” in Teena Gabrielson, Cheryl Hall, John M. Meyer, and David Schlosberg, eds., </w:t>
      </w:r>
      <w:r w:rsidRPr="002B2DC2">
        <w:rPr>
          <w:i/>
          <w:sz w:val="20"/>
          <w:szCs w:val="20"/>
        </w:rPr>
        <w:t>The Oxford Handbook of Environmental Political Theory</w:t>
      </w:r>
      <w:r w:rsidRPr="002B2DC2">
        <w:rPr>
          <w:sz w:val="20"/>
          <w:szCs w:val="20"/>
        </w:rPr>
        <w:t xml:space="preserve"> (Oxford: Oxford University Press, 2016), pp.72-88; </w:t>
      </w:r>
      <w:r w:rsidRPr="002B2DC2">
        <w:rPr>
          <w:bCs/>
          <w:iCs/>
          <w:sz w:val="20"/>
          <w:szCs w:val="20"/>
        </w:rPr>
        <w:t>“</w:t>
      </w:r>
      <w:r w:rsidRPr="002B2DC2">
        <w:rPr>
          <w:sz w:val="20"/>
          <w:szCs w:val="20"/>
        </w:rPr>
        <w:t>Ecological Citizenship, Time, and Corruption: Aldo Leopold’s Green Republicanism,</w:t>
      </w:r>
      <w:r w:rsidRPr="002B2DC2">
        <w:rPr>
          <w:bCs/>
          <w:iCs/>
          <w:sz w:val="20"/>
          <w:szCs w:val="20"/>
        </w:rPr>
        <w:t xml:space="preserve">” </w:t>
      </w:r>
      <w:r w:rsidRPr="002B2DC2">
        <w:rPr>
          <w:bCs/>
          <w:i/>
          <w:iCs/>
          <w:sz w:val="20"/>
          <w:szCs w:val="20"/>
        </w:rPr>
        <w:t>Environmental Politics</w:t>
      </w:r>
      <w:r w:rsidRPr="002B2DC2">
        <w:rPr>
          <w:bCs/>
          <w:iCs/>
          <w:sz w:val="20"/>
          <w:szCs w:val="20"/>
        </w:rPr>
        <w:t xml:space="preserve">, Vol. </w:t>
      </w:r>
      <w:r w:rsidRPr="002B2DC2">
        <w:rPr>
          <w:color w:val="3A3932"/>
          <w:sz w:val="20"/>
          <w:szCs w:val="20"/>
        </w:rPr>
        <w:t xml:space="preserve">21, No. 6 (November 2012), pp.864-881; </w:t>
      </w:r>
      <w:r w:rsidRPr="002B2DC2">
        <w:rPr>
          <w:rFonts w:cs="Times"/>
          <w:bCs/>
          <w:sz w:val="20"/>
          <w:szCs w:val="20"/>
        </w:rPr>
        <w:t>“The Half-Cultivated Citizen: Thoreau at the Nexus of Republicanism and Environmentalism,”</w:t>
      </w:r>
      <w:r w:rsidRPr="002B2DC2">
        <w:rPr>
          <w:rFonts w:cs="Times"/>
          <w:sz w:val="20"/>
          <w:szCs w:val="20"/>
        </w:rPr>
        <w:t xml:space="preserve"> </w:t>
      </w:r>
      <w:r w:rsidRPr="002B2DC2">
        <w:rPr>
          <w:rFonts w:cs="Times"/>
          <w:i/>
          <w:iCs/>
          <w:sz w:val="20"/>
          <w:szCs w:val="20"/>
        </w:rPr>
        <w:t>Environmental Values</w:t>
      </w:r>
      <w:r w:rsidRPr="002B2DC2">
        <w:rPr>
          <w:rFonts w:cs="Times"/>
          <w:iCs/>
          <w:sz w:val="20"/>
          <w:szCs w:val="20"/>
        </w:rPr>
        <w:t>,</w:t>
      </w:r>
      <w:r w:rsidRPr="002B2DC2">
        <w:rPr>
          <w:rFonts w:cs="Times"/>
          <w:sz w:val="20"/>
          <w:szCs w:val="20"/>
        </w:rPr>
        <w:t xml:space="preserve"> Vol. 21, No. 2 (2012), pp.101-124</w:t>
      </w:r>
      <w:r w:rsidRPr="002B2DC2">
        <w:rPr>
          <w:color w:val="3A3932"/>
          <w:sz w:val="20"/>
          <w:szCs w:val="20"/>
        </w:rPr>
        <w:t xml:space="preserve">; </w:t>
      </w:r>
      <w:r w:rsidRPr="002B2DC2">
        <w:rPr>
          <w:bCs/>
          <w:iCs/>
          <w:sz w:val="20"/>
          <w:szCs w:val="20"/>
        </w:rPr>
        <w:t xml:space="preserve">“To the Thousandth Generation: Timelessness, Jeffersonian Republicanism, and Environmentalism,” </w:t>
      </w:r>
      <w:r w:rsidRPr="002B2DC2">
        <w:rPr>
          <w:bCs/>
          <w:i/>
          <w:iCs/>
          <w:sz w:val="20"/>
          <w:szCs w:val="20"/>
        </w:rPr>
        <w:t>Environmental Politics</w:t>
      </w:r>
      <w:r w:rsidRPr="002B2DC2">
        <w:rPr>
          <w:bCs/>
          <w:iCs/>
          <w:sz w:val="20"/>
          <w:szCs w:val="20"/>
        </w:rPr>
        <w:t xml:space="preserve">, Vol. </w:t>
      </w:r>
      <w:r w:rsidRPr="002B2DC2">
        <w:rPr>
          <w:sz w:val="20"/>
          <w:szCs w:val="20"/>
        </w:rPr>
        <w:t xml:space="preserve">19, No. 3 (May 2010), pp.356-373.  Other writings on Other scholarship on the connections between environmentalism and republicanism includes Pettit, </w:t>
      </w:r>
      <w:r w:rsidRPr="002B2DC2">
        <w:rPr>
          <w:i/>
          <w:sz w:val="20"/>
          <w:szCs w:val="20"/>
        </w:rPr>
        <w:t>Republicanism</w:t>
      </w:r>
      <w:r w:rsidRPr="002B2DC2">
        <w:rPr>
          <w:sz w:val="20"/>
          <w:szCs w:val="20"/>
        </w:rPr>
        <w:t xml:space="preserve">, pp.135-138; Thad Williamson, </w:t>
      </w:r>
      <w:r w:rsidRPr="002B2DC2">
        <w:rPr>
          <w:i/>
          <w:sz w:val="20"/>
          <w:szCs w:val="20"/>
        </w:rPr>
        <w:t>Sprawl, Justice, and Citizenship</w:t>
      </w:r>
      <w:r w:rsidRPr="002B2DC2">
        <w:rPr>
          <w:sz w:val="20"/>
          <w:szCs w:val="20"/>
        </w:rPr>
        <w:t xml:space="preserve"> (Oxford: Oxford University Press, 2010); Patrick </w:t>
      </w:r>
      <w:r w:rsidRPr="002B2DC2">
        <w:rPr>
          <w:sz w:val="20"/>
          <w:szCs w:val="20"/>
          <w:lang w:val="en-GB"/>
        </w:rPr>
        <w:t xml:space="preserve">Curry “Redefining Community: Towards an Ecological Republicanism,” </w:t>
      </w:r>
      <w:r w:rsidRPr="002B2DC2">
        <w:rPr>
          <w:i/>
          <w:sz w:val="20"/>
          <w:szCs w:val="20"/>
          <w:lang w:val="en-GB"/>
        </w:rPr>
        <w:t>Biodiversity and Conservation</w:t>
      </w:r>
      <w:r w:rsidRPr="002B2DC2">
        <w:rPr>
          <w:sz w:val="20"/>
          <w:szCs w:val="20"/>
          <w:lang w:val="en-GB"/>
        </w:rPr>
        <w:t xml:space="preserve">, Vol. 9, No. 8 (2000), pp. </w:t>
      </w:r>
      <w:r w:rsidRPr="002B2DC2">
        <w:rPr>
          <w:sz w:val="20"/>
          <w:szCs w:val="20"/>
        </w:rPr>
        <w:t xml:space="preserve">1059-1071; Barry, </w:t>
      </w:r>
      <w:r w:rsidRPr="002B2DC2">
        <w:rPr>
          <w:i/>
          <w:sz w:val="20"/>
          <w:szCs w:val="20"/>
        </w:rPr>
        <w:t>Actually Existing Unsustainability</w:t>
      </w:r>
      <w:r w:rsidRPr="002B2DC2">
        <w:rPr>
          <w:sz w:val="20"/>
          <w:szCs w:val="20"/>
        </w:rPr>
        <w:t xml:space="preserve">; John Barry, “Towards a Green Republicanism.” </w:t>
      </w:r>
      <w:r w:rsidRPr="002B2DC2">
        <w:rPr>
          <w:i/>
          <w:sz w:val="20"/>
          <w:szCs w:val="20"/>
        </w:rPr>
        <w:t>The Good Society</w:t>
      </w:r>
      <w:r w:rsidRPr="002B2DC2">
        <w:rPr>
          <w:sz w:val="20"/>
          <w:szCs w:val="20"/>
        </w:rPr>
        <w:t xml:space="preserve"> Vol. 17, No. 2 (2008), pp.1-12; John Barry and Kimberly K. Smith, “Civic Republicanism and Green Politics,” in Daniel Leighton and Stuart White, eds., </w:t>
      </w:r>
      <w:r w:rsidRPr="002B2DC2">
        <w:rPr>
          <w:i/>
          <w:sz w:val="20"/>
          <w:szCs w:val="20"/>
        </w:rPr>
        <w:t>Building a Citizen Society: The Emerging Politics of Republican Democracy</w:t>
      </w:r>
      <w:r w:rsidRPr="002B2DC2">
        <w:rPr>
          <w:sz w:val="20"/>
          <w:szCs w:val="20"/>
        </w:rPr>
        <w:t xml:space="preserve"> (London: Lawrence and Wishart, 2008).</w:t>
      </w:r>
    </w:p>
  </w:endnote>
  <w:endnote w:id="6">
    <w:p w14:paraId="2EF70FD2" w14:textId="7ED9206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pp.218-219, 222-226.</w:t>
      </w:r>
    </w:p>
  </w:endnote>
  <w:endnote w:id="7">
    <w:p w14:paraId="5726AE46"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w:t>
      </w:r>
      <w:r w:rsidRPr="002B2DC2">
        <w:rPr>
          <w:sz w:val="20"/>
          <w:szCs w:val="20"/>
          <w:lang w:val="en-GB"/>
        </w:rPr>
        <w:t>227.</w:t>
      </w:r>
    </w:p>
  </w:endnote>
  <w:endnote w:id="8">
    <w:p w14:paraId="01F89C1C"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pp.227-230.</w:t>
      </w:r>
    </w:p>
  </w:endnote>
  <w:endnote w:id="9">
    <w:p w14:paraId="35175A57" w14:textId="1F4A706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w:t>
      </w:r>
      <w:hyperlink r:id="rId1" w:history="1">
        <w:r w:rsidRPr="002B2DC2">
          <w:rPr>
            <w:rStyle w:val="Hyperlink"/>
            <w:sz w:val="20"/>
            <w:szCs w:val="20"/>
          </w:rPr>
          <w:t>https://www.transitionnetwork.org/where</w:t>
        </w:r>
      </w:hyperlink>
    </w:p>
  </w:endnote>
  <w:endnote w:id="10">
    <w:p w14:paraId="4E5FDC48" w14:textId="4F81F02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w:t>
      </w:r>
      <w:hyperlink r:id="rId2" w:history="1">
        <w:r w:rsidRPr="002B2DC2">
          <w:rPr>
            <w:rStyle w:val="Hyperlink"/>
            <w:sz w:val="20"/>
            <w:szCs w:val="20"/>
          </w:rPr>
          <w:t>https://www.transitionnetwork.org/about/strategy</w:t>
        </w:r>
      </w:hyperlink>
      <w:r w:rsidRPr="002B2DC2">
        <w:rPr>
          <w:sz w:val="20"/>
          <w:szCs w:val="20"/>
        </w:rPr>
        <w:t xml:space="preserve">, </w:t>
      </w:r>
      <w:hyperlink r:id="rId3" w:history="1">
        <w:r w:rsidRPr="002B2DC2">
          <w:rPr>
            <w:rStyle w:val="Hyperlink"/>
            <w:sz w:val="20"/>
            <w:szCs w:val="20"/>
          </w:rPr>
          <w:t>http://transitionus.org/</w:t>
        </w:r>
      </w:hyperlink>
      <w:r w:rsidRPr="002B2DC2">
        <w:rPr>
          <w:sz w:val="20"/>
          <w:szCs w:val="20"/>
        </w:rPr>
        <w:t xml:space="preserve">, </w:t>
      </w:r>
      <w:hyperlink r:id="rId4" w:history="1">
        <w:r w:rsidRPr="002B2DC2">
          <w:rPr>
            <w:rStyle w:val="Hyperlink"/>
            <w:sz w:val="20"/>
            <w:szCs w:val="20"/>
          </w:rPr>
          <w:t>https://midatlantictransition.org/</w:t>
        </w:r>
      </w:hyperlink>
      <w:r w:rsidRPr="002B2DC2">
        <w:rPr>
          <w:sz w:val="20"/>
          <w:szCs w:val="20"/>
        </w:rPr>
        <w:t xml:space="preserve">. </w:t>
      </w:r>
    </w:p>
  </w:endnote>
  <w:endnote w:id="11">
    <w:p w14:paraId="17A3EDC0" w14:textId="46E6C310"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w:t>
      </w:r>
      <w:hyperlink r:id="rId5" w:history="1">
        <w:r w:rsidRPr="002B2DC2">
          <w:rPr>
            <w:rStyle w:val="Hyperlink"/>
            <w:sz w:val="20"/>
            <w:szCs w:val="20"/>
          </w:rPr>
          <w:t>http://transitionus.org/our-story</w:t>
        </w:r>
      </w:hyperlink>
      <w:r w:rsidRPr="002B2DC2">
        <w:rPr>
          <w:sz w:val="20"/>
          <w:szCs w:val="20"/>
        </w:rPr>
        <w:t>.</w:t>
      </w:r>
    </w:p>
  </w:endnote>
  <w:endnote w:id="12">
    <w:p w14:paraId="1B598803"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6" w:history="1">
        <w:r w:rsidRPr="002B2DC2">
          <w:rPr>
            <w:rStyle w:val="Hyperlink"/>
            <w:sz w:val="20"/>
            <w:szCs w:val="20"/>
          </w:rPr>
          <w:t>http://www.jptransition.org/</w:t>
        </w:r>
      </w:hyperlink>
    </w:p>
  </w:endnote>
  <w:endnote w:id="13">
    <w:p w14:paraId="54C3A1D2"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Jamaica Plain New Economy Transition, “Resiliency Measures Project,” February 5, 2012, </w:t>
      </w:r>
      <w:hyperlink r:id="rId7" w:history="1">
        <w:r w:rsidRPr="002B2DC2">
          <w:rPr>
            <w:rStyle w:val="Hyperlink"/>
            <w:sz w:val="20"/>
            <w:szCs w:val="20"/>
          </w:rPr>
          <w:t>http://jptransition.org/2012/02/07/working-group-how-resilient-is-jp/</w:t>
        </w:r>
      </w:hyperlink>
      <w:r w:rsidRPr="002B2DC2">
        <w:rPr>
          <w:sz w:val="20"/>
          <w:szCs w:val="20"/>
        </w:rPr>
        <w:t>.</w:t>
      </w:r>
    </w:p>
  </w:endnote>
  <w:endnote w:id="14">
    <w:p w14:paraId="78E66DDF"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8" w:history="1">
        <w:r w:rsidRPr="002B2DC2">
          <w:rPr>
            <w:rStyle w:val="Hyperlink"/>
            <w:sz w:val="20"/>
            <w:szCs w:val="20"/>
          </w:rPr>
          <w:t>http://transitionus.org/blog/reskilling-mastery-appropriate-technology</w:t>
        </w:r>
      </w:hyperlink>
      <w:r w:rsidRPr="002B2DC2">
        <w:rPr>
          <w:sz w:val="20"/>
          <w:szCs w:val="20"/>
        </w:rPr>
        <w:t xml:space="preserve">. </w:t>
      </w:r>
    </w:p>
  </w:endnote>
  <w:endnote w:id="15">
    <w:p w14:paraId="7BF37FAE" w14:textId="44D35B4B"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9" w:history="1">
        <w:r w:rsidRPr="002B2DC2">
          <w:rPr>
            <w:rStyle w:val="Hyperlink"/>
            <w:sz w:val="20"/>
            <w:szCs w:val="20"/>
          </w:rPr>
          <w:t>http://transitionus.org/blog/reskilling-mastery-appropriate-technology</w:t>
        </w:r>
      </w:hyperlink>
      <w:r w:rsidRPr="002B2DC2">
        <w:rPr>
          <w:sz w:val="20"/>
          <w:szCs w:val="20"/>
        </w:rPr>
        <w:t xml:space="preserve">. </w:t>
      </w:r>
    </w:p>
  </w:endnote>
  <w:endnote w:id="16">
    <w:p w14:paraId="01889ECB" w14:textId="6602C123"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Rob Hopkins, </w:t>
      </w:r>
      <w:r w:rsidRPr="002B2DC2">
        <w:rPr>
          <w:i/>
          <w:sz w:val="20"/>
          <w:szCs w:val="20"/>
        </w:rPr>
        <w:t>The Transition Handbook: From Oil Dependency to Local Resilience</w:t>
      </w:r>
      <w:r w:rsidRPr="002B2DC2">
        <w:rPr>
          <w:sz w:val="20"/>
          <w:szCs w:val="20"/>
        </w:rPr>
        <w:t xml:space="preserve"> (White River Junction: Chelsea Green, 2008), p.208.</w:t>
      </w:r>
    </w:p>
  </w:endnote>
  <w:endnote w:id="17">
    <w:p w14:paraId="70965075" w14:textId="293AF14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w:t>
      </w:r>
      <w:hyperlink r:id="rId10" w:history="1">
        <w:r w:rsidRPr="002B2DC2">
          <w:rPr>
            <w:rStyle w:val="Hyperlink"/>
            <w:sz w:val="20"/>
            <w:szCs w:val="20"/>
          </w:rPr>
          <w:t>http://transitionbristol.net/</w:t>
        </w:r>
      </w:hyperlink>
      <w:r w:rsidRPr="002B2DC2">
        <w:rPr>
          <w:sz w:val="20"/>
          <w:szCs w:val="20"/>
        </w:rPr>
        <w:t>.</w:t>
      </w:r>
    </w:p>
  </w:endnote>
  <w:endnote w:id="18">
    <w:p w14:paraId="363069E3" w14:textId="7A5F5C72"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1" w:history="1">
        <w:r w:rsidRPr="002B2DC2">
          <w:rPr>
            <w:rStyle w:val="Hyperlink"/>
            <w:sz w:val="20"/>
            <w:szCs w:val="20"/>
          </w:rPr>
          <w:t>http://jptransition.org/local-food-web/</w:t>
        </w:r>
      </w:hyperlink>
    </w:p>
  </w:endnote>
  <w:endnote w:id="19">
    <w:p w14:paraId="60D821CA" w14:textId="376A767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2" w:history="1">
        <w:r w:rsidRPr="002B2DC2">
          <w:rPr>
            <w:rStyle w:val="Hyperlink"/>
            <w:sz w:val="20"/>
            <w:szCs w:val="20"/>
          </w:rPr>
          <w:t>http://transitionus.org/initiatives/7-principles</w:t>
        </w:r>
      </w:hyperlink>
    </w:p>
  </w:endnote>
  <w:endnote w:id="20">
    <w:p w14:paraId="527C9F8F" w14:textId="22D4B3A3"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p.12.</w:t>
      </w:r>
    </w:p>
  </w:endnote>
  <w:endnote w:id="21">
    <w:p w14:paraId="11A06470"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p.12.</w:t>
      </w:r>
    </w:p>
  </w:endnote>
  <w:endnote w:id="22">
    <w:p w14:paraId="6DDFB2EB"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p.13.</w:t>
      </w:r>
    </w:p>
  </w:endnote>
  <w:endnote w:id="23">
    <w:p w14:paraId="657F1803" w14:textId="7B96CEB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p.80; emphasis in original.</w:t>
      </w:r>
    </w:p>
  </w:endnote>
  <w:endnote w:id="24">
    <w:p w14:paraId="45ED11E0" w14:textId="638527E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pp.78, 86.</w:t>
      </w:r>
    </w:p>
  </w:endnote>
  <w:endnote w:id="25">
    <w:p w14:paraId="511D4075" w14:textId="0659D392"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p.96.</w:t>
      </w:r>
    </w:p>
  </w:endnote>
  <w:endnote w:id="26">
    <w:p w14:paraId="24BA4319" w14:textId="3F16300D"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p.97.</w:t>
      </w:r>
    </w:p>
  </w:endnote>
  <w:endnote w:id="27">
    <w:p w14:paraId="03C3AF28" w14:textId="513E3C69"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p.97.</w:t>
      </w:r>
    </w:p>
  </w:endnote>
  <w:endnote w:id="28">
    <w:p w14:paraId="1AA6E6BB" w14:textId="71BE9209"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p.89.</w:t>
      </w:r>
    </w:p>
  </w:endnote>
  <w:endnote w:id="29">
    <w:p w14:paraId="46A132FE" w14:textId="36F54B6C"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w:t>
      </w:r>
      <w:r w:rsidRPr="002B2DC2">
        <w:rPr>
          <w:i/>
          <w:sz w:val="20"/>
          <w:szCs w:val="20"/>
        </w:rPr>
        <w:t>, Actually Existing Unsustainability</w:t>
      </w:r>
      <w:r w:rsidRPr="002B2DC2">
        <w:rPr>
          <w:sz w:val="20"/>
          <w:szCs w:val="20"/>
        </w:rPr>
        <w:t>, p.89.</w:t>
      </w:r>
    </w:p>
  </w:endnote>
  <w:endnote w:id="30">
    <w:p w14:paraId="73747375" w14:textId="4C3892D3"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p.96.</w:t>
      </w:r>
    </w:p>
  </w:endnote>
  <w:endnote w:id="31">
    <w:p w14:paraId="530FD7E7" w14:textId="1F48E21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p.81.</w:t>
      </w:r>
    </w:p>
  </w:endnote>
  <w:endnote w:id="32">
    <w:p w14:paraId="56A8E78B" w14:textId="202AE350"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Niccolò Machiavelli, </w:t>
      </w:r>
      <w:r w:rsidRPr="002B2DC2">
        <w:rPr>
          <w:i/>
          <w:sz w:val="20"/>
          <w:szCs w:val="20"/>
        </w:rPr>
        <w:t>The Prince</w:t>
      </w:r>
      <w:r w:rsidRPr="002B2DC2">
        <w:rPr>
          <w:sz w:val="20"/>
          <w:szCs w:val="20"/>
        </w:rPr>
        <w:t>, Chapter XXV, Harvey C. Mansfield, Jr., transl. (Chicago: University of Chicago Press, 1985), p.98.</w:t>
      </w:r>
    </w:p>
  </w:endnote>
  <w:endnote w:id="33">
    <w:p w14:paraId="6034B600" w14:textId="79782182"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Here, see also Francisco Seijo, “Niccolò Machiavelli: Rethinking Decentralization’s Role in Green Theory,” in Peter F. Cannavò and Joseph H. Lane, Jr., eds., </w:t>
      </w:r>
      <w:r w:rsidRPr="002B2DC2">
        <w:rPr>
          <w:i/>
          <w:sz w:val="20"/>
          <w:szCs w:val="20"/>
        </w:rPr>
        <w:t>Engaging Nature: Environmentalism and the Political Theory Canon</w:t>
      </w:r>
      <w:r w:rsidRPr="002B2DC2">
        <w:rPr>
          <w:sz w:val="20"/>
          <w:szCs w:val="20"/>
        </w:rPr>
        <w:t xml:space="preserve"> (Cambridge: The MIT Press, 2014), pp.65-81.</w:t>
      </w:r>
    </w:p>
  </w:endnote>
  <w:endnote w:id="34">
    <w:p w14:paraId="29CB50D3" w14:textId="762BF7D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p.89.</w:t>
      </w:r>
    </w:p>
  </w:endnote>
  <w:endnote w:id="35">
    <w:p w14:paraId="7CF102C8" w14:textId="74F1F4B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p.90.</w:t>
      </w:r>
    </w:p>
  </w:endnote>
  <w:endnote w:id="36">
    <w:p w14:paraId="36E8E310" w14:textId="7440864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p.101.</w:t>
      </w:r>
    </w:p>
  </w:endnote>
  <w:endnote w:id="37">
    <w:p w14:paraId="7A3588E1"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p.172.</w:t>
      </w:r>
    </w:p>
  </w:endnote>
  <w:endnote w:id="38">
    <w:p w14:paraId="5C803B48" w14:textId="351FB92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p.98.</w:t>
      </w:r>
    </w:p>
  </w:endnote>
  <w:endnote w:id="39">
    <w:p w14:paraId="622B5589" w14:textId="3DC9B09C"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p.114.</w:t>
      </w:r>
    </w:p>
  </w:endnote>
  <w:endnote w:id="40">
    <w:p w14:paraId="09FD51EA" w14:textId="11D7994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p.100.</w:t>
      </w:r>
    </w:p>
  </w:endnote>
  <w:endnote w:id="41">
    <w:p w14:paraId="7FCE1D63" w14:textId="3ACF91BF"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p.99.</w:t>
      </w:r>
    </w:p>
  </w:endnote>
  <w:endnote w:id="42">
    <w:p w14:paraId="0EBA6E4D" w14:textId="3784BA63"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pp.87-88.</w:t>
      </w:r>
    </w:p>
  </w:endnote>
  <w:endnote w:id="43">
    <w:p w14:paraId="544EAA2C"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 84-93.</w:t>
      </w:r>
    </w:p>
  </w:endnote>
  <w:endnote w:id="44">
    <w:p w14:paraId="4CDAFE43" w14:textId="684F6971"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pp.101-104, 106.</w:t>
      </w:r>
    </w:p>
  </w:endnote>
  <w:endnote w:id="45">
    <w:p w14:paraId="79BB3512"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3" w:history="1">
        <w:r w:rsidRPr="002B2DC2">
          <w:rPr>
            <w:rStyle w:val="Hyperlink"/>
            <w:sz w:val="20"/>
            <w:szCs w:val="20"/>
          </w:rPr>
          <w:t>http://transitionus.org/initiatives/7-principles</w:t>
        </w:r>
      </w:hyperlink>
    </w:p>
  </w:endnote>
  <w:endnote w:id="46">
    <w:p w14:paraId="1DEFFF22" w14:textId="6C83555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p.112.</w:t>
      </w:r>
    </w:p>
  </w:endnote>
  <w:endnote w:id="47">
    <w:p w14:paraId="1B1B7E1E" w14:textId="5071C3CD"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p.113.</w:t>
      </w:r>
    </w:p>
  </w:endnote>
  <w:endnote w:id="48">
    <w:p w14:paraId="053B9A10" w14:textId="46EB0FDF"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Sandel, </w:t>
      </w:r>
      <w:r w:rsidRPr="002B2DC2">
        <w:rPr>
          <w:i/>
          <w:sz w:val="20"/>
          <w:szCs w:val="20"/>
        </w:rPr>
        <w:t>Democracy’s Discontent</w:t>
      </w:r>
      <w:r w:rsidRPr="002B2DC2">
        <w:rPr>
          <w:sz w:val="20"/>
          <w:szCs w:val="20"/>
        </w:rPr>
        <w:t>, p.274.</w:t>
      </w:r>
    </w:p>
  </w:endnote>
  <w:endnote w:id="49">
    <w:p w14:paraId="180ECB5F" w14:textId="5465315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4" w:history="1">
        <w:r w:rsidRPr="002B2DC2">
          <w:rPr>
            <w:rStyle w:val="Hyperlink"/>
            <w:sz w:val="20"/>
            <w:szCs w:val="20"/>
          </w:rPr>
          <w:t>http://transitionus.org/initiatives/7-principles</w:t>
        </w:r>
      </w:hyperlink>
      <w:r w:rsidRPr="002B2DC2">
        <w:rPr>
          <w:sz w:val="20"/>
          <w:szCs w:val="20"/>
        </w:rPr>
        <w:t xml:space="preserve"> </w:t>
      </w:r>
    </w:p>
  </w:endnote>
  <w:endnote w:id="50">
    <w:p w14:paraId="1E8EB4DA"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p.115.</w:t>
      </w:r>
    </w:p>
  </w:endnote>
  <w:endnote w:id="51">
    <w:p w14:paraId="214D72B7" w14:textId="6A1E646B" w:rsidR="00324F6D" w:rsidRPr="002B2DC2" w:rsidRDefault="00324F6D" w:rsidP="00202DD5">
      <w:pPr>
        <w:spacing w:before="240" w:after="240"/>
        <w:rPr>
          <w:sz w:val="20"/>
          <w:szCs w:val="20"/>
        </w:rPr>
      </w:pPr>
      <w:r w:rsidRPr="002B2DC2">
        <w:rPr>
          <w:position w:val="6"/>
          <w:sz w:val="20"/>
          <w:szCs w:val="20"/>
          <w:vertAlign w:val="superscript"/>
        </w:rPr>
        <w:endnoteRef/>
      </w:r>
      <w:r w:rsidRPr="002B2DC2">
        <w:rPr>
          <w:sz w:val="20"/>
          <w:szCs w:val="20"/>
        </w:rPr>
        <w:t xml:space="preserve"> Wood, </w:t>
      </w:r>
      <w:r w:rsidRPr="002B2DC2">
        <w:rPr>
          <w:i/>
          <w:sz w:val="20"/>
          <w:szCs w:val="20"/>
        </w:rPr>
        <w:t>Creation of the American Republic</w:t>
      </w:r>
      <w:r w:rsidRPr="002B2DC2">
        <w:rPr>
          <w:sz w:val="20"/>
          <w:szCs w:val="20"/>
        </w:rPr>
        <w:t>, p.56.</w:t>
      </w:r>
    </w:p>
  </w:endnote>
  <w:endnote w:id="52">
    <w:p w14:paraId="19FC46A3" w14:textId="4E3FCF4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Williamson, </w:t>
      </w:r>
      <w:r w:rsidRPr="002B2DC2">
        <w:rPr>
          <w:i/>
          <w:sz w:val="20"/>
          <w:szCs w:val="20"/>
        </w:rPr>
        <w:t>Sprawl, Justice, and Citizenship</w:t>
      </w:r>
      <w:r w:rsidRPr="002B2DC2">
        <w:rPr>
          <w:sz w:val="20"/>
          <w:szCs w:val="20"/>
        </w:rPr>
        <w:t>, pp.188-189.</w:t>
      </w:r>
    </w:p>
  </w:endnote>
  <w:endnote w:id="53">
    <w:p w14:paraId="1D8147DC" w14:textId="67CF3FA0"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Honohan, </w:t>
      </w:r>
      <w:r w:rsidRPr="002B2DC2">
        <w:rPr>
          <w:i/>
          <w:sz w:val="20"/>
          <w:szCs w:val="20"/>
        </w:rPr>
        <w:t>Civic Republicanism</w:t>
      </w:r>
      <w:r w:rsidRPr="002B2DC2">
        <w:rPr>
          <w:sz w:val="20"/>
          <w:szCs w:val="20"/>
        </w:rPr>
        <w:t>, p.188.</w:t>
      </w:r>
    </w:p>
  </w:endnote>
  <w:endnote w:id="54">
    <w:p w14:paraId="4A7BDA43"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Pettit, </w:t>
      </w:r>
      <w:r w:rsidRPr="002B2DC2">
        <w:rPr>
          <w:i/>
          <w:sz w:val="20"/>
          <w:szCs w:val="20"/>
        </w:rPr>
        <w:t>Republicanism</w:t>
      </w:r>
      <w:r w:rsidRPr="002B2DC2">
        <w:rPr>
          <w:sz w:val="20"/>
          <w:szCs w:val="20"/>
        </w:rPr>
        <w:t>, p.52.</w:t>
      </w:r>
    </w:p>
  </w:endnote>
  <w:endnote w:id="55">
    <w:p w14:paraId="0C711715"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James Bohman, “Nondomination and Transnational Democracy,” in Laborde and Maynor, </w:t>
      </w:r>
      <w:r w:rsidRPr="002B2DC2">
        <w:rPr>
          <w:i/>
          <w:sz w:val="20"/>
          <w:szCs w:val="20"/>
        </w:rPr>
        <w:t>Republicanism and Political Theory</w:t>
      </w:r>
      <w:r w:rsidRPr="002B2DC2">
        <w:rPr>
          <w:sz w:val="20"/>
          <w:szCs w:val="20"/>
        </w:rPr>
        <w:t>, pp. 190-216 (198).</w:t>
      </w:r>
    </w:p>
  </w:endnote>
  <w:endnote w:id="56">
    <w:p w14:paraId="79884E8F"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Laborde and Maynor, “Republican Contribution,” pp.4-5; emphasis in original.</w:t>
      </w:r>
    </w:p>
  </w:endnote>
  <w:endnote w:id="57">
    <w:p w14:paraId="2770920F" w14:textId="1190A01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Laborde and Maynor, “Republican Contribution,” p.4.</w:t>
      </w:r>
    </w:p>
  </w:endnote>
  <w:endnote w:id="58">
    <w:p w14:paraId="14CDF59A"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Pettit, </w:t>
      </w:r>
      <w:r w:rsidRPr="002B2DC2">
        <w:rPr>
          <w:i/>
          <w:sz w:val="20"/>
          <w:szCs w:val="20"/>
        </w:rPr>
        <w:t>Republicanism</w:t>
      </w:r>
      <w:r w:rsidRPr="002B2DC2">
        <w:rPr>
          <w:sz w:val="20"/>
          <w:szCs w:val="20"/>
        </w:rPr>
        <w:t>, p.8.</w:t>
      </w:r>
    </w:p>
  </w:endnote>
  <w:endnote w:id="59">
    <w:p w14:paraId="62110725"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Pettit, </w:t>
      </w:r>
      <w:r w:rsidRPr="002B2DC2">
        <w:rPr>
          <w:i/>
          <w:sz w:val="20"/>
          <w:szCs w:val="20"/>
        </w:rPr>
        <w:t>On the People’s Terms</w:t>
      </w:r>
      <w:r w:rsidRPr="002B2DC2">
        <w:rPr>
          <w:sz w:val="20"/>
          <w:szCs w:val="20"/>
        </w:rPr>
        <w:t>, p.12.</w:t>
      </w:r>
    </w:p>
  </w:endnote>
  <w:endnote w:id="60">
    <w:p w14:paraId="1E52499F" w14:textId="77777777" w:rsidR="00324F6D" w:rsidRPr="002B2DC2" w:rsidRDefault="00324F6D" w:rsidP="00202DD5">
      <w:pPr>
        <w:spacing w:before="240" w:after="240"/>
        <w:rPr>
          <w:sz w:val="20"/>
          <w:szCs w:val="20"/>
        </w:rPr>
      </w:pPr>
      <w:r w:rsidRPr="002B2DC2">
        <w:rPr>
          <w:position w:val="6"/>
          <w:sz w:val="20"/>
          <w:szCs w:val="20"/>
          <w:vertAlign w:val="superscript"/>
        </w:rPr>
        <w:endnoteRef/>
      </w:r>
      <w:r w:rsidRPr="002B2DC2">
        <w:rPr>
          <w:sz w:val="20"/>
          <w:szCs w:val="20"/>
        </w:rPr>
        <w:t xml:space="preserve"> Forbath, “Ambiguities of Free Labor,” p.775.</w:t>
      </w:r>
    </w:p>
  </w:endnote>
  <w:endnote w:id="61">
    <w:p w14:paraId="55DF1B26"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McCoy, </w:t>
      </w:r>
      <w:r w:rsidRPr="002B2DC2">
        <w:rPr>
          <w:i/>
          <w:sz w:val="20"/>
          <w:szCs w:val="20"/>
        </w:rPr>
        <w:t>Elusive Republic</w:t>
      </w:r>
      <w:r w:rsidRPr="002B2DC2">
        <w:rPr>
          <w:sz w:val="20"/>
          <w:szCs w:val="20"/>
        </w:rPr>
        <w:t>, p.68.</w:t>
      </w:r>
    </w:p>
  </w:endnote>
  <w:endnote w:id="62">
    <w:p w14:paraId="305139ED" w14:textId="164F0350"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w:t>
      </w:r>
    </w:p>
  </w:endnote>
  <w:endnote w:id="63">
    <w:p w14:paraId="5A2FEF4F"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Pettit, </w:t>
      </w:r>
      <w:r w:rsidRPr="002B2DC2">
        <w:rPr>
          <w:i/>
          <w:sz w:val="20"/>
          <w:szCs w:val="20"/>
        </w:rPr>
        <w:t>Republicanism</w:t>
      </w:r>
      <w:r w:rsidRPr="002B2DC2">
        <w:rPr>
          <w:sz w:val="20"/>
          <w:szCs w:val="20"/>
        </w:rPr>
        <w:t>, pp.265-267.</w:t>
      </w:r>
    </w:p>
  </w:endnote>
  <w:endnote w:id="64">
    <w:p w14:paraId="4A721C4E" w14:textId="357693EA"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pp.105, 107.</w:t>
      </w:r>
    </w:p>
  </w:endnote>
  <w:endnote w:id="65">
    <w:p w14:paraId="16B4C23E" w14:textId="49CF450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p.107.</w:t>
      </w:r>
    </w:p>
  </w:endnote>
  <w:endnote w:id="66">
    <w:p w14:paraId="3A1D3CDB" w14:textId="72A07868"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5" w:history="1">
        <w:r w:rsidRPr="002B2DC2">
          <w:rPr>
            <w:rStyle w:val="Hyperlink"/>
            <w:sz w:val="20"/>
            <w:szCs w:val="20"/>
          </w:rPr>
          <w:t>http://transitionus.org/initiatives/7-principles</w:t>
        </w:r>
      </w:hyperlink>
    </w:p>
  </w:endnote>
  <w:endnote w:id="67">
    <w:p w14:paraId="7F41C487" w14:textId="5C985105"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p.39.</w:t>
      </w:r>
    </w:p>
  </w:endnote>
  <w:endnote w:id="68">
    <w:p w14:paraId="67968B97" w14:textId="692A56C5"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p.15.</w:t>
      </w:r>
    </w:p>
  </w:endnote>
  <w:endnote w:id="69">
    <w:p w14:paraId="1E47F586" w14:textId="539F34B8"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p.43.</w:t>
      </w:r>
    </w:p>
  </w:endnote>
  <w:endnote w:id="70">
    <w:p w14:paraId="6BBCFA32"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p.55.</w:t>
      </w:r>
    </w:p>
  </w:endnote>
  <w:endnote w:id="71">
    <w:p w14:paraId="23E08674" w14:textId="4F1ED28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p.144.</w:t>
      </w:r>
    </w:p>
  </w:endnote>
  <w:endnote w:id="72">
    <w:p w14:paraId="7EB67474" w14:textId="3AC8004F"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p.55.</w:t>
      </w:r>
    </w:p>
  </w:endnote>
  <w:endnote w:id="73">
    <w:p w14:paraId="08AF4F28"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p.55.</w:t>
      </w:r>
    </w:p>
  </w:endnote>
  <w:endnote w:id="74">
    <w:p w14:paraId="0C7B96F8" w14:textId="5E75D7DB"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pp.56-57.</w:t>
      </w:r>
    </w:p>
  </w:endnote>
  <w:endnote w:id="75">
    <w:p w14:paraId="49EFB713" w14:textId="762E95D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p.68.</w:t>
      </w:r>
    </w:p>
  </w:endnote>
  <w:endnote w:id="76">
    <w:p w14:paraId="25C1566E" w14:textId="3D326B0C"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p.70.</w:t>
      </w:r>
    </w:p>
  </w:endnote>
  <w:endnote w:id="77">
    <w:p w14:paraId="17B12445" w14:textId="2CDC6B0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p.58.</w:t>
      </w:r>
    </w:p>
  </w:endnote>
  <w:endnote w:id="78">
    <w:p w14:paraId="0585302B" w14:textId="2E476DDD"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p.58.</w:t>
      </w:r>
    </w:p>
  </w:endnote>
  <w:endnote w:id="79">
    <w:p w14:paraId="67762FD2" w14:textId="6A6D8AA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p.170.</w:t>
      </w:r>
    </w:p>
  </w:endnote>
  <w:endnote w:id="80">
    <w:p w14:paraId="0DE36078" w14:textId="1944CF1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pp.144-145.</w:t>
      </w:r>
    </w:p>
  </w:endnote>
  <w:endnote w:id="81">
    <w:p w14:paraId="2E624795" w14:textId="4E153C1C"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pp.137, 140.</w:t>
      </w:r>
    </w:p>
  </w:endnote>
  <w:endnote w:id="82">
    <w:p w14:paraId="11700B8A" w14:textId="1DD09A68"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pp.94-95.</w:t>
      </w:r>
    </w:p>
  </w:endnote>
  <w:endnote w:id="83">
    <w:p w14:paraId="714B8209" w14:textId="7BE6F405" w:rsidR="00324F6D" w:rsidRPr="002B2DC2" w:rsidRDefault="00324F6D" w:rsidP="00202DD5">
      <w:pPr>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p.95.  See Will Steffen, et al., “</w:t>
      </w:r>
      <w:r w:rsidRPr="002B2DC2">
        <w:rPr>
          <w:rFonts w:eastAsia="Times New Roman" w:cs="Times New Roman"/>
          <w:sz w:val="20"/>
          <w:szCs w:val="20"/>
        </w:rPr>
        <w:t xml:space="preserve">The Anthropocene: From Global Change to Planetary Stewardship,” </w:t>
      </w:r>
      <w:r w:rsidRPr="002B2DC2">
        <w:rPr>
          <w:rFonts w:eastAsia="Times New Roman" w:cs="Times New Roman"/>
          <w:i/>
          <w:sz w:val="20"/>
          <w:szCs w:val="20"/>
        </w:rPr>
        <w:t>Ambio</w:t>
      </w:r>
      <w:r w:rsidRPr="002B2DC2">
        <w:rPr>
          <w:rFonts w:eastAsia="Times New Roman" w:cs="Times New Roman"/>
          <w:sz w:val="20"/>
          <w:szCs w:val="20"/>
        </w:rPr>
        <w:t>, Vol. 40, No. 7 (Nov. 2011), pp. 739–761</w:t>
      </w:r>
      <w:r w:rsidRPr="002B2DC2">
        <w:rPr>
          <w:sz w:val="20"/>
          <w:szCs w:val="20"/>
        </w:rPr>
        <w:t>; Johan Rockström, Will Steffen, Kevin Noone, et al., “</w:t>
      </w:r>
      <w:r w:rsidRPr="002B2DC2">
        <w:rPr>
          <w:rFonts w:cs="∞Ôˇøª∂z,¿î5'A0Ò•'C1+Hˇøpbó,ÙwP"/>
          <w:color w:val="000000"/>
          <w:sz w:val="20"/>
          <w:szCs w:val="20"/>
        </w:rPr>
        <w:t xml:space="preserve">Safe Operating Space for Humanity” (2009), in Libby Robin, Sverker Sörlin, and Paul Warde, eds., </w:t>
      </w:r>
      <w:r w:rsidRPr="002B2DC2">
        <w:rPr>
          <w:rFonts w:cs="∞Ôˇøª∂z,¿î5'A0Ò•'C1+Hˇøpbó,ÙwP"/>
          <w:i/>
          <w:color w:val="000000"/>
          <w:sz w:val="20"/>
          <w:szCs w:val="20"/>
        </w:rPr>
        <w:t>Documents of Global Change</w:t>
      </w:r>
      <w:r w:rsidRPr="002B2DC2">
        <w:rPr>
          <w:rFonts w:cs="∞Ôˇøª∂z,¿î5'A0Ò•'C1+Hˇøpbó,ÙwP"/>
          <w:color w:val="000000"/>
          <w:sz w:val="20"/>
          <w:szCs w:val="20"/>
        </w:rPr>
        <w:t>, (New Haven: Yale University Press, 2013), pp.491-501.</w:t>
      </w:r>
    </w:p>
  </w:endnote>
  <w:endnote w:id="84">
    <w:p w14:paraId="10BCFC7B" w14:textId="77777777" w:rsidR="00324F6D" w:rsidRPr="002B2DC2" w:rsidRDefault="00324F6D" w:rsidP="00202DD5">
      <w:pPr>
        <w:pStyle w:val="EndnoteText"/>
        <w:spacing w:before="240" w:after="240"/>
        <w:rPr>
          <w:rFonts w:eastAsia="Times New Roman" w:cs="Times New Roman"/>
          <w:bCs/>
          <w:iCs/>
          <w:sz w:val="20"/>
          <w:szCs w:val="20"/>
        </w:rPr>
      </w:pPr>
      <w:r w:rsidRPr="002B2DC2">
        <w:rPr>
          <w:rStyle w:val="EndnoteReference"/>
          <w:sz w:val="20"/>
          <w:szCs w:val="20"/>
        </w:rPr>
        <w:endnoteRef/>
      </w:r>
      <w:r w:rsidRPr="002B2DC2">
        <w:rPr>
          <w:sz w:val="20"/>
          <w:szCs w:val="20"/>
        </w:rPr>
        <w:t xml:space="preserve"> See, for example, Jared Diamond, </w:t>
      </w:r>
      <w:r w:rsidRPr="002B2DC2">
        <w:rPr>
          <w:i/>
          <w:sz w:val="20"/>
          <w:szCs w:val="20"/>
        </w:rPr>
        <w:t>Collapse:</w:t>
      </w:r>
      <w:r w:rsidRPr="002B2DC2">
        <w:rPr>
          <w:sz w:val="20"/>
          <w:szCs w:val="20"/>
        </w:rPr>
        <w:t xml:space="preserve"> </w:t>
      </w:r>
      <w:r w:rsidRPr="002B2DC2">
        <w:rPr>
          <w:rFonts w:eastAsia="Times New Roman" w:cs="Times New Roman"/>
          <w:bCs/>
          <w:i/>
          <w:iCs/>
          <w:sz w:val="20"/>
          <w:szCs w:val="20"/>
        </w:rPr>
        <w:t xml:space="preserve">How Societies Choose to Fail or Succeed </w:t>
      </w:r>
      <w:r w:rsidRPr="002B2DC2">
        <w:rPr>
          <w:rFonts w:eastAsia="Times New Roman" w:cs="Times New Roman"/>
          <w:bCs/>
          <w:iCs/>
          <w:sz w:val="20"/>
          <w:szCs w:val="20"/>
        </w:rPr>
        <w:t>(New York: Penguin, 2005).</w:t>
      </w:r>
    </w:p>
  </w:endnote>
  <w:endnote w:id="85">
    <w:p w14:paraId="3D2EA551" w14:textId="76C2DD57" w:rsidR="00324F6D" w:rsidRPr="002B2DC2" w:rsidRDefault="00324F6D" w:rsidP="00202DD5">
      <w:pPr>
        <w:widowControl w:val="0"/>
        <w:autoSpaceDE w:val="0"/>
        <w:autoSpaceDN w:val="0"/>
        <w:adjustRightInd w:val="0"/>
        <w:spacing w:before="240" w:after="240"/>
        <w:rPr>
          <w:rFonts w:cs="∞Ôˇøª∂z,¿î5'A0Ò•'C1+Hˇøpbó,ÙwP"/>
          <w:color w:val="000000"/>
          <w:sz w:val="20"/>
          <w:szCs w:val="20"/>
        </w:rPr>
      </w:pPr>
      <w:r w:rsidRPr="002B2DC2">
        <w:rPr>
          <w:rStyle w:val="EndnoteReference"/>
          <w:sz w:val="20"/>
          <w:szCs w:val="20"/>
        </w:rPr>
        <w:endnoteRef/>
      </w:r>
      <w:r w:rsidRPr="002B2DC2">
        <w:rPr>
          <w:sz w:val="20"/>
          <w:szCs w:val="20"/>
        </w:rPr>
        <w:t xml:space="preserve"> See Rockström, et al., “</w:t>
      </w:r>
      <w:r w:rsidRPr="002B2DC2">
        <w:rPr>
          <w:rFonts w:cs="∞Ôˇøª∂z,¿î5'A0Ò•'C1+Hˇøpbó,ÙwP"/>
          <w:color w:val="000000"/>
          <w:sz w:val="20"/>
          <w:szCs w:val="20"/>
        </w:rPr>
        <w:t>Safe Operating Space for Humanity.”</w:t>
      </w:r>
    </w:p>
  </w:endnote>
  <w:endnote w:id="86">
    <w:p w14:paraId="5D540DFF" w14:textId="6BB4E8D8" w:rsidR="00324F6D" w:rsidRPr="002B2DC2" w:rsidRDefault="00324F6D" w:rsidP="00202DD5">
      <w:pPr>
        <w:pStyle w:val="EndnoteText"/>
        <w:spacing w:before="240" w:after="240"/>
        <w:rPr>
          <w:rFonts w:cs="Times"/>
          <w:color w:val="000000"/>
          <w:sz w:val="20"/>
          <w:szCs w:val="20"/>
        </w:rPr>
      </w:pPr>
      <w:r w:rsidRPr="002B2DC2">
        <w:rPr>
          <w:rStyle w:val="EndnoteReference"/>
          <w:sz w:val="20"/>
          <w:szCs w:val="20"/>
        </w:rPr>
        <w:endnoteRef/>
      </w:r>
      <w:r w:rsidRPr="002B2DC2">
        <w:rPr>
          <w:sz w:val="20"/>
          <w:szCs w:val="20"/>
        </w:rPr>
        <w:t xml:space="preserve"> </w:t>
      </w:r>
      <w:r w:rsidRPr="002B2DC2">
        <w:rPr>
          <w:rFonts w:cs="Helvetica"/>
          <w:color w:val="000000"/>
          <w:sz w:val="20"/>
          <w:szCs w:val="20"/>
        </w:rPr>
        <w:t>Will Steffen, Paul J. Crutzen and John R. McNeill</w:t>
      </w:r>
      <w:r w:rsidRPr="002B2DC2">
        <w:rPr>
          <w:sz w:val="20"/>
          <w:szCs w:val="20"/>
        </w:rPr>
        <w:t>, “</w:t>
      </w:r>
      <w:r w:rsidRPr="002B2DC2">
        <w:rPr>
          <w:rFonts w:cs="Helvetica"/>
          <w:color w:val="000000"/>
          <w:sz w:val="20"/>
          <w:szCs w:val="20"/>
        </w:rPr>
        <w:t xml:space="preserve">The Anthropocene: Are Humans Now Overwhelming the Great Forces of Nature?”, </w:t>
      </w:r>
      <w:r w:rsidRPr="002B2DC2">
        <w:rPr>
          <w:rFonts w:cs="Times"/>
          <w:i/>
          <w:color w:val="000000"/>
          <w:sz w:val="20"/>
          <w:szCs w:val="20"/>
        </w:rPr>
        <w:t>Ambio</w:t>
      </w:r>
      <w:r w:rsidRPr="002B2DC2">
        <w:rPr>
          <w:rFonts w:cs="Times"/>
          <w:color w:val="000000"/>
          <w:sz w:val="20"/>
          <w:szCs w:val="20"/>
        </w:rPr>
        <w:t xml:space="preserve"> Vol. 36, No. 8, December 2007, pp.614-621.</w:t>
      </w:r>
    </w:p>
  </w:endnote>
  <w:endnote w:id="87">
    <w:p w14:paraId="1EF5C6EA" w14:textId="4DB5C034"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p.95.</w:t>
      </w:r>
    </w:p>
  </w:endnote>
  <w:endnote w:id="88">
    <w:p w14:paraId="1A72F0BE" w14:textId="22275D7E"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Steffen, et al., “</w:t>
      </w:r>
      <w:r w:rsidRPr="002B2DC2">
        <w:rPr>
          <w:rFonts w:eastAsia="Times New Roman" w:cs="Times New Roman"/>
          <w:sz w:val="20"/>
          <w:szCs w:val="20"/>
        </w:rPr>
        <w:t>The Anthropocene: From Global Change to Planetary Stewardship,” p.749.</w:t>
      </w:r>
    </w:p>
  </w:endnote>
  <w:endnote w:id="89">
    <w:p w14:paraId="150B5212" w14:textId="0E46D549"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Steffen, et al., “</w:t>
      </w:r>
      <w:r w:rsidRPr="002B2DC2">
        <w:rPr>
          <w:rFonts w:eastAsia="Times New Roman" w:cs="Times New Roman"/>
          <w:sz w:val="20"/>
          <w:szCs w:val="20"/>
        </w:rPr>
        <w:t>The Anthropocene: From Global Change to Planetary Stewardship,” p.753.</w:t>
      </w:r>
    </w:p>
  </w:endnote>
  <w:endnote w:id="90">
    <w:p w14:paraId="0AB44792" w14:textId="3D8BC3BC"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Steffen, et al., “</w:t>
      </w:r>
      <w:r w:rsidRPr="002B2DC2">
        <w:rPr>
          <w:rFonts w:eastAsia="Times New Roman" w:cs="Times New Roman"/>
          <w:sz w:val="20"/>
          <w:szCs w:val="20"/>
        </w:rPr>
        <w:t>The Anthropocene: From Global Change to Planetary Stewardship,” p.754.</w:t>
      </w:r>
    </w:p>
  </w:endnote>
  <w:endnote w:id="91">
    <w:p w14:paraId="606E5772" w14:textId="0CA1EFA2"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Steffen, et al., “</w:t>
      </w:r>
      <w:r w:rsidRPr="002B2DC2">
        <w:rPr>
          <w:rFonts w:eastAsia="Times New Roman" w:cs="Times New Roman"/>
          <w:sz w:val="20"/>
          <w:szCs w:val="20"/>
        </w:rPr>
        <w:t>The Anthropocene: From Global Change to Planetary Stewardship,” p.754.</w:t>
      </w:r>
    </w:p>
  </w:endnote>
  <w:endnote w:id="92">
    <w:p w14:paraId="46870BC2" w14:textId="40E80268"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Steffen, et al., “</w:t>
      </w:r>
      <w:r w:rsidRPr="002B2DC2">
        <w:rPr>
          <w:rFonts w:eastAsia="Times New Roman" w:cs="Times New Roman"/>
          <w:sz w:val="20"/>
          <w:szCs w:val="20"/>
        </w:rPr>
        <w:t>The Anthropocene: From Global Change to Planetary Stewardship,” p.755.</w:t>
      </w:r>
    </w:p>
  </w:endnote>
  <w:endnote w:id="93">
    <w:p w14:paraId="0499DD48" w14:textId="448B11B9"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Breena Holland, “Environment as Meta-capability: Why a Dignified Human Life Requires a Stable Climate,” in Thompson and Bendik-Keymer, </w:t>
      </w:r>
      <w:r w:rsidRPr="002B2DC2">
        <w:rPr>
          <w:i/>
          <w:sz w:val="20"/>
          <w:szCs w:val="20"/>
        </w:rPr>
        <w:t xml:space="preserve">Ethical Adaptation to Climate Change </w:t>
      </w:r>
      <w:r w:rsidRPr="002B2DC2">
        <w:rPr>
          <w:sz w:val="20"/>
          <w:szCs w:val="20"/>
        </w:rPr>
        <w:t>(Cambridge: MIT Press, 2012), pp.145-164 (152).</w:t>
      </w:r>
    </w:p>
  </w:endnote>
  <w:endnote w:id="94">
    <w:p w14:paraId="73816801"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Holland, “Environment as Meta-capability,” p. 154.</w:t>
      </w:r>
    </w:p>
  </w:endnote>
  <w:endnote w:id="95">
    <w:p w14:paraId="467FF083"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Holland, “Environment as Meta-capability,” p. 155.</w:t>
      </w:r>
    </w:p>
  </w:endnote>
  <w:endnote w:id="96">
    <w:p w14:paraId="1C5E22D5" w14:textId="686ECBDB"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Peter North, “</w:t>
      </w:r>
      <w:r w:rsidRPr="002B2DC2">
        <w:rPr>
          <w:bCs/>
          <w:sz w:val="20"/>
          <w:szCs w:val="20"/>
        </w:rPr>
        <w:t>Ecolocalisation as a Progressive Response to Peak Oil and Climate Change – A Sympathetic Critique” (Working Paper), Liverpool: University of Liverpool, 2010, p.14.</w:t>
      </w:r>
    </w:p>
  </w:endnote>
  <w:endnote w:id="97">
    <w:p w14:paraId="2C49275E" w14:textId="795A983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Esther Alloun and Samuel Alexander, “</w:t>
      </w:r>
      <w:r w:rsidRPr="002B2DC2">
        <w:rPr>
          <w:rFonts w:eastAsia="Times New Roman" w:cs="Times New Roman"/>
          <w:sz w:val="20"/>
          <w:szCs w:val="20"/>
        </w:rPr>
        <w:t xml:space="preserve">The Transition Movement: Questions of Diversity, Power, and Affluence,” </w:t>
      </w:r>
      <w:r w:rsidRPr="002B2DC2">
        <w:rPr>
          <w:rFonts w:eastAsia="Times New Roman" w:cs="Times New Roman"/>
          <w:i/>
          <w:sz w:val="20"/>
          <w:szCs w:val="20"/>
        </w:rPr>
        <w:t>Simplicity Institute Report</w:t>
      </w:r>
      <w:r w:rsidRPr="002B2DC2">
        <w:rPr>
          <w:rFonts w:eastAsia="Times New Roman" w:cs="Times New Roman"/>
          <w:sz w:val="20"/>
          <w:szCs w:val="20"/>
        </w:rPr>
        <w:t xml:space="preserve"> 14g, 2014, p.7.</w:t>
      </w:r>
    </w:p>
  </w:endnote>
  <w:endnote w:id="98">
    <w:p w14:paraId="117D515E" w14:textId="75865935"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Alloun and Alexander, “</w:t>
      </w:r>
      <w:r w:rsidRPr="002B2DC2">
        <w:rPr>
          <w:rFonts w:eastAsia="Times New Roman" w:cs="Times New Roman"/>
          <w:sz w:val="20"/>
          <w:szCs w:val="20"/>
        </w:rPr>
        <w:t>The Transition Movement,” pp.9-10.</w:t>
      </w:r>
    </w:p>
  </w:endnote>
  <w:endnote w:id="99">
    <w:p w14:paraId="62B6F2A0"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David Miller, “Republicanism, National Identity, and Europe,” in Laborde and Maynor, </w:t>
      </w:r>
      <w:r w:rsidRPr="002B2DC2">
        <w:rPr>
          <w:i/>
          <w:sz w:val="20"/>
          <w:szCs w:val="20"/>
        </w:rPr>
        <w:t>Republicanism and Political Theory</w:t>
      </w:r>
      <w:r w:rsidRPr="002B2DC2">
        <w:rPr>
          <w:sz w:val="20"/>
          <w:szCs w:val="20"/>
        </w:rPr>
        <w:t>, pp.133-158 (133).</w:t>
      </w:r>
    </w:p>
  </w:endnote>
  <w:endnote w:id="100">
    <w:p w14:paraId="1F86C5E9"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Miller, “Republicanism, National Identity, and Europe,” p.133.</w:t>
      </w:r>
    </w:p>
  </w:endnote>
  <w:endnote w:id="101">
    <w:p w14:paraId="106330B2" w14:textId="462552AA"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Niccolò Machiavelli, </w:t>
      </w:r>
      <w:r w:rsidRPr="002B2DC2">
        <w:rPr>
          <w:rFonts w:cs="Arial"/>
          <w:i/>
          <w:color w:val="424242"/>
          <w:sz w:val="20"/>
          <w:szCs w:val="20"/>
        </w:rPr>
        <w:t xml:space="preserve">The </w:t>
      </w:r>
      <w:r w:rsidRPr="002B2DC2">
        <w:rPr>
          <w:rFonts w:cs="Arial"/>
          <w:bCs/>
          <w:i/>
          <w:color w:val="424242"/>
          <w:sz w:val="20"/>
          <w:szCs w:val="20"/>
        </w:rPr>
        <w:t>Discourses</w:t>
      </w:r>
      <w:r w:rsidRPr="002B2DC2">
        <w:rPr>
          <w:rFonts w:cs="Arial"/>
          <w:color w:val="424242"/>
          <w:sz w:val="20"/>
          <w:szCs w:val="20"/>
        </w:rPr>
        <w:t xml:space="preserve">, trans. Leslie J. Walker (London: Penguin. </w:t>
      </w:r>
      <w:r w:rsidRPr="002B2DC2">
        <w:rPr>
          <w:rFonts w:cs="Arial"/>
          <w:bCs/>
          <w:color w:val="424242"/>
          <w:sz w:val="20"/>
          <w:szCs w:val="20"/>
        </w:rPr>
        <w:t>1970</w:t>
      </w:r>
      <w:r w:rsidRPr="002B2DC2">
        <w:rPr>
          <w:rFonts w:cs="Arial"/>
          <w:color w:val="424242"/>
          <w:sz w:val="20"/>
          <w:szCs w:val="20"/>
        </w:rPr>
        <w:t>)</w:t>
      </w:r>
      <w:r w:rsidRPr="002B2DC2">
        <w:rPr>
          <w:sz w:val="20"/>
          <w:szCs w:val="20"/>
        </w:rPr>
        <w:t>; Miller, “Republicanism, National Identity, and Europe,” p.134.</w:t>
      </w:r>
    </w:p>
  </w:endnote>
  <w:endnote w:id="102">
    <w:p w14:paraId="484FE738" w14:textId="408CACCB" w:rsidR="00324F6D" w:rsidRPr="002B2DC2" w:rsidRDefault="00324F6D" w:rsidP="00202DD5">
      <w:pPr>
        <w:widowControl w:val="0"/>
        <w:spacing w:before="240" w:after="240"/>
        <w:rPr>
          <w:sz w:val="20"/>
          <w:szCs w:val="20"/>
        </w:rPr>
      </w:pPr>
      <w:r w:rsidRPr="002B2DC2">
        <w:rPr>
          <w:rStyle w:val="EndnoteReference"/>
          <w:sz w:val="20"/>
          <w:szCs w:val="20"/>
        </w:rPr>
        <w:endnoteRef/>
      </w:r>
      <w:r w:rsidRPr="002B2DC2">
        <w:rPr>
          <w:sz w:val="20"/>
          <w:szCs w:val="20"/>
        </w:rPr>
        <w:t xml:space="preserve"> See James Madison, “Federalist No. 10,” in James Madison, Alexander Hamilton, and John Jay, </w:t>
      </w:r>
      <w:r w:rsidRPr="002B2DC2">
        <w:rPr>
          <w:i/>
          <w:sz w:val="20"/>
          <w:szCs w:val="20"/>
        </w:rPr>
        <w:t>The Federalist Papers</w:t>
      </w:r>
      <w:r w:rsidRPr="002B2DC2">
        <w:rPr>
          <w:sz w:val="20"/>
          <w:szCs w:val="20"/>
        </w:rPr>
        <w:t xml:space="preserve">, ed. by Clinton Rossiter (New York: Penguin Putnam, 1961), pp.71-79; Miller, “Republicanism, National Identity, and Europe,” pp.134-136, as well as Francisco Seijo, “Niccolò Machiavelli: Rethinking Decentralization’s Role in Green Theory,” in Peter F. Cannavò and Joseph H. Lane, Jr., eds., </w:t>
      </w:r>
      <w:r w:rsidRPr="002B2DC2">
        <w:rPr>
          <w:i/>
          <w:sz w:val="20"/>
          <w:szCs w:val="20"/>
        </w:rPr>
        <w:t>Engaging Nature: Environmentalism and the Political Theory Canon</w:t>
      </w:r>
      <w:r w:rsidRPr="002B2DC2">
        <w:rPr>
          <w:sz w:val="20"/>
          <w:szCs w:val="20"/>
        </w:rPr>
        <w:t xml:space="preserve"> (Cambridge: The MIT Press, 2014), pp.65-81.</w:t>
      </w:r>
    </w:p>
  </w:endnote>
  <w:endnote w:id="103">
    <w:p w14:paraId="3C661EEB"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Pettit, </w:t>
      </w:r>
      <w:r w:rsidRPr="002B2DC2">
        <w:rPr>
          <w:i/>
          <w:sz w:val="20"/>
          <w:szCs w:val="20"/>
        </w:rPr>
        <w:t>Republicanism</w:t>
      </w:r>
      <w:r w:rsidRPr="002B2DC2">
        <w:rPr>
          <w:sz w:val="20"/>
          <w:szCs w:val="20"/>
        </w:rPr>
        <w:t>, p.179.</w:t>
      </w:r>
    </w:p>
  </w:endnote>
  <w:endnote w:id="104">
    <w:p w14:paraId="34BCF377"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Miller, “Republicanism, National Identity, and Europe,” p.136.</w:t>
      </w:r>
    </w:p>
  </w:endnote>
  <w:endnote w:id="105">
    <w:p w14:paraId="239A9585"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Sandel, </w:t>
      </w:r>
      <w:r w:rsidRPr="002B2DC2">
        <w:rPr>
          <w:i/>
          <w:sz w:val="20"/>
          <w:szCs w:val="20"/>
        </w:rPr>
        <w:t>Democracy’s Discontent</w:t>
      </w:r>
      <w:r w:rsidRPr="002B2DC2">
        <w:rPr>
          <w:sz w:val="20"/>
          <w:szCs w:val="20"/>
        </w:rPr>
        <w:t>, pp.345,</w:t>
      </w:r>
    </w:p>
  </w:endnote>
  <w:endnote w:id="106">
    <w:p w14:paraId="06F1AAFB" w14:textId="1E24A880" w:rsidR="00324F6D" w:rsidRPr="002B2DC2" w:rsidRDefault="00324F6D" w:rsidP="00202DD5">
      <w:pPr>
        <w:pStyle w:val="Default"/>
        <w:spacing w:before="240" w:after="240"/>
        <w:rPr>
          <w:rFonts w:asciiTheme="minorHAnsi" w:hAnsiTheme="minorHAnsi"/>
          <w:sz w:val="20"/>
          <w:szCs w:val="20"/>
        </w:rPr>
      </w:pPr>
      <w:r w:rsidRPr="002B2DC2">
        <w:rPr>
          <w:rStyle w:val="EndnoteReference"/>
          <w:rFonts w:asciiTheme="minorHAnsi" w:hAnsiTheme="minorHAnsi"/>
          <w:sz w:val="20"/>
          <w:szCs w:val="20"/>
        </w:rPr>
        <w:endnoteRef/>
      </w:r>
      <w:r w:rsidRPr="002B2DC2">
        <w:rPr>
          <w:rFonts w:asciiTheme="minorHAnsi" w:hAnsiTheme="minorHAnsi"/>
          <w:sz w:val="20"/>
          <w:szCs w:val="20"/>
        </w:rPr>
        <w:t xml:space="preserve"> North, “</w:t>
      </w:r>
      <w:r w:rsidRPr="002B2DC2">
        <w:rPr>
          <w:rFonts w:asciiTheme="minorHAnsi" w:hAnsiTheme="minorHAnsi"/>
          <w:bCs/>
          <w:sz w:val="20"/>
          <w:szCs w:val="20"/>
        </w:rPr>
        <w:t>Ecolocalisation – A Sympathetic Critique,” p.13.</w:t>
      </w:r>
    </w:p>
  </w:endnote>
  <w:endnote w:id="107">
    <w:p w14:paraId="3722F902"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Seijo, “Niccolò Machiavelli,” p.74.</w:t>
      </w:r>
    </w:p>
  </w:endnote>
  <w:endnote w:id="108">
    <w:p w14:paraId="5FCEA13B" w14:textId="2E0A6FCF" w:rsidR="00324F6D" w:rsidRPr="002B2DC2" w:rsidRDefault="00324F6D">
      <w:pPr>
        <w:pStyle w:val="EndnoteText"/>
        <w:rPr>
          <w:sz w:val="20"/>
          <w:szCs w:val="20"/>
        </w:rPr>
      </w:pPr>
      <w:r w:rsidRPr="002B2DC2">
        <w:rPr>
          <w:rStyle w:val="EndnoteReference"/>
          <w:sz w:val="20"/>
          <w:szCs w:val="20"/>
        </w:rPr>
        <w:endnoteRef/>
      </w:r>
      <w:r w:rsidRPr="002B2DC2">
        <w:rPr>
          <w:sz w:val="20"/>
          <w:szCs w:val="20"/>
        </w:rPr>
        <w:t xml:space="preserve"> “Contraction and convergence” is </w:t>
      </w:r>
      <w:r>
        <w:rPr>
          <w:sz w:val="20"/>
          <w:szCs w:val="20"/>
        </w:rPr>
        <w:t>a term for a policy of reducing overall global greenhouse gas emissions through significant reductions – ‘contraction’ – on the part of the affluent while poorer nations, communities, or individuals increase their own emissions in order to escape from poverty.</w:t>
      </w:r>
    </w:p>
  </w:endnote>
  <w:endnote w:id="109">
    <w:p w14:paraId="232AA061" w14:textId="77777777" w:rsidR="00324F6D" w:rsidRPr="002B2DC2" w:rsidRDefault="00324F6D" w:rsidP="00202DD5">
      <w:pPr>
        <w:spacing w:before="240" w:after="240"/>
        <w:outlineLvl w:val="0"/>
        <w:rPr>
          <w:rFonts w:eastAsia="Times New Roman" w:cs="Times New Roman"/>
          <w:bCs/>
          <w:kern w:val="36"/>
          <w:sz w:val="20"/>
          <w:szCs w:val="20"/>
        </w:rPr>
      </w:pPr>
      <w:r w:rsidRPr="002B2DC2">
        <w:rPr>
          <w:rStyle w:val="EndnoteReference"/>
          <w:sz w:val="20"/>
          <w:szCs w:val="20"/>
        </w:rPr>
        <w:endnoteRef/>
      </w:r>
      <w:r w:rsidRPr="002B2DC2">
        <w:rPr>
          <w:sz w:val="20"/>
          <w:szCs w:val="20"/>
        </w:rPr>
        <w:t xml:space="preserve"> Rupert Read, “</w:t>
      </w:r>
      <w:r w:rsidRPr="002B2DC2">
        <w:rPr>
          <w:rFonts w:eastAsia="Times New Roman" w:cs="Times New Roman"/>
          <w:bCs/>
          <w:sz w:val="20"/>
          <w:szCs w:val="20"/>
        </w:rPr>
        <w:t xml:space="preserve">‘Transition Towns’ Are Great – But They Won’t Save Us, Without Help,” </w:t>
      </w:r>
      <w:r w:rsidRPr="002B2DC2">
        <w:rPr>
          <w:rFonts w:eastAsia="Times New Roman" w:cs="Times New Roman"/>
          <w:bCs/>
          <w:i/>
          <w:sz w:val="20"/>
          <w:szCs w:val="20"/>
        </w:rPr>
        <w:t>Rupert’s Read</w:t>
      </w:r>
      <w:r w:rsidRPr="002B2DC2">
        <w:rPr>
          <w:rFonts w:eastAsia="Times New Roman" w:cs="Times New Roman"/>
          <w:bCs/>
          <w:sz w:val="20"/>
          <w:szCs w:val="20"/>
        </w:rPr>
        <w:t xml:space="preserve"> (blog), February 12, 2008, </w:t>
      </w:r>
      <w:hyperlink r:id="rId16" w:history="1">
        <w:r w:rsidRPr="002B2DC2">
          <w:rPr>
            <w:rStyle w:val="Hyperlink"/>
            <w:rFonts w:eastAsia="Times New Roman" w:cs="Times New Roman"/>
            <w:bCs/>
            <w:kern w:val="36"/>
            <w:sz w:val="20"/>
            <w:szCs w:val="20"/>
          </w:rPr>
          <w:t>http://rupertsread.blogspot.com.au/2008/02/transition-towns-are-great-but-they.html?m=1</w:t>
        </w:r>
      </w:hyperlink>
      <w:r w:rsidRPr="002B2DC2">
        <w:rPr>
          <w:rFonts w:eastAsia="Times New Roman" w:cs="Times New Roman"/>
          <w:bCs/>
          <w:kern w:val="36"/>
          <w:sz w:val="20"/>
          <w:szCs w:val="20"/>
        </w:rPr>
        <w:t>; emphasis in original.</w:t>
      </w:r>
    </w:p>
  </w:endnote>
  <w:endnote w:id="110">
    <w:p w14:paraId="7C66CB55"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Bohman, “Nondomination and Transnational Democracy,” pp.208, 212.</w:t>
      </w:r>
    </w:p>
  </w:endnote>
  <w:endnote w:id="111">
    <w:p w14:paraId="584AEE43" w14:textId="7B4FD479"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North, “</w:t>
      </w:r>
      <w:r w:rsidRPr="002B2DC2">
        <w:rPr>
          <w:bCs/>
          <w:sz w:val="20"/>
          <w:szCs w:val="20"/>
        </w:rPr>
        <w:t>Ecolocalisation as a Progressive Response,” p.14.</w:t>
      </w:r>
    </w:p>
  </w:endnote>
  <w:endnote w:id="112">
    <w:p w14:paraId="3409D113" w14:textId="37A6A836"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See Pettit, </w:t>
      </w:r>
      <w:r w:rsidRPr="002B2DC2">
        <w:rPr>
          <w:i/>
          <w:sz w:val="20"/>
          <w:szCs w:val="20"/>
        </w:rPr>
        <w:t>Republicanism</w:t>
      </w:r>
      <w:r w:rsidRPr="002B2DC2">
        <w:rPr>
          <w:sz w:val="20"/>
          <w:szCs w:val="20"/>
        </w:rPr>
        <w:t>, pp.135-138, on this point.</w:t>
      </w:r>
    </w:p>
  </w:endnote>
  <w:endnote w:id="113">
    <w:p w14:paraId="0E9368AE"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Bohman, “Nondomination and Transnational Democracy,” p.194.</w:t>
      </w:r>
    </w:p>
  </w:endnote>
  <w:endnote w:id="114">
    <w:p w14:paraId="482384CC"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Bohman, “Nondomination and Transnational Democracy,” p.194.</w:t>
      </w:r>
    </w:p>
  </w:endnote>
  <w:endnote w:id="115">
    <w:p w14:paraId="15AA58AF"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Bohman, “Nondomination and Transnational Democracy,” p.196.</w:t>
      </w:r>
    </w:p>
  </w:endnote>
  <w:endnote w:id="116">
    <w:p w14:paraId="3F00BC53"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pp.65-67.</w:t>
      </w:r>
    </w:p>
  </w:endnote>
  <w:endnote w:id="117">
    <w:p w14:paraId="10796309"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p.76.</w:t>
      </w:r>
    </w:p>
  </w:endnote>
  <w:endnote w:id="118">
    <w:p w14:paraId="1A45813D"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pp.75-76.</w:t>
      </w:r>
    </w:p>
  </w:endnote>
  <w:endnote w:id="119">
    <w:p w14:paraId="6136BFAE" w14:textId="67A3D4EB"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w:t>
      </w:r>
      <w:hyperlink r:id="rId17" w:history="1">
        <w:r w:rsidRPr="002B2DC2">
          <w:rPr>
            <w:rStyle w:val="Hyperlink"/>
            <w:sz w:val="20"/>
            <w:szCs w:val="20"/>
          </w:rPr>
          <w:t>https://www.transitionnetwork.org/blogs/rob-hopkins/2016-03/snapshot-transition-ireland</w:t>
        </w:r>
      </w:hyperlink>
      <w:r w:rsidRPr="002B2DC2">
        <w:rPr>
          <w:sz w:val="20"/>
          <w:szCs w:val="20"/>
        </w:rPr>
        <w:t>.</w:t>
      </w:r>
    </w:p>
  </w:endnote>
  <w:endnote w:id="120">
    <w:p w14:paraId="62854397" w14:textId="77777777"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Hopkins, </w:t>
      </w:r>
      <w:r w:rsidRPr="002B2DC2">
        <w:rPr>
          <w:i/>
          <w:sz w:val="20"/>
          <w:szCs w:val="20"/>
        </w:rPr>
        <w:t>Transition Handbook</w:t>
      </w:r>
      <w:r w:rsidRPr="002B2DC2">
        <w:rPr>
          <w:sz w:val="20"/>
          <w:szCs w:val="20"/>
        </w:rPr>
        <w:t>, p.76.</w:t>
      </w:r>
    </w:p>
  </w:endnote>
  <w:endnote w:id="121">
    <w:p w14:paraId="28302692" w14:textId="77777777" w:rsidR="00324F6D" w:rsidRPr="002B2DC2" w:rsidRDefault="00324F6D" w:rsidP="00BC01B7">
      <w:pPr>
        <w:pStyle w:val="EndnoteText"/>
        <w:spacing w:before="240" w:after="240"/>
        <w:rPr>
          <w:sz w:val="20"/>
          <w:szCs w:val="20"/>
        </w:rPr>
      </w:pPr>
      <w:r w:rsidRPr="002B2DC2">
        <w:rPr>
          <w:rStyle w:val="EndnoteReference"/>
          <w:sz w:val="20"/>
          <w:szCs w:val="20"/>
        </w:rPr>
        <w:endnoteRef/>
      </w:r>
      <w:r w:rsidRPr="002B2DC2">
        <w:rPr>
          <w:sz w:val="20"/>
          <w:szCs w:val="20"/>
        </w:rPr>
        <w:t xml:space="preserve"> </w:t>
      </w:r>
      <w:r w:rsidRPr="002B2DC2">
        <w:rPr>
          <w:rFonts w:cs="Times New Roman"/>
          <w:sz w:val="20"/>
          <w:szCs w:val="20"/>
        </w:rPr>
        <w:t xml:space="preserve">Paul Chatterton and Alice Cutler, </w:t>
      </w:r>
      <w:r w:rsidRPr="002B2DC2">
        <w:rPr>
          <w:rFonts w:cs="Times New Roman"/>
          <w:i/>
          <w:sz w:val="20"/>
          <w:szCs w:val="20"/>
        </w:rPr>
        <w:t>The Rocky Road to a Real Transition: The Transition Movement and What it Means for Social Change</w:t>
      </w:r>
      <w:r w:rsidRPr="002B2DC2">
        <w:rPr>
          <w:rFonts w:cs="Times New Roman"/>
          <w:sz w:val="20"/>
          <w:szCs w:val="20"/>
        </w:rPr>
        <w:t xml:space="preserve">, Trapese Collective, 2008, p.7, </w:t>
      </w:r>
      <w:hyperlink r:id="rId18" w:history="1">
        <w:r w:rsidRPr="002B2DC2">
          <w:rPr>
            <w:rStyle w:val="Hyperlink"/>
            <w:rFonts w:eastAsia="Times New Roman" w:cs="Times New Roman"/>
            <w:sz w:val="20"/>
            <w:szCs w:val="20"/>
          </w:rPr>
          <w:t>trapese.clearerchannel.org/resources/</w:t>
        </w:r>
        <w:r w:rsidRPr="002B2DC2">
          <w:rPr>
            <w:rStyle w:val="Hyperlink"/>
            <w:rFonts w:eastAsia="Times New Roman" w:cs="Times New Roman"/>
            <w:bCs/>
            <w:sz w:val="20"/>
            <w:szCs w:val="20"/>
          </w:rPr>
          <w:t>rocky</w:t>
        </w:r>
        <w:r w:rsidRPr="002B2DC2">
          <w:rPr>
            <w:rStyle w:val="Hyperlink"/>
            <w:rFonts w:eastAsia="Times New Roman" w:cs="Times New Roman"/>
            <w:sz w:val="20"/>
            <w:szCs w:val="20"/>
          </w:rPr>
          <w:t>-</w:t>
        </w:r>
        <w:r w:rsidRPr="002B2DC2">
          <w:rPr>
            <w:rStyle w:val="Hyperlink"/>
            <w:rFonts w:eastAsia="Times New Roman" w:cs="Times New Roman"/>
            <w:bCs/>
            <w:sz w:val="20"/>
            <w:szCs w:val="20"/>
          </w:rPr>
          <w:t>road</w:t>
        </w:r>
        <w:r w:rsidRPr="002B2DC2">
          <w:rPr>
            <w:rStyle w:val="Hyperlink"/>
            <w:rFonts w:eastAsia="Times New Roman" w:cs="Times New Roman"/>
            <w:sz w:val="20"/>
            <w:szCs w:val="20"/>
          </w:rPr>
          <w:t>-a5-web.pdf</w:t>
        </w:r>
      </w:hyperlink>
      <w:r w:rsidRPr="002B2DC2">
        <w:rPr>
          <w:rStyle w:val="HTMLCite"/>
          <w:rFonts w:eastAsia="Times New Roman" w:cs="Times New Roman"/>
          <w:i w:val="0"/>
          <w:sz w:val="20"/>
          <w:szCs w:val="20"/>
        </w:rPr>
        <w:t>.</w:t>
      </w:r>
    </w:p>
  </w:endnote>
  <w:endnote w:id="122">
    <w:p w14:paraId="56258D40" w14:textId="3A62BF3E" w:rsidR="00324F6D" w:rsidRPr="002B2DC2" w:rsidRDefault="00324F6D" w:rsidP="00202DD5">
      <w:pPr>
        <w:pStyle w:val="Heading1"/>
        <w:spacing w:before="240" w:beforeAutospacing="0" w:after="240" w:afterAutospacing="0"/>
        <w:rPr>
          <w:rFonts w:asciiTheme="minorHAnsi" w:eastAsia="Times New Roman" w:hAnsiTheme="minorHAnsi" w:cs="Times New Roman"/>
          <w:b w:val="0"/>
          <w:sz w:val="20"/>
          <w:szCs w:val="20"/>
        </w:rPr>
      </w:pPr>
      <w:r w:rsidRPr="002B2DC2">
        <w:rPr>
          <w:rStyle w:val="EndnoteReference"/>
          <w:rFonts w:asciiTheme="minorHAnsi" w:hAnsiTheme="minorHAnsi"/>
          <w:b w:val="0"/>
          <w:sz w:val="20"/>
          <w:szCs w:val="20"/>
        </w:rPr>
        <w:endnoteRef/>
      </w:r>
      <w:r w:rsidRPr="002B2DC2">
        <w:rPr>
          <w:rFonts w:asciiTheme="minorHAnsi" w:hAnsiTheme="minorHAnsi"/>
          <w:b w:val="0"/>
          <w:sz w:val="20"/>
          <w:szCs w:val="20"/>
        </w:rPr>
        <w:t xml:space="preserve"> Rob Hopkins, “</w:t>
      </w:r>
      <w:r w:rsidRPr="002B2DC2">
        <w:rPr>
          <w:rFonts w:asciiTheme="minorHAnsi" w:eastAsia="Times New Roman" w:hAnsiTheme="minorHAnsi" w:cs="Times New Roman"/>
          <w:b w:val="0"/>
          <w:sz w:val="20"/>
          <w:szCs w:val="20"/>
        </w:rPr>
        <w:t xml:space="preserve">Is Transition Political?,” Transition Network.org, June 7, 2014, </w:t>
      </w:r>
      <w:hyperlink r:id="rId19" w:history="1">
        <w:r w:rsidRPr="002B2DC2">
          <w:rPr>
            <w:rStyle w:val="Hyperlink"/>
            <w:rFonts w:asciiTheme="minorHAnsi" w:eastAsia="Times New Roman" w:hAnsiTheme="minorHAnsi" w:cs="Times New Roman"/>
            <w:b w:val="0"/>
            <w:sz w:val="20"/>
            <w:szCs w:val="20"/>
          </w:rPr>
          <w:t>https://www.transitionnetwork.org/blogs/rob-hopkins/2014-06/transition-political</w:t>
        </w:r>
      </w:hyperlink>
      <w:r w:rsidRPr="002B2DC2">
        <w:rPr>
          <w:rFonts w:asciiTheme="minorHAnsi" w:eastAsia="Times New Roman" w:hAnsiTheme="minorHAnsi" w:cs="Times New Roman"/>
          <w:b w:val="0"/>
          <w:sz w:val="20"/>
          <w:szCs w:val="20"/>
        </w:rPr>
        <w:t xml:space="preserve">. </w:t>
      </w:r>
    </w:p>
  </w:endnote>
  <w:endnote w:id="123">
    <w:p w14:paraId="6D87EE54" w14:textId="61A8F67F" w:rsidR="00324F6D" w:rsidRPr="002B2DC2" w:rsidRDefault="00324F6D" w:rsidP="00202DD5">
      <w:pPr>
        <w:pStyle w:val="EndnoteText"/>
        <w:spacing w:before="240" w:after="240"/>
        <w:rPr>
          <w:sz w:val="20"/>
          <w:szCs w:val="20"/>
        </w:rPr>
      </w:pPr>
      <w:r w:rsidRPr="002B2DC2">
        <w:rPr>
          <w:rStyle w:val="EndnoteReference"/>
          <w:sz w:val="20"/>
          <w:szCs w:val="20"/>
        </w:rPr>
        <w:endnoteRef/>
      </w:r>
      <w:r w:rsidRPr="002B2DC2">
        <w:rPr>
          <w:sz w:val="20"/>
          <w:szCs w:val="20"/>
        </w:rPr>
        <w:t xml:space="preserve"> Alloun and Alexander, “</w:t>
      </w:r>
      <w:r w:rsidRPr="002B2DC2">
        <w:rPr>
          <w:rFonts w:eastAsia="Times New Roman" w:cs="Times New Roman"/>
          <w:sz w:val="20"/>
          <w:szCs w:val="20"/>
        </w:rPr>
        <w:t>The Transition Movement,” p.13.</w:t>
      </w:r>
    </w:p>
  </w:endnote>
  <w:endnote w:id="124">
    <w:p w14:paraId="2E44416F" w14:textId="046B56D2" w:rsidR="00324F6D" w:rsidRPr="002B2DC2" w:rsidRDefault="00324F6D" w:rsidP="00202DD5">
      <w:pPr>
        <w:widowControl w:val="0"/>
        <w:autoSpaceDE w:val="0"/>
        <w:autoSpaceDN w:val="0"/>
        <w:adjustRightInd w:val="0"/>
        <w:spacing w:before="240" w:after="240"/>
        <w:rPr>
          <w:rFonts w:eastAsia="Times New Roman" w:cs="Times New Roman"/>
          <w:iCs/>
          <w:sz w:val="20"/>
          <w:szCs w:val="20"/>
        </w:rPr>
      </w:pPr>
      <w:r w:rsidRPr="002B2DC2">
        <w:rPr>
          <w:rStyle w:val="EndnoteReference"/>
          <w:sz w:val="20"/>
          <w:szCs w:val="20"/>
        </w:rPr>
        <w:endnoteRef/>
      </w:r>
      <w:r w:rsidRPr="002B2DC2">
        <w:rPr>
          <w:sz w:val="20"/>
          <w:szCs w:val="20"/>
        </w:rPr>
        <w:t xml:space="preserve"> </w:t>
      </w:r>
      <w:r w:rsidRPr="002B2DC2">
        <w:rPr>
          <w:rFonts w:cs="Times New Roman"/>
          <w:sz w:val="20"/>
          <w:szCs w:val="20"/>
        </w:rPr>
        <w:t xml:space="preserve">Chatterton and Cutler, </w:t>
      </w:r>
      <w:r w:rsidRPr="002B2DC2">
        <w:rPr>
          <w:rFonts w:cs="Times New Roman"/>
          <w:i/>
          <w:sz w:val="20"/>
          <w:szCs w:val="20"/>
        </w:rPr>
        <w:t>Rocky Road to a Real Transition</w:t>
      </w:r>
      <w:r w:rsidRPr="002B2DC2">
        <w:rPr>
          <w:rFonts w:cs="Times New Roman"/>
          <w:sz w:val="20"/>
          <w:szCs w:val="20"/>
        </w:rPr>
        <w:t>, p.6</w:t>
      </w:r>
      <w:r w:rsidRPr="002B2DC2">
        <w:rPr>
          <w:rStyle w:val="HTMLCite"/>
          <w:rFonts w:eastAsia="Times New Roman" w:cs="Times New Roman"/>
          <w:i w:val="0"/>
          <w:sz w:val="20"/>
          <w:szCs w:val="20"/>
        </w:rPr>
        <w:t xml:space="preserve">. </w:t>
      </w:r>
    </w:p>
  </w:endnote>
  <w:endnote w:id="125">
    <w:p w14:paraId="563C36ED" w14:textId="2AA8743A" w:rsidR="00324F6D" w:rsidRPr="002B2DC2" w:rsidRDefault="00324F6D" w:rsidP="00202DD5">
      <w:pPr>
        <w:widowControl w:val="0"/>
        <w:autoSpaceDE w:val="0"/>
        <w:autoSpaceDN w:val="0"/>
        <w:adjustRightInd w:val="0"/>
        <w:spacing w:before="240" w:after="240"/>
        <w:rPr>
          <w:rFonts w:eastAsia="Times New Roman" w:cs="Times New Roman"/>
          <w:iCs/>
          <w:sz w:val="20"/>
          <w:szCs w:val="20"/>
        </w:rPr>
      </w:pPr>
      <w:r w:rsidRPr="002B2DC2">
        <w:rPr>
          <w:rStyle w:val="EndnoteReference"/>
          <w:sz w:val="20"/>
          <w:szCs w:val="20"/>
        </w:rPr>
        <w:endnoteRef/>
      </w:r>
      <w:r w:rsidRPr="002B2DC2">
        <w:rPr>
          <w:sz w:val="20"/>
          <w:szCs w:val="20"/>
        </w:rPr>
        <w:t xml:space="preserve"> </w:t>
      </w:r>
      <w:r w:rsidRPr="002B2DC2">
        <w:rPr>
          <w:rFonts w:cs="Times New Roman"/>
          <w:sz w:val="20"/>
          <w:szCs w:val="20"/>
        </w:rPr>
        <w:t xml:space="preserve">Chatterton and Cutler, </w:t>
      </w:r>
      <w:r w:rsidRPr="002B2DC2">
        <w:rPr>
          <w:rFonts w:cs="Times New Roman"/>
          <w:i/>
          <w:sz w:val="20"/>
          <w:szCs w:val="20"/>
        </w:rPr>
        <w:t>Rocky Road to a Real Transition</w:t>
      </w:r>
      <w:r w:rsidRPr="002B2DC2">
        <w:rPr>
          <w:rFonts w:cs="Times New Roman"/>
          <w:sz w:val="20"/>
          <w:szCs w:val="20"/>
        </w:rPr>
        <w:t>, p.33.</w:t>
      </w:r>
    </w:p>
  </w:endnote>
  <w:endnote w:id="126">
    <w:p w14:paraId="0F7BA4F5" w14:textId="605534E8" w:rsidR="00324F6D" w:rsidRPr="002B2DC2" w:rsidRDefault="00324F6D">
      <w:pPr>
        <w:pStyle w:val="EndnoteText"/>
        <w:rPr>
          <w:sz w:val="20"/>
          <w:szCs w:val="20"/>
        </w:rPr>
      </w:pPr>
      <w:r w:rsidRPr="002B2DC2">
        <w:rPr>
          <w:rStyle w:val="EndnoteReference"/>
          <w:sz w:val="20"/>
          <w:szCs w:val="20"/>
        </w:rPr>
        <w:endnoteRef/>
      </w:r>
      <w:r w:rsidRPr="002B2DC2">
        <w:rPr>
          <w:sz w:val="20"/>
          <w:szCs w:val="20"/>
        </w:rPr>
        <w:t xml:space="preserve"> Barry, </w:t>
      </w:r>
      <w:r w:rsidRPr="002B2DC2">
        <w:rPr>
          <w:i/>
          <w:sz w:val="20"/>
          <w:szCs w:val="20"/>
        </w:rPr>
        <w:t>Actually Existing Unsustainability</w:t>
      </w:r>
      <w:r w:rsidRPr="002B2DC2">
        <w:rPr>
          <w:sz w:val="20"/>
          <w:szCs w:val="20"/>
        </w:rPr>
        <w:t>, p.79.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Ôˇøª∂z,¿î5'A0Ò•'C1+Hˇøpbó,ÙwP">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C0498" w14:textId="77777777" w:rsidR="00324F6D" w:rsidRDefault="00324F6D" w:rsidP="005A432C">
      <w:r>
        <w:separator/>
      </w:r>
    </w:p>
  </w:footnote>
  <w:footnote w:type="continuationSeparator" w:id="0">
    <w:p w14:paraId="6630E696" w14:textId="77777777" w:rsidR="00324F6D" w:rsidRDefault="00324F6D" w:rsidP="005A43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3275" w14:textId="77777777" w:rsidR="00324F6D" w:rsidRDefault="00324F6D" w:rsidP="005F0A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F6074" w14:textId="77777777" w:rsidR="00324F6D" w:rsidRDefault="00324F6D" w:rsidP="0019479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3463A" w14:textId="77777777" w:rsidR="00324F6D" w:rsidRDefault="00324F6D" w:rsidP="005F0A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D74">
      <w:rPr>
        <w:rStyle w:val="PageNumber"/>
        <w:noProof/>
      </w:rPr>
      <w:t>35</w:t>
    </w:r>
    <w:r>
      <w:rPr>
        <w:rStyle w:val="PageNumber"/>
      </w:rPr>
      <w:fldChar w:fldCharType="end"/>
    </w:r>
  </w:p>
  <w:p w14:paraId="3652CB05" w14:textId="77777777" w:rsidR="00324F6D" w:rsidRDefault="00324F6D" w:rsidP="0019479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CF47F8"/>
    <w:multiLevelType w:val="hybridMultilevel"/>
    <w:tmpl w:val="655AC002"/>
    <w:lvl w:ilvl="0" w:tplc="AB8809BA">
      <w:start w:val="1"/>
      <w:numFmt w:val="bullet"/>
      <w:lvlText w:val=""/>
      <w:lvlJc w:val="left"/>
      <w:pPr>
        <w:tabs>
          <w:tab w:val="num" w:pos="720"/>
        </w:tabs>
        <w:ind w:left="720" w:hanging="360"/>
      </w:pPr>
      <w:rPr>
        <w:rFonts w:ascii="Wingdings" w:hAnsi="Wingdings" w:hint="default"/>
      </w:rPr>
    </w:lvl>
    <w:lvl w:ilvl="1" w:tplc="73B8EFA0" w:tentative="1">
      <w:start w:val="1"/>
      <w:numFmt w:val="bullet"/>
      <w:lvlText w:val=""/>
      <w:lvlJc w:val="left"/>
      <w:pPr>
        <w:tabs>
          <w:tab w:val="num" w:pos="1440"/>
        </w:tabs>
        <w:ind w:left="1440" w:hanging="360"/>
      </w:pPr>
      <w:rPr>
        <w:rFonts w:ascii="Wingdings" w:hAnsi="Wingdings" w:hint="default"/>
      </w:rPr>
    </w:lvl>
    <w:lvl w:ilvl="2" w:tplc="535A16D8" w:tentative="1">
      <w:start w:val="1"/>
      <w:numFmt w:val="bullet"/>
      <w:lvlText w:val=""/>
      <w:lvlJc w:val="left"/>
      <w:pPr>
        <w:tabs>
          <w:tab w:val="num" w:pos="2160"/>
        </w:tabs>
        <w:ind w:left="2160" w:hanging="360"/>
      </w:pPr>
      <w:rPr>
        <w:rFonts w:ascii="Wingdings" w:hAnsi="Wingdings" w:hint="default"/>
      </w:rPr>
    </w:lvl>
    <w:lvl w:ilvl="3" w:tplc="AA169CCE" w:tentative="1">
      <w:start w:val="1"/>
      <w:numFmt w:val="bullet"/>
      <w:lvlText w:val=""/>
      <w:lvlJc w:val="left"/>
      <w:pPr>
        <w:tabs>
          <w:tab w:val="num" w:pos="2880"/>
        </w:tabs>
        <w:ind w:left="2880" w:hanging="360"/>
      </w:pPr>
      <w:rPr>
        <w:rFonts w:ascii="Wingdings" w:hAnsi="Wingdings" w:hint="default"/>
      </w:rPr>
    </w:lvl>
    <w:lvl w:ilvl="4" w:tplc="0D5E4F68" w:tentative="1">
      <w:start w:val="1"/>
      <w:numFmt w:val="bullet"/>
      <w:lvlText w:val=""/>
      <w:lvlJc w:val="left"/>
      <w:pPr>
        <w:tabs>
          <w:tab w:val="num" w:pos="3600"/>
        </w:tabs>
        <w:ind w:left="3600" w:hanging="360"/>
      </w:pPr>
      <w:rPr>
        <w:rFonts w:ascii="Wingdings" w:hAnsi="Wingdings" w:hint="default"/>
      </w:rPr>
    </w:lvl>
    <w:lvl w:ilvl="5" w:tplc="C47EB738" w:tentative="1">
      <w:start w:val="1"/>
      <w:numFmt w:val="bullet"/>
      <w:lvlText w:val=""/>
      <w:lvlJc w:val="left"/>
      <w:pPr>
        <w:tabs>
          <w:tab w:val="num" w:pos="4320"/>
        </w:tabs>
        <w:ind w:left="4320" w:hanging="360"/>
      </w:pPr>
      <w:rPr>
        <w:rFonts w:ascii="Wingdings" w:hAnsi="Wingdings" w:hint="default"/>
      </w:rPr>
    </w:lvl>
    <w:lvl w:ilvl="6" w:tplc="983A5856" w:tentative="1">
      <w:start w:val="1"/>
      <w:numFmt w:val="bullet"/>
      <w:lvlText w:val=""/>
      <w:lvlJc w:val="left"/>
      <w:pPr>
        <w:tabs>
          <w:tab w:val="num" w:pos="5040"/>
        </w:tabs>
        <w:ind w:left="5040" w:hanging="360"/>
      </w:pPr>
      <w:rPr>
        <w:rFonts w:ascii="Wingdings" w:hAnsi="Wingdings" w:hint="default"/>
      </w:rPr>
    </w:lvl>
    <w:lvl w:ilvl="7" w:tplc="61265B5C" w:tentative="1">
      <w:start w:val="1"/>
      <w:numFmt w:val="bullet"/>
      <w:lvlText w:val=""/>
      <w:lvlJc w:val="left"/>
      <w:pPr>
        <w:tabs>
          <w:tab w:val="num" w:pos="5760"/>
        </w:tabs>
        <w:ind w:left="5760" w:hanging="360"/>
      </w:pPr>
      <w:rPr>
        <w:rFonts w:ascii="Wingdings" w:hAnsi="Wingdings" w:hint="default"/>
      </w:rPr>
    </w:lvl>
    <w:lvl w:ilvl="8" w:tplc="58FE64C0" w:tentative="1">
      <w:start w:val="1"/>
      <w:numFmt w:val="bullet"/>
      <w:lvlText w:val=""/>
      <w:lvlJc w:val="left"/>
      <w:pPr>
        <w:tabs>
          <w:tab w:val="num" w:pos="6480"/>
        </w:tabs>
        <w:ind w:left="6480" w:hanging="360"/>
      </w:pPr>
      <w:rPr>
        <w:rFonts w:ascii="Wingdings" w:hAnsi="Wingdings" w:hint="default"/>
      </w:rPr>
    </w:lvl>
  </w:abstractNum>
  <w:abstractNum w:abstractNumId="2">
    <w:nsid w:val="0E6208A4"/>
    <w:multiLevelType w:val="hybridMultilevel"/>
    <w:tmpl w:val="6ED8E0BE"/>
    <w:lvl w:ilvl="0" w:tplc="8776371E">
      <w:start w:val="1"/>
      <w:numFmt w:val="bullet"/>
      <w:lvlText w:val="•"/>
      <w:lvlJc w:val="left"/>
      <w:pPr>
        <w:tabs>
          <w:tab w:val="num" w:pos="720"/>
        </w:tabs>
        <w:ind w:left="720" w:hanging="360"/>
      </w:pPr>
      <w:rPr>
        <w:rFonts w:ascii="Arial" w:hAnsi="Arial" w:hint="default"/>
      </w:rPr>
    </w:lvl>
    <w:lvl w:ilvl="1" w:tplc="F39E7390">
      <w:numFmt w:val="bullet"/>
      <w:lvlText w:val=""/>
      <w:lvlJc w:val="left"/>
      <w:pPr>
        <w:tabs>
          <w:tab w:val="num" w:pos="1440"/>
        </w:tabs>
        <w:ind w:left="1440" w:hanging="360"/>
      </w:pPr>
      <w:rPr>
        <w:rFonts w:ascii="Wingdings" w:hAnsi="Wingdings" w:hint="default"/>
      </w:rPr>
    </w:lvl>
    <w:lvl w:ilvl="2" w:tplc="BFCEDC88" w:tentative="1">
      <w:start w:val="1"/>
      <w:numFmt w:val="bullet"/>
      <w:lvlText w:val="•"/>
      <w:lvlJc w:val="left"/>
      <w:pPr>
        <w:tabs>
          <w:tab w:val="num" w:pos="2160"/>
        </w:tabs>
        <w:ind w:left="2160" w:hanging="360"/>
      </w:pPr>
      <w:rPr>
        <w:rFonts w:ascii="Arial" w:hAnsi="Arial" w:hint="default"/>
      </w:rPr>
    </w:lvl>
    <w:lvl w:ilvl="3" w:tplc="DAF0B414" w:tentative="1">
      <w:start w:val="1"/>
      <w:numFmt w:val="bullet"/>
      <w:lvlText w:val="•"/>
      <w:lvlJc w:val="left"/>
      <w:pPr>
        <w:tabs>
          <w:tab w:val="num" w:pos="2880"/>
        </w:tabs>
        <w:ind w:left="2880" w:hanging="360"/>
      </w:pPr>
      <w:rPr>
        <w:rFonts w:ascii="Arial" w:hAnsi="Arial" w:hint="default"/>
      </w:rPr>
    </w:lvl>
    <w:lvl w:ilvl="4" w:tplc="1382C94C" w:tentative="1">
      <w:start w:val="1"/>
      <w:numFmt w:val="bullet"/>
      <w:lvlText w:val="•"/>
      <w:lvlJc w:val="left"/>
      <w:pPr>
        <w:tabs>
          <w:tab w:val="num" w:pos="3600"/>
        </w:tabs>
        <w:ind w:left="3600" w:hanging="360"/>
      </w:pPr>
      <w:rPr>
        <w:rFonts w:ascii="Arial" w:hAnsi="Arial" w:hint="default"/>
      </w:rPr>
    </w:lvl>
    <w:lvl w:ilvl="5" w:tplc="DC1CDFBC" w:tentative="1">
      <w:start w:val="1"/>
      <w:numFmt w:val="bullet"/>
      <w:lvlText w:val="•"/>
      <w:lvlJc w:val="left"/>
      <w:pPr>
        <w:tabs>
          <w:tab w:val="num" w:pos="4320"/>
        </w:tabs>
        <w:ind w:left="4320" w:hanging="360"/>
      </w:pPr>
      <w:rPr>
        <w:rFonts w:ascii="Arial" w:hAnsi="Arial" w:hint="default"/>
      </w:rPr>
    </w:lvl>
    <w:lvl w:ilvl="6" w:tplc="BBF63FB2" w:tentative="1">
      <w:start w:val="1"/>
      <w:numFmt w:val="bullet"/>
      <w:lvlText w:val="•"/>
      <w:lvlJc w:val="left"/>
      <w:pPr>
        <w:tabs>
          <w:tab w:val="num" w:pos="5040"/>
        </w:tabs>
        <w:ind w:left="5040" w:hanging="360"/>
      </w:pPr>
      <w:rPr>
        <w:rFonts w:ascii="Arial" w:hAnsi="Arial" w:hint="default"/>
      </w:rPr>
    </w:lvl>
    <w:lvl w:ilvl="7" w:tplc="226A918C" w:tentative="1">
      <w:start w:val="1"/>
      <w:numFmt w:val="bullet"/>
      <w:lvlText w:val="•"/>
      <w:lvlJc w:val="left"/>
      <w:pPr>
        <w:tabs>
          <w:tab w:val="num" w:pos="5760"/>
        </w:tabs>
        <w:ind w:left="5760" w:hanging="360"/>
      </w:pPr>
      <w:rPr>
        <w:rFonts w:ascii="Arial" w:hAnsi="Arial" w:hint="default"/>
      </w:rPr>
    </w:lvl>
    <w:lvl w:ilvl="8" w:tplc="4E3A5B8A" w:tentative="1">
      <w:start w:val="1"/>
      <w:numFmt w:val="bullet"/>
      <w:lvlText w:val="•"/>
      <w:lvlJc w:val="left"/>
      <w:pPr>
        <w:tabs>
          <w:tab w:val="num" w:pos="6480"/>
        </w:tabs>
        <w:ind w:left="6480" w:hanging="360"/>
      </w:pPr>
      <w:rPr>
        <w:rFonts w:ascii="Arial" w:hAnsi="Arial" w:hint="default"/>
      </w:rPr>
    </w:lvl>
  </w:abstractNum>
  <w:abstractNum w:abstractNumId="3">
    <w:nsid w:val="0ED71164"/>
    <w:multiLevelType w:val="hybridMultilevel"/>
    <w:tmpl w:val="A03EEA18"/>
    <w:lvl w:ilvl="0" w:tplc="39C8FFE2">
      <w:start w:val="1"/>
      <w:numFmt w:val="bullet"/>
      <w:lvlText w:val="•"/>
      <w:lvlJc w:val="left"/>
      <w:pPr>
        <w:tabs>
          <w:tab w:val="num" w:pos="720"/>
        </w:tabs>
        <w:ind w:left="720" w:hanging="360"/>
      </w:pPr>
      <w:rPr>
        <w:rFonts w:ascii="Arial" w:hAnsi="Arial" w:hint="default"/>
      </w:rPr>
    </w:lvl>
    <w:lvl w:ilvl="1" w:tplc="3C2CE9C0" w:tentative="1">
      <w:start w:val="1"/>
      <w:numFmt w:val="bullet"/>
      <w:lvlText w:val="•"/>
      <w:lvlJc w:val="left"/>
      <w:pPr>
        <w:tabs>
          <w:tab w:val="num" w:pos="1440"/>
        </w:tabs>
        <w:ind w:left="1440" w:hanging="360"/>
      </w:pPr>
      <w:rPr>
        <w:rFonts w:ascii="Arial" w:hAnsi="Arial" w:hint="default"/>
      </w:rPr>
    </w:lvl>
    <w:lvl w:ilvl="2" w:tplc="EE06FDDE" w:tentative="1">
      <w:start w:val="1"/>
      <w:numFmt w:val="bullet"/>
      <w:lvlText w:val="•"/>
      <w:lvlJc w:val="left"/>
      <w:pPr>
        <w:tabs>
          <w:tab w:val="num" w:pos="2160"/>
        </w:tabs>
        <w:ind w:left="2160" w:hanging="360"/>
      </w:pPr>
      <w:rPr>
        <w:rFonts w:ascii="Arial" w:hAnsi="Arial" w:hint="default"/>
      </w:rPr>
    </w:lvl>
    <w:lvl w:ilvl="3" w:tplc="F84C2BB0" w:tentative="1">
      <w:start w:val="1"/>
      <w:numFmt w:val="bullet"/>
      <w:lvlText w:val="•"/>
      <w:lvlJc w:val="left"/>
      <w:pPr>
        <w:tabs>
          <w:tab w:val="num" w:pos="2880"/>
        </w:tabs>
        <w:ind w:left="2880" w:hanging="360"/>
      </w:pPr>
      <w:rPr>
        <w:rFonts w:ascii="Arial" w:hAnsi="Arial" w:hint="default"/>
      </w:rPr>
    </w:lvl>
    <w:lvl w:ilvl="4" w:tplc="4B9C2D44" w:tentative="1">
      <w:start w:val="1"/>
      <w:numFmt w:val="bullet"/>
      <w:lvlText w:val="•"/>
      <w:lvlJc w:val="left"/>
      <w:pPr>
        <w:tabs>
          <w:tab w:val="num" w:pos="3600"/>
        </w:tabs>
        <w:ind w:left="3600" w:hanging="360"/>
      </w:pPr>
      <w:rPr>
        <w:rFonts w:ascii="Arial" w:hAnsi="Arial" w:hint="default"/>
      </w:rPr>
    </w:lvl>
    <w:lvl w:ilvl="5" w:tplc="F8E4C81A" w:tentative="1">
      <w:start w:val="1"/>
      <w:numFmt w:val="bullet"/>
      <w:lvlText w:val="•"/>
      <w:lvlJc w:val="left"/>
      <w:pPr>
        <w:tabs>
          <w:tab w:val="num" w:pos="4320"/>
        </w:tabs>
        <w:ind w:left="4320" w:hanging="360"/>
      </w:pPr>
      <w:rPr>
        <w:rFonts w:ascii="Arial" w:hAnsi="Arial" w:hint="default"/>
      </w:rPr>
    </w:lvl>
    <w:lvl w:ilvl="6" w:tplc="2236FDC4" w:tentative="1">
      <w:start w:val="1"/>
      <w:numFmt w:val="bullet"/>
      <w:lvlText w:val="•"/>
      <w:lvlJc w:val="left"/>
      <w:pPr>
        <w:tabs>
          <w:tab w:val="num" w:pos="5040"/>
        </w:tabs>
        <w:ind w:left="5040" w:hanging="360"/>
      </w:pPr>
      <w:rPr>
        <w:rFonts w:ascii="Arial" w:hAnsi="Arial" w:hint="default"/>
      </w:rPr>
    </w:lvl>
    <w:lvl w:ilvl="7" w:tplc="07C66F90" w:tentative="1">
      <w:start w:val="1"/>
      <w:numFmt w:val="bullet"/>
      <w:lvlText w:val="•"/>
      <w:lvlJc w:val="left"/>
      <w:pPr>
        <w:tabs>
          <w:tab w:val="num" w:pos="5760"/>
        </w:tabs>
        <w:ind w:left="5760" w:hanging="360"/>
      </w:pPr>
      <w:rPr>
        <w:rFonts w:ascii="Arial" w:hAnsi="Arial" w:hint="default"/>
      </w:rPr>
    </w:lvl>
    <w:lvl w:ilvl="8" w:tplc="528C1D1C" w:tentative="1">
      <w:start w:val="1"/>
      <w:numFmt w:val="bullet"/>
      <w:lvlText w:val="•"/>
      <w:lvlJc w:val="left"/>
      <w:pPr>
        <w:tabs>
          <w:tab w:val="num" w:pos="6480"/>
        </w:tabs>
        <w:ind w:left="6480" w:hanging="360"/>
      </w:pPr>
      <w:rPr>
        <w:rFonts w:ascii="Arial" w:hAnsi="Arial" w:hint="default"/>
      </w:rPr>
    </w:lvl>
  </w:abstractNum>
  <w:abstractNum w:abstractNumId="4">
    <w:nsid w:val="110D6309"/>
    <w:multiLevelType w:val="hybridMultilevel"/>
    <w:tmpl w:val="4BA2F732"/>
    <w:lvl w:ilvl="0" w:tplc="CF2C7C6E">
      <w:start w:val="1"/>
      <w:numFmt w:val="bullet"/>
      <w:lvlText w:val="•"/>
      <w:lvlJc w:val="left"/>
      <w:pPr>
        <w:tabs>
          <w:tab w:val="num" w:pos="720"/>
        </w:tabs>
        <w:ind w:left="720" w:hanging="360"/>
      </w:pPr>
      <w:rPr>
        <w:rFonts w:ascii="Arial" w:hAnsi="Arial" w:hint="default"/>
      </w:rPr>
    </w:lvl>
    <w:lvl w:ilvl="1" w:tplc="0C4E82C6" w:tentative="1">
      <w:start w:val="1"/>
      <w:numFmt w:val="bullet"/>
      <w:lvlText w:val="•"/>
      <w:lvlJc w:val="left"/>
      <w:pPr>
        <w:tabs>
          <w:tab w:val="num" w:pos="1440"/>
        </w:tabs>
        <w:ind w:left="1440" w:hanging="360"/>
      </w:pPr>
      <w:rPr>
        <w:rFonts w:ascii="Arial" w:hAnsi="Arial" w:hint="default"/>
      </w:rPr>
    </w:lvl>
    <w:lvl w:ilvl="2" w:tplc="64B628EE" w:tentative="1">
      <w:start w:val="1"/>
      <w:numFmt w:val="bullet"/>
      <w:lvlText w:val="•"/>
      <w:lvlJc w:val="left"/>
      <w:pPr>
        <w:tabs>
          <w:tab w:val="num" w:pos="2160"/>
        </w:tabs>
        <w:ind w:left="2160" w:hanging="360"/>
      </w:pPr>
      <w:rPr>
        <w:rFonts w:ascii="Arial" w:hAnsi="Arial" w:hint="default"/>
      </w:rPr>
    </w:lvl>
    <w:lvl w:ilvl="3" w:tplc="B9B4E00C" w:tentative="1">
      <w:start w:val="1"/>
      <w:numFmt w:val="bullet"/>
      <w:lvlText w:val="•"/>
      <w:lvlJc w:val="left"/>
      <w:pPr>
        <w:tabs>
          <w:tab w:val="num" w:pos="2880"/>
        </w:tabs>
        <w:ind w:left="2880" w:hanging="360"/>
      </w:pPr>
      <w:rPr>
        <w:rFonts w:ascii="Arial" w:hAnsi="Arial" w:hint="default"/>
      </w:rPr>
    </w:lvl>
    <w:lvl w:ilvl="4" w:tplc="EA52DD3A" w:tentative="1">
      <w:start w:val="1"/>
      <w:numFmt w:val="bullet"/>
      <w:lvlText w:val="•"/>
      <w:lvlJc w:val="left"/>
      <w:pPr>
        <w:tabs>
          <w:tab w:val="num" w:pos="3600"/>
        </w:tabs>
        <w:ind w:left="3600" w:hanging="360"/>
      </w:pPr>
      <w:rPr>
        <w:rFonts w:ascii="Arial" w:hAnsi="Arial" w:hint="default"/>
      </w:rPr>
    </w:lvl>
    <w:lvl w:ilvl="5" w:tplc="99A0F586" w:tentative="1">
      <w:start w:val="1"/>
      <w:numFmt w:val="bullet"/>
      <w:lvlText w:val="•"/>
      <w:lvlJc w:val="left"/>
      <w:pPr>
        <w:tabs>
          <w:tab w:val="num" w:pos="4320"/>
        </w:tabs>
        <w:ind w:left="4320" w:hanging="360"/>
      </w:pPr>
      <w:rPr>
        <w:rFonts w:ascii="Arial" w:hAnsi="Arial" w:hint="default"/>
      </w:rPr>
    </w:lvl>
    <w:lvl w:ilvl="6" w:tplc="C210570A" w:tentative="1">
      <w:start w:val="1"/>
      <w:numFmt w:val="bullet"/>
      <w:lvlText w:val="•"/>
      <w:lvlJc w:val="left"/>
      <w:pPr>
        <w:tabs>
          <w:tab w:val="num" w:pos="5040"/>
        </w:tabs>
        <w:ind w:left="5040" w:hanging="360"/>
      </w:pPr>
      <w:rPr>
        <w:rFonts w:ascii="Arial" w:hAnsi="Arial" w:hint="default"/>
      </w:rPr>
    </w:lvl>
    <w:lvl w:ilvl="7" w:tplc="AD1EE544" w:tentative="1">
      <w:start w:val="1"/>
      <w:numFmt w:val="bullet"/>
      <w:lvlText w:val="•"/>
      <w:lvlJc w:val="left"/>
      <w:pPr>
        <w:tabs>
          <w:tab w:val="num" w:pos="5760"/>
        </w:tabs>
        <w:ind w:left="5760" w:hanging="360"/>
      </w:pPr>
      <w:rPr>
        <w:rFonts w:ascii="Arial" w:hAnsi="Arial" w:hint="default"/>
      </w:rPr>
    </w:lvl>
    <w:lvl w:ilvl="8" w:tplc="280A50F4" w:tentative="1">
      <w:start w:val="1"/>
      <w:numFmt w:val="bullet"/>
      <w:lvlText w:val="•"/>
      <w:lvlJc w:val="left"/>
      <w:pPr>
        <w:tabs>
          <w:tab w:val="num" w:pos="6480"/>
        </w:tabs>
        <w:ind w:left="6480" w:hanging="360"/>
      </w:pPr>
      <w:rPr>
        <w:rFonts w:ascii="Arial" w:hAnsi="Arial" w:hint="default"/>
      </w:rPr>
    </w:lvl>
  </w:abstractNum>
  <w:abstractNum w:abstractNumId="5">
    <w:nsid w:val="45A62EE9"/>
    <w:multiLevelType w:val="multilevel"/>
    <w:tmpl w:val="6ED8E0BE"/>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6">
    <w:nsid w:val="4CD66DA9"/>
    <w:multiLevelType w:val="multilevel"/>
    <w:tmpl w:val="A03EEA1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nsid w:val="4EFA0338"/>
    <w:multiLevelType w:val="hybridMultilevel"/>
    <w:tmpl w:val="393290D0"/>
    <w:lvl w:ilvl="0" w:tplc="F24C145A">
      <w:start w:val="1"/>
      <w:numFmt w:val="bullet"/>
      <w:lvlText w:val="•"/>
      <w:lvlJc w:val="left"/>
      <w:pPr>
        <w:tabs>
          <w:tab w:val="num" w:pos="720"/>
        </w:tabs>
        <w:ind w:left="720" w:hanging="360"/>
      </w:pPr>
      <w:rPr>
        <w:rFonts w:ascii="Arial" w:hAnsi="Arial" w:hint="default"/>
      </w:rPr>
    </w:lvl>
    <w:lvl w:ilvl="1" w:tplc="22E40B04" w:tentative="1">
      <w:start w:val="1"/>
      <w:numFmt w:val="bullet"/>
      <w:lvlText w:val="•"/>
      <w:lvlJc w:val="left"/>
      <w:pPr>
        <w:tabs>
          <w:tab w:val="num" w:pos="1440"/>
        </w:tabs>
        <w:ind w:left="1440" w:hanging="360"/>
      </w:pPr>
      <w:rPr>
        <w:rFonts w:ascii="Arial" w:hAnsi="Arial" w:hint="default"/>
      </w:rPr>
    </w:lvl>
    <w:lvl w:ilvl="2" w:tplc="E514DD82" w:tentative="1">
      <w:start w:val="1"/>
      <w:numFmt w:val="bullet"/>
      <w:lvlText w:val="•"/>
      <w:lvlJc w:val="left"/>
      <w:pPr>
        <w:tabs>
          <w:tab w:val="num" w:pos="2160"/>
        </w:tabs>
        <w:ind w:left="2160" w:hanging="360"/>
      </w:pPr>
      <w:rPr>
        <w:rFonts w:ascii="Arial" w:hAnsi="Arial" w:hint="default"/>
      </w:rPr>
    </w:lvl>
    <w:lvl w:ilvl="3" w:tplc="78000646" w:tentative="1">
      <w:start w:val="1"/>
      <w:numFmt w:val="bullet"/>
      <w:lvlText w:val="•"/>
      <w:lvlJc w:val="left"/>
      <w:pPr>
        <w:tabs>
          <w:tab w:val="num" w:pos="2880"/>
        </w:tabs>
        <w:ind w:left="2880" w:hanging="360"/>
      </w:pPr>
      <w:rPr>
        <w:rFonts w:ascii="Arial" w:hAnsi="Arial" w:hint="default"/>
      </w:rPr>
    </w:lvl>
    <w:lvl w:ilvl="4" w:tplc="07083634" w:tentative="1">
      <w:start w:val="1"/>
      <w:numFmt w:val="bullet"/>
      <w:lvlText w:val="•"/>
      <w:lvlJc w:val="left"/>
      <w:pPr>
        <w:tabs>
          <w:tab w:val="num" w:pos="3600"/>
        </w:tabs>
        <w:ind w:left="3600" w:hanging="360"/>
      </w:pPr>
      <w:rPr>
        <w:rFonts w:ascii="Arial" w:hAnsi="Arial" w:hint="default"/>
      </w:rPr>
    </w:lvl>
    <w:lvl w:ilvl="5" w:tplc="E97E29B0" w:tentative="1">
      <w:start w:val="1"/>
      <w:numFmt w:val="bullet"/>
      <w:lvlText w:val="•"/>
      <w:lvlJc w:val="left"/>
      <w:pPr>
        <w:tabs>
          <w:tab w:val="num" w:pos="4320"/>
        </w:tabs>
        <w:ind w:left="4320" w:hanging="360"/>
      </w:pPr>
      <w:rPr>
        <w:rFonts w:ascii="Arial" w:hAnsi="Arial" w:hint="default"/>
      </w:rPr>
    </w:lvl>
    <w:lvl w:ilvl="6" w:tplc="B1D6F70E" w:tentative="1">
      <w:start w:val="1"/>
      <w:numFmt w:val="bullet"/>
      <w:lvlText w:val="•"/>
      <w:lvlJc w:val="left"/>
      <w:pPr>
        <w:tabs>
          <w:tab w:val="num" w:pos="5040"/>
        </w:tabs>
        <w:ind w:left="5040" w:hanging="360"/>
      </w:pPr>
      <w:rPr>
        <w:rFonts w:ascii="Arial" w:hAnsi="Arial" w:hint="default"/>
      </w:rPr>
    </w:lvl>
    <w:lvl w:ilvl="7" w:tplc="7EF88F92" w:tentative="1">
      <w:start w:val="1"/>
      <w:numFmt w:val="bullet"/>
      <w:lvlText w:val="•"/>
      <w:lvlJc w:val="left"/>
      <w:pPr>
        <w:tabs>
          <w:tab w:val="num" w:pos="5760"/>
        </w:tabs>
        <w:ind w:left="5760" w:hanging="360"/>
      </w:pPr>
      <w:rPr>
        <w:rFonts w:ascii="Arial" w:hAnsi="Arial" w:hint="default"/>
      </w:rPr>
    </w:lvl>
    <w:lvl w:ilvl="8" w:tplc="5BD0C144" w:tentative="1">
      <w:start w:val="1"/>
      <w:numFmt w:val="bullet"/>
      <w:lvlText w:val="•"/>
      <w:lvlJc w:val="left"/>
      <w:pPr>
        <w:tabs>
          <w:tab w:val="num" w:pos="6480"/>
        </w:tabs>
        <w:ind w:left="6480" w:hanging="360"/>
      </w:pPr>
      <w:rPr>
        <w:rFonts w:ascii="Arial" w:hAnsi="Arial" w:hint="default"/>
      </w:rPr>
    </w:lvl>
  </w:abstractNum>
  <w:abstractNum w:abstractNumId="8">
    <w:nsid w:val="6467048A"/>
    <w:multiLevelType w:val="multilevel"/>
    <w:tmpl w:val="393290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43"/>
    <w:rsid w:val="000228EA"/>
    <w:rsid w:val="00035EBE"/>
    <w:rsid w:val="00047378"/>
    <w:rsid w:val="00054A09"/>
    <w:rsid w:val="00065EBA"/>
    <w:rsid w:val="000661FC"/>
    <w:rsid w:val="000751E3"/>
    <w:rsid w:val="00080C03"/>
    <w:rsid w:val="000874D6"/>
    <w:rsid w:val="00096602"/>
    <w:rsid w:val="000A3A30"/>
    <w:rsid w:val="000A3D74"/>
    <w:rsid w:val="000A5FF2"/>
    <w:rsid w:val="000B1627"/>
    <w:rsid w:val="000C16D5"/>
    <w:rsid w:val="000C2806"/>
    <w:rsid w:val="000D70A3"/>
    <w:rsid w:val="000E3032"/>
    <w:rsid w:val="000E4B92"/>
    <w:rsid w:val="000E4C40"/>
    <w:rsid w:val="000F0DDD"/>
    <w:rsid w:val="001401A0"/>
    <w:rsid w:val="00143936"/>
    <w:rsid w:val="001468A9"/>
    <w:rsid w:val="00146A49"/>
    <w:rsid w:val="00172F92"/>
    <w:rsid w:val="00175787"/>
    <w:rsid w:val="00176C22"/>
    <w:rsid w:val="00180338"/>
    <w:rsid w:val="0019479F"/>
    <w:rsid w:val="001A7671"/>
    <w:rsid w:val="001A7B42"/>
    <w:rsid w:val="001B0424"/>
    <w:rsid w:val="001B0DEA"/>
    <w:rsid w:val="001B13A8"/>
    <w:rsid w:val="001C44C5"/>
    <w:rsid w:val="001C4B72"/>
    <w:rsid w:val="001F29D3"/>
    <w:rsid w:val="001F5D72"/>
    <w:rsid w:val="00202DD5"/>
    <w:rsid w:val="002107E8"/>
    <w:rsid w:val="0021571F"/>
    <w:rsid w:val="00223327"/>
    <w:rsid w:val="00227768"/>
    <w:rsid w:val="002315EE"/>
    <w:rsid w:val="00236686"/>
    <w:rsid w:val="00241713"/>
    <w:rsid w:val="00251A82"/>
    <w:rsid w:val="00277357"/>
    <w:rsid w:val="00281140"/>
    <w:rsid w:val="002A0F56"/>
    <w:rsid w:val="002A17B7"/>
    <w:rsid w:val="002B2A2A"/>
    <w:rsid w:val="002B2DC2"/>
    <w:rsid w:val="002C4A10"/>
    <w:rsid w:val="002D0EFC"/>
    <w:rsid w:val="002E7B98"/>
    <w:rsid w:val="002F2C4A"/>
    <w:rsid w:val="002F5A3A"/>
    <w:rsid w:val="003157C1"/>
    <w:rsid w:val="00324F6D"/>
    <w:rsid w:val="0032780B"/>
    <w:rsid w:val="00333A71"/>
    <w:rsid w:val="003421A2"/>
    <w:rsid w:val="00352122"/>
    <w:rsid w:val="003672B7"/>
    <w:rsid w:val="003938E1"/>
    <w:rsid w:val="003A43CE"/>
    <w:rsid w:val="003B2C04"/>
    <w:rsid w:val="003B4ADD"/>
    <w:rsid w:val="003B7CF5"/>
    <w:rsid w:val="003D1322"/>
    <w:rsid w:val="003D3374"/>
    <w:rsid w:val="003D42BA"/>
    <w:rsid w:val="003D4793"/>
    <w:rsid w:val="003E00ED"/>
    <w:rsid w:val="003E0E16"/>
    <w:rsid w:val="003E2A81"/>
    <w:rsid w:val="00405D3A"/>
    <w:rsid w:val="00420741"/>
    <w:rsid w:val="0042207C"/>
    <w:rsid w:val="00430B82"/>
    <w:rsid w:val="00431E86"/>
    <w:rsid w:val="00453B88"/>
    <w:rsid w:val="00466A26"/>
    <w:rsid w:val="004825C4"/>
    <w:rsid w:val="00483391"/>
    <w:rsid w:val="00484F1C"/>
    <w:rsid w:val="00486DA4"/>
    <w:rsid w:val="004A2BE7"/>
    <w:rsid w:val="004A347D"/>
    <w:rsid w:val="004C53B6"/>
    <w:rsid w:val="004D1ADA"/>
    <w:rsid w:val="004E3347"/>
    <w:rsid w:val="004E378B"/>
    <w:rsid w:val="005048B1"/>
    <w:rsid w:val="00505316"/>
    <w:rsid w:val="005120DE"/>
    <w:rsid w:val="00521BDC"/>
    <w:rsid w:val="005354FF"/>
    <w:rsid w:val="00554A78"/>
    <w:rsid w:val="00580B98"/>
    <w:rsid w:val="00584BB2"/>
    <w:rsid w:val="00585387"/>
    <w:rsid w:val="005915E3"/>
    <w:rsid w:val="005A12D3"/>
    <w:rsid w:val="005A3C1E"/>
    <w:rsid w:val="005A432C"/>
    <w:rsid w:val="005A596A"/>
    <w:rsid w:val="005A6D56"/>
    <w:rsid w:val="005B24B2"/>
    <w:rsid w:val="005D0EB9"/>
    <w:rsid w:val="005E4E67"/>
    <w:rsid w:val="005F0A8E"/>
    <w:rsid w:val="00606363"/>
    <w:rsid w:val="00616E2A"/>
    <w:rsid w:val="006202C7"/>
    <w:rsid w:val="00626518"/>
    <w:rsid w:val="00646059"/>
    <w:rsid w:val="00670DC4"/>
    <w:rsid w:val="006858DD"/>
    <w:rsid w:val="006C429E"/>
    <w:rsid w:val="006D50B2"/>
    <w:rsid w:val="006D6EBB"/>
    <w:rsid w:val="006D78F7"/>
    <w:rsid w:val="006F2545"/>
    <w:rsid w:val="00705A4F"/>
    <w:rsid w:val="00722E0A"/>
    <w:rsid w:val="0073353C"/>
    <w:rsid w:val="007402F6"/>
    <w:rsid w:val="007450C9"/>
    <w:rsid w:val="007519B3"/>
    <w:rsid w:val="00753399"/>
    <w:rsid w:val="00755CDC"/>
    <w:rsid w:val="00783BB1"/>
    <w:rsid w:val="00783CB0"/>
    <w:rsid w:val="00787198"/>
    <w:rsid w:val="00787294"/>
    <w:rsid w:val="00794925"/>
    <w:rsid w:val="007A7433"/>
    <w:rsid w:val="007D712A"/>
    <w:rsid w:val="007D71F9"/>
    <w:rsid w:val="007D7619"/>
    <w:rsid w:val="007F2350"/>
    <w:rsid w:val="008027C8"/>
    <w:rsid w:val="0080297E"/>
    <w:rsid w:val="00807FDB"/>
    <w:rsid w:val="008413A7"/>
    <w:rsid w:val="00867649"/>
    <w:rsid w:val="00871390"/>
    <w:rsid w:val="00873B06"/>
    <w:rsid w:val="008741C8"/>
    <w:rsid w:val="00883791"/>
    <w:rsid w:val="008922A6"/>
    <w:rsid w:val="00892740"/>
    <w:rsid w:val="00894FA0"/>
    <w:rsid w:val="008A008A"/>
    <w:rsid w:val="008B4861"/>
    <w:rsid w:val="008C11EB"/>
    <w:rsid w:val="008C22A7"/>
    <w:rsid w:val="008D67D1"/>
    <w:rsid w:val="008E15C6"/>
    <w:rsid w:val="008E62CB"/>
    <w:rsid w:val="008F669E"/>
    <w:rsid w:val="00910770"/>
    <w:rsid w:val="00915054"/>
    <w:rsid w:val="00916F21"/>
    <w:rsid w:val="0091745B"/>
    <w:rsid w:val="00922A5B"/>
    <w:rsid w:val="00922A9A"/>
    <w:rsid w:val="009304FC"/>
    <w:rsid w:val="0093539D"/>
    <w:rsid w:val="0096777D"/>
    <w:rsid w:val="00972136"/>
    <w:rsid w:val="009911C9"/>
    <w:rsid w:val="00995DD0"/>
    <w:rsid w:val="009A2E90"/>
    <w:rsid w:val="009B127B"/>
    <w:rsid w:val="009B1292"/>
    <w:rsid w:val="009B2E56"/>
    <w:rsid w:val="009B62D2"/>
    <w:rsid w:val="009C6CD3"/>
    <w:rsid w:val="009D4D70"/>
    <w:rsid w:val="009F1BC5"/>
    <w:rsid w:val="00A00A70"/>
    <w:rsid w:val="00A14018"/>
    <w:rsid w:val="00A14EDF"/>
    <w:rsid w:val="00A363FC"/>
    <w:rsid w:val="00A4632B"/>
    <w:rsid w:val="00A4670C"/>
    <w:rsid w:val="00A73AAC"/>
    <w:rsid w:val="00A83823"/>
    <w:rsid w:val="00AA731F"/>
    <w:rsid w:val="00AC035B"/>
    <w:rsid w:val="00AC1E2F"/>
    <w:rsid w:val="00AC63D8"/>
    <w:rsid w:val="00AC6864"/>
    <w:rsid w:val="00AD72E7"/>
    <w:rsid w:val="00AE48A4"/>
    <w:rsid w:val="00AE6AFB"/>
    <w:rsid w:val="00AF2A8D"/>
    <w:rsid w:val="00AF3116"/>
    <w:rsid w:val="00AF3840"/>
    <w:rsid w:val="00AF6040"/>
    <w:rsid w:val="00B16802"/>
    <w:rsid w:val="00B26797"/>
    <w:rsid w:val="00B44FB8"/>
    <w:rsid w:val="00B52F40"/>
    <w:rsid w:val="00B556D2"/>
    <w:rsid w:val="00B576A2"/>
    <w:rsid w:val="00B95C44"/>
    <w:rsid w:val="00BA0BD0"/>
    <w:rsid w:val="00BA401F"/>
    <w:rsid w:val="00BB4CC5"/>
    <w:rsid w:val="00BB5F62"/>
    <w:rsid w:val="00BB7F91"/>
    <w:rsid w:val="00BC01B7"/>
    <w:rsid w:val="00BC18AA"/>
    <w:rsid w:val="00BD49C9"/>
    <w:rsid w:val="00BE2EF5"/>
    <w:rsid w:val="00BF0F28"/>
    <w:rsid w:val="00BF6869"/>
    <w:rsid w:val="00C06603"/>
    <w:rsid w:val="00C108C0"/>
    <w:rsid w:val="00C116AF"/>
    <w:rsid w:val="00C1254C"/>
    <w:rsid w:val="00C13EF6"/>
    <w:rsid w:val="00C27AC5"/>
    <w:rsid w:val="00C43918"/>
    <w:rsid w:val="00C44EC3"/>
    <w:rsid w:val="00C54090"/>
    <w:rsid w:val="00C56301"/>
    <w:rsid w:val="00C57B5F"/>
    <w:rsid w:val="00C63398"/>
    <w:rsid w:val="00C66E4D"/>
    <w:rsid w:val="00C77F37"/>
    <w:rsid w:val="00C8616C"/>
    <w:rsid w:val="00C93E6B"/>
    <w:rsid w:val="00C9625A"/>
    <w:rsid w:val="00C97A0C"/>
    <w:rsid w:val="00CA1A2C"/>
    <w:rsid w:val="00CC162E"/>
    <w:rsid w:val="00CC6CB8"/>
    <w:rsid w:val="00CD40D4"/>
    <w:rsid w:val="00CE1695"/>
    <w:rsid w:val="00CE4945"/>
    <w:rsid w:val="00CE7B7A"/>
    <w:rsid w:val="00D00D7B"/>
    <w:rsid w:val="00D11DFE"/>
    <w:rsid w:val="00D126A0"/>
    <w:rsid w:val="00D1384D"/>
    <w:rsid w:val="00D21DD7"/>
    <w:rsid w:val="00D24C55"/>
    <w:rsid w:val="00D30F5F"/>
    <w:rsid w:val="00D74843"/>
    <w:rsid w:val="00D82001"/>
    <w:rsid w:val="00D85A0C"/>
    <w:rsid w:val="00DA1FE2"/>
    <w:rsid w:val="00DA257F"/>
    <w:rsid w:val="00DA674B"/>
    <w:rsid w:val="00DB1918"/>
    <w:rsid w:val="00DB686D"/>
    <w:rsid w:val="00DB7134"/>
    <w:rsid w:val="00DC14B8"/>
    <w:rsid w:val="00DC1CF6"/>
    <w:rsid w:val="00DE0C09"/>
    <w:rsid w:val="00DF0C56"/>
    <w:rsid w:val="00E03E51"/>
    <w:rsid w:val="00E13161"/>
    <w:rsid w:val="00E147F4"/>
    <w:rsid w:val="00E165E3"/>
    <w:rsid w:val="00E16D56"/>
    <w:rsid w:val="00E249DF"/>
    <w:rsid w:val="00E3407A"/>
    <w:rsid w:val="00E636A5"/>
    <w:rsid w:val="00E67FAA"/>
    <w:rsid w:val="00E76968"/>
    <w:rsid w:val="00E830BC"/>
    <w:rsid w:val="00EB1FB5"/>
    <w:rsid w:val="00EB25EC"/>
    <w:rsid w:val="00EC7841"/>
    <w:rsid w:val="00ED187D"/>
    <w:rsid w:val="00EE18BC"/>
    <w:rsid w:val="00EE19F2"/>
    <w:rsid w:val="00F06AC6"/>
    <w:rsid w:val="00F304D5"/>
    <w:rsid w:val="00F44F4A"/>
    <w:rsid w:val="00F67842"/>
    <w:rsid w:val="00F74455"/>
    <w:rsid w:val="00F76CCD"/>
    <w:rsid w:val="00F811FE"/>
    <w:rsid w:val="00F91A7E"/>
    <w:rsid w:val="00F970B4"/>
    <w:rsid w:val="00FA4521"/>
    <w:rsid w:val="00FC56B6"/>
    <w:rsid w:val="00FD4500"/>
    <w:rsid w:val="00FD5D81"/>
    <w:rsid w:val="00FD73B1"/>
    <w:rsid w:val="00FF5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8AED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432C"/>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4833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843"/>
    <w:rPr>
      <w:color w:val="0000FF" w:themeColor="hyperlink"/>
      <w:u w:val="single"/>
    </w:rPr>
  </w:style>
  <w:style w:type="character" w:customStyle="1" w:styleId="Heading1Char">
    <w:name w:val="Heading 1 Char"/>
    <w:basedOn w:val="DefaultParagraphFont"/>
    <w:link w:val="Heading1"/>
    <w:uiPriority w:val="9"/>
    <w:rsid w:val="005A432C"/>
    <w:rPr>
      <w:rFonts w:ascii="Times" w:hAnsi="Times"/>
      <w:b/>
      <w:bCs/>
      <w:kern w:val="36"/>
      <w:sz w:val="48"/>
      <w:szCs w:val="48"/>
    </w:rPr>
  </w:style>
  <w:style w:type="paragraph" w:styleId="EndnoteText">
    <w:name w:val="endnote text"/>
    <w:basedOn w:val="Normal"/>
    <w:link w:val="EndnoteTextChar"/>
    <w:unhideWhenUsed/>
    <w:rsid w:val="005A432C"/>
  </w:style>
  <w:style w:type="character" w:customStyle="1" w:styleId="EndnoteTextChar">
    <w:name w:val="Endnote Text Char"/>
    <w:basedOn w:val="DefaultParagraphFont"/>
    <w:link w:val="EndnoteText"/>
    <w:rsid w:val="005A432C"/>
  </w:style>
  <w:style w:type="character" w:styleId="EndnoteReference">
    <w:name w:val="endnote reference"/>
    <w:basedOn w:val="DefaultParagraphFont"/>
    <w:unhideWhenUsed/>
    <w:rsid w:val="005A432C"/>
    <w:rPr>
      <w:vertAlign w:val="superscript"/>
    </w:rPr>
  </w:style>
  <w:style w:type="paragraph" w:styleId="BodyText">
    <w:name w:val="Body Text"/>
    <w:basedOn w:val="Normal"/>
    <w:link w:val="BodyTextChar"/>
    <w:rsid w:val="005A432C"/>
    <w:pPr>
      <w:widowControl w:val="0"/>
      <w:spacing w:line="480" w:lineRule="auto"/>
    </w:pPr>
    <w:rPr>
      <w:rFonts w:ascii="Arial" w:eastAsia="Times New Roman" w:hAnsi="Arial" w:cs="Arial"/>
      <w:b/>
      <w:bCs/>
      <w:sz w:val="28"/>
    </w:rPr>
  </w:style>
  <w:style w:type="character" w:customStyle="1" w:styleId="BodyTextChar">
    <w:name w:val="Body Text Char"/>
    <w:basedOn w:val="DefaultParagraphFont"/>
    <w:link w:val="BodyText"/>
    <w:rsid w:val="005A432C"/>
    <w:rPr>
      <w:rFonts w:ascii="Arial" w:eastAsia="Times New Roman" w:hAnsi="Arial" w:cs="Arial"/>
      <w:b/>
      <w:bCs/>
      <w:sz w:val="28"/>
    </w:rPr>
  </w:style>
  <w:style w:type="character" w:customStyle="1" w:styleId="a-size-large">
    <w:name w:val="a-size-large"/>
    <w:basedOn w:val="DefaultParagraphFont"/>
    <w:rsid w:val="005A432C"/>
  </w:style>
  <w:style w:type="character" w:styleId="Emphasis">
    <w:name w:val="Emphasis"/>
    <w:basedOn w:val="DefaultParagraphFont"/>
    <w:uiPriority w:val="20"/>
    <w:qFormat/>
    <w:rsid w:val="005A432C"/>
    <w:rPr>
      <w:i/>
      <w:iCs/>
    </w:rPr>
  </w:style>
  <w:style w:type="character" w:styleId="Strong">
    <w:name w:val="Strong"/>
    <w:basedOn w:val="DefaultParagraphFont"/>
    <w:uiPriority w:val="22"/>
    <w:qFormat/>
    <w:rsid w:val="008F669E"/>
    <w:rPr>
      <w:b/>
      <w:bCs/>
    </w:rPr>
  </w:style>
  <w:style w:type="paragraph" w:styleId="NormalWeb">
    <w:name w:val="Normal (Web)"/>
    <w:basedOn w:val="Normal"/>
    <w:uiPriority w:val="99"/>
    <w:unhideWhenUsed/>
    <w:rsid w:val="008F669E"/>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4833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F0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C56"/>
    <w:rPr>
      <w:rFonts w:ascii="Lucida Grande" w:hAnsi="Lucida Grande" w:cs="Lucida Grande"/>
      <w:sz w:val="18"/>
      <w:szCs w:val="18"/>
    </w:rPr>
  </w:style>
  <w:style w:type="paragraph" w:styleId="ListParagraph">
    <w:name w:val="List Paragraph"/>
    <w:basedOn w:val="Normal"/>
    <w:uiPriority w:val="34"/>
    <w:qFormat/>
    <w:rsid w:val="00D11DFE"/>
    <w:pPr>
      <w:ind w:left="720"/>
      <w:contextualSpacing/>
    </w:pPr>
    <w:rPr>
      <w:rFonts w:ascii="Times" w:hAnsi="Times"/>
      <w:sz w:val="20"/>
      <w:szCs w:val="20"/>
    </w:rPr>
  </w:style>
  <w:style w:type="character" w:styleId="FollowedHyperlink">
    <w:name w:val="FollowedHyperlink"/>
    <w:basedOn w:val="DefaultParagraphFont"/>
    <w:uiPriority w:val="99"/>
    <w:semiHidden/>
    <w:unhideWhenUsed/>
    <w:rsid w:val="00FC56B6"/>
    <w:rPr>
      <w:color w:val="800080" w:themeColor="followedHyperlink"/>
      <w:u w:val="single"/>
    </w:rPr>
  </w:style>
  <w:style w:type="paragraph" w:customStyle="1" w:styleId="Default">
    <w:name w:val="Default"/>
    <w:rsid w:val="003B2C04"/>
    <w:pPr>
      <w:widowControl w:val="0"/>
      <w:autoSpaceDE w:val="0"/>
      <w:autoSpaceDN w:val="0"/>
      <w:adjustRightInd w:val="0"/>
    </w:pPr>
    <w:rPr>
      <w:rFonts w:ascii="Calibri" w:hAnsi="Calibri" w:cs="Calibri"/>
      <w:color w:val="000000"/>
    </w:rPr>
  </w:style>
  <w:style w:type="character" w:styleId="HTMLCite">
    <w:name w:val="HTML Cite"/>
    <w:basedOn w:val="DefaultParagraphFont"/>
    <w:uiPriority w:val="99"/>
    <w:semiHidden/>
    <w:unhideWhenUsed/>
    <w:rsid w:val="00DB7134"/>
    <w:rPr>
      <w:i/>
      <w:iCs/>
    </w:rPr>
  </w:style>
  <w:style w:type="paragraph" w:styleId="Header">
    <w:name w:val="header"/>
    <w:basedOn w:val="Normal"/>
    <w:link w:val="HeaderChar"/>
    <w:uiPriority w:val="99"/>
    <w:unhideWhenUsed/>
    <w:rsid w:val="0019479F"/>
    <w:pPr>
      <w:tabs>
        <w:tab w:val="center" w:pos="4320"/>
        <w:tab w:val="right" w:pos="8640"/>
      </w:tabs>
    </w:pPr>
  </w:style>
  <w:style w:type="character" w:customStyle="1" w:styleId="HeaderChar">
    <w:name w:val="Header Char"/>
    <w:basedOn w:val="DefaultParagraphFont"/>
    <w:link w:val="Header"/>
    <w:uiPriority w:val="99"/>
    <w:rsid w:val="0019479F"/>
  </w:style>
  <w:style w:type="character" w:styleId="PageNumber">
    <w:name w:val="page number"/>
    <w:basedOn w:val="DefaultParagraphFont"/>
    <w:uiPriority w:val="99"/>
    <w:semiHidden/>
    <w:unhideWhenUsed/>
    <w:rsid w:val="001947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432C"/>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4833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843"/>
    <w:rPr>
      <w:color w:val="0000FF" w:themeColor="hyperlink"/>
      <w:u w:val="single"/>
    </w:rPr>
  </w:style>
  <w:style w:type="character" w:customStyle="1" w:styleId="Heading1Char">
    <w:name w:val="Heading 1 Char"/>
    <w:basedOn w:val="DefaultParagraphFont"/>
    <w:link w:val="Heading1"/>
    <w:uiPriority w:val="9"/>
    <w:rsid w:val="005A432C"/>
    <w:rPr>
      <w:rFonts w:ascii="Times" w:hAnsi="Times"/>
      <w:b/>
      <w:bCs/>
      <w:kern w:val="36"/>
      <w:sz w:val="48"/>
      <w:szCs w:val="48"/>
    </w:rPr>
  </w:style>
  <w:style w:type="paragraph" w:styleId="EndnoteText">
    <w:name w:val="endnote text"/>
    <w:basedOn w:val="Normal"/>
    <w:link w:val="EndnoteTextChar"/>
    <w:unhideWhenUsed/>
    <w:rsid w:val="005A432C"/>
  </w:style>
  <w:style w:type="character" w:customStyle="1" w:styleId="EndnoteTextChar">
    <w:name w:val="Endnote Text Char"/>
    <w:basedOn w:val="DefaultParagraphFont"/>
    <w:link w:val="EndnoteText"/>
    <w:rsid w:val="005A432C"/>
  </w:style>
  <w:style w:type="character" w:styleId="EndnoteReference">
    <w:name w:val="endnote reference"/>
    <w:basedOn w:val="DefaultParagraphFont"/>
    <w:unhideWhenUsed/>
    <w:rsid w:val="005A432C"/>
    <w:rPr>
      <w:vertAlign w:val="superscript"/>
    </w:rPr>
  </w:style>
  <w:style w:type="paragraph" w:styleId="BodyText">
    <w:name w:val="Body Text"/>
    <w:basedOn w:val="Normal"/>
    <w:link w:val="BodyTextChar"/>
    <w:rsid w:val="005A432C"/>
    <w:pPr>
      <w:widowControl w:val="0"/>
      <w:spacing w:line="480" w:lineRule="auto"/>
    </w:pPr>
    <w:rPr>
      <w:rFonts w:ascii="Arial" w:eastAsia="Times New Roman" w:hAnsi="Arial" w:cs="Arial"/>
      <w:b/>
      <w:bCs/>
      <w:sz w:val="28"/>
    </w:rPr>
  </w:style>
  <w:style w:type="character" w:customStyle="1" w:styleId="BodyTextChar">
    <w:name w:val="Body Text Char"/>
    <w:basedOn w:val="DefaultParagraphFont"/>
    <w:link w:val="BodyText"/>
    <w:rsid w:val="005A432C"/>
    <w:rPr>
      <w:rFonts w:ascii="Arial" w:eastAsia="Times New Roman" w:hAnsi="Arial" w:cs="Arial"/>
      <w:b/>
      <w:bCs/>
      <w:sz w:val="28"/>
    </w:rPr>
  </w:style>
  <w:style w:type="character" w:customStyle="1" w:styleId="a-size-large">
    <w:name w:val="a-size-large"/>
    <w:basedOn w:val="DefaultParagraphFont"/>
    <w:rsid w:val="005A432C"/>
  </w:style>
  <w:style w:type="character" w:styleId="Emphasis">
    <w:name w:val="Emphasis"/>
    <w:basedOn w:val="DefaultParagraphFont"/>
    <w:uiPriority w:val="20"/>
    <w:qFormat/>
    <w:rsid w:val="005A432C"/>
    <w:rPr>
      <w:i/>
      <w:iCs/>
    </w:rPr>
  </w:style>
  <w:style w:type="character" w:styleId="Strong">
    <w:name w:val="Strong"/>
    <w:basedOn w:val="DefaultParagraphFont"/>
    <w:uiPriority w:val="22"/>
    <w:qFormat/>
    <w:rsid w:val="008F669E"/>
    <w:rPr>
      <w:b/>
      <w:bCs/>
    </w:rPr>
  </w:style>
  <w:style w:type="paragraph" w:styleId="NormalWeb">
    <w:name w:val="Normal (Web)"/>
    <w:basedOn w:val="Normal"/>
    <w:uiPriority w:val="99"/>
    <w:unhideWhenUsed/>
    <w:rsid w:val="008F669E"/>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4833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F0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C56"/>
    <w:rPr>
      <w:rFonts w:ascii="Lucida Grande" w:hAnsi="Lucida Grande" w:cs="Lucida Grande"/>
      <w:sz w:val="18"/>
      <w:szCs w:val="18"/>
    </w:rPr>
  </w:style>
  <w:style w:type="paragraph" w:styleId="ListParagraph">
    <w:name w:val="List Paragraph"/>
    <w:basedOn w:val="Normal"/>
    <w:uiPriority w:val="34"/>
    <w:qFormat/>
    <w:rsid w:val="00D11DFE"/>
    <w:pPr>
      <w:ind w:left="720"/>
      <w:contextualSpacing/>
    </w:pPr>
    <w:rPr>
      <w:rFonts w:ascii="Times" w:hAnsi="Times"/>
      <w:sz w:val="20"/>
      <w:szCs w:val="20"/>
    </w:rPr>
  </w:style>
  <w:style w:type="character" w:styleId="FollowedHyperlink">
    <w:name w:val="FollowedHyperlink"/>
    <w:basedOn w:val="DefaultParagraphFont"/>
    <w:uiPriority w:val="99"/>
    <w:semiHidden/>
    <w:unhideWhenUsed/>
    <w:rsid w:val="00FC56B6"/>
    <w:rPr>
      <w:color w:val="800080" w:themeColor="followedHyperlink"/>
      <w:u w:val="single"/>
    </w:rPr>
  </w:style>
  <w:style w:type="paragraph" w:customStyle="1" w:styleId="Default">
    <w:name w:val="Default"/>
    <w:rsid w:val="003B2C04"/>
    <w:pPr>
      <w:widowControl w:val="0"/>
      <w:autoSpaceDE w:val="0"/>
      <w:autoSpaceDN w:val="0"/>
      <w:adjustRightInd w:val="0"/>
    </w:pPr>
    <w:rPr>
      <w:rFonts w:ascii="Calibri" w:hAnsi="Calibri" w:cs="Calibri"/>
      <w:color w:val="000000"/>
    </w:rPr>
  </w:style>
  <w:style w:type="character" w:styleId="HTMLCite">
    <w:name w:val="HTML Cite"/>
    <w:basedOn w:val="DefaultParagraphFont"/>
    <w:uiPriority w:val="99"/>
    <w:semiHidden/>
    <w:unhideWhenUsed/>
    <w:rsid w:val="00DB7134"/>
    <w:rPr>
      <w:i/>
      <w:iCs/>
    </w:rPr>
  </w:style>
  <w:style w:type="paragraph" w:styleId="Header">
    <w:name w:val="header"/>
    <w:basedOn w:val="Normal"/>
    <w:link w:val="HeaderChar"/>
    <w:uiPriority w:val="99"/>
    <w:unhideWhenUsed/>
    <w:rsid w:val="0019479F"/>
    <w:pPr>
      <w:tabs>
        <w:tab w:val="center" w:pos="4320"/>
        <w:tab w:val="right" w:pos="8640"/>
      </w:tabs>
    </w:pPr>
  </w:style>
  <w:style w:type="character" w:customStyle="1" w:styleId="HeaderChar">
    <w:name w:val="Header Char"/>
    <w:basedOn w:val="DefaultParagraphFont"/>
    <w:link w:val="Header"/>
    <w:uiPriority w:val="99"/>
    <w:rsid w:val="0019479F"/>
  </w:style>
  <w:style w:type="character" w:styleId="PageNumber">
    <w:name w:val="page number"/>
    <w:basedOn w:val="DefaultParagraphFont"/>
    <w:uiPriority w:val="99"/>
    <w:semiHidden/>
    <w:unhideWhenUsed/>
    <w:rsid w:val="0019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513">
      <w:bodyDiv w:val="1"/>
      <w:marLeft w:val="0"/>
      <w:marRight w:val="0"/>
      <w:marTop w:val="0"/>
      <w:marBottom w:val="0"/>
      <w:divBdr>
        <w:top w:val="none" w:sz="0" w:space="0" w:color="auto"/>
        <w:left w:val="none" w:sz="0" w:space="0" w:color="auto"/>
        <w:bottom w:val="none" w:sz="0" w:space="0" w:color="auto"/>
        <w:right w:val="none" w:sz="0" w:space="0" w:color="auto"/>
      </w:divBdr>
      <w:divsChild>
        <w:div w:id="660736407">
          <w:marLeft w:val="446"/>
          <w:marRight w:val="0"/>
          <w:marTop w:val="0"/>
          <w:marBottom w:val="0"/>
          <w:divBdr>
            <w:top w:val="none" w:sz="0" w:space="0" w:color="auto"/>
            <w:left w:val="none" w:sz="0" w:space="0" w:color="auto"/>
            <w:bottom w:val="none" w:sz="0" w:space="0" w:color="auto"/>
            <w:right w:val="none" w:sz="0" w:space="0" w:color="auto"/>
          </w:divBdr>
        </w:div>
      </w:divsChild>
    </w:div>
    <w:div w:id="441998635">
      <w:bodyDiv w:val="1"/>
      <w:marLeft w:val="0"/>
      <w:marRight w:val="0"/>
      <w:marTop w:val="0"/>
      <w:marBottom w:val="0"/>
      <w:divBdr>
        <w:top w:val="none" w:sz="0" w:space="0" w:color="auto"/>
        <w:left w:val="none" w:sz="0" w:space="0" w:color="auto"/>
        <w:bottom w:val="none" w:sz="0" w:space="0" w:color="auto"/>
        <w:right w:val="none" w:sz="0" w:space="0" w:color="auto"/>
      </w:divBdr>
    </w:div>
    <w:div w:id="623387695">
      <w:bodyDiv w:val="1"/>
      <w:marLeft w:val="0"/>
      <w:marRight w:val="0"/>
      <w:marTop w:val="0"/>
      <w:marBottom w:val="0"/>
      <w:divBdr>
        <w:top w:val="none" w:sz="0" w:space="0" w:color="auto"/>
        <w:left w:val="none" w:sz="0" w:space="0" w:color="auto"/>
        <w:bottom w:val="none" w:sz="0" w:space="0" w:color="auto"/>
        <w:right w:val="none" w:sz="0" w:space="0" w:color="auto"/>
      </w:divBdr>
    </w:div>
    <w:div w:id="701324290">
      <w:bodyDiv w:val="1"/>
      <w:marLeft w:val="0"/>
      <w:marRight w:val="0"/>
      <w:marTop w:val="0"/>
      <w:marBottom w:val="0"/>
      <w:divBdr>
        <w:top w:val="none" w:sz="0" w:space="0" w:color="auto"/>
        <w:left w:val="none" w:sz="0" w:space="0" w:color="auto"/>
        <w:bottom w:val="none" w:sz="0" w:space="0" w:color="auto"/>
        <w:right w:val="none" w:sz="0" w:space="0" w:color="auto"/>
      </w:divBdr>
    </w:div>
    <w:div w:id="797530017">
      <w:bodyDiv w:val="1"/>
      <w:marLeft w:val="0"/>
      <w:marRight w:val="0"/>
      <w:marTop w:val="0"/>
      <w:marBottom w:val="0"/>
      <w:divBdr>
        <w:top w:val="none" w:sz="0" w:space="0" w:color="auto"/>
        <w:left w:val="none" w:sz="0" w:space="0" w:color="auto"/>
        <w:bottom w:val="none" w:sz="0" w:space="0" w:color="auto"/>
        <w:right w:val="none" w:sz="0" w:space="0" w:color="auto"/>
      </w:divBdr>
    </w:div>
    <w:div w:id="919295787">
      <w:bodyDiv w:val="1"/>
      <w:marLeft w:val="0"/>
      <w:marRight w:val="0"/>
      <w:marTop w:val="0"/>
      <w:marBottom w:val="0"/>
      <w:divBdr>
        <w:top w:val="none" w:sz="0" w:space="0" w:color="auto"/>
        <w:left w:val="none" w:sz="0" w:space="0" w:color="auto"/>
        <w:bottom w:val="none" w:sz="0" w:space="0" w:color="auto"/>
        <w:right w:val="none" w:sz="0" w:space="0" w:color="auto"/>
      </w:divBdr>
    </w:div>
    <w:div w:id="1189829660">
      <w:bodyDiv w:val="1"/>
      <w:marLeft w:val="0"/>
      <w:marRight w:val="0"/>
      <w:marTop w:val="0"/>
      <w:marBottom w:val="0"/>
      <w:divBdr>
        <w:top w:val="none" w:sz="0" w:space="0" w:color="auto"/>
        <w:left w:val="none" w:sz="0" w:space="0" w:color="auto"/>
        <w:bottom w:val="none" w:sz="0" w:space="0" w:color="auto"/>
        <w:right w:val="none" w:sz="0" w:space="0" w:color="auto"/>
      </w:divBdr>
    </w:div>
    <w:div w:id="1680085709">
      <w:bodyDiv w:val="1"/>
      <w:marLeft w:val="0"/>
      <w:marRight w:val="0"/>
      <w:marTop w:val="0"/>
      <w:marBottom w:val="0"/>
      <w:divBdr>
        <w:top w:val="none" w:sz="0" w:space="0" w:color="auto"/>
        <w:left w:val="none" w:sz="0" w:space="0" w:color="auto"/>
        <w:bottom w:val="none" w:sz="0" w:space="0" w:color="auto"/>
        <w:right w:val="none" w:sz="0" w:space="0" w:color="auto"/>
      </w:divBdr>
      <w:divsChild>
        <w:div w:id="870342699">
          <w:marLeft w:val="547"/>
          <w:marRight w:val="0"/>
          <w:marTop w:val="134"/>
          <w:marBottom w:val="0"/>
          <w:divBdr>
            <w:top w:val="none" w:sz="0" w:space="0" w:color="auto"/>
            <w:left w:val="none" w:sz="0" w:space="0" w:color="auto"/>
            <w:bottom w:val="none" w:sz="0" w:space="0" w:color="auto"/>
            <w:right w:val="none" w:sz="0" w:space="0" w:color="auto"/>
          </w:divBdr>
        </w:div>
      </w:divsChild>
    </w:div>
    <w:div w:id="1968848075">
      <w:bodyDiv w:val="1"/>
      <w:marLeft w:val="0"/>
      <w:marRight w:val="0"/>
      <w:marTop w:val="0"/>
      <w:marBottom w:val="0"/>
      <w:divBdr>
        <w:top w:val="none" w:sz="0" w:space="0" w:color="auto"/>
        <w:left w:val="none" w:sz="0" w:space="0" w:color="auto"/>
        <w:bottom w:val="none" w:sz="0" w:space="0" w:color="auto"/>
        <w:right w:val="none" w:sz="0" w:space="0" w:color="auto"/>
      </w:divBdr>
    </w:div>
    <w:div w:id="1969703842">
      <w:bodyDiv w:val="1"/>
      <w:marLeft w:val="0"/>
      <w:marRight w:val="0"/>
      <w:marTop w:val="0"/>
      <w:marBottom w:val="0"/>
      <w:divBdr>
        <w:top w:val="none" w:sz="0" w:space="0" w:color="auto"/>
        <w:left w:val="none" w:sz="0" w:space="0" w:color="auto"/>
        <w:bottom w:val="none" w:sz="0" w:space="0" w:color="auto"/>
        <w:right w:val="none" w:sz="0" w:space="0" w:color="auto"/>
      </w:divBdr>
    </w:div>
    <w:div w:id="2016490770">
      <w:bodyDiv w:val="1"/>
      <w:marLeft w:val="0"/>
      <w:marRight w:val="0"/>
      <w:marTop w:val="0"/>
      <w:marBottom w:val="0"/>
      <w:divBdr>
        <w:top w:val="none" w:sz="0" w:space="0" w:color="auto"/>
        <w:left w:val="none" w:sz="0" w:space="0" w:color="auto"/>
        <w:bottom w:val="none" w:sz="0" w:space="0" w:color="auto"/>
        <w:right w:val="none" w:sz="0" w:space="0" w:color="auto"/>
      </w:divBdr>
      <w:divsChild>
        <w:div w:id="1730609903">
          <w:marLeft w:val="547"/>
          <w:marRight w:val="0"/>
          <w:marTop w:val="96"/>
          <w:marBottom w:val="0"/>
          <w:divBdr>
            <w:top w:val="none" w:sz="0" w:space="0" w:color="auto"/>
            <w:left w:val="none" w:sz="0" w:space="0" w:color="auto"/>
            <w:bottom w:val="none" w:sz="0" w:space="0" w:color="auto"/>
            <w:right w:val="none" w:sz="0" w:space="0" w:color="auto"/>
          </w:divBdr>
        </w:div>
        <w:div w:id="249894259">
          <w:marLeft w:val="1166"/>
          <w:marRight w:val="0"/>
          <w:marTop w:val="96"/>
          <w:marBottom w:val="0"/>
          <w:divBdr>
            <w:top w:val="none" w:sz="0" w:space="0" w:color="auto"/>
            <w:left w:val="none" w:sz="0" w:space="0" w:color="auto"/>
            <w:bottom w:val="none" w:sz="0" w:space="0" w:color="auto"/>
            <w:right w:val="none" w:sz="0" w:space="0" w:color="auto"/>
          </w:divBdr>
        </w:div>
        <w:div w:id="1275332622">
          <w:marLeft w:val="1166"/>
          <w:marRight w:val="0"/>
          <w:marTop w:val="96"/>
          <w:marBottom w:val="0"/>
          <w:divBdr>
            <w:top w:val="none" w:sz="0" w:space="0" w:color="auto"/>
            <w:left w:val="none" w:sz="0" w:space="0" w:color="auto"/>
            <w:bottom w:val="none" w:sz="0" w:space="0" w:color="auto"/>
            <w:right w:val="none" w:sz="0" w:space="0" w:color="auto"/>
          </w:divBdr>
        </w:div>
      </w:divsChild>
    </w:div>
    <w:div w:id="2077631140">
      <w:bodyDiv w:val="1"/>
      <w:marLeft w:val="0"/>
      <w:marRight w:val="0"/>
      <w:marTop w:val="0"/>
      <w:marBottom w:val="0"/>
      <w:divBdr>
        <w:top w:val="none" w:sz="0" w:space="0" w:color="auto"/>
        <w:left w:val="none" w:sz="0" w:space="0" w:color="auto"/>
        <w:bottom w:val="none" w:sz="0" w:space="0" w:color="auto"/>
        <w:right w:val="none" w:sz="0" w:space="0" w:color="auto"/>
      </w:divBdr>
      <w:divsChild>
        <w:div w:id="115833411">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cannavo@hamilton.edu" TargetMode="Externa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1" Type="http://schemas.openxmlformats.org/officeDocument/2006/relationships/hyperlink" Target="http://jptransition.org/local-food-web/" TargetMode="External"/><Relationship Id="rId12" Type="http://schemas.openxmlformats.org/officeDocument/2006/relationships/hyperlink" Target="http://transitionus.org/initiatives/7-principles" TargetMode="External"/><Relationship Id="rId13" Type="http://schemas.openxmlformats.org/officeDocument/2006/relationships/hyperlink" Target="http://transitionus.org/initiatives/7-principles" TargetMode="External"/><Relationship Id="rId14" Type="http://schemas.openxmlformats.org/officeDocument/2006/relationships/hyperlink" Target="http://transitionus.org/initiatives/7-principles" TargetMode="External"/><Relationship Id="rId15" Type="http://schemas.openxmlformats.org/officeDocument/2006/relationships/hyperlink" Target="http://transitionus.org/initiatives/7-principles" TargetMode="External"/><Relationship Id="rId16" Type="http://schemas.openxmlformats.org/officeDocument/2006/relationships/hyperlink" Target="http://rupertsread.blogspot.com.au/2008/02/transition-towns-are-great-but-they.html?m=1" TargetMode="External"/><Relationship Id="rId17" Type="http://schemas.openxmlformats.org/officeDocument/2006/relationships/hyperlink" Target="https://www.transitionnetwork.org/blogs/rob-hopkins/2016-03/snapshot-transition-ireland" TargetMode="External"/><Relationship Id="rId18" Type="http://schemas.openxmlformats.org/officeDocument/2006/relationships/hyperlink" Target="trapese.clearerchannel.org/resources/rocky-road-a5-web.pdf" TargetMode="External"/><Relationship Id="rId19" Type="http://schemas.openxmlformats.org/officeDocument/2006/relationships/hyperlink" Target="https://www.transitionnetwork.org/blogs/rob-hopkins/2014-06/transition-political" TargetMode="External"/><Relationship Id="rId1" Type="http://schemas.openxmlformats.org/officeDocument/2006/relationships/hyperlink" Target="https://www.transitionnetwork.org/where" TargetMode="External"/><Relationship Id="rId2" Type="http://schemas.openxmlformats.org/officeDocument/2006/relationships/hyperlink" Target="https://www.transitionnetwork.org/about/strategy" TargetMode="External"/><Relationship Id="rId3" Type="http://schemas.openxmlformats.org/officeDocument/2006/relationships/hyperlink" Target="http://transitionus.org/" TargetMode="External"/><Relationship Id="rId4" Type="http://schemas.openxmlformats.org/officeDocument/2006/relationships/hyperlink" Target="https://midatlantictransition.org/" TargetMode="External"/><Relationship Id="rId5" Type="http://schemas.openxmlformats.org/officeDocument/2006/relationships/hyperlink" Target="http://transitionus.org/our-story" TargetMode="External"/><Relationship Id="rId6" Type="http://schemas.openxmlformats.org/officeDocument/2006/relationships/hyperlink" Target="http://www.jptransition.org/" TargetMode="External"/><Relationship Id="rId7" Type="http://schemas.openxmlformats.org/officeDocument/2006/relationships/hyperlink" Target="http://jptransition.org/2012/02/07/working-group-how-resilient-is-jp/" TargetMode="External"/><Relationship Id="rId8" Type="http://schemas.openxmlformats.org/officeDocument/2006/relationships/hyperlink" Target="http://transitionus.org/blog/reskilling-mastery-appropriate-technology" TargetMode="External"/><Relationship Id="rId9" Type="http://schemas.openxmlformats.org/officeDocument/2006/relationships/hyperlink" Target="http://transitionus.org/blog/reskilling-mastery-appropriate-technology" TargetMode="External"/><Relationship Id="rId10" Type="http://schemas.openxmlformats.org/officeDocument/2006/relationships/hyperlink" Target="http://transitionbrist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3982</TotalTime>
  <Pages>41</Pages>
  <Words>8807</Words>
  <Characters>50201</Characters>
  <Application>Microsoft Macintosh Word</Application>
  <DocSecurity>0</DocSecurity>
  <Lines>418</Lines>
  <Paragraphs>117</Paragraphs>
  <ScaleCrop>false</ScaleCrop>
  <Company/>
  <LinksUpToDate>false</LinksUpToDate>
  <CharactersWithSpaces>58891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Cannavo</dc:creator>
  <cp:keywords/>
  <dc:description/>
  <cp:lastModifiedBy>Peter Cannavo</cp:lastModifiedBy>
  <cp:revision>189</cp:revision>
  <dcterms:created xsi:type="dcterms:W3CDTF">2016-03-12T15:39:00Z</dcterms:created>
  <dcterms:modified xsi:type="dcterms:W3CDTF">2016-03-19T15:00:00Z</dcterms:modified>
</cp:coreProperties>
</file>