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0C" w:rsidRDefault="00F7370C" w:rsidP="00F7370C">
      <w:pPr>
        <w:jc w:val="right"/>
        <w:rPr>
          <w:rFonts w:asciiTheme="majorHAnsi" w:hAnsiTheme="majorHAnsi"/>
          <w:sz w:val="24"/>
          <w:szCs w:val="24"/>
        </w:rPr>
      </w:pPr>
    </w:p>
    <w:p w:rsidR="00E334D8" w:rsidRDefault="00E334D8" w:rsidP="00F7370C">
      <w:pPr>
        <w:jc w:val="right"/>
        <w:rPr>
          <w:rFonts w:asciiTheme="majorHAnsi" w:hAnsiTheme="majorHAnsi"/>
          <w:sz w:val="24"/>
          <w:szCs w:val="24"/>
        </w:rPr>
      </w:pPr>
    </w:p>
    <w:p w:rsidR="003961E9" w:rsidRDefault="003F1C19" w:rsidP="002F4BCD">
      <w:pPr>
        <w:jc w:val="center"/>
        <w:rPr>
          <w:rFonts w:asciiTheme="majorHAnsi" w:hAnsiTheme="majorHAnsi"/>
          <w:b/>
          <w:sz w:val="24"/>
          <w:szCs w:val="24"/>
        </w:rPr>
      </w:pPr>
      <w:r>
        <w:rPr>
          <w:rFonts w:asciiTheme="majorHAnsi" w:hAnsiTheme="majorHAnsi"/>
          <w:b/>
          <w:sz w:val="24"/>
          <w:szCs w:val="24"/>
        </w:rPr>
        <w:t xml:space="preserve">The Sacred Stays Central:  </w:t>
      </w:r>
      <w:r w:rsidR="008040D3" w:rsidRPr="002F4BCD">
        <w:rPr>
          <w:rFonts w:asciiTheme="majorHAnsi" w:hAnsiTheme="majorHAnsi"/>
          <w:b/>
          <w:sz w:val="24"/>
          <w:szCs w:val="24"/>
        </w:rPr>
        <w:t xml:space="preserve">Agency </w:t>
      </w:r>
      <w:r w:rsidR="005B6962">
        <w:rPr>
          <w:rFonts w:asciiTheme="majorHAnsi" w:hAnsiTheme="majorHAnsi"/>
          <w:b/>
          <w:sz w:val="24"/>
          <w:szCs w:val="24"/>
        </w:rPr>
        <w:t>and Transcendent Credibility</w:t>
      </w:r>
      <w:r w:rsidR="002F4BCD" w:rsidRPr="002F4BCD">
        <w:rPr>
          <w:rFonts w:asciiTheme="majorHAnsi" w:hAnsiTheme="majorHAnsi"/>
          <w:b/>
          <w:sz w:val="24"/>
          <w:szCs w:val="24"/>
        </w:rPr>
        <w:t xml:space="preserve"> </w:t>
      </w:r>
      <w:r w:rsidR="008040D3" w:rsidRPr="002F4BCD">
        <w:rPr>
          <w:rFonts w:asciiTheme="majorHAnsi" w:hAnsiTheme="majorHAnsi"/>
          <w:b/>
          <w:sz w:val="24"/>
          <w:szCs w:val="24"/>
        </w:rPr>
        <w:t>in Early Modern Political Theor</w:t>
      </w:r>
      <w:r w:rsidR="005B6962">
        <w:rPr>
          <w:rFonts w:asciiTheme="majorHAnsi" w:hAnsiTheme="majorHAnsi"/>
          <w:b/>
          <w:sz w:val="24"/>
          <w:szCs w:val="24"/>
        </w:rPr>
        <w:t>ies of Authority</w:t>
      </w:r>
    </w:p>
    <w:p w:rsidR="002F4BCD" w:rsidRDefault="002F4BCD" w:rsidP="002F4BCD">
      <w:pPr>
        <w:jc w:val="center"/>
        <w:rPr>
          <w:rFonts w:asciiTheme="majorHAnsi" w:hAnsiTheme="majorHAnsi"/>
          <w:b/>
          <w:sz w:val="24"/>
          <w:szCs w:val="24"/>
        </w:rPr>
      </w:pPr>
    </w:p>
    <w:p w:rsidR="00E334D8" w:rsidRDefault="00E334D8" w:rsidP="002F4BCD">
      <w:pPr>
        <w:jc w:val="center"/>
        <w:rPr>
          <w:rFonts w:asciiTheme="majorHAnsi" w:hAnsiTheme="majorHAnsi"/>
          <w:sz w:val="24"/>
          <w:szCs w:val="24"/>
        </w:rPr>
      </w:pPr>
      <w:proofErr w:type="spellStart"/>
      <w:r>
        <w:rPr>
          <w:rFonts w:asciiTheme="majorHAnsi" w:hAnsiTheme="majorHAnsi"/>
          <w:sz w:val="24"/>
          <w:szCs w:val="24"/>
        </w:rPr>
        <w:t>Rosco</w:t>
      </w:r>
      <w:proofErr w:type="spellEnd"/>
      <w:r>
        <w:rPr>
          <w:rFonts w:asciiTheme="majorHAnsi" w:hAnsiTheme="majorHAnsi"/>
          <w:sz w:val="24"/>
          <w:szCs w:val="24"/>
        </w:rPr>
        <w:t xml:space="preserve"> Williamson</w:t>
      </w:r>
    </w:p>
    <w:p w:rsidR="00E334D8" w:rsidRPr="00E334D8" w:rsidRDefault="00E334D8" w:rsidP="002F4BCD">
      <w:pPr>
        <w:jc w:val="center"/>
        <w:rPr>
          <w:rFonts w:asciiTheme="majorHAnsi" w:hAnsiTheme="majorHAnsi"/>
          <w:sz w:val="24"/>
          <w:szCs w:val="24"/>
        </w:rPr>
      </w:pPr>
    </w:p>
    <w:p w:rsidR="00AA43B6" w:rsidRPr="00AA43B6" w:rsidRDefault="00AA43B6" w:rsidP="002F4BCD">
      <w:pPr>
        <w:jc w:val="center"/>
        <w:rPr>
          <w:rFonts w:asciiTheme="majorHAnsi" w:hAnsiTheme="majorHAnsi"/>
          <w:sz w:val="24"/>
          <w:szCs w:val="24"/>
        </w:rPr>
      </w:pPr>
      <w:r w:rsidRPr="00AA43B6">
        <w:rPr>
          <w:rFonts w:asciiTheme="majorHAnsi" w:hAnsiTheme="majorHAnsi"/>
          <w:sz w:val="24"/>
          <w:szCs w:val="24"/>
        </w:rPr>
        <w:t>ABSTRACT</w:t>
      </w:r>
    </w:p>
    <w:p w:rsidR="00750144" w:rsidRPr="00AA43B6" w:rsidRDefault="00AA43B6" w:rsidP="00AA43B6">
      <w:pPr>
        <w:ind w:left="720" w:right="720"/>
        <w:rPr>
          <w:rFonts w:asciiTheme="majorHAnsi" w:hAnsiTheme="majorHAnsi"/>
        </w:rPr>
      </w:pPr>
      <w:r w:rsidRPr="00AA43B6">
        <w:rPr>
          <w:rFonts w:asciiTheme="majorHAnsi" w:hAnsiTheme="majorHAnsi"/>
        </w:rPr>
        <w:t>T</w:t>
      </w:r>
      <w:r w:rsidR="00041AEA" w:rsidRPr="00AA43B6">
        <w:rPr>
          <w:rFonts w:asciiTheme="majorHAnsi" w:hAnsiTheme="majorHAnsi"/>
        </w:rPr>
        <w:t>he Nation came to replace God as the ultimate source of political authority in Europe by a somewhat complex path.</w:t>
      </w:r>
      <w:r w:rsidR="002F4BCD" w:rsidRPr="00AA43B6">
        <w:rPr>
          <w:rFonts w:asciiTheme="majorHAnsi" w:hAnsiTheme="majorHAnsi"/>
        </w:rPr>
        <w:t xml:space="preserve">  </w:t>
      </w:r>
      <w:r w:rsidR="00491C72" w:rsidRPr="00AA43B6">
        <w:rPr>
          <w:rFonts w:asciiTheme="majorHAnsi" w:hAnsiTheme="majorHAnsi"/>
        </w:rPr>
        <w:t>This complexity can be clarified by examining the</w:t>
      </w:r>
      <w:r w:rsidR="00494015">
        <w:rPr>
          <w:rFonts w:asciiTheme="majorHAnsi" w:hAnsiTheme="majorHAnsi"/>
        </w:rPr>
        <w:t xml:space="preserve"> role that agency played in </w:t>
      </w:r>
      <w:r w:rsidR="00491C72" w:rsidRPr="00AA43B6">
        <w:rPr>
          <w:rFonts w:asciiTheme="majorHAnsi" w:hAnsiTheme="majorHAnsi"/>
        </w:rPr>
        <w:t xml:space="preserve">early modern political theories.  </w:t>
      </w:r>
      <w:r w:rsidR="007277A6">
        <w:rPr>
          <w:rFonts w:asciiTheme="majorHAnsi" w:hAnsiTheme="majorHAnsi"/>
        </w:rPr>
        <w:t>One strand of seventeenth-century political theory, exemplified by Thomas Hobbes, sought to transform t</w:t>
      </w:r>
      <w:r w:rsidR="00041AEA" w:rsidRPr="00AA43B6">
        <w:rPr>
          <w:rFonts w:asciiTheme="majorHAnsi" w:hAnsiTheme="majorHAnsi"/>
        </w:rPr>
        <w:t>he active God of the si</w:t>
      </w:r>
      <w:r w:rsidR="007277A6">
        <w:rPr>
          <w:rFonts w:asciiTheme="majorHAnsi" w:hAnsiTheme="majorHAnsi"/>
        </w:rPr>
        <w:t>xteenth century into a</w:t>
      </w:r>
      <w:r w:rsidR="00041AEA" w:rsidRPr="00AA43B6">
        <w:rPr>
          <w:rFonts w:asciiTheme="majorHAnsi" w:hAnsiTheme="majorHAnsi"/>
        </w:rPr>
        <w:t xml:space="preserve"> passive and d</w:t>
      </w:r>
      <w:r w:rsidR="007277A6">
        <w:rPr>
          <w:rFonts w:asciiTheme="majorHAnsi" w:hAnsiTheme="majorHAnsi"/>
        </w:rPr>
        <w:t>istant observer</w:t>
      </w:r>
      <w:r w:rsidR="00041AEA" w:rsidRPr="00AA43B6">
        <w:rPr>
          <w:rFonts w:asciiTheme="majorHAnsi" w:hAnsiTheme="majorHAnsi"/>
        </w:rPr>
        <w:t xml:space="preserve">.  </w:t>
      </w:r>
      <w:r w:rsidR="003F1C19" w:rsidRPr="00AA43B6">
        <w:rPr>
          <w:rFonts w:asciiTheme="majorHAnsi" w:hAnsiTheme="majorHAnsi"/>
        </w:rPr>
        <w:t xml:space="preserve">Somewhat simultaneously, the People were </w:t>
      </w:r>
      <w:r w:rsidR="00041AEA" w:rsidRPr="00AA43B6">
        <w:rPr>
          <w:rFonts w:asciiTheme="majorHAnsi" w:hAnsiTheme="majorHAnsi"/>
        </w:rPr>
        <w:t xml:space="preserve">made active </w:t>
      </w:r>
      <w:r>
        <w:rPr>
          <w:rFonts w:asciiTheme="majorHAnsi" w:hAnsiTheme="majorHAnsi"/>
        </w:rPr>
        <w:t>agent</w:t>
      </w:r>
      <w:r w:rsidR="00041AEA" w:rsidRPr="00AA43B6">
        <w:rPr>
          <w:rFonts w:asciiTheme="majorHAnsi" w:hAnsiTheme="majorHAnsi"/>
        </w:rPr>
        <w:t xml:space="preserve">s in the derivation of political authority by </w:t>
      </w:r>
      <w:r w:rsidR="007277A6">
        <w:rPr>
          <w:rFonts w:asciiTheme="majorHAnsi" w:hAnsiTheme="majorHAnsi"/>
        </w:rPr>
        <w:t xml:space="preserve">John </w:t>
      </w:r>
      <w:r w:rsidR="00041AEA" w:rsidRPr="00AA43B6">
        <w:rPr>
          <w:rFonts w:asciiTheme="majorHAnsi" w:hAnsiTheme="majorHAnsi"/>
        </w:rPr>
        <w:t>Locke</w:t>
      </w:r>
      <w:r w:rsidR="00491C72" w:rsidRPr="00AA43B6">
        <w:rPr>
          <w:rFonts w:asciiTheme="majorHAnsi" w:hAnsiTheme="majorHAnsi"/>
        </w:rPr>
        <w:t xml:space="preserve"> and the theorists of another</w:t>
      </w:r>
      <w:r w:rsidR="00041AEA" w:rsidRPr="00AA43B6">
        <w:rPr>
          <w:rFonts w:asciiTheme="majorHAnsi" w:hAnsiTheme="majorHAnsi"/>
        </w:rPr>
        <w:t xml:space="preserve"> strand</w:t>
      </w:r>
      <w:r w:rsidR="00491C72" w:rsidRPr="00AA43B6">
        <w:rPr>
          <w:rFonts w:asciiTheme="majorHAnsi" w:hAnsiTheme="majorHAnsi"/>
        </w:rPr>
        <w:t xml:space="preserve"> of </w:t>
      </w:r>
      <w:r w:rsidR="007277A6">
        <w:rPr>
          <w:rFonts w:asciiTheme="majorHAnsi" w:hAnsiTheme="majorHAnsi"/>
        </w:rPr>
        <w:t xml:space="preserve">political </w:t>
      </w:r>
      <w:r w:rsidR="00491C72" w:rsidRPr="00AA43B6">
        <w:rPr>
          <w:rFonts w:asciiTheme="majorHAnsi" w:hAnsiTheme="majorHAnsi"/>
        </w:rPr>
        <w:t>theory</w:t>
      </w:r>
      <w:r w:rsidR="00041AEA" w:rsidRPr="00AA43B6">
        <w:rPr>
          <w:rFonts w:asciiTheme="majorHAnsi" w:hAnsiTheme="majorHAnsi"/>
        </w:rPr>
        <w:t xml:space="preserve">.  The eighteenth-century saw authors like </w:t>
      </w:r>
      <w:r w:rsidR="007277A6">
        <w:rPr>
          <w:rFonts w:asciiTheme="majorHAnsi" w:hAnsiTheme="majorHAnsi"/>
        </w:rPr>
        <w:t xml:space="preserve">Jean-Jacques </w:t>
      </w:r>
      <w:r w:rsidR="00041AEA" w:rsidRPr="00AA43B6">
        <w:rPr>
          <w:rFonts w:asciiTheme="majorHAnsi" w:hAnsiTheme="majorHAnsi"/>
        </w:rPr>
        <w:t xml:space="preserve">Rousseau and </w:t>
      </w:r>
      <w:r>
        <w:rPr>
          <w:rFonts w:asciiTheme="majorHAnsi" w:hAnsiTheme="majorHAnsi"/>
        </w:rPr>
        <w:t xml:space="preserve">Johann </w:t>
      </w:r>
      <w:r w:rsidR="00041AEA" w:rsidRPr="00AA43B6">
        <w:rPr>
          <w:rFonts w:asciiTheme="majorHAnsi" w:hAnsiTheme="majorHAnsi"/>
        </w:rPr>
        <w:t>Herder weave together the changes made in each of the</w:t>
      </w:r>
      <w:r w:rsidR="003F1C19" w:rsidRPr="00AA43B6">
        <w:rPr>
          <w:rFonts w:asciiTheme="majorHAnsi" w:hAnsiTheme="majorHAnsi"/>
        </w:rPr>
        <w:t>se</w:t>
      </w:r>
      <w:r w:rsidR="00041AEA" w:rsidRPr="00AA43B6">
        <w:rPr>
          <w:rFonts w:asciiTheme="majorHAnsi" w:hAnsiTheme="majorHAnsi"/>
        </w:rPr>
        <w:t xml:space="preserve"> seventeenth-centuries strands into a theory of political authority that depended on the Nation.</w:t>
      </w:r>
      <w:r w:rsidR="003F1C19" w:rsidRPr="00AA43B6">
        <w:rPr>
          <w:rFonts w:asciiTheme="majorHAnsi" w:hAnsiTheme="majorHAnsi"/>
        </w:rPr>
        <w:t xml:space="preserve">  A</w:t>
      </w:r>
      <w:r w:rsidR="002445F2" w:rsidRPr="00AA43B6">
        <w:rPr>
          <w:rFonts w:asciiTheme="majorHAnsi" w:hAnsiTheme="majorHAnsi"/>
        </w:rPr>
        <w:t xml:space="preserve">n examination of the process by which the </w:t>
      </w:r>
      <w:r w:rsidR="003961E9" w:rsidRPr="00AA43B6">
        <w:rPr>
          <w:rFonts w:asciiTheme="majorHAnsi" w:hAnsiTheme="majorHAnsi"/>
        </w:rPr>
        <w:t xml:space="preserve">theoretical </w:t>
      </w:r>
      <w:r w:rsidR="002445F2" w:rsidRPr="00AA43B6">
        <w:rPr>
          <w:rFonts w:asciiTheme="majorHAnsi" w:hAnsiTheme="majorHAnsi"/>
        </w:rPr>
        <w:t xml:space="preserve">source of </w:t>
      </w:r>
      <w:r w:rsidR="00155A9C" w:rsidRPr="00AA43B6">
        <w:rPr>
          <w:rFonts w:asciiTheme="majorHAnsi" w:hAnsiTheme="majorHAnsi"/>
        </w:rPr>
        <w:t>political authority</w:t>
      </w:r>
      <w:r w:rsidR="002445F2" w:rsidRPr="00AA43B6">
        <w:rPr>
          <w:rFonts w:asciiTheme="majorHAnsi" w:hAnsiTheme="majorHAnsi"/>
        </w:rPr>
        <w:t xml:space="preserve"> passed from God to the Nation in the early modern period of Europe reveals that society </w:t>
      </w:r>
      <w:r w:rsidR="0029772F">
        <w:rPr>
          <w:rFonts w:asciiTheme="majorHAnsi" w:hAnsiTheme="majorHAnsi"/>
        </w:rPr>
        <w:t>continued to require</w:t>
      </w:r>
      <w:r w:rsidR="002445F2" w:rsidRPr="00AA43B6">
        <w:rPr>
          <w:rFonts w:asciiTheme="majorHAnsi" w:hAnsiTheme="majorHAnsi"/>
        </w:rPr>
        <w:t xml:space="preserve"> </w:t>
      </w:r>
      <w:r w:rsidR="0029772F">
        <w:rPr>
          <w:rFonts w:asciiTheme="majorHAnsi" w:hAnsiTheme="majorHAnsi"/>
        </w:rPr>
        <w:t>and rely</w:t>
      </w:r>
      <w:r w:rsidR="002445F2" w:rsidRPr="00AA43B6">
        <w:rPr>
          <w:rFonts w:asciiTheme="majorHAnsi" w:hAnsiTheme="majorHAnsi"/>
        </w:rPr>
        <w:t xml:space="preserve"> upon a “sacred center,” a transcendent source of poli</w:t>
      </w:r>
      <w:r w:rsidR="00155A9C" w:rsidRPr="00AA43B6">
        <w:rPr>
          <w:rFonts w:asciiTheme="majorHAnsi" w:hAnsiTheme="majorHAnsi"/>
        </w:rPr>
        <w:t xml:space="preserve">tical </w:t>
      </w:r>
      <w:r w:rsidR="003961E9" w:rsidRPr="00AA43B6">
        <w:rPr>
          <w:rFonts w:asciiTheme="majorHAnsi" w:hAnsiTheme="majorHAnsi"/>
        </w:rPr>
        <w:t>credibility.</w:t>
      </w:r>
      <w:r w:rsidR="00155A9C" w:rsidRPr="00AA43B6">
        <w:rPr>
          <w:rFonts w:asciiTheme="majorHAnsi" w:hAnsiTheme="majorHAnsi"/>
        </w:rPr>
        <w:t xml:space="preserve"> </w:t>
      </w:r>
    </w:p>
    <w:p w:rsidR="002F4BCD" w:rsidRDefault="002F4BCD" w:rsidP="00750144">
      <w:pPr>
        <w:rPr>
          <w:rFonts w:asciiTheme="majorHAnsi" w:hAnsiTheme="majorHAnsi"/>
          <w:sz w:val="24"/>
          <w:szCs w:val="24"/>
        </w:rPr>
      </w:pPr>
    </w:p>
    <w:p w:rsidR="00AA43B6" w:rsidRDefault="00AA43B6" w:rsidP="00041AEA">
      <w:pPr>
        <w:spacing w:line="480" w:lineRule="auto"/>
        <w:rPr>
          <w:rFonts w:asciiTheme="majorHAnsi" w:hAnsiTheme="majorHAnsi"/>
          <w:b/>
          <w:sz w:val="24"/>
          <w:szCs w:val="24"/>
        </w:rPr>
      </w:pPr>
    </w:p>
    <w:p w:rsidR="00750144" w:rsidRDefault="00750144" w:rsidP="006D1B67">
      <w:pPr>
        <w:rPr>
          <w:rFonts w:asciiTheme="majorHAnsi" w:hAnsiTheme="majorHAnsi"/>
          <w:sz w:val="24"/>
          <w:szCs w:val="24"/>
        </w:rPr>
      </w:pPr>
      <w:r>
        <w:rPr>
          <w:rFonts w:asciiTheme="majorHAnsi" w:hAnsiTheme="majorHAnsi"/>
          <w:sz w:val="24"/>
          <w:szCs w:val="24"/>
        </w:rPr>
        <w:tab/>
        <w:t xml:space="preserve">Recent scholarship has begun to reemphasize the </w:t>
      </w:r>
      <w:r w:rsidR="008B0960">
        <w:rPr>
          <w:rFonts w:asciiTheme="majorHAnsi" w:hAnsiTheme="majorHAnsi"/>
          <w:sz w:val="24"/>
          <w:szCs w:val="24"/>
        </w:rPr>
        <w:t xml:space="preserve">role of theology </w:t>
      </w:r>
      <w:r>
        <w:rPr>
          <w:rFonts w:asciiTheme="majorHAnsi" w:hAnsiTheme="majorHAnsi"/>
          <w:sz w:val="24"/>
          <w:szCs w:val="24"/>
        </w:rPr>
        <w:t xml:space="preserve">in the advent of the modern nation-state.  This literature, in part, characterizes the </w:t>
      </w:r>
      <w:r w:rsidR="00E21C34">
        <w:rPr>
          <w:rFonts w:asciiTheme="majorHAnsi" w:hAnsiTheme="majorHAnsi"/>
          <w:sz w:val="24"/>
          <w:szCs w:val="24"/>
        </w:rPr>
        <w:t>nation-</w:t>
      </w:r>
      <w:r>
        <w:rPr>
          <w:rFonts w:asciiTheme="majorHAnsi" w:hAnsiTheme="majorHAnsi"/>
          <w:sz w:val="24"/>
          <w:szCs w:val="24"/>
        </w:rPr>
        <w:t xml:space="preserve">state’s rise as being enmeshed in the process by </w:t>
      </w:r>
      <w:r w:rsidR="00494015">
        <w:rPr>
          <w:rFonts w:asciiTheme="majorHAnsi" w:hAnsiTheme="majorHAnsi"/>
          <w:sz w:val="24"/>
          <w:szCs w:val="24"/>
        </w:rPr>
        <w:t>which the sanctity of the king wa</w:t>
      </w:r>
      <w:r>
        <w:rPr>
          <w:rFonts w:asciiTheme="majorHAnsi" w:hAnsiTheme="majorHAnsi"/>
          <w:sz w:val="24"/>
          <w:szCs w:val="24"/>
        </w:rPr>
        <w:t>s replaced by the sanctity of the People.</w:t>
      </w:r>
      <w:r w:rsidR="00830EFA">
        <w:rPr>
          <w:rStyle w:val="FootnoteReference"/>
          <w:rFonts w:asciiTheme="majorHAnsi" w:hAnsiTheme="majorHAnsi"/>
          <w:sz w:val="24"/>
          <w:szCs w:val="24"/>
        </w:rPr>
        <w:footnoteReference w:id="1"/>
      </w:r>
      <w:r w:rsidR="001C2031">
        <w:rPr>
          <w:rFonts w:asciiTheme="majorHAnsi" w:hAnsiTheme="majorHAnsi"/>
          <w:sz w:val="24"/>
          <w:szCs w:val="24"/>
        </w:rPr>
        <w:t xml:space="preserve">  While </w:t>
      </w:r>
      <w:r w:rsidR="006D43FB">
        <w:rPr>
          <w:rFonts w:asciiTheme="majorHAnsi" w:hAnsiTheme="majorHAnsi"/>
          <w:sz w:val="24"/>
          <w:szCs w:val="24"/>
        </w:rPr>
        <w:t xml:space="preserve">critics of </w:t>
      </w:r>
      <w:r w:rsidR="001C2031">
        <w:rPr>
          <w:rFonts w:asciiTheme="majorHAnsi" w:hAnsiTheme="majorHAnsi"/>
          <w:sz w:val="24"/>
          <w:szCs w:val="24"/>
        </w:rPr>
        <w:t>t</w:t>
      </w:r>
      <w:r w:rsidR="00684E17">
        <w:rPr>
          <w:rFonts w:asciiTheme="majorHAnsi" w:hAnsiTheme="majorHAnsi"/>
          <w:sz w:val="24"/>
          <w:szCs w:val="24"/>
        </w:rPr>
        <w:t>his</w:t>
      </w:r>
      <w:r w:rsidR="008B0960">
        <w:rPr>
          <w:rFonts w:asciiTheme="majorHAnsi" w:hAnsiTheme="majorHAnsi"/>
          <w:sz w:val="24"/>
          <w:szCs w:val="24"/>
        </w:rPr>
        <w:t xml:space="preserve"> literature have described the</w:t>
      </w:r>
      <w:r w:rsidR="009F5D5E">
        <w:rPr>
          <w:rFonts w:asciiTheme="majorHAnsi" w:hAnsiTheme="majorHAnsi"/>
          <w:sz w:val="24"/>
          <w:szCs w:val="24"/>
        </w:rPr>
        <w:t xml:space="preserve"> transition</w:t>
      </w:r>
      <w:r w:rsidR="00225DB2">
        <w:rPr>
          <w:rFonts w:asciiTheme="majorHAnsi" w:hAnsiTheme="majorHAnsi"/>
          <w:sz w:val="24"/>
          <w:szCs w:val="24"/>
        </w:rPr>
        <w:t xml:space="preserve"> </w:t>
      </w:r>
      <w:r w:rsidR="001C2031">
        <w:rPr>
          <w:rFonts w:asciiTheme="majorHAnsi" w:hAnsiTheme="majorHAnsi"/>
          <w:sz w:val="24"/>
          <w:szCs w:val="24"/>
        </w:rPr>
        <w:t>as</w:t>
      </w:r>
      <w:r w:rsidR="00AD7D85">
        <w:rPr>
          <w:rFonts w:asciiTheme="majorHAnsi" w:hAnsiTheme="majorHAnsi"/>
          <w:sz w:val="24"/>
          <w:szCs w:val="24"/>
        </w:rPr>
        <w:t xml:space="preserve"> “disenchantment,” “ration</w:t>
      </w:r>
      <w:r w:rsidR="001C2031">
        <w:rPr>
          <w:rFonts w:asciiTheme="majorHAnsi" w:hAnsiTheme="majorHAnsi"/>
          <w:sz w:val="24"/>
          <w:szCs w:val="24"/>
        </w:rPr>
        <w:t xml:space="preserve">alization,” and “secularization,” </w:t>
      </w:r>
      <w:r w:rsidR="00AD7D85">
        <w:rPr>
          <w:rFonts w:asciiTheme="majorHAnsi" w:hAnsiTheme="majorHAnsi"/>
          <w:sz w:val="24"/>
          <w:szCs w:val="24"/>
        </w:rPr>
        <w:t>all of these terms are misl</w:t>
      </w:r>
      <w:r w:rsidR="00225DB2">
        <w:rPr>
          <w:rFonts w:asciiTheme="majorHAnsi" w:hAnsiTheme="majorHAnsi"/>
          <w:sz w:val="24"/>
          <w:szCs w:val="24"/>
        </w:rPr>
        <w:t xml:space="preserve">eading.  </w:t>
      </w:r>
      <w:r w:rsidR="00225DB2">
        <w:rPr>
          <w:rFonts w:asciiTheme="majorHAnsi" w:hAnsiTheme="majorHAnsi"/>
          <w:sz w:val="24"/>
          <w:szCs w:val="24"/>
        </w:rPr>
        <w:lastRenderedPageBreak/>
        <w:t>To t</w:t>
      </w:r>
      <w:r w:rsidR="00096C5B">
        <w:rPr>
          <w:rFonts w:asciiTheme="majorHAnsi" w:hAnsiTheme="majorHAnsi"/>
          <w:sz w:val="24"/>
          <w:szCs w:val="24"/>
        </w:rPr>
        <w:t xml:space="preserve">he extent that early modern </w:t>
      </w:r>
      <w:r w:rsidR="00225DB2">
        <w:rPr>
          <w:rFonts w:asciiTheme="majorHAnsi" w:hAnsiTheme="majorHAnsi"/>
          <w:sz w:val="24"/>
          <w:szCs w:val="24"/>
        </w:rPr>
        <w:t>E</w:t>
      </w:r>
      <w:r w:rsidR="00096C5B">
        <w:rPr>
          <w:rFonts w:asciiTheme="majorHAnsi" w:hAnsiTheme="majorHAnsi"/>
          <w:sz w:val="24"/>
          <w:szCs w:val="24"/>
        </w:rPr>
        <w:t>uropean</w:t>
      </w:r>
      <w:r w:rsidR="00225DB2">
        <w:rPr>
          <w:rFonts w:asciiTheme="majorHAnsi" w:hAnsiTheme="majorHAnsi"/>
          <w:sz w:val="24"/>
          <w:szCs w:val="24"/>
        </w:rPr>
        <w:t xml:space="preserve"> writers sought to take God out of the political equation, the modern state system required the creation of a new metaphysical</w:t>
      </w:r>
      <w:r w:rsidR="001C2031">
        <w:rPr>
          <w:rFonts w:asciiTheme="majorHAnsi" w:hAnsiTheme="majorHAnsi"/>
          <w:sz w:val="24"/>
          <w:szCs w:val="24"/>
        </w:rPr>
        <w:t xml:space="preserve">, transcendent, and </w:t>
      </w:r>
      <w:r w:rsidR="0029772F">
        <w:rPr>
          <w:rFonts w:asciiTheme="majorHAnsi" w:hAnsiTheme="majorHAnsi"/>
          <w:sz w:val="24"/>
          <w:szCs w:val="24"/>
        </w:rPr>
        <w:t>sacred</w:t>
      </w:r>
      <w:r w:rsidR="001C2031">
        <w:rPr>
          <w:rFonts w:asciiTheme="majorHAnsi" w:hAnsiTheme="majorHAnsi"/>
          <w:sz w:val="24"/>
          <w:szCs w:val="24"/>
        </w:rPr>
        <w:t xml:space="preserve"> entity:</w:t>
      </w:r>
      <w:r w:rsidR="00225DB2">
        <w:rPr>
          <w:rFonts w:asciiTheme="majorHAnsi" w:hAnsiTheme="majorHAnsi"/>
          <w:sz w:val="24"/>
          <w:szCs w:val="24"/>
        </w:rPr>
        <w:t xml:space="preserve"> the Nation.  The “god” may have changed, but the t</w:t>
      </w:r>
      <w:r w:rsidR="00684E17">
        <w:rPr>
          <w:rFonts w:asciiTheme="majorHAnsi" w:hAnsiTheme="majorHAnsi"/>
          <w:sz w:val="24"/>
          <w:szCs w:val="24"/>
        </w:rPr>
        <w:t>heological foundations persist</w:t>
      </w:r>
      <w:r w:rsidR="00096C5B">
        <w:rPr>
          <w:rFonts w:asciiTheme="majorHAnsi" w:hAnsiTheme="majorHAnsi"/>
          <w:sz w:val="24"/>
          <w:szCs w:val="24"/>
        </w:rPr>
        <w:t>ed</w:t>
      </w:r>
      <w:r w:rsidR="00225DB2">
        <w:rPr>
          <w:rFonts w:asciiTheme="majorHAnsi" w:hAnsiTheme="majorHAnsi"/>
          <w:sz w:val="24"/>
          <w:szCs w:val="24"/>
        </w:rPr>
        <w:t>.</w:t>
      </w:r>
    </w:p>
    <w:p w:rsidR="008A1F55" w:rsidRDefault="00225DB2" w:rsidP="006D1B67">
      <w:pPr>
        <w:rPr>
          <w:rFonts w:asciiTheme="majorHAnsi" w:hAnsiTheme="majorHAnsi"/>
          <w:sz w:val="24"/>
          <w:szCs w:val="24"/>
        </w:rPr>
      </w:pPr>
      <w:r>
        <w:rPr>
          <w:rFonts w:asciiTheme="majorHAnsi" w:hAnsiTheme="majorHAnsi"/>
          <w:sz w:val="24"/>
          <w:szCs w:val="24"/>
        </w:rPr>
        <w:tab/>
        <w:t xml:space="preserve">Unfortunately, </w:t>
      </w:r>
      <w:r w:rsidR="00750144">
        <w:rPr>
          <w:rFonts w:asciiTheme="majorHAnsi" w:hAnsiTheme="majorHAnsi"/>
          <w:sz w:val="24"/>
          <w:szCs w:val="24"/>
        </w:rPr>
        <w:t>effort</w:t>
      </w:r>
      <w:r>
        <w:rPr>
          <w:rFonts w:asciiTheme="majorHAnsi" w:hAnsiTheme="majorHAnsi"/>
          <w:sz w:val="24"/>
          <w:szCs w:val="24"/>
        </w:rPr>
        <w:t>s</w:t>
      </w:r>
      <w:r w:rsidR="00750144">
        <w:rPr>
          <w:rFonts w:asciiTheme="majorHAnsi" w:hAnsiTheme="majorHAnsi"/>
          <w:sz w:val="24"/>
          <w:szCs w:val="24"/>
        </w:rPr>
        <w:t xml:space="preserve"> to demonstrate that such a</w:t>
      </w:r>
      <w:r w:rsidR="00684E17">
        <w:rPr>
          <w:rFonts w:asciiTheme="majorHAnsi" w:hAnsiTheme="majorHAnsi"/>
          <w:sz w:val="24"/>
          <w:szCs w:val="24"/>
        </w:rPr>
        <w:t xml:space="preserve"> transition took place have</w:t>
      </w:r>
      <w:r>
        <w:rPr>
          <w:rFonts w:asciiTheme="majorHAnsi" w:hAnsiTheme="majorHAnsi"/>
          <w:sz w:val="24"/>
          <w:szCs w:val="24"/>
        </w:rPr>
        <w:t xml:space="preserve"> resulted in an</w:t>
      </w:r>
      <w:r w:rsidR="00750144">
        <w:rPr>
          <w:rFonts w:asciiTheme="majorHAnsi" w:hAnsiTheme="majorHAnsi"/>
          <w:sz w:val="24"/>
          <w:szCs w:val="24"/>
        </w:rPr>
        <w:t xml:space="preserve"> insufficient </w:t>
      </w:r>
      <w:r w:rsidR="00D06B26">
        <w:rPr>
          <w:rFonts w:asciiTheme="majorHAnsi" w:hAnsiTheme="majorHAnsi"/>
          <w:sz w:val="24"/>
          <w:szCs w:val="24"/>
        </w:rPr>
        <w:t>accounting</w:t>
      </w:r>
      <w:r w:rsidR="00750144">
        <w:rPr>
          <w:rFonts w:asciiTheme="majorHAnsi" w:hAnsiTheme="majorHAnsi"/>
          <w:sz w:val="24"/>
          <w:szCs w:val="24"/>
        </w:rPr>
        <w:t xml:space="preserve"> of </w:t>
      </w:r>
      <w:r w:rsidR="00750144">
        <w:rPr>
          <w:rFonts w:asciiTheme="majorHAnsi" w:hAnsiTheme="majorHAnsi"/>
          <w:i/>
          <w:sz w:val="24"/>
          <w:szCs w:val="24"/>
        </w:rPr>
        <w:t>how</w:t>
      </w:r>
      <w:r w:rsidR="00750144">
        <w:rPr>
          <w:rFonts w:asciiTheme="majorHAnsi" w:hAnsiTheme="majorHAnsi"/>
          <w:sz w:val="24"/>
          <w:szCs w:val="24"/>
        </w:rPr>
        <w:t xml:space="preserve"> this change occurred. </w:t>
      </w:r>
      <w:r w:rsidR="0029772F">
        <w:rPr>
          <w:rFonts w:asciiTheme="majorHAnsi" w:hAnsiTheme="majorHAnsi"/>
          <w:sz w:val="24"/>
          <w:szCs w:val="24"/>
        </w:rPr>
        <w:t xml:space="preserve"> Replacing God with the People</w:t>
      </w:r>
      <w:r w:rsidR="0077295D">
        <w:rPr>
          <w:rFonts w:asciiTheme="majorHAnsi" w:hAnsiTheme="majorHAnsi"/>
          <w:sz w:val="24"/>
          <w:szCs w:val="24"/>
        </w:rPr>
        <w:t xml:space="preserve"> as the ultimate source of political authority was neither a simple nor an inevitable operation. </w:t>
      </w:r>
      <w:r w:rsidR="000E3DC3">
        <w:rPr>
          <w:rFonts w:asciiTheme="majorHAnsi" w:hAnsiTheme="majorHAnsi"/>
          <w:sz w:val="24"/>
          <w:szCs w:val="24"/>
        </w:rPr>
        <w:t>Th</w:t>
      </w:r>
      <w:r w:rsidR="004E68F7">
        <w:rPr>
          <w:rFonts w:asciiTheme="majorHAnsi" w:hAnsiTheme="majorHAnsi"/>
          <w:sz w:val="24"/>
          <w:szCs w:val="24"/>
        </w:rPr>
        <w:t>is article will argue that the</w:t>
      </w:r>
      <w:r w:rsidR="000E3DC3">
        <w:rPr>
          <w:rFonts w:asciiTheme="majorHAnsi" w:hAnsiTheme="majorHAnsi"/>
          <w:sz w:val="24"/>
          <w:szCs w:val="24"/>
        </w:rPr>
        <w:t xml:space="preserve"> complex process by which the People replaced God can be </w:t>
      </w:r>
      <w:r w:rsidR="004E68F7">
        <w:rPr>
          <w:rFonts w:asciiTheme="majorHAnsi" w:hAnsiTheme="majorHAnsi"/>
          <w:sz w:val="24"/>
          <w:szCs w:val="24"/>
        </w:rPr>
        <w:t>clarified by examining the</w:t>
      </w:r>
      <w:r w:rsidR="00494015">
        <w:rPr>
          <w:rFonts w:asciiTheme="majorHAnsi" w:hAnsiTheme="majorHAnsi"/>
          <w:sz w:val="24"/>
          <w:szCs w:val="24"/>
        </w:rPr>
        <w:t xml:space="preserve"> role that agency played in </w:t>
      </w:r>
      <w:r w:rsidR="004E68F7">
        <w:rPr>
          <w:rFonts w:asciiTheme="majorHAnsi" w:hAnsiTheme="majorHAnsi"/>
          <w:sz w:val="24"/>
          <w:szCs w:val="24"/>
        </w:rPr>
        <w:t xml:space="preserve">early modern political theories.  </w:t>
      </w:r>
      <w:r w:rsidR="00750144">
        <w:rPr>
          <w:rFonts w:asciiTheme="majorHAnsi" w:hAnsiTheme="majorHAnsi"/>
          <w:sz w:val="24"/>
          <w:szCs w:val="24"/>
        </w:rPr>
        <w:t>Understanding this process is not a mere historic</w:t>
      </w:r>
      <w:r w:rsidR="00D06B26">
        <w:rPr>
          <w:rFonts w:asciiTheme="majorHAnsi" w:hAnsiTheme="majorHAnsi"/>
          <w:sz w:val="24"/>
          <w:szCs w:val="24"/>
        </w:rPr>
        <w:t xml:space="preserve">al curiosity.  In particular, </w:t>
      </w:r>
      <w:r w:rsidR="00494015">
        <w:rPr>
          <w:rFonts w:asciiTheme="majorHAnsi" w:hAnsiTheme="majorHAnsi"/>
          <w:sz w:val="24"/>
          <w:szCs w:val="24"/>
        </w:rPr>
        <w:t xml:space="preserve">a closer interrogation </w:t>
      </w:r>
      <w:r w:rsidR="00750144">
        <w:rPr>
          <w:rFonts w:asciiTheme="majorHAnsi" w:hAnsiTheme="majorHAnsi"/>
          <w:sz w:val="24"/>
          <w:szCs w:val="24"/>
        </w:rPr>
        <w:t xml:space="preserve">can provide insights </w:t>
      </w:r>
      <w:r w:rsidR="00C67088">
        <w:rPr>
          <w:rFonts w:asciiTheme="majorHAnsi" w:hAnsiTheme="majorHAnsi"/>
          <w:sz w:val="24"/>
          <w:szCs w:val="24"/>
        </w:rPr>
        <w:t>in</w:t>
      </w:r>
      <w:r w:rsidR="00750144">
        <w:rPr>
          <w:rFonts w:asciiTheme="majorHAnsi" w:hAnsiTheme="majorHAnsi"/>
          <w:sz w:val="24"/>
          <w:szCs w:val="24"/>
        </w:rPr>
        <w:t xml:space="preserve">to how a similar change in the foundational assumptions of political authority may be occurring now or may take place in the future.  </w:t>
      </w:r>
    </w:p>
    <w:p w:rsidR="00750144" w:rsidRDefault="00750144" w:rsidP="006D1B67">
      <w:pPr>
        <w:ind w:firstLine="720"/>
        <w:rPr>
          <w:rFonts w:asciiTheme="majorHAnsi" w:hAnsiTheme="majorHAnsi"/>
          <w:sz w:val="24"/>
          <w:szCs w:val="24"/>
        </w:rPr>
      </w:pPr>
      <w:r>
        <w:rPr>
          <w:rFonts w:asciiTheme="majorHAnsi" w:hAnsiTheme="majorHAnsi"/>
          <w:sz w:val="24"/>
          <w:szCs w:val="24"/>
        </w:rPr>
        <w:t xml:space="preserve">A deeper </w:t>
      </w:r>
      <w:r w:rsidR="00494015">
        <w:rPr>
          <w:rFonts w:asciiTheme="majorHAnsi" w:hAnsiTheme="majorHAnsi"/>
          <w:sz w:val="24"/>
          <w:szCs w:val="24"/>
        </w:rPr>
        <w:t>investigation</w:t>
      </w:r>
      <w:r>
        <w:rPr>
          <w:rFonts w:asciiTheme="majorHAnsi" w:hAnsiTheme="majorHAnsi"/>
          <w:sz w:val="24"/>
          <w:szCs w:val="24"/>
        </w:rPr>
        <w:t xml:space="preserve"> of the process will also demonstrate that theological elements remain within modern politics and that asse</w:t>
      </w:r>
      <w:r w:rsidR="00684E17">
        <w:rPr>
          <w:rFonts w:asciiTheme="majorHAnsi" w:hAnsiTheme="majorHAnsi"/>
          <w:sz w:val="24"/>
          <w:szCs w:val="24"/>
        </w:rPr>
        <w:t xml:space="preserve">rtions of the secularization of </w:t>
      </w:r>
      <w:r>
        <w:rPr>
          <w:rFonts w:asciiTheme="majorHAnsi" w:hAnsiTheme="majorHAnsi"/>
          <w:sz w:val="24"/>
          <w:szCs w:val="24"/>
        </w:rPr>
        <w:t>politics are grossly over-exaggerated.</w:t>
      </w:r>
      <w:r w:rsidR="00CF3FC9">
        <w:rPr>
          <w:rFonts w:asciiTheme="majorHAnsi" w:hAnsiTheme="majorHAnsi"/>
          <w:sz w:val="24"/>
          <w:szCs w:val="24"/>
        </w:rPr>
        <w:t xml:space="preserve">  Max Weber famously argued that</w:t>
      </w:r>
      <w:r w:rsidR="008B0960">
        <w:rPr>
          <w:rFonts w:asciiTheme="majorHAnsi" w:hAnsiTheme="majorHAnsi"/>
          <w:sz w:val="24"/>
          <w:szCs w:val="24"/>
        </w:rPr>
        <w:t>, thanks to modern processes of rationalization,</w:t>
      </w:r>
      <w:r w:rsidR="00CF3FC9">
        <w:rPr>
          <w:rFonts w:asciiTheme="majorHAnsi" w:hAnsiTheme="majorHAnsi"/>
          <w:sz w:val="24"/>
          <w:szCs w:val="24"/>
        </w:rPr>
        <w:t xml:space="preserve"> societal bonds no longer </w:t>
      </w:r>
      <w:r w:rsidR="00CA43DE">
        <w:rPr>
          <w:rFonts w:asciiTheme="majorHAnsi" w:hAnsiTheme="majorHAnsi"/>
          <w:sz w:val="24"/>
          <w:szCs w:val="24"/>
        </w:rPr>
        <w:t>neede</w:t>
      </w:r>
      <w:r w:rsidR="00CF3FC9">
        <w:rPr>
          <w:rFonts w:asciiTheme="majorHAnsi" w:hAnsiTheme="majorHAnsi"/>
          <w:sz w:val="24"/>
          <w:szCs w:val="24"/>
        </w:rPr>
        <w:t xml:space="preserve">d </w:t>
      </w:r>
      <w:r w:rsidR="002818E2">
        <w:rPr>
          <w:rFonts w:asciiTheme="majorHAnsi" w:hAnsiTheme="majorHAnsi"/>
          <w:sz w:val="24"/>
          <w:szCs w:val="24"/>
        </w:rPr>
        <w:t xml:space="preserve">a consensus over </w:t>
      </w:r>
      <w:r w:rsidR="00CF3FC9">
        <w:rPr>
          <w:rFonts w:asciiTheme="majorHAnsi" w:hAnsiTheme="majorHAnsi"/>
          <w:sz w:val="24"/>
          <w:szCs w:val="24"/>
        </w:rPr>
        <w:t xml:space="preserve">religious </w:t>
      </w:r>
      <w:r w:rsidR="008B0960">
        <w:rPr>
          <w:rFonts w:asciiTheme="majorHAnsi" w:hAnsiTheme="majorHAnsi"/>
          <w:sz w:val="24"/>
          <w:szCs w:val="24"/>
        </w:rPr>
        <w:t>values</w:t>
      </w:r>
      <w:r w:rsidR="00CF3FC9">
        <w:rPr>
          <w:rFonts w:asciiTheme="majorHAnsi" w:hAnsiTheme="majorHAnsi"/>
          <w:sz w:val="24"/>
          <w:szCs w:val="24"/>
        </w:rPr>
        <w:t>.</w:t>
      </w:r>
      <w:r w:rsidR="008A1F55">
        <w:rPr>
          <w:rFonts w:asciiTheme="majorHAnsi" w:hAnsiTheme="majorHAnsi"/>
          <w:sz w:val="24"/>
          <w:szCs w:val="24"/>
        </w:rPr>
        <w:t xml:space="preserve">  More recently, Charles Taylor suggested that secularization “puts an end to the naïve acknowledgement of the transcendent, or of goals or claims which go beyond human flourishing.”</w:t>
      </w:r>
      <w:r w:rsidR="008A1F55">
        <w:rPr>
          <w:rStyle w:val="FootnoteReference"/>
          <w:rFonts w:asciiTheme="majorHAnsi" w:hAnsiTheme="majorHAnsi"/>
          <w:sz w:val="24"/>
          <w:szCs w:val="24"/>
        </w:rPr>
        <w:footnoteReference w:id="2"/>
      </w:r>
      <w:r w:rsidR="00CF3FC9">
        <w:rPr>
          <w:rFonts w:asciiTheme="majorHAnsi" w:hAnsiTheme="majorHAnsi"/>
          <w:sz w:val="24"/>
          <w:szCs w:val="24"/>
        </w:rPr>
        <w:t xml:space="preserve">  </w:t>
      </w:r>
      <w:r w:rsidR="002818E2">
        <w:rPr>
          <w:rFonts w:asciiTheme="majorHAnsi" w:hAnsiTheme="majorHAnsi"/>
          <w:sz w:val="24"/>
          <w:szCs w:val="24"/>
        </w:rPr>
        <w:t>However</w:t>
      </w:r>
      <w:r>
        <w:rPr>
          <w:rFonts w:asciiTheme="majorHAnsi" w:hAnsiTheme="majorHAnsi"/>
          <w:sz w:val="24"/>
          <w:szCs w:val="24"/>
        </w:rPr>
        <w:t>,</w:t>
      </w:r>
      <w:r w:rsidRPr="003961E9">
        <w:rPr>
          <w:rFonts w:asciiTheme="majorHAnsi" w:hAnsiTheme="majorHAnsi"/>
          <w:sz w:val="24"/>
          <w:szCs w:val="24"/>
        </w:rPr>
        <w:t xml:space="preserve"> </w:t>
      </w:r>
      <w:r w:rsidR="003961E9" w:rsidRPr="003961E9">
        <w:rPr>
          <w:rFonts w:asciiTheme="majorHAnsi" w:hAnsiTheme="majorHAnsi"/>
          <w:sz w:val="24"/>
          <w:szCs w:val="24"/>
        </w:rPr>
        <w:t xml:space="preserve">an examination of the process by which the </w:t>
      </w:r>
      <w:r w:rsidR="003961E9">
        <w:rPr>
          <w:rFonts w:asciiTheme="majorHAnsi" w:hAnsiTheme="majorHAnsi"/>
          <w:sz w:val="24"/>
          <w:szCs w:val="24"/>
        </w:rPr>
        <w:t xml:space="preserve">theoretical </w:t>
      </w:r>
      <w:r w:rsidR="003961E9" w:rsidRPr="003961E9">
        <w:rPr>
          <w:rFonts w:asciiTheme="majorHAnsi" w:hAnsiTheme="majorHAnsi"/>
          <w:sz w:val="24"/>
          <w:szCs w:val="24"/>
        </w:rPr>
        <w:t>source of political authority passed from God to the Nation in the early modern period of Europe reveals that society still required and relied upon a “sacred center,” a transcendent source of political credibility.</w:t>
      </w:r>
      <w:r w:rsidRPr="003961E9">
        <w:rPr>
          <w:rFonts w:asciiTheme="majorHAnsi" w:hAnsiTheme="majorHAnsi"/>
          <w:sz w:val="24"/>
          <w:szCs w:val="24"/>
        </w:rPr>
        <w:t xml:space="preserve"> </w:t>
      </w:r>
      <w:r>
        <w:rPr>
          <w:rFonts w:asciiTheme="majorHAnsi" w:hAnsiTheme="majorHAnsi"/>
          <w:sz w:val="24"/>
          <w:szCs w:val="24"/>
        </w:rPr>
        <w:t xml:space="preserve"> Cr</w:t>
      </w:r>
      <w:r w:rsidR="00096C5B">
        <w:rPr>
          <w:rFonts w:asciiTheme="majorHAnsi" w:hAnsiTheme="majorHAnsi"/>
          <w:sz w:val="24"/>
          <w:szCs w:val="24"/>
        </w:rPr>
        <w:t xml:space="preserve">itics may refuse to call this </w:t>
      </w:r>
      <w:r>
        <w:rPr>
          <w:rFonts w:asciiTheme="majorHAnsi" w:hAnsiTheme="majorHAnsi"/>
          <w:sz w:val="24"/>
          <w:szCs w:val="24"/>
        </w:rPr>
        <w:t xml:space="preserve">“religion” (i.e. </w:t>
      </w:r>
      <w:r w:rsidRPr="003961E9">
        <w:rPr>
          <w:rFonts w:asciiTheme="majorHAnsi" w:hAnsiTheme="majorHAnsi"/>
          <w:i/>
          <w:sz w:val="24"/>
          <w:szCs w:val="24"/>
        </w:rPr>
        <w:t>civil</w:t>
      </w:r>
      <w:r>
        <w:rPr>
          <w:rFonts w:asciiTheme="majorHAnsi" w:hAnsiTheme="majorHAnsi"/>
          <w:sz w:val="24"/>
          <w:szCs w:val="24"/>
        </w:rPr>
        <w:t xml:space="preserve"> religion), but that is merely a question of semantics.  </w:t>
      </w:r>
    </w:p>
    <w:p w:rsidR="008A259E" w:rsidRDefault="00963FB9" w:rsidP="006D1B67">
      <w:pPr>
        <w:ind w:firstLine="720"/>
        <w:rPr>
          <w:rFonts w:asciiTheme="majorHAnsi" w:hAnsiTheme="majorHAnsi"/>
          <w:sz w:val="24"/>
          <w:szCs w:val="24"/>
        </w:rPr>
      </w:pPr>
      <w:r>
        <w:rPr>
          <w:rFonts w:asciiTheme="majorHAnsi" w:hAnsiTheme="majorHAnsi"/>
          <w:sz w:val="24"/>
          <w:szCs w:val="24"/>
        </w:rPr>
        <w:t>Political authority in societies relies</w:t>
      </w:r>
      <w:r w:rsidR="00750144">
        <w:rPr>
          <w:rFonts w:asciiTheme="majorHAnsi" w:hAnsiTheme="majorHAnsi"/>
          <w:sz w:val="24"/>
          <w:szCs w:val="24"/>
        </w:rPr>
        <w:t xml:space="preserve"> upon a </w:t>
      </w:r>
      <w:r w:rsidR="00750144" w:rsidRPr="006A0FAE">
        <w:rPr>
          <w:rFonts w:asciiTheme="majorHAnsi" w:hAnsiTheme="majorHAnsi"/>
          <w:i/>
          <w:sz w:val="24"/>
          <w:szCs w:val="24"/>
        </w:rPr>
        <w:t>source of transcendent credibility</w:t>
      </w:r>
      <w:r w:rsidR="00750144">
        <w:rPr>
          <w:rFonts w:asciiTheme="majorHAnsi" w:hAnsiTheme="majorHAnsi"/>
          <w:sz w:val="24"/>
          <w:szCs w:val="24"/>
        </w:rPr>
        <w:t>.  Individuals are suspicious of rulers and governments, who demand taxes, military service, sacrifice, and obedience in exchange for promises of benefits in</w:t>
      </w:r>
      <w:r w:rsidR="00CA43DE">
        <w:rPr>
          <w:rFonts w:asciiTheme="majorHAnsi" w:hAnsiTheme="majorHAnsi"/>
          <w:sz w:val="24"/>
          <w:szCs w:val="24"/>
        </w:rPr>
        <w:t xml:space="preserve"> the future.  T</w:t>
      </w:r>
      <w:r w:rsidR="00750144">
        <w:rPr>
          <w:rFonts w:asciiTheme="majorHAnsi" w:hAnsiTheme="majorHAnsi"/>
          <w:sz w:val="24"/>
          <w:szCs w:val="24"/>
        </w:rPr>
        <w:t xml:space="preserve">he credibility of the government to follow through on these promises is </w:t>
      </w:r>
      <w:proofErr w:type="gramStart"/>
      <w:r w:rsidR="00750144">
        <w:rPr>
          <w:rFonts w:asciiTheme="majorHAnsi" w:hAnsiTheme="majorHAnsi"/>
          <w:sz w:val="24"/>
          <w:szCs w:val="24"/>
        </w:rPr>
        <w:t>weak,</w:t>
      </w:r>
      <w:proofErr w:type="gramEnd"/>
      <w:r w:rsidR="00750144">
        <w:rPr>
          <w:rFonts w:asciiTheme="majorHAnsi" w:hAnsiTheme="majorHAnsi"/>
          <w:sz w:val="24"/>
          <w:szCs w:val="24"/>
        </w:rPr>
        <w:t xml:space="preserve"> making it unlikely that individuals will comply short of </w:t>
      </w:r>
      <w:r w:rsidR="00096C5B">
        <w:rPr>
          <w:rFonts w:asciiTheme="majorHAnsi" w:hAnsiTheme="majorHAnsi"/>
          <w:sz w:val="24"/>
          <w:szCs w:val="24"/>
        </w:rPr>
        <w:t xml:space="preserve">costly </w:t>
      </w:r>
      <w:r w:rsidR="00750144">
        <w:rPr>
          <w:rFonts w:asciiTheme="majorHAnsi" w:hAnsiTheme="majorHAnsi"/>
          <w:sz w:val="24"/>
          <w:szCs w:val="24"/>
        </w:rPr>
        <w:t>coercion.  To rectify this</w:t>
      </w:r>
      <w:r w:rsidR="00D06B26">
        <w:rPr>
          <w:rFonts w:asciiTheme="majorHAnsi" w:hAnsiTheme="majorHAnsi"/>
          <w:sz w:val="24"/>
          <w:szCs w:val="24"/>
        </w:rPr>
        <w:t xml:space="preserve"> problem</w:t>
      </w:r>
      <w:r w:rsidR="00750144">
        <w:rPr>
          <w:rFonts w:asciiTheme="majorHAnsi" w:hAnsiTheme="majorHAnsi"/>
          <w:sz w:val="24"/>
          <w:szCs w:val="24"/>
        </w:rPr>
        <w:t>, rulers and governments must find a means of enhancing their own credib</w:t>
      </w:r>
      <w:r w:rsidR="009F5D5E">
        <w:rPr>
          <w:rFonts w:asciiTheme="majorHAnsi" w:hAnsiTheme="majorHAnsi"/>
          <w:sz w:val="24"/>
          <w:szCs w:val="24"/>
        </w:rPr>
        <w:t>ility by attaching it to</w:t>
      </w:r>
      <w:r w:rsidR="00750144">
        <w:rPr>
          <w:rFonts w:asciiTheme="majorHAnsi" w:hAnsiTheme="majorHAnsi"/>
          <w:sz w:val="24"/>
          <w:szCs w:val="24"/>
        </w:rPr>
        <w:t xml:space="preserve"> some transcendent entity</w:t>
      </w:r>
      <w:r w:rsidR="00096C5B">
        <w:rPr>
          <w:rFonts w:asciiTheme="majorHAnsi" w:hAnsiTheme="majorHAnsi"/>
          <w:sz w:val="24"/>
          <w:szCs w:val="24"/>
        </w:rPr>
        <w:t xml:space="preserve"> or source</w:t>
      </w:r>
      <w:r w:rsidR="00750144">
        <w:rPr>
          <w:rFonts w:asciiTheme="majorHAnsi" w:hAnsiTheme="majorHAnsi"/>
          <w:sz w:val="24"/>
          <w:szCs w:val="24"/>
        </w:rPr>
        <w:t xml:space="preserve"> that the people already find inherently credible. </w:t>
      </w:r>
      <w:r w:rsidR="008A259E">
        <w:rPr>
          <w:rFonts w:asciiTheme="majorHAnsi" w:hAnsiTheme="majorHAnsi"/>
          <w:sz w:val="24"/>
          <w:szCs w:val="24"/>
        </w:rPr>
        <w:t xml:space="preserve"> That rulers use sacred </w:t>
      </w:r>
      <w:r w:rsidR="007529B6">
        <w:rPr>
          <w:rFonts w:asciiTheme="majorHAnsi" w:hAnsiTheme="majorHAnsi"/>
          <w:sz w:val="24"/>
          <w:szCs w:val="24"/>
        </w:rPr>
        <w:t>and</w:t>
      </w:r>
      <w:r w:rsidR="00CA43DE">
        <w:rPr>
          <w:rFonts w:asciiTheme="majorHAnsi" w:hAnsiTheme="majorHAnsi"/>
          <w:sz w:val="24"/>
          <w:szCs w:val="24"/>
        </w:rPr>
        <w:t xml:space="preserve"> transcendent </w:t>
      </w:r>
      <w:r w:rsidR="008A259E">
        <w:rPr>
          <w:rFonts w:asciiTheme="majorHAnsi" w:hAnsiTheme="majorHAnsi"/>
          <w:sz w:val="24"/>
          <w:szCs w:val="24"/>
        </w:rPr>
        <w:t>beliefs to legitimate their power is not a new argument.</w:t>
      </w:r>
      <w:r w:rsidR="008A259E">
        <w:rPr>
          <w:rStyle w:val="FootnoteReference"/>
          <w:rFonts w:asciiTheme="majorHAnsi" w:hAnsiTheme="majorHAnsi"/>
          <w:sz w:val="24"/>
          <w:szCs w:val="24"/>
        </w:rPr>
        <w:footnoteReference w:id="3"/>
      </w:r>
      <w:r w:rsidR="008A259E">
        <w:rPr>
          <w:rFonts w:asciiTheme="majorHAnsi" w:hAnsiTheme="majorHAnsi"/>
          <w:sz w:val="24"/>
          <w:szCs w:val="24"/>
        </w:rPr>
        <w:t xml:space="preserve">  What is novel </w:t>
      </w:r>
      <w:r w:rsidR="00071F92">
        <w:rPr>
          <w:rFonts w:asciiTheme="majorHAnsi" w:hAnsiTheme="majorHAnsi"/>
          <w:sz w:val="24"/>
          <w:szCs w:val="24"/>
        </w:rPr>
        <w:t xml:space="preserve">here </w:t>
      </w:r>
      <w:r w:rsidR="008A259E">
        <w:rPr>
          <w:rFonts w:asciiTheme="majorHAnsi" w:hAnsiTheme="majorHAnsi"/>
          <w:sz w:val="24"/>
          <w:szCs w:val="24"/>
        </w:rPr>
        <w:t xml:space="preserve">is the idea that the political appropriation of the sacred and transcendent is linked to issues of establishing the </w:t>
      </w:r>
      <w:r w:rsidR="008A259E" w:rsidRPr="00A05165">
        <w:rPr>
          <w:rFonts w:asciiTheme="majorHAnsi" w:hAnsiTheme="majorHAnsi"/>
          <w:sz w:val="24"/>
          <w:szCs w:val="24"/>
        </w:rPr>
        <w:t>credibility</w:t>
      </w:r>
      <w:r w:rsidR="008A259E">
        <w:rPr>
          <w:rFonts w:asciiTheme="majorHAnsi" w:hAnsiTheme="majorHAnsi"/>
          <w:sz w:val="24"/>
          <w:szCs w:val="24"/>
        </w:rPr>
        <w:t xml:space="preserve"> of the ruler.</w:t>
      </w:r>
    </w:p>
    <w:p w:rsidR="00750144" w:rsidRDefault="00750144" w:rsidP="006D1B67">
      <w:pPr>
        <w:ind w:firstLine="720"/>
        <w:rPr>
          <w:rFonts w:asciiTheme="majorHAnsi" w:hAnsiTheme="majorHAnsi"/>
          <w:sz w:val="24"/>
          <w:szCs w:val="24"/>
        </w:rPr>
      </w:pPr>
      <w:r>
        <w:rPr>
          <w:rFonts w:asciiTheme="majorHAnsi" w:hAnsiTheme="majorHAnsi"/>
          <w:sz w:val="24"/>
          <w:szCs w:val="24"/>
        </w:rPr>
        <w:lastRenderedPageBreak/>
        <w:t xml:space="preserve">To </w:t>
      </w:r>
      <w:r w:rsidR="00963FB9">
        <w:rPr>
          <w:rFonts w:asciiTheme="majorHAnsi" w:hAnsiTheme="majorHAnsi"/>
          <w:sz w:val="24"/>
          <w:szCs w:val="24"/>
        </w:rPr>
        <w:t>the extent that the ruler can appropriate this already-accepted transcendent credibility to hi</w:t>
      </w:r>
      <w:r w:rsidR="002C3DF7">
        <w:rPr>
          <w:rFonts w:asciiTheme="majorHAnsi" w:hAnsiTheme="majorHAnsi"/>
          <w:sz w:val="24"/>
          <w:szCs w:val="24"/>
        </w:rPr>
        <w:t xml:space="preserve">s </w:t>
      </w:r>
      <w:r w:rsidR="00D06B26">
        <w:rPr>
          <w:rFonts w:asciiTheme="majorHAnsi" w:hAnsiTheme="majorHAnsi"/>
          <w:sz w:val="24"/>
          <w:szCs w:val="24"/>
        </w:rPr>
        <w:t xml:space="preserve">or her </w:t>
      </w:r>
      <w:r w:rsidR="002C3DF7">
        <w:rPr>
          <w:rFonts w:asciiTheme="majorHAnsi" w:hAnsiTheme="majorHAnsi"/>
          <w:sz w:val="24"/>
          <w:szCs w:val="24"/>
        </w:rPr>
        <w:t>own credibility,</w:t>
      </w:r>
      <w:r w:rsidR="00963FB9">
        <w:rPr>
          <w:rFonts w:asciiTheme="majorHAnsi" w:hAnsiTheme="majorHAnsi"/>
          <w:sz w:val="24"/>
          <w:szCs w:val="24"/>
        </w:rPr>
        <w:t xml:space="preserve"> he</w:t>
      </w:r>
      <w:r w:rsidR="00071F92">
        <w:rPr>
          <w:rFonts w:asciiTheme="majorHAnsi" w:hAnsiTheme="majorHAnsi"/>
          <w:sz w:val="24"/>
          <w:szCs w:val="24"/>
        </w:rPr>
        <w:t xml:space="preserve"> or she</w:t>
      </w:r>
      <w:r w:rsidR="00963FB9">
        <w:rPr>
          <w:rFonts w:asciiTheme="majorHAnsi" w:hAnsiTheme="majorHAnsi"/>
          <w:sz w:val="24"/>
          <w:szCs w:val="24"/>
        </w:rPr>
        <w:t xml:space="preserve"> will be able to </w:t>
      </w:r>
      <w:r>
        <w:rPr>
          <w:rFonts w:asciiTheme="majorHAnsi" w:hAnsiTheme="majorHAnsi"/>
          <w:sz w:val="24"/>
          <w:szCs w:val="24"/>
        </w:rPr>
        <w:t>generate compliance from the people relatively cheaply</w:t>
      </w:r>
      <w:r w:rsidR="00A05165">
        <w:rPr>
          <w:rFonts w:asciiTheme="majorHAnsi" w:hAnsiTheme="majorHAnsi"/>
          <w:sz w:val="24"/>
          <w:szCs w:val="24"/>
        </w:rPr>
        <w:t xml:space="preserve"> with their consent</w:t>
      </w:r>
      <w:r>
        <w:rPr>
          <w:rFonts w:asciiTheme="majorHAnsi" w:hAnsiTheme="majorHAnsi"/>
          <w:sz w:val="24"/>
          <w:szCs w:val="24"/>
        </w:rPr>
        <w:t>.  This will provide sufficient</w:t>
      </w:r>
      <w:r w:rsidR="00D06B26">
        <w:rPr>
          <w:rFonts w:asciiTheme="majorHAnsi" w:hAnsiTheme="majorHAnsi"/>
          <w:sz w:val="24"/>
          <w:szCs w:val="24"/>
        </w:rPr>
        <w:t xml:space="preserve"> starter</w:t>
      </w:r>
      <w:r w:rsidR="007529B6">
        <w:rPr>
          <w:rFonts w:asciiTheme="majorHAnsi" w:hAnsiTheme="majorHAnsi"/>
          <w:sz w:val="24"/>
          <w:szCs w:val="24"/>
        </w:rPr>
        <w:t xml:space="preserve"> resources, which the ruler can</w:t>
      </w:r>
      <w:r>
        <w:rPr>
          <w:rFonts w:asciiTheme="majorHAnsi" w:hAnsiTheme="majorHAnsi"/>
          <w:sz w:val="24"/>
          <w:szCs w:val="24"/>
        </w:rPr>
        <w:t xml:space="preserve"> then turn around and invest in developing further means of coercion and credibility appropriation.</w:t>
      </w:r>
      <w:r w:rsidR="00D451E6">
        <w:rPr>
          <w:rStyle w:val="FootnoteReference"/>
          <w:rFonts w:asciiTheme="majorHAnsi" w:hAnsiTheme="majorHAnsi"/>
          <w:sz w:val="24"/>
          <w:szCs w:val="24"/>
        </w:rPr>
        <w:footnoteReference w:id="4"/>
      </w:r>
      <w:r>
        <w:rPr>
          <w:rFonts w:asciiTheme="majorHAnsi" w:hAnsiTheme="majorHAnsi"/>
          <w:sz w:val="24"/>
          <w:szCs w:val="24"/>
        </w:rPr>
        <w:t xml:space="preserve">  Generating compliance using consent is far cheaper than doing so using coercion, so the ruler will be especially sensitive to his </w:t>
      </w:r>
      <w:r w:rsidR="00071F92">
        <w:rPr>
          <w:rFonts w:asciiTheme="majorHAnsi" w:hAnsiTheme="majorHAnsi"/>
          <w:sz w:val="24"/>
          <w:szCs w:val="24"/>
        </w:rPr>
        <w:t xml:space="preserve">or her </w:t>
      </w:r>
      <w:r>
        <w:rPr>
          <w:rFonts w:asciiTheme="majorHAnsi" w:hAnsiTheme="majorHAnsi"/>
          <w:sz w:val="24"/>
          <w:szCs w:val="24"/>
        </w:rPr>
        <w:t>ab</w:t>
      </w:r>
      <w:r w:rsidR="009F5D5E">
        <w:rPr>
          <w:rFonts w:asciiTheme="majorHAnsi" w:hAnsiTheme="majorHAnsi"/>
          <w:sz w:val="24"/>
          <w:szCs w:val="24"/>
        </w:rPr>
        <w:t xml:space="preserve">ility to generate compliance through the appropriation of </w:t>
      </w:r>
      <w:r>
        <w:rPr>
          <w:rFonts w:asciiTheme="majorHAnsi" w:hAnsiTheme="majorHAnsi"/>
          <w:sz w:val="24"/>
          <w:szCs w:val="24"/>
        </w:rPr>
        <w:t>a source of transcendent credibility.</w:t>
      </w:r>
      <w:r w:rsidR="00D451E6">
        <w:rPr>
          <w:rStyle w:val="FootnoteReference"/>
          <w:rFonts w:asciiTheme="majorHAnsi" w:hAnsiTheme="majorHAnsi"/>
          <w:sz w:val="24"/>
          <w:szCs w:val="24"/>
        </w:rPr>
        <w:footnoteReference w:id="5"/>
      </w:r>
      <w:r>
        <w:rPr>
          <w:rFonts w:asciiTheme="majorHAnsi" w:hAnsiTheme="majorHAnsi"/>
          <w:sz w:val="24"/>
          <w:szCs w:val="24"/>
        </w:rPr>
        <w:t xml:space="preserve">  </w:t>
      </w:r>
    </w:p>
    <w:p w:rsidR="00750144" w:rsidRDefault="00CB684A" w:rsidP="006D1B67">
      <w:pPr>
        <w:ind w:firstLine="720"/>
        <w:rPr>
          <w:rFonts w:asciiTheme="majorHAnsi" w:hAnsiTheme="majorHAnsi"/>
          <w:sz w:val="24"/>
          <w:szCs w:val="24"/>
        </w:rPr>
      </w:pPr>
      <w:r>
        <w:rPr>
          <w:rFonts w:asciiTheme="majorHAnsi" w:hAnsiTheme="majorHAnsi"/>
          <w:sz w:val="24"/>
          <w:szCs w:val="24"/>
        </w:rPr>
        <w:t>One of the key attributes of credibility is agency.  To be credible, an entity must at a minimum be able to promise some outcome, wh</w:t>
      </w:r>
      <w:r w:rsidR="007529B6">
        <w:rPr>
          <w:rFonts w:asciiTheme="majorHAnsi" w:hAnsiTheme="majorHAnsi"/>
          <w:sz w:val="24"/>
          <w:szCs w:val="24"/>
        </w:rPr>
        <w:t>ich then also means it must have the agency</w:t>
      </w:r>
      <w:r>
        <w:rPr>
          <w:rFonts w:asciiTheme="majorHAnsi" w:hAnsiTheme="majorHAnsi"/>
          <w:sz w:val="24"/>
          <w:szCs w:val="24"/>
        </w:rPr>
        <w:t xml:space="preserve"> to make decisions and take actions.  Theories of political authority must be able to trace the source of political authority and credibility back to some ultimate actor who possesses age</w:t>
      </w:r>
      <w:r w:rsidR="00D06B26">
        <w:rPr>
          <w:rFonts w:asciiTheme="majorHAnsi" w:hAnsiTheme="majorHAnsi"/>
          <w:sz w:val="24"/>
          <w:szCs w:val="24"/>
        </w:rPr>
        <w:t>ncy.  T</w:t>
      </w:r>
      <w:r>
        <w:rPr>
          <w:rFonts w:asciiTheme="majorHAnsi" w:hAnsiTheme="majorHAnsi"/>
          <w:sz w:val="24"/>
          <w:szCs w:val="24"/>
        </w:rPr>
        <w:t>o emerge as this source</w:t>
      </w:r>
      <w:r w:rsidR="00D06B26">
        <w:rPr>
          <w:rFonts w:asciiTheme="majorHAnsi" w:hAnsiTheme="majorHAnsi"/>
          <w:sz w:val="24"/>
          <w:szCs w:val="24"/>
        </w:rPr>
        <w:t xml:space="preserve"> of transcendent credibility</w:t>
      </w:r>
      <w:r w:rsidR="009F5D5E">
        <w:rPr>
          <w:rFonts w:asciiTheme="majorHAnsi" w:hAnsiTheme="majorHAnsi"/>
          <w:sz w:val="24"/>
          <w:szCs w:val="24"/>
        </w:rPr>
        <w:t xml:space="preserve"> in the modern era</w:t>
      </w:r>
      <w:r w:rsidR="00D06B26">
        <w:rPr>
          <w:rFonts w:asciiTheme="majorHAnsi" w:hAnsiTheme="majorHAnsi"/>
          <w:sz w:val="24"/>
          <w:szCs w:val="24"/>
        </w:rPr>
        <w:t>, the People were transformed into the Nation and were</w:t>
      </w:r>
      <w:r>
        <w:rPr>
          <w:rFonts w:asciiTheme="majorHAnsi" w:hAnsiTheme="majorHAnsi"/>
          <w:sz w:val="24"/>
          <w:szCs w:val="24"/>
        </w:rPr>
        <w:t xml:space="preserve"> made an active participant in the derivation of political authority.</w:t>
      </w:r>
      <w:r w:rsidR="00963FB9">
        <w:rPr>
          <w:rFonts w:asciiTheme="majorHAnsi" w:hAnsiTheme="majorHAnsi"/>
          <w:sz w:val="24"/>
          <w:szCs w:val="24"/>
        </w:rPr>
        <w:t xml:space="preserve">  This article describes </w:t>
      </w:r>
      <w:r w:rsidR="003961E9">
        <w:rPr>
          <w:rFonts w:asciiTheme="majorHAnsi" w:hAnsiTheme="majorHAnsi"/>
          <w:sz w:val="24"/>
          <w:szCs w:val="24"/>
        </w:rPr>
        <w:t xml:space="preserve">the theoretical basis for the shifting of </w:t>
      </w:r>
      <w:r w:rsidR="00750144">
        <w:rPr>
          <w:rFonts w:asciiTheme="majorHAnsi" w:hAnsiTheme="majorHAnsi"/>
          <w:sz w:val="24"/>
          <w:szCs w:val="24"/>
        </w:rPr>
        <w:t>the source of transcendent credibility in</w:t>
      </w:r>
      <w:r w:rsidR="00071F92">
        <w:rPr>
          <w:rFonts w:asciiTheme="majorHAnsi" w:hAnsiTheme="majorHAnsi"/>
          <w:sz w:val="24"/>
          <w:szCs w:val="24"/>
        </w:rPr>
        <w:t xml:space="preserve"> European polities </w:t>
      </w:r>
      <w:r w:rsidR="00750144">
        <w:rPr>
          <w:rFonts w:asciiTheme="majorHAnsi" w:hAnsiTheme="majorHAnsi"/>
          <w:sz w:val="24"/>
          <w:szCs w:val="24"/>
        </w:rPr>
        <w:t>from G</w:t>
      </w:r>
      <w:r w:rsidR="00AD7D85">
        <w:rPr>
          <w:rFonts w:asciiTheme="majorHAnsi" w:hAnsiTheme="majorHAnsi"/>
          <w:sz w:val="24"/>
          <w:szCs w:val="24"/>
        </w:rPr>
        <w:t>od to the N</w:t>
      </w:r>
      <w:r w:rsidR="00750144">
        <w:rPr>
          <w:rFonts w:asciiTheme="majorHAnsi" w:hAnsiTheme="majorHAnsi"/>
          <w:sz w:val="24"/>
          <w:szCs w:val="24"/>
        </w:rPr>
        <w:t xml:space="preserve">ation in </w:t>
      </w:r>
      <w:r w:rsidR="00AD7D85">
        <w:rPr>
          <w:rFonts w:asciiTheme="majorHAnsi" w:hAnsiTheme="majorHAnsi"/>
          <w:sz w:val="24"/>
          <w:szCs w:val="24"/>
        </w:rPr>
        <w:t xml:space="preserve">the </w:t>
      </w:r>
      <w:r w:rsidR="00750144">
        <w:rPr>
          <w:rFonts w:asciiTheme="majorHAnsi" w:hAnsiTheme="majorHAnsi"/>
          <w:sz w:val="24"/>
          <w:szCs w:val="24"/>
        </w:rPr>
        <w:t>early modern era.</w:t>
      </w:r>
    </w:p>
    <w:p w:rsidR="00D75EC2" w:rsidRDefault="00D75EC2" w:rsidP="006D1B67">
      <w:pPr>
        <w:rPr>
          <w:rFonts w:asciiTheme="majorHAnsi" w:hAnsiTheme="majorHAnsi"/>
          <w:sz w:val="24"/>
          <w:szCs w:val="24"/>
        </w:rPr>
      </w:pPr>
      <w:r>
        <w:rPr>
          <w:rFonts w:asciiTheme="majorHAnsi" w:hAnsiTheme="majorHAnsi"/>
          <w:sz w:val="24"/>
          <w:szCs w:val="24"/>
        </w:rPr>
        <w:tab/>
        <w:t>The role of the People</w:t>
      </w:r>
      <w:r w:rsidR="00071F92">
        <w:rPr>
          <w:rFonts w:asciiTheme="majorHAnsi" w:hAnsiTheme="majorHAnsi"/>
          <w:sz w:val="24"/>
          <w:szCs w:val="24"/>
        </w:rPr>
        <w:t>, as a collective,</w:t>
      </w:r>
      <w:r>
        <w:rPr>
          <w:rFonts w:asciiTheme="majorHAnsi" w:hAnsiTheme="majorHAnsi"/>
          <w:sz w:val="24"/>
          <w:szCs w:val="24"/>
        </w:rPr>
        <w:t xml:space="preserve"> in modern political theory is twofold.  First, the People </w:t>
      </w:r>
      <w:r w:rsidR="00E21C34">
        <w:rPr>
          <w:rFonts w:asciiTheme="majorHAnsi" w:hAnsiTheme="majorHAnsi"/>
          <w:sz w:val="24"/>
          <w:szCs w:val="24"/>
        </w:rPr>
        <w:t xml:space="preserve">now </w:t>
      </w:r>
      <w:r>
        <w:rPr>
          <w:rFonts w:asciiTheme="majorHAnsi" w:hAnsiTheme="majorHAnsi"/>
          <w:sz w:val="24"/>
          <w:szCs w:val="24"/>
        </w:rPr>
        <w:t xml:space="preserve">have agency.  They are no longer merely instruments of the ruler or the nobility, but possess the </w:t>
      </w:r>
      <w:r w:rsidR="0037784E">
        <w:rPr>
          <w:rFonts w:asciiTheme="majorHAnsi" w:hAnsiTheme="majorHAnsi"/>
          <w:sz w:val="24"/>
          <w:szCs w:val="24"/>
        </w:rPr>
        <w:t xml:space="preserve">ongoing </w:t>
      </w:r>
      <w:r>
        <w:rPr>
          <w:rFonts w:asciiTheme="majorHAnsi" w:hAnsiTheme="majorHAnsi"/>
          <w:sz w:val="24"/>
          <w:szCs w:val="24"/>
        </w:rPr>
        <w:t xml:space="preserve">ability to judge, to influence, and to act.  Second, the People are </w:t>
      </w:r>
      <w:r w:rsidR="00E21C34">
        <w:rPr>
          <w:rFonts w:asciiTheme="majorHAnsi" w:hAnsiTheme="majorHAnsi"/>
          <w:sz w:val="24"/>
          <w:szCs w:val="24"/>
        </w:rPr>
        <w:t xml:space="preserve">now </w:t>
      </w:r>
      <w:r w:rsidR="0037784E">
        <w:rPr>
          <w:rFonts w:asciiTheme="majorHAnsi" w:hAnsiTheme="majorHAnsi"/>
          <w:sz w:val="24"/>
          <w:szCs w:val="24"/>
        </w:rPr>
        <w:t xml:space="preserve">considered </w:t>
      </w:r>
      <w:r>
        <w:rPr>
          <w:rFonts w:asciiTheme="majorHAnsi" w:hAnsiTheme="majorHAnsi"/>
          <w:sz w:val="24"/>
          <w:szCs w:val="24"/>
        </w:rPr>
        <w:t xml:space="preserve">the ultimate source of political authority and credibility.  In modern politics, this task is no longer left to a deity or </w:t>
      </w:r>
      <w:r w:rsidR="00CF67D0">
        <w:rPr>
          <w:rFonts w:asciiTheme="majorHAnsi" w:hAnsiTheme="majorHAnsi"/>
          <w:sz w:val="24"/>
          <w:szCs w:val="24"/>
        </w:rPr>
        <w:t>deities.  The People embody a</w:t>
      </w:r>
      <w:r>
        <w:rPr>
          <w:rFonts w:asciiTheme="majorHAnsi" w:hAnsiTheme="majorHAnsi"/>
          <w:sz w:val="24"/>
          <w:szCs w:val="24"/>
        </w:rPr>
        <w:t xml:space="preserve"> tra</w:t>
      </w:r>
      <w:r w:rsidR="007529B6">
        <w:rPr>
          <w:rFonts w:asciiTheme="majorHAnsi" w:hAnsiTheme="majorHAnsi"/>
          <w:sz w:val="24"/>
          <w:szCs w:val="24"/>
        </w:rPr>
        <w:t>nscendent ent</w:t>
      </w:r>
      <w:r w:rsidR="009F5D5E">
        <w:rPr>
          <w:rFonts w:asciiTheme="majorHAnsi" w:hAnsiTheme="majorHAnsi"/>
          <w:sz w:val="24"/>
          <w:szCs w:val="24"/>
        </w:rPr>
        <w:t xml:space="preserve">ity </w:t>
      </w:r>
      <w:r w:rsidR="00CF67D0">
        <w:rPr>
          <w:rFonts w:asciiTheme="majorHAnsi" w:hAnsiTheme="majorHAnsi"/>
          <w:sz w:val="24"/>
          <w:szCs w:val="24"/>
        </w:rPr>
        <w:t xml:space="preserve">we call the “Nation” </w:t>
      </w:r>
      <w:r w:rsidR="009F5D5E">
        <w:rPr>
          <w:rFonts w:asciiTheme="majorHAnsi" w:hAnsiTheme="majorHAnsi"/>
          <w:sz w:val="24"/>
          <w:szCs w:val="24"/>
        </w:rPr>
        <w:t>that makes their collective</w:t>
      </w:r>
      <w:r>
        <w:rPr>
          <w:rFonts w:asciiTheme="majorHAnsi" w:hAnsiTheme="majorHAnsi"/>
          <w:sz w:val="24"/>
          <w:szCs w:val="24"/>
        </w:rPr>
        <w:t xml:space="preserve"> claim to legitimate authori</w:t>
      </w:r>
      <w:r w:rsidR="00CF67D0">
        <w:rPr>
          <w:rFonts w:asciiTheme="majorHAnsi" w:hAnsiTheme="majorHAnsi"/>
          <w:sz w:val="24"/>
          <w:szCs w:val="24"/>
        </w:rPr>
        <w:t>ty appear to be unquestionable.</w:t>
      </w:r>
      <w:r>
        <w:rPr>
          <w:rFonts w:asciiTheme="majorHAnsi" w:hAnsiTheme="majorHAnsi"/>
          <w:sz w:val="24"/>
          <w:szCs w:val="24"/>
        </w:rPr>
        <w:t xml:space="preserve">  </w:t>
      </w:r>
      <w:r w:rsidR="007529B6">
        <w:rPr>
          <w:rFonts w:asciiTheme="majorHAnsi" w:hAnsiTheme="majorHAnsi"/>
          <w:sz w:val="24"/>
          <w:szCs w:val="24"/>
        </w:rPr>
        <w:t>N</w:t>
      </w:r>
      <w:r w:rsidR="00CF67D0">
        <w:rPr>
          <w:rFonts w:asciiTheme="majorHAnsi" w:hAnsiTheme="majorHAnsi"/>
          <w:sz w:val="24"/>
          <w:szCs w:val="24"/>
        </w:rPr>
        <w:t>ot only have</w:t>
      </w:r>
      <w:r>
        <w:rPr>
          <w:rFonts w:asciiTheme="majorHAnsi" w:hAnsiTheme="majorHAnsi"/>
          <w:sz w:val="24"/>
          <w:szCs w:val="24"/>
        </w:rPr>
        <w:t xml:space="preserve"> the People bec</w:t>
      </w:r>
      <w:r w:rsidR="00A05165">
        <w:rPr>
          <w:rFonts w:asciiTheme="majorHAnsi" w:hAnsiTheme="majorHAnsi"/>
          <w:sz w:val="24"/>
          <w:szCs w:val="24"/>
        </w:rPr>
        <w:t>ome an active player in modern theories</w:t>
      </w:r>
      <w:r>
        <w:rPr>
          <w:rFonts w:asciiTheme="majorHAnsi" w:hAnsiTheme="majorHAnsi"/>
          <w:sz w:val="24"/>
          <w:szCs w:val="24"/>
        </w:rPr>
        <w:t xml:space="preserve"> of p</w:t>
      </w:r>
      <w:r w:rsidR="00A05165">
        <w:rPr>
          <w:rFonts w:asciiTheme="majorHAnsi" w:hAnsiTheme="majorHAnsi"/>
          <w:sz w:val="24"/>
          <w:szCs w:val="24"/>
        </w:rPr>
        <w:t xml:space="preserve">olitical authority, but God </w:t>
      </w:r>
      <w:r w:rsidR="00CF67D0">
        <w:rPr>
          <w:rFonts w:asciiTheme="majorHAnsi" w:hAnsiTheme="majorHAnsi"/>
          <w:sz w:val="24"/>
          <w:szCs w:val="24"/>
        </w:rPr>
        <w:t>has been made</w:t>
      </w:r>
      <w:r>
        <w:rPr>
          <w:rFonts w:asciiTheme="majorHAnsi" w:hAnsiTheme="majorHAnsi"/>
          <w:sz w:val="24"/>
          <w:szCs w:val="24"/>
        </w:rPr>
        <w:t xml:space="preserve"> a passive one and His role in legitimi</w:t>
      </w:r>
      <w:r w:rsidR="00CF67D0">
        <w:rPr>
          <w:rFonts w:asciiTheme="majorHAnsi" w:hAnsiTheme="majorHAnsi"/>
          <w:sz w:val="24"/>
          <w:szCs w:val="24"/>
        </w:rPr>
        <w:t>zing authority has been</w:t>
      </w:r>
      <w:r>
        <w:rPr>
          <w:rFonts w:asciiTheme="majorHAnsi" w:hAnsiTheme="majorHAnsi"/>
          <w:sz w:val="24"/>
          <w:szCs w:val="24"/>
        </w:rPr>
        <w:t xml:space="preserve"> </w:t>
      </w:r>
      <w:r w:rsidR="00A05165">
        <w:rPr>
          <w:rFonts w:asciiTheme="majorHAnsi" w:hAnsiTheme="majorHAnsi"/>
          <w:sz w:val="24"/>
          <w:szCs w:val="24"/>
        </w:rPr>
        <w:t>transferred to</w:t>
      </w:r>
      <w:r w:rsidR="0037784E">
        <w:rPr>
          <w:rFonts w:asciiTheme="majorHAnsi" w:hAnsiTheme="majorHAnsi"/>
          <w:sz w:val="24"/>
          <w:szCs w:val="24"/>
        </w:rPr>
        <w:t xml:space="preserve"> the People</w:t>
      </w:r>
      <w:r>
        <w:rPr>
          <w:rFonts w:asciiTheme="majorHAnsi" w:hAnsiTheme="majorHAnsi"/>
          <w:sz w:val="24"/>
          <w:szCs w:val="24"/>
        </w:rPr>
        <w:t>.</w:t>
      </w:r>
    </w:p>
    <w:p w:rsidR="005A388F" w:rsidRDefault="005A388F" w:rsidP="006D1B67">
      <w:pPr>
        <w:rPr>
          <w:rFonts w:asciiTheme="majorHAnsi" w:hAnsiTheme="majorHAnsi"/>
          <w:sz w:val="24"/>
          <w:szCs w:val="24"/>
        </w:rPr>
      </w:pPr>
      <w:r>
        <w:rPr>
          <w:rFonts w:asciiTheme="majorHAnsi" w:hAnsiTheme="majorHAnsi"/>
          <w:sz w:val="24"/>
          <w:szCs w:val="24"/>
        </w:rPr>
        <w:tab/>
        <w:t>There are three primary actors in early modern theories of political authority and credibility:  God, the People, and the Ruler.  These actors may be characterized as active, meaning they have agency in the theory, or passive, meaning they have a role, but no agency.  The ruler, as the ultimate recipient of the political authority and credibility generated, i</w:t>
      </w:r>
      <w:r w:rsidR="002445F2">
        <w:rPr>
          <w:rFonts w:asciiTheme="majorHAnsi" w:hAnsiTheme="majorHAnsi"/>
          <w:sz w:val="24"/>
          <w:szCs w:val="24"/>
        </w:rPr>
        <w:t xml:space="preserve">s </w:t>
      </w:r>
      <w:r w:rsidR="003961E9">
        <w:rPr>
          <w:rFonts w:asciiTheme="majorHAnsi" w:hAnsiTheme="majorHAnsi"/>
          <w:sz w:val="24"/>
          <w:szCs w:val="24"/>
        </w:rPr>
        <w:t xml:space="preserve">considered </w:t>
      </w:r>
      <w:r w:rsidR="002445F2">
        <w:rPr>
          <w:rFonts w:asciiTheme="majorHAnsi" w:hAnsiTheme="majorHAnsi"/>
          <w:sz w:val="24"/>
          <w:szCs w:val="24"/>
        </w:rPr>
        <w:t xml:space="preserve">active in all of the theories since </w:t>
      </w:r>
      <w:r>
        <w:rPr>
          <w:rFonts w:asciiTheme="majorHAnsi" w:hAnsiTheme="majorHAnsi"/>
          <w:sz w:val="24"/>
          <w:szCs w:val="24"/>
        </w:rPr>
        <w:t>he</w:t>
      </w:r>
      <w:r w:rsidR="00ED6A03">
        <w:rPr>
          <w:rFonts w:asciiTheme="majorHAnsi" w:hAnsiTheme="majorHAnsi"/>
          <w:sz w:val="24"/>
          <w:szCs w:val="24"/>
        </w:rPr>
        <w:t xml:space="preserve"> or she</w:t>
      </w:r>
      <w:r>
        <w:rPr>
          <w:rFonts w:asciiTheme="majorHAnsi" w:hAnsiTheme="majorHAnsi"/>
          <w:sz w:val="24"/>
          <w:szCs w:val="24"/>
        </w:rPr>
        <w:t xml:space="preserve"> has the task of governing.  T</w:t>
      </w:r>
      <w:r w:rsidR="009F5D5E">
        <w:rPr>
          <w:rFonts w:asciiTheme="majorHAnsi" w:hAnsiTheme="majorHAnsi"/>
          <w:sz w:val="24"/>
          <w:szCs w:val="24"/>
        </w:rPr>
        <w:t>hus, t</w:t>
      </w:r>
      <w:r>
        <w:rPr>
          <w:rFonts w:asciiTheme="majorHAnsi" w:hAnsiTheme="majorHAnsi"/>
          <w:sz w:val="24"/>
          <w:szCs w:val="24"/>
        </w:rPr>
        <w:t xml:space="preserve">he various theories may be distinguished by the active-passive </w:t>
      </w:r>
      <w:r>
        <w:rPr>
          <w:rFonts w:asciiTheme="majorHAnsi" w:hAnsiTheme="majorHAnsi"/>
          <w:sz w:val="24"/>
          <w:szCs w:val="24"/>
        </w:rPr>
        <w:lastRenderedPageBreak/>
        <w:t>characterization of the other two actors.  Does God play an active role in generating political authority?  Do the People play an active role?</w:t>
      </w:r>
    </w:p>
    <w:p w:rsidR="00D75EC2" w:rsidRDefault="005A388F" w:rsidP="006D1B67">
      <w:pPr>
        <w:ind w:firstLine="720"/>
        <w:rPr>
          <w:rFonts w:asciiTheme="majorHAnsi" w:hAnsiTheme="majorHAnsi"/>
          <w:sz w:val="24"/>
          <w:szCs w:val="24"/>
        </w:rPr>
      </w:pPr>
      <w:r>
        <w:rPr>
          <w:rFonts w:asciiTheme="majorHAnsi" w:hAnsiTheme="majorHAnsi"/>
          <w:sz w:val="24"/>
          <w:szCs w:val="24"/>
        </w:rPr>
        <w:t>Through the course of the seventeenth and eighteent</w:t>
      </w:r>
      <w:r w:rsidR="002445F2">
        <w:rPr>
          <w:rFonts w:asciiTheme="majorHAnsi" w:hAnsiTheme="majorHAnsi"/>
          <w:sz w:val="24"/>
          <w:szCs w:val="24"/>
        </w:rPr>
        <w:t>h centuries, the dominant theories</w:t>
      </w:r>
      <w:r>
        <w:rPr>
          <w:rFonts w:asciiTheme="majorHAnsi" w:hAnsiTheme="majorHAnsi"/>
          <w:sz w:val="24"/>
          <w:szCs w:val="24"/>
        </w:rPr>
        <w:t xml:space="preserve"> of political authority in Eu</w:t>
      </w:r>
      <w:r w:rsidR="002445F2">
        <w:rPr>
          <w:rFonts w:asciiTheme="majorHAnsi" w:hAnsiTheme="majorHAnsi"/>
          <w:sz w:val="24"/>
          <w:szCs w:val="24"/>
        </w:rPr>
        <w:t>rope evolved from a model</w:t>
      </w:r>
      <w:r>
        <w:rPr>
          <w:rFonts w:asciiTheme="majorHAnsi" w:hAnsiTheme="majorHAnsi"/>
          <w:sz w:val="24"/>
          <w:szCs w:val="24"/>
        </w:rPr>
        <w:t xml:space="preserve"> in which God was active and the People we</w:t>
      </w:r>
      <w:r w:rsidR="002445F2">
        <w:rPr>
          <w:rFonts w:asciiTheme="majorHAnsi" w:hAnsiTheme="majorHAnsi"/>
          <w:sz w:val="24"/>
          <w:szCs w:val="24"/>
        </w:rPr>
        <w:t>re passive, to the modern theories</w:t>
      </w:r>
      <w:r>
        <w:rPr>
          <w:rFonts w:asciiTheme="majorHAnsi" w:hAnsiTheme="majorHAnsi"/>
          <w:sz w:val="24"/>
          <w:szCs w:val="24"/>
        </w:rPr>
        <w:t xml:space="preserve"> in which God was passive and the People were active.  This article argues that thi</w:t>
      </w:r>
      <w:r w:rsidR="0058681D">
        <w:rPr>
          <w:rFonts w:asciiTheme="majorHAnsi" w:hAnsiTheme="majorHAnsi"/>
          <w:sz w:val="24"/>
          <w:szCs w:val="24"/>
        </w:rPr>
        <w:t>s transformation was not cohesive</w:t>
      </w:r>
      <w:r>
        <w:rPr>
          <w:rFonts w:asciiTheme="majorHAnsi" w:hAnsiTheme="majorHAnsi"/>
          <w:sz w:val="24"/>
          <w:szCs w:val="24"/>
        </w:rPr>
        <w:t xml:space="preserve">, but required two separate, simultaneous steps:  making God passive and making the People active.  </w:t>
      </w:r>
      <w:r w:rsidR="00A05165">
        <w:rPr>
          <w:rFonts w:asciiTheme="majorHAnsi" w:hAnsiTheme="majorHAnsi"/>
          <w:sz w:val="24"/>
          <w:szCs w:val="24"/>
        </w:rPr>
        <w:t>At</w:t>
      </w:r>
      <w:r w:rsidR="00D75EC2">
        <w:rPr>
          <w:rFonts w:asciiTheme="majorHAnsi" w:hAnsiTheme="majorHAnsi"/>
          <w:sz w:val="24"/>
          <w:szCs w:val="24"/>
        </w:rPr>
        <w:t xml:space="preserve"> the beginning of the seventeenth century, the dominant model of political authority contained an active God and a passive People.  This model proved unsatisfactory for a variety of reasons, but this became especially apparent in England during the heart o</w:t>
      </w:r>
      <w:r w:rsidR="002445F2">
        <w:rPr>
          <w:rFonts w:asciiTheme="majorHAnsi" w:hAnsiTheme="majorHAnsi"/>
          <w:sz w:val="24"/>
          <w:szCs w:val="24"/>
        </w:rPr>
        <w:t>f the seventeenth century.  In response</w:t>
      </w:r>
      <w:r w:rsidR="00D75EC2">
        <w:rPr>
          <w:rFonts w:asciiTheme="majorHAnsi" w:hAnsiTheme="majorHAnsi"/>
          <w:sz w:val="24"/>
          <w:szCs w:val="24"/>
        </w:rPr>
        <w:t>, two separate strands of political theory developed as alternatives.  In the first, exemplified by Hobbes, the People remained a passive actor, but God was also made pas</w:t>
      </w:r>
      <w:r w:rsidR="002445F2">
        <w:rPr>
          <w:rFonts w:asciiTheme="majorHAnsi" w:hAnsiTheme="majorHAnsi"/>
          <w:sz w:val="24"/>
          <w:szCs w:val="24"/>
        </w:rPr>
        <w:t>sive.  In the second strand, exemplified</w:t>
      </w:r>
      <w:r w:rsidR="00D75EC2">
        <w:rPr>
          <w:rFonts w:asciiTheme="majorHAnsi" w:hAnsiTheme="majorHAnsi"/>
          <w:sz w:val="24"/>
          <w:szCs w:val="24"/>
        </w:rPr>
        <w:t xml:space="preserve"> by Locke, both God and the People were made active players in the determin</w:t>
      </w:r>
      <w:r w:rsidR="00CF67D0">
        <w:rPr>
          <w:rFonts w:asciiTheme="majorHAnsi" w:hAnsiTheme="majorHAnsi"/>
          <w:sz w:val="24"/>
          <w:szCs w:val="24"/>
        </w:rPr>
        <w:t>ation of political authority.  For different reasons, b</w:t>
      </w:r>
      <w:r w:rsidR="00D75EC2">
        <w:rPr>
          <w:rFonts w:asciiTheme="majorHAnsi" w:hAnsiTheme="majorHAnsi"/>
          <w:sz w:val="24"/>
          <w:szCs w:val="24"/>
        </w:rPr>
        <w:t>oth of these alternat</w:t>
      </w:r>
      <w:r w:rsidR="009F5D5E">
        <w:rPr>
          <w:rFonts w:asciiTheme="majorHAnsi" w:hAnsiTheme="majorHAnsi"/>
          <w:sz w:val="24"/>
          <w:szCs w:val="24"/>
        </w:rPr>
        <w:t>ives proved insufficient</w:t>
      </w:r>
      <w:r w:rsidR="00D75EC2">
        <w:rPr>
          <w:rFonts w:asciiTheme="majorHAnsi" w:hAnsiTheme="majorHAnsi"/>
          <w:sz w:val="24"/>
          <w:szCs w:val="24"/>
        </w:rPr>
        <w:t xml:space="preserve">.  Finally, in the </w:t>
      </w:r>
      <w:r w:rsidR="002445F2">
        <w:rPr>
          <w:rFonts w:asciiTheme="majorHAnsi" w:hAnsiTheme="majorHAnsi"/>
          <w:sz w:val="24"/>
          <w:szCs w:val="24"/>
        </w:rPr>
        <w:t xml:space="preserve">eighteenth century, </w:t>
      </w:r>
      <w:r w:rsidR="00D75EC2">
        <w:rPr>
          <w:rFonts w:asciiTheme="majorHAnsi" w:hAnsiTheme="majorHAnsi"/>
          <w:sz w:val="24"/>
          <w:szCs w:val="24"/>
        </w:rPr>
        <w:t xml:space="preserve">authors like Rousseau and </w:t>
      </w:r>
      <w:r w:rsidR="00104C70">
        <w:rPr>
          <w:rFonts w:asciiTheme="majorHAnsi" w:hAnsiTheme="majorHAnsi"/>
          <w:sz w:val="24"/>
          <w:szCs w:val="24"/>
        </w:rPr>
        <w:t xml:space="preserve">Johann </w:t>
      </w:r>
      <w:r w:rsidR="00D75EC2">
        <w:rPr>
          <w:rFonts w:asciiTheme="majorHAnsi" w:hAnsiTheme="majorHAnsi"/>
          <w:sz w:val="24"/>
          <w:szCs w:val="24"/>
        </w:rPr>
        <w:t xml:space="preserve">Herder accepted the changes the two strands had </w:t>
      </w:r>
      <w:r w:rsidR="001C05A5">
        <w:rPr>
          <w:rFonts w:asciiTheme="majorHAnsi" w:hAnsiTheme="majorHAnsi"/>
          <w:sz w:val="24"/>
          <w:szCs w:val="24"/>
        </w:rPr>
        <w:t xml:space="preserve">made to the </w:t>
      </w:r>
      <w:r w:rsidR="009F5D5E">
        <w:rPr>
          <w:rFonts w:asciiTheme="majorHAnsi" w:hAnsiTheme="majorHAnsi"/>
          <w:sz w:val="24"/>
          <w:szCs w:val="24"/>
        </w:rPr>
        <w:t xml:space="preserve">earlier </w:t>
      </w:r>
      <w:r w:rsidR="001C05A5">
        <w:rPr>
          <w:rFonts w:asciiTheme="majorHAnsi" w:hAnsiTheme="majorHAnsi"/>
          <w:sz w:val="24"/>
          <w:szCs w:val="24"/>
        </w:rPr>
        <w:t>dominant model and wove them together to construct</w:t>
      </w:r>
      <w:r w:rsidR="009F5D5E">
        <w:rPr>
          <w:rFonts w:asciiTheme="majorHAnsi" w:hAnsiTheme="majorHAnsi"/>
          <w:sz w:val="24"/>
          <w:szCs w:val="24"/>
        </w:rPr>
        <w:t xml:space="preserve"> the </w:t>
      </w:r>
      <w:r w:rsidR="00A05165">
        <w:rPr>
          <w:rFonts w:asciiTheme="majorHAnsi" w:hAnsiTheme="majorHAnsi"/>
          <w:sz w:val="24"/>
          <w:szCs w:val="24"/>
        </w:rPr>
        <w:t xml:space="preserve">modern </w:t>
      </w:r>
      <w:r w:rsidR="009F5D5E">
        <w:rPr>
          <w:rFonts w:asciiTheme="majorHAnsi" w:hAnsiTheme="majorHAnsi"/>
          <w:sz w:val="24"/>
          <w:szCs w:val="24"/>
        </w:rPr>
        <w:t>nationalist theory</w:t>
      </w:r>
      <w:r w:rsidR="002445F2">
        <w:rPr>
          <w:rFonts w:asciiTheme="majorHAnsi" w:hAnsiTheme="majorHAnsi"/>
          <w:sz w:val="24"/>
          <w:szCs w:val="24"/>
        </w:rPr>
        <w:t xml:space="preserve"> of political authority in which</w:t>
      </w:r>
      <w:r w:rsidR="00D75EC2">
        <w:rPr>
          <w:rFonts w:asciiTheme="majorHAnsi" w:hAnsiTheme="majorHAnsi"/>
          <w:sz w:val="24"/>
          <w:szCs w:val="24"/>
        </w:rPr>
        <w:t xml:space="preserve"> God </w:t>
      </w:r>
      <w:r w:rsidR="002445F2">
        <w:rPr>
          <w:rFonts w:asciiTheme="majorHAnsi" w:hAnsiTheme="majorHAnsi"/>
          <w:sz w:val="24"/>
          <w:szCs w:val="24"/>
        </w:rPr>
        <w:t xml:space="preserve">is </w:t>
      </w:r>
      <w:r w:rsidR="00D75EC2">
        <w:rPr>
          <w:rFonts w:asciiTheme="majorHAnsi" w:hAnsiTheme="majorHAnsi"/>
          <w:sz w:val="24"/>
          <w:szCs w:val="24"/>
        </w:rPr>
        <w:t xml:space="preserve">passive and the People </w:t>
      </w:r>
      <w:r w:rsidR="002445F2">
        <w:rPr>
          <w:rFonts w:asciiTheme="majorHAnsi" w:hAnsiTheme="majorHAnsi"/>
          <w:sz w:val="24"/>
          <w:szCs w:val="24"/>
        </w:rPr>
        <w:t xml:space="preserve">are </w:t>
      </w:r>
      <w:r w:rsidR="00D75EC2">
        <w:rPr>
          <w:rFonts w:asciiTheme="majorHAnsi" w:hAnsiTheme="majorHAnsi"/>
          <w:sz w:val="24"/>
          <w:szCs w:val="24"/>
        </w:rPr>
        <w:t>active.</w:t>
      </w:r>
    </w:p>
    <w:p w:rsidR="00D75EC2" w:rsidRDefault="00D75EC2" w:rsidP="006D1B67">
      <w:pPr>
        <w:rPr>
          <w:rFonts w:asciiTheme="majorHAnsi" w:hAnsiTheme="majorHAnsi"/>
          <w:sz w:val="24"/>
          <w:szCs w:val="24"/>
        </w:rPr>
      </w:pPr>
    </w:p>
    <w:p w:rsidR="00D75EC2" w:rsidRDefault="00D75EC2" w:rsidP="006D1B67">
      <w:pPr>
        <w:ind w:left="2880" w:firstLine="720"/>
        <w:rPr>
          <w:rFonts w:asciiTheme="majorHAnsi" w:hAnsiTheme="majorHAnsi"/>
          <w:sz w:val="24"/>
          <w:szCs w:val="24"/>
        </w:rPr>
      </w:pPr>
      <w:r w:rsidRPr="007B6021">
        <w:rPr>
          <w:rFonts w:asciiTheme="majorHAnsi" w:hAnsiTheme="majorHAnsi"/>
          <w:sz w:val="24"/>
          <w:szCs w:val="24"/>
          <w:u w:val="single"/>
        </w:rPr>
        <w:t>God</w:t>
      </w:r>
      <w:r>
        <w:rPr>
          <w:rFonts w:asciiTheme="majorHAnsi" w:hAnsiTheme="majorHAnsi"/>
          <w:sz w:val="24"/>
          <w:szCs w:val="24"/>
        </w:rPr>
        <w:tab/>
      </w:r>
      <w:r>
        <w:rPr>
          <w:rFonts w:asciiTheme="majorHAnsi" w:hAnsiTheme="majorHAnsi"/>
          <w:sz w:val="24"/>
          <w:szCs w:val="24"/>
        </w:rPr>
        <w:tab/>
      </w:r>
      <w:r w:rsidRPr="007B6021">
        <w:rPr>
          <w:rFonts w:asciiTheme="majorHAnsi" w:hAnsiTheme="majorHAnsi"/>
          <w:sz w:val="24"/>
          <w:szCs w:val="24"/>
          <w:u w:val="single"/>
        </w:rPr>
        <w:t>People</w:t>
      </w:r>
      <w:r w:rsidR="00E30163">
        <w:rPr>
          <w:rFonts w:asciiTheme="majorHAnsi" w:hAnsiTheme="majorHAnsi"/>
          <w:sz w:val="24"/>
          <w:szCs w:val="24"/>
        </w:rPr>
        <w:tab/>
      </w:r>
      <w:r w:rsidR="00E30163">
        <w:rPr>
          <w:rFonts w:asciiTheme="majorHAnsi" w:hAnsiTheme="majorHAnsi"/>
          <w:sz w:val="24"/>
          <w:szCs w:val="24"/>
        </w:rPr>
        <w:tab/>
      </w:r>
      <w:r w:rsidR="00E30163" w:rsidRPr="007B6021">
        <w:rPr>
          <w:rFonts w:asciiTheme="majorHAnsi" w:hAnsiTheme="majorHAnsi"/>
          <w:sz w:val="24"/>
          <w:szCs w:val="24"/>
          <w:u w:val="single"/>
        </w:rPr>
        <w:t>Theoretical Model</w:t>
      </w:r>
    </w:p>
    <w:p w:rsidR="00D75EC2" w:rsidRDefault="00BA2262" w:rsidP="006D1B67">
      <w:pPr>
        <w:rPr>
          <w:rFonts w:asciiTheme="majorHAnsi" w:hAnsiTheme="majorHAnsi"/>
          <w:sz w:val="24"/>
          <w:szCs w:val="24"/>
        </w:rPr>
      </w:pPr>
      <w:r>
        <w:rPr>
          <w:rFonts w:asciiTheme="majorHAnsi" w:hAnsiTheme="majorHAnsi"/>
          <w:i/>
          <w:sz w:val="24"/>
          <w:szCs w:val="24"/>
        </w:rPr>
        <w:t xml:space="preserve">Raison </w:t>
      </w:r>
      <w:proofErr w:type="spellStart"/>
      <w:r>
        <w:rPr>
          <w:rFonts w:asciiTheme="majorHAnsi" w:hAnsiTheme="majorHAnsi"/>
          <w:i/>
          <w:sz w:val="24"/>
          <w:szCs w:val="24"/>
        </w:rPr>
        <w:t>d’Etat</w:t>
      </w:r>
      <w:proofErr w:type="spellEnd"/>
      <w:r w:rsidR="006E234B">
        <w:rPr>
          <w:rFonts w:asciiTheme="majorHAnsi" w:hAnsiTheme="majorHAnsi"/>
          <w:sz w:val="24"/>
          <w:szCs w:val="24"/>
        </w:rPr>
        <w:t xml:space="preserve"> (16</w:t>
      </w:r>
      <w:r w:rsidR="006E234B" w:rsidRPr="006E234B">
        <w:rPr>
          <w:rFonts w:asciiTheme="majorHAnsi" w:hAnsiTheme="majorHAnsi"/>
          <w:sz w:val="24"/>
          <w:szCs w:val="24"/>
          <w:vertAlign w:val="superscript"/>
        </w:rPr>
        <w:t>th</w:t>
      </w:r>
      <w:r w:rsidR="006E234B">
        <w:rPr>
          <w:rFonts w:asciiTheme="majorHAnsi" w:hAnsiTheme="majorHAnsi"/>
          <w:sz w:val="24"/>
          <w:szCs w:val="24"/>
        </w:rPr>
        <w:t xml:space="preserve"> cent)</w:t>
      </w:r>
      <w:r w:rsidR="00204912">
        <w:rPr>
          <w:rFonts w:asciiTheme="majorHAnsi" w:hAnsiTheme="majorHAnsi"/>
          <w:sz w:val="24"/>
          <w:szCs w:val="24"/>
        </w:rPr>
        <w:tab/>
      </w:r>
      <w:r w:rsidR="00E30163">
        <w:rPr>
          <w:rFonts w:asciiTheme="majorHAnsi" w:hAnsiTheme="majorHAnsi"/>
          <w:sz w:val="24"/>
          <w:szCs w:val="24"/>
        </w:rPr>
        <w:tab/>
      </w:r>
      <w:r w:rsidR="00D75EC2">
        <w:rPr>
          <w:rFonts w:asciiTheme="majorHAnsi" w:hAnsiTheme="majorHAnsi"/>
          <w:sz w:val="24"/>
          <w:szCs w:val="24"/>
        </w:rPr>
        <w:t>Active</w:t>
      </w:r>
      <w:r w:rsidR="00D75EC2">
        <w:rPr>
          <w:rFonts w:asciiTheme="majorHAnsi" w:hAnsiTheme="majorHAnsi"/>
          <w:sz w:val="24"/>
          <w:szCs w:val="24"/>
        </w:rPr>
        <w:tab/>
      </w:r>
      <w:r w:rsidR="00D75EC2">
        <w:rPr>
          <w:rFonts w:asciiTheme="majorHAnsi" w:hAnsiTheme="majorHAnsi"/>
          <w:sz w:val="24"/>
          <w:szCs w:val="24"/>
        </w:rPr>
        <w:tab/>
        <w:t>Passive</w:t>
      </w:r>
      <w:r w:rsidR="00E30163">
        <w:rPr>
          <w:rFonts w:asciiTheme="majorHAnsi" w:hAnsiTheme="majorHAnsi"/>
          <w:sz w:val="24"/>
          <w:szCs w:val="24"/>
        </w:rPr>
        <w:tab/>
        <w:t xml:space="preserve">God </w:t>
      </w:r>
      <w:r w:rsidR="00E30163" w:rsidRPr="00E30163">
        <w:rPr>
          <w:rFonts w:asciiTheme="majorHAnsi" w:hAnsiTheme="majorHAnsi"/>
          <w:sz w:val="24"/>
          <w:szCs w:val="24"/>
        </w:rPr>
        <w:sym w:font="Wingdings" w:char="F0E0"/>
      </w:r>
      <w:r w:rsidR="00E30163">
        <w:rPr>
          <w:rFonts w:asciiTheme="majorHAnsi" w:hAnsiTheme="majorHAnsi"/>
          <w:sz w:val="24"/>
          <w:szCs w:val="24"/>
        </w:rPr>
        <w:t xml:space="preserve"> Ruler</w:t>
      </w:r>
    </w:p>
    <w:p w:rsidR="00D75EC2" w:rsidRDefault="004A0A77" w:rsidP="006D1B67">
      <w:pPr>
        <w:rPr>
          <w:rFonts w:asciiTheme="majorHAnsi" w:hAnsiTheme="majorHAnsi"/>
          <w:sz w:val="24"/>
          <w:szCs w:val="24"/>
        </w:rPr>
      </w:pPr>
      <w:r>
        <w:rPr>
          <w:rFonts w:asciiTheme="majorHAnsi" w:hAnsiTheme="majorHAnsi"/>
          <w:sz w:val="24"/>
          <w:szCs w:val="24"/>
        </w:rPr>
        <w:t xml:space="preserve">First strand (e.g. </w:t>
      </w:r>
      <w:r w:rsidR="00D75EC2">
        <w:rPr>
          <w:rFonts w:asciiTheme="majorHAnsi" w:hAnsiTheme="majorHAnsi"/>
          <w:sz w:val="24"/>
          <w:szCs w:val="24"/>
        </w:rPr>
        <w:t>Hobbes</w:t>
      </w:r>
      <w:r w:rsidR="00204912">
        <w:rPr>
          <w:rFonts w:asciiTheme="majorHAnsi" w:hAnsiTheme="majorHAnsi"/>
          <w:sz w:val="24"/>
          <w:szCs w:val="24"/>
        </w:rPr>
        <w:t>)</w:t>
      </w:r>
      <w:r>
        <w:rPr>
          <w:rFonts w:asciiTheme="majorHAnsi" w:hAnsiTheme="majorHAnsi"/>
          <w:sz w:val="24"/>
          <w:szCs w:val="24"/>
        </w:rPr>
        <w:tab/>
      </w:r>
      <w:r w:rsidR="00E30163">
        <w:rPr>
          <w:rFonts w:asciiTheme="majorHAnsi" w:hAnsiTheme="majorHAnsi"/>
          <w:sz w:val="24"/>
          <w:szCs w:val="24"/>
        </w:rPr>
        <w:tab/>
      </w:r>
      <w:r w:rsidR="00D75EC2">
        <w:rPr>
          <w:rFonts w:asciiTheme="majorHAnsi" w:hAnsiTheme="majorHAnsi"/>
          <w:sz w:val="24"/>
          <w:szCs w:val="24"/>
        </w:rPr>
        <w:t xml:space="preserve">Passive </w:t>
      </w:r>
      <w:r w:rsidR="00D75EC2">
        <w:rPr>
          <w:rFonts w:asciiTheme="majorHAnsi" w:hAnsiTheme="majorHAnsi"/>
          <w:sz w:val="24"/>
          <w:szCs w:val="24"/>
        </w:rPr>
        <w:tab/>
      </w:r>
      <w:proofErr w:type="spellStart"/>
      <w:r w:rsidR="00D75EC2">
        <w:rPr>
          <w:rFonts w:asciiTheme="majorHAnsi" w:hAnsiTheme="majorHAnsi"/>
          <w:sz w:val="24"/>
          <w:szCs w:val="24"/>
        </w:rPr>
        <w:t>Passive</w:t>
      </w:r>
      <w:proofErr w:type="spellEnd"/>
      <w:r w:rsidR="00E30163">
        <w:rPr>
          <w:rFonts w:asciiTheme="majorHAnsi" w:hAnsiTheme="majorHAnsi"/>
          <w:sz w:val="24"/>
          <w:szCs w:val="24"/>
        </w:rPr>
        <w:tab/>
        <w:t>God - - - &gt; Ruler</w:t>
      </w:r>
    </w:p>
    <w:p w:rsidR="00D75EC2" w:rsidRDefault="004A0A77" w:rsidP="006D1B67">
      <w:pPr>
        <w:rPr>
          <w:rFonts w:asciiTheme="majorHAnsi" w:hAnsiTheme="majorHAnsi"/>
          <w:sz w:val="24"/>
          <w:szCs w:val="24"/>
        </w:rPr>
      </w:pPr>
      <w:r>
        <w:rPr>
          <w:rFonts w:asciiTheme="majorHAnsi" w:hAnsiTheme="majorHAnsi"/>
          <w:sz w:val="24"/>
          <w:szCs w:val="24"/>
        </w:rPr>
        <w:t xml:space="preserve">Second strand (e.g. </w:t>
      </w:r>
      <w:r w:rsidR="00D75EC2">
        <w:rPr>
          <w:rFonts w:asciiTheme="majorHAnsi" w:hAnsiTheme="majorHAnsi"/>
          <w:sz w:val="24"/>
          <w:szCs w:val="24"/>
        </w:rPr>
        <w:t>Locke</w:t>
      </w:r>
      <w:r>
        <w:rPr>
          <w:rFonts w:asciiTheme="majorHAnsi" w:hAnsiTheme="majorHAnsi"/>
          <w:sz w:val="24"/>
          <w:szCs w:val="24"/>
        </w:rPr>
        <w:t>)</w:t>
      </w:r>
      <w:r>
        <w:rPr>
          <w:rFonts w:asciiTheme="majorHAnsi" w:hAnsiTheme="majorHAnsi"/>
          <w:sz w:val="24"/>
          <w:szCs w:val="24"/>
        </w:rPr>
        <w:tab/>
      </w:r>
      <w:r w:rsidR="00E30163">
        <w:rPr>
          <w:rFonts w:asciiTheme="majorHAnsi" w:hAnsiTheme="majorHAnsi"/>
          <w:sz w:val="24"/>
          <w:szCs w:val="24"/>
        </w:rPr>
        <w:tab/>
      </w:r>
      <w:r w:rsidR="00D75EC2">
        <w:rPr>
          <w:rFonts w:asciiTheme="majorHAnsi" w:hAnsiTheme="majorHAnsi"/>
          <w:sz w:val="24"/>
          <w:szCs w:val="24"/>
        </w:rPr>
        <w:t>Active</w:t>
      </w:r>
      <w:r w:rsidR="00D75EC2">
        <w:rPr>
          <w:rFonts w:asciiTheme="majorHAnsi" w:hAnsiTheme="majorHAnsi"/>
          <w:sz w:val="24"/>
          <w:szCs w:val="24"/>
        </w:rPr>
        <w:tab/>
      </w:r>
      <w:r w:rsidR="00D75EC2">
        <w:rPr>
          <w:rFonts w:asciiTheme="majorHAnsi" w:hAnsiTheme="majorHAnsi"/>
          <w:sz w:val="24"/>
          <w:szCs w:val="24"/>
        </w:rPr>
        <w:tab/>
      </w:r>
      <w:proofErr w:type="spellStart"/>
      <w:r w:rsidR="00D75EC2">
        <w:rPr>
          <w:rFonts w:asciiTheme="majorHAnsi" w:hAnsiTheme="majorHAnsi"/>
          <w:sz w:val="24"/>
          <w:szCs w:val="24"/>
        </w:rPr>
        <w:t>Active</w:t>
      </w:r>
      <w:proofErr w:type="spellEnd"/>
      <w:r w:rsidR="00E30163">
        <w:rPr>
          <w:rFonts w:asciiTheme="majorHAnsi" w:hAnsiTheme="majorHAnsi"/>
          <w:sz w:val="24"/>
          <w:szCs w:val="24"/>
        </w:rPr>
        <w:tab/>
      </w:r>
      <w:r w:rsidR="00E30163">
        <w:rPr>
          <w:rFonts w:asciiTheme="majorHAnsi" w:hAnsiTheme="majorHAnsi"/>
          <w:sz w:val="24"/>
          <w:szCs w:val="24"/>
        </w:rPr>
        <w:tab/>
        <w:t xml:space="preserve">God </w:t>
      </w:r>
      <w:r w:rsidR="00E30163" w:rsidRPr="00E30163">
        <w:rPr>
          <w:rFonts w:asciiTheme="majorHAnsi" w:hAnsiTheme="majorHAnsi"/>
          <w:sz w:val="24"/>
          <w:szCs w:val="24"/>
        </w:rPr>
        <w:sym w:font="Wingdings" w:char="F0E0"/>
      </w:r>
      <w:r w:rsidR="00E30163">
        <w:rPr>
          <w:rFonts w:asciiTheme="majorHAnsi" w:hAnsiTheme="majorHAnsi"/>
          <w:sz w:val="24"/>
          <w:szCs w:val="24"/>
        </w:rPr>
        <w:t xml:space="preserve"> People </w:t>
      </w:r>
      <w:r w:rsidR="00E30163" w:rsidRPr="00E30163">
        <w:rPr>
          <w:rFonts w:asciiTheme="majorHAnsi" w:hAnsiTheme="majorHAnsi"/>
          <w:sz w:val="24"/>
          <w:szCs w:val="24"/>
        </w:rPr>
        <w:sym w:font="Wingdings" w:char="F0E0"/>
      </w:r>
      <w:r w:rsidR="00E30163">
        <w:rPr>
          <w:rFonts w:asciiTheme="majorHAnsi" w:hAnsiTheme="majorHAnsi"/>
          <w:sz w:val="24"/>
          <w:szCs w:val="24"/>
        </w:rPr>
        <w:t xml:space="preserve"> Ruler</w:t>
      </w:r>
    </w:p>
    <w:p w:rsidR="00D75EC2" w:rsidRDefault="00D75EC2" w:rsidP="006D1B67">
      <w:pPr>
        <w:rPr>
          <w:rFonts w:asciiTheme="majorHAnsi" w:hAnsiTheme="majorHAnsi"/>
          <w:sz w:val="24"/>
          <w:szCs w:val="24"/>
        </w:rPr>
      </w:pPr>
      <w:r>
        <w:rPr>
          <w:rFonts w:asciiTheme="majorHAnsi" w:hAnsiTheme="majorHAnsi"/>
          <w:sz w:val="24"/>
          <w:szCs w:val="24"/>
        </w:rPr>
        <w:t>Nationalists</w:t>
      </w:r>
      <w:r w:rsidR="006E234B">
        <w:rPr>
          <w:rFonts w:asciiTheme="majorHAnsi" w:hAnsiTheme="majorHAnsi"/>
          <w:sz w:val="24"/>
          <w:szCs w:val="24"/>
        </w:rPr>
        <w:t xml:space="preserve"> (18</w:t>
      </w:r>
      <w:r w:rsidR="006E234B" w:rsidRPr="006E234B">
        <w:rPr>
          <w:rFonts w:asciiTheme="majorHAnsi" w:hAnsiTheme="majorHAnsi"/>
          <w:sz w:val="24"/>
          <w:szCs w:val="24"/>
          <w:vertAlign w:val="superscript"/>
        </w:rPr>
        <w:t>th</w:t>
      </w:r>
      <w:r w:rsidR="006E234B">
        <w:rPr>
          <w:rFonts w:asciiTheme="majorHAnsi" w:hAnsiTheme="majorHAnsi"/>
          <w:sz w:val="24"/>
          <w:szCs w:val="24"/>
        </w:rPr>
        <w:t xml:space="preserve"> cent)</w:t>
      </w:r>
      <w:r w:rsidR="00204912">
        <w:rPr>
          <w:rFonts w:asciiTheme="majorHAnsi" w:hAnsiTheme="majorHAnsi"/>
          <w:sz w:val="24"/>
          <w:szCs w:val="24"/>
        </w:rPr>
        <w:tab/>
      </w:r>
      <w:r w:rsidR="00E30163">
        <w:rPr>
          <w:rFonts w:asciiTheme="majorHAnsi" w:hAnsiTheme="majorHAnsi"/>
          <w:sz w:val="24"/>
          <w:szCs w:val="24"/>
        </w:rPr>
        <w:tab/>
      </w:r>
      <w:r>
        <w:rPr>
          <w:rFonts w:asciiTheme="majorHAnsi" w:hAnsiTheme="majorHAnsi"/>
          <w:sz w:val="24"/>
          <w:szCs w:val="24"/>
        </w:rPr>
        <w:t>Passive</w:t>
      </w:r>
      <w:r>
        <w:rPr>
          <w:rFonts w:asciiTheme="majorHAnsi" w:hAnsiTheme="majorHAnsi"/>
          <w:sz w:val="24"/>
          <w:szCs w:val="24"/>
        </w:rPr>
        <w:tab/>
        <w:t>Active</w:t>
      </w:r>
      <w:r w:rsidR="00E30163">
        <w:rPr>
          <w:rFonts w:asciiTheme="majorHAnsi" w:hAnsiTheme="majorHAnsi"/>
          <w:sz w:val="24"/>
          <w:szCs w:val="24"/>
        </w:rPr>
        <w:tab/>
      </w:r>
      <w:r w:rsidR="00E30163">
        <w:rPr>
          <w:rFonts w:asciiTheme="majorHAnsi" w:hAnsiTheme="majorHAnsi"/>
          <w:sz w:val="24"/>
          <w:szCs w:val="24"/>
        </w:rPr>
        <w:tab/>
        <w:t xml:space="preserve">God - - - &gt; People </w:t>
      </w:r>
      <w:r w:rsidR="00E30163" w:rsidRPr="00E30163">
        <w:rPr>
          <w:rFonts w:asciiTheme="majorHAnsi" w:hAnsiTheme="majorHAnsi"/>
          <w:sz w:val="24"/>
          <w:szCs w:val="24"/>
        </w:rPr>
        <w:sym w:font="Wingdings" w:char="F0E0"/>
      </w:r>
      <w:r w:rsidR="00E30163">
        <w:rPr>
          <w:rFonts w:asciiTheme="majorHAnsi" w:hAnsiTheme="majorHAnsi"/>
          <w:sz w:val="24"/>
          <w:szCs w:val="24"/>
        </w:rPr>
        <w:t xml:space="preserve"> Ruler</w:t>
      </w:r>
    </w:p>
    <w:p w:rsidR="00D75EC2" w:rsidRDefault="00D75EC2" w:rsidP="006D1B67">
      <w:pPr>
        <w:rPr>
          <w:rFonts w:asciiTheme="majorHAnsi" w:hAnsiTheme="majorHAnsi"/>
          <w:sz w:val="24"/>
          <w:szCs w:val="24"/>
        </w:rPr>
      </w:pPr>
    </w:p>
    <w:p w:rsidR="004A0A77" w:rsidRPr="006A7038" w:rsidRDefault="004A0A77" w:rsidP="006D1B67">
      <w:pPr>
        <w:rPr>
          <w:rFonts w:asciiTheme="majorHAnsi" w:hAnsiTheme="majorHAnsi"/>
          <w:sz w:val="24"/>
          <w:szCs w:val="24"/>
        </w:rPr>
      </w:pPr>
    </w:p>
    <w:p w:rsidR="002B073C" w:rsidRPr="004E68F7" w:rsidRDefault="003F1C19" w:rsidP="006D1B67">
      <w:pPr>
        <w:jc w:val="center"/>
        <w:rPr>
          <w:rFonts w:asciiTheme="majorHAnsi" w:hAnsiTheme="majorHAnsi"/>
          <w:b/>
          <w:sz w:val="24"/>
          <w:szCs w:val="24"/>
        </w:rPr>
      </w:pPr>
      <w:r>
        <w:rPr>
          <w:rFonts w:asciiTheme="majorHAnsi" w:hAnsiTheme="majorHAnsi"/>
          <w:b/>
          <w:sz w:val="24"/>
          <w:szCs w:val="24"/>
        </w:rPr>
        <w:t xml:space="preserve">The </w:t>
      </w:r>
      <w:r w:rsidR="0071433B">
        <w:rPr>
          <w:rFonts w:asciiTheme="majorHAnsi" w:hAnsiTheme="majorHAnsi"/>
          <w:b/>
          <w:sz w:val="24"/>
          <w:szCs w:val="24"/>
        </w:rPr>
        <w:t>First Strand</w:t>
      </w:r>
      <w:r w:rsidR="00BF79BA" w:rsidRPr="004E68F7">
        <w:rPr>
          <w:rFonts w:asciiTheme="majorHAnsi" w:hAnsiTheme="majorHAnsi"/>
          <w:b/>
          <w:sz w:val="24"/>
          <w:szCs w:val="24"/>
        </w:rPr>
        <w:t>:  God Wanes</w:t>
      </w:r>
    </w:p>
    <w:p w:rsidR="0060208A" w:rsidRDefault="0060208A" w:rsidP="006D1B67">
      <w:pPr>
        <w:rPr>
          <w:rFonts w:asciiTheme="majorHAnsi" w:hAnsiTheme="majorHAnsi"/>
          <w:sz w:val="24"/>
          <w:szCs w:val="24"/>
        </w:rPr>
      </w:pPr>
      <w:r>
        <w:rPr>
          <w:rFonts w:asciiTheme="majorHAnsi" w:hAnsiTheme="majorHAnsi"/>
          <w:sz w:val="24"/>
          <w:szCs w:val="24"/>
        </w:rPr>
        <w:tab/>
      </w:r>
      <w:r w:rsidR="0091668F">
        <w:rPr>
          <w:rFonts w:asciiTheme="majorHAnsi" w:hAnsiTheme="majorHAnsi"/>
          <w:sz w:val="24"/>
          <w:szCs w:val="24"/>
        </w:rPr>
        <w:t xml:space="preserve">The authors of the first strand of political theory sought to make God a passive actor in the derivation of political authority.  </w:t>
      </w:r>
      <w:r>
        <w:rPr>
          <w:rFonts w:asciiTheme="majorHAnsi" w:hAnsiTheme="majorHAnsi"/>
          <w:sz w:val="24"/>
          <w:szCs w:val="24"/>
        </w:rPr>
        <w:t xml:space="preserve">The wars of religion and various outbreaks of civil unrest in the </w:t>
      </w:r>
      <w:r w:rsidR="0091668F">
        <w:rPr>
          <w:rFonts w:asciiTheme="majorHAnsi" w:hAnsiTheme="majorHAnsi"/>
          <w:sz w:val="24"/>
          <w:szCs w:val="24"/>
        </w:rPr>
        <w:t>sixteenth</w:t>
      </w:r>
      <w:r>
        <w:rPr>
          <w:rFonts w:asciiTheme="majorHAnsi" w:hAnsiTheme="majorHAnsi"/>
          <w:sz w:val="24"/>
          <w:szCs w:val="24"/>
        </w:rPr>
        <w:t xml:space="preserve"> and </w:t>
      </w:r>
      <w:r w:rsidR="0091668F">
        <w:rPr>
          <w:rFonts w:asciiTheme="majorHAnsi" w:hAnsiTheme="majorHAnsi"/>
          <w:sz w:val="24"/>
          <w:szCs w:val="24"/>
        </w:rPr>
        <w:t>seventeenth</w:t>
      </w:r>
      <w:r>
        <w:rPr>
          <w:rFonts w:asciiTheme="majorHAnsi" w:hAnsiTheme="majorHAnsi"/>
          <w:sz w:val="24"/>
          <w:szCs w:val="24"/>
        </w:rPr>
        <w:t xml:space="preserve"> centuries convinced many that the primary cause </w:t>
      </w:r>
      <w:r>
        <w:rPr>
          <w:rFonts w:asciiTheme="majorHAnsi" w:hAnsiTheme="majorHAnsi"/>
          <w:sz w:val="24"/>
          <w:szCs w:val="24"/>
        </w:rPr>
        <w:lastRenderedPageBreak/>
        <w:t>of war was government entanglement with particular religious doctrines.</w:t>
      </w:r>
      <w:r>
        <w:rPr>
          <w:rStyle w:val="FootnoteReference"/>
          <w:rFonts w:asciiTheme="majorHAnsi" w:hAnsiTheme="majorHAnsi"/>
          <w:sz w:val="24"/>
          <w:szCs w:val="24"/>
        </w:rPr>
        <w:footnoteReference w:id="6"/>
      </w:r>
      <w:r>
        <w:rPr>
          <w:rFonts w:asciiTheme="majorHAnsi" w:hAnsiTheme="majorHAnsi"/>
          <w:sz w:val="24"/>
          <w:szCs w:val="24"/>
        </w:rPr>
        <w:t xml:space="preserve">  However, since political authority in this era was seen to derive from an active God endorsing the ruler, </w:t>
      </w:r>
      <w:r w:rsidR="00CB6F28">
        <w:rPr>
          <w:rFonts w:asciiTheme="majorHAnsi" w:hAnsiTheme="majorHAnsi"/>
          <w:sz w:val="24"/>
          <w:szCs w:val="24"/>
        </w:rPr>
        <w:t xml:space="preserve">many believed that </w:t>
      </w:r>
      <w:r>
        <w:rPr>
          <w:rFonts w:asciiTheme="majorHAnsi" w:hAnsiTheme="majorHAnsi"/>
          <w:sz w:val="24"/>
          <w:szCs w:val="24"/>
        </w:rPr>
        <w:t xml:space="preserve">taking God out of the political equation could cause the entire edifice of social order to collapse, or at least make the current government less credible in the eyes of the people. </w:t>
      </w:r>
      <w:r w:rsidR="0091668F">
        <w:rPr>
          <w:rFonts w:asciiTheme="majorHAnsi" w:hAnsiTheme="majorHAnsi"/>
          <w:sz w:val="24"/>
          <w:szCs w:val="24"/>
        </w:rPr>
        <w:t xml:space="preserve"> Thus, i</w:t>
      </w:r>
      <w:r w:rsidR="00CB6F28">
        <w:rPr>
          <w:rFonts w:asciiTheme="majorHAnsi" w:hAnsiTheme="majorHAnsi"/>
          <w:sz w:val="24"/>
          <w:szCs w:val="24"/>
        </w:rPr>
        <w:t>f God was to be made passive</w:t>
      </w:r>
      <w:r>
        <w:rPr>
          <w:rFonts w:asciiTheme="majorHAnsi" w:hAnsiTheme="majorHAnsi"/>
          <w:sz w:val="24"/>
          <w:szCs w:val="24"/>
        </w:rPr>
        <w:t xml:space="preserve">, it must happen in a manner that protected order and stability.  </w:t>
      </w:r>
    </w:p>
    <w:p w:rsidR="0060208A" w:rsidRDefault="0060208A" w:rsidP="006D1B67">
      <w:pPr>
        <w:ind w:firstLine="720"/>
        <w:rPr>
          <w:rFonts w:asciiTheme="majorHAnsi" w:hAnsiTheme="majorHAnsi"/>
          <w:sz w:val="24"/>
          <w:szCs w:val="24"/>
        </w:rPr>
      </w:pPr>
      <w:r>
        <w:rPr>
          <w:rFonts w:asciiTheme="majorHAnsi" w:hAnsiTheme="majorHAnsi"/>
          <w:sz w:val="24"/>
          <w:szCs w:val="24"/>
        </w:rPr>
        <w:t>The development of a minimalist religion provided the first step in removing God from the pol</w:t>
      </w:r>
      <w:r w:rsidR="00C51C34">
        <w:rPr>
          <w:rFonts w:asciiTheme="majorHAnsi" w:hAnsiTheme="majorHAnsi"/>
          <w:sz w:val="24"/>
          <w:szCs w:val="24"/>
        </w:rPr>
        <w:t xml:space="preserve">itical equation.  For example, Hugo Grotius </w:t>
      </w:r>
      <w:r>
        <w:rPr>
          <w:rFonts w:asciiTheme="majorHAnsi" w:hAnsiTheme="majorHAnsi"/>
          <w:sz w:val="24"/>
          <w:szCs w:val="24"/>
        </w:rPr>
        <w:t xml:space="preserve">argued that only a few shared, fundamental religious doctrines are </w:t>
      </w:r>
      <w:r>
        <w:rPr>
          <w:rFonts w:asciiTheme="majorHAnsi" w:hAnsiTheme="majorHAnsi"/>
          <w:i/>
          <w:sz w:val="24"/>
          <w:szCs w:val="24"/>
        </w:rPr>
        <w:t xml:space="preserve">required </w:t>
      </w:r>
      <w:r>
        <w:rPr>
          <w:rFonts w:asciiTheme="majorHAnsi" w:hAnsiTheme="majorHAnsi"/>
          <w:sz w:val="24"/>
          <w:szCs w:val="24"/>
        </w:rPr>
        <w:t>for human beings, while all of the other doctrines should be held loosely, if at all.  The government had a right and duty to enforce these fundamental doctrines, while it should entirely stay out of other religious debates.</w:t>
      </w:r>
      <w:r>
        <w:rPr>
          <w:rStyle w:val="FootnoteReference"/>
          <w:rFonts w:asciiTheme="majorHAnsi" w:hAnsiTheme="majorHAnsi"/>
          <w:sz w:val="24"/>
          <w:szCs w:val="24"/>
        </w:rPr>
        <w:footnoteReference w:id="7"/>
      </w:r>
      <w:r>
        <w:rPr>
          <w:rFonts w:asciiTheme="majorHAnsi" w:hAnsiTheme="majorHAnsi"/>
          <w:sz w:val="24"/>
          <w:szCs w:val="24"/>
        </w:rPr>
        <w:t xml:space="preserve">  The belief was that, if governments stuck to the fundamental doctrines and ignored the others, religious disputes would cease to become political battles and the conflicts that occurred within and between political units would finally abate.</w:t>
      </w:r>
    </w:p>
    <w:p w:rsidR="0060208A" w:rsidRDefault="0060208A" w:rsidP="006D1B67">
      <w:pPr>
        <w:ind w:firstLine="720"/>
        <w:rPr>
          <w:rFonts w:asciiTheme="majorHAnsi" w:hAnsiTheme="majorHAnsi"/>
          <w:sz w:val="24"/>
          <w:szCs w:val="24"/>
        </w:rPr>
      </w:pPr>
      <w:r>
        <w:rPr>
          <w:rFonts w:asciiTheme="majorHAnsi" w:hAnsiTheme="majorHAnsi"/>
          <w:sz w:val="24"/>
          <w:szCs w:val="24"/>
        </w:rPr>
        <w:t xml:space="preserve">In </w:t>
      </w:r>
      <w:r>
        <w:rPr>
          <w:rFonts w:asciiTheme="majorHAnsi" w:hAnsiTheme="majorHAnsi"/>
          <w:i/>
          <w:sz w:val="24"/>
          <w:szCs w:val="24"/>
        </w:rPr>
        <w:t>Of the Law of War and Peace</w:t>
      </w:r>
      <w:r>
        <w:rPr>
          <w:rFonts w:asciiTheme="majorHAnsi" w:hAnsiTheme="majorHAnsi"/>
          <w:sz w:val="24"/>
          <w:szCs w:val="24"/>
        </w:rPr>
        <w:t xml:space="preserve"> (1625), Grotius applied his minimalist religion to show how this made God a more removed source of political authority.  God remained important:  after all, a minimalist religion was still religion.  But, Grotius revolutionized Natural Law theory by suggesting that the Laws of Nature did not depend on the constant and active enforcement by God.</w:t>
      </w:r>
      <w:r>
        <w:rPr>
          <w:rStyle w:val="FootnoteReference"/>
          <w:rFonts w:asciiTheme="majorHAnsi" w:hAnsiTheme="majorHAnsi"/>
          <w:sz w:val="24"/>
          <w:szCs w:val="24"/>
        </w:rPr>
        <w:footnoteReference w:id="8"/>
      </w:r>
      <w:r>
        <w:rPr>
          <w:rFonts w:asciiTheme="majorHAnsi" w:hAnsiTheme="majorHAnsi"/>
          <w:sz w:val="24"/>
          <w:szCs w:val="24"/>
        </w:rPr>
        <w:t xml:space="preserve">  These Laws applied to all people at all times because to act against them was to act against one’s self-interest and against Reason.  Individuals followed the Laws of Nature without, as Richard Tuck phrases it, “any mediating promises about God’s will.”</w:t>
      </w:r>
      <w:r>
        <w:rPr>
          <w:rStyle w:val="FootnoteReference"/>
          <w:rFonts w:asciiTheme="majorHAnsi" w:hAnsiTheme="majorHAnsi"/>
          <w:sz w:val="24"/>
          <w:szCs w:val="24"/>
        </w:rPr>
        <w:footnoteReference w:id="9"/>
      </w:r>
      <w:r>
        <w:rPr>
          <w:rFonts w:asciiTheme="majorHAnsi" w:hAnsiTheme="majorHAnsi"/>
          <w:sz w:val="24"/>
          <w:szCs w:val="24"/>
        </w:rPr>
        <w:t xml:space="preserve">  I</w:t>
      </w:r>
      <w:r w:rsidR="00104C70">
        <w:rPr>
          <w:rFonts w:asciiTheme="majorHAnsi" w:hAnsiTheme="majorHAnsi"/>
          <w:sz w:val="24"/>
          <w:szCs w:val="24"/>
        </w:rPr>
        <w:t>n effect, Natural Law enforced itself</w:t>
      </w:r>
      <w:r>
        <w:rPr>
          <w:rFonts w:asciiTheme="majorHAnsi" w:hAnsiTheme="majorHAnsi"/>
          <w:sz w:val="24"/>
          <w:szCs w:val="24"/>
        </w:rPr>
        <w:t>.  Individuals formed societies and political communities in the sandbox God had created, but the authority of each polity was independent of the active involvement of God.</w:t>
      </w:r>
      <w:r w:rsidR="00F77E24">
        <w:rPr>
          <w:rFonts w:asciiTheme="majorHAnsi" w:hAnsiTheme="majorHAnsi"/>
          <w:sz w:val="24"/>
          <w:szCs w:val="24"/>
        </w:rPr>
        <w:t xml:space="preserve">  This was, as Michel Foucault phrased it, a “de-</w:t>
      </w:r>
      <w:proofErr w:type="spellStart"/>
      <w:r w:rsidR="00F77E24">
        <w:rPr>
          <w:rFonts w:asciiTheme="majorHAnsi" w:hAnsiTheme="majorHAnsi"/>
          <w:sz w:val="24"/>
          <w:szCs w:val="24"/>
        </w:rPr>
        <w:t>governmentalization</w:t>
      </w:r>
      <w:proofErr w:type="spellEnd"/>
      <w:r w:rsidR="00F77E24">
        <w:rPr>
          <w:rFonts w:asciiTheme="majorHAnsi" w:hAnsiTheme="majorHAnsi"/>
          <w:sz w:val="24"/>
          <w:szCs w:val="24"/>
        </w:rPr>
        <w:t xml:space="preserve"> of the cosmos” and it </w:t>
      </w:r>
      <w:r>
        <w:rPr>
          <w:rFonts w:asciiTheme="majorHAnsi" w:hAnsiTheme="majorHAnsi"/>
          <w:sz w:val="24"/>
          <w:szCs w:val="24"/>
        </w:rPr>
        <w:t>influenced many other thinkers of the seventeenth century, including Thomas Hobbes.</w:t>
      </w:r>
      <w:r w:rsidR="00AC72EE">
        <w:rPr>
          <w:rStyle w:val="FootnoteReference"/>
          <w:rFonts w:asciiTheme="majorHAnsi" w:hAnsiTheme="majorHAnsi"/>
          <w:sz w:val="24"/>
          <w:szCs w:val="24"/>
        </w:rPr>
        <w:footnoteReference w:id="10"/>
      </w:r>
      <w:r>
        <w:rPr>
          <w:rFonts w:asciiTheme="majorHAnsi" w:hAnsiTheme="majorHAnsi"/>
          <w:sz w:val="24"/>
          <w:szCs w:val="24"/>
        </w:rPr>
        <w:t xml:space="preserve"> </w:t>
      </w:r>
    </w:p>
    <w:p w:rsidR="0060208A" w:rsidRDefault="0060208A" w:rsidP="006D1B67">
      <w:pPr>
        <w:ind w:firstLine="720"/>
        <w:rPr>
          <w:rFonts w:asciiTheme="majorHAnsi" w:hAnsiTheme="majorHAnsi"/>
          <w:sz w:val="24"/>
          <w:szCs w:val="24"/>
        </w:rPr>
      </w:pPr>
      <w:r>
        <w:rPr>
          <w:rFonts w:asciiTheme="majorHAnsi" w:hAnsiTheme="majorHAnsi"/>
          <w:sz w:val="24"/>
          <w:szCs w:val="24"/>
        </w:rPr>
        <w:lastRenderedPageBreak/>
        <w:t xml:space="preserve">Like Grotius, Hobbes envisioned a state of nature, but in </w:t>
      </w:r>
      <w:r w:rsidR="00F77E24">
        <w:rPr>
          <w:rFonts w:asciiTheme="majorHAnsi" w:hAnsiTheme="majorHAnsi"/>
          <w:sz w:val="24"/>
          <w:szCs w:val="24"/>
        </w:rPr>
        <w:t>his</w:t>
      </w:r>
      <w:r>
        <w:rPr>
          <w:rFonts w:asciiTheme="majorHAnsi" w:hAnsiTheme="majorHAnsi"/>
          <w:sz w:val="24"/>
          <w:szCs w:val="24"/>
        </w:rPr>
        <w:t xml:space="preserve"> </w:t>
      </w:r>
      <w:r>
        <w:rPr>
          <w:rFonts w:asciiTheme="majorHAnsi" w:hAnsiTheme="majorHAnsi"/>
          <w:i/>
          <w:sz w:val="24"/>
          <w:szCs w:val="24"/>
        </w:rPr>
        <w:t>Leviathan</w:t>
      </w:r>
      <w:r w:rsidR="00B13B0D">
        <w:rPr>
          <w:rFonts w:asciiTheme="majorHAnsi" w:hAnsiTheme="majorHAnsi"/>
          <w:sz w:val="24"/>
          <w:szCs w:val="24"/>
        </w:rPr>
        <w:t xml:space="preserve"> </w:t>
      </w:r>
      <w:r>
        <w:rPr>
          <w:rFonts w:asciiTheme="majorHAnsi" w:hAnsiTheme="majorHAnsi"/>
          <w:sz w:val="24"/>
          <w:szCs w:val="24"/>
        </w:rPr>
        <w:t>he asserted that this pre-government condition had no laws, natural or otherwise:  “Where there is no common power, there is no law.”</w:t>
      </w:r>
      <w:r>
        <w:rPr>
          <w:rStyle w:val="FootnoteReference"/>
          <w:rFonts w:asciiTheme="majorHAnsi" w:hAnsiTheme="majorHAnsi"/>
          <w:sz w:val="24"/>
          <w:szCs w:val="24"/>
        </w:rPr>
        <w:footnoteReference w:id="11"/>
      </w:r>
      <w:r>
        <w:rPr>
          <w:rFonts w:asciiTheme="majorHAnsi" w:hAnsiTheme="majorHAnsi"/>
          <w:sz w:val="24"/>
          <w:szCs w:val="24"/>
        </w:rPr>
        <w:t xml:space="preserve">  Human beings in this condition possessed only Reason and fear which, fortunately </w:t>
      </w:r>
      <w:proofErr w:type="gramStart"/>
      <w:r>
        <w:rPr>
          <w:rFonts w:asciiTheme="majorHAnsi" w:hAnsiTheme="majorHAnsi"/>
          <w:sz w:val="24"/>
          <w:szCs w:val="24"/>
        </w:rPr>
        <w:t>enough,</w:t>
      </w:r>
      <w:proofErr w:type="gramEnd"/>
      <w:r>
        <w:rPr>
          <w:rFonts w:asciiTheme="majorHAnsi" w:hAnsiTheme="majorHAnsi"/>
          <w:sz w:val="24"/>
          <w:szCs w:val="24"/>
        </w:rPr>
        <w:t xml:space="preserve"> were sufficient for humans to figure out how to form governments.  Hobbes agreed that God had formed the sandbox, but it was a sandbox with almost no rules.  When it came to political authority in suc</w:t>
      </w:r>
      <w:r w:rsidR="00F77E24">
        <w:rPr>
          <w:rFonts w:asciiTheme="majorHAnsi" w:hAnsiTheme="majorHAnsi"/>
          <w:sz w:val="24"/>
          <w:szCs w:val="24"/>
        </w:rPr>
        <w:t>h a system, God was superfluous and could recede into a passive role.</w:t>
      </w:r>
    </w:p>
    <w:p w:rsidR="0060208A" w:rsidRDefault="0060208A" w:rsidP="006D1B67">
      <w:pPr>
        <w:ind w:firstLine="720"/>
        <w:rPr>
          <w:rFonts w:asciiTheme="majorHAnsi" w:hAnsiTheme="majorHAnsi"/>
          <w:sz w:val="24"/>
          <w:szCs w:val="24"/>
        </w:rPr>
      </w:pPr>
      <w:r>
        <w:rPr>
          <w:rFonts w:asciiTheme="majorHAnsi" w:hAnsiTheme="majorHAnsi"/>
          <w:sz w:val="24"/>
          <w:szCs w:val="24"/>
        </w:rPr>
        <w:t>Both Grotius and Hobbes sought to demonstrate “how people without theistic beliefs can have a moral life” and, by extension, how a government can maintain its legitimacy and credibility without an active appeal to God.</w:t>
      </w:r>
      <w:r w:rsidR="00A05165">
        <w:rPr>
          <w:rStyle w:val="FootnoteReference"/>
          <w:rFonts w:asciiTheme="majorHAnsi" w:hAnsiTheme="majorHAnsi"/>
          <w:sz w:val="24"/>
          <w:szCs w:val="24"/>
        </w:rPr>
        <w:footnoteReference w:id="12"/>
      </w:r>
      <w:r>
        <w:rPr>
          <w:rFonts w:asciiTheme="majorHAnsi" w:hAnsiTheme="majorHAnsi"/>
          <w:sz w:val="24"/>
          <w:szCs w:val="24"/>
        </w:rPr>
        <w:t xml:space="preserve">  Their answer was an appeal to Reason.  The Laws of Nature, and by extension all other laws, were consistent with and could be discovered through Reason. </w:t>
      </w:r>
      <w:r w:rsidR="00A05165">
        <w:rPr>
          <w:rFonts w:asciiTheme="majorHAnsi" w:hAnsiTheme="majorHAnsi"/>
          <w:sz w:val="24"/>
          <w:szCs w:val="24"/>
        </w:rPr>
        <w:t>Thus, they asserted that</w:t>
      </w:r>
      <w:r w:rsidR="00F77E24">
        <w:rPr>
          <w:rFonts w:asciiTheme="majorHAnsi" w:hAnsiTheme="majorHAnsi"/>
          <w:sz w:val="24"/>
          <w:szCs w:val="24"/>
        </w:rPr>
        <w:t xml:space="preserve"> Reason </w:t>
      </w:r>
      <w:r w:rsidR="00A05165">
        <w:rPr>
          <w:rFonts w:asciiTheme="majorHAnsi" w:hAnsiTheme="majorHAnsi"/>
          <w:sz w:val="24"/>
          <w:szCs w:val="24"/>
        </w:rPr>
        <w:t>w</w:t>
      </w:r>
      <w:r>
        <w:rPr>
          <w:rFonts w:asciiTheme="majorHAnsi" w:hAnsiTheme="majorHAnsi"/>
          <w:sz w:val="24"/>
          <w:szCs w:val="24"/>
        </w:rPr>
        <w:t>as the ultimate source of governmental credibility and authority.  Grotius, for example, believed that the government’s aut</w:t>
      </w:r>
      <w:r w:rsidR="00557BB1">
        <w:rPr>
          <w:rFonts w:asciiTheme="majorHAnsi" w:hAnsiTheme="majorHAnsi"/>
          <w:sz w:val="24"/>
          <w:szCs w:val="24"/>
        </w:rPr>
        <w:t>hority derived from its</w:t>
      </w:r>
      <w:r>
        <w:rPr>
          <w:rFonts w:asciiTheme="majorHAnsi" w:hAnsiTheme="majorHAnsi"/>
          <w:sz w:val="24"/>
          <w:szCs w:val="24"/>
        </w:rPr>
        <w:t xml:space="preserve"> role in forcing irrational persons to act according to Nature and Reason</w:t>
      </w:r>
      <w:r w:rsidR="00AC72EE">
        <w:rPr>
          <w:rFonts w:asciiTheme="majorHAnsi" w:hAnsiTheme="majorHAnsi"/>
          <w:sz w:val="24"/>
          <w:szCs w:val="24"/>
        </w:rPr>
        <w:t>, rather than from the direct imprimatur of God</w:t>
      </w:r>
      <w:r>
        <w:rPr>
          <w:rFonts w:asciiTheme="majorHAnsi" w:hAnsiTheme="majorHAnsi"/>
          <w:sz w:val="24"/>
          <w:szCs w:val="24"/>
        </w:rPr>
        <w:t xml:space="preserve">. </w:t>
      </w:r>
    </w:p>
    <w:p w:rsidR="0060208A" w:rsidRDefault="0060208A" w:rsidP="006D1B67">
      <w:pPr>
        <w:ind w:firstLine="720"/>
        <w:rPr>
          <w:rFonts w:asciiTheme="majorHAnsi" w:hAnsiTheme="majorHAnsi"/>
          <w:sz w:val="24"/>
          <w:szCs w:val="24"/>
        </w:rPr>
      </w:pPr>
      <w:r>
        <w:rPr>
          <w:rFonts w:asciiTheme="majorHAnsi" w:hAnsiTheme="majorHAnsi"/>
          <w:sz w:val="24"/>
          <w:szCs w:val="24"/>
        </w:rPr>
        <w:t xml:space="preserve">Hobbes similarly agreed that Reason provided all of the credibility and authority the government required.  Hobbes postulated that individuals only emerged from </w:t>
      </w:r>
      <w:r w:rsidR="00F77E24">
        <w:rPr>
          <w:rFonts w:asciiTheme="majorHAnsi" w:hAnsiTheme="majorHAnsi"/>
          <w:sz w:val="24"/>
          <w:szCs w:val="24"/>
        </w:rPr>
        <w:t xml:space="preserve">the </w:t>
      </w:r>
      <w:r>
        <w:rPr>
          <w:rFonts w:asciiTheme="majorHAnsi" w:hAnsiTheme="majorHAnsi"/>
          <w:sz w:val="24"/>
          <w:szCs w:val="24"/>
        </w:rPr>
        <w:t>“nasty, brutish, and short” state of nature by creating a sovereign he called the Leviathan, or the “mortal god.”</w:t>
      </w:r>
      <w:r>
        <w:rPr>
          <w:rStyle w:val="FootnoteReference"/>
          <w:rFonts w:asciiTheme="majorHAnsi" w:hAnsiTheme="majorHAnsi"/>
          <w:sz w:val="24"/>
          <w:szCs w:val="24"/>
        </w:rPr>
        <w:footnoteReference w:id="13"/>
      </w:r>
      <w:r>
        <w:rPr>
          <w:rFonts w:asciiTheme="majorHAnsi" w:hAnsiTheme="majorHAnsi"/>
          <w:sz w:val="24"/>
          <w:szCs w:val="24"/>
        </w:rPr>
        <w:t xml:space="preserve">  This mortal god, the result of individuals’ use of Reason, took on all of the transcendent qualities traditionally assigned to God.  The authority of the Leviathan came from two places:  the </w:t>
      </w:r>
      <w:r>
        <w:rPr>
          <w:rFonts w:asciiTheme="majorHAnsi" w:hAnsiTheme="majorHAnsi"/>
          <w:i/>
          <w:sz w:val="24"/>
          <w:szCs w:val="24"/>
        </w:rPr>
        <w:t>fear</w:t>
      </w:r>
      <w:r>
        <w:rPr>
          <w:rFonts w:asciiTheme="majorHAnsi" w:hAnsiTheme="majorHAnsi"/>
          <w:sz w:val="24"/>
          <w:szCs w:val="24"/>
        </w:rPr>
        <w:t xml:space="preserve"> of reverting to the anarchic state of nature and the </w:t>
      </w:r>
      <w:r>
        <w:rPr>
          <w:rFonts w:asciiTheme="majorHAnsi" w:hAnsiTheme="majorHAnsi"/>
          <w:i/>
          <w:sz w:val="24"/>
          <w:szCs w:val="24"/>
        </w:rPr>
        <w:t>Reason</w:t>
      </w:r>
      <w:r>
        <w:rPr>
          <w:rFonts w:asciiTheme="majorHAnsi" w:hAnsiTheme="majorHAnsi"/>
          <w:sz w:val="24"/>
          <w:szCs w:val="24"/>
        </w:rPr>
        <w:t xml:space="preserve"> that gave birth to the government.</w:t>
      </w:r>
      <w:r>
        <w:rPr>
          <w:rStyle w:val="FootnoteReference"/>
          <w:rFonts w:asciiTheme="majorHAnsi" w:hAnsiTheme="majorHAnsi"/>
          <w:sz w:val="24"/>
          <w:szCs w:val="24"/>
        </w:rPr>
        <w:footnoteReference w:id="14"/>
      </w:r>
      <w:r w:rsidR="001E19A6">
        <w:rPr>
          <w:rFonts w:asciiTheme="majorHAnsi" w:hAnsiTheme="majorHAnsi"/>
          <w:sz w:val="24"/>
          <w:szCs w:val="24"/>
        </w:rPr>
        <w:t xml:space="preserve">  The suggestion here is not that Hobbes was an atheist.  Hobbes retained God as a backstop:  “This is the generation of that great Leviathan (or rather, to speak more reverently, of that </w:t>
      </w:r>
      <w:r w:rsidR="001E19A6">
        <w:rPr>
          <w:rFonts w:asciiTheme="majorHAnsi" w:hAnsiTheme="majorHAnsi"/>
          <w:i/>
          <w:sz w:val="24"/>
          <w:szCs w:val="24"/>
        </w:rPr>
        <w:t>mortal god</w:t>
      </w:r>
      <w:r w:rsidR="001E19A6">
        <w:rPr>
          <w:rFonts w:asciiTheme="majorHAnsi" w:hAnsiTheme="majorHAnsi"/>
          <w:sz w:val="24"/>
          <w:szCs w:val="24"/>
        </w:rPr>
        <w:t xml:space="preserve">) to which we owe, under the </w:t>
      </w:r>
      <w:r w:rsidR="001E19A6">
        <w:rPr>
          <w:rFonts w:asciiTheme="majorHAnsi" w:hAnsiTheme="majorHAnsi"/>
          <w:i/>
          <w:sz w:val="24"/>
          <w:szCs w:val="24"/>
        </w:rPr>
        <w:t>immortal God</w:t>
      </w:r>
      <w:r w:rsidR="001E19A6">
        <w:rPr>
          <w:rFonts w:asciiTheme="majorHAnsi" w:hAnsiTheme="majorHAnsi"/>
          <w:sz w:val="24"/>
          <w:szCs w:val="24"/>
        </w:rPr>
        <w:t>, our peace and defense.”</w:t>
      </w:r>
      <w:r w:rsidR="001E19A6">
        <w:rPr>
          <w:rStyle w:val="FootnoteReference"/>
          <w:rFonts w:asciiTheme="majorHAnsi" w:hAnsiTheme="majorHAnsi"/>
          <w:sz w:val="24"/>
          <w:szCs w:val="24"/>
        </w:rPr>
        <w:footnoteReference w:id="15"/>
      </w:r>
      <w:r w:rsidR="001E19A6">
        <w:rPr>
          <w:rFonts w:asciiTheme="majorHAnsi" w:hAnsiTheme="majorHAnsi"/>
          <w:sz w:val="24"/>
          <w:szCs w:val="24"/>
        </w:rPr>
        <w:t xml:space="preserve">  </w:t>
      </w:r>
      <w:r>
        <w:rPr>
          <w:rFonts w:asciiTheme="majorHAnsi" w:hAnsiTheme="majorHAnsi"/>
          <w:sz w:val="24"/>
          <w:szCs w:val="24"/>
        </w:rPr>
        <w:t xml:space="preserve">Adding </w:t>
      </w:r>
      <w:r w:rsidR="00557BB1">
        <w:rPr>
          <w:rFonts w:asciiTheme="majorHAnsi" w:hAnsiTheme="majorHAnsi"/>
          <w:sz w:val="24"/>
          <w:szCs w:val="24"/>
        </w:rPr>
        <w:t xml:space="preserve">an active </w:t>
      </w:r>
      <w:r>
        <w:rPr>
          <w:rFonts w:asciiTheme="majorHAnsi" w:hAnsiTheme="majorHAnsi"/>
          <w:sz w:val="24"/>
          <w:szCs w:val="24"/>
        </w:rPr>
        <w:t>God to this equation would be redundant and, hence, unnecessary.</w:t>
      </w:r>
      <w:r w:rsidR="001E19A6">
        <w:rPr>
          <w:rFonts w:asciiTheme="majorHAnsi" w:hAnsiTheme="majorHAnsi"/>
          <w:sz w:val="24"/>
          <w:szCs w:val="24"/>
        </w:rPr>
        <w:t xml:space="preserve">  God existed, but He was passive.</w:t>
      </w:r>
    </w:p>
    <w:p w:rsidR="0060208A" w:rsidRDefault="0060208A" w:rsidP="006D1B67">
      <w:pPr>
        <w:ind w:firstLine="720"/>
        <w:rPr>
          <w:rFonts w:asciiTheme="majorHAnsi" w:hAnsiTheme="majorHAnsi"/>
          <w:sz w:val="24"/>
          <w:szCs w:val="24"/>
        </w:rPr>
      </w:pPr>
      <w:r>
        <w:rPr>
          <w:rFonts w:asciiTheme="majorHAnsi" w:hAnsiTheme="majorHAnsi"/>
          <w:sz w:val="24"/>
          <w:szCs w:val="24"/>
        </w:rPr>
        <w:t>However, a political theory that based the government’s authority and credibility solely</w:t>
      </w:r>
      <w:r w:rsidR="00960CC2">
        <w:rPr>
          <w:rFonts w:asciiTheme="majorHAnsi" w:hAnsiTheme="majorHAnsi"/>
          <w:sz w:val="24"/>
          <w:szCs w:val="24"/>
        </w:rPr>
        <w:t xml:space="preserve"> on Reason proved</w:t>
      </w:r>
      <w:r>
        <w:rPr>
          <w:rFonts w:asciiTheme="majorHAnsi" w:hAnsiTheme="majorHAnsi"/>
          <w:sz w:val="24"/>
          <w:szCs w:val="24"/>
        </w:rPr>
        <w:t xml:space="preserve"> insufficient.  Of course there were critics from conservative and ecclesial circles who rejected the idea that God should be removed from the political equation or relegated to distant</w:t>
      </w:r>
      <w:r w:rsidR="00960CC2">
        <w:rPr>
          <w:rFonts w:asciiTheme="majorHAnsi" w:hAnsiTheme="majorHAnsi"/>
          <w:sz w:val="24"/>
          <w:szCs w:val="24"/>
        </w:rPr>
        <w:t>, passive</w:t>
      </w:r>
      <w:r w:rsidR="001E19A6">
        <w:rPr>
          <w:rFonts w:asciiTheme="majorHAnsi" w:hAnsiTheme="majorHAnsi"/>
          <w:sz w:val="24"/>
          <w:szCs w:val="24"/>
        </w:rPr>
        <w:t xml:space="preserve"> observer of human affairs.  In addition, r</w:t>
      </w:r>
      <w:r>
        <w:rPr>
          <w:rFonts w:asciiTheme="majorHAnsi" w:hAnsiTheme="majorHAnsi"/>
          <w:sz w:val="24"/>
          <w:szCs w:val="24"/>
        </w:rPr>
        <w:t xml:space="preserve">ulers and political practitioners </w:t>
      </w:r>
      <w:r w:rsidR="00557BB1">
        <w:rPr>
          <w:rFonts w:asciiTheme="majorHAnsi" w:hAnsiTheme="majorHAnsi"/>
          <w:sz w:val="24"/>
          <w:szCs w:val="24"/>
        </w:rPr>
        <w:t>tended to dislike this</w:t>
      </w:r>
      <w:r w:rsidR="00B13B0D">
        <w:rPr>
          <w:rFonts w:asciiTheme="majorHAnsi" w:hAnsiTheme="majorHAnsi"/>
          <w:sz w:val="24"/>
          <w:szCs w:val="24"/>
        </w:rPr>
        <w:t xml:space="preserve"> first-strand</w:t>
      </w:r>
      <w:r w:rsidR="00557BB1">
        <w:rPr>
          <w:rFonts w:asciiTheme="majorHAnsi" w:hAnsiTheme="majorHAnsi"/>
          <w:sz w:val="24"/>
          <w:szCs w:val="24"/>
        </w:rPr>
        <w:t xml:space="preserve"> theory</w:t>
      </w:r>
      <w:r>
        <w:rPr>
          <w:rFonts w:asciiTheme="majorHAnsi" w:hAnsiTheme="majorHAnsi"/>
          <w:sz w:val="24"/>
          <w:szCs w:val="24"/>
        </w:rPr>
        <w:t xml:space="preserve"> because it </w:t>
      </w:r>
      <w:r w:rsidR="00B13B0D">
        <w:rPr>
          <w:rFonts w:asciiTheme="majorHAnsi" w:hAnsiTheme="majorHAnsi"/>
          <w:sz w:val="24"/>
          <w:szCs w:val="24"/>
        </w:rPr>
        <w:t>implied</w:t>
      </w:r>
      <w:r>
        <w:rPr>
          <w:rFonts w:asciiTheme="majorHAnsi" w:hAnsiTheme="majorHAnsi"/>
          <w:sz w:val="24"/>
          <w:szCs w:val="24"/>
        </w:rPr>
        <w:t xml:space="preserve"> a much broader idea of individual rights against the government, so long as one followed Natural </w:t>
      </w:r>
      <w:r>
        <w:rPr>
          <w:rFonts w:asciiTheme="majorHAnsi" w:hAnsiTheme="majorHAnsi"/>
          <w:sz w:val="24"/>
          <w:szCs w:val="24"/>
        </w:rPr>
        <w:lastRenderedPageBreak/>
        <w:t>Laws and Reason.</w:t>
      </w:r>
      <w:r>
        <w:rPr>
          <w:rStyle w:val="FootnoteReference"/>
          <w:rFonts w:asciiTheme="majorHAnsi" w:hAnsiTheme="majorHAnsi"/>
          <w:sz w:val="24"/>
          <w:szCs w:val="24"/>
        </w:rPr>
        <w:footnoteReference w:id="16"/>
      </w:r>
      <w:r>
        <w:rPr>
          <w:rFonts w:asciiTheme="majorHAnsi" w:hAnsiTheme="majorHAnsi"/>
          <w:sz w:val="24"/>
          <w:szCs w:val="24"/>
        </w:rPr>
        <w:t xml:space="preserve">  But, even those who were symp</w:t>
      </w:r>
      <w:r w:rsidR="00557BB1">
        <w:rPr>
          <w:rFonts w:asciiTheme="majorHAnsi" w:hAnsiTheme="majorHAnsi"/>
          <w:sz w:val="24"/>
          <w:szCs w:val="24"/>
        </w:rPr>
        <w:t>athetic to the project tended to see</w:t>
      </w:r>
      <w:r>
        <w:rPr>
          <w:rFonts w:asciiTheme="majorHAnsi" w:hAnsiTheme="majorHAnsi"/>
          <w:sz w:val="24"/>
          <w:szCs w:val="24"/>
        </w:rPr>
        <w:t xml:space="preserve"> it as impractical:  although some </w:t>
      </w:r>
      <w:r w:rsidR="00557BB1">
        <w:rPr>
          <w:rFonts w:asciiTheme="majorHAnsi" w:hAnsiTheme="majorHAnsi"/>
          <w:sz w:val="24"/>
          <w:szCs w:val="24"/>
        </w:rPr>
        <w:t xml:space="preserve">elites </w:t>
      </w:r>
      <w:r>
        <w:rPr>
          <w:rFonts w:asciiTheme="majorHAnsi" w:hAnsiTheme="majorHAnsi"/>
          <w:sz w:val="24"/>
          <w:szCs w:val="24"/>
        </w:rPr>
        <w:t>in Europe embraced this essentially deistic vision of the world and political authority, the v</w:t>
      </w:r>
      <w:r w:rsidR="00557BB1">
        <w:rPr>
          <w:rFonts w:asciiTheme="majorHAnsi" w:hAnsiTheme="majorHAnsi"/>
          <w:sz w:val="24"/>
          <w:szCs w:val="24"/>
        </w:rPr>
        <w:t>ast majority of people were un</w:t>
      </w:r>
      <w:r>
        <w:rPr>
          <w:rFonts w:asciiTheme="majorHAnsi" w:hAnsiTheme="majorHAnsi"/>
          <w:sz w:val="24"/>
          <w:szCs w:val="24"/>
        </w:rPr>
        <w:t xml:space="preserve">willing to </w:t>
      </w:r>
      <w:r w:rsidR="00557BB1">
        <w:rPr>
          <w:rFonts w:asciiTheme="majorHAnsi" w:hAnsiTheme="majorHAnsi"/>
          <w:sz w:val="24"/>
          <w:szCs w:val="24"/>
        </w:rPr>
        <w:t>accept it.  Reason could only serve as</w:t>
      </w:r>
      <w:r>
        <w:rPr>
          <w:rFonts w:asciiTheme="majorHAnsi" w:hAnsiTheme="majorHAnsi"/>
          <w:sz w:val="24"/>
          <w:szCs w:val="24"/>
        </w:rPr>
        <w:t xml:space="preserve"> a</w:t>
      </w:r>
      <w:r w:rsidR="00557BB1">
        <w:rPr>
          <w:rFonts w:asciiTheme="majorHAnsi" w:hAnsiTheme="majorHAnsi"/>
          <w:sz w:val="24"/>
          <w:szCs w:val="24"/>
        </w:rPr>
        <w:t>n effective</w:t>
      </w:r>
      <w:r>
        <w:rPr>
          <w:rFonts w:asciiTheme="majorHAnsi" w:hAnsiTheme="majorHAnsi"/>
          <w:sz w:val="24"/>
          <w:szCs w:val="24"/>
        </w:rPr>
        <w:t xml:space="preserve"> source of </w:t>
      </w:r>
      <w:r w:rsidR="00557BB1">
        <w:rPr>
          <w:rFonts w:asciiTheme="majorHAnsi" w:hAnsiTheme="majorHAnsi"/>
          <w:sz w:val="24"/>
          <w:szCs w:val="24"/>
        </w:rPr>
        <w:t xml:space="preserve">political </w:t>
      </w:r>
      <w:r>
        <w:rPr>
          <w:rFonts w:asciiTheme="majorHAnsi" w:hAnsiTheme="majorHAnsi"/>
          <w:sz w:val="24"/>
          <w:szCs w:val="24"/>
        </w:rPr>
        <w:t>credibility if it held the same or greater credibility as God.</w:t>
      </w:r>
    </w:p>
    <w:p w:rsidR="0060208A" w:rsidRDefault="0060208A" w:rsidP="006D1B67">
      <w:pPr>
        <w:ind w:firstLine="720"/>
        <w:rPr>
          <w:rFonts w:asciiTheme="majorHAnsi" w:hAnsiTheme="majorHAnsi"/>
          <w:sz w:val="24"/>
          <w:szCs w:val="24"/>
        </w:rPr>
      </w:pPr>
      <w:r>
        <w:rPr>
          <w:rFonts w:asciiTheme="majorHAnsi" w:hAnsiTheme="majorHAnsi"/>
          <w:sz w:val="24"/>
          <w:szCs w:val="24"/>
        </w:rPr>
        <w:t xml:space="preserve">The strand of political theory represented in this section did manage to move God further from the </w:t>
      </w:r>
      <w:r w:rsidR="00E13D53">
        <w:rPr>
          <w:rFonts w:asciiTheme="majorHAnsi" w:hAnsiTheme="majorHAnsi"/>
          <w:sz w:val="24"/>
          <w:szCs w:val="24"/>
        </w:rPr>
        <w:t xml:space="preserve">active </w:t>
      </w:r>
      <w:r>
        <w:rPr>
          <w:rFonts w:asciiTheme="majorHAnsi" w:hAnsiTheme="majorHAnsi"/>
          <w:sz w:val="24"/>
          <w:szCs w:val="24"/>
        </w:rPr>
        <w:t>center of many theories of political authority, but it was ultimately unsuccessful in shifting the source of governmental credibility and authority to Reason.  Reason lacked sufficient means of motivating the population to comply with the ruler’s commands.</w:t>
      </w:r>
      <w:r w:rsidR="007F56D9">
        <w:rPr>
          <w:rFonts w:asciiTheme="majorHAnsi" w:hAnsiTheme="majorHAnsi"/>
          <w:sz w:val="24"/>
          <w:szCs w:val="24"/>
        </w:rPr>
        <w:t xml:space="preserve">  In short, Reason was still perceived </w:t>
      </w:r>
      <w:r w:rsidR="009555DB">
        <w:rPr>
          <w:rFonts w:asciiTheme="majorHAnsi" w:hAnsiTheme="majorHAnsi"/>
          <w:sz w:val="24"/>
          <w:szCs w:val="24"/>
        </w:rPr>
        <w:t xml:space="preserve">by most </w:t>
      </w:r>
      <w:r w:rsidR="00E13D53">
        <w:rPr>
          <w:rFonts w:asciiTheme="majorHAnsi" w:hAnsiTheme="majorHAnsi"/>
          <w:sz w:val="24"/>
          <w:szCs w:val="24"/>
        </w:rPr>
        <w:t xml:space="preserve">people </w:t>
      </w:r>
      <w:r w:rsidR="007F56D9">
        <w:rPr>
          <w:rFonts w:asciiTheme="majorHAnsi" w:hAnsiTheme="majorHAnsi"/>
          <w:sz w:val="24"/>
          <w:szCs w:val="24"/>
        </w:rPr>
        <w:t>as passive</w:t>
      </w:r>
      <w:r w:rsidR="00E13D53">
        <w:rPr>
          <w:rFonts w:asciiTheme="majorHAnsi" w:hAnsiTheme="majorHAnsi"/>
          <w:sz w:val="24"/>
          <w:szCs w:val="24"/>
        </w:rPr>
        <w:t xml:space="preserve"> and thus unable to function as an effective source of transcendent credibility.  Reason</w:t>
      </w:r>
      <w:r w:rsidR="007F56D9">
        <w:rPr>
          <w:rFonts w:asciiTheme="majorHAnsi" w:hAnsiTheme="majorHAnsi"/>
          <w:sz w:val="24"/>
          <w:szCs w:val="24"/>
        </w:rPr>
        <w:t xml:space="preserve"> was a method of finding truth, but it was not seen</w:t>
      </w:r>
      <w:r w:rsidR="009555DB">
        <w:rPr>
          <w:rFonts w:asciiTheme="majorHAnsi" w:hAnsiTheme="majorHAnsi"/>
          <w:sz w:val="24"/>
          <w:szCs w:val="24"/>
        </w:rPr>
        <w:t xml:space="preserve"> as truth itself.  </w:t>
      </w:r>
      <w:r w:rsidR="003C15D8">
        <w:rPr>
          <w:rFonts w:asciiTheme="majorHAnsi" w:hAnsiTheme="majorHAnsi"/>
          <w:sz w:val="24"/>
          <w:szCs w:val="24"/>
        </w:rPr>
        <w:t>What was needed was an</w:t>
      </w:r>
      <w:r>
        <w:rPr>
          <w:rFonts w:asciiTheme="majorHAnsi" w:hAnsiTheme="majorHAnsi"/>
          <w:sz w:val="24"/>
          <w:szCs w:val="24"/>
        </w:rPr>
        <w:t xml:space="preserve"> inherently legitimate entity that all persons in society would believe to be credible in the absence of God.  This was provided in the concept of the active political community, the subject of the next strand of political theory.</w:t>
      </w:r>
    </w:p>
    <w:p w:rsidR="00DB0FD5" w:rsidRPr="00555D11" w:rsidRDefault="00DB0FD5" w:rsidP="006D1B67">
      <w:pPr>
        <w:rPr>
          <w:rFonts w:asciiTheme="majorHAnsi" w:hAnsiTheme="majorHAnsi"/>
          <w:sz w:val="24"/>
          <w:szCs w:val="24"/>
        </w:rPr>
      </w:pPr>
    </w:p>
    <w:p w:rsidR="00C17ECB" w:rsidRPr="004E68F7" w:rsidRDefault="003F1C19" w:rsidP="006D1B67">
      <w:pPr>
        <w:jc w:val="center"/>
        <w:rPr>
          <w:rFonts w:asciiTheme="majorHAnsi" w:hAnsiTheme="majorHAnsi"/>
          <w:b/>
          <w:sz w:val="24"/>
          <w:szCs w:val="24"/>
        </w:rPr>
      </w:pPr>
      <w:r>
        <w:rPr>
          <w:rFonts w:asciiTheme="majorHAnsi" w:hAnsiTheme="majorHAnsi"/>
          <w:b/>
          <w:sz w:val="24"/>
          <w:szCs w:val="24"/>
        </w:rPr>
        <w:t xml:space="preserve">The </w:t>
      </w:r>
      <w:r w:rsidR="005043B7" w:rsidRPr="004E68F7">
        <w:rPr>
          <w:rFonts w:asciiTheme="majorHAnsi" w:hAnsiTheme="majorHAnsi"/>
          <w:b/>
          <w:sz w:val="24"/>
          <w:szCs w:val="24"/>
        </w:rPr>
        <w:t>S</w:t>
      </w:r>
      <w:r w:rsidR="0071433B">
        <w:rPr>
          <w:rFonts w:asciiTheme="majorHAnsi" w:hAnsiTheme="majorHAnsi"/>
          <w:b/>
          <w:sz w:val="24"/>
          <w:szCs w:val="24"/>
        </w:rPr>
        <w:t>econd Strand</w:t>
      </w:r>
      <w:r w:rsidR="005043B7" w:rsidRPr="004E68F7">
        <w:rPr>
          <w:rFonts w:asciiTheme="majorHAnsi" w:hAnsiTheme="majorHAnsi"/>
          <w:b/>
          <w:sz w:val="24"/>
          <w:szCs w:val="24"/>
        </w:rPr>
        <w:t>:  The P</w:t>
      </w:r>
      <w:r w:rsidR="006E234B" w:rsidRPr="004E68F7">
        <w:rPr>
          <w:rFonts w:asciiTheme="majorHAnsi" w:hAnsiTheme="majorHAnsi"/>
          <w:b/>
          <w:sz w:val="24"/>
          <w:szCs w:val="24"/>
        </w:rPr>
        <w:t>eople Rise</w:t>
      </w:r>
    </w:p>
    <w:p w:rsidR="00D7265B" w:rsidRPr="00D7265B" w:rsidRDefault="005043B7" w:rsidP="006D1B67">
      <w:pPr>
        <w:ind w:firstLine="720"/>
        <w:rPr>
          <w:rFonts w:asciiTheme="majorHAnsi" w:hAnsiTheme="majorHAnsi"/>
          <w:sz w:val="24"/>
          <w:szCs w:val="24"/>
        </w:rPr>
      </w:pPr>
      <w:r>
        <w:rPr>
          <w:rFonts w:asciiTheme="majorHAnsi" w:hAnsiTheme="majorHAnsi"/>
          <w:sz w:val="24"/>
          <w:szCs w:val="24"/>
        </w:rPr>
        <w:t>The innovation</w:t>
      </w:r>
      <w:r w:rsidR="003C15D8">
        <w:rPr>
          <w:rFonts w:asciiTheme="majorHAnsi" w:hAnsiTheme="majorHAnsi"/>
          <w:sz w:val="24"/>
          <w:szCs w:val="24"/>
        </w:rPr>
        <w:t>s of the second strand were</w:t>
      </w:r>
      <w:r>
        <w:rPr>
          <w:rFonts w:asciiTheme="majorHAnsi" w:hAnsiTheme="majorHAnsi"/>
          <w:sz w:val="24"/>
          <w:szCs w:val="24"/>
        </w:rPr>
        <w:t xml:space="preserve"> to create </w:t>
      </w:r>
      <w:r w:rsidR="00D7265B">
        <w:rPr>
          <w:rFonts w:asciiTheme="majorHAnsi" w:hAnsiTheme="majorHAnsi"/>
          <w:sz w:val="24"/>
          <w:szCs w:val="24"/>
        </w:rPr>
        <w:t xml:space="preserve">greater </w:t>
      </w:r>
      <w:r>
        <w:rPr>
          <w:rFonts w:asciiTheme="majorHAnsi" w:hAnsiTheme="majorHAnsi"/>
          <w:sz w:val="24"/>
          <w:szCs w:val="24"/>
        </w:rPr>
        <w:t>distance between the po</w:t>
      </w:r>
      <w:r w:rsidR="00D7265B">
        <w:rPr>
          <w:rFonts w:asciiTheme="majorHAnsi" w:hAnsiTheme="majorHAnsi"/>
          <w:sz w:val="24"/>
          <w:szCs w:val="24"/>
        </w:rPr>
        <w:t>litical community and the ruler and empower the People to take a more active role in political authority.</w:t>
      </w:r>
      <w:r>
        <w:rPr>
          <w:rFonts w:asciiTheme="majorHAnsi" w:hAnsiTheme="majorHAnsi"/>
          <w:sz w:val="24"/>
          <w:szCs w:val="24"/>
        </w:rPr>
        <w:t xml:space="preserve">  </w:t>
      </w:r>
      <w:r w:rsidR="00D7265B">
        <w:rPr>
          <w:rFonts w:asciiTheme="majorHAnsi" w:hAnsiTheme="majorHAnsi"/>
          <w:sz w:val="24"/>
          <w:szCs w:val="24"/>
        </w:rPr>
        <w:t xml:space="preserve">The concept of the </w:t>
      </w:r>
      <w:r w:rsidR="003C15D8">
        <w:rPr>
          <w:rFonts w:asciiTheme="majorHAnsi" w:hAnsiTheme="majorHAnsi"/>
          <w:sz w:val="24"/>
          <w:szCs w:val="24"/>
        </w:rPr>
        <w:t>“</w:t>
      </w:r>
      <w:r w:rsidR="00D7265B" w:rsidRPr="003C15D8">
        <w:rPr>
          <w:rFonts w:asciiTheme="majorHAnsi" w:hAnsiTheme="majorHAnsi"/>
          <w:sz w:val="24"/>
          <w:szCs w:val="24"/>
        </w:rPr>
        <w:t>political community</w:t>
      </w:r>
      <w:r w:rsidR="003C15D8">
        <w:rPr>
          <w:rFonts w:asciiTheme="majorHAnsi" w:hAnsiTheme="majorHAnsi"/>
          <w:sz w:val="24"/>
          <w:szCs w:val="24"/>
        </w:rPr>
        <w:t>”</w:t>
      </w:r>
      <w:r w:rsidR="00D7265B">
        <w:rPr>
          <w:rFonts w:asciiTheme="majorHAnsi" w:hAnsiTheme="majorHAnsi"/>
          <w:sz w:val="24"/>
          <w:szCs w:val="24"/>
        </w:rPr>
        <w:t xml:space="preserve"> </w:t>
      </w:r>
      <w:r w:rsidR="003C15D8">
        <w:rPr>
          <w:rFonts w:asciiTheme="majorHAnsi" w:hAnsiTheme="majorHAnsi"/>
          <w:sz w:val="24"/>
          <w:szCs w:val="24"/>
        </w:rPr>
        <w:t xml:space="preserve">had </w:t>
      </w:r>
      <w:r w:rsidR="00660921">
        <w:rPr>
          <w:rFonts w:asciiTheme="majorHAnsi" w:hAnsiTheme="majorHAnsi"/>
          <w:sz w:val="24"/>
          <w:szCs w:val="24"/>
        </w:rPr>
        <w:t>slowly developed in European history.</w:t>
      </w:r>
      <w:r w:rsidR="0058681D">
        <w:rPr>
          <w:rStyle w:val="FootnoteReference"/>
          <w:rFonts w:asciiTheme="majorHAnsi" w:hAnsiTheme="majorHAnsi"/>
          <w:sz w:val="24"/>
          <w:szCs w:val="24"/>
        </w:rPr>
        <w:footnoteReference w:id="17"/>
      </w:r>
      <w:r w:rsidR="00660921">
        <w:rPr>
          <w:rFonts w:asciiTheme="majorHAnsi" w:hAnsiTheme="majorHAnsi"/>
          <w:sz w:val="24"/>
          <w:szCs w:val="24"/>
        </w:rPr>
        <w:t xml:space="preserve">  While the idea that authority flowed from God to ruler through the consent of the community did exist among a few medieval authors, the predominant theoretical position was that God</w:t>
      </w:r>
      <w:r w:rsidR="003C15D8">
        <w:rPr>
          <w:rFonts w:asciiTheme="majorHAnsi" w:hAnsiTheme="majorHAnsi"/>
          <w:sz w:val="24"/>
          <w:szCs w:val="24"/>
        </w:rPr>
        <w:t xml:space="preserve">, via </w:t>
      </w:r>
      <w:r w:rsidR="003C15D8">
        <w:rPr>
          <w:rFonts w:asciiTheme="majorHAnsi" w:hAnsiTheme="majorHAnsi"/>
          <w:i/>
          <w:sz w:val="24"/>
          <w:szCs w:val="24"/>
        </w:rPr>
        <w:t>His</w:t>
      </w:r>
      <w:r w:rsidR="003C15D8">
        <w:rPr>
          <w:rFonts w:asciiTheme="majorHAnsi" w:hAnsiTheme="majorHAnsi"/>
          <w:sz w:val="24"/>
          <w:szCs w:val="24"/>
        </w:rPr>
        <w:t xml:space="preserve"> Church,</w:t>
      </w:r>
      <w:r w:rsidR="00660921">
        <w:rPr>
          <w:rFonts w:asciiTheme="majorHAnsi" w:hAnsiTheme="majorHAnsi"/>
          <w:sz w:val="24"/>
          <w:szCs w:val="24"/>
        </w:rPr>
        <w:t xml:space="preserve"> directly bestowed His credibility and authority on the ruler</w:t>
      </w:r>
      <w:r w:rsidR="009558FA">
        <w:rPr>
          <w:rFonts w:asciiTheme="majorHAnsi" w:hAnsiTheme="majorHAnsi"/>
          <w:sz w:val="24"/>
          <w:szCs w:val="24"/>
        </w:rPr>
        <w:t>.  Medieval coronation rituals we</w:t>
      </w:r>
      <w:r w:rsidR="00660921">
        <w:rPr>
          <w:rFonts w:asciiTheme="majorHAnsi" w:hAnsiTheme="majorHAnsi"/>
          <w:sz w:val="24"/>
          <w:szCs w:val="24"/>
        </w:rPr>
        <w:t>re indicative of this stance.  God commanded the ruler to serve the “common good” and protect his</w:t>
      </w:r>
      <w:r w:rsidR="00F73CB7">
        <w:rPr>
          <w:rFonts w:asciiTheme="majorHAnsi" w:hAnsiTheme="majorHAnsi"/>
          <w:sz w:val="24"/>
          <w:szCs w:val="24"/>
        </w:rPr>
        <w:t xml:space="preserve"> or her</w:t>
      </w:r>
      <w:r w:rsidR="00660921">
        <w:rPr>
          <w:rFonts w:asciiTheme="majorHAnsi" w:hAnsiTheme="majorHAnsi"/>
          <w:sz w:val="24"/>
          <w:szCs w:val="24"/>
        </w:rPr>
        <w:t xml:space="preserve"> people, but evaluating </w:t>
      </w:r>
      <w:r w:rsidR="00F73CB7">
        <w:rPr>
          <w:rFonts w:asciiTheme="majorHAnsi" w:hAnsiTheme="majorHAnsi"/>
          <w:sz w:val="24"/>
          <w:szCs w:val="24"/>
        </w:rPr>
        <w:t>the royal</w:t>
      </w:r>
      <w:r w:rsidR="00660921">
        <w:rPr>
          <w:rFonts w:asciiTheme="majorHAnsi" w:hAnsiTheme="majorHAnsi"/>
          <w:sz w:val="24"/>
          <w:szCs w:val="24"/>
        </w:rPr>
        <w:t xml:space="preserve"> job performance was a matter exclusively between God and the </w:t>
      </w:r>
      <w:r w:rsidR="00F73CB7">
        <w:rPr>
          <w:rFonts w:asciiTheme="majorHAnsi" w:hAnsiTheme="majorHAnsi"/>
          <w:sz w:val="24"/>
          <w:szCs w:val="24"/>
        </w:rPr>
        <w:t>ruler</w:t>
      </w:r>
      <w:r w:rsidR="009558FA">
        <w:rPr>
          <w:rFonts w:asciiTheme="majorHAnsi" w:hAnsiTheme="majorHAnsi"/>
          <w:sz w:val="24"/>
          <w:szCs w:val="24"/>
        </w:rPr>
        <w:t>.  The people were not</w:t>
      </w:r>
      <w:r w:rsidR="00660921">
        <w:rPr>
          <w:rFonts w:asciiTheme="majorHAnsi" w:hAnsiTheme="majorHAnsi"/>
          <w:sz w:val="24"/>
          <w:szCs w:val="24"/>
        </w:rPr>
        <w:t xml:space="preserve"> asked for feedback.</w:t>
      </w:r>
    </w:p>
    <w:p w:rsidR="00371B82" w:rsidRDefault="00660921" w:rsidP="00C51C34">
      <w:pPr>
        <w:ind w:firstLine="720"/>
        <w:rPr>
          <w:rFonts w:asciiTheme="majorHAnsi" w:hAnsiTheme="majorHAnsi"/>
          <w:sz w:val="24"/>
          <w:szCs w:val="24"/>
        </w:rPr>
      </w:pPr>
      <w:r>
        <w:rPr>
          <w:rFonts w:asciiTheme="majorHAnsi" w:hAnsiTheme="majorHAnsi"/>
          <w:sz w:val="24"/>
          <w:szCs w:val="24"/>
        </w:rPr>
        <w:t>I</w:t>
      </w:r>
      <w:r w:rsidR="00D10D96">
        <w:rPr>
          <w:rFonts w:asciiTheme="majorHAnsi" w:hAnsiTheme="majorHAnsi"/>
          <w:sz w:val="24"/>
          <w:szCs w:val="24"/>
        </w:rPr>
        <w:t>n the late sixteenth</w:t>
      </w:r>
      <w:r w:rsidR="00D7265B">
        <w:rPr>
          <w:rFonts w:asciiTheme="majorHAnsi" w:hAnsiTheme="majorHAnsi"/>
          <w:sz w:val="24"/>
          <w:szCs w:val="24"/>
        </w:rPr>
        <w:t xml:space="preserve"> and early seventeenth centuries</w:t>
      </w:r>
      <w:r w:rsidR="00D10D96">
        <w:rPr>
          <w:rFonts w:asciiTheme="majorHAnsi" w:hAnsiTheme="majorHAnsi"/>
          <w:sz w:val="24"/>
          <w:szCs w:val="24"/>
        </w:rPr>
        <w:t>, several authors ma</w:t>
      </w:r>
      <w:r w:rsidR="0071358B">
        <w:rPr>
          <w:rFonts w:asciiTheme="majorHAnsi" w:hAnsiTheme="majorHAnsi"/>
          <w:sz w:val="24"/>
          <w:szCs w:val="24"/>
        </w:rPr>
        <w:t>de the concept and role of the political community</w:t>
      </w:r>
      <w:r w:rsidR="00D10D96">
        <w:rPr>
          <w:rFonts w:asciiTheme="majorHAnsi" w:hAnsiTheme="majorHAnsi"/>
          <w:sz w:val="24"/>
          <w:szCs w:val="24"/>
        </w:rPr>
        <w:t xml:space="preserve"> more explicit.</w:t>
      </w:r>
      <w:r w:rsidR="009555DB">
        <w:rPr>
          <w:rFonts w:asciiTheme="majorHAnsi" w:hAnsiTheme="majorHAnsi"/>
          <w:sz w:val="24"/>
          <w:szCs w:val="24"/>
        </w:rPr>
        <w:t xml:space="preserve">  These </w:t>
      </w:r>
      <w:r w:rsidR="009555DB">
        <w:rPr>
          <w:rFonts w:asciiTheme="majorHAnsi" w:hAnsiTheme="majorHAnsi"/>
          <w:i/>
          <w:sz w:val="24"/>
          <w:szCs w:val="24"/>
        </w:rPr>
        <w:t xml:space="preserve">raison </w:t>
      </w:r>
      <w:proofErr w:type="spellStart"/>
      <w:r w:rsidR="009555DB">
        <w:rPr>
          <w:rFonts w:asciiTheme="majorHAnsi" w:hAnsiTheme="majorHAnsi"/>
          <w:i/>
          <w:sz w:val="24"/>
          <w:szCs w:val="24"/>
        </w:rPr>
        <w:t>d’Etat</w:t>
      </w:r>
      <w:proofErr w:type="spellEnd"/>
      <w:r w:rsidR="009555DB">
        <w:rPr>
          <w:rFonts w:asciiTheme="majorHAnsi" w:hAnsiTheme="majorHAnsi"/>
          <w:sz w:val="24"/>
          <w:szCs w:val="24"/>
        </w:rPr>
        <w:t xml:space="preserve"> theorists</w:t>
      </w:r>
      <w:r w:rsidR="00D10D96">
        <w:rPr>
          <w:rFonts w:asciiTheme="majorHAnsi" w:hAnsiTheme="majorHAnsi"/>
          <w:sz w:val="24"/>
          <w:szCs w:val="24"/>
        </w:rPr>
        <w:t xml:space="preserve"> argued that God’s credibility and authority passed to the ruler </w:t>
      </w:r>
      <w:r w:rsidR="00D10D96">
        <w:rPr>
          <w:rFonts w:asciiTheme="majorHAnsi" w:hAnsiTheme="majorHAnsi"/>
          <w:i/>
          <w:sz w:val="24"/>
          <w:szCs w:val="24"/>
        </w:rPr>
        <w:t>through</w:t>
      </w:r>
      <w:r w:rsidR="00D10D96">
        <w:rPr>
          <w:rFonts w:asciiTheme="majorHAnsi" w:hAnsiTheme="majorHAnsi"/>
          <w:sz w:val="24"/>
          <w:szCs w:val="24"/>
        </w:rPr>
        <w:t xml:space="preserve"> the political </w:t>
      </w:r>
      <w:r w:rsidR="00D10D96">
        <w:rPr>
          <w:rFonts w:asciiTheme="majorHAnsi" w:hAnsiTheme="majorHAnsi"/>
          <w:sz w:val="24"/>
          <w:szCs w:val="24"/>
        </w:rPr>
        <w:lastRenderedPageBreak/>
        <w:t>community, rather than directly.</w:t>
      </w:r>
      <w:r w:rsidR="00861905">
        <w:rPr>
          <w:rFonts w:asciiTheme="majorHAnsi" w:hAnsiTheme="majorHAnsi"/>
          <w:sz w:val="24"/>
          <w:szCs w:val="24"/>
        </w:rPr>
        <w:t xml:space="preserve">  Emphasizing the intermediary role of the political community gave new legi</w:t>
      </w:r>
      <w:r w:rsidR="009558FA">
        <w:rPr>
          <w:rFonts w:asciiTheme="majorHAnsi" w:hAnsiTheme="majorHAnsi"/>
          <w:sz w:val="24"/>
          <w:szCs w:val="24"/>
        </w:rPr>
        <w:t xml:space="preserve">timacy to the community itself:  God’s use of it </w:t>
      </w:r>
      <w:r w:rsidR="00861905">
        <w:rPr>
          <w:rFonts w:asciiTheme="majorHAnsi" w:hAnsiTheme="majorHAnsi"/>
          <w:sz w:val="24"/>
          <w:szCs w:val="24"/>
        </w:rPr>
        <w:t xml:space="preserve">made it sacred, a thing that was </w:t>
      </w:r>
      <w:r w:rsidR="009558FA">
        <w:rPr>
          <w:rFonts w:asciiTheme="majorHAnsi" w:hAnsiTheme="majorHAnsi"/>
          <w:sz w:val="24"/>
          <w:szCs w:val="24"/>
        </w:rPr>
        <w:t xml:space="preserve">considered </w:t>
      </w:r>
      <w:r w:rsidR="00861905">
        <w:rPr>
          <w:rFonts w:asciiTheme="majorHAnsi" w:hAnsiTheme="majorHAnsi"/>
          <w:sz w:val="24"/>
          <w:szCs w:val="24"/>
        </w:rPr>
        <w:t>blessed or even chosen.</w:t>
      </w:r>
      <w:r w:rsidR="00CC2941">
        <w:rPr>
          <w:rStyle w:val="FootnoteReference"/>
          <w:rFonts w:asciiTheme="majorHAnsi" w:hAnsiTheme="majorHAnsi"/>
          <w:sz w:val="24"/>
          <w:szCs w:val="24"/>
        </w:rPr>
        <w:footnoteReference w:id="18"/>
      </w:r>
      <w:r w:rsidR="00FA7DE6">
        <w:rPr>
          <w:rFonts w:asciiTheme="majorHAnsi" w:hAnsiTheme="majorHAnsi"/>
          <w:sz w:val="24"/>
          <w:szCs w:val="24"/>
        </w:rPr>
        <w:t xml:space="preserve">  The</w:t>
      </w:r>
      <w:r w:rsidR="00861905">
        <w:rPr>
          <w:rFonts w:asciiTheme="majorHAnsi" w:hAnsiTheme="majorHAnsi"/>
          <w:sz w:val="24"/>
          <w:szCs w:val="24"/>
        </w:rPr>
        <w:t xml:space="preserve"> community</w:t>
      </w:r>
      <w:r w:rsidR="00FA7DE6">
        <w:rPr>
          <w:rFonts w:asciiTheme="majorHAnsi" w:hAnsiTheme="majorHAnsi"/>
          <w:sz w:val="24"/>
          <w:szCs w:val="24"/>
        </w:rPr>
        <w:t>’s members</w:t>
      </w:r>
      <w:r w:rsidR="00861905">
        <w:rPr>
          <w:rFonts w:asciiTheme="majorHAnsi" w:hAnsiTheme="majorHAnsi"/>
          <w:sz w:val="24"/>
          <w:szCs w:val="24"/>
        </w:rPr>
        <w:t xml:space="preserve">, in turn, </w:t>
      </w:r>
      <w:r w:rsidR="009558FA">
        <w:rPr>
          <w:rFonts w:asciiTheme="majorHAnsi" w:hAnsiTheme="majorHAnsi"/>
          <w:sz w:val="24"/>
          <w:szCs w:val="24"/>
        </w:rPr>
        <w:t xml:space="preserve">came </w:t>
      </w:r>
      <w:r w:rsidR="00FA7DE6">
        <w:rPr>
          <w:rFonts w:asciiTheme="majorHAnsi" w:hAnsiTheme="majorHAnsi"/>
          <w:sz w:val="24"/>
          <w:szCs w:val="24"/>
        </w:rPr>
        <w:t>to see</w:t>
      </w:r>
      <w:r w:rsidR="009558FA">
        <w:rPr>
          <w:rFonts w:asciiTheme="majorHAnsi" w:hAnsiTheme="majorHAnsi"/>
          <w:sz w:val="24"/>
          <w:szCs w:val="24"/>
        </w:rPr>
        <w:t xml:space="preserve"> </w:t>
      </w:r>
      <w:r w:rsidR="00FA7DE6">
        <w:rPr>
          <w:rFonts w:asciiTheme="majorHAnsi" w:hAnsiTheme="majorHAnsi"/>
          <w:sz w:val="24"/>
          <w:szCs w:val="24"/>
        </w:rPr>
        <w:t>it as an entity that they</w:t>
      </w:r>
      <w:r w:rsidR="009558FA">
        <w:rPr>
          <w:rFonts w:asciiTheme="majorHAnsi" w:hAnsiTheme="majorHAnsi"/>
          <w:sz w:val="24"/>
          <w:szCs w:val="24"/>
        </w:rPr>
        <w:t xml:space="preserve"> must protect</w:t>
      </w:r>
      <w:r w:rsidR="00CC2941">
        <w:rPr>
          <w:rFonts w:asciiTheme="majorHAnsi" w:hAnsiTheme="majorHAnsi"/>
          <w:sz w:val="24"/>
          <w:szCs w:val="24"/>
        </w:rPr>
        <w:t xml:space="preserve"> because it was H</w:t>
      </w:r>
      <w:r w:rsidR="00861905">
        <w:rPr>
          <w:rFonts w:asciiTheme="majorHAnsi" w:hAnsiTheme="majorHAnsi"/>
          <w:sz w:val="24"/>
          <w:szCs w:val="24"/>
        </w:rPr>
        <w:t xml:space="preserve">oly.  In the middle ages, this sacredness fell predominantly on the ruler, but now it </w:t>
      </w:r>
      <w:r w:rsidR="009558FA">
        <w:rPr>
          <w:rFonts w:asciiTheme="majorHAnsi" w:hAnsiTheme="majorHAnsi"/>
          <w:sz w:val="24"/>
          <w:szCs w:val="24"/>
        </w:rPr>
        <w:t>was increasingly seen to rest</w:t>
      </w:r>
      <w:r w:rsidR="00861905">
        <w:rPr>
          <w:rFonts w:asciiTheme="majorHAnsi" w:hAnsiTheme="majorHAnsi"/>
          <w:sz w:val="24"/>
          <w:szCs w:val="24"/>
        </w:rPr>
        <w:t xml:space="preserve"> on the People</w:t>
      </w:r>
      <w:r w:rsidR="00C61156">
        <w:rPr>
          <w:rFonts w:asciiTheme="majorHAnsi" w:hAnsiTheme="majorHAnsi"/>
          <w:sz w:val="24"/>
          <w:szCs w:val="24"/>
        </w:rPr>
        <w:t xml:space="preserve"> as well</w:t>
      </w:r>
      <w:r w:rsidR="00861905">
        <w:rPr>
          <w:rFonts w:asciiTheme="majorHAnsi" w:hAnsiTheme="majorHAnsi"/>
          <w:sz w:val="24"/>
          <w:szCs w:val="24"/>
        </w:rPr>
        <w:t>.</w:t>
      </w:r>
      <w:r w:rsidR="00C51C34">
        <w:rPr>
          <w:rFonts w:asciiTheme="majorHAnsi" w:hAnsiTheme="majorHAnsi"/>
          <w:sz w:val="24"/>
          <w:szCs w:val="24"/>
        </w:rPr>
        <w:t xml:space="preserve">  </w:t>
      </w:r>
      <w:r w:rsidR="009558FA">
        <w:rPr>
          <w:rFonts w:asciiTheme="majorHAnsi" w:hAnsiTheme="majorHAnsi"/>
          <w:sz w:val="24"/>
          <w:szCs w:val="24"/>
        </w:rPr>
        <w:t>W</w:t>
      </w:r>
      <w:r w:rsidR="00371B82">
        <w:rPr>
          <w:rFonts w:asciiTheme="majorHAnsi" w:hAnsiTheme="majorHAnsi"/>
          <w:sz w:val="24"/>
          <w:szCs w:val="24"/>
        </w:rPr>
        <w:t xml:space="preserve">hile the </w:t>
      </w:r>
      <w:r w:rsidR="009555DB">
        <w:rPr>
          <w:rFonts w:asciiTheme="majorHAnsi" w:hAnsiTheme="majorHAnsi"/>
          <w:i/>
          <w:sz w:val="24"/>
          <w:szCs w:val="24"/>
        </w:rPr>
        <w:t xml:space="preserve">raison </w:t>
      </w:r>
      <w:proofErr w:type="spellStart"/>
      <w:r w:rsidR="009555DB">
        <w:rPr>
          <w:rFonts w:asciiTheme="majorHAnsi" w:hAnsiTheme="majorHAnsi"/>
          <w:i/>
          <w:sz w:val="24"/>
          <w:szCs w:val="24"/>
        </w:rPr>
        <w:t>d’E</w:t>
      </w:r>
      <w:r w:rsidR="009558FA">
        <w:rPr>
          <w:rFonts w:asciiTheme="majorHAnsi" w:hAnsiTheme="majorHAnsi"/>
          <w:i/>
          <w:sz w:val="24"/>
          <w:szCs w:val="24"/>
        </w:rPr>
        <w:t>tat</w:t>
      </w:r>
      <w:proofErr w:type="spellEnd"/>
      <w:r w:rsidR="00FA1EAC">
        <w:rPr>
          <w:rFonts w:asciiTheme="majorHAnsi" w:hAnsiTheme="majorHAnsi"/>
          <w:sz w:val="24"/>
          <w:szCs w:val="24"/>
        </w:rPr>
        <w:t xml:space="preserve"> theorists </w:t>
      </w:r>
      <w:r w:rsidR="00371B82">
        <w:rPr>
          <w:rFonts w:asciiTheme="majorHAnsi" w:hAnsiTheme="majorHAnsi"/>
          <w:sz w:val="24"/>
          <w:szCs w:val="24"/>
        </w:rPr>
        <w:t xml:space="preserve">gave new significance to the political community, they </w:t>
      </w:r>
      <w:r w:rsidR="00247C53">
        <w:rPr>
          <w:rFonts w:asciiTheme="majorHAnsi" w:hAnsiTheme="majorHAnsi"/>
          <w:sz w:val="24"/>
          <w:szCs w:val="24"/>
        </w:rPr>
        <w:t>continued to affirm</w:t>
      </w:r>
      <w:r w:rsidR="00371B82">
        <w:rPr>
          <w:rFonts w:asciiTheme="majorHAnsi" w:hAnsiTheme="majorHAnsi"/>
          <w:sz w:val="24"/>
          <w:szCs w:val="24"/>
        </w:rPr>
        <w:t xml:space="preserve"> the ruler to be the embodi</w:t>
      </w:r>
      <w:r w:rsidR="009555DB">
        <w:rPr>
          <w:rFonts w:asciiTheme="majorHAnsi" w:hAnsiTheme="majorHAnsi"/>
          <w:sz w:val="24"/>
          <w:szCs w:val="24"/>
        </w:rPr>
        <w:t>ment of the political community, synonymous with it.</w:t>
      </w:r>
      <w:r w:rsidR="004C1CBC">
        <w:rPr>
          <w:rFonts w:asciiTheme="majorHAnsi" w:hAnsiTheme="majorHAnsi"/>
          <w:sz w:val="24"/>
          <w:szCs w:val="24"/>
        </w:rPr>
        <w:t xml:space="preserve">  </w:t>
      </w:r>
    </w:p>
    <w:p w:rsidR="005043B7" w:rsidRPr="00DD5056" w:rsidRDefault="00AE7351" w:rsidP="00C51C34">
      <w:pPr>
        <w:ind w:firstLine="720"/>
        <w:rPr>
          <w:rFonts w:asciiTheme="majorHAnsi" w:hAnsiTheme="majorHAnsi"/>
          <w:sz w:val="24"/>
          <w:szCs w:val="24"/>
        </w:rPr>
      </w:pPr>
      <w:r>
        <w:rPr>
          <w:rFonts w:asciiTheme="majorHAnsi" w:hAnsiTheme="majorHAnsi"/>
          <w:sz w:val="24"/>
          <w:szCs w:val="24"/>
        </w:rPr>
        <w:t>The theorists in the</w:t>
      </w:r>
      <w:r w:rsidR="00FA1EAC">
        <w:rPr>
          <w:rFonts w:asciiTheme="majorHAnsi" w:hAnsiTheme="majorHAnsi"/>
          <w:sz w:val="24"/>
          <w:szCs w:val="24"/>
        </w:rPr>
        <w:t xml:space="preserve"> second strand </w:t>
      </w:r>
      <w:r>
        <w:rPr>
          <w:rFonts w:asciiTheme="majorHAnsi" w:hAnsiTheme="majorHAnsi"/>
          <w:sz w:val="24"/>
          <w:szCs w:val="24"/>
        </w:rPr>
        <w:t xml:space="preserve">of political theory </w:t>
      </w:r>
      <w:r w:rsidR="00247C53">
        <w:rPr>
          <w:rFonts w:asciiTheme="majorHAnsi" w:hAnsiTheme="majorHAnsi"/>
          <w:sz w:val="24"/>
          <w:szCs w:val="24"/>
        </w:rPr>
        <w:t>innovated upon</w:t>
      </w:r>
      <w:r>
        <w:rPr>
          <w:rFonts w:asciiTheme="majorHAnsi" w:hAnsiTheme="majorHAnsi"/>
          <w:sz w:val="24"/>
          <w:szCs w:val="24"/>
        </w:rPr>
        <w:t xml:space="preserve"> the</w:t>
      </w:r>
      <w:r w:rsidR="009555DB">
        <w:rPr>
          <w:rFonts w:asciiTheme="majorHAnsi" w:hAnsiTheme="majorHAnsi"/>
          <w:sz w:val="24"/>
          <w:szCs w:val="24"/>
        </w:rPr>
        <w:t xml:space="preserve"> </w:t>
      </w:r>
      <w:r w:rsidR="009555DB">
        <w:rPr>
          <w:rFonts w:asciiTheme="majorHAnsi" w:hAnsiTheme="majorHAnsi"/>
          <w:i/>
          <w:sz w:val="24"/>
          <w:szCs w:val="24"/>
        </w:rPr>
        <w:t xml:space="preserve">raison </w:t>
      </w:r>
      <w:proofErr w:type="spellStart"/>
      <w:r w:rsidR="009555DB">
        <w:rPr>
          <w:rFonts w:asciiTheme="majorHAnsi" w:hAnsiTheme="majorHAnsi"/>
          <w:i/>
          <w:sz w:val="24"/>
          <w:szCs w:val="24"/>
        </w:rPr>
        <w:t>d’Etat</w:t>
      </w:r>
      <w:proofErr w:type="spellEnd"/>
      <w:r w:rsidR="00885C0B">
        <w:rPr>
          <w:rFonts w:asciiTheme="majorHAnsi" w:hAnsiTheme="majorHAnsi"/>
          <w:sz w:val="24"/>
          <w:szCs w:val="24"/>
        </w:rPr>
        <w:t xml:space="preserve"> concept of the political commun</w:t>
      </w:r>
      <w:r w:rsidR="00EE0AAF">
        <w:rPr>
          <w:rFonts w:asciiTheme="majorHAnsi" w:hAnsiTheme="majorHAnsi"/>
          <w:sz w:val="24"/>
          <w:szCs w:val="24"/>
        </w:rPr>
        <w:t xml:space="preserve">ity by </w:t>
      </w:r>
      <w:r w:rsidR="00203435">
        <w:rPr>
          <w:rFonts w:asciiTheme="majorHAnsi" w:hAnsiTheme="majorHAnsi"/>
          <w:sz w:val="24"/>
          <w:szCs w:val="24"/>
        </w:rPr>
        <w:t>first, separating the People from the ruler, and second, making the People</w:t>
      </w:r>
      <w:r w:rsidR="00885C0B">
        <w:rPr>
          <w:rFonts w:asciiTheme="majorHAnsi" w:hAnsiTheme="majorHAnsi"/>
          <w:sz w:val="24"/>
          <w:szCs w:val="24"/>
        </w:rPr>
        <w:t xml:space="preserve"> an </w:t>
      </w:r>
      <w:r w:rsidR="00885C0B" w:rsidRPr="00247C53">
        <w:rPr>
          <w:rFonts w:asciiTheme="majorHAnsi" w:hAnsiTheme="majorHAnsi"/>
          <w:i/>
          <w:sz w:val="24"/>
          <w:szCs w:val="24"/>
        </w:rPr>
        <w:t>active</w:t>
      </w:r>
      <w:r w:rsidR="00885C0B">
        <w:rPr>
          <w:rFonts w:asciiTheme="majorHAnsi" w:hAnsiTheme="majorHAnsi"/>
          <w:sz w:val="24"/>
          <w:szCs w:val="24"/>
        </w:rPr>
        <w:t xml:space="preserve"> participant in political credibility and authority.  For the medieval</w:t>
      </w:r>
      <w:r w:rsidR="00203435">
        <w:rPr>
          <w:rFonts w:asciiTheme="majorHAnsi" w:hAnsiTheme="majorHAnsi"/>
          <w:sz w:val="24"/>
          <w:szCs w:val="24"/>
        </w:rPr>
        <w:t xml:space="preserve"> and </w:t>
      </w:r>
      <w:r w:rsidR="00203435">
        <w:rPr>
          <w:rFonts w:asciiTheme="majorHAnsi" w:hAnsiTheme="majorHAnsi"/>
          <w:i/>
          <w:sz w:val="24"/>
          <w:szCs w:val="24"/>
        </w:rPr>
        <w:t xml:space="preserve">raison </w:t>
      </w:r>
      <w:proofErr w:type="spellStart"/>
      <w:r w:rsidR="00203435">
        <w:rPr>
          <w:rFonts w:asciiTheme="majorHAnsi" w:hAnsiTheme="majorHAnsi"/>
          <w:i/>
          <w:sz w:val="24"/>
          <w:szCs w:val="24"/>
        </w:rPr>
        <w:t>d’Etat</w:t>
      </w:r>
      <w:proofErr w:type="spellEnd"/>
      <w:r w:rsidR="00885C0B">
        <w:rPr>
          <w:rFonts w:asciiTheme="majorHAnsi" w:hAnsiTheme="majorHAnsi"/>
          <w:sz w:val="24"/>
          <w:szCs w:val="24"/>
        </w:rPr>
        <w:t xml:space="preserve"> theo</w:t>
      </w:r>
      <w:r w:rsidR="00203435">
        <w:rPr>
          <w:rFonts w:asciiTheme="majorHAnsi" w:hAnsiTheme="majorHAnsi"/>
          <w:sz w:val="24"/>
          <w:szCs w:val="24"/>
        </w:rPr>
        <w:t>rists</w:t>
      </w:r>
      <w:r w:rsidR="00885C0B">
        <w:rPr>
          <w:rFonts w:asciiTheme="majorHAnsi" w:hAnsiTheme="majorHAnsi"/>
          <w:sz w:val="24"/>
          <w:szCs w:val="24"/>
        </w:rPr>
        <w:t>, the ruler’s performance was a matter for God</w:t>
      </w:r>
      <w:r w:rsidR="00247C53">
        <w:rPr>
          <w:rFonts w:asciiTheme="majorHAnsi" w:hAnsiTheme="majorHAnsi"/>
          <w:sz w:val="24"/>
          <w:szCs w:val="24"/>
        </w:rPr>
        <w:t xml:space="preserve"> and the ruler.  For the second-</w:t>
      </w:r>
      <w:r w:rsidR="00885C0B">
        <w:rPr>
          <w:rFonts w:asciiTheme="majorHAnsi" w:hAnsiTheme="majorHAnsi"/>
          <w:sz w:val="24"/>
          <w:szCs w:val="24"/>
        </w:rPr>
        <w:t xml:space="preserve">strand writers, the ruler’s performance was judged by God and the People.  The ruler was no longer considered synonymous with the political community.  If anything, the ruler was </w:t>
      </w:r>
      <w:r w:rsidR="00C17ECB">
        <w:rPr>
          <w:rFonts w:asciiTheme="majorHAnsi" w:hAnsiTheme="majorHAnsi"/>
          <w:sz w:val="24"/>
          <w:szCs w:val="24"/>
        </w:rPr>
        <w:t>“</w:t>
      </w:r>
      <w:r w:rsidR="00885C0B">
        <w:rPr>
          <w:rFonts w:asciiTheme="majorHAnsi" w:hAnsiTheme="majorHAnsi"/>
          <w:sz w:val="24"/>
          <w:szCs w:val="24"/>
        </w:rPr>
        <w:t>hired</w:t>
      </w:r>
      <w:r w:rsidR="00C17ECB">
        <w:rPr>
          <w:rFonts w:asciiTheme="majorHAnsi" w:hAnsiTheme="majorHAnsi"/>
          <w:sz w:val="24"/>
          <w:szCs w:val="24"/>
        </w:rPr>
        <w:t>”</w:t>
      </w:r>
      <w:r w:rsidR="00885C0B">
        <w:rPr>
          <w:rFonts w:asciiTheme="majorHAnsi" w:hAnsiTheme="majorHAnsi"/>
          <w:sz w:val="24"/>
          <w:szCs w:val="24"/>
        </w:rPr>
        <w:t xml:space="preserve"> by the People to govern</w:t>
      </w:r>
      <w:r w:rsidR="00C17ECB">
        <w:rPr>
          <w:rFonts w:asciiTheme="majorHAnsi" w:hAnsiTheme="majorHAnsi"/>
          <w:sz w:val="24"/>
          <w:szCs w:val="24"/>
        </w:rPr>
        <w:t xml:space="preserve">.  As such, he </w:t>
      </w:r>
      <w:r>
        <w:rPr>
          <w:rFonts w:asciiTheme="majorHAnsi" w:hAnsiTheme="majorHAnsi"/>
          <w:sz w:val="24"/>
          <w:szCs w:val="24"/>
        </w:rPr>
        <w:t xml:space="preserve">or she </w:t>
      </w:r>
      <w:r w:rsidR="00C17ECB">
        <w:rPr>
          <w:rFonts w:asciiTheme="majorHAnsi" w:hAnsiTheme="majorHAnsi"/>
          <w:sz w:val="24"/>
          <w:szCs w:val="24"/>
        </w:rPr>
        <w:t>could be “fired” as well.</w:t>
      </w:r>
    </w:p>
    <w:p w:rsidR="005043B7" w:rsidRDefault="00EA69B2" w:rsidP="006D1B67">
      <w:pPr>
        <w:rPr>
          <w:rFonts w:asciiTheme="majorHAnsi" w:hAnsiTheme="majorHAnsi"/>
          <w:sz w:val="24"/>
          <w:szCs w:val="24"/>
        </w:rPr>
      </w:pPr>
      <w:r>
        <w:rPr>
          <w:rFonts w:asciiTheme="majorHAnsi" w:hAnsiTheme="majorHAnsi"/>
          <w:sz w:val="24"/>
          <w:szCs w:val="24"/>
        </w:rPr>
        <w:tab/>
      </w:r>
      <w:r w:rsidR="00C51C34">
        <w:rPr>
          <w:rFonts w:asciiTheme="majorHAnsi" w:hAnsiTheme="majorHAnsi"/>
          <w:sz w:val="24"/>
          <w:szCs w:val="24"/>
        </w:rPr>
        <w:t xml:space="preserve">While not the first, </w:t>
      </w:r>
      <w:r w:rsidR="00DD5056">
        <w:rPr>
          <w:rFonts w:asciiTheme="majorHAnsi" w:hAnsiTheme="majorHAnsi"/>
          <w:sz w:val="24"/>
          <w:szCs w:val="24"/>
        </w:rPr>
        <w:t xml:space="preserve">John Locke is the best known of the </w:t>
      </w:r>
      <w:r w:rsidR="0067203F">
        <w:rPr>
          <w:rFonts w:asciiTheme="majorHAnsi" w:hAnsiTheme="majorHAnsi"/>
          <w:sz w:val="24"/>
          <w:szCs w:val="24"/>
        </w:rPr>
        <w:t xml:space="preserve">Calvinist </w:t>
      </w:r>
      <w:r w:rsidR="00DD5056">
        <w:rPr>
          <w:rFonts w:asciiTheme="majorHAnsi" w:hAnsiTheme="majorHAnsi"/>
          <w:sz w:val="24"/>
          <w:szCs w:val="24"/>
        </w:rPr>
        <w:t xml:space="preserve">authors in the second strand because he presented the most </w:t>
      </w:r>
      <w:r w:rsidR="00C61156">
        <w:rPr>
          <w:rFonts w:asciiTheme="majorHAnsi" w:hAnsiTheme="majorHAnsi"/>
          <w:sz w:val="24"/>
          <w:szCs w:val="24"/>
        </w:rPr>
        <w:t>“</w:t>
      </w:r>
      <w:r w:rsidR="00DD5056">
        <w:rPr>
          <w:rFonts w:asciiTheme="majorHAnsi" w:hAnsiTheme="majorHAnsi"/>
          <w:sz w:val="24"/>
          <w:szCs w:val="24"/>
        </w:rPr>
        <w:t>coherent</w:t>
      </w:r>
      <w:r>
        <w:rPr>
          <w:rFonts w:asciiTheme="majorHAnsi" w:hAnsiTheme="majorHAnsi"/>
          <w:sz w:val="24"/>
          <w:szCs w:val="24"/>
        </w:rPr>
        <w:t>,</w:t>
      </w:r>
      <w:r w:rsidR="00C61156">
        <w:rPr>
          <w:rFonts w:asciiTheme="majorHAnsi" w:hAnsiTheme="majorHAnsi"/>
          <w:sz w:val="24"/>
          <w:szCs w:val="24"/>
        </w:rPr>
        <w:t>”</w:t>
      </w:r>
      <w:r>
        <w:rPr>
          <w:rFonts w:asciiTheme="majorHAnsi" w:hAnsiTheme="majorHAnsi"/>
          <w:sz w:val="24"/>
          <w:szCs w:val="24"/>
        </w:rPr>
        <w:t xml:space="preserve"> and thus most useful,</w:t>
      </w:r>
      <w:r w:rsidR="00DD5056">
        <w:rPr>
          <w:rFonts w:asciiTheme="majorHAnsi" w:hAnsiTheme="majorHAnsi"/>
          <w:sz w:val="24"/>
          <w:szCs w:val="24"/>
        </w:rPr>
        <w:t xml:space="preserve"> version of its precepts.</w:t>
      </w:r>
      <w:r>
        <w:rPr>
          <w:rStyle w:val="FootnoteReference"/>
          <w:rFonts w:asciiTheme="majorHAnsi" w:hAnsiTheme="majorHAnsi"/>
          <w:sz w:val="24"/>
          <w:szCs w:val="24"/>
        </w:rPr>
        <w:footnoteReference w:id="19"/>
      </w:r>
      <w:r w:rsidR="00312732">
        <w:rPr>
          <w:rFonts w:asciiTheme="majorHAnsi" w:hAnsiTheme="majorHAnsi"/>
          <w:sz w:val="24"/>
          <w:szCs w:val="24"/>
        </w:rPr>
        <w:t xml:space="preserve">  For Locke, the formation of government out of the state of nature was a two-step process.  In the first step, individuals consent to put themselves under obligation to each other, an act that transformed a disparate group into a united community, or a “People.”  In the second step</w:t>
      </w:r>
      <w:r w:rsidR="00DD4CDE">
        <w:rPr>
          <w:rFonts w:asciiTheme="majorHAnsi" w:hAnsiTheme="majorHAnsi"/>
          <w:sz w:val="24"/>
          <w:szCs w:val="24"/>
        </w:rPr>
        <w:t xml:space="preserve"> or “contract</w:t>
      </w:r>
      <w:r w:rsidR="00312732">
        <w:rPr>
          <w:rFonts w:asciiTheme="majorHAnsi" w:hAnsiTheme="majorHAnsi"/>
          <w:sz w:val="24"/>
          <w:szCs w:val="24"/>
        </w:rPr>
        <w:t>,</w:t>
      </w:r>
      <w:r w:rsidR="00DD4CDE">
        <w:rPr>
          <w:rFonts w:asciiTheme="majorHAnsi" w:hAnsiTheme="majorHAnsi"/>
          <w:sz w:val="24"/>
          <w:szCs w:val="24"/>
        </w:rPr>
        <w:t>”</w:t>
      </w:r>
      <w:r w:rsidR="00312732">
        <w:rPr>
          <w:rFonts w:asciiTheme="majorHAnsi" w:hAnsiTheme="majorHAnsi"/>
          <w:sz w:val="24"/>
          <w:szCs w:val="24"/>
        </w:rPr>
        <w:t xml:space="preserve"> this community creates</w:t>
      </w:r>
      <w:r w:rsidR="00DD4CDE">
        <w:rPr>
          <w:rFonts w:asciiTheme="majorHAnsi" w:hAnsiTheme="majorHAnsi"/>
          <w:sz w:val="24"/>
          <w:szCs w:val="24"/>
        </w:rPr>
        <w:t xml:space="preserve"> institutions of government and </w:t>
      </w:r>
      <w:r w:rsidR="00312732">
        <w:rPr>
          <w:rFonts w:asciiTheme="majorHAnsi" w:hAnsiTheme="majorHAnsi"/>
          <w:sz w:val="24"/>
          <w:szCs w:val="24"/>
        </w:rPr>
        <w:t>selects persons to fill these roles.</w:t>
      </w:r>
      <w:r w:rsidR="00DD4CDE">
        <w:rPr>
          <w:rStyle w:val="FootnoteReference"/>
          <w:rFonts w:asciiTheme="majorHAnsi" w:hAnsiTheme="majorHAnsi"/>
          <w:sz w:val="24"/>
          <w:szCs w:val="24"/>
        </w:rPr>
        <w:footnoteReference w:id="20"/>
      </w:r>
      <w:r w:rsidR="00EA6FB2">
        <w:rPr>
          <w:rFonts w:asciiTheme="majorHAnsi" w:hAnsiTheme="majorHAnsi"/>
          <w:sz w:val="24"/>
          <w:szCs w:val="24"/>
        </w:rPr>
        <w:t xml:space="preserve">  Th</w:t>
      </w:r>
      <w:r w:rsidR="000F2C04">
        <w:rPr>
          <w:rFonts w:asciiTheme="majorHAnsi" w:hAnsiTheme="majorHAnsi"/>
          <w:sz w:val="24"/>
          <w:szCs w:val="24"/>
        </w:rPr>
        <w:t>is meant that</w:t>
      </w:r>
      <w:r w:rsidR="00EA6FB2">
        <w:rPr>
          <w:rFonts w:asciiTheme="majorHAnsi" w:hAnsiTheme="majorHAnsi"/>
          <w:sz w:val="24"/>
          <w:szCs w:val="24"/>
        </w:rPr>
        <w:t xml:space="preserve"> the People precede</w:t>
      </w:r>
      <w:r w:rsidR="00D30E64">
        <w:rPr>
          <w:rFonts w:asciiTheme="majorHAnsi" w:hAnsiTheme="majorHAnsi"/>
          <w:sz w:val="24"/>
          <w:szCs w:val="24"/>
        </w:rPr>
        <w:t>d</w:t>
      </w:r>
      <w:r w:rsidR="00312732">
        <w:rPr>
          <w:rFonts w:asciiTheme="majorHAnsi" w:hAnsiTheme="majorHAnsi"/>
          <w:sz w:val="24"/>
          <w:szCs w:val="24"/>
        </w:rPr>
        <w:t xml:space="preserve"> the </w:t>
      </w:r>
      <w:r w:rsidR="00247C53">
        <w:rPr>
          <w:rFonts w:asciiTheme="majorHAnsi" w:hAnsiTheme="majorHAnsi"/>
          <w:sz w:val="24"/>
          <w:szCs w:val="24"/>
        </w:rPr>
        <w:t xml:space="preserve">existence of the </w:t>
      </w:r>
      <w:r w:rsidR="00312732">
        <w:rPr>
          <w:rFonts w:asciiTheme="majorHAnsi" w:hAnsiTheme="majorHAnsi"/>
          <w:sz w:val="24"/>
          <w:szCs w:val="24"/>
        </w:rPr>
        <w:t>ruler.</w:t>
      </w:r>
      <w:r w:rsidR="00EA6FB2">
        <w:rPr>
          <w:rFonts w:asciiTheme="majorHAnsi" w:hAnsiTheme="majorHAnsi"/>
          <w:sz w:val="24"/>
          <w:szCs w:val="24"/>
        </w:rPr>
        <w:t xml:space="preserve">  If the government was not fulfilling its responsibilities, it </w:t>
      </w:r>
      <w:r w:rsidR="006151AE">
        <w:rPr>
          <w:rFonts w:asciiTheme="majorHAnsi" w:hAnsiTheme="majorHAnsi"/>
          <w:sz w:val="24"/>
          <w:szCs w:val="24"/>
        </w:rPr>
        <w:lastRenderedPageBreak/>
        <w:t xml:space="preserve">effectively </w:t>
      </w:r>
      <w:r w:rsidR="00EA6FB2">
        <w:rPr>
          <w:rFonts w:asciiTheme="majorHAnsi" w:hAnsiTheme="majorHAnsi"/>
          <w:sz w:val="24"/>
          <w:szCs w:val="24"/>
        </w:rPr>
        <w:t>declared a state of war on the People.</w:t>
      </w:r>
      <w:r w:rsidR="003D7C89">
        <w:rPr>
          <w:rStyle w:val="FootnoteReference"/>
          <w:rFonts w:asciiTheme="majorHAnsi" w:hAnsiTheme="majorHAnsi"/>
          <w:sz w:val="24"/>
          <w:szCs w:val="24"/>
        </w:rPr>
        <w:footnoteReference w:id="21"/>
      </w:r>
      <w:r w:rsidR="00EA6FB2">
        <w:rPr>
          <w:rFonts w:asciiTheme="majorHAnsi" w:hAnsiTheme="majorHAnsi"/>
          <w:sz w:val="24"/>
          <w:szCs w:val="24"/>
        </w:rPr>
        <w:t xml:space="preserve">  In short, People don’t rebel, governments</w:t>
      </w:r>
      <w:r w:rsidR="000F2C04">
        <w:rPr>
          <w:rFonts w:asciiTheme="majorHAnsi" w:hAnsiTheme="majorHAnsi"/>
          <w:sz w:val="24"/>
          <w:szCs w:val="24"/>
        </w:rPr>
        <w:t xml:space="preserve"> </w:t>
      </w:r>
      <w:r w:rsidR="00EA6FB2">
        <w:rPr>
          <w:rFonts w:asciiTheme="majorHAnsi" w:hAnsiTheme="majorHAnsi"/>
          <w:sz w:val="24"/>
          <w:szCs w:val="24"/>
        </w:rPr>
        <w:t>do.</w:t>
      </w:r>
    </w:p>
    <w:p w:rsidR="00173DCE" w:rsidRDefault="006151AE" w:rsidP="006D1B67">
      <w:pPr>
        <w:rPr>
          <w:rFonts w:asciiTheme="majorHAnsi" w:hAnsiTheme="majorHAnsi"/>
          <w:sz w:val="24"/>
          <w:szCs w:val="24"/>
        </w:rPr>
      </w:pPr>
      <w:r>
        <w:rPr>
          <w:rFonts w:asciiTheme="majorHAnsi" w:hAnsiTheme="majorHAnsi"/>
          <w:sz w:val="24"/>
          <w:szCs w:val="24"/>
        </w:rPr>
        <w:tab/>
      </w:r>
      <w:r w:rsidR="00EA6FB2">
        <w:rPr>
          <w:rFonts w:asciiTheme="majorHAnsi" w:hAnsiTheme="majorHAnsi"/>
          <w:sz w:val="24"/>
          <w:szCs w:val="24"/>
        </w:rPr>
        <w:t>Unlike the authors in the first strand,</w:t>
      </w:r>
      <w:r>
        <w:rPr>
          <w:rFonts w:asciiTheme="majorHAnsi" w:hAnsiTheme="majorHAnsi"/>
          <w:sz w:val="24"/>
          <w:szCs w:val="24"/>
        </w:rPr>
        <w:t xml:space="preserve"> the</w:t>
      </w:r>
      <w:r w:rsidR="00EA6FB2">
        <w:rPr>
          <w:rFonts w:asciiTheme="majorHAnsi" w:hAnsiTheme="majorHAnsi"/>
          <w:sz w:val="24"/>
          <w:szCs w:val="24"/>
        </w:rPr>
        <w:t xml:space="preserve"> writers </w:t>
      </w:r>
      <w:r>
        <w:rPr>
          <w:rFonts w:asciiTheme="majorHAnsi" w:hAnsiTheme="majorHAnsi"/>
          <w:sz w:val="24"/>
          <w:szCs w:val="24"/>
        </w:rPr>
        <w:t xml:space="preserve">of the second strand </w:t>
      </w:r>
      <w:r w:rsidR="00EA6FB2">
        <w:rPr>
          <w:rFonts w:asciiTheme="majorHAnsi" w:hAnsiTheme="majorHAnsi"/>
          <w:sz w:val="24"/>
          <w:szCs w:val="24"/>
        </w:rPr>
        <w:t>retained an active God within the</w:t>
      </w:r>
      <w:r w:rsidR="00F73CB7">
        <w:rPr>
          <w:rFonts w:asciiTheme="majorHAnsi" w:hAnsiTheme="majorHAnsi"/>
          <w:sz w:val="24"/>
          <w:szCs w:val="24"/>
        </w:rPr>
        <w:t>ir</w:t>
      </w:r>
      <w:r w:rsidR="00EA6FB2">
        <w:rPr>
          <w:rFonts w:asciiTheme="majorHAnsi" w:hAnsiTheme="majorHAnsi"/>
          <w:sz w:val="24"/>
          <w:szCs w:val="24"/>
        </w:rPr>
        <w:t xml:space="preserve"> political authority equation.</w:t>
      </w:r>
      <w:r w:rsidR="00D25D3E">
        <w:rPr>
          <w:rFonts w:asciiTheme="majorHAnsi" w:hAnsiTheme="majorHAnsi"/>
          <w:sz w:val="24"/>
          <w:szCs w:val="24"/>
        </w:rPr>
        <w:t xml:space="preserve">  </w:t>
      </w:r>
      <w:r w:rsidR="00173DCE">
        <w:rPr>
          <w:rFonts w:asciiTheme="majorHAnsi" w:hAnsiTheme="majorHAnsi"/>
          <w:sz w:val="24"/>
          <w:szCs w:val="24"/>
        </w:rPr>
        <w:t>There are several reasons for this, the most obvious of which is that many of these Calvinist authors could not have conceived of a political theory in which God was not the vital center.  Such a theory would have been rejec</w:t>
      </w:r>
      <w:r w:rsidR="0067203F">
        <w:rPr>
          <w:rFonts w:asciiTheme="majorHAnsi" w:hAnsiTheme="majorHAnsi"/>
          <w:sz w:val="24"/>
          <w:szCs w:val="24"/>
        </w:rPr>
        <w:t>ted out of hand.  In addition</w:t>
      </w:r>
      <w:r w:rsidR="00173DCE">
        <w:rPr>
          <w:rFonts w:asciiTheme="majorHAnsi" w:hAnsiTheme="majorHAnsi"/>
          <w:sz w:val="24"/>
          <w:szCs w:val="24"/>
        </w:rPr>
        <w:t xml:space="preserve">, </w:t>
      </w:r>
      <w:r w:rsidR="009A612B">
        <w:rPr>
          <w:rFonts w:asciiTheme="majorHAnsi" w:hAnsiTheme="majorHAnsi"/>
          <w:sz w:val="24"/>
          <w:szCs w:val="24"/>
        </w:rPr>
        <w:t xml:space="preserve">if the People or its’ representatives were to evaluate the </w:t>
      </w:r>
      <w:proofErr w:type="gramStart"/>
      <w:r w:rsidR="009A612B">
        <w:rPr>
          <w:rFonts w:asciiTheme="majorHAnsi" w:hAnsiTheme="majorHAnsi"/>
          <w:sz w:val="24"/>
          <w:szCs w:val="24"/>
        </w:rPr>
        <w:t>government,</w:t>
      </w:r>
      <w:proofErr w:type="gramEnd"/>
      <w:r w:rsidR="009A612B">
        <w:rPr>
          <w:rFonts w:asciiTheme="majorHAnsi" w:hAnsiTheme="majorHAnsi"/>
          <w:sz w:val="24"/>
          <w:szCs w:val="24"/>
        </w:rPr>
        <w:t xml:space="preserve"> they needed a moral yardstick with which to make this judgment.  Thus, </w:t>
      </w:r>
      <w:r w:rsidR="00F73CB7">
        <w:rPr>
          <w:rFonts w:asciiTheme="majorHAnsi" w:hAnsiTheme="majorHAnsi"/>
          <w:sz w:val="24"/>
          <w:szCs w:val="24"/>
        </w:rPr>
        <w:t>the authors</w:t>
      </w:r>
      <w:r w:rsidR="008A6415">
        <w:rPr>
          <w:rFonts w:asciiTheme="majorHAnsi" w:hAnsiTheme="majorHAnsi"/>
          <w:sz w:val="24"/>
          <w:szCs w:val="24"/>
        </w:rPr>
        <w:t xml:space="preserve"> argued, </w:t>
      </w:r>
      <w:r w:rsidR="009A612B">
        <w:rPr>
          <w:rFonts w:asciiTheme="majorHAnsi" w:hAnsiTheme="majorHAnsi"/>
          <w:sz w:val="24"/>
          <w:szCs w:val="24"/>
        </w:rPr>
        <w:t xml:space="preserve">those who speak on behalf of the People in judging the ruler must be the most in tune with </w:t>
      </w:r>
      <w:r w:rsidR="005178DE">
        <w:rPr>
          <w:rFonts w:asciiTheme="majorHAnsi" w:hAnsiTheme="majorHAnsi"/>
          <w:sz w:val="24"/>
          <w:szCs w:val="24"/>
        </w:rPr>
        <w:t xml:space="preserve">the active </w:t>
      </w:r>
      <w:r w:rsidR="009A612B">
        <w:rPr>
          <w:rFonts w:asciiTheme="majorHAnsi" w:hAnsiTheme="majorHAnsi"/>
          <w:sz w:val="24"/>
          <w:szCs w:val="24"/>
        </w:rPr>
        <w:t>God</w:t>
      </w:r>
      <w:r w:rsidR="005178DE">
        <w:rPr>
          <w:rFonts w:asciiTheme="majorHAnsi" w:hAnsiTheme="majorHAnsi"/>
          <w:sz w:val="24"/>
          <w:szCs w:val="24"/>
        </w:rPr>
        <w:t xml:space="preserve"> who governs the world</w:t>
      </w:r>
      <w:r w:rsidR="009A612B">
        <w:rPr>
          <w:rFonts w:asciiTheme="majorHAnsi" w:hAnsiTheme="majorHAnsi"/>
          <w:sz w:val="24"/>
          <w:szCs w:val="24"/>
        </w:rPr>
        <w:t xml:space="preserve">.  </w:t>
      </w:r>
    </w:p>
    <w:p w:rsidR="00520680" w:rsidRDefault="00D51B0C" w:rsidP="006D1B67">
      <w:pPr>
        <w:rPr>
          <w:rFonts w:asciiTheme="majorHAnsi" w:hAnsiTheme="majorHAnsi"/>
          <w:sz w:val="24"/>
          <w:szCs w:val="24"/>
        </w:rPr>
      </w:pPr>
      <w:r>
        <w:rPr>
          <w:rFonts w:asciiTheme="majorHAnsi" w:hAnsiTheme="majorHAnsi"/>
          <w:sz w:val="24"/>
          <w:szCs w:val="24"/>
        </w:rPr>
        <w:tab/>
      </w:r>
      <w:r w:rsidR="00B7644E">
        <w:rPr>
          <w:rFonts w:asciiTheme="majorHAnsi" w:hAnsiTheme="majorHAnsi"/>
          <w:sz w:val="24"/>
          <w:szCs w:val="24"/>
        </w:rPr>
        <w:t>Some</w:t>
      </w:r>
      <w:r w:rsidR="00B76559">
        <w:rPr>
          <w:rFonts w:asciiTheme="majorHAnsi" w:hAnsiTheme="majorHAnsi"/>
          <w:sz w:val="24"/>
          <w:szCs w:val="24"/>
        </w:rPr>
        <w:t xml:space="preserve"> s</w:t>
      </w:r>
      <w:r>
        <w:rPr>
          <w:rFonts w:asciiTheme="majorHAnsi" w:hAnsiTheme="majorHAnsi"/>
          <w:sz w:val="24"/>
          <w:szCs w:val="24"/>
        </w:rPr>
        <w:t>cholars who examine Locke’s well-known positions on religious toleration often suggest he intended to radically secularize political theory.</w:t>
      </w:r>
      <w:r w:rsidR="00B76559">
        <w:rPr>
          <w:rStyle w:val="FootnoteReference"/>
          <w:rFonts w:asciiTheme="majorHAnsi" w:hAnsiTheme="majorHAnsi"/>
          <w:sz w:val="24"/>
          <w:szCs w:val="24"/>
        </w:rPr>
        <w:footnoteReference w:id="22"/>
      </w:r>
      <w:r>
        <w:rPr>
          <w:rFonts w:asciiTheme="majorHAnsi" w:hAnsiTheme="majorHAnsi"/>
          <w:sz w:val="24"/>
          <w:szCs w:val="24"/>
        </w:rPr>
        <w:t xml:space="preserve">  </w:t>
      </w:r>
      <w:r w:rsidR="005178DE">
        <w:rPr>
          <w:rFonts w:asciiTheme="majorHAnsi" w:hAnsiTheme="majorHAnsi"/>
          <w:sz w:val="24"/>
          <w:szCs w:val="24"/>
        </w:rPr>
        <w:t xml:space="preserve">While </w:t>
      </w:r>
      <w:r>
        <w:rPr>
          <w:rFonts w:asciiTheme="majorHAnsi" w:hAnsiTheme="majorHAnsi"/>
          <w:sz w:val="24"/>
          <w:szCs w:val="24"/>
        </w:rPr>
        <w:t>Locke did intend to remove the government from confessional and do</w:t>
      </w:r>
      <w:r w:rsidR="005178DE">
        <w:rPr>
          <w:rFonts w:asciiTheme="majorHAnsi" w:hAnsiTheme="majorHAnsi"/>
          <w:sz w:val="24"/>
          <w:szCs w:val="24"/>
        </w:rPr>
        <w:t xml:space="preserve">ctrinal disputes about God, </w:t>
      </w:r>
      <w:r>
        <w:rPr>
          <w:rFonts w:asciiTheme="majorHAnsi" w:hAnsiTheme="majorHAnsi"/>
          <w:sz w:val="24"/>
          <w:szCs w:val="24"/>
        </w:rPr>
        <w:t>God</w:t>
      </w:r>
      <w:r w:rsidR="005178DE">
        <w:rPr>
          <w:rFonts w:asciiTheme="majorHAnsi" w:hAnsiTheme="majorHAnsi"/>
          <w:sz w:val="24"/>
          <w:szCs w:val="24"/>
        </w:rPr>
        <w:t xml:space="preserve"> still</w:t>
      </w:r>
      <w:r>
        <w:rPr>
          <w:rFonts w:asciiTheme="majorHAnsi" w:hAnsiTheme="majorHAnsi"/>
          <w:sz w:val="24"/>
          <w:szCs w:val="24"/>
        </w:rPr>
        <w:t xml:space="preserve"> </w:t>
      </w:r>
      <w:r w:rsidR="00B7644E">
        <w:rPr>
          <w:rFonts w:asciiTheme="majorHAnsi" w:hAnsiTheme="majorHAnsi"/>
          <w:sz w:val="24"/>
          <w:szCs w:val="24"/>
        </w:rPr>
        <w:t>remained</w:t>
      </w:r>
      <w:r w:rsidR="00D54B4F">
        <w:rPr>
          <w:rFonts w:asciiTheme="majorHAnsi" w:hAnsiTheme="majorHAnsi"/>
          <w:sz w:val="24"/>
          <w:szCs w:val="24"/>
        </w:rPr>
        <w:t xml:space="preserve"> a necessary </w:t>
      </w:r>
      <w:r w:rsidR="00520680">
        <w:rPr>
          <w:rFonts w:asciiTheme="majorHAnsi" w:hAnsiTheme="majorHAnsi"/>
          <w:sz w:val="24"/>
          <w:szCs w:val="24"/>
        </w:rPr>
        <w:t xml:space="preserve">and active </w:t>
      </w:r>
      <w:r w:rsidR="00D54B4F">
        <w:rPr>
          <w:rFonts w:asciiTheme="majorHAnsi" w:hAnsiTheme="majorHAnsi"/>
          <w:sz w:val="24"/>
          <w:szCs w:val="24"/>
        </w:rPr>
        <w:t>part of his political theory.</w:t>
      </w:r>
      <w:r w:rsidR="003431F5">
        <w:rPr>
          <w:rStyle w:val="FootnoteReference"/>
          <w:rFonts w:asciiTheme="majorHAnsi" w:hAnsiTheme="majorHAnsi"/>
          <w:sz w:val="24"/>
          <w:szCs w:val="24"/>
        </w:rPr>
        <w:footnoteReference w:id="23"/>
      </w:r>
      <w:r w:rsidR="00520680">
        <w:rPr>
          <w:rFonts w:asciiTheme="majorHAnsi" w:hAnsiTheme="majorHAnsi"/>
          <w:sz w:val="24"/>
          <w:szCs w:val="24"/>
        </w:rPr>
        <w:t xml:space="preserve">  For example</w:t>
      </w:r>
      <w:r w:rsidR="00D54B4F">
        <w:rPr>
          <w:rFonts w:asciiTheme="majorHAnsi" w:hAnsiTheme="majorHAnsi"/>
          <w:sz w:val="24"/>
          <w:szCs w:val="24"/>
        </w:rPr>
        <w:t xml:space="preserve">, </w:t>
      </w:r>
      <w:r w:rsidR="005178DE">
        <w:rPr>
          <w:rFonts w:asciiTheme="majorHAnsi" w:hAnsiTheme="majorHAnsi"/>
          <w:sz w:val="24"/>
          <w:szCs w:val="24"/>
        </w:rPr>
        <w:t>Locke</w:t>
      </w:r>
      <w:r w:rsidR="00520680">
        <w:rPr>
          <w:rFonts w:asciiTheme="majorHAnsi" w:hAnsiTheme="majorHAnsi"/>
          <w:sz w:val="24"/>
          <w:szCs w:val="24"/>
        </w:rPr>
        <w:t xml:space="preserve"> argued that</w:t>
      </w:r>
      <w:r w:rsidR="00B7644E">
        <w:rPr>
          <w:rFonts w:asciiTheme="majorHAnsi" w:hAnsiTheme="majorHAnsi"/>
          <w:sz w:val="24"/>
          <w:szCs w:val="24"/>
        </w:rPr>
        <w:t xml:space="preserve"> </w:t>
      </w:r>
      <w:r w:rsidR="00D54B4F">
        <w:rPr>
          <w:rFonts w:asciiTheme="majorHAnsi" w:hAnsiTheme="majorHAnsi"/>
          <w:sz w:val="24"/>
          <w:szCs w:val="24"/>
        </w:rPr>
        <w:t>a state should not tolerate atheism because, when the atheist denied God, he undermined the bases for government.</w:t>
      </w:r>
      <w:r w:rsidR="00B7644E">
        <w:rPr>
          <w:rStyle w:val="FootnoteReference"/>
          <w:rFonts w:asciiTheme="majorHAnsi" w:hAnsiTheme="majorHAnsi"/>
          <w:sz w:val="24"/>
          <w:szCs w:val="24"/>
        </w:rPr>
        <w:footnoteReference w:id="24"/>
      </w:r>
      <w:r w:rsidR="00B7644E">
        <w:rPr>
          <w:rFonts w:asciiTheme="majorHAnsi" w:hAnsiTheme="majorHAnsi"/>
          <w:sz w:val="24"/>
          <w:szCs w:val="24"/>
        </w:rPr>
        <w:t xml:space="preserve">  </w:t>
      </w:r>
      <w:r>
        <w:rPr>
          <w:rFonts w:asciiTheme="majorHAnsi" w:hAnsiTheme="majorHAnsi"/>
          <w:sz w:val="24"/>
          <w:szCs w:val="24"/>
        </w:rPr>
        <w:t xml:space="preserve">Locke’s conception of </w:t>
      </w:r>
      <w:r w:rsidR="005A7272">
        <w:rPr>
          <w:rFonts w:asciiTheme="majorHAnsi" w:hAnsiTheme="majorHAnsi"/>
          <w:sz w:val="24"/>
          <w:szCs w:val="24"/>
        </w:rPr>
        <w:t xml:space="preserve">the </w:t>
      </w:r>
      <w:r>
        <w:rPr>
          <w:rFonts w:asciiTheme="majorHAnsi" w:hAnsiTheme="majorHAnsi"/>
          <w:sz w:val="24"/>
          <w:szCs w:val="24"/>
        </w:rPr>
        <w:t>“separation of church and state”</w:t>
      </w:r>
      <w:r w:rsidR="00B76559">
        <w:rPr>
          <w:rFonts w:asciiTheme="majorHAnsi" w:hAnsiTheme="majorHAnsi"/>
          <w:sz w:val="24"/>
          <w:szCs w:val="24"/>
        </w:rPr>
        <w:t xml:space="preserve"> was institutional only:  o</w:t>
      </w:r>
      <w:r>
        <w:rPr>
          <w:rFonts w:asciiTheme="majorHAnsi" w:hAnsiTheme="majorHAnsi"/>
          <w:sz w:val="24"/>
          <w:szCs w:val="24"/>
        </w:rPr>
        <w:t xml:space="preserve">rganized religion should be distanced from government, but God should be brought closer.  </w:t>
      </w:r>
      <w:r w:rsidR="008A6415">
        <w:rPr>
          <w:rFonts w:asciiTheme="majorHAnsi" w:hAnsiTheme="majorHAnsi"/>
          <w:sz w:val="24"/>
          <w:szCs w:val="24"/>
        </w:rPr>
        <w:t>Since the Peopl</w:t>
      </w:r>
      <w:r w:rsidR="00520680">
        <w:rPr>
          <w:rFonts w:asciiTheme="majorHAnsi" w:hAnsiTheme="majorHAnsi"/>
          <w:sz w:val="24"/>
          <w:szCs w:val="24"/>
        </w:rPr>
        <w:t xml:space="preserve">e were to judge the ruler, God was </w:t>
      </w:r>
      <w:r w:rsidR="008A6415">
        <w:rPr>
          <w:rFonts w:asciiTheme="majorHAnsi" w:hAnsiTheme="majorHAnsi"/>
          <w:sz w:val="24"/>
          <w:szCs w:val="24"/>
        </w:rPr>
        <w:t xml:space="preserve">more necessary </w:t>
      </w:r>
      <w:r w:rsidR="00520680">
        <w:rPr>
          <w:rFonts w:asciiTheme="majorHAnsi" w:hAnsiTheme="majorHAnsi"/>
          <w:sz w:val="24"/>
          <w:szCs w:val="24"/>
        </w:rPr>
        <w:t xml:space="preserve">than ever </w:t>
      </w:r>
      <w:r w:rsidR="008A6415">
        <w:rPr>
          <w:rFonts w:asciiTheme="majorHAnsi" w:hAnsiTheme="majorHAnsi"/>
          <w:sz w:val="24"/>
          <w:szCs w:val="24"/>
        </w:rPr>
        <w:t>in order to provide moral content for society.</w:t>
      </w:r>
      <w:r w:rsidR="008A6415">
        <w:rPr>
          <w:rStyle w:val="FootnoteReference"/>
          <w:rFonts w:asciiTheme="majorHAnsi" w:hAnsiTheme="majorHAnsi"/>
          <w:sz w:val="24"/>
          <w:szCs w:val="24"/>
        </w:rPr>
        <w:footnoteReference w:id="25"/>
      </w:r>
      <w:r w:rsidR="008A6415">
        <w:rPr>
          <w:rFonts w:asciiTheme="majorHAnsi" w:hAnsiTheme="majorHAnsi"/>
          <w:sz w:val="24"/>
          <w:szCs w:val="24"/>
        </w:rPr>
        <w:t xml:space="preserve">  </w:t>
      </w:r>
      <w:r w:rsidR="00520680">
        <w:rPr>
          <w:rFonts w:asciiTheme="majorHAnsi" w:hAnsiTheme="majorHAnsi"/>
          <w:sz w:val="24"/>
          <w:szCs w:val="24"/>
        </w:rPr>
        <w:t xml:space="preserve">This meant government should stay out of religious disputes, but it should be intimately involved in the morality of its citizens.  </w:t>
      </w:r>
      <w:r w:rsidR="00D54B4F">
        <w:rPr>
          <w:rFonts w:asciiTheme="majorHAnsi" w:hAnsiTheme="majorHAnsi"/>
          <w:sz w:val="24"/>
          <w:szCs w:val="24"/>
        </w:rPr>
        <w:t>Political authority that rested on Reason alone was insufficient for Locke because</w:t>
      </w:r>
      <w:r>
        <w:rPr>
          <w:rFonts w:asciiTheme="majorHAnsi" w:hAnsiTheme="majorHAnsi"/>
          <w:sz w:val="24"/>
          <w:szCs w:val="24"/>
        </w:rPr>
        <w:t xml:space="preserve"> “human reason unassisted failed men in its great and proper business of morality.”</w:t>
      </w:r>
      <w:r w:rsidR="005A7272">
        <w:rPr>
          <w:rStyle w:val="FootnoteReference"/>
          <w:rFonts w:asciiTheme="majorHAnsi" w:hAnsiTheme="majorHAnsi"/>
          <w:sz w:val="24"/>
          <w:szCs w:val="24"/>
        </w:rPr>
        <w:footnoteReference w:id="26"/>
      </w:r>
      <w:r w:rsidR="00520680">
        <w:rPr>
          <w:rFonts w:asciiTheme="majorHAnsi" w:hAnsiTheme="majorHAnsi"/>
          <w:sz w:val="24"/>
          <w:szCs w:val="24"/>
        </w:rPr>
        <w:t xml:space="preserve">  </w:t>
      </w:r>
      <w:r w:rsidR="008A6415">
        <w:rPr>
          <w:rFonts w:asciiTheme="majorHAnsi" w:hAnsiTheme="majorHAnsi"/>
          <w:sz w:val="24"/>
          <w:szCs w:val="24"/>
        </w:rPr>
        <w:t>Today, “w</w:t>
      </w:r>
      <w:r w:rsidR="008A6415" w:rsidRPr="00D25D3E">
        <w:rPr>
          <w:rFonts w:asciiTheme="majorHAnsi" w:hAnsiTheme="majorHAnsi"/>
          <w:sz w:val="24"/>
          <w:szCs w:val="24"/>
        </w:rPr>
        <w:t>e read Locke as though his Christ</w:t>
      </w:r>
      <w:r w:rsidR="00AE7351">
        <w:rPr>
          <w:rFonts w:asciiTheme="majorHAnsi" w:hAnsiTheme="majorHAnsi"/>
          <w:sz w:val="24"/>
          <w:szCs w:val="24"/>
        </w:rPr>
        <w:t xml:space="preserve">ianity is but a religious layer… </w:t>
      </w:r>
      <w:r w:rsidR="008A6415" w:rsidRPr="00D25D3E">
        <w:rPr>
          <w:rFonts w:asciiTheme="majorHAnsi" w:hAnsiTheme="majorHAnsi"/>
          <w:sz w:val="24"/>
          <w:szCs w:val="24"/>
        </w:rPr>
        <w:t xml:space="preserve"> We are wrong.  His political thought is Christian to the core.”</w:t>
      </w:r>
      <w:r w:rsidR="008A6415">
        <w:rPr>
          <w:rStyle w:val="FootnoteReference"/>
          <w:rFonts w:asciiTheme="majorHAnsi" w:hAnsiTheme="majorHAnsi"/>
          <w:sz w:val="24"/>
          <w:szCs w:val="24"/>
        </w:rPr>
        <w:footnoteReference w:id="27"/>
      </w:r>
      <w:r w:rsidR="008A6415">
        <w:rPr>
          <w:rFonts w:asciiTheme="majorHAnsi" w:hAnsiTheme="majorHAnsi"/>
          <w:sz w:val="24"/>
          <w:szCs w:val="24"/>
        </w:rPr>
        <w:t xml:space="preserve">  </w:t>
      </w:r>
    </w:p>
    <w:p w:rsidR="00D51B0C" w:rsidRPr="00312732" w:rsidRDefault="00D54B4F" w:rsidP="006D1B67">
      <w:pPr>
        <w:rPr>
          <w:rFonts w:asciiTheme="majorHAnsi" w:hAnsiTheme="majorHAnsi"/>
          <w:sz w:val="24"/>
          <w:szCs w:val="24"/>
        </w:rPr>
      </w:pPr>
      <w:r>
        <w:rPr>
          <w:rFonts w:asciiTheme="majorHAnsi" w:hAnsiTheme="majorHAnsi"/>
          <w:sz w:val="24"/>
          <w:szCs w:val="24"/>
        </w:rPr>
        <w:lastRenderedPageBreak/>
        <w:tab/>
        <w:t xml:space="preserve">In the end, however, this strand of political theory was as insufficient as the first.  </w:t>
      </w:r>
      <w:r w:rsidR="00370EC3">
        <w:rPr>
          <w:rFonts w:asciiTheme="majorHAnsi" w:hAnsiTheme="majorHAnsi"/>
          <w:sz w:val="24"/>
          <w:szCs w:val="24"/>
        </w:rPr>
        <w:t xml:space="preserve">It was successful in establishing the existence of </w:t>
      </w:r>
      <w:r w:rsidR="00A3047F">
        <w:rPr>
          <w:rFonts w:asciiTheme="majorHAnsi" w:hAnsiTheme="majorHAnsi"/>
          <w:sz w:val="24"/>
          <w:szCs w:val="24"/>
        </w:rPr>
        <w:t xml:space="preserve">an entity known as the People as distinct from the ruler and government and </w:t>
      </w:r>
      <w:r w:rsidR="00AE7351">
        <w:rPr>
          <w:rFonts w:asciiTheme="majorHAnsi" w:hAnsiTheme="majorHAnsi"/>
          <w:sz w:val="24"/>
          <w:szCs w:val="24"/>
        </w:rPr>
        <w:t>in making it</w:t>
      </w:r>
      <w:r w:rsidR="00A3047F">
        <w:rPr>
          <w:rFonts w:asciiTheme="majorHAnsi" w:hAnsiTheme="majorHAnsi"/>
          <w:sz w:val="24"/>
          <w:szCs w:val="24"/>
        </w:rPr>
        <w:t xml:space="preserve"> a</w:t>
      </w:r>
      <w:r w:rsidR="00D631D9">
        <w:rPr>
          <w:rFonts w:asciiTheme="majorHAnsi" w:hAnsiTheme="majorHAnsi"/>
          <w:sz w:val="24"/>
          <w:szCs w:val="24"/>
        </w:rPr>
        <w:t>n essential</w:t>
      </w:r>
      <w:r w:rsidR="00A3047F">
        <w:rPr>
          <w:rFonts w:asciiTheme="majorHAnsi" w:hAnsiTheme="majorHAnsi"/>
          <w:sz w:val="24"/>
          <w:szCs w:val="24"/>
        </w:rPr>
        <w:t xml:space="preserve"> part of the political vocabulary of </w:t>
      </w:r>
      <w:r w:rsidR="00D631D9">
        <w:rPr>
          <w:rFonts w:asciiTheme="majorHAnsi" w:hAnsiTheme="majorHAnsi"/>
          <w:sz w:val="24"/>
          <w:szCs w:val="24"/>
        </w:rPr>
        <w:t>the era.  But the concept of the “People”</w:t>
      </w:r>
      <w:r w:rsidR="00ED5D4F">
        <w:rPr>
          <w:rFonts w:asciiTheme="majorHAnsi" w:hAnsiTheme="majorHAnsi"/>
          <w:sz w:val="24"/>
          <w:szCs w:val="24"/>
        </w:rPr>
        <w:t xml:space="preserve"> remained</w:t>
      </w:r>
      <w:r w:rsidR="007C1998">
        <w:rPr>
          <w:rFonts w:asciiTheme="majorHAnsi" w:hAnsiTheme="majorHAnsi"/>
          <w:sz w:val="24"/>
          <w:szCs w:val="24"/>
        </w:rPr>
        <w:t xml:space="preserve"> too vague to be useful</w:t>
      </w:r>
      <w:r w:rsidR="00ED5D4F">
        <w:rPr>
          <w:rFonts w:asciiTheme="majorHAnsi" w:hAnsiTheme="majorHAnsi"/>
          <w:sz w:val="24"/>
          <w:szCs w:val="24"/>
        </w:rPr>
        <w:t xml:space="preserve"> on its own</w:t>
      </w:r>
      <w:r w:rsidR="007C1998">
        <w:rPr>
          <w:rFonts w:asciiTheme="majorHAnsi" w:hAnsiTheme="majorHAnsi"/>
          <w:sz w:val="24"/>
          <w:szCs w:val="24"/>
        </w:rPr>
        <w:t>.  The People</w:t>
      </w:r>
      <w:r w:rsidR="00A3047F">
        <w:rPr>
          <w:rFonts w:asciiTheme="majorHAnsi" w:hAnsiTheme="majorHAnsi"/>
          <w:sz w:val="24"/>
          <w:szCs w:val="24"/>
        </w:rPr>
        <w:t xml:space="preserve"> depended for its authority </w:t>
      </w:r>
      <w:r w:rsidR="00AE7351">
        <w:rPr>
          <w:rFonts w:asciiTheme="majorHAnsi" w:hAnsiTheme="majorHAnsi"/>
          <w:sz w:val="24"/>
          <w:szCs w:val="24"/>
        </w:rPr>
        <w:t xml:space="preserve">and credibility </w:t>
      </w:r>
      <w:r w:rsidR="00A3047F">
        <w:rPr>
          <w:rFonts w:asciiTheme="majorHAnsi" w:hAnsiTheme="majorHAnsi"/>
          <w:sz w:val="24"/>
          <w:szCs w:val="24"/>
        </w:rPr>
        <w:t>on that der</w:t>
      </w:r>
      <w:r w:rsidR="00ED5D4F">
        <w:rPr>
          <w:rFonts w:asciiTheme="majorHAnsi" w:hAnsiTheme="majorHAnsi"/>
          <w:sz w:val="24"/>
          <w:szCs w:val="24"/>
        </w:rPr>
        <w:t>ived from God.  This, then,</w:t>
      </w:r>
      <w:r w:rsidR="003431F5">
        <w:rPr>
          <w:rFonts w:asciiTheme="majorHAnsi" w:hAnsiTheme="majorHAnsi"/>
          <w:sz w:val="24"/>
          <w:szCs w:val="24"/>
        </w:rPr>
        <w:t xml:space="preserve"> left </w:t>
      </w:r>
      <w:r w:rsidR="00A3047F">
        <w:rPr>
          <w:rFonts w:asciiTheme="majorHAnsi" w:hAnsiTheme="majorHAnsi"/>
          <w:sz w:val="24"/>
          <w:szCs w:val="24"/>
        </w:rPr>
        <w:t xml:space="preserve">open </w:t>
      </w:r>
      <w:r w:rsidR="003431F5">
        <w:rPr>
          <w:rFonts w:asciiTheme="majorHAnsi" w:hAnsiTheme="majorHAnsi"/>
          <w:sz w:val="24"/>
          <w:szCs w:val="24"/>
        </w:rPr>
        <w:t xml:space="preserve">the </w:t>
      </w:r>
      <w:r w:rsidR="00A3047F">
        <w:rPr>
          <w:rFonts w:asciiTheme="majorHAnsi" w:hAnsiTheme="majorHAnsi"/>
          <w:sz w:val="24"/>
          <w:szCs w:val="24"/>
        </w:rPr>
        <w:t xml:space="preserve">question of who could speak on behalf of both the People and God.  The traditional answer of organized religion was no </w:t>
      </w:r>
      <w:r w:rsidR="003431F5">
        <w:rPr>
          <w:rFonts w:asciiTheme="majorHAnsi" w:hAnsiTheme="majorHAnsi"/>
          <w:sz w:val="24"/>
          <w:szCs w:val="24"/>
        </w:rPr>
        <w:t xml:space="preserve">longer considered </w:t>
      </w:r>
      <w:r w:rsidR="00A3047F">
        <w:rPr>
          <w:rFonts w:asciiTheme="majorHAnsi" w:hAnsiTheme="majorHAnsi"/>
          <w:sz w:val="24"/>
          <w:szCs w:val="24"/>
        </w:rPr>
        <w:t>satisfactory</w:t>
      </w:r>
      <w:r w:rsidR="007C1998">
        <w:rPr>
          <w:rFonts w:asciiTheme="majorHAnsi" w:hAnsiTheme="majorHAnsi"/>
          <w:sz w:val="24"/>
          <w:szCs w:val="24"/>
        </w:rPr>
        <w:t xml:space="preserve">.  </w:t>
      </w:r>
      <w:r w:rsidR="00D631D9">
        <w:rPr>
          <w:rFonts w:asciiTheme="majorHAnsi" w:hAnsiTheme="majorHAnsi"/>
          <w:sz w:val="24"/>
          <w:szCs w:val="24"/>
        </w:rPr>
        <w:t xml:space="preserve">If the first strand suffered from a lack of sources of political authority and credibility, the second strand posited too many, which inevitably led to conflicts over who had what authority when.  </w:t>
      </w:r>
      <w:r w:rsidR="007C1998">
        <w:rPr>
          <w:rFonts w:asciiTheme="majorHAnsi" w:hAnsiTheme="majorHAnsi"/>
          <w:sz w:val="24"/>
          <w:szCs w:val="24"/>
        </w:rPr>
        <w:t xml:space="preserve">The </w:t>
      </w:r>
      <w:r w:rsidR="00D631D9">
        <w:rPr>
          <w:rFonts w:asciiTheme="majorHAnsi" w:hAnsiTheme="majorHAnsi"/>
          <w:sz w:val="24"/>
          <w:szCs w:val="24"/>
        </w:rPr>
        <w:t>eighteenth-</w:t>
      </w:r>
      <w:r w:rsidR="003431F5">
        <w:rPr>
          <w:rFonts w:asciiTheme="majorHAnsi" w:hAnsiTheme="majorHAnsi"/>
          <w:sz w:val="24"/>
          <w:szCs w:val="24"/>
        </w:rPr>
        <w:t xml:space="preserve">century fix </w:t>
      </w:r>
      <w:r w:rsidR="007C1998">
        <w:rPr>
          <w:rFonts w:asciiTheme="majorHAnsi" w:hAnsiTheme="majorHAnsi"/>
          <w:sz w:val="24"/>
          <w:szCs w:val="24"/>
        </w:rPr>
        <w:t xml:space="preserve">was to make the People its own source of political credibility and authority by </w:t>
      </w:r>
      <w:r w:rsidR="003431F5">
        <w:rPr>
          <w:rFonts w:asciiTheme="majorHAnsi" w:hAnsiTheme="majorHAnsi"/>
          <w:sz w:val="24"/>
          <w:szCs w:val="24"/>
        </w:rPr>
        <w:t xml:space="preserve">converting it into a </w:t>
      </w:r>
      <w:r w:rsidR="007C1998">
        <w:rPr>
          <w:rFonts w:asciiTheme="majorHAnsi" w:hAnsiTheme="majorHAnsi"/>
          <w:sz w:val="24"/>
          <w:szCs w:val="24"/>
        </w:rPr>
        <w:t>Nation.</w:t>
      </w:r>
    </w:p>
    <w:p w:rsidR="00032B6C" w:rsidRDefault="00032B6C" w:rsidP="006D1B67">
      <w:pPr>
        <w:rPr>
          <w:rFonts w:asciiTheme="majorHAnsi" w:hAnsiTheme="majorHAnsi"/>
          <w:sz w:val="24"/>
          <w:szCs w:val="24"/>
        </w:rPr>
      </w:pPr>
    </w:p>
    <w:p w:rsidR="00032B6C" w:rsidRPr="004E68F7" w:rsidRDefault="00B17966" w:rsidP="006D1B67">
      <w:pPr>
        <w:jc w:val="center"/>
        <w:rPr>
          <w:rFonts w:asciiTheme="majorHAnsi" w:hAnsiTheme="majorHAnsi"/>
          <w:b/>
          <w:sz w:val="24"/>
          <w:szCs w:val="24"/>
        </w:rPr>
      </w:pPr>
      <w:r w:rsidRPr="004E68F7">
        <w:rPr>
          <w:rFonts w:asciiTheme="majorHAnsi" w:hAnsiTheme="majorHAnsi"/>
          <w:b/>
          <w:sz w:val="24"/>
          <w:szCs w:val="24"/>
        </w:rPr>
        <w:t>Weav</w:t>
      </w:r>
      <w:r w:rsidR="00AC580B" w:rsidRPr="004E68F7">
        <w:rPr>
          <w:rFonts w:asciiTheme="majorHAnsi" w:hAnsiTheme="majorHAnsi"/>
          <w:b/>
          <w:sz w:val="24"/>
          <w:szCs w:val="24"/>
        </w:rPr>
        <w:t>ing the Strands</w:t>
      </w:r>
      <w:r w:rsidRPr="004E68F7">
        <w:rPr>
          <w:rFonts w:asciiTheme="majorHAnsi" w:hAnsiTheme="majorHAnsi"/>
          <w:b/>
          <w:sz w:val="24"/>
          <w:szCs w:val="24"/>
        </w:rPr>
        <w:t xml:space="preserve"> Together</w:t>
      </w:r>
      <w:r w:rsidR="00E06468" w:rsidRPr="004E68F7">
        <w:rPr>
          <w:rFonts w:asciiTheme="majorHAnsi" w:hAnsiTheme="majorHAnsi"/>
          <w:b/>
          <w:sz w:val="24"/>
          <w:szCs w:val="24"/>
        </w:rPr>
        <w:t>: The Nation</w:t>
      </w:r>
      <w:r w:rsidR="0071433B">
        <w:rPr>
          <w:rFonts w:asciiTheme="majorHAnsi" w:hAnsiTheme="majorHAnsi"/>
          <w:b/>
          <w:sz w:val="24"/>
          <w:szCs w:val="24"/>
        </w:rPr>
        <w:t xml:space="preserve"> Solidifies</w:t>
      </w:r>
    </w:p>
    <w:p w:rsidR="00C57FFB" w:rsidRDefault="00AC580B" w:rsidP="006D1B67">
      <w:pPr>
        <w:rPr>
          <w:rFonts w:asciiTheme="majorHAnsi" w:hAnsiTheme="majorHAnsi"/>
          <w:sz w:val="24"/>
          <w:szCs w:val="24"/>
        </w:rPr>
      </w:pPr>
      <w:r>
        <w:rPr>
          <w:rFonts w:asciiTheme="majorHAnsi" w:hAnsiTheme="majorHAnsi"/>
          <w:sz w:val="24"/>
          <w:szCs w:val="24"/>
        </w:rPr>
        <w:tab/>
        <w:t>Over the course of the eighteenth century, various theorists merged the</w:t>
      </w:r>
      <w:r w:rsidR="00C51C34">
        <w:rPr>
          <w:rFonts w:asciiTheme="majorHAnsi" w:hAnsiTheme="majorHAnsi"/>
          <w:sz w:val="24"/>
          <w:szCs w:val="24"/>
        </w:rPr>
        <w:t>se</w:t>
      </w:r>
      <w:r>
        <w:rPr>
          <w:rFonts w:asciiTheme="majorHAnsi" w:hAnsiTheme="majorHAnsi"/>
          <w:sz w:val="24"/>
          <w:szCs w:val="24"/>
        </w:rPr>
        <w:t xml:space="preserve"> two</w:t>
      </w:r>
      <w:r w:rsidR="00C51C34">
        <w:rPr>
          <w:rFonts w:asciiTheme="majorHAnsi" w:hAnsiTheme="majorHAnsi"/>
          <w:sz w:val="24"/>
          <w:szCs w:val="24"/>
        </w:rPr>
        <w:t xml:space="preserve"> separate</w:t>
      </w:r>
      <w:r>
        <w:rPr>
          <w:rFonts w:asciiTheme="majorHAnsi" w:hAnsiTheme="majorHAnsi"/>
          <w:sz w:val="24"/>
          <w:szCs w:val="24"/>
        </w:rPr>
        <w:t xml:space="preserve"> strands of political thought into a single theory of political credibility and authority.</w:t>
      </w:r>
      <w:r w:rsidR="00F16598">
        <w:rPr>
          <w:rFonts w:asciiTheme="majorHAnsi" w:hAnsiTheme="majorHAnsi"/>
          <w:sz w:val="24"/>
          <w:szCs w:val="24"/>
        </w:rPr>
        <w:t xml:space="preserve">  </w:t>
      </w:r>
      <w:r w:rsidR="003E56C6">
        <w:rPr>
          <w:rFonts w:asciiTheme="majorHAnsi" w:hAnsiTheme="majorHAnsi"/>
          <w:sz w:val="24"/>
          <w:szCs w:val="24"/>
        </w:rPr>
        <w:t>The resulting</w:t>
      </w:r>
      <w:r w:rsidR="00C57FFB">
        <w:rPr>
          <w:rFonts w:asciiTheme="majorHAnsi" w:hAnsiTheme="majorHAnsi"/>
          <w:sz w:val="24"/>
          <w:szCs w:val="24"/>
        </w:rPr>
        <w:t xml:space="preserve"> political theory of nationalism </w:t>
      </w:r>
      <w:r w:rsidR="00F16598">
        <w:rPr>
          <w:rFonts w:asciiTheme="majorHAnsi" w:hAnsiTheme="majorHAnsi"/>
          <w:sz w:val="24"/>
          <w:szCs w:val="24"/>
        </w:rPr>
        <w:t xml:space="preserve">blended the passive God of the first strand with the active People of the </w:t>
      </w:r>
      <w:r w:rsidR="00FB1B11">
        <w:rPr>
          <w:rFonts w:asciiTheme="majorHAnsi" w:hAnsiTheme="majorHAnsi"/>
          <w:sz w:val="24"/>
          <w:szCs w:val="24"/>
        </w:rPr>
        <w:t>seco</w:t>
      </w:r>
      <w:r w:rsidR="00AE7351">
        <w:rPr>
          <w:rFonts w:asciiTheme="majorHAnsi" w:hAnsiTheme="majorHAnsi"/>
          <w:sz w:val="24"/>
          <w:szCs w:val="24"/>
        </w:rPr>
        <w:t>nd.  This theory’s</w:t>
      </w:r>
      <w:r w:rsidR="00FB1B11">
        <w:rPr>
          <w:rFonts w:asciiTheme="majorHAnsi" w:hAnsiTheme="majorHAnsi"/>
          <w:sz w:val="24"/>
          <w:szCs w:val="24"/>
        </w:rPr>
        <w:t xml:space="preserve"> success </w:t>
      </w:r>
      <w:r w:rsidR="00C57FFB">
        <w:rPr>
          <w:rFonts w:asciiTheme="majorHAnsi" w:hAnsiTheme="majorHAnsi"/>
          <w:sz w:val="24"/>
          <w:szCs w:val="24"/>
        </w:rPr>
        <w:t xml:space="preserve">was not inevitable and </w:t>
      </w:r>
      <w:r w:rsidR="00FB1B11">
        <w:rPr>
          <w:rFonts w:asciiTheme="majorHAnsi" w:hAnsiTheme="majorHAnsi"/>
          <w:sz w:val="24"/>
          <w:szCs w:val="24"/>
        </w:rPr>
        <w:t>it continued to co-exist and compete</w:t>
      </w:r>
      <w:r w:rsidR="00C57FFB">
        <w:rPr>
          <w:rFonts w:asciiTheme="majorHAnsi" w:hAnsiTheme="majorHAnsi"/>
          <w:sz w:val="24"/>
          <w:szCs w:val="24"/>
        </w:rPr>
        <w:t xml:space="preserve"> with other potential theories of political credibility and authority.  For example, there remained </w:t>
      </w:r>
      <w:r w:rsidR="00EC530C">
        <w:rPr>
          <w:rFonts w:asciiTheme="majorHAnsi" w:hAnsiTheme="majorHAnsi"/>
          <w:sz w:val="24"/>
          <w:szCs w:val="24"/>
        </w:rPr>
        <w:t xml:space="preserve">many </w:t>
      </w:r>
      <w:r w:rsidR="00C57FFB">
        <w:rPr>
          <w:rFonts w:asciiTheme="majorHAnsi" w:hAnsiTheme="majorHAnsi"/>
          <w:sz w:val="24"/>
          <w:szCs w:val="24"/>
        </w:rPr>
        <w:t xml:space="preserve">advocates of </w:t>
      </w:r>
      <w:r w:rsidR="003E56C6">
        <w:rPr>
          <w:rFonts w:asciiTheme="majorHAnsi" w:hAnsiTheme="majorHAnsi"/>
          <w:sz w:val="24"/>
          <w:szCs w:val="24"/>
        </w:rPr>
        <w:t xml:space="preserve">retaining </w:t>
      </w:r>
      <w:r w:rsidR="00C57FFB">
        <w:rPr>
          <w:rFonts w:asciiTheme="majorHAnsi" w:hAnsiTheme="majorHAnsi"/>
          <w:sz w:val="24"/>
          <w:szCs w:val="24"/>
        </w:rPr>
        <w:t xml:space="preserve">God as the </w:t>
      </w:r>
      <w:r w:rsidR="00FB1B11">
        <w:rPr>
          <w:rFonts w:asciiTheme="majorHAnsi" w:hAnsiTheme="majorHAnsi"/>
          <w:sz w:val="24"/>
          <w:szCs w:val="24"/>
        </w:rPr>
        <w:t xml:space="preserve">active and </w:t>
      </w:r>
      <w:r w:rsidR="00C57FFB">
        <w:rPr>
          <w:rFonts w:asciiTheme="majorHAnsi" w:hAnsiTheme="majorHAnsi"/>
          <w:sz w:val="24"/>
          <w:szCs w:val="24"/>
        </w:rPr>
        <w:t>ultimate source</w:t>
      </w:r>
      <w:r w:rsidR="00FB1B11">
        <w:rPr>
          <w:rFonts w:asciiTheme="majorHAnsi" w:hAnsiTheme="majorHAnsi"/>
          <w:sz w:val="24"/>
          <w:szCs w:val="24"/>
        </w:rPr>
        <w:t xml:space="preserve"> of political credibility and authority</w:t>
      </w:r>
      <w:r w:rsidR="00C57FFB">
        <w:rPr>
          <w:rFonts w:asciiTheme="majorHAnsi" w:hAnsiTheme="majorHAnsi"/>
          <w:sz w:val="24"/>
          <w:szCs w:val="24"/>
        </w:rPr>
        <w:t>.</w:t>
      </w:r>
      <w:r w:rsidR="00EC530C">
        <w:rPr>
          <w:rStyle w:val="FootnoteReference"/>
          <w:rFonts w:asciiTheme="majorHAnsi" w:hAnsiTheme="majorHAnsi"/>
          <w:sz w:val="24"/>
          <w:szCs w:val="24"/>
        </w:rPr>
        <w:footnoteReference w:id="28"/>
      </w:r>
      <w:r w:rsidR="00C57FFB">
        <w:rPr>
          <w:rFonts w:asciiTheme="majorHAnsi" w:hAnsiTheme="majorHAnsi"/>
          <w:sz w:val="24"/>
          <w:szCs w:val="24"/>
        </w:rPr>
        <w:t xml:space="preserve">  </w:t>
      </w:r>
      <w:r w:rsidR="00FB1B11">
        <w:rPr>
          <w:rFonts w:asciiTheme="majorHAnsi" w:hAnsiTheme="majorHAnsi"/>
          <w:sz w:val="24"/>
          <w:szCs w:val="24"/>
        </w:rPr>
        <w:t>Eighteenth-century England, for its part,</w:t>
      </w:r>
      <w:r w:rsidR="00C57FFB">
        <w:rPr>
          <w:rFonts w:asciiTheme="majorHAnsi" w:hAnsiTheme="majorHAnsi"/>
          <w:sz w:val="24"/>
          <w:szCs w:val="24"/>
        </w:rPr>
        <w:t xml:space="preserve"> experienced a resurgence of religious expression among the mass of the popula</w:t>
      </w:r>
      <w:r w:rsidR="00FB1B11">
        <w:rPr>
          <w:rFonts w:asciiTheme="majorHAnsi" w:hAnsiTheme="majorHAnsi"/>
          <w:sz w:val="24"/>
          <w:szCs w:val="24"/>
        </w:rPr>
        <w:t>tion, perhaps most evident with</w:t>
      </w:r>
      <w:r w:rsidR="00C57FFB">
        <w:rPr>
          <w:rFonts w:asciiTheme="majorHAnsi" w:hAnsiTheme="majorHAnsi"/>
          <w:sz w:val="24"/>
          <w:szCs w:val="24"/>
        </w:rPr>
        <w:t xml:space="preserve"> the Methodist movement of John Wesley.  </w:t>
      </w:r>
    </w:p>
    <w:p w:rsidR="008A6454" w:rsidRDefault="008A6454" w:rsidP="006D1B67">
      <w:pPr>
        <w:rPr>
          <w:rFonts w:asciiTheme="majorHAnsi" w:hAnsiTheme="majorHAnsi"/>
          <w:sz w:val="24"/>
          <w:szCs w:val="24"/>
        </w:rPr>
      </w:pPr>
      <w:r>
        <w:rPr>
          <w:rFonts w:asciiTheme="majorHAnsi" w:hAnsiTheme="majorHAnsi"/>
          <w:sz w:val="24"/>
          <w:szCs w:val="24"/>
        </w:rPr>
        <w:tab/>
        <w:t xml:space="preserve">In France, many of the eighteenth-century Enlightenment thinkers, or </w:t>
      </w:r>
      <w:r>
        <w:rPr>
          <w:rFonts w:asciiTheme="majorHAnsi" w:hAnsiTheme="majorHAnsi"/>
          <w:i/>
          <w:sz w:val="24"/>
          <w:szCs w:val="24"/>
        </w:rPr>
        <w:t>philosophes</w:t>
      </w:r>
      <w:r w:rsidR="00C51C34">
        <w:rPr>
          <w:rFonts w:asciiTheme="majorHAnsi" w:hAnsiTheme="majorHAnsi"/>
          <w:sz w:val="24"/>
          <w:szCs w:val="24"/>
        </w:rPr>
        <w:t xml:space="preserve">, </w:t>
      </w:r>
      <w:r>
        <w:rPr>
          <w:rFonts w:asciiTheme="majorHAnsi" w:hAnsiTheme="majorHAnsi"/>
          <w:sz w:val="24"/>
          <w:szCs w:val="24"/>
        </w:rPr>
        <w:t xml:space="preserve">supported the elevation of Reason and the elimination of </w:t>
      </w:r>
      <w:r w:rsidR="00947C02">
        <w:rPr>
          <w:rFonts w:asciiTheme="majorHAnsi" w:hAnsiTheme="majorHAnsi"/>
          <w:sz w:val="24"/>
          <w:szCs w:val="24"/>
        </w:rPr>
        <w:t>“</w:t>
      </w:r>
      <w:r>
        <w:rPr>
          <w:rFonts w:asciiTheme="majorHAnsi" w:hAnsiTheme="majorHAnsi"/>
          <w:sz w:val="24"/>
          <w:szCs w:val="24"/>
        </w:rPr>
        <w:t>superstition.</w:t>
      </w:r>
      <w:r w:rsidR="00947C02">
        <w:rPr>
          <w:rFonts w:asciiTheme="majorHAnsi" w:hAnsiTheme="majorHAnsi"/>
          <w:sz w:val="24"/>
          <w:szCs w:val="24"/>
        </w:rPr>
        <w:t xml:space="preserve">”  Because they focused on </w:t>
      </w:r>
      <w:r w:rsidR="00947C02" w:rsidRPr="00947C02">
        <w:rPr>
          <w:rFonts w:asciiTheme="majorHAnsi" w:hAnsiTheme="majorHAnsi"/>
          <w:i/>
          <w:sz w:val="24"/>
          <w:szCs w:val="24"/>
        </w:rPr>
        <w:t>human</w:t>
      </w:r>
      <w:r w:rsidR="00947C02">
        <w:rPr>
          <w:rFonts w:asciiTheme="majorHAnsi" w:hAnsiTheme="majorHAnsi"/>
          <w:sz w:val="24"/>
          <w:szCs w:val="24"/>
        </w:rPr>
        <w:t xml:space="preserve"> nature</w:t>
      </w:r>
      <w:r>
        <w:rPr>
          <w:rFonts w:asciiTheme="majorHAnsi" w:hAnsiTheme="majorHAnsi"/>
          <w:sz w:val="24"/>
          <w:szCs w:val="24"/>
        </w:rPr>
        <w:t xml:space="preserve"> and the improvement thereof, they tended to downplay national distinctions.  All </w:t>
      </w:r>
      <w:r w:rsidR="002F3A3D">
        <w:rPr>
          <w:rFonts w:asciiTheme="majorHAnsi" w:hAnsiTheme="majorHAnsi"/>
          <w:sz w:val="24"/>
          <w:szCs w:val="24"/>
        </w:rPr>
        <w:t>hu</w:t>
      </w:r>
      <w:r>
        <w:rPr>
          <w:rFonts w:asciiTheme="majorHAnsi" w:hAnsiTheme="majorHAnsi"/>
          <w:sz w:val="24"/>
          <w:szCs w:val="24"/>
        </w:rPr>
        <w:t>mankind</w:t>
      </w:r>
      <w:r w:rsidR="002F3A3D">
        <w:rPr>
          <w:rFonts w:asciiTheme="majorHAnsi" w:hAnsiTheme="majorHAnsi"/>
          <w:sz w:val="24"/>
          <w:szCs w:val="24"/>
        </w:rPr>
        <w:t xml:space="preserve">, </w:t>
      </w:r>
      <w:r w:rsidR="0005424B">
        <w:rPr>
          <w:rFonts w:asciiTheme="majorHAnsi" w:hAnsiTheme="majorHAnsi"/>
          <w:sz w:val="24"/>
          <w:szCs w:val="24"/>
        </w:rPr>
        <w:t xml:space="preserve">they asserted, </w:t>
      </w:r>
      <w:r w:rsidR="002F3A3D">
        <w:rPr>
          <w:rFonts w:asciiTheme="majorHAnsi" w:hAnsiTheme="majorHAnsi"/>
          <w:sz w:val="24"/>
          <w:szCs w:val="24"/>
        </w:rPr>
        <w:t>not this or that People group,</w:t>
      </w:r>
      <w:r>
        <w:rPr>
          <w:rFonts w:asciiTheme="majorHAnsi" w:hAnsiTheme="majorHAnsi"/>
          <w:sz w:val="24"/>
          <w:szCs w:val="24"/>
        </w:rPr>
        <w:t xml:space="preserve"> would eventually be free through their use of Reaso</w:t>
      </w:r>
      <w:r w:rsidR="002F3A3D">
        <w:rPr>
          <w:rFonts w:asciiTheme="majorHAnsi" w:hAnsiTheme="majorHAnsi"/>
          <w:sz w:val="24"/>
          <w:szCs w:val="24"/>
        </w:rPr>
        <w:t>n</w:t>
      </w:r>
      <w:r>
        <w:rPr>
          <w:rFonts w:asciiTheme="majorHAnsi" w:hAnsiTheme="majorHAnsi"/>
          <w:sz w:val="24"/>
          <w:szCs w:val="24"/>
        </w:rPr>
        <w:t>.</w:t>
      </w:r>
      <w:r w:rsidR="007656AD">
        <w:rPr>
          <w:rFonts w:asciiTheme="majorHAnsi" w:hAnsiTheme="majorHAnsi"/>
          <w:sz w:val="24"/>
          <w:szCs w:val="24"/>
        </w:rPr>
        <w:t xml:space="preserve">  Th</w:t>
      </w:r>
      <w:r w:rsidR="002F3A3D">
        <w:rPr>
          <w:rFonts w:asciiTheme="majorHAnsi" w:hAnsiTheme="majorHAnsi"/>
          <w:sz w:val="24"/>
          <w:szCs w:val="24"/>
        </w:rPr>
        <w:t>us, th</w:t>
      </w:r>
      <w:r w:rsidR="007656AD">
        <w:rPr>
          <w:rFonts w:asciiTheme="majorHAnsi" w:hAnsiTheme="majorHAnsi"/>
          <w:sz w:val="24"/>
          <w:szCs w:val="24"/>
        </w:rPr>
        <w:t xml:space="preserve">ey claimed membership in humanity first and foremost.  </w:t>
      </w:r>
      <w:r w:rsidR="002F3A3D">
        <w:rPr>
          <w:rFonts w:asciiTheme="majorHAnsi" w:hAnsiTheme="majorHAnsi"/>
          <w:sz w:val="24"/>
          <w:szCs w:val="24"/>
        </w:rPr>
        <w:t xml:space="preserve">However, </w:t>
      </w:r>
      <w:r w:rsidR="00AE7351">
        <w:rPr>
          <w:rFonts w:asciiTheme="majorHAnsi" w:hAnsiTheme="majorHAnsi"/>
          <w:sz w:val="24"/>
          <w:szCs w:val="24"/>
        </w:rPr>
        <w:t>Jean-Jacques Rousseau modifi</w:t>
      </w:r>
      <w:r w:rsidR="007656AD">
        <w:rPr>
          <w:rFonts w:asciiTheme="majorHAnsi" w:hAnsiTheme="majorHAnsi"/>
          <w:sz w:val="24"/>
          <w:szCs w:val="24"/>
        </w:rPr>
        <w:t xml:space="preserve">ed the </w:t>
      </w:r>
      <w:r w:rsidR="007656AD">
        <w:rPr>
          <w:rFonts w:asciiTheme="majorHAnsi" w:hAnsiTheme="majorHAnsi"/>
          <w:i/>
          <w:sz w:val="24"/>
          <w:szCs w:val="24"/>
        </w:rPr>
        <w:t>philosophes’</w:t>
      </w:r>
      <w:r w:rsidR="007656AD">
        <w:rPr>
          <w:rFonts w:asciiTheme="majorHAnsi" w:hAnsiTheme="majorHAnsi"/>
          <w:sz w:val="24"/>
          <w:szCs w:val="24"/>
        </w:rPr>
        <w:t xml:space="preserve"> theory of a perfected vision of humanity and it was his version upon which the participants of the French Revolution relied.</w:t>
      </w:r>
      <w:r w:rsidR="006672FF">
        <w:rPr>
          <w:rStyle w:val="FootnoteReference"/>
          <w:rFonts w:asciiTheme="majorHAnsi" w:hAnsiTheme="majorHAnsi"/>
          <w:sz w:val="24"/>
          <w:szCs w:val="24"/>
        </w:rPr>
        <w:footnoteReference w:id="29"/>
      </w:r>
    </w:p>
    <w:p w:rsidR="007656AD" w:rsidRDefault="007656AD" w:rsidP="006D1B67">
      <w:pPr>
        <w:rPr>
          <w:rFonts w:asciiTheme="majorHAnsi" w:hAnsiTheme="majorHAnsi"/>
          <w:sz w:val="24"/>
          <w:szCs w:val="24"/>
        </w:rPr>
      </w:pPr>
      <w:r>
        <w:rPr>
          <w:rFonts w:asciiTheme="majorHAnsi" w:hAnsiTheme="majorHAnsi"/>
          <w:sz w:val="24"/>
          <w:szCs w:val="24"/>
        </w:rPr>
        <w:lastRenderedPageBreak/>
        <w:tab/>
        <w:t>For Rousseau, the source of political credibility and authority was the “general will.”  Each citizen must decide between what was in his own interest and what was in the interest of the community.  To know what the latter was, the citizen must consult the general will.</w:t>
      </w:r>
      <w:r w:rsidR="00BD1720">
        <w:rPr>
          <w:rFonts w:asciiTheme="majorHAnsi" w:hAnsiTheme="majorHAnsi"/>
          <w:sz w:val="24"/>
          <w:szCs w:val="24"/>
        </w:rPr>
        <w:t xml:space="preserve">  What Rousseau meant by “general will” </w:t>
      </w:r>
      <w:r w:rsidR="00A84982">
        <w:rPr>
          <w:rFonts w:asciiTheme="majorHAnsi" w:hAnsiTheme="majorHAnsi"/>
          <w:sz w:val="24"/>
          <w:szCs w:val="24"/>
        </w:rPr>
        <w:t>has been the subject of perennial scholarly debates</w:t>
      </w:r>
      <w:r w:rsidR="00BD1720">
        <w:rPr>
          <w:rFonts w:asciiTheme="majorHAnsi" w:hAnsiTheme="majorHAnsi"/>
          <w:sz w:val="24"/>
          <w:szCs w:val="24"/>
        </w:rPr>
        <w:t xml:space="preserve">, but </w:t>
      </w:r>
      <w:r w:rsidR="00A84982">
        <w:rPr>
          <w:rFonts w:asciiTheme="majorHAnsi" w:hAnsiTheme="majorHAnsi"/>
          <w:sz w:val="24"/>
          <w:szCs w:val="24"/>
        </w:rPr>
        <w:t>there is ample evidence to suggest that</w:t>
      </w:r>
      <w:r w:rsidR="00BD1720">
        <w:rPr>
          <w:rFonts w:asciiTheme="majorHAnsi" w:hAnsiTheme="majorHAnsi"/>
          <w:sz w:val="24"/>
          <w:szCs w:val="24"/>
        </w:rPr>
        <w:t>, with it, he promoted a</w:t>
      </w:r>
      <w:r w:rsidR="00A84982">
        <w:rPr>
          <w:rFonts w:asciiTheme="majorHAnsi" w:hAnsiTheme="majorHAnsi"/>
          <w:sz w:val="24"/>
          <w:szCs w:val="24"/>
        </w:rPr>
        <w:t xml:space="preserve"> nascent</w:t>
      </w:r>
      <w:r w:rsidR="00BD1720">
        <w:rPr>
          <w:rFonts w:asciiTheme="majorHAnsi" w:hAnsiTheme="majorHAnsi"/>
          <w:sz w:val="24"/>
          <w:szCs w:val="24"/>
        </w:rPr>
        <w:t xml:space="preserve"> version of nationalism.  First, </w:t>
      </w:r>
      <w:r w:rsidR="00A84982">
        <w:rPr>
          <w:rFonts w:asciiTheme="majorHAnsi" w:hAnsiTheme="majorHAnsi"/>
          <w:sz w:val="24"/>
          <w:szCs w:val="24"/>
        </w:rPr>
        <w:t xml:space="preserve">he argued that </w:t>
      </w:r>
      <w:r w:rsidR="00EA09DA">
        <w:rPr>
          <w:rFonts w:asciiTheme="majorHAnsi" w:hAnsiTheme="majorHAnsi"/>
          <w:sz w:val="24"/>
          <w:szCs w:val="24"/>
        </w:rPr>
        <w:t xml:space="preserve">a </w:t>
      </w:r>
      <w:r w:rsidR="00AE7351">
        <w:rPr>
          <w:rFonts w:asciiTheme="majorHAnsi" w:hAnsiTheme="majorHAnsi"/>
          <w:sz w:val="24"/>
          <w:szCs w:val="24"/>
        </w:rPr>
        <w:t xml:space="preserve">particular </w:t>
      </w:r>
      <w:r w:rsidR="00EA09DA">
        <w:rPr>
          <w:rFonts w:asciiTheme="majorHAnsi" w:hAnsiTheme="majorHAnsi"/>
          <w:sz w:val="24"/>
          <w:szCs w:val="24"/>
        </w:rPr>
        <w:t xml:space="preserve">general will </w:t>
      </w:r>
      <w:r w:rsidR="00AE7351">
        <w:rPr>
          <w:rFonts w:asciiTheme="majorHAnsi" w:hAnsiTheme="majorHAnsi"/>
          <w:sz w:val="24"/>
          <w:szCs w:val="24"/>
        </w:rPr>
        <w:t xml:space="preserve">was </w:t>
      </w:r>
      <w:r w:rsidR="00EA09DA">
        <w:rPr>
          <w:rFonts w:asciiTheme="majorHAnsi" w:hAnsiTheme="majorHAnsi"/>
          <w:sz w:val="24"/>
          <w:szCs w:val="24"/>
        </w:rPr>
        <w:t>affixed to</w:t>
      </w:r>
      <w:r w:rsidR="00BD1720">
        <w:rPr>
          <w:rFonts w:asciiTheme="majorHAnsi" w:hAnsiTheme="majorHAnsi"/>
          <w:sz w:val="24"/>
          <w:szCs w:val="24"/>
        </w:rPr>
        <w:t xml:space="preserve"> a finite set of individuals, not all of humanity.</w:t>
      </w:r>
      <w:r w:rsidR="006672FF">
        <w:rPr>
          <w:rStyle w:val="FootnoteReference"/>
          <w:rFonts w:asciiTheme="majorHAnsi" w:hAnsiTheme="majorHAnsi"/>
          <w:sz w:val="24"/>
          <w:szCs w:val="24"/>
        </w:rPr>
        <w:footnoteReference w:id="30"/>
      </w:r>
      <w:r w:rsidR="00BD1720">
        <w:rPr>
          <w:rFonts w:asciiTheme="majorHAnsi" w:hAnsiTheme="majorHAnsi"/>
          <w:sz w:val="24"/>
          <w:szCs w:val="24"/>
        </w:rPr>
        <w:t xml:space="preserve">  Second, the</w:t>
      </w:r>
      <w:r w:rsidR="00A84982">
        <w:rPr>
          <w:rFonts w:asciiTheme="majorHAnsi" w:hAnsiTheme="majorHAnsi"/>
          <w:sz w:val="24"/>
          <w:szCs w:val="24"/>
        </w:rPr>
        <w:t xml:space="preserve"> general will was a metaphysical</w:t>
      </w:r>
      <w:r w:rsidR="00BD1720">
        <w:rPr>
          <w:rFonts w:asciiTheme="majorHAnsi" w:hAnsiTheme="majorHAnsi"/>
          <w:sz w:val="24"/>
          <w:szCs w:val="24"/>
        </w:rPr>
        <w:t xml:space="preserve"> entity:  it was engraved on the hearts</w:t>
      </w:r>
      <w:r w:rsidR="00A84982">
        <w:rPr>
          <w:rFonts w:asciiTheme="majorHAnsi" w:hAnsiTheme="majorHAnsi"/>
          <w:sz w:val="24"/>
          <w:szCs w:val="24"/>
        </w:rPr>
        <w:t xml:space="preserve"> of the citizens.  Third, he presented it as</w:t>
      </w:r>
      <w:r w:rsidR="00BD1720">
        <w:rPr>
          <w:rFonts w:asciiTheme="majorHAnsi" w:hAnsiTheme="majorHAnsi"/>
          <w:sz w:val="24"/>
          <w:szCs w:val="24"/>
        </w:rPr>
        <w:t xml:space="preserve"> a</w:t>
      </w:r>
      <w:r w:rsidR="007362E8">
        <w:rPr>
          <w:rFonts w:asciiTheme="majorHAnsi" w:hAnsiTheme="majorHAnsi"/>
          <w:sz w:val="24"/>
          <w:szCs w:val="24"/>
        </w:rPr>
        <w:t>n active</w:t>
      </w:r>
      <w:r w:rsidR="00BD1720">
        <w:rPr>
          <w:rFonts w:asciiTheme="majorHAnsi" w:hAnsiTheme="majorHAnsi"/>
          <w:sz w:val="24"/>
          <w:szCs w:val="24"/>
        </w:rPr>
        <w:t xml:space="preserve"> source of transcendent credibility.  Patrick Riley argues that Rousseau intended the “general will” to replace the traditional political concept of the “will of God.”</w:t>
      </w:r>
      <w:r w:rsidR="004D0414">
        <w:rPr>
          <w:rStyle w:val="FootnoteReference"/>
          <w:rFonts w:asciiTheme="majorHAnsi" w:hAnsiTheme="majorHAnsi"/>
          <w:sz w:val="24"/>
          <w:szCs w:val="24"/>
        </w:rPr>
        <w:footnoteReference w:id="31"/>
      </w:r>
      <w:r w:rsidR="00BD1720">
        <w:rPr>
          <w:rFonts w:asciiTheme="majorHAnsi" w:hAnsiTheme="majorHAnsi"/>
          <w:sz w:val="24"/>
          <w:szCs w:val="24"/>
        </w:rPr>
        <w:t xml:space="preserve">  Thus, Rousseau’s general will </w:t>
      </w:r>
      <w:r w:rsidR="00A84982">
        <w:rPr>
          <w:rFonts w:asciiTheme="majorHAnsi" w:hAnsiTheme="majorHAnsi"/>
          <w:sz w:val="24"/>
          <w:szCs w:val="24"/>
        </w:rPr>
        <w:t>is essentially similar to</w:t>
      </w:r>
      <w:r w:rsidR="00BD1720">
        <w:rPr>
          <w:rFonts w:asciiTheme="majorHAnsi" w:hAnsiTheme="majorHAnsi"/>
          <w:sz w:val="24"/>
          <w:szCs w:val="24"/>
        </w:rPr>
        <w:t xml:space="preserve"> the </w:t>
      </w:r>
      <w:r w:rsidR="00A84982">
        <w:rPr>
          <w:rFonts w:asciiTheme="majorHAnsi" w:hAnsiTheme="majorHAnsi"/>
          <w:sz w:val="24"/>
          <w:szCs w:val="24"/>
        </w:rPr>
        <w:t xml:space="preserve">modern, </w:t>
      </w:r>
      <w:r w:rsidR="00BD1720">
        <w:rPr>
          <w:rFonts w:asciiTheme="majorHAnsi" w:hAnsiTheme="majorHAnsi"/>
          <w:sz w:val="24"/>
          <w:szCs w:val="24"/>
        </w:rPr>
        <w:t>metaphysi</w:t>
      </w:r>
      <w:r w:rsidR="00A84982">
        <w:rPr>
          <w:rFonts w:asciiTheme="majorHAnsi" w:hAnsiTheme="majorHAnsi"/>
          <w:sz w:val="24"/>
          <w:szCs w:val="24"/>
        </w:rPr>
        <w:t>cal concept of the “nation.”  He</w:t>
      </w:r>
      <w:r w:rsidR="00BD1720">
        <w:rPr>
          <w:rFonts w:asciiTheme="majorHAnsi" w:hAnsiTheme="majorHAnsi"/>
          <w:sz w:val="24"/>
          <w:szCs w:val="24"/>
        </w:rPr>
        <w:t xml:space="preserve"> did not attempt to explain </w:t>
      </w:r>
      <w:r w:rsidR="00BD1720">
        <w:rPr>
          <w:rFonts w:asciiTheme="majorHAnsi" w:hAnsiTheme="majorHAnsi"/>
          <w:i/>
          <w:sz w:val="24"/>
          <w:szCs w:val="24"/>
        </w:rPr>
        <w:t>why</w:t>
      </w:r>
      <w:r w:rsidR="00BD1720">
        <w:rPr>
          <w:rFonts w:asciiTheme="majorHAnsi" w:hAnsiTheme="majorHAnsi"/>
          <w:sz w:val="24"/>
          <w:szCs w:val="24"/>
        </w:rPr>
        <w:t xml:space="preserve"> there were different nations (or several </w:t>
      </w:r>
      <w:r w:rsidR="00A84982">
        <w:rPr>
          <w:rFonts w:asciiTheme="majorHAnsi" w:hAnsiTheme="majorHAnsi"/>
          <w:sz w:val="24"/>
          <w:szCs w:val="24"/>
        </w:rPr>
        <w:t>general wills) in the world.  He</w:t>
      </w:r>
      <w:r w:rsidR="00BD1720">
        <w:rPr>
          <w:rFonts w:asciiTheme="majorHAnsi" w:hAnsiTheme="majorHAnsi"/>
          <w:sz w:val="24"/>
          <w:szCs w:val="24"/>
        </w:rPr>
        <w:t xml:space="preserve"> merely asserted that such wills exist and that individuals were to consult their respective general will.</w:t>
      </w:r>
    </w:p>
    <w:p w:rsidR="008053C4" w:rsidRPr="00CB466E" w:rsidRDefault="0005424B" w:rsidP="006D1B67">
      <w:pPr>
        <w:rPr>
          <w:rFonts w:asciiTheme="majorHAnsi" w:hAnsiTheme="majorHAnsi"/>
          <w:sz w:val="24"/>
          <w:szCs w:val="24"/>
        </w:rPr>
      </w:pPr>
      <w:r>
        <w:rPr>
          <w:rFonts w:asciiTheme="majorHAnsi" w:hAnsiTheme="majorHAnsi"/>
          <w:sz w:val="24"/>
          <w:szCs w:val="24"/>
        </w:rPr>
        <w:tab/>
        <w:t>As a necessary</w:t>
      </w:r>
      <w:r w:rsidR="008053C4">
        <w:rPr>
          <w:rFonts w:asciiTheme="majorHAnsi" w:hAnsiTheme="majorHAnsi"/>
          <w:sz w:val="24"/>
          <w:szCs w:val="24"/>
        </w:rPr>
        <w:t xml:space="preserve"> supplement </w:t>
      </w:r>
      <w:r>
        <w:rPr>
          <w:rFonts w:asciiTheme="majorHAnsi" w:hAnsiTheme="majorHAnsi"/>
          <w:sz w:val="24"/>
          <w:szCs w:val="24"/>
        </w:rPr>
        <w:t xml:space="preserve">to </w:t>
      </w:r>
      <w:r w:rsidR="00AE7351">
        <w:rPr>
          <w:rFonts w:asciiTheme="majorHAnsi" w:hAnsiTheme="majorHAnsi"/>
          <w:sz w:val="24"/>
          <w:szCs w:val="24"/>
        </w:rPr>
        <w:t xml:space="preserve">the </w:t>
      </w:r>
      <w:r w:rsidR="008053C4">
        <w:rPr>
          <w:rFonts w:asciiTheme="majorHAnsi" w:hAnsiTheme="majorHAnsi"/>
          <w:sz w:val="24"/>
          <w:szCs w:val="24"/>
        </w:rPr>
        <w:t>general will, Rousseau advocated a “civil religion.</w:t>
      </w:r>
      <w:r>
        <w:rPr>
          <w:rFonts w:asciiTheme="majorHAnsi" w:hAnsiTheme="majorHAnsi"/>
          <w:sz w:val="24"/>
          <w:szCs w:val="24"/>
        </w:rPr>
        <w:t>”</w:t>
      </w:r>
      <w:r w:rsidR="008053C4">
        <w:rPr>
          <w:rFonts w:asciiTheme="majorHAnsi" w:hAnsiTheme="majorHAnsi"/>
          <w:sz w:val="24"/>
          <w:szCs w:val="24"/>
        </w:rPr>
        <w:t xml:space="preserve">  </w:t>
      </w:r>
      <w:r w:rsidR="007362E8">
        <w:rPr>
          <w:rFonts w:asciiTheme="majorHAnsi" w:hAnsiTheme="majorHAnsi"/>
          <w:sz w:val="24"/>
          <w:szCs w:val="24"/>
        </w:rPr>
        <w:t>He</w:t>
      </w:r>
      <w:r w:rsidR="008053C4">
        <w:rPr>
          <w:rFonts w:asciiTheme="majorHAnsi" w:hAnsiTheme="majorHAnsi"/>
          <w:sz w:val="24"/>
          <w:szCs w:val="24"/>
        </w:rPr>
        <w:t xml:space="preserve"> suggested replacing “superstitious” traditional religion with a civil religion, not unlike Hume’s natural religion.</w:t>
      </w:r>
      <w:r w:rsidR="006E7376">
        <w:rPr>
          <w:rStyle w:val="FootnoteReference"/>
          <w:rFonts w:asciiTheme="majorHAnsi" w:hAnsiTheme="majorHAnsi"/>
          <w:sz w:val="24"/>
          <w:szCs w:val="24"/>
        </w:rPr>
        <w:footnoteReference w:id="32"/>
      </w:r>
      <w:r w:rsidR="008053C4">
        <w:rPr>
          <w:rFonts w:asciiTheme="majorHAnsi" w:hAnsiTheme="majorHAnsi"/>
          <w:sz w:val="24"/>
          <w:szCs w:val="24"/>
        </w:rPr>
        <w:t xml:space="preserve">  Rousseau agreed with the </w:t>
      </w:r>
      <w:r w:rsidR="008053C4">
        <w:rPr>
          <w:rFonts w:asciiTheme="majorHAnsi" w:hAnsiTheme="majorHAnsi"/>
          <w:i/>
          <w:sz w:val="24"/>
          <w:szCs w:val="24"/>
        </w:rPr>
        <w:t>philosophes’</w:t>
      </w:r>
      <w:r w:rsidR="008053C4">
        <w:rPr>
          <w:rFonts w:asciiTheme="majorHAnsi" w:hAnsiTheme="majorHAnsi"/>
          <w:sz w:val="24"/>
          <w:szCs w:val="24"/>
        </w:rPr>
        <w:t xml:space="preserve"> critique of traditional religio</w:t>
      </w:r>
      <w:r>
        <w:rPr>
          <w:rFonts w:asciiTheme="majorHAnsi" w:hAnsiTheme="majorHAnsi"/>
          <w:sz w:val="24"/>
          <w:szCs w:val="24"/>
        </w:rPr>
        <w:t>n, but not to the extent that this critique might undermine</w:t>
      </w:r>
      <w:r w:rsidR="008053C4">
        <w:rPr>
          <w:rFonts w:asciiTheme="majorHAnsi" w:hAnsiTheme="majorHAnsi"/>
          <w:sz w:val="24"/>
          <w:szCs w:val="24"/>
        </w:rPr>
        <w:t xml:space="preserve"> the social cohesion </w:t>
      </w:r>
      <w:r w:rsidR="007362E8">
        <w:rPr>
          <w:rFonts w:asciiTheme="majorHAnsi" w:hAnsiTheme="majorHAnsi"/>
          <w:sz w:val="24"/>
          <w:szCs w:val="24"/>
        </w:rPr>
        <w:t xml:space="preserve">that </w:t>
      </w:r>
      <w:r w:rsidR="008053C4">
        <w:rPr>
          <w:rFonts w:asciiTheme="majorHAnsi" w:hAnsiTheme="majorHAnsi"/>
          <w:sz w:val="24"/>
          <w:szCs w:val="24"/>
        </w:rPr>
        <w:t>religious institutions provided.</w:t>
      </w:r>
      <w:r w:rsidR="006E7376">
        <w:rPr>
          <w:rStyle w:val="FootnoteReference"/>
          <w:rFonts w:asciiTheme="majorHAnsi" w:hAnsiTheme="majorHAnsi"/>
          <w:sz w:val="24"/>
          <w:szCs w:val="24"/>
        </w:rPr>
        <w:footnoteReference w:id="33"/>
      </w:r>
      <w:r w:rsidR="008053C4">
        <w:rPr>
          <w:rFonts w:asciiTheme="majorHAnsi" w:hAnsiTheme="majorHAnsi"/>
          <w:sz w:val="24"/>
          <w:szCs w:val="24"/>
        </w:rPr>
        <w:t xml:space="preserve">  </w:t>
      </w:r>
      <w:r w:rsidR="001D695A">
        <w:rPr>
          <w:rFonts w:asciiTheme="majorHAnsi" w:hAnsiTheme="majorHAnsi"/>
          <w:sz w:val="24"/>
          <w:szCs w:val="24"/>
        </w:rPr>
        <w:t xml:space="preserve">As Simon </w:t>
      </w:r>
      <w:proofErr w:type="spellStart"/>
      <w:r w:rsidR="001D695A">
        <w:rPr>
          <w:rFonts w:asciiTheme="majorHAnsi" w:hAnsiTheme="majorHAnsi"/>
          <w:sz w:val="24"/>
          <w:szCs w:val="24"/>
        </w:rPr>
        <w:t>Critchley</w:t>
      </w:r>
      <w:proofErr w:type="spellEnd"/>
      <w:r w:rsidR="001D695A">
        <w:rPr>
          <w:rFonts w:asciiTheme="majorHAnsi" w:hAnsiTheme="majorHAnsi"/>
          <w:sz w:val="24"/>
          <w:szCs w:val="24"/>
        </w:rPr>
        <w:t xml:space="preserve"> argues, Rousseau recognized “the motivational inadequacy of a purely philosophical account of politics and</w:t>
      </w:r>
      <w:r w:rsidR="007362E8">
        <w:rPr>
          <w:rFonts w:asciiTheme="majorHAnsi" w:hAnsiTheme="majorHAnsi"/>
          <w:sz w:val="24"/>
          <w:szCs w:val="24"/>
        </w:rPr>
        <w:t xml:space="preserve"> offer[</w:t>
      </w:r>
      <w:proofErr w:type="spellStart"/>
      <w:r w:rsidR="007362E8">
        <w:rPr>
          <w:rFonts w:asciiTheme="majorHAnsi" w:hAnsiTheme="majorHAnsi"/>
          <w:sz w:val="24"/>
          <w:szCs w:val="24"/>
        </w:rPr>
        <w:t>ed</w:t>
      </w:r>
      <w:proofErr w:type="spellEnd"/>
      <w:r w:rsidR="007362E8">
        <w:rPr>
          <w:rFonts w:asciiTheme="majorHAnsi" w:hAnsiTheme="majorHAnsi"/>
          <w:sz w:val="24"/>
          <w:szCs w:val="24"/>
        </w:rPr>
        <w:t>]</w:t>
      </w:r>
      <w:r w:rsidR="001D695A">
        <w:rPr>
          <w:rFonts w:asciiTheme="majorHAnsi" w:hAnsiTheme="majorHAnsi"/>
          <w:sz w:val="24"/>
          <w:szCs w:val="24"/>
        </w:rPr>
        <w:t xml:space="preserve"> a picture of a political religion.”</w:t>
      </w:r>
      <w:r w:rsidR="001D695A">
        <w:rPr>
          <w:rStyle w:val="FootnoteReference"/>
          <w:rFonts w:asciiTheme="majorHAnsi" w:hAnsiTheme="majorHAnsi"/>
          <w:sz w:val="24"/>
          <w:szCs w:val="24"/>
        </w:rPr>
        <w:footnoteReference w:id="34"/>
      </w:r>
      <w:r w:rsidR="007362E8">
        <w:rPr>
          <w:rFonts w:asciiTheme="majorHAnsi" w:hAnsiTheme="majorHAnsi"/>
          <w:sz w:val="24"/>
          <w:szCs w:val="24"/>
        </w:rPr>
        <w:t xml:space="preserve">  Rousseau kne</w:t>
      </w:r>
      <w:r w:rsidR="001D695A">
        <w:rPr>
          <w:rFonts w:asciiTheme="majorHAnsi" w:hAnsiTheme="majorHAnsi"/>
          <w:sz w:val="24"/>
          <w:szCs w:val="24"/>
        </w:rPr>
        <w:t>w</w:t>
      </w:r>
      <w:r w:rsidR="008053C4">
        <w:rPr>
          <w:rFonts w:asciiTheme="majorHAnsi" w:hAnsiTheme="majorHAnsi"/>
          <w:sz w:val="24"/>
          <w:szCs w:val="24"/>
        </w:rPr>
        <w:t xml:space="preserve"> that Reason must be supplemented with passion, at least in the political sphere.  Vague commitments to “humanity” would not inspire </w:t>
      </w:r>
      <w:r w:rsidR="00AE7351">
        <w:rPr>
          <w:rFonts w:asciiTheme="majorHAnsi" w:hAnsiTheme="majorHAnsi"/>
          <w:sz w:val="24"/>
          <w:szCs w:val="24"/>
        </w:rPr>
        <w:t xml:space="preserve">sufficient </w:t>
      </w:r>
      <w:r w:rsidR="008053C4">
        <w:rPr>
          <w:rFonts w:asciiTheme="majorHAnsi" w:hAnsiTheme="majorHAnsi"/>
          <w:sz w:val="24"/>
          <w:szCs w:val="24"/>
        </w:rPr>
        <w:t>passion:  self-love could only be counteracted with another love.</w:t>
      </w:r>
      <w:r w:rsidR="006E7376">
        <w:rPr>
          <w:rStyle w:val="FootnoteReference"/>
          <w:rFonts w:asciiTheme="majorHAnsi" w:hAnsiTheme="majorHAnsi"/>
          <w:sz w:val="24"/>
          <w:szCs w:val="24"/>
        </w:rPr>
        <w:footnoteReference w:id="35"/>
      </w:r>
      <w:r w:rsidR="008053C4">
        <w:rPr>
          <w:rFonts w:asciiTheme="majorHAnsi" w:hAnsiTheme="majorHAnsi"/>
          <w:sz w:val="24"/>
          <w:szCs w:val="24"/>
        </w:rPr>
        <w:t xml:space="preserve">  Rousseau argued this new love was generated when individuals felt “themselves to be members of the </w:t>
      </w:r>
      <w:proofErr w:type="spellStart"/>
      <w:r w:rsidR="008053C4">
        <w:rPr>
          <w:rFonts w:asciiTheme="majorHAnsi" w:hAnsiTheme="majorHAnsi"/>
          <w:sz w:val="24"/>
          <w:szCs w:val="24"/>
        </w:rPr>
        <w:t>patrie</w:t>
      </w:r>
      <w:proofErr w:type="spellEnd"/>
      <w:r w:rsidR="008053C4">
        <w:rPr>
          <w:rFonts w:asciiTheme="majorHAnsi" w:hAnsiTheme="majorHAnsi"/>
          <w:sz w:val="24"/>
          <w:szCs w:val="24"/>
        </w:rPr>
        <w:t xml:space="preserve">” and they would “love [the </w:t>
      </w:r>
      <w:proofErr w:type="spellStart"/>
      <w:r w:rsidR="008053C4">
        <w:rPr>
          <w:rFonts w:asciiTheme="majorHAnsi" w:hAnsiTheme="majorHAnsi"/>
          <w:sz w:val="24"/>
          <w:szCs w:val="24"/>
        </w:rPr>
        <w:t>patrie</w:t>
      </w:r>
      <w:proofErr w:type="spellEnd"/>
      <w:r w:rsidR="008053C4">
        <w:rPr>
          <w:rFonts w:asciiTheme="majorHAnsi" w:hAnsiTheme="majorHAnsi"/>
          <w:sz w:val="24"/>
          <w:szCs w:val="24"/>
        </w:rPr>
        <w:t xml:space="preserve">] with that delicate feeling that any </w:t>
      </w:r>
      <w:r w:rsidR="008053C4">
        <w:rPr>
          <w:rFonts w:asciiTheme="majorHAnsi" w:hAnsiTheme="majorHAnsi"/>
          <w:sz w:val="24"/>
          <w:szCs w:val="24"/>
        </w:rPr>
        <w:lastRenderedPageBreak/>
        <w:t xml:space="preserve">isolated man feels only for </w:t>
      </w:r>
      <w:proofErr w:type="gramStart"/>
      <w:r w:rsidR="008053C4">
        <w:rPr>
          <w:rFonts w:asciiTheme="majorHAnsi" w:hAnsiTheme="majorHAnsi"/>
          <w:sz w:val="24"/>
          <w:szCs w:val="24"/>
        </w:rPr>
        <w:t>himself</w:t>
      </w:r>
      <w:proofErr w:type="gramEnd"/>
      <w:r w:rsidR="008053C4">
        <w:rPr>
          <w:rFonts w:asciiTheme="majorHAnsi" w:hAnsiTheme="majorHAnsi"/>
          <w:sz w:val="24"/>
          <w:szCs w:val="24"/>
        </w:rPr>
        <w:t>.”</w:t>
      </w:r>
      <w:r w:rsidR="006E7376">
        <w:rPr>
          <w:rStyle w:val="FootnoteReference"/>
          <w:rFonts w:asciiTheme="majorHAnsi" w:hAnsiTheme="majorHAnsi"/>
          <w:sz w:val="24"/>
          <w:szCs w:val="24"/>
        </w:rPr>
        <w:footnoteReference w:id="36"/>
      </w:r>
      <w:r w:rsidR="008053C4">
        <w:rPr>
          <w:rFonts w:asciiTheme="majorHAnsi" w:hAnsiTheme="majorHAnsi"/>
          <w:sz w:val="24"/>
          <w:szCs w:val="24"/>
        </w:rPr>
        <w:t xml:space="preserve">  </w:t>
      </w:r>
      <w:r w:rsidR="00CB466E">
        <w:rPr>
          <w:rFonts w:asciiTheme="majorHAnsi" w:hAnsiTheme="majorHAnsi"/>
          <w:sz w:val="24"/>
          <w:szCs w:val="24"/>
        </w:rPr>
        <w:t xml:space="preserve">Civil religion provided the </w:t>
      </w:r>
      <w:r w:rsidR="00CB466E">
        <w:rPr>
          <w:rFonts w:asciiTheme="majorHAnsi" w:hAnsiTheme="majorHAnsi"/>
          <w:i/>
          <w:sz w:val="24"/>
          <w:szCs w:val="24"/>
        </w:rPr>
        <w:t>passion</w:t>
      </w:r>
      <w:r w:rsidR="00CB466E">
        <w:rPr>
          <w:rFonts w:asciiTheme="majorHAnsi" w:hAnsiTheme="majorHAnsi"/>
          <w:sz w:val="24"/>
          <w:szCs w:val="24"/>
        </w:rPr>
        <w:t xml:space="preserve"> that prompted citizens to obey </w:t>
      </w:r>
      <w:r w:rsidR="00CB466E">
        <w:rPr>
          <w:rFonts w:asciiTheme="majorHAnsi" w:hAnsiTheme="majorHAnsi"/>
          <w:i/>
          <w:sz w:val="24"/>
          <w:szCs w:val="24"/>
        </w:rPr>
        <w:t>Reason</w:t>
      </w:r>
      <w:r w:rsidR="00CB466E">
        <w:rPr>
          <w:rFonts w:asciiTheme="majorHAnsi" w:hAnsiTheme="majorHAnsi"/>
          <w:sz w:val="24"/>
          <w:szCs w:val="24"/>
        </w:rPr>
        <w:t xml:space="preserve">, meaning </w:t>
      </w:r>
      <w:r w:rsidR="00EA09DA">
        <w:rPr>
          <w:rFonts w:asciiTheme="majorHAnsi" w:hAnsiTheme="majorHAnsi"/>
          <w:sz w:val="24"/>
          <w:szCs w:val="24"/>
        </w:rPr>
        <w:t xml:space="preserve">in this case </w:t>
      </w:r>
      <w:r w:rsidR="00CB466E">
        <w:rPr>
          <w:rFonts w:asciiTheme="majorHAnsi" w:hAnsiTheme="majorHAnsi"/>
          <w:sz w:val="24"/>
          <w:szCs w:val="24"/>
        </w:rPr>
        <w:t>the general will.</w:t>
      </w:r>
    </w:p>
    <w:p w:rsidR="00887B37" w:rsidRDefault="00550AA6" w:rsidP="006D1B67">
      <w:pPr>
        <w:rPr>
          <w:rFonts w:asciiTheme="majorHAnsi" w:hAnsiTheme="majorHAnsi"/>
          <w:sz w:val="24"/>
          <w:szCs w:val="24"/>
        </w:rPr>
      </w:pPr>
      <w:r>
        <w:rPr>
          <w:rFonts w:asciiTheme="majorHAnsi" w:hAnsiTheme="majorHAnsi"/>
          <w:sz w:val="24"/>
          <w:szCs w:val="24"/>
        </w:rPr>
        <w:tab/>
        <w:t>French Revolutionary intellectuals and later nationalist writers recognized that for nationalism to m</w:t>
      </w:r>
      <w:r w:rsidR="002A4031">
        <w:rPr>
          <w:rFonts w:asciiTheme="majorHAnsi" w:hAnsiTheme="majorHAnsi"/>
          <w:sz w:val="24"/>
          <w:szCs w:val="24"/>
        </w:rPr>
        <w:t>otivate action, the particular N</w:t>
      </w:r>
      <w:r>
        <w:rPr>
          <w:rFonts w:asciiTheme="majorHAnsi" w:hAnsiTheme="majorHAnsi"/>
          <w:sz w:val="24"/>
          <w:szCs w:val="24"/>
        </w:rPr>
        <w:t xml:space="preserve">ation must be infused with meaning and purpose.  Rousseau’s position in the </w:t>
      </w:r>
      <w:r>
        <w:rPr>
          <w:rFonts w:asciiTheme="majorHAnsi" w:hAnsiTheme="majorHAnsi"/>
          <w:i/>
          <w:sz w:val="24"/>
          <w:szCs w:val="24"/>
        </w:rPr>
        <w:t>Discourse on Inequality</w:t>
      </w:r>
      <w:r>
        <w:rPr>
          <w:rFonts w:asciiTheme="majorHAnsi" w:hAnsiTheme="majorHAnsi"/>
          <w:sz w:val="24"/>
          <w:szCs w:val="24"/>
        </w:rPr>
        <w:t xml:space="preserve"> was that national distinctions</w:t>
      </w:r>
      <w:r w:rsidR="003B6B5E">
        <w:rPr>
          <w:rFonts w:asciiTheme="majorHAnsi" w:hAnsiTheme="majorHAnsi"/>
          <w:sz w:val="24"/>
          <w:szCs w:val="24"/>
        </w:rPr>
        <w:t xml:space="preserve"> (like other human institutions)</w:t>
      </w:r>
      <w:r>
        <w:rPr>
          <w:rFonts w:asciiTheme="majorHAnsi" w:hAnsiTheme="majorHAnsi"/>
          <w:sz w:val="24"/>
          <w:szCs w:val="24"/>
        </w:rPr>
        <w:t xml:space="preserve"> were ar</w:t>
      </w:r>
      <w:r w:rsidR="00F56B16">
        <w:rPr>
          <w:rFonts w:asciiTheme="majorHAnsi" w:hAnsiTheme="majorHAnsi"/>
          <w:sz w:val="24"/>
          <w:szCs w:val="24"/>
        </w:rPr>
        <w:t>tificial, rather than natural.  This raised a new complication: if the N</w:t>
      </w:r>
      <w:r w:rsidR="003B6B5E">
        <w:rPr>
          <w:rFonts w:asciiTheme="majorHAnsi" w:hAnsiTheme="majorHAnsi"/>
          <w:sz w:val="24"/>
          <w:szCs w:val="24"/>
        </w:rPr>
        <w:t xml:space="preserve">ation were </w:t>
      </w:r>
      <w:r w:rsidR="00AE7351">
        <w:rPr>
          <w:rFonts w:asciiTheme="majorHAnsi" w:hAnsiTheme="majorHAnsi"/>
          <w:sz w:val="24"/>
          <w:szCs w:val="24"/>
        </w:rPr>
        <w:t xml:space="preserve">perceived as </w:t>
      </w:r>
      <w:r w:rsidR="003B6B5E">
        <w:rPr>
          <w:rFonts w:asciiTheme="majorHAnsi" w:hAnsiTheme="majorHAnsi"/>
          <w:sz w:val="24"/>
          <w:szCs w:val="24"/>
        </w:rPr>
        <w:t xml:space="preserve">a </w:t>
      </w:r>
      <w:r w:rsidR="002A4031">
        <w:rPr>
          <w:rFonts w:asciiTheme="majorHAnsi" w:hAnsiTheme="majorHAnsi"/>
          <w:sz w:val="24"/>
          <w:szCs w:val="24"/>
        </w:rPr>
        <w:t>humanly-</w:t>
      </w:r>
      <w:r w:rsidR="003B6B5E">
        <w:rPr>
          <w:rFonts w:asciiTheme="majorHAnsi" w:hAnsiTheme="majorHAnsi"/>
          <w:sz w:val="24"/>
          <w:szCs w:val="24"/>
        </w:rPr>
        <w:t xml:space="preserve">constructed thing, this </w:t>
      </w:r>
      <w:r w:rsidR="00F56B16">
        <w:rPr>
          <w:rFonts w:asciiTheme="majorHAnsi" w:hAnsiTheme="majorHAnsi"/>
          <w:sz w:val="24"/>
          <w:szCs w:val="24"/>
        </w:rPr>
        <w:t>could undermine its ability to efficiently</w:t>
      </w:r>
      <w:r w:rsidR="003B6B5E">
        <w:rPr>
          <w:rFonts w:asciiTheme="majorHAnsi" w:hAnsiTheme="majorHAnsi"/>
          <w:sz w:val="24"/>
          <w:szCs w:val="24"/>
        </w:rPr>
        <w:t xml:space="preserve"> mobilize compliance from the population.</w:t>
      </w:r>
      <w:r w:rsidR="00F56B16">
        <w:rPr>
          <w:rFonts w:asciiTheme="majorHAnsi" w:hAnsiTheme="majorHAnsi"/>
          <w:sz w:val="24"/>
          <w:szCs w:val="24"/>
        </w:rPr>
        <w:t xml:space="preserve">  Rulers and political practitioners found an a</w:t>
      </w:r>
      <w:r w:rsidR="00A431A2">
        <w:rPr>
          <w:rFonts w:asciiTheme="majorHAnsi" w:hAnsiTheme="majorHAnsi"/>
          <w:sz w:val="24"/>
          <w:szCs w:val="24"/>
        </w:rPr>
        <w:t>nswer to this in the works of several</w:t>
      </w:r>
      <w:r w:rsidR="00F56B16">
        <w:rPr>
          <w:rFonts w:asciiTheme="majorHAnsi" w:hAnsiTheme="majorHAnsi"/>
          <w:sz w:val="24"/>
          <w:szCs w:val="24"/>
        </w:rPr>
        <w:t xml:space="preserve"> Counter-Enlightenment authors</w:t>
      </w:r>
      <w:r w:rsidR="002E2C97">
        <w:rPr>
          <w:rFonts w:asciiTheme="majorHAnsi" w:hAnsiTheme="majorHAnsi"/>
          <w:sz w:val="24"/>
          <w:szCs w:val="24"/>
        </w:rPr>
        <w:t>, including Jo</w:t>
      </w:r>
      <w:r w:rsidR="00981979">
        <w:rPr>
          <w:rFonts w:asciiTheme="majorHAnsi" w:hAnsiTheme="majorHAnsi"/>
          <w:sz w:val="24"/>
          <w:szCs w:val="24"/>
        </w:rPr>
        <w:t xml:space="preserve">hann Herder, </w:t>
      </w:r>
      <w:r w:rsidR="00F56B16">
        <w:rPr>
          <w:rFonts w:asciiTheme="majorHAnsi" w:hAnsiTheme="majorHAnsi"/>
          <w:sz w:val="24"/>
          <w:szCs w:val="24"/>
        </w:rPr>
        <w:t xml:space="preserve">who </w:t>
      </w:r>
      <w:r w:rsidR="00981979">
        <w:rPr>
          <w:rFonts w:asciiTheme="majorHAnsi" w:hAnsiTheme="majorHAnsi"/>
          <w:sz w:val="24"/>
          <w:szCs w:val="24"/>
        </w:rPr>
        <w:t>asserted that the N</w:t>
      </w:r>
      <w:r w:rsidR="002E2C97">
        <w:rPr>
          <w:rFonts w:asciiTheme="majorHAnsi" w:hAnsiTheme="majorHAnsi"/>
          <w:sz w:val="24"/>
          <w:szCs w:val="24"/>
        </w:rPr>
        <w:t xml:space="preserve">ation was natural and </w:t>
      </w:r>
      <w:r w:rsidR="00981979">
        <w:rPr>
          <w:rFonts w:asciiTheme="majorHAnsi" w:hAnsiTheme="majorHAnsi"/>
          <w:sz w:val="24"/>
          <w:szCs w:val="24"/>
        </w:rPr>
        <w:t>essential</w:t>
      </w:r>
      <w:r w:rsidR="002E2C97">
        <w:rPr>
          <w:rFonts w:asciiTheme="majorHAnsi" w:hAnsiTheme="majorHAnsi"/>
          <w:sz w:val="24"/>
          <w:szCs w:val="24"/>
        </w:rPr>
        <w:t xml:space="preserve"> for human freedom.</w:t>
      </w:r>
    </w:p>
    <w:p w:rsidR="00FD1CF6" w:rsidRDefault="002607E2" w:rsidP="006D1B67">
      <w:pPr>
        <w:rPr>
          <w:rFonts w:asciiTheme="majorHAnsi" w:hAnsiTheme="majorHAnsi"/>
          <w:sz w:val="24"/>
          <w:szCs w:val="24"/>
        </w:rPr>
      </w:pPr>
      <w:r>
        <w:rPr>
          <w:rFonts w:asciiTheme="majorHAnsi" w:hAnsiTheme="majorHAnsi"/>
          <w:sz w:val="24"/>
          <w:szCs w:val="24"/>
        </w:rPr>
        <w:tab/>
        <w:t>Herder a</w:t>
      </w:r>
      <w:r w:rsidR="004511F3">
        <w:rPr>
          <w:rFonts w:asciiTheme="majorHAnsi" w:hAnsiTheme="majorHAnsi"/>
          <w:sz w:val="24"/>
          <w:szCs w:val="24"/>
        </w:rPr>
        <w:t>rgued</w:t>
      </w:r>
      <w:r>
        <w:rPr>
          <w:rFonts w:asciiTheme="majorHAnsi" w:hAnsiTheme="majorHAnsi"/>
          <w:sz w:val="24"/>
          <w:szCs w:val="24"/>
        </w:rPr>
        <w:t xml:space="preserve"> the N</w:t>
      </w:r>
      <w:r w:rsidR="00FD1CF6">
        <w:rPr>
          <w:rFonts w:asciiTheme="majorHAnsi" w:hAnsiTheme="majorHAnsi"/>
          <w:sz w:val="24"/>
          <w:szCs w:val="24"/>
        </w:rPr>
        <w:t>ation</w:t>
      </w:r>
      <w:r w:rsidR="003D085A">
        <w:rPr>
          <w:rFonts w:asciiTheme="majorHAnsi" w:hAnsiTheme="majorHAnsi"/>
          <w:sz w:val="24"/>
          <w:szCs w:val="24"/>
        </w:rPr>
        <w:t>, as opposed to the individual,</w:t>
      </w:r>
      <w:r w:rsidR="00FD1CF6">
        <w:rPr>
          <w:rFonts w:asciiTheme="majorHAnsi" w:hAnsiTheme="majorHAnsi"/>
          <w:sz w:val="24"/>
          <w:szCs w:val="24"/>
        </w:rPr>
        <w:t xml:space="preserve"> was “the basic unit of humanity.”</w:t>
      </w:r>
      <w:r w:rsidR="00412AC6">
        <w:rPr>
          <w:rStyle w:val="FootnoteReference"/>
          <w:rFonts w:asciiTheme="majorHAnsi" w:hAnsiTheme="majorHAnsi"/>
          <w:sz w:val="24"/>
          <w:szCs w:val="24"/>
        </w:rPr>
        <w:footnoteReference w:id="37"/>
      </w:r>
      <w:r w:rsidR="00FD1CF6">
        <w:rPr>
          <w:rFonts w:asciiTheme="majorHAnsi" w:hAnsiTheme="majorHAnsi"/>
          <w:sz w:val="24"/>
          <w:szCs w:val="24"/>
        </w:rPr>
        <w:t xml:space="preserve">  An individual was nothing outside his o</w:t>
      </w:r>
      <w:r>
        <w:rPr>
          <w:rFonts w:asciiTheme="majorHAnsi" w:hAnsiTheme="majorHAnsi"/>
          <w:sz w:val="24"/>
          <w:szCs w:val="24"/>
        </w:rPr>
        <w:t>r her N</w:t>
      </w:r>
      <w:r w:rsidR="00FD1CF6">
        <w:rPr>
          <w:rFonts w:asciiTheme="majorHAnsi" w:hAnsiTheme="majorHAnsi"/>
          <w:sz w:val="24"/>
          <w:szCs w:val="24"/>
        </w:rPr>
        <w:t>ation.  Individual thought was shaped by language, language reflected the culture, and each culture was unique.</w:t>
      </w:r>
      <w:r w:rsidR="006C7E30">
        <w:rPr>
          <w:rStyle w:val="FootnoteReference"/>
          <w:rFonts w:asciiTheme="majorHAnsi" w:hAnsiTheme="majorHAnsi"/>
          <w:sz w:val="24"/>
          <w:szCs w:val="24"/>
        </w:rPr>
        <w:footnoteReference w:id="38"/>
      </w:r>
      <w:r w:rsidR="00FD1CF6">
        <w:rPr>
          <w:rFonts w:asciiTheme="majorHAnsi" w:hAnsiTheme="majorHAnsi"/>
          <w:sz w:val="24"/>
          <w:szCs w:val="24"/>
        </w:rPr>
        <w:t xml:space="preserve">  Thus, human nature itself was not u</w:t>
      </w:r>
      <w:r w:rsidR="004511F3">
        <w:rPr>
          <w:rFonts w:asciiTheme="majorHAnsi" w:hAnsiTheme="majorHAnsi"/>
          <w:sz w:val="24"/>
          <w:szCs w:val="24"/>
        </w:rPr>
        <w:t>niversal, but “</w:t>
      </w:r>
      <w:proofErr w:type="gramStart"/>
      <w:r w:rsidR="004511F3">
        <w:rPr>
          <w:rFonts w:asciiTheme="majorHAnsi" w:hAnsiTheme="majorHAnsi"/>
          <w:sz w:val="24"/>
          <w:szCs w:val="24"/>
        </w:rPr>
        <w:t>a pl</w:t>
      </w:r>
      <w:r w:rsidR="00FD1CF6">
        <w:rPr>
          <w:rFonts w:asciiTheme="majorHAnsi" w:hAnsiTheme="majorHAnsi"/>
          <w:sz w:val="24"/>
          <w:szCs w:val="24"/>
        </w:rPr>
        <w:t>i</w:t>
      </w:r>
      <w:r w:rsidR="004511F3">
        <w:rPr>
          <w:rFonts w:asciiTheme="majorHAnsi" w:hAnsiTheme="majorHAnsi"/>
          <w:sz w:val="24"/>
          <w:szCs w:val="24"/>
        </w:rPr>
        <w:t>a</w:t>
      </w:r>
      <w:r w:rsidR="00FD1CF6">
        <w:rPr>
          <w:rFonts w:asciiTheme="majorHAnsi" w:hAnsiTheme="majorHAnsi"/>
          <w:sz w:val="24"/>
          <w:szCs w:val="24"/>
        </w:rPr>
        <w:t>nt</w:t>
      </w:r>
      <w:proofErr w:type="gramEnd"/>
      <w:r w:rsidR="00FD1CF6">
        <w:rPr>
          <w:rFonts w:asciiTheme="majorHAnsi" w:hAnsiTheme="majorHAnsi"/>
          <w:sz w:val="24"/>
          <w:szCs w:val="24"/>
        </w:rPr>
        <w:t xml:space="preserve"> clay which assumes a different shape under different needs and circumstances.”</w:t>
      </w:r>
      <w:r w:rsidR="00412AC6">
        <w:rPr>
          <w:rStyle w:val="FootnoteReference"/>
          <w:rFonts w:asciiTheme="majorHAnsi" w:hAnsiTheme="majorHAnsi"/>
          <w:sz w:val="24"/>
          <w:szCs w:val="24"/>
        </w:rPr>
        <w:footnoteReference w:id="39"/>
      </w:r>
      <w:r w:rsidR="00FD1CF6">
        <w:rPr>
          <w:rFonts w:asciiTheme="majorHAnsi" w:hAnsiTheme="majorHAnsi"/>
          <w:sz w:val="24"/>
          <w:szCs w:val="24"/>
        </w:rPr>
        <w:t xml:space="preserve">  Since individual identity was derived in large part from t</w:t>
      </w:r>
      <w:r>
        <w:rPr>
          <w:rFonts w:asciiTheme="majorHAnsi" w:hAnsiTheme="majorHAnsi"/>
          <w:sz w:val="24"/>
          <w:szCs w:val="24"/>
        </w:rPr>
        <w:t>he N</w:t>
      </w:r>
      <w:r w:rsidR="00FD1CF6">
        <w:rPr>
          <w:rFonts w:asciiTheme="majorHAnsi" w:hAnsiTheme="majorHAnsi"/>
          <w:sz w:val="24"/>
          <w:szCs w:val="24"/>
        </w:rPr>
        <w:t>ation t</w:t>
      </w:r>
      <w:r>
        <w:rPr>
          <w:rFonts w:asciiTheme="majorHAnsi" w:hAnsiTheme="majorHAnsi"/>
          <w:sz w:val="24"/>
          <w:szCs w:val="24"/>
        </w:rPr>
        <w:t>o which a person belonged, the N</w:t>
      </w:r>
      <w:r w:rsidR="00FD1CF6">
        <w:rPr>
          <w:rFonts w:asciiTheme="majorHAnsi" w:hAnsiTheme="majorHAnsi"/>
          <w:sz w:val="24"/>
          <w:szCs w:val="24"/>
        </w:rPr>
        <w:t xml:space="preserve">ation </w:t>
      </w:r>
      <w:r w:rsidR="00FD1CF6">
        <w:rPr>
          <w:rFonts w:asciiTheme="majorHAnsi" w:hAnsiTheme="majorHAnsi"/>
          <w:i/>
          <w:sz w:val="24"/>
          <w:szCs w:val="24"/>
        </w:rPr>
        <w:t>was</w:t>
      </w:r>
      <w:r w:rsidR="00FD1CF6">
        <w:rPr>
          <w:rFonts w:asciiTheme="majorHAnsi" w:hAnsiTheme="majorHAnsi"/>
          <w:sz w:val="24"/>
          <w:szCs w:val="24"/>
        </w:rPr>
        <w:t xml:space="preserve"> the unique set of stories, myths, traditions, rituals, customs, language, and religion.</w:t>
      </w:r>
      <w:r w:rsidR="007C7446">
        <w:rPr>
          <w:rFonts w:asciiTheme="majorHAnsi" w:hAnsiTheme="majorHAnsi"/>
          <w:sz w:val="24"/>
          <w:szCs w:val="24"/>
        </w:rPr>
        <w:t xml:space="preserve">  For Herder, the Nation </w:t>
      </w:r>
      <w:r w:rsidR="00AB2F1C">
        <w:rPr>
          <w:rFonts w:asciiTheme="majorHAnsi" w:hAnsiTheme="majorHAnsi"/>
          <w:sz w:val="24"/>
          <w:szCs w:val="24"/>
        </w:rPr>
        <w:t xml:space="preserve">now </w:t>
      </w:r>
      <w:r w:rsidR="007C7446">
        <w:rPr>
          <w:rFonts w:asciiTheme="majorHAnsi" w:hAnsiTheme="majorHAnsi"/>
          <w:sz w:val="24"/>
          <w:szCs w:val="24"/>
        </w:rPr>
        <w:t>assumed the role and responsibilities of a</w:t>
      </w:r>
      <w:r>
        <w:rPr>
          <w:rFonts w:asciiTheme="majorHAnsi" w:hAnsiTheme="majorHAnsi"/>
          <w:sz w:val="24"/>
          <w:szCs w:val="24"/>
        </w:rPr>
        <w:t xml:space="preserve"> transcendent source of political credibility and authority that had traditionally belonged to God.</w:t>
      </w:r>
    </w:p>
    <w:p w:rsidR="002607E2" w:rsidRDefault="004511F3" w:rsidP="006D1B67">
      <w:pPr>
        <w:rPr>
          <w:rFonts w:asciiTheme="majorHAnsi" w:hAnsiTheme="majorHAnsi"/>
          <w:sz w:val="24"/>
          <w:szCs w:val="24"/>
        </w:rPr>
      </w:pPr>
      <w:r>
        <w:rPr>
          <w:rFonts w:asciiTheme="majorHAnsi" w:hAnsiTheme="majorHAnsi"/>
          <w:sz w:val="24"/>
          <w:szCs w:val="24"/>
        </w:rPr>
        <w:tab/>
        <w:t>Herder asserted that</w:t>
      </w:r>
      <w:r w:rsidR="002607E2">
        <w:rPr>
          <w:rFonts w:asciiTheme="majorHAnsi" w:hAnsiTheme="majorHAnsi"/>
          <w:sz w:val="24"/>
          <w:szCs w:val="24"/>
        </w:rPr>
        <w:t xml:space="preserve"> the inherent credibility and authority of</w:t>
      </w:r>
      <w:r w:rsidR="00482AD5">
        <w:rPr>
          <w:rFonts w:asciiTheme="majorHAnsi" w:hAnsiTheme="majorHAnsi"/>
          <w:sz w:val="24"/>
          <w:szCs w:val="24"/>
        </w:rPr>
        <w:t xml:space="preserve"> the</w:t>
      </w:r>
      <w:bookmarkStart w:id="0" w:name="_GoBack"/>
      <w:bookmarkEnd w:id="0"/>
      <w:r w:rsidR="002607E2">
        <w:rPr>
          <w:rFonts w:asciiTheme="majorHAnsi" w:hAnsiTheme="majorHAnsi"/>
          <w:sz w:val="24"/>
          <w:szCs w:val="24"/>
        </w:rPr>
        <w:t xml:space="preserve"> Nation came from several sources.  </w:t>
      </w:r>
      <w:r w:rsidR="006F2C1B">
        <w:rPr>
          <w:rFonts w:asciiTheme="majorHAnsi" w:hAnsiTheme="majorHAnsi"/>
          <w:sz w:val="24"/>
          <w:szCs w:val="24"/>
        </w:rPr>
        <w:t>T</w:t>
      </w:r>
      <w:r w:rsidR="002607E2">
        <w:rPr>
          <w:rFonts w:asciiTheme="majorHAnsi" w:hAnsiTheme="majorHAnsi"/>
          <w:sz w:val="24"/>
          <w:szCs w:val="24"/>
        </w:rPr>
        <w:t>here was</w:t>
      </w:r>
      <w:r w:rsidR="006F2C1B">
        <w:rPr>
          <w:rFonts w:asciiTheme="majorHAnsi" w:hAnsiTheme="majorHAnsi"/>
          <w:sz w:val="24"/>
          <w:szCs w:val="24"/>
        </w:rPr>
        <w:t>, he claimed,</w:t>
      </w:r>
      <w:r w:rsidR="002607E2">
        <w:rPr>
          <w:rFonts w:asciiTheme="majorHAnsi" w:hAnsiTheme="majorHAnsi"/>
          <w:sz w:val="24"/>
          <w:szCs w:val="24"/>
        </w:rPr>
        <w:t xml:space="preserve"> a deep psychological need in every person to </w:t>
      </w:r>
      <w:r w:rsidR="002607E2">
        <w:rPr>
          <w:rFonts w:asciiTheme="majorHAnsi" w:hAnsiTheme="majorHAnsi"/>
          <w:i/>
          <w:sz w:val="24"/>
          <w:szCs w:val="24"/>
        </w:rPr>
        <w:t>belong</w:t>
      </w:r>
      <w:r w:rsidR="005D66D9">
        <w:rPr>
          <w:rFonts w:asciiTheme="majorHAnsi" w:hAnsiTheme="majorHAnsi"/>
          <w:sz w:val="24"/>
          <w:szCs w:val="24"/>
        </w:rPr>
        <w:t xml:space="preserve"> </w:t>
      </w:r>
      <w:r w:rsidR="00AB2F1C">
        <w:rPr>
          <w:rFonts w:asciiTheme="majorHAnsi" w:hAnsiTheme="majorHAnsi"/>
          <w:sz w:val="24"/>
          <w:szCs w:val="24"/>
        </w:rPr>
        <w:t xml:space="preserve">that </w:t>
      </w:r>
      <w:r w:rsidR="005D66D9">
        <w:rPr>
          <w:rFonts w:asciiTheme="majorHAnsi" w:hAnsiTheme="majorHAnsi"/>
          <w:sz w:val="24"/>
          <w:szCs w:val="24"/>
        </w:rPr>
        <w:t>the Nation fulfilled.</w:t>
      </w:r>
      <w:r w:rsidR="00BA732E">
        <w:rPr>
          <w:rStyle w:val="FootnoteReference"/>
          <w:rFonts w:asciiTheme="majorHAnsi" w:hAnsiTheme="majorHAnsi"/>
          <w:sz w:val="24"/>
          <w:szCs w:val="24"/>
        </w:rPr>
        <w:footnoteReference w:id="40"/>
      </w:r>
      <w:r w:rsidR="005D66D9">
        <w:rPr>
          <w:rFonts w:asciiTheme="majorHAnsi" w:hAnsiTheme="majorHAnsi"/>
          <w:sz w:val="24"/>
          <w:szCs w:val="24"/>
        </w:rPr>
        <w:t xml:space="preserve">  Existing in a particular place at a particular time meant the individual was part of a particular culture and Nation, which was formative of that </w:t>
      </w:r>
      <w:r w:rsidR="005D66D9">
        <w:rPr>
          <w:rFonts w:asciiTheme="majorHAnsi" w:hAnsiTheme="majorHAnsi"/>
          <w:sz w:val="24"/>
          <w:szCs w:val="24"/>
        </w:rPr>
        <w:lastRenderedPageBreak/>
        <w:t xml:space="preserve">person’s identity.  But, </w:t>
      </w:r>
      <w:r>
        <w:rPr>
          <w:rFonts w:asciiTheme="majorHAnsi" w:hAnsiTheme="majorHAnsi"/>
          <w:sz w:val="24"/>
          <w:szCs w:val="24"/>
        </w:rPr>
        <w:t>f</w:t>
      </w:r>
      <w:r w:rsidR="006F2C1B">
        <w:rPr>
          <w:rFonts w:asciiTheme="majorHAnsi" w:hAnsiTheme="majorHAnsi"/>
          <w:sz w:val="24"/>
          <w:szCs w:val="24"/>
        </w:rPr>
        <w:t xml:space="preserve">or Herder </w:t>
      </w:r>
      <w:r w:rsidR="005D66D9">
        <w:rPr>
          <w:rFonts w:asciiTheme="majorHAnsi" w:hAnsiTheme="majorHAnsi"/>
          <w:sz w:val="24"/>
          <w:szCs w:val="24"/>
        </w:rPr>
        <w:t xml:space="preserve">the credibility and authority of the Nation came from more than just an accident of birth.  Each Nation was a </w:t>
      </w:r>
      <w:r w:rsidR="005D66D9">
        <w:rPr>
          <w:rFonts w:asciiTheme="majorHAnsi" w:hAnsiTheme="majorHAnsi"/>
          <w:i/>
          <w:sz w:val="24"/>
          <w:szCs w:val="24"/>
        </w:rPr>
        <w:t>natural</w:t>
      </w:r>
      <w:r w:rsidR="005D66D9">
        <w:rPr>
          <w:rFonts w:asciiTheme="majorHAnsi" w:hAnsiTheme="majorHAnsi"/>
          <w:sz w:val="24"/>
          <w:szCs w:val="24"/>
        </w:rPr>
        <w:t xml:space="preserve"> part of Humanity.</w:t>
      </w:r>
      <w:r w:rsidR="00BA732E">
        <w:rPr>
          <w:rStyle w:val="FootnoteReference"/>
          <w:rFonts w:asciiTheme="majorHAnsi" w:hAnsiTheme="majorHAnsi"/>
          <w:sz w:val="24"/>
          <w:szCs w:val="24"/>
        </w:rPr>
        <w:footnoteReference w:id="41"/>
      </w:r>
      <w:r w:rsidR="005D66D9">
        <w:rPr>
          <w:rFonts w:asciiTheme="majorHAnsi" w:hAnsiTheme="majorHAnsi"/>
          <w:sz w:val="24"/>
          <w:szCs w:val="24"/>
        </w:rPr>
        <w:t xml:space="preserve">  Every Nation, from the most advanced to most primitive, revealed some important aspect of Humanity (</w:t>
      </w:r>
      <w:proofErr w:type="spellStart"/>
      <w:r w:rsidR="005D66D9">
        <w:rPr>
          <w:rFonts w:asciiTheme="majorHAnsi" w:hAnsiTheme="majorHAnsi"/>
          <w:i/>
          <w:sz w:val="24"/>
          <w:szCs w:val="24"/>
        </w:rPr>
        <w:t>humanitat</w:t>
      </w:r>
      <w:proofErr w:type="spellEnd"/>
      <w:r w:rsidR="005D66D9">
        <w:rPr>
          <w:rFonts w:asciiTheme="majorHAnsi" w:hAnsiTheme="majorHAnsi"/>
          <w:sz w:val="24"/>
          <w:szCs w:val="24"/>
        </w:rPr>
        <w:t>).</w:t>
      </w:r>
      <w:r w:rsidR="00AC468C">
        <w:rPr>
          <w:rStyle w:val="FootnoteReference"/>
          <w:rFonts w:asciiTheme="majorHAnsi" w:hAnsiTheme="majorHAnsi"/>
          <w:sz w:val="24"/>
          <w:szCs w:val="24"/>
        </w:rPr>
        <w:footnoteReference w:id="42"/>
      </w:r>
      <w:r w:rsidR="005D66D9">
        <w:rPr>
          <w:rFonts w:asciiTheme="majorHAnsi" w:hAnsiTheme="majorHAnsi"/>
          <w:sz w:val="24"/>
          <w:szCs w:val="24"/>
        </w:rPr>
        <w:t xml:space="preserve">  Thus, an individual knows that his or her Nation wa</w:t>
      </w:r>
      <w:r w:rsidR="00AB2F1C">
        <w:rPr>
          <w:rFonts w:asciiTheme="majorHAnsi" w:hAnsiTheme="majorHAnsi"/>
          <w:sz w:val="24"/>
          <w:szCs w:val="24"/>
        </w:rPr>
        <w:t>s natural, not man-made, and that it embodied</w:t>
      </w:r>
      <w:r w:rsidR="005D66D9">
        <w:rPr>
          <w:rFonts w:asciiTheme="majorHAnsi" w:hAnsiTheme="majorHAnsi"/>
          <w:sz w:val="24"/>
          <w:szCs w:val="24"/>
        </w:rPr>
        <w:t xml:space="preserve"> a </w:t>
      </w:r>
      <w:r w:rsidR="00975EF3">
        <w:rPr>
          <w:rFonts w:asciiTheme="majorHAnsi" w:hAnsiTheme="majorHAnsi"/>
          <w:sz w:val="24"/>
          <w:szCs w:val="24"/>
        </w:rPr>
        <w:t>transcendent</w:t>
      </w:r>
      <w:r w:rsidR="005D66D9">
        <w:rPr>
          <w:rFonts w:asciiTheme="majorHAnsi" w:hAnsiTheme="majorHAnsi"/>
          <w:sz w:val="24"/>
          <w:szCs w:val="24"/>
        </w:rPr>
        <w:t xml:space="preserve"> </w:t>
      </w:r>
      <w:r w:rsidR="00EE6822">
        <w:rPr>
          <w:rFonts w:asciiTheme="majorHAnsi" w:hAnsiTheme="majorHAnsi"/>
          <w:sz w:val="24"/>
          <w:szCs w:val="24"/>
        </w:rPr>
        <w:t xml:space="preserve">(or possibly </w:t>
      </w:r>
      <w:proofErr w:type="gramStart"/>
      <w:r w:rsidR="00EE6822">
        <w:rPr>
          <w:rFonts w:asciiTheme="majorHAnsi" w:hAnsiTheme="majorHAnsi"/>
          <w:sz w:val="24"/>
          <w:szCs w:val="24"/>
        </w:rPr>
        <w:t>Divine</w:t>
      </w:r>
      <w:proofErr w:type="gramEnd"/>
      <w:r w:rsidR="00EE6822">
        <w:rPr>
          <w:rFonts w:asciiTheme="majorHAnsi" w:hAnsiTheme="majorHAnsi"/>
          <w:sz w:val="24"/>
          <w:szCs w:val="24"/>
        </w:rPr>
        <w:t xml:space="preserve">) </w:t>
      </w:r>
      <w:r w:rsidR="005D66D9">
        <w:rPr>
          <w:rFonts w:asciiTheme="majorHAnsi" w:hAnsiTheme="majorHAnsi"/>
          <w:sz w:val="24"/>
          <w:szCs w:val="24"/>
        </w:rPr>
        <w:t xml:space="preserve">purpose within </w:t>
      </w:r>
      <w:r w:rsidR="00EE6822">
        <w:rPr>
          <w:rFonts w:asciiTheme="majorHAnsi" w:hAnsiTheme="majorHAnsi"/>
          <w:sz w:val="24"/>
          <w:szCs w:val="24"/>
        </w:rPr>
        <w:t>the history of Humanity.</w:t>
      </w:r>
      <w:r w:rsidR="005D66D9">
        <w:rPr>
          <w:rFonts w:asciiTheme="majorHAnsi" w:hAnsiTheme="majorHAnsi"/>
          <w:sz w:val="24"/>
          <w:szCs w:val="24"/>
        </w:rPr>
        <w:t xml:space="preserve"> </w:t>
      </w:r>
    </w:p>
    <w:p w:rsidR="00D81214" w:rsidRDefault="00EE6822" w:rsidP="006D1B67">
      <w:pPr>
        <w:rPr>
          <w:rFonts w:asciiTheme="majorHAnsi" w:hAnsiTheme="majorHAnsi"/>
          <w:sz w:val="24"/>
          <w:szCs w:val="24"/>
        </w:rPr>
      </w:pPr>
      <w:r>
        <w:rPr>
          <w:rFonts w:asciiTheme="majorHAnsi" w:hAnsiTheme="majorHAnsi"/>
          <w:sz w:val="24"/>
          <w:szCs w:val="24"/>
        </w:rPr>
        <w:tab/>
        <w:t xml:space="preserve">Despite the fact that Herder was a Lutheran minister, God’s role in his theory was almost wholly mediated through the Nation.  Religion was a part of culture and, as such, under the list of things that defined and distinguished a particular Nation.  A government would often appeal to the credibility of its deity or deities, use religious language and symbols, and even maintain an official relationship with the priesthood or church, but this should be interpreted as an appeal to </w:t>
      </w:r>
      <w:r>
        <w:rPr>
          <w:rFonts w:asciiTheme="majorHAnsi" w:hAnsiTheme="majorHAnsi"/>
          <w:i/>
          <w:sz w:val="24"/>
          <w:szCs w:val="24"/>
        </w:rPr>
        <w:t>culture</w:t>
      </w:r>
      <w:r>
        <w:rPr>
          <w:rFonts w:asciiTheme="majorHAnsi" w:hAnsiTheme="majorHAnsi"/>
          <w:sz w:val="24"/>
          <w:szCs w:val="24"/>
        </w:rPr>
        <w:t xml:space="preserve"> and the Nation that embodies that culture.  The </w:t>
      </w:r>
      <w:r>
        <w:rPr>
          <w:rFonts w:asciiTheme="majorHAnsi" w:hAnsiTheme="majorHAnsi"/>
          <w:i/>
          <w:sz w:val="24"/>
          <w:szCs w:val="24"/>
        </w:rPr>
        <w:t>Nation</w:t>
      </w:r>
      <w:r>
        <w:rPr>
          <w:rFonts w:asciiTheme="majorHAnsi" w:hAnsiTheme="majorHAnsi"/>
          <w:sz w:val="24"/>
          <w:szCs w:val="24"/>
        </w:rPr>
        <w:t>, then, was the ultimate source of transcendent credibility and authority.</w:t>
      </w:r>
    </w:p>
    <w:p w:rsidR="00D81214" w:rsidRDefault="00D81214" w:rsidP="006D1B67">
      <w:pPr>
        <w:rPr>
          <w:rFonts w:asciiTheme="majorHAnsi" w:hAnsiTheme="majorHAnsi"/>
          <w:sz w:val="24"/>
          <w:szCs w:val="24"/>
        </w:rPr>
      </w:pPr>
    </w:p>
    <w:p w:rsidR="00EE6822" w:rsidRPr="004E68F7" w:rsidRDefault="00B64A68" w:rsidP="006D1B67">
      <w:pPr>
        <w:jc w:val="center"/>
        <w:rPr>
          <w:rFonts w:asciiTheme="majorHAnsi" w:hAnsiTheme="majorHAnsi"/>
          <w:b/>
          <w:sz w:val="24"/>
          <w:szCs w:val="24"/>
        </w:rPr>
      </w:pPr>
      <w:r w:rsidRPr="004E68F7">
        <w:rPr>
          <w:rFonts w:asciiTheme="majorHAnsi" w:hAnsiTheme="majorHAnsi"/>
          <w:b/>
          <w:sz w:val="24"/>
          <w:szCs w:val="24"/>
        </w:rPr>
        <w:t>Conclusion</w:t>
      </w:r>
    </w:p>
    <w:p w:rsidR="00CB335D" w:rsidRPr="00CB335D" w:rsidRDefault="00CB335D" w:rsidP="006D1B67">
      <w:pPr>
        <w:rPr>
          <w:rFonts w:asciiTheme="majorHAnsi" w:hAnsiTheme="majorHAnsi"/>
          <w:sz w:val="24"/>
          <w:szCs w:val="24"/>
        </w:rPr>
      </w:pPr>
      <w:r>
        <w:rPr>
          <w:rFonts w:asciiTheme="majorHAnsi" w:hAnsiTheme="majorHAnsi"/>
          <w:sz w:val="24"/>
          <w:szCs w:val="24"/>
        </w:rPr>
        <w:tab/>
      </w:r>
      <w:r w:rsidR="00230A1B">
        <w:rPr>
          <w:rFonts w:asciiTheme="majorHAnsi" w:hAnsiTheme="majorHAnsi"/>
          <w:sz w:val="24"/>
          <w:szCs w:val="24"/>
        </w:rPr>
        <w:t xml:space="preserve">The Nation came to replace God as the </w:t>
      </w:r>
      <w:r w:rsidR="007C7446">
        <w:rPr>
          <w:rFonts w:asciiTheme="majorHAnsi" w:hAnsiTheme="majorHAnsi"/>
          <w:sz w:val="24"/>
          <w:szCs w:val="24"/>
        </w:rPr>
        <w:t xml:space="preserve">ultimate </w:t>
      </w:r>
      <w:r w:rsidR="00230A1B">
        <w:rPr>
          <w:rFonts w:asciiTheme="majorHAnsi" w:hAnsiTheme="majorHAnsi"/>
          <w:sz w:val="24"/>
          <w:szCs w:val="24"/>
        </w:rPr>
        <w:t>source of political authority in Europe</w:t>
      </w:r>
      <w:r w:rsidR="004635B8">
        <w:rPr>
          <w:rFonts w:asciiTheme="majorHAnsi" w:hAnsiTheme="majorHAnsi"/>
          <w:sz w:val="24"/>
          <w:szCs w:val="24"/>
        </w:rPr>
        <w:t xml:space="preserve"> by a somewhat complex path</w:t>
      </w:r>
      <w:r w:rsidR="00230A1B">
        <w:rPr>
          <w:rFonts w:asciiTheme="majorHAnsi" w:hAnsiTheme="majorHAnsi"/>
          <w:sz w:val="24"/>
          <w:szCs w:val="24"/>
        </w:rPr>
        <w:t>.  The active God of the sixteenth century was theorized as passive and distant through the work of Hobbes and other writers in the first strand of seventee</w:t>
      </w:r>
      <w:r w:rsidR="00975EF3">
        <w:rPr>
          <w:rFonts w:asciiTheme="majorHAnsi" w:hAnsiTheme="majorHAnsi"/>
          <w:sz w:val="24"/>
          <w:szCs w:val="24"/>
        </w:rPr>
        <w:t>nth-century political theory.  Separately, t</w:t>
      </w:r>
      <w:r w:rsidR="00230A1B">
        <w:rPr>
          <w:rFonts w:asciiTheme="majorHAnsi" w:hAnsiTheme="majorHAnsi"/>
          <w:sz w:val="24"/>
          <w:szCs w:val="24"/>
        </w:rPr>
        <w:t xml:space="preserve">he People were simultaneously made active participants in the derivation of political authority by Locke and the theorists of the second strand.  </w:t>
      </w:r>
      <w:r w:rsidR="00254350">
        <w:rPr>
          <w:rFonts w:asciiTheme="majorHAnsi" w:hAnsiTheme="majorHAnsi"/>
          <w:sz w:val="24"/>
          <w:szCs w:val="24"/>
        </w:rPr>
        <w:t xml:space="preserve">However, as was demonstrated above, there were problems when God and the People were </w:t>
      </w:r>
      <w:r w:rsidR="00975EF3">
        <w:rPr>
          <w:rFonts w:asciiTheme="majorHAnsi" w:hAnsiTheme="majorHAnsi"/>
          <w:sz w:val="24"/>
          <w:szCs w:val="24"/>
        </w:rPr>
        <w:t xml:space="preserve">considered </w:t>
      </w:r>
      <w:r w:rsidR="007C7446">
        <w:rPr>
          <w:rFonts w:asciiTheme="majorHAnsi" w:hAnsiTheme="majorHAnsi"/>
          <w:sz w:val="24"/>
          <w:szCs w:val="24"/>
        </w:rPr>
        <w:t xml:space="preserve">either </w:t>
      </w:r>
      <w:proofErr w:type="gramStart"/>
      <w:r w:rsidR="00254350">
        <w:rPr>
          <w:rFonts w:asciiTheme="majorHAnsi" w:hAnsiTheme="majorHAnsi"/>
          <w:sz w:val="24"/>
          <w:szCs w:val="24"/>
        </w:rPr>
        <w:t>both passive or</w:t>
      </w:r>
      <w:proofErr w:type="gramEnd"/>
      <w:r w:rsidR="00254350">
        <w:rPr>
          <w:rFonts w:asciiTheme="majorHAnsi" w:hAnsiTheme="majorHAnsi"/>
          <w:sz w:val="24"/>
          <w:szCs w:val="24"/>
        </w:rPr>
        <w:t xml:space="preserve"> both active.  The eighteenth-century saw authors like Rousseau and Herder weave together the changes made in </w:t>
      </w:r>
      <w:r w:rsidR="00975EF3">
        <w:rPr>
          <w:rFonts w:asciiTheme="majorHAnsi" w:hAnsiTheme="majorHAnsi"/>
          <w:sz w:val="24"/>
          <w:szCs w:val="24"/>
        </w:rPr>
        <w:t>each of the seventeenth-century’</w:t>
      </w:r>
      <w:r w:rsidR="00254350">
        <w:rPr>
          <w:rFonts w:asciiTheme="majorHAnsi" w:hAnsiTheme="majorHAnsi"/>
          <w:sz w:val="24"/>
          <w:szCs w:val="24"/>
        </w:rPr>
        <w:t xml:space="preserve">s strands into a theory of political authority that depended on the Nation.  The success of this new model </w:t>
      </w:r>
      <w:r w:rsidR="004635B8">
        <w:rPr>
          <w:rFonts w:asciiTheme="majorHAnsi" w:hAnsiTheme="majorHAnsi"/>
          <w:sz w:val="24"/>
          <w:szCs w:val="24"/>
        </w:rPr>
        <w:t>demonstrates</w:t>
      </w:r>
      <w:r w:rsidR="00254350">
        <w:rPr>
          <w:rFonts w:asciiTheme="majorHAnsi" w:hAnsiTheme="majorHAnsi"/>
          <w:sz w:val="24"/>
          <w:szCs w:val="24"/>
        </w:rPr>
        <w:t xml:space="preserve"> that modern society still required and relied upon a “sacred center,” a transcendent source of political credibility.</w:t>
      </w:r>
    </w:p>
    <w:p w:rsidR="005043B7" w:rsidRDefault="00C67088" w:rsidP="006D1B67">
      <w:pPr>
        <w:rPr>
          <w:rFonts w:asciiTheme="majorHAnsi" w:hAnsiTheme="majorHAnsi"/>
          <w:sz w:val="24"/>
          <w:szCs w:val="24"/>
        </w:rPr>
      </w:pPr>
      <w:r>
        <w:rPr>
          <w:rFonts w:asciiTheme="majorHAnsi" w:hAnsiTheme="majorHAnsi"/>
          <w:sz w:val="24"/>
          <w:szCs w:val="24"/>
        </w:rPr>
        <w:tab/>
      </w:r>
      <w:r w:rsidR="00776A96">
        <w:rPr>
          <w:rFonts w:asciiTheme="majorHAnsi" w:hAnsiTheme="majorHAnsi"/>
          <w:sz w:val="24"/>
          <w:szCs w:val="24"/>
        </w:rPr>
        <w:t xml:space="preserve">The process </w:t>
      </w:r>
      <w:r w:rsidR="00D81214">
        <w:rPr>
          <w:rFonts w:asciiTheme="majorHAnsi" w:hAnsiTheme="majorHAnsi"/>
          <w:sz w:val="24"/>
          <w:szCs w:val="24"/>
        </w:rPr>
        <w:t xml:space="preserve">described above </w:t>
      </w:r>
      <w:r w:rsidR="00776A96">
        <w:rPr>
          <w:rFonts w:asciiTheme="majorHAnsi" w:hAnsiTheme="majorHAnsi"/>
          <w:sz w:val="24"/>
          <w:szCs w:val="24"/>
        </w:rPr>
        <w:t xml:space="preserve">was not so much one of “secularization” as it was a transition from one source of </w:t>
      </w:r>
      <w:r w:rsidR="00776A96" w:rsidRPr="007C7446">
        <w:rPr>
          <w:rFonts w:asciiTheme="majorHAnsi" w:hAnsiTheme="majorHAnsi"/>
          <w:i/>
          <w:sz w:val="24"/>
          <w:szCs w:val="24"/>
        </w:rPr>
        <w:t>transcendent</w:t>
      </w:r>
      <w:r w:rsidR="00776A96">
        <w:rPr>
          <w:rFonts w:asciiTheme="majorHAnsi" w:hAnsiTheme="majorHAnsi"/>
          <w:sz w:val="24"/>
          <w:szCs w:val="24"/>
        </w:rPr>
        <w:t xml:space="preserve"> credibilit</w:t>
      </w:r>
      <w:r w:rsidR="000B61BA">
        <w:rPr>
          <w:rFonts w:asciiTheme="majorHAnsi" w:hAnsiTheme="majorHAnsi"/>
          <w:sz w:val="24"/>
          <w:szCs w:val="24"/>
        </w:rPr>
        <w:t xml:space="preserve">y to another.  Rather than </w:t>
      </w:r>
      <w:r w:rsidR="000B61BA">
        <w:rPr>
          <w:rFonts w:asciiTheme="majorHAnsi" w:hAnsiTheme="majorHAnsi"/>
          <w:sz w:val="24"/>
          <w:szCs w:val="24"/>
        </w:rPr>
        <w:lastRenderedPageBreak/>
        <w:t>disenchanting politics, the People were made sacred</w:t>
      </w:r>
      <w:r w:rsidR="0015625C">
        <w:rPr>
          <w:rFonts w:asciiTheme="majorHAnsi" w:hAnsiTheme="majorHAnsi"/>
          <w:sz w:val="24"/>
          <w:szCs w:val="24"/>
        </w:rPr>
        <w:t>.  The People were the physical embodiment of the Nation</w:t>
      </w:r>
      <w:r w:rsidR="00E617AA">
        <w:rPr>
          <w:rFonts w:asciiTheme="majorHAnsi" w:hAnsiTheme="majorHAnsi"/>
          <w:sz w:val="24"/>
          <w:szCs w:val="24"/>
        </w:rPr>
        <w:t xml:space="preserve">, the transcendent source of credibility and political authority.  </w:t>
      </w:r>
      <w:r w:rsidR="000B61BA">
        <w:rPr>
          <w:rFonts w:asciiTheme="majorHAnsi" w:hAnsiTheme="majorHAnsi"/>
          <w:sz w:val="24"/>
          <w:szCs w:val="24"/>
        </w:rPr>
        <w:t>T</w:t>
      </w:r>
      <w:r w:rsidR="00776A96">
        <w:rPr>
          <w:rFonts w:asciiTheme="majorHAnsi" w:hAnsiTheme="majorHAnsi"/>
          <w:sz w:val="24"/>
          <w:szCs w:val="24"/>
        </w:rPr>
        <w:t>he implication of the term “secularization” is that t</w:t>
      </w:r>
      <w:r w:rsidR="007C7446">
        <w:rPr>
          <w:rFonts w:asciiTheme="majorHAnsi" w:hAnsiTheme="majorHAnsi"/>
          <w:sz w:val="24"/>
          <w:szCs w:val="24"/>
        </w:rPr>
        <w:t>his</w:t>
      </w:r>
      <w:r w:rsidR="00776A96">
        <w:rPr>
          <w:rFonts w:asciiTheme="majorHAnsi" w:hAnsiTheme="majorHAnsi"/>
          <w:sz w:val="24"/>
          <w:szCs w:val="24"/>
        </w:rPr>
        <w:t xml:space="preserve"> process was a movement toward </w:t>
      </w:r>
      <w:r w:rsidR="00B97FFD">
        <w:rPr>
          <w:rFonts w:asciiTheme="majorHAnsi" w:hAnsiTheme="majorHAnsi"/>
          <w:sz w:val="24"/>
          <w:szCs w:val="24"/>
        </w:rPr>
        <w:t xml:space="preserve">infusing greater </w:t>
      </w:r>
      <w:r w:rsidR="00776A96">
        <w:rPr>
          <w:rFonts w:asciiTheme="majorHAnsi" w:hAnsiTheme="majorHAnsi"/>
          <w:sz w:val="24"/>
          <w:szCs w:val="24"/>
        </w:rPr>
        <w:t>rationality in</w:t>
      </w:r>
      <w:r w:rsidR="00B97FFD">
        <w:rPr>
          <w:rFonts w:asciiTheme="majorHAnsi" w:hAnsiTheme="majorHAnsi"/>
          <w:sz w:val="24"/>
          <w:szCs w:val="24"/>
        </w:rPr>
        <w:t>to</w:t>
      </w:r>
      <w:r w:rsidR="00776A96">
        <w:rPr>
          <w:rFonts w:asciiTheme="majorHAnsi" w:hAnsiTheme="majorHAnsi"/>
          <w:sz w:val="24"/>
          <w:szCs w:val="24"/>
        </w:rPr>
        <w:t xml:space="preserve"> politics, go</w:t>
      </w:r>
      <w:r w:rsidR="00CB335D">
        <w:rPr>
          <w:rFonts w:asciiTheme="majorHAnsi" w:hAnsiTheme="majorHAnsi"/>
          <w:sz w:val="24"/>
          <w:szCs w:val="24"/>
        </w:rPr>
        <w:t>vernment, and authority.  This wa</w:t>
      </w:r>
      <w:r w:rsidR="00776A96">
        <w:rPr>
          <w:rFonts w:asciiTheme="majorHAnsi" w:hAnsiTheme="majorHAnsi"/>
          <w:sz w:val="24"/>
          <w:szCs w:val="24"/>
        </w:rPr>
        <w:t xml:space="preserve">s emphatically not the case.  </w:t>
      </w:r>
      <w:r w:rsidR="00D81214">
        <w:rPr>
          <w:rFonts w:asciiTheme="majorHAnsi" w:hAnsiTheme="majorHAnsi"/>
          <w:sz w:val="24"/>
          <w:szCs w:val="24"/>
        </w:rPr>
        <w:t>The “ration</w:t>
      </w:r>
      <w:r w:rsidR="00CB335D">
        <w:rPr>
          <w:rFonts w:asciiTheme="majorHAnsi" w:hAnsiTheme="majorHAnsi"/>
          <w:sz w:val="24"/>
          <w:szCs w:val="24"/>
        </w:rPr>
        <w:t>al-bureaucratic” state that emerged in the eighteenth, nineteenth, and twentieth centuries continued</w:t>
      </w:r>
      <w:r w:rsidR="00D81214">
        <w:rPr>
          <w:rFonts w:asciiTheme="majorHAnsi" w:hAnsiTheme="majorHAnsi"/>
          <w:sz w:val="24"/>
          <w:szCs w:val="24"/>
        </w:rPr>
        <w:t xml:space="preserve"> to be founded </w:t>
      </w:r>
      <w:r w:rsidR="00B97FFD">
        <w:rPr>
          <w:rFonts w:asciiTheme="majorHAnsi" w:hAnsiTheme="majorHAnsi"/>
          <w:sz w:val="24"/>
          <w:szCs w:val="24"/>
        </w:rPr>
        <w:t xml:space="preserve">and sustained </w:t>
      </w:r>
      <w:r w:rsidR="00D81214">
        <w:rPr>
          <w:rFonts w:asciiTheme="majorHAnsi" w:hAnsiTheme="majorHAnsi"/>
          <w:sz w:val="24"/>
          <w:szCs w:val="24"/>
        </w:rPr>
        <w:t xml:space="preserve">on what many would </w:t>
      </w:r>
      <w:proofErr w:type="gramStart"/>
      <w:r w:rsidR="00D81214">
        <w:rPr>
          <w:rFonts w:asciiTheme="majorHAnsi" w:hAnsiTheme="majorHAnsi"/>
          <w:sz w:val="24"/>
          <w:szCs w:val="24"/>
        </w:rPr>
        <w:t>consider an “</w:t>
      </w:r>
      <w:proofErr w:type="gramEnd"/>
      <w:r w:rsidR="00D81214">
        <w:rPr>
          <w:rFonts w:asciiTheme="majorHAnsi" w:hAnsiTheme="majorHAnsi"/>
          <w:sz w:val="24"/>
          <w:szCs w:val="24"/>
        </w:rPr>
        <w:t>irrationality.”</w:t>
      </w:r>
      <w:r w:rsidR="004635B8">
        <w:rPr>
          <w:rFonts w:asciiTheme="majorHAnsi" w:hAnsiTheme="majorHAnsi"/>
          <w:sz w:val="24"/>
          <w:szCs w:val="24"/>
        </w:rPr>
        <w:t xml:space="preserve">  Arguably, this</w:t>
      </w:r>
      <w:r w:rsidR="00230A1B">
        <w:rPr>
          <w:rFonts w:asciiTheme="majorHAnsi" w:hAnsiTheme="majorHAnsi"/>
          <w:sz w:val="24"/>
          <w:szCs w:val="24"/>
        </w:rPr>
        <w:t xml:space="preserve"> continues to be the case today.</w:t>
      </w:r>
    </w:p>
    <w:p w:rsidR="00776A96" w:rsidRDefault="00776A96" w:rsidP="006D1B67">
      <w:pPr>
        <w:rPr>
          <w:rFonts w:asciiTheme="majorHAnsi" w:hAnsiTheme="majorHAnsi"/>
          <w:sz w:val="24"/>
          <w:szCs w:val="24"/>
        </w:rPr>
      </w:pPr>
      <w:r>
        <w:rPr>
          <w:rFonts w:asciiTheme="majorHAnsi" w:hAnsiTheme="majorHAnsi"/>
          <w:sz w:val="24"/>
          <w:szCs w:val="24"/>
        </w:rPr>
        <w:tab/>
        <w:t xml:space="preserve">The </w:t>
      </w:r>
      <w:r>
        <w:rPr>
          <w:rFonts w:asciiTheme="majorHAnsi" w:hAnsiTheme="majorHAnsi"/>
          <w:i/>
          <w:sz w:val="24"/>
          <w:szCs w:val="24"/>
        </w:rPr>
        <w:t>philosophes</w:t>
      </w:r>
      <w:r>
        <w:rPr>
          <w:rFonts w:asciiTheme="majorHAnsi" w:hAnsiTheme="majorHAnsi"/>
          <w:sz w:val="24"/>
          <w:szCs w:val="24"/>
        </w:rPr>
        <w:t xml:space="preserve"> of the Enlightenment attempted to separate two human faculties:  reason and passion.</w:t>
      </w:r>
      <w:r>
        <w:rPr>
          <w:rStyle w:val="FootnoteReference"/>
          <w:rFonts w:asciiTheme="majorHAnsi" w:hAnsiTheme="majorHAnsi"/>
          <w:sz w:val="24"/>
          <w:szCs w:val="24"/>
        </w:rPr>
        <w:footnoteReference w:id="43"/>
      </w:r>
      <w:r>
        <w:rPr>
          <w:rFonts w:asciiTheme="majorHAnsi" w:hAnsiTheme="majorHAnsi"/>
          <w:sz w:val="24"/>
          <w:szCs w:val="24"/>
        </w:rPr>
        <w:t xml:space="preserve">  Herder and other Counter-Enlightenment writers</w:t>
      </w:r>
      <w:r w:rsidR="00D81214">
        <w:rPr>
          <w:rFonts w:asciiTheme="majorHAnsi" w:hAnsiTheme="majorHAnsi"/>
          <w:sz w:val="24"/>
          <w:szCs w:val="24"/>
        </w:rPr>
        <w:t>, however,</w:t>
      </w:r>
      <w:r>
        <w:rPr>
          <w:rFonts w:asciiTheme="majorHAnsi" w:hAnsiTheme="majorHAnsi"/>
          <w:sz w:val="24"/>
          <w:szCs w:val="24"/>
        </w:rPr>
        <w:t xml:space="preserve"> argued that reason and passion could not be separated.</w:t>
      </w:r>
      <w:r>
        <w:rPr>
          <w:rStyle w:val="FootnoteReference"/>
          <w:rFonts w:asciiTheme="majorHAnsi" w:hAnsiTheme="majorHAnsi"/>
          <w:sz w:val="24"/>
          <w:szCs w:val="24"/>
        </w:rPr>
        <w:footnoteReference w:id="44"/>
      </w:r>
      <w:r>
        <w:rPr>
          <w:rFonts w:asciiTheme="majorHAnsi" w:hAnsiTheme="majorHAnsi"/>
          <w:sz w:val="24"/>
          <w:szCs w:val="24"/>
        </w:rPr>
        <w:t xml:space="preserve">  The </w:t>
      </w:r>
      <w:r>
        <w:rPr>
          <w:rFonts w:asciiTheme="majorHAnsi" w:hAnsiTheme="majorHAnsi"/>
          <w:i/>
          <w:sz w:val="24"/>
          <w:szCs w:val="24"/>
        </w:rPr>
        <w:t>passionate</w:t>
      </w:r>
      <w:r>
        <w:rPr>
          <w:rFonts w:asciiTheme="majorHAnsi" w:hAnsiTheme="majorHAnsi"/>
          <w:sz w:val="24"/>
          <w:szCs w:val="24"/>
        </w:rPr>
        <w:t xml:space="preserve"> response of nationalism</w:t>
      </w:r>
      <w:r w:rsidR="00D81214">
        <w:rPr>
          <w:rFonts w:asciiTheme="majorHAnsi" w:hAnsiTheme="majorHAnsi"/>
          <w:sz w:val="24"/>
          <w:szCs w:val="24"/>
        </w:rPr>
        <w:t xml:space="preserve">, love of </w:t>
      </w:r>
      <w:r w:rsidR="00D81214">
        <w:rPr>
          <w:rFonts w:asciiTheme="majorHAnsi" w:hAnsiTheme="majorHAnsi"/>
          <w:i/>
          <w:sz w:val="24"/>
          <w:szCs w:val="24"/>
        </w:rPr>
        <w:t xml:space="preserve">la </w:t>
      </w:r>
      <w:proofErr w:type="spellStart"/>
      <w:r w:rsidR="00D81214">
        <w:rPr>
          <w:rFonts w:asciiTheme="majorHAnsi" w:hAnsiTheme="majorHAnsi"/>
          <w:i/>
          <w:sz w:val="24"/>
          <w:szCs w:val="24"/>
        </w:rPr>
        <w:t>patrie</w:t>
      </w:r>
      <w:proofErr w:type="spellEnd"/>
      <w:r w:rsidR="00D81214">
        <w:rPr>
          <w:rFonts w:asciiTheme="majorHAnsi" w:hAnsiTheme="majorHAnsi"/>
          <w:sz w:val="24"/>
          <w:szCs w:val="24"/>
        </w:rPr>
        <w:t>,</w:t>
      </w:r>
      <w:r>
        <w:rPr>
          <w:rFonts w:asciiTheme="majorHAnsi" w:hAnsiTheme="majorHAnsi"/>
          <w:sz w:val="24"/>
          <w:szCs w:val="24"/>
        </w:rPr>
        <w:t xml:space="preserve"> was </w:t>
      </w:r>
      <w:r w:rsidR="00211F63">
        <w:rPr>
          <w:rFonts w:asciiTheme="majorHAnsi" w:hAnsiTheme="majorHAnsi"/>
          <w:sz w:val="24"/>
          <w:szCs w:val="24"/>
        </w:rPr>
        <w:t xml:space="preserve">presented as </w:t>
      </w:r>
      <w:r>
        <w:rPr>
          <w:rFonts w:asciiTheme="majorHAnsi" w:hAnsiTheme="majorHAnsi"/>
          <w:sz w:val="24"/>
          <w:szCs w:val="24"/>
        </w:rPr>
        <w:t xml:space="preserve">a </w:t>
      </w:r>
      <w:r>
        <w:rPr>
          <w:rFonts w:asciiTheme="majorHAnsi" w:hAnsiTheme="majorHAnsi"/>
          <w:i/>
          <w:sz w:val="24"/>
          <w:szCs w:val="24"/>
        </w:rPr>
        <w:t>reasonable</w:t>
      </w:r>
      <w:r w:rsidR="00D81214">
        <w:rPr>
          <w:rFonts w:asciiTheme="majorHAnsi" w:hAnsiTheme="majorHAnsi"/>
          <w:sz w:val="24"/>
          <w:szCs w:val="24"/>
        </w:rPr>
        <w:t xml:space="preserve"> reaction to a Nation</w:t>
      </w:r>
      <w:r>
        <w:rPr>
          <w:rFonts w:asciiTheme="majorHAnsi" w:hAnsiTheme="majorHAnsi"/>
          <w:sz w:val="24"/>
          <w:szCs w:val="24"/>
        </w:rPr>
        <w:t xml:space="preserve"> that fundamentally constituted an individual’s identity.  It was exactly this passion, so similar to that exhibited toward religion in previous eras, which rulers desired to tap into in order to solidify their authority.  It proved to be incredibly efficient at generating compliance and soon political practitioners all over Europe beg</w:t>
      </w:r>
      <w:r w:rsidR="00D81214">
        <w:rPr>
          <w:rFonts w:asciiTheme="majorHAnsi" w:hAnsiTheme="majorHAnsi"/>
          <w:sz w:val="24"/>
          <w:szCs w:val="24"/>
        </w:rPr>
        <w:t>an to convert their particular N</w:t>
      </w:r>
      <w:r>
        <w:rPr>
          <w:rFonts w:asciiTheme="majorHAnsi" w:hAnsiTheme="majorHAnsi"/>
          <w:sz w:val="24"/>
          <w:szCs w:val="24"/>
        </w:rPr>
        <w:t>ation into the source of political credibility and authority.</w:t>
      </w:r>
    </w:p>
    <w:p w:rsidR="005A64D8" w:rsidRDefault="005A64D8" w:rsidP="006D1B67">
      <w:pPr>
        <w:ind w:firstLine="720"/>
        <w:rPr>
          <w:rFonts w:asciiTheme="majorHAnsi" w:hAnsiTheme="majorHAnsi"/>
          <w:sz w:val="24"/>
          <w:szCs w:val="24"/>
        </w:rPr>
      </w:pPr>
      <w:r>
        <w:rPr>
          <w:rFonts w:asciiTheme="majorHAnsi" w:hAnsiTheme="majorHAnsi"/>
          <w:sz w:val="24"/>
          <w:szCs w:val="24"/>
        </w:rPr>
        <w:t xml:space="preserve">None of this should be construed as a linear progression of history toward a more “rational” theory of government.  We tend to read our current </w:t>
      </w:r>
      <w:r w:rsidR="004635B8">
        <w:rPr>
          <w:rFonts w:asciiTheme="majorHAnsi" w:hAnsiTheme="majorHAnsi"/>
          <w:sz w:val="24"/>
          <w:szCs w:val="24"/>
        </w:rPr>
        <w:t xml:space="preserve">dominant </w:t>
      </w:r>
      <w:r>
        <w:rPr>
          <w:rFonts w:asciiTheme="majorHAnsi" w:hAnsiTheme="majorHAnsi"/>
          <w:sz w:val="24"/>
          <w:szCs w:val="24"/>
        </w:rPr>
        <w:t xml:space="preserve">ideas into the writings of political theorists of the past.  Thus, modern scholars </w:t>
      </w:r>
      <w:r w:rsidR="004635B8">
        <w:rPr>
          <w:rFonts w:asciiTheme="majorHAnsi" w:hAnsiTheme="majorHAnsi"/>
          <w:sz w:val="24"/>
          <w:szCs w:val="24"/>
        </w:rPr>
        <w:t xml:space="preserve">can </w:t>
      </w:r>
      <w:r>
        <w:rPr>
          <w:rFonts w:asciiTheme="majorHAnsi" w:hAnsiTheme="majorHAnsi"/>
          <w:sz w:val="24"/>
          <w:szCs w:val="24"/>
        </w:rPr>
        <w:t>exegetically find arguments for democracy in the texts of Hobbes and pro-secularization tenets in t</w:t>
      </w:r>
      <w:r w:rsidR="007C7446">
        <w:rPr>
          <w:rFonts w:asciiTheme="majorHAnsi" w:hAnsiTheme="majorHAnsi"/>
          <w:sz w:val="24"/>
          <w:szCs w:val="24"/>
        </w:rPr>
        <w:t>he oeuvre of Locke.  While the</w:t>
      </w:r>
      <w:r>
        <w:rPr>
          <w:rFonts w:asciiTheme="majorHAnsi" w:hAnsiTheme="majorHAnsi"/>
          <w:sz w:val="24"/>
          <w:szCs w:val="24"/>
        </w:rPr>
        <w:t xml:space="preserve"> ideas </w:t>
      </w:r>
      <w:r w:rsidR="007C7446">
        <w:rPr>
          <w:rFonts w:asciiTheme="majorHAnsi" w:hAnsiTheme="majorHAnsi"/>
          <w:sz w:val="24"/>
          <w:szCs w:val="24"/>
        </w:rPr>
        <w:t xml:space="preserve">of these early modern theorists </w:t>
      </w:r>
      <w:r>
        <w:rPr>
          <w:rFonts w:asciiTheme="majorHAnsi" w:hAnsiTheme="majorHAnsi"/>
          <w:sz w:val="24"/>
          <w:szCs w:val="24"/>
        </w:rPr>
        <w:t xml:space="preserve">would later be synthesized into the seeds of current liberal democratic theory, such an amalgam was not inevitable.  The authors themselves certainly never intended it. </w:t>
      </w:r>
    </w:p>
    <w:p w:rsidR="00776A96" w:rsidRDefault="00B97FFD" w:rsidP="006D1B67">
      <w:pPr>
        <w:rPr>
          <w:rFonts w:asciiTheme="majorHAnsi" w:hAnsiTheme="majorHAnsi"/>
          <w:sz w:val="24"/>
          <w:szCs w:val="24"/>
        </w:rPr>
      </w:pPr>
      <w:r>
        <w:rPr>
          <w:rFonts w:asciiTheme="majorHAnsi" w:hAnsiTheme="majorHAnsi"/>
          <w:sz w:val="24"/>
          <w:szCs w:val="24"/>
        </w:rPr>
        <w:tab/>
        <w:t xml:space="preserve">The process described above also provides an example of how foundational theories of political authority and credibility </w:t>
      </w:r>
      <w:r w:rsidR="00A13A56">
        <w:rPr>
          <w:rFonts w:asciiTheme="majorHAnsi" w:hAnsiTheme="majorHAnsi"/>
          <w:sz w:val="24"/>
          <w:szCs w:val="24"/>
        </w:rPr>
        <w:t xml:space="preserve">can </w:t>
      </w:r>
      <w:r>
        <w:rPr>
          <w:rFonts w:asciiTheme="majorHAnsi" w:hAnsiTheme="majorHAnsi"/>
          <w:sz w:val="24"/>
          <w:szCs w:val="24"/>
        </w:rPr>
        <w:t>change over tim</w:t>
      </w:r>
      <w:r w:rsidR="003B7C21">
        <w:rPr>
          <w:rFonts w:asciiTheme="majorHAnsi" w:hAnsiTheme="majorHAnsi"/>
          <w:sz w:val="24"/>
          <w:szCs w:val="24"/>
        </w:rPr>
        <w:t>e.  When the dominant theory</w:t>
      </w:r>
      <w:r w:rsidR="00041AEA">
        <w:rPr>
          <w:rFonts w:asciiTheme="majorHAnsi" w:hAnsiTheme="majorHAnsi"/>
          <w:sz w:val="24"/>
          <w:szCs w:val="24"/>
        </w:rPr>
        <w:t xml:space="preserve"> is no longer </w:t>
      </w:r>
      <w:r w:rsidR="003B7C21">
        <w:rPr>
          <w:rFonts w:asciiTheme="majorHAnsi" w:hAnsiTheme="majorHAnsi"/>
          <w:sz w:val="24"/>
          <w:szCs w:val="24"/>
        </w:rPr>
        <w:t>efficient or effective at generating compliance given changing circumstance</w:t>
      </w:r>
      <w:r w:rsidR="00A13A56">
        <w:rPr>
          <w:rFonts w:asciiTheme="majorHAnsi" w:hAnsiTheme="majorHAnsi"/>
          <w:sz w:val="24"/>
          <w:szCs w:val="24"/>
        </w:rPr>
        <w:t>s, rival theories emerge.  The</w:t>
      </w:r>
      <w:r w:rsidR="003B7C21">
        <w:rPr>
          <w:rFonts w:asciiTheme="majorHAnsi" w:hAnsiTheme="majorHAnsi"/>
          <w:sz w:val="24"/>
          <w:szCs w:val="24"/>
        </w:rPr>
        <w:t xml:space="preserve"> success </w:t>
      </w:r>
      <w:r w:rsidR="00A13A56">
        <w:rPr>
          <w:rFonts w:asciiTheme="majorHAnsi" w:hAnsiTheme="majorHAnsi"/>
          <w:sz w:val="24"/>
          <w:szCs w:val="24"/>
        </w:rPr>
        <w:t xml:space="preserve">of these rivals </w:t>
      </w:r>
      <w:r w:rsidR="003B7C21">
        <w:rPr>
          <w:rFonts w:asciiTheme="majorHAnsi" w:hAnsiTheme="majorHAnsi"/>
          <w:sz w:val="24"/>
          <w:szCs w:val="24"/>
        </w:rPr>
        <w:t>is dependent on their ability to generate compliance, which means they must effectively tap into</w:t>
      </w:r>
      <w:r w:rsidR="00A13A56">
        <w:rPr>
          <w:rFonts w:asciiTheme="majorHAnsi" w:hAnsiTheme="majorHAnsi"/>
          <w:sz w:val="24"/>
          <w:szCs w:val="24"/>
        </w:rPr>
        <w:t>, or if necessary</w:t>
      </w:r>
      <w:r w:rsidR="003B7C21">
        <w:rPr>
          <w:rFonts w:asciiTheme="majorHAnsi" w:hAnsiTheme="majorHAnsi"/>
          <w:sz w:val="24"/>
          <w:szCs w:val="24"/>
        </w:rPr>
        <w:t xml:space="preserve"> </w:t>
      </w:r>
      <w:proofErr w:type="gramStart"/>
      <w:r w:rsidR="003B7C21">
        <w:rPr>
          <w:rFonts w:asciiTheme="majorHAnsi" w:hAnsiTheme="majorHAnsi"/>
          <w:sz w:val="24"/>
          <w:szCs w:val="24"/>
        </w:rPr>
        <w:t>create</w:t>
      </w:r>
      <w:r w:rsidR="00A13A56">
        <w:rPr>
          <w:rFonts w:asciiTheme="majorHAnsi" w:hAnsiTheme="majorHAnsi"/>
          <w:sz w:val="24"/>
          <w:szCs w:val="24"/>
        </w:rPr>
        <w:t>,</w:t>
      </w:r>
      <w:proofErr w:type="gramEnd"/>
      <w:r w:rsidR="003B7C21">
        <w:rPr>
          <w:rFonts w:asciiTheme="majorHAnsi" w:hAnsiTheme="majorHAnsi"/>
          <w:sz w:val="24"/>
          <w:szCs w:val="24"/>
        </w:rPr>
        <w:t xml:space="preserve"> a source of transcendent credibility that </w:t>
      </w:r>
      <w:r w:rsidR="00F44661">
        <w:rPr>
          <w:rFonts w:asciiTheme="majorHAnsi" w:hAnsiTheme="majorHAnsi"/>
          <w:sz w:val="24"/>
          <w:szCs w:val="24"/>
        </w:rPr>
        <w:t>persons</w:t>
      </w:r>
      <w:r w:rsidR="003B7C21">
        <w:rPr>
          <w:rFonts w:asciiTheme="majorHAnsi" w:hAnsiTheme="majorHAnsi"/>
          <w:sz w:val="24"/>
          <w:szCs w:val="24"/>
        </w:rPr>
        <w:t xml:space="preserve"> believe is inherently credible.  </w:t>
      </w:r>
      <w:r w:rsidR="00A13A56">
        <w:rPr>
          <w:rFonts w:asciiTheme="majorHAnsi" w:hAnsiTheme="majorHAnsi"/>
          <w:sz w:val="24"/>
          <w:szCs w:val="24"/>
        </w:rPr>
        <w:t xml:space="preserve">The dominant theory can only be abandoned after rival theories materialize and their effectiveness has been </w:t>
      </w:r>
      <w:r w:rsidR="0015625C">
        <w:rPr>
          <w:rFonts w:asciiTheme="majorHAnsi" w:hAnsiTheme="majorHAnsi"/>
          <w:sz w:val="24"/>
          <w:szCs w:val="24"/>
        </w:rPr>
        <w:t xml:space="preserve">adequately </w:t>
      </w:r>
      <w:r w:rsidR="00A13A56">
        <w:rPr>
          <w:rFonts w:asciiTheme="majorHAnsi" w:hAnsiTheme="majorHAnsi"/>
          <w:sz w:val="24"/>
          <w:szCs w:val="24"/>
        </w:rPr>
        <w:t xml:space="preserve">demonstrated. </w:t>
      </w:r>
    </w:p>
    <w:p w:rsidR="00B97FFD" w:rsidRDefault="00B97FFD" w:rsidP="001B6236">
      <w:pPr>
        <w:rPr>
          <w:rFonts w:asciiTheme="majorHAnsi" w:hAnsiTheme="majorHAnsi"/>
          <w:sz w:val="24"/>
          <w:szCs w:val="24"/>
        </w:rPr>
      </w:pPr>
      <w:r>
        <w:rPr>
          <w:rFonts w:asciiTheme="majorHAnsi" w:hAnsiTheme="majorHAnsi"/>
          <w:sz w:val="24"/>
          <w:szCs w:val="24"/>
        </w:rPr>
        <w:tab/>
        <w:t xml:space="preserve">There may be lessons for our world today in </w:t>
      </w:r>
      <w:r w:rsidR="00041AEA">
        <w:rPr>
          <w:rFonts w:asciiTheme="majorHAnsi" w:hAnsiTheme="majorHAnsi"/>
          <w:sz w:val="24"/>
          <w:szCs w:val="24"/>
        </w:rPr>
        <w:t>the early modern</w:t>
      </w:r>
      <w:r w:rsidR="002818E2">
        <w:rPr>
          <w:rFonts w:asciiTheme="majorHAnsi" w:hAnsiTheme="majorHAnsi"/>
          <w:sz w:val="24"/>
          <w:szCs w:val="24"/>
        </w:rPr>
        <w:t xml:space="preserve"> transition.  It seems the N</w:t>
      </w:r>
      <w:r>
        <w:rPr>
          <w:rFonts w:asciiTheme="majorHAnsi" w:hAnsiTheme="majorHAnsi"/>
          <w:sz w:val="24"/>
          <w:szCs w:val="24"/>
        </w:rPr>
        <w:t xml:space="preserve">ation as source of transcendent credibility is under stress and has been so since the </w:t>
      </w:r>
      <w:r w:rsidR="006E234B">
        <w:rPr>
          <w:rFonts w:asciiTheme="majorHAnsi" w:hAnsiTheme="majorHAnsi"/>
          <w:sz w:val="24"/>
          <w:szCs w:val="24"/>
        </w:rPr>
        <w:lastRenderedPageBreak/>
        <w:t>twentieth</w:t>
      </w:r>
      <w:r>
        <w:rPr>
          <w:rFonts w:asciiTheme="majorHAnsi" w:hAnsiTheme="majorHAnsi"/>
          <w:sz w:val="24"/>
          <w:szCs w:val="24"/>
        </w:rPr>
        <w:t xml:space="preserve"> century.  In many ways, we find ourselves </w:t>
      </w:r>
      <w:r w:rsidR="0015625C">
        <w:rPr>
          <w:rFonts w:asciiTheme="majorHAnsi" w:hAnsiTheme="majorHAnsi"/>
          <w:sz w:val="24"/>
          <w:szCs w:val="24"/>
        </w:rPr>
        <w:t>in the same situation as the seventeenth-</w:t>
      </w:r>
      <w:r>
        <w:rPr>
          <w:rFonts w:asciiTheme="majorHAnsi" w:hAnsiTheme="majorHAnsi"/>
          <w:sz w:val="24"/>
          <w:szCs w:val="24"/>
        </w:rPr>
        <w:t>century writers discussed above.  The</w:t>
      </w:r>
      <w:r w:rsidR="007C7446">
        <w:rPr>
          <w:rFonts w:asciiTheme="majorHAnsi" w:hAnsiTheme="majorHAnsi"/>
          <w:sz w:val="24"/>
          <w:szCs w:val="24"/>
        </w:rPr>
        <w:t xml:space="preserve"> lack of satisfaction with the N</w:t>
      </w:r>
      <w:r>
        <w:rPr>
          <w:rFonts w:asciiTheme="majorHAnsi" w:hAnsiTheme="majorHAnsi"/>
          <w:sz w:val="24"/>
          <w:szCs w:val="24"/>
        </w:rPr>
        <w:t xml:space="preserve">ation as </w:t>
      </w:r>
      <w:r w:rsidR="006E234B">
        <w:rPr>
          <w:rFonts w:asciiTheme="majorHAnsi" w:hAnsiTheme="majorHAnsi"/>
          <w:sz w:val="24"/>
          <w:szCs w:val="24"/>
        </w:rPr>
        <w:t xml:space="preserve">the </w:t>
      </w:r>
      <w:r>
        <w:rPr>
          <w:rFonts w:asciiTheme="majorHAnsi" w:hAnsiTheme="majorHAnsi"/>
          <w:sz w:val="24"/>
          <w:szCs w:val="24"/>
        </w:rPr>
        <w:t>source of transcendent credibili</w:t>
      </w:r>
      <w:r w:rsidR="00F44661">
        <w:rPr>
          <w:rFonts w:asciiTheme="majorHAnsi" w:hAnsiTheme="majorHAnsi"/>
          <w:sz w:val="24"/>
          <w:szCs w:val="24"/>
        </w:rPr>
        <w:t>ty (and its accompanying states-</w:t>
      </w:r>
      <w:r w:rsidR="0015625C">
        <w:rPr>
          <w:rFonts w:asciiTheme="majorHAnsi" w:hAnsiTheme="majorHAnsi"/>
          <w:sz w:val="24"/>
          <w:szCs w:val="24"/>
        </w:rPr>
        <w:t xml:space="preserve">system) has prompted </w:t>
      </w:r>
      <w:r w:rsidR="00041AEA">
        <w:rPr>
          <w:rFonts w:asciiTheme="majorHAnsi" w:hAnsiTheme="majorHAnsi"/>
          <w:sz w:val="24"/>
          <w:szCs w:val="24"/>
        </w:rPr>
        <w:t xml:space="preserve">contemporary </w:t>
      </w:r>
      <w:r w:rsidR="005A64D8">
        <w:rPr>
          <w:rFonts w:asciiTheme="majorHAnsi" w:hAnsiTheme="majorHAnsi"/>
          <w:sz w:val="24"/>
          <w:szCs w:val="24"/>
        </w:rPr>
        <w:t xml:space="preserve">theorists </w:t>
      </w:r>
      <w:r>
        <w:rPr>
          <w:rFonts w:asciiTheme="majorHAnsi" w:hAnsiTheme="majorHAnsi"/>
          <w:sz w:val="24"/>
          <w:szCs w:val="24"/>
        </w:rPr>
        <w:t>to offer alternative schemes.  Like Locke and Hobbes, we cannot know if any of these alternatives, or some combina</w:t>
      </w:r>
      <w:r w:rsidR="002818E2">
        <w:rPr>
          <w:rFonts w:asciiTheme="majorHAnsi" w:hAnsiTheme="majorHAnsi"/>
          <w:sz w:val="24"/>
          <w:szCs w:val="24"/>
        </w:rPr>
        <w:t>tion thereof, will replace the N</w:t>
      </w:r>
      <w:r>
        <w:rPr>
          <w:rFonts w:asciiTheme="majorHAnsi" w:hAnsiTheme="majorHAnsi"/>
          <w:sz w:val="24"/>
          <w:szCs w:val="24"/>
        </w:rPr>
        <w:t>ation as the primary source of transcendent credibility.  We cannot even really know if we are in a transition to something new</w:t>
      </w:r>
      <w:r w:rsidR="002818E2">
        <w:rPr>
          <w:rFonts w:asciiTheme="majorHAnsi" w:hAnsiTheme="majorHAnsi"/>
          <w:sz w:val="24"/>
          <w:szCs w:val="24"/>
        </w:rPr>
        <w:t>.  What we can say is that the N</w:t>
      </w:r>
      <w:r>
        <w:rPr>
          <w:rFonts w:asciiTheme="majorHAnsi" w:hAnsiTheme="majorHAnsi"/>
          <w:sz w:val="24"/>
          <w:szCs w:val="24"/>
        </w:rPr>
        <w:t>ation will not be jettisoned before a practical alternative is in place</w:t>
      </w:r>
      <w:r w:rsidR="00041AEA">
        <w:rPr>
          <w:rFonts w:asciiTheme="majorHAnsi" w:hAnsiTheme="majorHAnsi"/>
          <w:sz w:val="24"/>
          <w:szCs w:val="24"/>
        </w:rPr>
        <w:t xml:space="preserve"> that can</w:t>
      </w:r>
      <w:r w:rsidR="00A431A2">
        <w:rPr>
          <w:rFonts w:asciiTheme="majorHAnsi" w:hAnsiTheme="majorHAnsi"/>
          <w:sz w:val="24"/>
          <w:szCs w:val="24"/>
        </w:rPr>
        <w:t xml:space="preserve"> fulfill the role of a source of transcendent credibility</w:t>
      </w:r>
      <w:r>
        <w:rPr>
          <w:rFonts w:asciiTheme="majorHAnsi" w:hAnsiTheme="majorHAnsi"/>
          <w:sz w:val="24"/>
          <w:szCs w:val="24"/>
        </w:rPr>
        <w:t xml:space="preserve">.  As of now, the nation-state is </w:t>
      </w:r>
      <w:r w:rsidR="00F44661">
        <w:rPr>
          <w:rFonts w:asciiTheme="majorHAnsi" w:hAnsiTheme="majorHAnsi"/>
          <w:sz w:val="24"/>
          <w:szCs w:val="24"/>
        </w:rPr>
        <w:t>secure; b</w:t>
      </w:r>
      <w:r>
        <w:rPr>
          <w:rFonts w:asciiTheme="majorHAnsi" w:hAnsiTheme="majorHAnsi"/>
          <w:sz w:val="24"/>
          <w:szCs w:val="24"/>
        </w:rPr>
        <w:t>ut this security may be short-lived.</w:t>
      </w:r>
    </w:p>
    <w:p w:rsidR="00776A96" w:rsidRDefault="00776A96">
      <w:pPr>
        <w:rPr>
          <w:rFonts w:asciiTheme="majorHAnsi" w:hAnsiTheme="majorHAnsi"/>
          <w:sz w:val="24"/>
          <w:szCs w:val="24"/>
        </w:rPr>
      </w:pPr>
    </w:p>
    <w:p w:rsidR="00776A96" w:rsidRDefault="00776A96">
      <w:pPr>
        <w:rPr>
          <w:rFonts w:asciiTheme="majorHAnsi" w:hAnsiTheme="majorHAnsi"/>
          <w:sz w:val="24"/>
          <w:szCs w:val="24"/>
        </w:rPr>
      </w:pPr>
    </w:p>
    <w:p w:rsidR="00652972" w:rsidRPr="004E68F7" w:rsidRDefault="00592310" w:rsidP="00592310">
      <w:pPr>
        <w:pStyle w:val="FootnoteText"/>
        <w:ind w:left="720" w:hanging="720"/>
        <w:jc w:val="center"/>
        <w:rPr>
          <w:rFonts w:asciiTheme="majorHAnsi" w:hAnsiTheme="majorHAnsi"/>
          <w:b/>
          <w:sz w:val="24"/>
          <w:szCs w:val="24"/>
        </w:rPr>
      </w:pPr>
      <w:r w:rsidRPr="004E68F7">
        <w:rPr>
          <w:rFonts w:asciiTheme="majorHAnsi" w:hAnsiTheme="majorHAnsi"/>
          <w:b/>
          <w:sz w:val="24"/>
          <w:szCs w:val="24"/>
        </w:rPr>
        <w:t>BIBLIOGRAPHY</w:t>
      </w:r>
    </w:p>
    <w:p w:rsidR="00DD2B57" w:rsidRDefault="00DD2B57" w:rsidP="00652972">
      <w:pPr>
        <w:pStyle w:val="FootnoteText"/>
        <w:ind w:left="720" w:hanging="720"/>
        <w:rPr>
          <w:rFonts w:asciiTheme="majorHAnsi" w:hAnsiTheme="majorHAnsi"/>
          <w:sz w:val="24"/>
          <w:szCs w:val="24"/>
        </w:rPr>
      </w:pPr>
    </w:p>
    <w:p w:rsidR="00652972" w:rsidRPr="00C92C39" w:rsidRDefault="00652972" w:rsidP="00652972">
      <w:pPr>
        <w:pStyle w:val="FootnoteText"/>
        <w:ind w:left="720" w:hanging="720"/>
        <w:rPr>
          <w:rFonts w:asciiTheme="majorHAnsi" w:hAnsiTheme="majorHAnsi"/>
          <w:sz w:val="24"/>
          <w:szCs w:val="24"/>
        </w:rPr>
      </w:pPr>
      <w:proofErr w:type="gramStart"/>
      <w:r w:rsidRPr="00C92C39">
        <w:rPr>
          <w:rFonts w:asciiTheme="majorHAnsi" w:hAnsiTheme="majorHAnsi"/>
          <w:sz w:val="24"/>
          <w:szCs w:val="24"/>
        </w:rPr>
        <w:t>Abercrombie, Nicholas, Stephen Hill, and Bryan S Turner.</w:t>
      </w:r>
      <w:proofErr w:type="gramEnd"/>
      <w:r w:rsidRPr="00C92C39">
        <w:rPr>
          <w:rFonts w:asciiTheme="majorHAnsi" w:hAnsiTheme="majorHAnsi"/>
          <w:sz w:val="24"/>
          <w:szCs w:val="24"/>
        </w:rPr>
        <w:t xml:space="preserve"> </w:t>
      </w:r>
      <w:proofErr w:type="gramStart"/>
      <w:r w:rsidRPr="00C92C39">
        <w:rPr>
          <w:rFonts w:asciiTheme="majorHAnsi" w:hAnsiTheme="majorHAnsi"/>
          <w:i/>
          <w:sz w:val="24"/>
          <w:szCs w:val="24"/>
        </w:rPr>
        <w:t>The Dominant Ideology Thesis.</w:t>
      </w:r>
      <w:proofErr w:type="gramEnd"/>
      <w:r w:rsidR="002F59F6" w:rsidRPr="00C92C39">
        <w:rPr>
          <w:rFonts w:asciiTheme="majorHAnsi" w:hAnsiTheme="majorHAnsi"/>
          <w:sz w:val="24"/>
          <w:szCs w:val="24"/>
        </w:rPr>
        <w:t xml:space="preserve"> London: Routledge, 1980.</w:t>
      </w:r>
    </w:p>
    <w:p w:rsidR="00830EFA" w:rsidRPr="00C92C39" w:rsidRDefault="00830EFA"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Agamben</w:t>
      </w:r>
      <w:proofErr w:type="spellEnd"/>
      <w:r w:rsidRPr="00C92C39">
        <w:rPr>
          <w:rFonts w:asciiTheme="majorHAnsi" w:hAnsiTheme="majorHAnsi"/>
          <w:sz w:val="24"/>
          <w:szCs w:val="24"/>
        </w:rPr>
        <w:t xml:space="preserve">, Giorgio. </w:t>
      </w:r>
      <w:r w:rsidRPr="00C92C39">
        <w:rPr>
          <w:rFonts w:asciiTheme="majorHAnsi" w:hAnsiTheme="majorHAnsi"/>
          <w:i/>
          <w:sz w:val="24"/>
          <w:szCs w:val="24"/>
        </w:rPr>
        <w:t>The Kingdom and the Glory: For a Theological Genealogy of Economy and Government</w:t>
      </w:r>
      <w:r w:rsidRPr="00C92C39">
        <w:rPr>
          <w:rFonts w:asciiTheme="majorHAnsi" w:hAnsiTheme="majorHAnsi"/>
          <w:sz w:val="24"/>
          <w:szCs w:val="24"/>
        </w:rPr>
        <w:t>. Stanford: University of Stanford Press, 2011.</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Andersson</w:t>
      </w:r>
      <w:proofErr w:type="spellEnd"/>
      <w:r w:rsidRPr="00C92C39">
        <w:rPr>
          <w:rFonts w:asciiTheme="majorHAnsi" w:hAnsiTheme="majorHAnsi"/>
          <w:sz w:val="24"/>
          <w:szCs w:val="24"/>
        </w:rPr>
        <w:t>, Bo</w:t>
      </w:r>
      <w:r w:rsidR="00985E57" w:rsidRPr="00C92C39">
        <w:rPr>
          <w:rFonts w:asciiTheme="majorHAnsi" w:hAnsiTheme="majorHAnsi"/>
          <w:sz w:val="24"/>
          <w:szCs w:val="24"/>
        </w:rPr>
        <w:t>.</w:t>
      </w:r>
      <w:r w:rsidR="000D1517" w:rsidRPr="00C92C39">
        <w:rPr>
          <w:rFonts w:asciiTheme="majorHAnsi" w:hAnsiTheme="majorHAnsi"/>
          <w:sz w:val="24"/>
          <w:szCs w:val="24"/>
        </w:rPr>
        <w:t xml:space="preserve"> </w:t>
      </w:r>
      <w:r w:rsidR="00985E57" w:rsidRPr="00C92C39">
        <w:rPr>
          <w:rFonts w:asciiTheme="majorHAnsi" w:hAnsiTheme="majorHAnsi"/>
          <w:sz w:val="24"/>
          <w:szCs w:val="24"/>
        </w:rPr>
        <w:t>“Sweden, the Elect Nation.</w:t>
      </w:r>
      <w:r w:rsidRPr="00C92C39">
        <w:rPr>
          <w:rFonts w:asciiTheme="majorHAnsi" w:hAnsiTheme="majorHAnsi"/>
          <w:sz w:val="24"/>
          <w:szCs w:val="24"/>
        </w:rPr>
        <w:t xml:space="preserve">” </w:t>
      </w:r>
      <w:r w:rsidRPr="00C92C39">
        <w:rPr>
          <w:rFonts w:asciiTheme="majorHAnsi" w:hAnsiTheme="majorHAnsi"/>
          <w:i/>
          <w:sz w:val="24"/>
          <w:szCs w:val="24"/>
        </w:rPr>
        <w:t>Lutheran Quarterly</w:t>
      </w:r>
      <w:r w:rsidRPr="00C92C39">
        <w:rPr>
          <w:rFonts w:asciiTheme="majorHAnsi" w:hAnsiTheme="majorHAnsi"/>
          <w:sz w:val="24"/>
          <w:szCs w:val="24"/>
        </w:rPr>
        <w:t xml:space="preserve"> 13</w:t>
      </w:r>
      <w:r w:rsidR="000D1517" w:rsidRPr="00C92C39">
        <w:rPr>
          <w:rFonts w:asciiTheme="majorHAnsi" w:hAnsiTheme="majorHAnsi"/>
          <w:sz w:val="24"/>
          <w:szCs w:val="24"/>
        </w:rPr>
        <w:t>, no. 3 (1999)</w:t>
      </w:r>
      <w:r w:rsidRPr="00C92C39">
        <w:rPr>
          <w:rFonts w:asciiTheme="majorHAnsi" w:hAnsiTheme="majorHAnsi"/>
          <w:sz w:val="24"/>
          <w:szCs w:val="24"/>
        </w:rPr>
        <w:t>: 305-14.</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Barducci</w:t>
      </w:r>
      <w:proofErr w:type="spellEnd"/>
      <w:r w:rsidRPr="00C92C39">
        <w:rPr>
          <w:rFonts w:asciiTheme="majorHAnsi" w:hAnsiTheme="majorHAnsi"/>
          <w:sz w:val="24"/>
          <w:szCs w:val="24"/>
        </w:rPr>
        <w:t xml:space="preserve">, Marco. “Clement Barksdale, Translator of Grotius: </w:t>
      </w:r>
      <w:proofErr w:type="spellStart"/>
      <w:r w:rsidRPr="00C92C39">
        <w:rPr>
          <w:rFonts w:asciiTheme="majorHAnsi" w:hAnsiTheme="majorHAnsi"/>
          <w:sz w:val="24"/>
          <w:szCs w:val="24"/>
        </w:rPr>
        <w:t>Erastianism</w:t>
      </w:r>
      <w:proofErr w:type="spellEnd"/>
      <w:r w:rsidRPr="00C92C39">
        <w:rPr>
          <w:rFonts w:asciiTheme="majorHAnsi" w:hAnsiTheme="majorHAnsi"/>
          <w:sz w:val="24"/>
          <w:szCs w:val="24"/>
        </w:rPr>
        <w:t xml:space="preserve"> and Episcopacy i</w:t>
      </w:r>
      <w:r w:rsidR="000D1517" w:rsidRPr="00C92C39">
        <w:rPr>
          <w:rFonts w:asciiTheme="majorHAnsi" w:hAnsiTheme="majorHAnsi"/>
          <w:sz w:val="24"/>
          <w:szCs w:val="24"/>
        </w:rPr>
        <w:t>n the English Church, 1651-1658.</w:t>
      </w:r>
      <w:r w:rsidRPr="00C92C39">
        <w:rPr>
          <w:rFonts w:asciiTheme="majorHAnsi" w:hAnsiTheme="majorHAnsi"/>
          <w:sz w:val="24"/>
          <w:szCs w:val="24"/>
        </w:rPr>
        <w:t xml:space="preserve">” </w:t>
      </w:r>
      <w:r w:rsidR="00434303" w:rsidRPr="00C92C39">
        <w:rPr>
          <w:rFonts w:asciiTheme="majorHAnsi" w:hAnsiTheme="majorHAnsi"/>
          <w:i/>
          <w:sz w:val="24"/>
          <w:szCs w:val="24"/>
        </w:rPr>
        <w:t xml:space="preserve">The </w:t>
      </w:r>
      <w:r w:rsidRPr="00C92C39">
        <w:rPr>
          <w:rFonts w:asciiTheme="majorHAnsi" w:hAnsiTheme="majorHAnsi"/>
          <w:i/>
          <w:sz w:val="24"/>
          <w:szCs w:val="24"/>
        </w:rPr>
        <w:t>Seventeenth Century</w:t>
      </w:r>
      <w:r w:rsidR="000D1517" w:rsidRPr="00C92C39">
        <w:rPr>
          <w:rFonts w:asciiTheme="majorHAnsi" w:hAnsiTheme="majorHAnsi"/>
          <w:sz w:val="24"/>
          <w:szCs w:val="24"/>
        </w:rPr>
        <w:t xml:space="preserve"> 25, no. 2 (2010)</w:t>
      </w:r>
      <w:r w:rsidRPr="00C92C39">
        <w:rPr>
          <w:rFonts w:asciiTheme="majorHAnsi" w:hAnsiTheme="majorHAnsi"/>
          <w:sz w:val="24"/>
          <w:szCs w:val="24"/>
        </w:rPr>
        <w:t>: 265-80.</w:t>
      </w:r>
    </w:p>
    <w:p w:rsidR="00652972" w:rsidRPr="00C92C39" w:rsidRDefault="002F59F6" w:rsidP="00652972">
      <w:pPr>
        <w:pStyle w:val="FootnoteText"/>
        <w:ind w:left="720" w:hanging="720"/>
        <w:rPr>
          <w:rFonts w:asciiTheme="majorHAnsi" w:hAnsiTheme="majorHAnsi"/>
          <w:sz w:val="24"/>
          <w:szCs w:val="24"/>
        </w:rPr>
      </w:pPr>
      <w:r w:rsidRPr="00C92C39">
        <w:rPr>
          <w:rFonts w:asciiTheme="majorHAnsi" w:hAnsiTheme="majorHAnsi"/>
          <w:sz w:val="24"/>
          <w:szCs w:val="24"/>
        </w:rPr>
        <w:t>Barnard, Frederick M, ed</w:t>
      </w:r>
      <w:r w:rsidR="00652972" w:rsidRPr="00C92C39">
        <w:rPr>
          <w:rFonts w:asciiTheme="majorHAnsi" w:hAnsiTheme="majorHAnsi"/>
          <w:sz w:val="24"/>
          <w:szCs w:val="24"/>
        </w:rPr>
        <w:t>.</w:t>
      </w:r>
      <w:r w:rsidRPr="00C92C39">
        <w:rPr>
          <w:rFonts w:asciiTheme="majorHAnsi" w:hAnsiTheme="majorHAnsi"/>
          <w:sz w:val="24"/>
          <w:szCs w:val="24"/>
        </w:rPr>
        <w:t xml:space="preserve"> </w:t>
      </w:r>
      <w:r w:rsidR="00652972" w:rsidRPr="00C92C39">
        <w:rPr>
          <w:rFonts w:asciiTheme="majorHAnsi" w:hAnsiTheme="majorHAnsi"/>
          <w:i/>
          <w:sz w:val="24"/>
          <w:szCs w:val="24"/>
        </w:rPr>
        <w:t>J.G. Herder on Social and Political Culture.</w:t>
      </w:r>
      <w:r w:rsidR="00652972" w:rsidRPr="00C92C39">
        <w:rPr>
          <w:rFonts w:asciiTheme="majorHAnsi" w:hAnsiTheme="majorHAnsi"/>
          <w:sz w:val="24"/>
          <w:szCs w:val="24"/>
        </w:rPr>
        <w:t xml:space="preserve"> Cambrid</w:t>
      </w:r>
      <w:r w:rsidRPr="00C92C39">
        <w:rPr>
          <w:rFonts w:asciiTheme="majorHAnsi" w:hAnsiTheme="majorHAnsi"/>
          <w:sz w:val="24"/>
          <w:szCs w:val="24"/>
        </w:rPr>
        <w:t>ge:  Cambridge University Press, 1969.</w:t>
      </w:r>
    </w:p>
    <w:p w:rsidR="00652972"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Barnett</w:t>
      </w:r>
      <w:r w:rsidR="002F59F6" w:rsidRPr="00C92C39">
        <w:rPr>
          <w:rFonts w:asciiTheme="majorHAnsi" w:hAnsiTheme="majorHAnsi"/>
          <w:sz w:val="24"/>
          <w:szCs w:val="24"/>
        </w:rPr>
        <w:t>, S. J</w:t>
      </w:r>
      <w:r w:rsidRPr="00C92C39">
        <w:rPr>
          <w:rFonts w:asciiTheme="majorHAnsi" w:hAnsiTheme="majorHAnsi"/>
          <w:sz w:val="24"/>
          <w:szCs w:val="24"/>
        </w:rPr>
        <w:t xml:space="preserve">. </w:t>
      </w:r>
      <w:r w:rsidRPr="00C92C39">
        <w:rPr>
          <w:rFonts w:asciiTheme="majorHAnsi" w:hAnsiTheme="majorHAnsi"/>
          <w:i/>
          <w:sz w:val="24"/>
          <w:szCs w:val="24"/>
        </w:rPr>
        <w:t>The Enlightenment and Religion: The Myths of Modernity.</w:t>
      </w:r>
      <w:r w:rsidRPr="00C92C39">
        <w:rPr>
          <w:rFonts w:asciiTheme="majorHAnsi" w:hAnsiTheme="majorHAnsi"/>
          <w:sz w:val="24"/>
          <w:szCs w:val="24"/>
        </w:rPr>
        <w:t xml:space="preserve"> Mancheste</w:t>
      </w:r>
      <w:r w:rsidR="002F59F6" w:rsidRPr="00C92C39">
        <w:rPr>
          <w:rFonts w:asciiTheme="majorHAnsi" w:hAnsiTheme="majorHAnsi"/>
          <w:sz w:val="24"/>
          <w:szCs w:val="24"/>
        </w:rPr>
        <w:t>r:  Manchester University Press, 2004.</w:t>
      </w:r>
    </w:p>
    <w:p w:rsidR="009C6F95" w:rsidRPr="009C6F95" w:rsidRDefault="009C6F95" w:rsidP="00652972">
      <w:pPr>
        <w:pStyle w:val="FootnoteText"/>
        <w:ind w:left="720" w:hanging="720"/>
        <w:rPr>
          <w:rFonts w:asciiTheme="majorHAnsi" w:hAnsiTheme="majorHAnsi"/>
          <w:sz w:val="24"/>
          <w:szCs w:val="24"/>
        </w:rPr>
      </w:pPr>
      <w:proofErr w:type="gramStart"/>
      <w:r>
        <w:rPr>
          <w:rFonts w:asciiTheme="majorHAnsi" w:hAnsiTheme="majorHAnsi"/>
          <w:sz w:val="24"/>
          <w:szCs w:val="24"/>
        </w:rPr>
        <w:t>Bates, David William.</w:t>
      </w:r>
      <w:proofErr w:type="gramEnd"/>
      <w:r>
        <w:rPr>
          <w:rFonts w:asciiTheme="majorHAnsi" w:hAnsiTheme="majorHAnsi"/>
          <w:sz w:val="24"/>
          <w:szCs w:val="24"/>
        </w:rPr>
        <w:t xml:space="preserve">  </w:t>
      </w:r>
      <w:r>
        <w:rPr>
          <w:rFonts w:asciiTheme="majorHAnsi" w:hAnsiTheme="majorHAnsi"/>
          <w:i/>
          <w:sz w:val="24"/>
          <w:szCs w:val="24"/>
        </w:rPr>
        <w:t>States of War: Enlightenment Origins of the Political</w:t>
      </w:r>
      <w:r>
        <w:rPr>
          <w:rFonts w:asciiTheme="majorHAnsi" w:hAnsiTheme="majorHAnsi"/>
          <w:sz w:val="24"/>
          <w:szCs w:val="24"/>
        </w:rPr>
        <w:t>.  New York, NY: Columbia University Press, 2011.</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Bendix, </w:t>
      </w:r>
      <w:proofErr w:type="spellStart"/>
      <w:r w:rsidRPr="00C92C39">
        <w:rPr>
          <w:rFonts w:asciiTheme="majorHAnsi" w:hAnsiTheme="majorHAnsi"/>
          <w:sz w:val="24"/>
          <w:szCs w:val="24"/>
        </w:rPr>
        <w:t>Reinhard</w:t>
      </w:r>
      <w:proofErr w:type="spellEnd"/>
      <w:r w:rsidRPr="00C92C39">
        <w:rPr>
          <w:rFonts w:asciiTheme="majorHAnsi" w:hAnsiTheme="majorHAnsi"/>
          <w:sz w:val="24"/>
          <w:szCs w:val="24"/>
        </w:rPr>
        <w:t xml:space="preserve">. </w:t>
      </w:r>
      <w:r w:rsidRPr="00C92C39">
        <w:rPr>
          <w:rFonts w:asciiTheme="majorHAnsi" w:hAnsiTheme="majorHAnsi"/>
          <w:i/>
          <w:sz w:val="24"/>
          <w:szCs w:val="24"/>
        </w:rPr>
        <w:t xml:space="preserve">Kings or People: Power and the Mandate to Rule. </w:t>
      </w:r>
      <w:r w:rsidRPr="00C92C39">
        <w:rPr>
          <w:rFonts w:asciiTheme="majorHAnsi" w:hAnsiTheme="majorHAnsi"/>
          <w:sz w:val="24"/>
          <w:szCs w:val="24"/>
        </w:rPr>
        <w:t>Berkeley: University of California Press</w:t>
      </w:r>
      <w:r w:rsidR="002F59F6" w:rsidRPr="00C92C39">
        <w:rPr>
          <w:rFonts w:asciiTheme="majorHAnsi" w:hAnsiTheme="majorHAnsi"/>
          <w:sz w:val="24"/>
          <w:szCs w:val="24"/>
        </w:rPr>
        <w:t>, 1978.</w:t>
      </w:r>
      <w:r w:rsidRPr="00C92C39">
        <w:rPr>
          <w:rFonts w:asciiTheme="majorHAnsi" w:hAnsiTheme="majorHAnsi"/>
          <w:sz w:val="24"/>
          <w:szCs w:val="24"/>
        </w:rPr>
        <w:t xml:space="preserve"> </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Berlin, Isaiah.</w:t>
      </w:r>
      <w:r w:rsidR="0027129F" w:rsidRPr="00C92C39">
        <w:rPr>
          <w:rFonts w:asciiTheme="majorHAnsi" w:hAnsiTheme="majorHAnsi"/>
          <w:sz w:val="24"/>
          <w:szCs w:val="24"/>
        </w:rPr>
        <w:t xml:space="preserve"> </w:t>
      </w:r>
      <w:proofErr w:type="gramStart"/>
      <w:r w:rsidR="0027129F" w:rsidRPr="00C92C39">
        <w:rPr>
          <w:rFonts w:asciiTheme="majorHAnsi" w:hAnsiTheme="majorHAnsi"/>
          <w:sz w:val="24"/>
          <w:szCs w:val="24"/>
        </w:rPr>
        <w:t>“Herder and the Enlightenment.”</w:t>
      </w:r>
      <w:proofErr w:type="gramEnd"/>
      <w:r w:rsidR="0027129F" w:rsidRPr="00C92C39">
        <w:rPr>
          <w:rFonts w:asciiTheme="majorHAnsi" w:hAnsiTheme="majorHAnsi"/>
          <w:sz w:val="24"/>
          <w:szCs w:val="24"/>
        </w:rPr>
        <w:t xml:space="preserve"> I</w:t>
      </w:r>
      <w:r w:rsidRPr="00C92C39">
        <w:rPr>
          <w:rFonts w:asciiTheme="majorHAnsi" w:hAnsiTheme="majorHAnsi"/>
          <w:sz w:val="24"/>
          <w:szCs w:val="24"/>
        </w:rPr>
        <w:t xml:space="preserve">n </w:t>
      </w:r>
      <w:r w:rsidRPr="00C92C39">
        <w:rPr>
          <w:rFonts w:asciiTheme="majorHAnsi" w:hAnsiTheme="majorHAnsi"/>
          <w:i/>
          <w:sz w:val="24"/>
          <w:szCs w:val="24"/>
        </w:rPr>
        <w:t>The Proper Study of Mankind: An Anthology of Essays</w:t>
      </w:r>
      <w:r w:rsidR="0027129F" w:rsidRPr="00C92C39">
        <w:rPr>
          <w:rFonts w:asciiTheme="majorHAnsi" w:hAnsiTheme="majorHAnsi"/>
          <w:sz w:val="24"/>
          <w:szCs w:val="24"/>
        </w:rPr>
        <w:t xml:space="preserve">, ed. Henry Hardy and Roger </w:t>
      </w:r>
      <w:proofErr w:type="spellStart"/>
      <w:r w:rsidR="0027129F" w:rsidRPr="00C92C39">
        <w:rPr>
          <w:rFonts w:asciiTheme="majorHAnsi" w:hAnsiTheme="majorHAnsi"/>
          <w:sz w:val="24"/>
          <w:szCs w:val="24"/>
        </w:rPr>
        <w:t>Hausheer</w:t>
      </w:r>
      <w:proofErr w:type="spellEnd"/>
      <w:r w:rsidR="0027129F" w:rsidRPr="00C92C39">
        <w:rPr>
          <w:rFonts w:asciiTheme="majorHAnsi" w:hAnsiTheme="majorHAnsi"/>
          <w:sz w:val="24"/>
          <w:szCs w:val="24"/>
        </w:rPr>
        <w:t>, 359-435.</w:t>
      </w:r>
      <w:r w:rsidRPr="00C92C39">
        <w:rPr>
          <w:rFonts w:asciiTheme="majorHAnsi" w:hAnsiTheme="majorHAnsi"/>
          <w:sz w:val="24"/>
          <w:szCs w:val="24"/>
        </w:rPr>
        <w:t xml:space="preserve"> New York: Farrar, Stra</w:t>
      </w:r>
      <w:r w:rsidR="0027129F" w:rsidRPr="00C92C39">
        <w:rPr>
          <w:rFonts w:asciiTheme="majorHAnsi" w:hAnsiTheme="majorHAnsi"/>
          <w:sz w:val="24"/>
          <w:szCs w:val="24"/>
        </w:rPr>
        <w:t>us, and Giroux, 1997[1976].</w:t>
      </w:r>
    </w:p>
    <w:p w:rsidR="00652972" w:rsidRPr="00C92C39" w:rsidRDefault="002F59F6" w:rsidP="00652972">
      <w:pPr>
        <w:pStyle w:val="FootnoteText"/>
        <w:ind w:left="720" w:hanging="720"/>
        <w:rPr>
          <w:rFonts w:asciiTheme="majorHAnsi" w:hAnsiTheme="majorHAnsi"/>
          <w:sz w:val="24"/>
          <w:szCs w:val="24"/>
        </w:rPr>
      </w:pPr>
      <w:r w:rsidRPr="00C92C39">
        <w:rPr>
          <w:rFonts w:asciiTheme="majorHAnsi" w:hAnsiTheme="majorHAnsi"/>
          <w:sz w:val="24"/>
          <w:szCs w:val="24"/>
        </w:rPr>
        <w:t>Brett, Annabel</w:t>
      </w:r>
      <w:r w:rsidR="00652972" w:rsidRPr="00C92C39">
        <w:rPr>
          <w:rFonts w:asciiTheme="majorHAnsi" w:hAnsiTheme="majorHAnsi"/>
          <w:sz w:val="24"/>
          <w:szCs w:val="24"/>
        </w:rPr>
        <w:t xml:space="preserve">. </w:t>
      </w:r>
      <w:r w:rsidR="00652972" w:rsidRPr="00C92C39">
        <w:rPr>
          <w:rFonts w:asciiTheme="majorHAnsi" w:hAnsiTheme="majorHAnsi"/>
          <w:i/>
          <w:sz w:val="24"/>
          <w:szCs w:val="24"/>
        </w:rPr>
        <w:t>Changes of State: Nature and the Limits of the City in Early Modern Natural Law.</w:t>
      </w:r>
      <w:r w:rsidR="00652972" w:rsidRPr="00C92C39">
        <w:rPr>
          <w:rFonts w:asciiTheme="majorHAnsi" w:hAnsiTheme="majorHAnsi"/>
          <w:sz w:val="24"/>
          <w:szCs w:val="24"/>
        </w:rPr>
        <w:t xml:space="preserve"> Princet</w:t>
      </w:r>
      <w:r w:rsidRPr="00C92C39">
        <w:rPr>
          <w:rFonts w:asciiTheme="majorHAnsi" w:hAnsiTheme="majorHAnsi"/>
          <w:sz w:val="24"/>
          <w:szCs w:val="24"/>
        </w:rPr>
        <w:t>on:  Princeton University Press, 2012.</w:t>
      </w:r>
    </w:p>
    <w:p w:rsidR="001926AA" w:rsidRPr="00C92C39" w:rsidRDefault="001926AA"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Cavanaugh, William T. “‘Killing for the Telephone Company’: Why the Nation-State Is Not the Keeper of the Common Good.” </w:t>
      </w:r>
      <w:r w:rsidRPr="00C92C39">
        <w:rPr>
          <w:rFonts w:asciiTheme="majorHAnsi" w:hAnsiTheme="majorHAnsi"/>
          <w:i/>
          <w:sz w:val="24"/>
          <w:szCs w:val="24"/>
        </w:rPr>
        <w:t>Modern Theology</w:t>
      </w:r>
      <w:r w:rsidRPr="00C92C39">
        <w:rPr>
          <w:rFonts w:asciiTheme="majorHAnsi" w:hAnsiTheme="majorHAnsi"/>
          <w:sz w:val="24"/>
          <w:szCs w:val="24"/>
        </w:rPr>
        <w:t xml:space="preserve"> 20, no. 2 (2004): 243-74.</w:t>
      </w:r>
      <w:r w:rsidR="0093601B" w:rsidRPr="00C92C39">
        <w:rPr>
          <w:rFonts w:asciiTheme="majorHAnsi" w:hAnsiTheme="majorHAnsi"/>
          <w:sz w:val="24"/>
          <w:szCs w:val="24"/>
        </w:rPr>
        <w:t xml:space="preserve"> http://dx.doi.org/10.1111/j.1468-0025.2004.00252.x</w:t>
      </w:r>
    </w:p>
    <w:p w:rsidR="00652972" w:rsidRPr="00C92C39" w:rsidRDefault="002F59F6"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Critchley</w:t>
      </w:r>
      <w:proofErr w:type="spellEnd"/>
      <w:r w:rsidRPr="00C92C39">
        <w:rPr>
          <w:rFonts w:asciiTheme="majorHAnsi" w:hAnsiTheme="majorHAnsi"/>
          <w:sz w:val="24"/>
          <w:szCs w:val="24"/>
        </w:rPr>
        <w:t>, Simon</w:t>
      </w:r>
      <w:r w:rsidR="00652972" w:rsidRPr="00C92C39">
        <w:rPr>
          <w:rFonts w:asciiTheme="majorHAnsi" w:hAnsiTheme="majorHAnsi"/>
          <w:sz w:val="24"/>
          <w:szCs w:val="24"/>
        </w:rPr>
        <w:t xml:space="preserve">. </w:t>
      </w:r>
      <w:proofErr w:type="gramStart"/>
      <w:r w:rsidR="00652972" w:rsidRPr="00C92C39">
        <w:rPr>
          <w:rFonts w:asciiTheme="majorHAnsi" w:hAnsiTheme="majorHAnsi"/>
          <w:i/>
          <w:sz w:val="24"/>
          <w:szCs w:val="24"/>
        </w:rPr>
        <w:t>The Faith of the Faithless.</w:t>
      </w:r>
      <w:proofErr w:type="gramEnd"/>
      <w:r w:rsidRPr="00C92C39">
        <w:rPr>
          <w:rFonts w:asciiTheme="majorHAnsi" w:hAnsiTheme="majorHAnsi"/>
          <w:sz w:val="24"/>
          <w:szCs w:val="24"/>
        </w:rPr>
        <w:t xml:space="preserve"> London: Verso, 2012.</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Cullen, Daniel E</w:t>
      </w:r>
      <w:r w:rsidR="002F59F6" w:rsidRPr="00C92C39">
        <w:rPr>
          <w:rFonts w:asciiTheme="majorHAnsi" w:hAnsiTheme="majorHAnsi"/>
          <w:sz w:val="24"/>
          <w:szCs w:val="24"/>
        </w:rPr>
        <w:t>.</w:t>
      </w:r>
      <w:r w:rsidRPr="00C92C39">
        <w:rPr>
          <w:rFonts w:asciiTheme="majorHAnsi" w:hAnsiTheme="majorHAnsi"/>
          <w:sz w:val="24"/>
          <w:szCs w:val="24"/>
        </w:rPr>
        <w:t xml:space="preserve"> </w:t>
      </w:r>
      <w:r w:rsidRPr="00C92C39">
        <w:rPr>
          <w:rFonts w:asciiTheme="majorHAnsi" w:hAnsiTheme="majorHAnsi"/>
          <w:i/>
          <w:sz w:val="24"/>
          <w:szCs w:val="24"/>
        </w:rPr>
        <w:t>Freedom in Rousseau’s Political Philosophy.</w:t>
      </w:r>
      <w:r w:rsidRPr="00C92C39">
        <w:rPr>
          <w:rFonts w:asciiTheme="majorHAnsi" w:hAnsiTheme="majorHAnsi"/>
          <w:sz w:val="24"/>
          <w:szCs w:val="24"/>
        </w:rPr>
        <w:t xml:space="preserve"> </w:t>
      </w:r>
      <w:r w:rsidR="002F59F6" w:rsidRPr="00C92C39">
        <w:rPr>
          <w:rFonts w:asciiTheme="majorHAnsi" w:hAnsiTheme="majorHAnsi"/>
          <w:sz w:val="24"/>
          <w:szCs w:val="24"/>
        </w:rPr>
        <w:t>DeKalb: Northern Illinois Press, 1993.</w:t>
      </w:r>
    </w:p>
    <w:p w:rsidR="00652972" w:rsidRPr="00C92C39" w:rsidRDefault="00652972" w:rsidP="00652972">
      <w:pPr>
        <w:pStyle w:val="FootnoteText"/>
        <w:ind w:left="720" w:hanging="720"/>
        <w:rPr>
          <w:rFonts w:asciiTheme="majorHAnsi" w:hAnsiTheme="majorHAnsi"/>
          <w:sz w:val="24"/>
          <w:szCs w:val="24"/>
        </w:rPr>
      </w:pPr>
      <w:proofErr w:type="gramStart"/>
      <w:r w:rsidRPr="00C92C39">
        <w:rPr>
          <w:rFonts w:asciiTheme="majorHAnsi" w:hAnsiTheme="majorHAnsi"/>
          <w:sz w:val="24"/>
          <w:szCs w:val="24"/>
        </w:rPr>
        <w:t xml:space="preserve">De </w:t>
      </w:r>
      <w:proofErr w:type="spellStart"/>
      <w:r w:rsidRPr="00C92C39">
        <w:rPr>
          <w:rFonts w:asciiTheme="majorHAnsi" w:hAnsiTheme="majorHAnsi"/>
          <w:sz w:val="24"/>
          <w:szCs w:val="24"/>
        </w:rPr>
        <w:t>Roover</w:t>
      </w:r>
      <w:proofErr w:type="spellEnd"/>
      <w:r w:rsidRPr="00C92C39">
        <w:rPr>
          <w:rFonts w:asciiTheme="majorHAnsi" w:hAnsiTheme="majorHAnsi"/>
          <w:sz w:val="24"/>
          <w:szCs w:val="24"/>
        </w:rPr>
        <w:t xml:space="preserve">, </w:t>
      </w:r>
      <w:proofErr w:type="spellStart"/>
      <w:r w:rsidRPr="00C92C39">
        <w:rPr>
          <w:rFonts w:asciiTheme="majorHAnsi" w:hAnsiTheme="majorHAnsi"/>
          <w:sz w:val="24"/>
          <w:szCs w:val="24"/>
        </w:rPr>
        <w:t>Jakob</w:t>
      </w:r>
      <w:proofErr w:type="spellEnd"/>
      <w:r w:rsidRPr="00C92C39">
        <w:rPr>
          <w:rFonts w:asciiTheme="majorHAnsi" w:hAnsiTheme="majorHAnsi"/>
          <w:sz w:val="24"/>
          <w:szCs w:val="24"/>
        </w:rPr>
        <w:t xml:space="preserve">, and SN </w:t>
      </w:r>
      <w:proofErr w:type="spellStart"/>
      <w:r w:rsidRPr="00C92C39">
        <w:rPr>
          <w:rFonts w:asciiTheme="majorHAnsi" w:hAnsiTheme="majorHAnsi"/>
          <w:sz w:val="24"/>
          <w:szCs w:val="24"/>
        </w:rPr>
        <w:t>Balagangadhara</w:t>
      </w:r>
      <w:proofErr w:type="spellEnd"/>
      <w:r w:rsidRPr="00C92C39">
        <w:rPr>
          <w:rFonts w:asciiTheme="majorHAnsi" w:hAnsiTheme="majorHAnsi"/>
          <w:sz w:val="24"/>
          <w:szCs w:val="24"/>
        </w:rPr>
        <w:t>.</w:t>
      </w:r>
      <w:proofErr w:type="gramEnd"/>
      <w:r w:rsidRPr="00C92C39">
        <w:rPr>
          <w:rFonts w:asciiTheme="majorHAnsi" w:hAnsiTheme="majorHAnsi"/>
          <w:sz w:val="24"/>
          <w:szCs w:val="24"/>
        </w:rPr>
        <w:t xml:space="preserve"> </w:t>
      </w:r>
      <w:proofErr w:type="gramStart"/>
      <w:r w:rsidRPr="00C92C39">
        <w:rPr>
          <w:rFonts w:asciiTheme="majorHAnsi" w:hAnsiTheme="majorHAnsi"/>
          <w:sz w:val="24"/>
          <w:szCs w:val="24"/>
        </w:rPr>
        <w:t>“John Locke, Christian Liberty and the Pr</w:t>
      </w:r>
      <w:r w:rsidR="000D1517" w:rsidRPr="00C92C39">
        <w:rPr>
          <w:rFonts w:asciiTheme="majorHAnsi" w:hAnsiTheme="majorHAnsi"/>
          <w:sz w:val="24"/>
          <w:szCs w:val="24"/>
        </w:rPr>
        <w:t>edicament of Liberal Toleration.</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Political Theory</w:t>
      </w:r>
      <w:r w:rsidR="000D1517" w:rsidRPr="00C92C39">
        <w:rPr>
          <w:rFonts w:asciiTheme="majorHAnsi" w:hAnsiTheme="majorHAnsi"/>
          <w:sz w:val="24"/>
          <w:szCs w:val="24"/>
        </w:rPr>
        <w:t xml:space="preserve"> 36, no. 4 (2008): 523-49</w:t>
      </w:r>
      <w:r w:rsidRPr="00C92C39">
        <w:rPr>
          <w:rFonts w:asciiTheme="majorHAnsi" w:hAnsiTheme="majorHAnsi"/>
          <w:sz w:val="24"/>
          <w:szCs w:val="24"/>
        </w:rPr>
        <w:t>.</w:t>
      </w:r>
      <w:r w:rsidR="00C92C39" w:rsidRPr="00C92C39">
        <w:rPr>
          <w:rFonts w:asciiTheme="majorHAnsi" w:hAnsiTheme="majorHAnsi"/>
          <w:sz w:val="24"/>
          <w:szCs w:val="24"/>
        </w:rPr>
        <w:t xml:space="preserve"> http://www.jstor.org/stable/20452650</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lastRenderedPageBreak/>
        <w:t>Edelstein</w:t>
      </w:r>
      <w:r w:rsidR="002F59F6" w:rsidRPr="00C92C39">
        <w:rPr>
          <w:rFonts w:asciiTheme="majorHAnsi" w:hAnsiTheme="majorHAnsi"/>
          <w:sz w:val="24"/>
          <w:szCs w:val="24"/>
        </w:rPr>
        <w:t>, Dan</w:t>
      </w:r>
      <w:r w:rsidRPr="00C92C39">
        <w:rPr>
          <w:rFonts w:asciiTheme="majorHAnsi" w:hAnsiTheme="majorHAnsi"/>
          <w:sz w:val="24"/>
          <w:szCs w:val="24"/>
        </w:rPr>
        <w:t xml:space="preserve">. </w:t>
      </w:r>
      <w:r w:rsidRPr="00C92C39">
        <w:rPr>
          <w:rFonts w:asciiTheme="majorHAnsi" w:hAnsiTheme="majorHAnsi"/>
          <w:i/>
          <w:sz w:val="24"/>
          <w:szCs w:val="24"/>
        </w:rPr>
        <w:t>The Terror of Natural Rights: Republicanism, the Cult of Nature, and the French Revolution.</w:t>
      </w:r>
      <w:r w:rsidRPr="00C92C39">
        <w:rPr>
          <w:rFonts w:asciiTheme="majorHAnsi" w:hAnsiTheme="majorHAnsi"/>
          <w:sz w:val="24"/>
          <w:szCs w:val="24"/>
        </w:rPr>
        <w:t xml:space="preserve"> Chica</w:t>
      </w:r>
      <w:r w:rsidR="002F59F6" w:rsidRPr="00C92C39">
        <w:rPr>
          <w:rFonts w:asciiTheme="majorHAnsi" w:hAnsiTheme="majorHAnsi"/>
          <w:sz w:val="24"/>
          <w:szCs w:val="24"/>
        </w:rPr>
        <w:t>go: University of Chicago Press, 2009.</w:t>
      </w:r>
    </w:p>
    <w:p w:rsidR="00652972" w:rsidRPr="00C92C39" w:rsidRDefault="002F59F6"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Engster</w:t>
      </w:r>
      <w:proofErr w:type="spellEnd"/>
      <w:r w:rsidRPr="00C92C39">
        <w:rPr>
          <w:rFonts w:asciiTheme="majorHAnsi" w:hAnsiTheme="majorHAnsi"/>
          <w:sz w:val="24"/>
          <w:szCs w:val="24"/>
        </w:rPr>
        <w:t>, Daniel</w:t>
      </w:r>
      <w:r w:rsidR="00652972" w:rsidRPr="00C92C39">
        <w:rPr>
          <w:rFonts w:asciiTheme="majorHAnsi" w:hAnsiTheme="majorHAnsi"/>
          <w:sz w:val="24"/>
          <w:szCs w:val="24"/>
        </w:rPr>
        <w:t xml:space="preserve">. </w:t>
      </w:r>
      <w:r w:rsidR="00652972" w:rsidRPr="00C92C39">
        <w:rPr>
          <w:rFonts w:asciiTheme="majorHAnsi" w:hAnsiTheme="majorHAnsi"/>
          <w:i/>
          <w:sz w:val="24"/>
          <w:szCs w:val="24"/>
        </w:rPr>
        <w:t>Divine Sovereignty: The Origins of Modern State Power.</w:t>
      </w:r>
      <w:r w:rsidR="00652972" w:rsidRPr="00C92C39">
        <w:rPr>
          <w:rFonts w:asciiTheme="majorHAnsi" w:hAnsiTheme="majorHAnsi"/>
          <w:sz w:val="24"/>
          <w:szCs w:val="24"/>
        </w:rPr>
        <w:t xml:space="preserve"> DeKalb: Northern Illinois University Press</w:t>
      </w:r>
      <w:r w:rsidRPr="00C92C39">
        <w:rPr>
          <w:rFonts w:asciiTheme="majorHAnsi" w:hAnsiTheme="majorHAnsi"/>
          <w:sz w:val="24"/>
          <w:szCs w:val="24"/>
        </w:rPr>
        <w:t>, 2001</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gramStart"/>
      <w:r w:rsidRPr="00C92C39">
        <w:rPr>
          <w:rFonts w:asciiTheme="majorHAnsi" w:hAnsiTheme="majorHAnsi"/>
          <w:sz w:val="24"/>
          <w:szCs w:val="24"/>
        </w:rPr>
        <w:t>Farr, James, and Clayton Roberts.</w:t>
      </w:r>
      <w:proofErr w:type="gramEnd"/>
      <w:r w:rsidRPr="00C92C39">
        <w:rPr>
          <w:rFonts w:asciiTheme="majorHAnsi" w:hAnsiTheme="majorHAnsi"/>
          <w:sz w:val="24"/>
          <w:szCs w:val="24"/>
        </w:rPr>
        <w:t xml:space="preserve"> “John Locke on the Glorious Revo</w:t>
      </w:r>
      <w:r w:rsidR="000D1517" w:rsidRPr="00C92C39">
        <w:rPr>
          <w:rFonts w:asciiTheme="majorHAnsi" w:hAnsiTheme="majorHAnsi"/>
          <w:sz w:val="24"/>
          <w:szCs w:val="24"/>
        </w:rPr>
        <w:t>lution: A Rediscovered Document.</w:t>
      </w:r>
      <w:r w:rsidRPr="00C92C39">
        <w:rPr>
          <w:rFonts w:asciiTheme="majorHAnsi" w:hAnsiTheme="majorHAnsi"/>
          <w:sz w:val="24"/>
          <w:szCs w:val="24"/>
        </w:rPr>
        <w:t xml:space="preserve">” </w:t>
      </w:r>
      <w:r w:rsidRPr="00C92C39">
        <w:rPr>
          <w:rFonts w:asciiTheme="majorHAnsi" w:hAnsiTheme="majorHAnsi"/>
          <w:i/>
          <w:sz w:val="24"/>
          <w:szCs w:val="24"/>
        </w:rPr>
        <w:t>Historical Journal</w:t>
      </w:r>
      <w:r w:rsidR="000D1517" w:rsidRPr="00C92C39">
        <w:rPr>
          <w:rFonts w:asciiTheme="majorHAnsi" w:hAnsiTheme="majorHAnsi"/>
          <w:sz w:val="24"/>
          <w:szCs w:val="24"/>
        </w:rPr>
        <w:t xml:space="preserve"> 28, no. 2 (1985)</w:t>
      </w:r>
      <w:r w:rsidRPr="00C92C39">
        <w:rPr>
          <w:rFonts w:asciiTheme="majorHAnsi" w:hAnsiTheme="majorHAnsi"/>
          <w:sz w:val="24"/>
          <w:szCs w:val="24"/>
        </w:rPr>
        <w:t>: 385-98.</w:t>
      </w:r>
      <w:r w:rsidR="00434303" w:rsidRPr="00C92C39">
        <w:rPr>
          <w:rFonts w:asciiTheme="majorHAnsi" w:hAnsiTheme="majorHAnsi"/>
          <w:sz w:val="24"/>
          <w:szCs w:val="24"/>
        </w:rPr>
        <w:t xml:space="preserve">  </w:t>
      </w:r>
      <w:r w:rsidR="0093601B" w:rsidRPr="00C92C39">
        <w:rPr>
          <w:rFonts w:asciiTheme="majorHAnsi" w:hAnsiTheme="majorHAnsi"/>
          <w:sz w:val="24"/>
          <w:szCs w:val="24"/>
        </w:rPr>
        <w:t>http://dx.doi.org/10.1017/S0018246X00003174</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Ferber, </w:t>
      </w:r>
      <w:proofErr w:type="spellStart"/>
      <w:r w:rsidRPr="00C92C39">
        <w:rPr>
          <w:rFonts w:asciiTheme="majorHAnsi" w:hAnsiTheme="majorHAnsi"/>
          <w:sz w:val="24"/>
          <w:szCs w:val="24"/>
        </w:rPr>
        <w:t>Ilit</w:t>
      </w:r>
      <w:proofErr w:type="spellEnd"/>
      <w:r w:rsidRPr="00C92C39">
        <w:rPr>
          <w:rFonts w:asciiTheme="majorHAnsi" w:hAnsiTheme="majorHAnsi"/>
          <w:sz w:val="24"/>
          <w:szCs w:val="24"/>
        </w:rPr>
        <w:t xml:space="preserve">. “Herder: On </w:t>
      </w:r>
      <w:r w:rsidR="000D1517" w:rsidRPr="00C92C39">
        <w:rPr>
          <w:rFonts w:asciiTheme="majorHAnsi" w:hAnsiTheme="majorHAnsi"/>
          <w:sz w:val="24"/>
          <w:szCs w:val="24"/>
        </w:rPr>
        <w:t>Pain and the Origin of Language.</w:t>
      </w:r>
      <w:r w:rsidRPr="00C92C39">
        <w:rPr>
          <w:rFonts w:asciiTheme="majorHAnsi" w:hAnsiTheme="majorHAnsi"/>
          <w:sz w:val="24"/>
          <w:szCs w:val="24"/>
        </w:rPr>
        <w:t xml:space="preserve">” </w:t>
      </w:r>
      <w:r w:rsidRPr="00C92C39">
        <w:rPr>
          <w:rFonts w:asciiTheme="majorHAnsi" w:hAnsiTheme="majorHAnsi"/>
          <w:i/>
          <w:sz w:val="24"/>
          <w:szCs w:val="24"/>
        </w:rPr>
        <w:t>Germanic Review</w:t>
      </w:r>
      <w:r w:rsidR="000D1517" w:rsidRPr="00C92C39">
        <w:rPr>
          <w:rFonts w:asciiTheme="majorHAnsi" w:hAnsiTheme="majorHAnsi"/>
          <w:sz w:val="24"/>
          <w:szCs w:val="24"/>
        </w:rPr>
        <w:t xml:space="preserve"> 85, no. 3 (2010)</w:t>
      </w:r>
      <w:r w:rsidRPr="00C92C39">
        <w:rPr>
          <w:rFonts w:asciiTheme="majorHAnsi" w:hAnsiTheme="majorHAnsi"/>
          <w:sz w:val="24"/>
          <w:szCs w:val="24"/>
        </w:rPr>
        <w:t>: 205-23.</w:t>
      </w:r>
      <w:r w:rsidR="00434303" w:rsidRPr="00C92C39">
        <w:rPr>
          <w:rFonts w:asciiTheme="majorHAnsi" w:hAnsiTheme="majorHAnsi"/>
          <w:sz w:val="24"/>
          <w:szCs w:val="24"/>
        </w:rPr>
        <w:t xml:space="preserve">  </w:t>
      </w:r>
      <w:r w:rsidR="0093601B" w:rsidRPr="00C92C39">
        <w:rPr>
          <w:rFonts w:asciiTheme="majorHAnsi" w:hAnsiTheme="majorHAnsi"/>
          <w:sz w:val="24"/>
          <w:szCs w:val="24"/>
        </w:rPr>
        <w:t>http://dx.doi.org/10.1080/00168890.2010.507569</w:t>
      </w:r>
    </w:p>
    <w:p w:rsidR="00652972" w:rsidRPr="00C92C39" w:rsidRDefault="002F59F6" w:rsidP="00652972">
      <w:pPr>
        <w:pStyle w:val="FootnoteText"/>
        <w:ind w:left="720" w:hanging="720"/>
        <w:rPr>
          <w:rFonts w:asciiTheme="majorHAnsi" w:hAnsiTheme="majorHAnsi"/>
          <w:sz w:val="24"/>
          <w:szCs w:val="24"/>
        </w:rPr>
      </w:pPr>
      <w:r w:rsidRPr="00C92C39">
        <w:rPr>
          <w:rFonts w:asciiTheme="majorHAnsi" w:hAnsiTheme="majorHAnsi"/>
          <w:sz w:val="24"/>
          <w:szCs w:val="24"/>
        </w:rPr>
        <w:t>Forster, Michael N</w:t>
      </w:r>
      <w:r w:rsidR="00652972" w:rsidRPr="00C92C39">
        <w:rPr>
          <w:rFonts w:asciiTheme="majorHAnsi" w:hAnsiTheme="majorHAnsi"/>
          <w:sz w:val="24"/>
          <w:szCs w:val="24"/>
        </w:rPr>
        <w:t xml:space="preserve">. </w:t>
      </w:r>
      <w:r w:rsidR="00652972" w:rsidRPr="00C92C39">
        <w:rPr>
          <w:rFonts w:asciiTheme="majorHAnsi" w:hAnsiTheme="majorHAnsi"/>
          <w:i/>
          <w:sz w:val="24"/>
          <w:szCs w:val="24"/>
        </w:rPr>
        <w:t>After Herder: Philosophy of Language in the German Tradition.</w:t>
      </w:r>
      <w:r w:rsidR="00652972" w:rsidRPr="00C92C39">
        <w:rPr>
          <w:rFonts w:asciiTheme="majorHAnsi" w:hAnsiTheme="majorHAnsi"/>
          <w:sz w:val="24"/>
          <w:szCs w:val="24"/>
        </w:rPr>
        <w:t xml:space="preserve"> Oxford: Oxford University Press</w:t>
      </w:r>
      <w:r w:rsidRPr="00C92C39">
        <w:rPr>
          <w:rFonts w:asciiTheme="majorHAnsi" w:hAnsiTheme="majorHAnsi"/>
          <w:sz w:val="24"/>
          <w:szCs w:val="24"/>
        </w:rPr>
        <w:t>, 2010</w:t>
      </w:r>
      <w:r w:rsidR="00652972" w:rsidRPr="00C92C39">
        <w:rPr>
          <w:rFonts w:asciiTheme="majorHAnsi" w:hAnsiTheme="majorHAnsi"/>
          <w:sz w:val="24"/>
          <w:szCs w:val="24"/>
        </w:rPr>
        <w:t>.</w:t>
      </w:r>
    </w:p>
    <w:p w:rsidR="007C7446" w:rsidRPr="00C92C39" w:rsidRDefault="0027129F" w:rsidP="00652972">
      <w:pPr>
        <w:pStyle w:val="FootnoteText"/>
        <w:ind w:left="720" w:hanging="720"/>
        <w:rPr>
          <w:rFonts w:asciiTheme="majorHAnsi" w:hAnsiTheme="majorHAnsi"/>
          <w:sz w:val="24"/>
          <w:szCs w:val="24"/>
        </w:rPr>
      </w:pPr>
      <w:r w:rsidRPr="00C92C39">
        <w:rPr>
          <w:rFonts w:asciiTheme="majorHAnsi" w:hAnsiTheme="majorHAnsi"/>
          <w:sz w:val="24"/>
          <w:szCs w:val="24"/>
        </w:rPr>
        <w:t>Foucault, Michel</w:t>
      </w:r>
      <w:r w:rsidR="007C7446" w:rsidRPr="00C92C39">
        <w:rPr>
          <w:rFonts w:asciiTheme="majorHAnsi" w:hAnsiTheme="majorHAnsi"/>
          <w:sz w:val="24"/>
          <w:szCs w:val="24"/>
        </w:rPr>
        <w:t xml:space="preserve">. </w:t>
      </w:r>
      <w:r w:rsidR="007C7446" w:rsidRPr="00C92C39">
        <w:rPr>
          <w:rFonts w:asciiTheme="majorHAnsi" w:hAnsiTheme="majorHAnsi"/>
          <w:i/>
          <w:sz w:val="24"/>
          <w:szCs w:val="24"/>
        </w:rPr>
        <w:t>Security, Territory, Population: Lectures at the College de France, 1977-1978</w:t>
      </w:r>
      <w:r w:rsidRPr="00C92C39">
        <w:rPr>
          <w:rFonts w:asciiTheme="majorHAnsi" w:hAnsiTheme="majorHAnsi"/>
          <w:sz w:val="24"/>
          <w:szCs w:val="24"/>
        </w:rPr>
        <w:t xml:space="preserve">, trans. Graham </w:t>
      </w:r>
      <w:proofErr w:type="spellStart"/>
      <w:r w:rsidRPr="00C92C39">
        <w:rPr>
          <w:rFonts w:asciiTheme="majorHAnsi" w:hAnsiTheme="majorHAnsi"/>
          <w:sz w:val="24"/>
          <w:szCs w:val="24"/>
        </w:rPr>
        <w:t>Burchell</w:t>
      </w:r>
      <w:proofErr w:type="spellEnd"/>
      <w:r w:rsidRPr="00C92C39">
        <w:rPr>
          <w:rFonts w:asciiTheme="majorHAnsi" w:hAnsiTheme="majorHAnsi"/>
          <w:sz w:val="24"/>
          <w:szCs w:val="24"/>
        </w:rPr>
        <w:t>.</w:t>
      </w:r>
      <w:r w:rsidR="007C7446" w:rsidRPr="00C92C39">
        <w:rPr>
          <w:rFonts w:asciiTheme="majorHAnsi" w:hAnsiTheme="majorHAnsi"/>
          <w:i/>
          <w:sz w:val="24"/>
          <w:szCs w:val="24"/>
        </w:rPr>
        <w:t xml:space="preserve"> </w:t>
      </w:r>
      <w:r w:rsidR="007C7446" w:rsidRPr="00C92C39">
        <w:rPr>
          <w:rFonts w:asciiTheme="majorHAnsi" w:hAnsiTheme="majorHAnsi"/>
          <w:sz w:val="24"/>
          <w:szCs w:val="24"/>
        </w:rPr>
        <w:t>New York, NY: Palgrave MacMillan</w:t>
      </w:r>
      <w:r w:rsidRPr="00C92C39">
        <w:rPr>
          <w:rFonts w:asciiTheme="majorHAnsi" w:hAnsiTheme="majorHAnsi"/>
          <w:sz w:val="24"/>
          <w:szCs w:val="24"/>
        </w:rPr>
        <w:t>, 2007</w:t>
      </w:r>
      <w:r w:rsidR="007C7446"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Garrard, Graeme. </w:t>
      </w:r>
      <w:proofErr w:type="gramStart"/>
      <w:r w:rsidRPr="00C92C39">
        <w:rPr>
          <w:rFonts w:asciiTheme="majorHAnsi" w:hAnsiTheme="majorHAnsi"/>
          <w:sz w:val="24"/>
          <w:szCs w:val="24"/>
        </w:rPr>
        <w:t xml:space="preserve">“Rousseau, </w:t>
      </w:r>
      <w:proofErr w:type="spellStart"/>
      <w:r w:rsidRPr="00C92C39">
        <w:rPr>
          <w:rFonts w:asciiTheme="majorHAnsi" w:hAnsiTheme="majorHAnsi"/>
          <w:sz w:val="24"/>
          <w:szCs w:val="24"/>
        </w:rPr>
        <w:t>Maistre</w:t>
      </w:r>
      <w:proofErr w:type="spellEnd"/>
      <w:r w:rsidR="000D1517" w:rsidRPr="00C92C39">
        <w:rPr>
          <w:rFonts w:asciiTheme="majorHAnsi" w:hAnsiTheme="majorHAnsi"/>
          <w:sz w:val="24"/>
          <w:szCs w:val="24"/>
        </w:rPr>
        <w:t>, and the Counter-Enlightenment.</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History of Political Thought</w:t>
      </w:r>
      <w:r w:rsidRPr="00C92C39">
        <w:rPr>
          <w:rFonts w:asciiTheme="majorHAnsi" w:hAnsiTheme="majorHAnsi"/>
          <w:sz w:val="24"/>
          <w:szCs w:val="24"/>
        </w:rPr>
        <w:t xml:space="preserve"> 15</w:t>
      </w:r>
      <w:r w:rsidR="000D1517" w:rsidRPr="00C92C39">
        <w:rPr>
          <w:rFonts w:asciiTheme="majorHAnsi" w:hAnsiTheme="majorHAnsi"/>
          <w:sz w:val="24"/>
          <w:szCs w:val="24"/>
        </w:rPr>
        <w:t>, no. 1 (1994)</w:t>
      </w:r>
      <w:r w:rsidRPr="00C92C39">
        <w:rPr>
          <w:rFonts w:asciiTheme="majorHAnsi" w:hAnsiTheme="majorHAnsi"/>
          <w:sz w:val="24"/>
          <w:szCs w:val="24"/>
        </w:rPr>
        <w:t>: 97-120.</w:t>
      </w:r>
    </w:p>
    <w:p w:rsidR="00830EFA" w:rsidRPr="00C92C39" w:rsidRDefault="00830EFA"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Gelot</w:t>
      </w:r>
      <w:proofErr w:type="spellEnd"/>
      <w:r w:rsidRPr="00C92C39">
        <w:rPr>
          <w:rFonts w:asciiTheme="majorHAnsi" w:hAnsiTheme="majorHAnsi"/>
          <w:sz w:val="24"/>
          <w:szCs w:val="24"/>
        </w:rPr>
        <w:t xml:space="preserve">, Ludwig Mikael. “Thomas Hobbes’s </w:t>
      </w:r>
      <w:r w:rsidRPr="00C92C39">
        <w:rPr>
          <w:rFonts w:asciiTheme="majorHAnsi" w:hAnsiTheme="majorHAnsi"/>
          <w:i/>
          <w:sz w:val="24"/>
          <w:szCs w:val="24"/>
        </w:rPr>
        <w:t>Leviathan</w:t>
      </w:r>
      <w:r w:rsidRPr="00C92C39">
        <w:rPr>
          <w:rFonts w:asciiTheme="majorHAnsi" w:hAnsiTheme="majorHAnsi"/>
          <w:sz w:val="24"/>
          <w:szCs w:val="24"/>
        </w:rPr>
        <w:t xml:space="preserve"> and the Theological Origins of Secular International Politics.” </w:t>
      </w:r>
      <w:r w:rsidRPr="00C92C39">
        <w:rPr>
          <w:rFonts w:asciiTheme="majorHAnsi" w:hAnsiTheme="majorHAnsi"/>
          <w:i/>
          <w:sz w:val="24"/>
          <w:szCs w:val="24"/>
        </w:rPr>
        <w:t>Political Theology</w:t>
      </w:r>
      <w:r w:rsidRPr="00C92C39">
        <w:rPr>
          <w:rFonts w:asciiTheme="majorHAnsi" w:hAnsiTheme="majorHAnsi"/>
          <w:sz w:val="24"/>
          <w:szCs w:val="24"/>
        </w:rPr>
        <w:t xml:space="preserve"> 12, no. 4 (2011): 553-76.</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Gerrard, Christine</w:t>
      </w:r>
      <w:r w:rsidR="00652972" w:rsidRPr="00C92C39">
        <w:rPr>
          <w:rFonts w:asciiTheme="majorHAnsi" w:hAnsiTheme="majorHAnsi"/>
          <w:sz w:val="24"/>
          <w:szCs w:val="24"/>
        </w:rPr>
        <w:t xml:space="preserve">. </w:t>
      </w:r>
      <w:r w:rsidR="00652972" w:rsidRPr="00C92C39">
        <w:rPr>
          <w:rFonts w:asciiTheme="majorHAnsi" w:hAnsiTheme="majorHAnsi"/>
          <w:i/>
          <w:sz w:val="24"/>
          <w:szCs w:val="24"/>
        </w:rPr>
        <w:t>The Patriot Opposition to Walpole: Politics, Poetry, and National Myth, 1725-1742.</w:t>
      </w:r>
      <w:r w:rsidR="00652972" w:rsidRPr="00C92C39">
        <w:rPr>
          <w:rFonts w:asciiTheme="majorHAnsi" w:hAnsiTheme="majorHAnsi"/>
          <w:sz w:val="24"/>
          <w:szCs w:val="24"/>
        </w:rPr>
        <w:t xml:space="preserve"> </w:t>
      </w:r>
      <w:r w:rsidRPr="00C92C39">
        <w:rPr>
          <w:rFonts w:asciiTheme="majorHAnsi" w:hAnsiTheme="majorHAnsi"/>
          <w:sz w:val="24"/>
          <w:szCs w:val="24"/>
        </w:rPr>
        <w:t>Oxford: Oxford University Press, 1995.</w:t>
      </w:r>
    </w:p>
    <w:p w:rsidR="00652972" w:rsidRPr="00C92C39" w:rsidRDefault="006066B6" w:rsidP="00652972">
      <w:pPr>
        <w:pStyle w:val="FootnoteText"/>
        <w:ind w:left="720" w:hanging="720"/>
        <w:rPr>
          <w:rFonts w:asciiTheme="majorHAnsi" w:hAnsiTheme="majorHAnsi"/>
          <w:sz w:val="24"/>
          <w:szCs w:val="24"/>
        </w:rPr>
      </w:pPr>
      <w:r w:rsidRPr="00C92C39">
        <w:rPr>
          <w:rFonts w:asciiTheme="majorHAnsi" w:hAnsiTheme="majorHAnsi"/>
          <w:sz w:val="24"/>
          <w:szCs w:val="24"/>
        </w:rPr>
        <w:t>Grotius, Hugo</w:t>
      </w:r>
      <w:r w:rsidR="00652972" w:rsidRPr="00C92C39">
        <w:rPr>
          <w:rFonts w:asciiTheme="majorHAnsi" w:hAnsiTheme="majorHAnsi"/>
          <w:sz w:val="24"/>
          <w:szCs w:val="24"/>
        </w:rPr>
        <w:t xml:space="preserve">. </w:t>
      </w:r>
      <w:r w:rsidR="00652972" w:rsidRPr="00C92C39">
        <w:rPr>
          <w:rFonts w:asciiTheme="majorHAnsi" w:hAnsiTheme="majorHAnsi"/>
          <w:i/>
          <w:sz w:val="24"/>
          <w:szCs w:val="24"/>
        </w:rPr>
        <w:t>The Rights of War and Peace</w:t>
      </w:r>
      <w:r w:rsidR="00652972" w:rsidRPr="00C92C39">
        <w:rPr>
          <w:rFonts w:asciiTheme="majorHAnsi" w:hAnsiTheme="majorHAnsi"/>
          <w:sz w:val="24"/>
          <w:szCs w:val="24"/>
        </w:rPr>
        <w:t xml:space="preserve">, </w:t>
      </w:r>
      <w:r w:rsidRPr="00C92C39">
        <w:rPr>
          <w:rFonts w:asciiTheme="majorHAnsi" w:hAnsiTheme="majorHAnsi"/>
          <w:sz w:val="24"/>
          <w:szCs w:val="24"/>
        </w:rPr>
        <w:t>ed. Richard Tuck</w:t>
      </w:r>
      <w:r w:rsidR="00652972" w:rsidRPr="00C92C39">
        <w:rPr>
          <w:rFonts w:asciiTheme="majorHAnsi" w:hAnsiTheme="majorHAnsi"/>
          <w:sz w:val="24"/>
          <w:szCs w:val="24"/>
        </w:rPr>
        <w:t xml:space="preserve">. </w:t>
      </w:r>
      <w:r w:rsidRPr="00C92C39">
        <w:rPr>
          <w:rFonts w:asciiTheme="majorHAnsi" w:hAnsiTheme="majorHAnsi"/>
          <w:sz w:val="24"/>
          <w:szCs w:val="24"/>
        </w:rPr>
        <w:t xml:space="preserve">Indianapolis, IN: </w:t>
      </w:r>
      <w:r w:rsidR="00652972" w:rsidRPr="00C92C39">
        <w:rPr>
          <w:rFonts w:asciiTheme="majorHAnsi" w:hAnsiTheme="majorHAnsi"/>
          <w:sz w:val="24"/>
          <w:szCs w:val="24"/>
        </w:rPr>
        <w:t>Liberty Fund</w:t>
      </w:r>
      <w:r w:rsidRPr="00C92C39">
        <w:rPr>
          <w:rFonts w:asciiTheme="majorHAnsi" w:hAnsiTheme="majorHAnsi"/>
          <w:sz w:val="24"/>
          <w:szCs w:val="24"/>
        </w:rPr>
        <w:t>, 2005 [1625]</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Haakonssen</w:t>
      </w:r>
      <w:proofErr w:type="spellEnd"/>
      <w:r w:rsidR="0027129F" w:rsidRPr="00C92C39">
        <w:rPr>
          <w:rFonts w:asciiTheme="majorHAnsi" w:hAnsiTheme="majorHAnsi"/>
          <w:sz w:val="24"/>
          <w:szCs w:val="24"/>
        </w:rPr>
        <w:t xml:space="preserve">, </w:t>
      </w:r>
      <w:proofErr w:type="spellStart"/>
      <w:r w:rsidR="0027129F" w:rsidRPr="00C92C39">
        <w:rPr>
          <w:rFonts w:asciiTheme="majorHAnsi" w:hAnsiTheme="majorHAnsi"/>
          <w:sz w:val="24"/>
          <w:szCs w:val="24"/>
        </w:rPr>
        <w:t>Knud</w:t>
      </w:r>
      <w:proofErr w:type="spellEnd"/>
      <w:r w:rsidRPr="00C92C39">
        <w:rPr>
          <w:rFonts w:asciiTheme="majorHAnsi" w:hAnsiTheme="majorHAnsi"/>
          <w:sz w:val="24"/>
          <w:szCs w:val="24"/>
        </w:rPr>
        <w:t xml:space="preserve">. </w:t>
      </w:r>
      <w:proofErr w:type="gramStart"/>
      <w:r w:rsidRPr="00C92C39">
        <w:rPr>
          <w:rFonts w:asciiTheme="majorHAnsi" w:hAnsiTheme="majorHAnsi"/>
          <w:sz w:val="24"/>
          <w:szCs w:val="24"/>
        </w:rPr>
        <w:t>“Divine</w:t>
      </w:r>
      <w:r w:rsidR="0027129F" w:rsidRPr="00C92C39">
        <w:rPr>
          <w:rFonts w:asciiTheme="majorHAnsi" w:hAnsiTheme="majorHAnsi"/>
          <w:sz w:val="24"/>
          <w:szCs w:val="24"/>
        </w:rPr>
        <w:t>/Natural Law Theories in Ethics.”</w:t>
      </w:r>
      <w:proofErr w:type="gramEnd"/>
      <w:r w:rsidR="0027129F" w:rsidRPr="00C92C39">
        <w:rPr>
          <w:rFonts w:asciiTheme="majorHAnsi" w:hAnsiTheme="majorHAnsi"/>
          <w:sz w:val="24"/>
          <w:szCs w:val="24"/>
        </w:rPr>
        <w:t xml:space="preserve"> I</w:t>
      </w:r>
      <w:r w:rsidRPr="00C92C39">
        <w:rPr>
          <w:rFonts w:asciiTheme="majorHAnsi" w:hAnsiTheme="majorHAnsi"/>
          <w:sz w:val="24"/>
          <w:szCs w:val="24"/>
        </w:rPr>
        <w:t xml:space="preserve">n </w:t>
      </w:r>
      <w:r w:rsidRPr="00C92C39">
        <w:rPr>
          <w:rFonts w:asciiTheme="majorHAnsi" w:hAnsiTheme="majorHAnsi"/>
          <w:i/>
          <w:sz w:val="24"/>
          <w:szCs w:val="24"/>
        </w:rPr>
        <w:t>Cambridge History of Seventeenth-Century Philosophy, vol. II</w:t>
      </w:r>
      <w:r w:rsidRPr="00C92C39">
        <w:rPr>
          <w:rFonts w:asciiTheme="majorHAnsi" w:hAnsiTheme="majorHAnsi"/>
          <w:sz w:val="24"/>
          <w:szCs w:val="24"/>
        </w:rPr>
        <w:t xml:space="preserve">, </w:t>
      </w:r>
      <w:r w:rsidR="0027129F" w:rsidRPr="00C92C39">
        <w:rPr>
          <w:rFonts w:asciiTheme="majorHAnsi" w:hAnsiTheme="majorHAnsi"/>
          <w:sz w:val="24"/>
          <w:szCs w:val="24"/>
        </w:rPr>
        <w:t xml:space="preserve">ed. </w:t>
      </w:r>
      <w:r w:rsidRPr="00C92C39">
        <w:rPr>
          <w:rFonts w:asciiTheme="majorHAnsi" w:hAnsiTheme="majorHAnsi"/>
          <w:sz w:val="24"/>
          <w:szCs w:val="24"/>
        </w:rPr>
        <w:t xml:space="preserve">Daniel </w:t>
      </w:r>
      <w:r w:rsidR="0027129F" w:rsidRPr="00C92C39">
        <w:rPr>
          <w:rFonts w:asciiTheme="majorHAnsi" w:hAnsiTheme="majorHAnsi"/>
          <w:sz w:val="24"/>
          <w:szCs w:val="24"/>
        </w:rPr>
        <w:t>Garber and Michael Ayers</w:t>
      </w:r>
      <w:r w:rsidR="005961B3" w:rsidRPr="00C92C39">
        <w:rPr>
          <w:rFonts w:asciiTheme="majorHAnsi" w:hAnsiTheme="majorHAnsi"/>
          <w:sz w:val="24"/>
          <w:szCs w:val="24"/>
        </w:rPr>
        <w:t>, 1317-57.</w:t>
      </w:r>
      <w:r w:rsidRPr="00C92C39">
        <w:rPr>
          <w:rFonts w:asciiTheme="majorHAnsi" w:hAnsiTheme="majorHAnsi"/>
          <w:sz w:val="24"/>
          <w:szCs w:val="24"/>
        </w:rPr>
        <w:t xml:space="preserve"> Cambrid</w:t>
      </w:r>
      <w:r w:rsidR="005961B3" w:rsidRPr="00C92C39">
        <w:rPr>
          <w:rFonts w:asciiTheme="majorHAnsi" w:hAnsiTheme="majorHAnsi"/>
          <w:sz w:val="24"/>
          <w:szCs w:val="24"/>
        </w:rPr>
        <w:t xml:space="preserve">ge: </w:t>
      </w:r>
      <w:r w:rsidRPr="00C92C39">
        <w:rPr>
          <w:rFonts w:asciiTheme="majorHAnsi" w:hAnsiTheme="majorHAnsi"/>
          <w:sz w:val="24"/>
          <w:szCs w:val="24"/>
        </w:rPr>
        <w:t>Cambridge University Press</w:t>
      </w:r>
      <w:r w:rsidR="0027129F" w:rsidRPr="00C92C39">
        <w:rPr>
          <w:rFonts w:asciiTheme="majorHAnsi" w:hAnsiTheme="majorHAnsi"/>
          <w:sz w:val="24"/>
          <w:szCs w:val="24"/>
        </w:rPr>
        <w:t>, 1998</w:t>
      </w:r>
      <w:r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Harris, Tim. “The People, the Law, and the Constitution in Scotland and England: A Comparative Appr</w:t>
      </w:r>
      <w:r w:rsidR="000D1517" w:rsidRPr="00C92C39">
        <w:rPr>
          <w:rFonts w:asciiTheme="majorHAnsi" w:hAnsiTheme="majorHAnsi"/>
          <w:sz w:val="24"/>
          <w:szCs w:val="24"/>
        </w:rPr>
        <w:t>oach to the Glorious Revolution.</w:t>
      </w:r>
      <w:r w:rsidRPr="00C92C39">
        <w:rPr>
          <w:rFonts w:asciiTheme="majorHAnsi" w:hAnsiTheme="majorHAnsi"/>
          <w:sz w:val="24"/>
          <w:szCs w:val="24"/>
        </w:rPr>
        <w:t xml:space="preserve">” </w:t>
      </w:r>
      <w:r w:rsidRPr="00C92C39">
        <w:rPr>
          <w:rFonts w:asciiTheme="majorHAnsi" w:hAnsiTheme="majorHAnsi"/>
          <w:i/>
          <w:sz w:val="24"/>
          <w:szCs w:val="24"/>
        </w:rPr>
        <w:t>Journal of British Studies</w:t>
      </w:r>
      <w:r w:rsidR="000D1517" w:rsidRPr="00C92C39">
        <w:rPr>
          <w:rFonts w:asciiTheme="majorHAnsi" w:hAnsiTheme="majorHAnsi"/>
          <w:sz w:val="24"/>
          <w:szCs w:val="24"/>
        </w:rPr>
        <w:t xml:space="preserve"> 38, no. 1 (1999)</w:t>
      </w:r>
      <w:r w:rsidRPr="00C92C39">
        <w:rPr>
          <w:rFonts w:asciiTheme="majorHAnsi" w:hAnsiTheme="majorHAnsi"/>
          <w:sz w:val="24"/>
          <w:szCs w:val="24"/>
        </w:rPr>
        <w:t>: 28-58.</w:t>
      </w:r>
      <w:r w:rsidR="00CD0E0F" w:rsidRPr="00C92C39">
        <w:rPr>
          <w:rFonts w:asciiTheme="majorHAnsi" w:hAnsiTheme="majorHAnsi"/>
          <w:sz w:val="24"/>
          <w:szCs w:val="24"/>
        </w:rPr>
        <w:t xml:space="preserve">  http://www.jstor.org/stable/175839</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Harrison, Mark. </w:t>
      </w:r>
      <w:proofErr w:type="gramStart"/>
      <w:r w:rsidRPr="00C92C39">
        <w:rPr>
          <w:rFonts w:asciiTheme="majorHAnsi" w:hAnsiTheme="majorHAnsi"/>
          <w:sz w:val="24"/>
          <w:szCs w:val="24"/>
        </w:rPr>
        <w:t>“Coercion, Compliance, and the Collaps</w:t>
      </w:r>
      <w:r w:rsidR="000D1517" w:rsidRPr="00C92C39">
        <w:rPr>
          <w:rFonts w:asciiTheme="majorHAnsi" w:hAnsiTheme="majorHAnsi"/>
          <w:sz w:val="24"/>
          <w:szCs w:val="24"/>
        </w:rPr>
        <w:t>e of the Soviet Command Economy.</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The Economic History Review</w:t>
      </w:r>
      <w:r w:rsidR="000D1517" w:rsidRPr="00C92C39">
        <w:rPr>
          <w:rFonts w:asciiTheme="majorHAnsi" w:hAnsiTheme="majorHAnsi"/>
          <w:sz w:val="24"/>
          <w:szCs w:val="24"/>
        </w:rPr>
        <w:t xml:space="preserve"> 55, no. 3 (2002)</w:t>
      </w:r>
      <w:r w:rsidR="005B2AC1" w:rsidRPr="00C92C39">
        <w:rPr>
          <w:rFonts w:asciiTheme="majorHAnsi" w:hAnsiTheme="majorHAnsi"/>
          <w:sz w:val="24"/>
          <w:szCs w:val="24"/>
        </w:rPr>
        <w:t>: 3</w:t>
      </w:r>
      <w:r w:rsidRPr="00C92C39">
        <w:rPr>
          <w:rFonts w:asciiTheme="majorHAnsi" w:hAnsiTheme="majorHAnsi"/>
          <w:sz w:val="24"/>
          <w:szCs w:val="24"/>
        </w:rPr>
        <w:t>97-433.</w:t>
      </w:r>
      <w:r w:rsidR="00CD0E0F" w:rsidRPr="00C92C39">
        <w:rPr>
          <w:rFonts w:asciiTheme="majorHAnsi" w:hAnsiTheme="majorHAnsi"/>
          <w:sz w:val="24"/>
          <w:szCs w:val="24"/>
        </w:rPr>
        <w:t xml:space="preserve">  http://dx.doi.org/10.1111/1468-0289.00226</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Herzog</w:t>
      </w:r>
      <w:r w:rsidR="00586C67" w:rsidRPr="00C92C39">
        <w:rPr>
          <w:rFonts w:asciiTheme="majorHAnsi" w:hAnsiTheme="majorHAnsi"/>
          <w:sz w:val="24"/>
          <w:szCs w:val="24"/>
        </w:rPr>
        <w:t>, Don</w:t>
      </w:r>
      <w:r w:rsidRPr="00C92C39">
        <w:rPr>
          <w:rFonts w:asciiTheme="majorHAnsi" w:hAnsiTheme="majorHAnsi"/>
          <w:sz w:val="24"/>
          <w:szCs w:val="24"/>
        </w:rPr>
        <w:t xml:space="preserve">. </w:t>
      </w:r>
      <w:proofErr w:type="gramStart"/>
      <w:r w:rsidRPr="00C92C39">
        <w:rPr>
          <w:rFonts w:asciiTheme="majorHAnsi" w:hAnsiTheme="majorHAnsi"/>
          <w:i/>
          <w:sz w:val="24"/>
          <w:szCs w:val="24"/>
        </w:rPr>
        <w:t>Poisoning the Minds of the Lower Orders.</w:t>
      </w:r>
      <w:proofErr w:type="gramEnd"/>
      <w:r w:rsidRPr="00C92C39">
        <w:rPr>
          <w:rFonts w:asciiTheme="majorHAnsi" w:hAnsiTheme="majorHAnsi"/>
          <w:sz w:val="24"/>
          <w:szCs w:val="24"/>
        </w:rPr>
        <w:t xml:space="preserve"> Prince</w:t>
      </w:r>
      <w:r w:rsidR="00586C67" w:rsidRPr="00C92C39">
        <w:rPr>
          <w:rFonts w:asciiTheme="majorHAnsi" w:hAnsiTheme="majorHAnsi"/>
          <w:sz w:val="24"/>
          <w:szCs w:val="24"/>
        </w:rPr>
        <w:t>ton: Princeton University Press, 1998.</w:t>
      </w:r>
    </w:p>
    <w:p w:rsidR="00652972" w:rsidRPr="00C92C39" w:rsidRDefault="00045918" w:rsidP="00652972">
      <w:pPr>
        <w:pStyle w:val="FootnoteText"/>
        <w:ind w:left="720" w:hanging="720"/>
        <w:rPr>
          <w:rFonts w:asciiTheme="majorHAnsi" w:hAnsiTheme="majorHAnsi"/>
          <w:sz w:val="24"/>
          <w:szCs w:val="24"/>
        </w:rPr>
      </w:pPr>
      <w:r w:rsidRPr="00C92C39">
        <w:rPr>
          <w:rFonts w:asciiTheme="majorHAnsi" w:hAnsiTheme="majorHAnsi"/>
          <w:sz w:val="24"/>
          <w:szCs w:val="24"/>
        </w:rPr>
        <w:t>Hobbes, Thomas.</w:t>
      </w:r>
      <w:r w:rsidR="00652972" w:rsidRPr="00C92C39">
        <w:rPr>
          <w:rFonts w:asciiTheme="majorHAnsi" w:hAnsiTheme="majorHAnsi"/>
          <w:sz w:val="24"/>
          <w:szCs w:val="24"/>
        </w:rPr>
        <w:t xml:space="preserve"> </w:t>
      </w:r>
      <w:r w:rsidR="00652972" w:rsidRPr="00C92C39">
        <w:rPr>
          <w:rFonts w:asciiTheme="majorHAnsi" w:hAnsiTheme="majorHAnsi"/>
          <w:i/>
          <w:sz w:val="24"/>
          <w:szCs w:val="24"/>
        </w:rPr>
        <w:t>Leviathan</w:t>
      </w:r>
      <w:r w:rsidRPr="00C92C39">
        <w:rPr>
          <w:rFonts w:asciiTheme="majorHAnsi" w:hAnsiTheme="majorHAnsi"/>
          <w:i/>
          <w:sz w:val="24"/>
          <w:szCs w:val="24"/>
        </w:rPr>
        <w:t>, Parts I and II</w:t>
      </w:r>
      <w:r w:rsidRPr="00C92C39">
        <w:rPr>
          <w:rFonts w:asciiTheme="majorHAnsi" w:hAnsiTheme="majorHAnsi"/>
          <w:sz w:val="24"/>
          <w:szCs w:val="24"/>
        </w:rPr>
        <w:t>.  Indianapolis, IN: Liberal Arts Press, 1958 [1651].</w:t>
      </w:r>
    </w:p>
    <w:p w:rsidR="00652972" w:rsidRPr="00C92C39" w:rsidRDefault="00652972" w:rsidP="00652972">
      <w:pPr>
        <w:pStyle w:val="FootnoteText"/>
        <w:ind w:left="720" w:hanging="720"/>
        <w:rPr>
          <w:rFonts w:asciiTheme="majorHAnsi" w:hAnsiTheme="majorHAnsi"/>
          <w:sz w:val="24"/>
          <w:szCs w:val="24"/>
        </w:rPr>
      </w:pPr>
      <w:proofErr w:type="gramStart"/>
      <w:r w:rsidRPr="00C92C39">
        <w:rPr>
          <w:rFonts w:asciiTheme="majorHAnsi" w:hAnsiTheme="majorHAnsi"/>
          <w:sz w:val="24"/>
          <w:szCs w:val="24"/>
        </w:rPr>
        <w:t>Judge, Edwin A. “The</w:t>
      </w:r>
      <w:r w:rsidR="000D1517" w:rsidRPr="00C92C39">
        <w:rPr>
          <w:rFonts w:asciiTheme="majorHAnsi" w:hAnsiTheme="majorHAnsi"/>
          <w:sz w:val="24"/>
          <w:szCs w:val="24"/>
        </w:rPr>
        <w:t xml:space="preserve"> Beginning of Religious History.</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Journal of Religious History</w:t>
      </w:r>
      <w:r w:rsidR="000D1517" w:rsidRPr="00C92C39">
        <w:rPr>
          <w:rFonts w:asciiTheme="majorHAnsi" w:hAnsiTheme="majorHAnsi"/>
          <w:sz w:val="24"/>
          <w:szCs w:val="24"/>
        </w:rPr>
        <w:t xml:space="preserve"> 15, no. 4 </w:t>
      </w:r>
      <w:r w:rsidR="00D13AAF" w:rsidRPr="00C92C39">
        <w:rPr>
          <w:rFonts w:asciiTheme="majorHAnsi" w:hAnsiTheme="majorHAnsi"/>
          <w:sz w:val="24"/>
          <w:szCs w:val="24"/>
        </w:rPr>
        <w:t>(1989)</w:t>
      </w:r>
      <w:r w:rsidRPr="00C92C39">
        <w:rPr>
          <w:rFonts w:asciiTheme="majorHAnsi" w:hAnsiTheme="majorHAnsi"/>
          <w:sz w:val="24"/>
          <w:szCs w:val="24"/>
        </w:rPr>
        <w:t>: 394-412.</w:t>
      </w:r>
      <w:r w:rsidR="00CD0E0F" w:rsidRPr="00C92C39">
        <w:rPr>
          <w:rFonts w:asciiTheme="majorHAnsi" w:hAnsiTheme="majorHAnsi"/>
          <w:sz w:val="24"/>
          <w:szCs w:val="24"/>
        </w:rPr>
        <w:t xml:space="preserve"> http://dx.doi.org/10.1111/j.1467-9809.1989.tb00211.x</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Kateb</w:t>
      </w:r>
      <w:proofErr w:type="spellEnd"/>
      <w:r w:rsidRPr="00C92C39">
        <w:rPr>
          <w:rFonts w:asciiTheme="majorHAnsi" w:hAnsiTheme="majorHAnsi"/>
          <w:sz w:val="24"/>
          <w:szCs w:val="24"/>
        </w:rPr>
        <w:t xml:space="preserve">, George. </w:t>
      </w:r>
      <w:proofErr w:type="gramStart"/>
      <w:r w:rsidRPr="00C92C39">
        <w:rPr>
          <w:rFonts w:asciiTheme="majorHAnsi" w:hAnsiTheme="majorHAnsi"/>
          <w:sz w:val="24"/>
          <w:szCs w:val="24"/>
        </w:rPr>
        <w:t xml:space="preserve">“Locke and the </w:t>
      </w:r>
      <w:r w:rsidR="00D13AAF" w:rsidRPr="00C92C39">
        <w:rPr>
          <w:rFonts w:asciiTheme="majorHAnsi" w:hAnsiTheme="majorHAnsi"/>
          <w:sz w:val="24"/>
          <w:szCs w:val="24"/>
        </w:rPr>
        <w:t>Political Origins of Secularism.</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Social Research</w:t>
      </w:r>
      <w:r w:rsidR="00D13AAF" w:rsidRPr="00C92C39">
        <w:rPr>
          <w:rFonts w:asciiTheme="majorHAnsi" w:hAnsiTheme="majorHAnsi"/>
          <w:sz w:val="24"/>
          <w:szCs w:val="24"/>
        </w:rPr>
        <w:t xml:space="preserve"> 76, no. 4 (2009)</w:t>
      </w:r>
      <w:r w:rsidRPr="00C92C39">
        <w:rPr>
          <w:rFonts w:asciiTheme="majorHAnsi" w:hAnsiTheme="majorHAnsi"/>
          <w:sz w:val="24"/>
          <w:szCs w:val="24"/>
        </w:rPr>
        <w:t>: 1001-34.</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Keene, Edward</w:t>
      </w:r>
      <w:r w:rsidR="00652972" w:rsidRPr="00C92C39">
        <w:rPr>
          <w:rFonts w:asciiTheme="majorHAnsi" w:hAnsiTheme="majorHAnsi"/>
          <w:sz w:val="24"/>
          <w:szCs w:val="24"/>
        </w:rPr>
        <w:t xml:space="preserve">. </w:t>
      </w:r>
      <w:r w:rsidR="00652972" w:rsidRPr="00C92C39">
        <w:rPr>
          <w:rFonts w:asciiTheme="majorHAnsi" w:hAnsiTheme="majorHAnsi"/>
          <w:i/>
          <w:sz w:val="24"/>
          <w:szCs w:val="24"/>
        </w:rPr>
        <w:t>Beyond the Anarchical Society: Grotius, Colonialism and Order in World Politics.</w:t>
      </w:r>
      <w:r w:rsidR="00652972" w:rsidRPr="00C92C39">
        <w:rPr>
          <w:rFonts w:asciiTheme="majorHAnsi" w:hAnsiTheme="majorHAnsi"/>
          <w:sz w:val="24"/>
          <w:szCs w:val="24"/>
        </w:rPr>
        <w:t xml:space="preserve"> Cambridge: Cambridge University Press</w:t>
      </w:r>
      <w:r w:rsidRPr="00C92C39">
        <w:rPr>
          <w:rFonts w:asciiTheme="majorHAnsi" w:hAnsiTheme="majorHAnsi"/>
          <w:sz w:val="24"/>
          <w:szCs w:val="24"/>
        </w:rPr>
        <w:t>, 2002</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Kingdon</w:t>
      </w:r>
      <w:proofErr w:type="spellEnd"/>
      <w:r w:rsidRPr="00C92C39">
        <w:rPr>
          <w:rFonts w:asciiTheme="majorHAnsi" w:hAnsiTheme="majorHAnsi"/>
          <w:sz w:val="24"/>
          <w:szCs w:val="24"/>
        </w:rPr>
        <w:t>, Robert M. “Calvinism a</w:t>
      </w:r>
      <w:r w:rsidR="0027129F" w:rsidRPr="00C92C39">
        <w:rPr>
          <w:rFonts w:asciiTheme="majorHAnsi" w:hAnsiTheme="majorHAnsi"/>
          <w:sz w:val="24"/>
          <w:szCs w:val="24"/>
        </w:rPr>
        <w:t>nd Resistance Theory, 1550-1580.” I</w:t>
      </w:r>
      <w:r w:rsidRPr="00C92C39">
        <w:rPr>
          <w:rFonts w:asciiTheme="majorHAnsi" w:hAnsiTheme="majorHAnsi"/>
          <w:sz w:val="24"/>
          <w:szCs w:val="24"/>
        </w:rPr>
        <w:t xml:space="preserve">n </w:t>
      </w:r>
      <w:r w:rsidRPr="00C92C39">
        <w:rPr>
          <w:rFonts w:asciiTheme="majorHAnsi" w:hAnsiTheme="majorHAnsi"/>
          <w:i/>
          <w:sz w:val="24"/>
          <w:szCs w:val="24"/>
        </w:rPr>
        <w:t>The Cambridge History of Political Thought, 1450-1700</w:t>
      </w:r>
      <w:r w:rsidRPr="00C92C39">
        <w:rPr>
          <w:rFonts w:asciiTheme="majorHAnsi" w:hAnsiTheme="majorHAnsi"/>
          <w:sz w:val="24"/>
          <w:szCs w:val="24"/>
        </w:rPr>
        <w:t xml:space="preserve">, </w:t>
      </w:r>
      <w:r w:rsidR="0027129F" w:rsidRPr="00C92C39">
        <w:rPr>
          <w:rFonts w:asciiTheme="majorHAnsi" w:hAnsiTheme="majorHAnsi"/>
          <w:sz w:val="24"/>
          <w:szCs w:val="24"/>
        </w:rPr>
        <w:t xml:space="preserve">ed. </w:t>
      </w:r>
      <w:r w:rsidRPr="00C92C39">
        <w:rPr>
          <w:rFonts w:asciiTheme="majorHAnsi" w:hAnsiTheme="majorHAnsi"/>
          <w:sz w:val="24"/>
          <w:szCs w:val="24"/>
        </w:rPr>
        <w:t>J</w:t>
      </w:r>
      <w:r w:rsidR="0027129F" w:rsidRPr="00C92C39">
        <w:rPr>
          <w:rFonts w:asciiTheme="majorHAnsi" w:hAnsiTheme="majorHAnsi"/>
          <w:sz w:val="24"/>
          <w:szCs w:val="24"/>
        </w:rPr>
        <w:t xml:space="preserve">. </w:t>
      </w:r>
      <w:r w:rsidRPr="00C92C39">
        <w:rPr>
          <w:rFonts w:asciiTheme="majorHAnsi" w:hAnsiTheme="majorHAnsi"/>
          <w:sz w:val="24"/>
          <w:szCs w:val="24"/>
        </w:rPr>
        <w:t>H</w:t>
      </w:r>
      <w:r w:rsidR="0027129F" w:rsidRPr="00C92C39">
        <w:rPr>
          <w:rFonts w:asciiTheme="majorHAnsi" w:hAnsiTheme="majorHAnsi"/>
          <w:sz w:val="24"/>
          <w:szCs w:val="24"/>
        </w:rPr>
        <w:t>. Burns</w:t>
      </w:r>
      <w:r w:rsidR="005961B3" w:rsidRPr="00C92C39">
        <w:rPr>
          <w:rFonts w:asciiTheme="majorHAnsi" w:hAnsiTheme="majorHAnsi"/>
          <w:sz w:val="24"/>
          <w:szCs w:val="24"/>
        </w:rPr>
        <w:t>, 193-218</w:t>
      </w:r>
      <w:r w:rsidRPr="00C92C39">
        <w:rPr>
          <w:rFonts w:asciiTheme="majorHAnsi" w:hAnsiTheme="majorHAnsi"/>
          <w:sz w:val="24"/>
          <w:szCs w:val="24"/>
        </w:rPr>
        <w:t>. Cambri</w:t>
      </w:r>
      <w:r w:rsidR="0027129F" w:rsidRPr="00C92C39">
        <w:rPr>
          <w:rFonts w:asciiTheme="majorHAnsi" w:hAnsiTheme="majorHAnsi"/>
          <w:sz w:val="24"/>
          <w:szCs w:val="24"/>
        </w:rPr>
        <w:t>dge: Cambridge University Press, 1991.</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Kramnick</w:t>
      </w:r>
      <w:proofErr w:type="spellEnd"/>
      <w:r w:rsidR="00586C67" w:rsidRPr="00C92C39">
        <w:rPr>
          <w:rFonts w:asciiTheme="majorHAnsi" w:hAnsiTheme="majorHAnsi"/>
          <w:sz w:val="24"/>
          <w:szCs w:val="24"/>
        </w:rPr>
        <w:t>, Isaac</w:t>
      </w:r>
      <w:r w:rsidRPr="00C92C39">
        <w:rPr>
          <w:rFonts w:asciiTheme="majorHAnsi" w:hAnsiTheme="majorHAnsi"/>
          <w:sz w:val="24"/>
          <w:szCs w:val="24"/>
        </w:rPr>
        <w:t xml:space="preserve">. </w:t>
      </w:r>
      <w:r w:rsidRPr="00C92C39">
        <w:rPr>
          <w:rFonts w:asciiTheme="majorHAnsi" w:hAnsiTheme="majorHAnsi"/>
          <w:i/>
          <w:sz w:val="24"/>
          <w:szCs w:val="24"/>
        </w:rPr>
        <w:t>Bolingbroke and His Circle: The Politics of Nostalgia in the Age of Walpole.</w:t>
      </w:r>
      <w:r w:rsidRPr="00C92C39">
        <w:rPr>
          <w:rFonts w:asciiTheme="majorHAnsi" w:hAnsiTheme="majorHAnsi"/>
          <w:sz w:val="24"/>
          <w:szCs w:val="24"/>
        </w:rPr>
        <w:t xml:space="preserve"> Ithaca, NY: Cornell University Press</w:t>
      </w:r>
      <w:r w:rsidR="00586C67" w:rsidRPr="00C92C39">
        <w:rPr>
          <w:rFonts w:asciiTheme="majorHAnsi" w:hAnsiTheme="majorHAnsi"/>
          <w:sz w:val="24"/>
          <w:szCs w:val="24"/>
        </w:rPr>
        <w:t>, 1992</w:t>
      </w:r>
      <w:r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lastRenderedPageBreak/>
        <w:t>Lehmann, Helmut. “The Germans as a Chosen People: Old Testame</w:t>
      </w:r>
      <w:r w:rsidR="00D13AAF" w:rsidRPr="00C92C39">
        <w:rPr>
          <w:rFonts w:asciiTheme="majorHAnsi" w:hAnsiTheme="majorHAnsi"/>
          <w:sz w:val="24"/>
          <w:szCs w:val="24"/>
        </w:rPr>
        <w:t>nt Themes in German Nationalism.</w:t>
      </w:r>
      <w:r w:rsidRPr="00C92C39">
        <w:rPr>
          <w:rFonts w:asciiTheme="majorHAnsi" w:hAnsiTheme="majorHAnsi"/>
          <w:sz w:val="24"/>
          <w:szCs w:val="24"/>
        </w:rPr>
        <w:t xml:space="preserve">” </w:t>
      </w:r>
      <w:r w:rsidRPr="00C92C39">
        <w:rPr>
          <w:rFonts w:asciiTheme="majorHAnsi" w:hAnsiTheme="majorHAnsi"/>
          <w:i/>
          <w:sz w:val="24"/>
          <w:szCs w:val="24"/>
        </w:rPr>
        <w:t>German Studies Review</w:t>
      </w:r>
      <w:r w:rsidR="00D13AAF" w:rsidRPr="00C92C39">
        <w:rPr>
          <w:rFonts w:asciiTheme="majorHAnsi" w:hAnsiTheme="majorHAnsi"/>
          <w:sz w:val="24"/>
          <w:szCs w:val="24"/>
        </w:rPr>
        <w:t xml:space="preserve"> 14, no. 2 (1991)</w:t>
      </w:r>
      <w:r w:rsidRPr="00C92C39">
        <w:rPr>
          <w:rFonts w:asciiTheme="majorHAnsi" w:hAnsiTheme="majorHAnsi"/>
          <w:sz w:val="24"/>
          <w:szCs w:val="24"/>
        </w:rPr>
        <w:t>: 261-73.</w:t>
      </w:r>
      <w:r w:rsidR="00935AD7" w:rsidRPr="00C92C39">
        <w:rPr>
          <w:rFonts w:asciiTheme="majorHAnsi" w:hAnsiTheme="majorHAnsi"/>
          <w:sz w:val="24"/>
          <w:szCs w:val="24"/>
        </w:rPr>
        <w:t xml:space="preserve"> http://www.jstor.org/stable/1430562</w:t>
      </w:r>
    </w:p>
    <w:p w:rsidR="00652972" w:rsidRPr="00C92C39" w:rsidRDefault="00C01987" w:rsidP="00652972">
      <w:pPr>
        <w:pStyle w:val="FootnoteText"/>
        <w:ind w:left="720" w:hanging="720"/>
        <w:rPr>
          <w:rFonts w:asciiTheme="majorHAnsi" w:hAnsiTheme="majorHAnsi"/>
          <w:sz w:val="24"/>
          <w:szCs w:val="24"/>
        </w:rPr>
      </w:pPr>
      <w:r w:rsidRPr="00C92C39">
        <w:rPr>
          <w:rFonts w:asciiTheme="majorHAnsi" w:hAnsiTheme="majorHAnsi"/>
          <w:sz w:val="24"/>
          <w:szCs w:val="24"/>
        </w:rPr>
        <w:t>Locke, John</w:t>
      </w:r>
      <w:r w:rsidR="00652972" w:rsidRPr="00C92C39">
        <w:rPr>
          <w:rFonts w:asciiTheme="majorHAnsi" w:hAnsiTheme="majorHAnsi"/>
          <w:sz w:val="24"/>
          <w:szCs w:val="24"/>
        </w:rPr>
        <w:t xml:space="preserve">. </w:t>
      </w:r>
      <w:proofErr w:type="gramStart"/>
      <w:r w:rsidRPr="00C92C39">
        <w:rPr>
          <w:rFonts w:asciiTheme="majorHAnsi" w:hAnsiTheme="majorHAnsi"/>
          <w:i/>
          <w:sz w:val="24"/>
          <w:szCs w:val="24"/>
        </w:rPr>
        <w:t>The Second Treatise on Civil</w:t>
      </w:r>
      <w:r w:rsidR="00652972" w:rsidRPr="00C92C39">
        <w:rPr>
          <w:rFonts w:asciiTheme="majorHAnsi" w:hAnsiTheme="majorHAnsi"/>
          <w:i/>
          <w:sz w:val="24"/>
          <w:szCs w:val="24"/>
        </w:rPr>
        <w:t xml:space="preserve"> Government</w:t>
      </w:r>
      <w:r w:rsidR="00652972" w:rsidRPr="00C92C39">
        <w:rPr>
          <w:rFonts w:asciiTheme="majorHAnsi" w:hAnsiTheme="majorHAnsi"/>
          <w:sz w:val="24"/>
          <w:szCs w:val="24"/>
        </w:rPr>
        <w:t>.</w:t>
      </w:r>
      <w:proofErr w:type="gramEnd"/>
      <w:r w:rsidRPr="00C92C39">
        <w:rPr>
          <w:rFonts w:asciiTheme="majorHAnsi" w:hAnsiTheme="majorHAnsi"/>
          <w:sz w:val="24"/>
          <w:szCs w:val="24"/>
        </w:rPr>
        <w:t xml:space="preserve">  Buffalo, NY: Prometheus Books, 1986 [1680].</w:t>
      </w:r>
    </w:p>
    <w:p w:rsidR="00652972" w:rsidRPr="00C92C39" w:rsidRDefault="00C01987" w:rsidP="00652972">
      <w:pPr>
        <w:pStyle w:val="FootnoteText"/>
        <w:ind w:left="720" w:hanging="720"/>
        <w:rPr>
          <w:rFonts w:asciiTheme="majorHAnsi" w:hAnsiTheme="majorHAnsi"/>
          <w:sz w:val="24"/>
          <w:szCs w:val="24"/>
        </w:rPr>
      </w:pPr>
      <w:r w:rsidRPr="00C92C39">
        <w:rPr>
          <w:rFonts w:asciiTheme="majorHAnsi" w:hAnsiTheme="majorHAnsi"/>
          <w:sz w:val="24"/>
          <w:szCs w:val="24"/>
        </w:rPr>
        <w:t>______</w:t>
      </w:r>
      <w:r w:rsidR="00652972" w:rsidRPr="00C92C39">
        <w:rPr>
          <w:rFonts w:asciiTheme="majorHAnsi" w:hAnsiTheme="majorHAnsi"/>
          <w:sz w:val="24"/>
          <w:szCs w:val="24"/>
        </w:rPr>
        <w:t xml:space="preserve">. </w:t>
      </w:r>
      <w:proofErr w:type="gramStart"/>
      <w:r w:rsidR="00652972" w:rsidRPr="00C92C39">
        <w:rPr>
          <w:rFonts w:asciiTheme="majorHAnsi" w:hAnsiTheme="majorHAnsi"/>
          <w:i/>
          <w:sz w:val="24"/>
          <w:szCs w:val="24"/>
        </w:rPr>
        <w:t>A Letter Concerning Toleration.</w:t>
      </w:r>
      <w:proofErr w:type="gramEnd"/>
      <w:r w:rsidRPr="00C92C39">
        <w:rPr>
          <w:rFonts w:asciiTheme="majorHAnsi" w:hAnsiTheme="majorHAnsi"/>
          <w:sz w:val="24"/>
          <w:szCs w:val="24"/>
        </w:rPr>
        <w:t xml:space="preserve"> Chicago, IL: Encyclopedia Britannica, 1952 [1685].</w:t>
      </w:r>
    </w:p>
    <w:p w:rsidR="00652972" w:rsidRPr="00C92C39" w:rsidRDefault="00C01987" w:rsidP="00652972">
      <w:pPr>
        <w:pStyle w:val="FootnoteText"/>
        <w:ind w:left="720" w:hanging="720"/>
        <w:rPr>
          <w:rFonts w:asciiTheme="majorHAnsi" w:hAnsiTheme="majorHAnsi"/>
          <w:sz w:val="24"/>
          <w:szCs w:val="24"/>
        </w:rPr>
      </w:pPr>
      <w:r w:rsidRPr="00C92C39">
        <w:rPr>
          <w:rFonts w:asciiTheme="majorHAnsi" w:hAnsiTheme="majorHAnsi"/>
          <w:sz w:val="24"/>
          <w:szCs w:val="24"/>
        </w:rPr>
        <w:t>______</w:t>
      </w:r>
      <w:r w:rsidR="00652972" w:rsidRPr="00C92C39">
        <w:rPr>
          <w:rFonts w:asciiTheme="majorHAnsi" w:hAnsiTheme="majorHAnsi"/>
          <w:sz w:val="24"/>
          <w:szCs w:val="24"/>
        </w:rPr>
        <w:t xml:space="preserve">. </w:t>
      </w:r>
      <w:proofErr w:type="gramStart"/>
      <w:r w:rsidR="00652972" w:rsidRPr="00C92C39">
        <w:rPr>
          <w:rFonts w:asciiTheme="majorHAnsi" w:hAnsiTheme="majorHAnsi"/>
          <w:i/>
          <w:sz w:val="24"/>
          <w:szCs w:val="24"/>
        </w:rPr>
        <w:t>The</w:t>
      </w:r>
      <w:r w:rsidRPr="00C92C39">
        <w:rPr>
          <w:rFonts w:asciiTheme="majorHAnsi" w:hAnsiTheme="majorHAnsi"/>
          <w:i/>
          <w:sz w:val="24"/>
          <w:szCs w:val="24"/>
        </w:rPr>
        <w:t xml:space="preserve"> Reasonableness of Christianity</w:t>
      </w:r>
      <w:r w:rsidRPr="00C92C39">
        <w:rPr>
          <w:rFonts w:asciiTheme="majorHAnsi" w:hAnsiTheme="majorHAnsi"/>
          <w:sz w:val="24"/>
          <w:szCs w:val="24"/>
        </w:rPr>
        <w:t>, ed. John C Higgins-Biddle.</w:t>
      </w:r>
      <w:proofErr w:type="gramEnd"/>
      <w:r w:rsidRPr="00C92C39">
        <w:rPr>
          <w:rFonts w:asciiTheme="majorHAnsi" w:hAnsiTheme="majorHAnsi"/>
          <w:sz w:val="24"/>
          <w:szCs w:val="24"/>
        </w:rPr>
        <w:t xml:space="preserve"> New York: Oxford University Press, 1999 [1695].</w:t>
      </w:r>
    </w:p>
    <w:p w:rsidR="00652972" w:rsidRPr="00C92C39" w:rsidRDefault="00586C67"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Magagna</w:t>
      </w:r>
      <w:proofErr w:type="spellEnd"/>
      <w:r w:rsidRPr="00C92C39">
        <w:rPr>
          <w:rFonts w:asciiTheme="majorHAnsi" w:hAnsiTheme="majorHAnsi"/>
          <w:sz w:val="24"/>
          <w:szCs w:val="24"/>
        </w:rPr>
        <w:t>, Victor V</w:t>
      </w:r>
      <w:r w:rsidR="00652972" w:rsidRPr="00C92C39">
        <w:rPr>
          <w:rFonts w:asciiTheme="majorHAnsi" w:hAnsiTheme="majorHAnsi"/>
          <w:sz w:val="24"/>
          <w:szCs w:val="24"/>
        </w:rPr>
        <w:t xml:space="preserve">. </w:t>
      </w:r>
      <w:r w:rsidR="00652972" w:rsidRPr="00C92C39">
        <w:rPr>
          <w:rFonts w:asciiTheme="majorHAnsi" w:hAnsiTheme="majorHAnsi"/>
          <w:i/>
          <w:sz w:val="24"/>
          <w:szCs w:val="24"/>
        </w:rPr>
        <w:t>Communities of Grain: Rural Rebellion in Comparative Perspective.</w:t>
      </w:r>
      <w:r w:rsidR="00652972" w:rsidRPr="00C92C39">
        <w:rPr>
          <w:rFonts w:asciiTheme="majorHAnsi" w:hAnsiTheme="majorHAnsi"/>
          <w:sz w:val="24"/>
          <w:szCs w:val="24"/>
        </w:rPr>
        <w:t xml:space="preserve"> Ithaca, NY:  Cornell University Press</w:t>
      </w:r>
      <w:r w:rsidRPr="00C92C39">
        <w:rPr>
          <w:rFonts w:asciiTheme="majorHAnsi" w:hAnsiTheme="majorHAnsi"/>
          <w:sz w:val="24"/>
          <w:szCs w:val="24"/>
        </w:rPr>
        <w:t>, 1991</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McCabe, David. “John Locke and the Arg</w:t>
      </w:r>
      <w:r w:rsidR="00D13AAF" w:rsidRPr="00C92C39">
        <w:rPr>
          <w:rFonts w:asciiTheme="majorHAnsi" w:hAnsiTheme="majorHAnsi"/>
          <w:sz w:val="24"/>
          <w:szCs w:val="24"/>
        </w:rPr>
        <w:t xml:space="preserve">ument </w:t>
      </w:r>
      <w:proofErr w:type="gramStart"/>
      <w:r w:rsidR="00D13AAF" w:rsidRPr="00C92C39">
        <w:rPr>
          <w:rFonts w:asciiTheme="majorHAnsi" w:hAnsiTheme="majorHAnsi"/>
          <w:sz w:val="24"/>
          <w:szCs w:val="24"/>
        </w:rPr>
        <w:t>Against</w:t>
      </w:r>
      <w:proofErr w:type="gramEnd"/>
      <w:r w:rsidR="00D13AAF" w:rsidRPr="00C92C39">
        <w:rPr>
          <w:rFonts w:asciiTheme="majorHAnsi" w:hAnsiTheme="majorHAnsi"/>
          <w:sz w:val="24"/>
          <w:szCs w:val="24"/>
        </w:rPr>
        <w:t xml:space="preserve"> Strict Separation.</w:t>
      </w:r>
      <w:r w:rsidRPr="00C92C39">
        <w:rPr>
          <w:rFonts w:asciiTheme="majorHAnsi" w:hAnsiTheme="majorHAnsi"/>
          <w:sz w:val="24"/>
          <w:szCs w:val="24"/>
        </w:rPr>
        <w:t xml:space="preserve">” </w:t>
      </w:r>
      <w:r w:rsidRPr="00C92C39">
        <w:rPr>
          <w:rFonts w:asciiTheme="majorHAnsi" w:hAnsiTheme="majorHAnsi"/>
          <w:i/>
          <w:sz w:val="24"/>
          <w:szCs w:val="24"/>
        </w:rPr>
        <w:t>Review of Politics</w:t>
      </w:r>
      <w:r w:rsidR="00D13AAF" w:rsidRPr="00C92C39">
        <w:rPr>
          <w:rFonts w:asciiTheme="majorHAnsi" w:hAnsiTheme="majorHAnsi"/>
          <w:sz w:val="24"/>
          <w:szCs w:val="24"/>
        </w:rPr>
        <w:t xml:space="preserve"> 59, no. 2 (1997)</w:t>
      </w:r>
      <w:r w:rsidRPr="00C92C39">
        <w:rPr>
          <w:rFonts w:asciiTheme="majorHAnsi" w:hAnsiTheme="majorHAnsi"/>
          <w:sz w:val="24"/>
          <w:szCs w:val="24"/>
        </w:rPr>
        <w:t>: 233-58.</w:t>
      </w:r>
      <w:r w:rsidR="00935AD7" w:rsidRPr="00C92C39">
        <w:rPr>
          <w:rFonts w:asciiTheme="majorHAnsi" w:hAnsiTheme="majorHAnsi"/>
          <w:sz w:val="24"/>
          <w:szCs w:val="24"/>
        </w:rPr>
        <w:t xml:space="preserve"> http://dx.doi.org/10/1017/S0034670500026620</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Melzer</w:t>
      </w:r>
      <w:proofErr w:type="spellEnd"/>
      <w:r w:rsidRPr="00C92C39">
        <w:rPr>
          <w:rFonts w:asciiTheme="majorHAnsi" w:hAnsiTheme="majorHAnsi"/>
          <w:sz w:val="24"/>
          <w:szCs w:val="24"/>
        </w:rPr>
        <w:t>, Arthur. “The Origin of the Counter-Enlightenment: Rousseau an</w:t>
      </w:r>
      <w:r w:rsidR="00D13AAF" w:rsidRPr="00C92C39">
        <w:rPr>
          <w:rFonts w:asciiTheme="majorHAnsi" w:hAnsiTheme="majorHAnsi"/>
          <w:sz w:val="24"/>
          <w:szCs w:val="24"/>
        </w:rPr>
        <w:t>d the New Religion of Sincerity.</w:t>
      </w:r>
      <w:r w:rsidRPr="00C92C39">
        <w:rPr>
          <w:rFonts w:asciiTheme="majorHAnsi" w:hAnsiTheme="majorHAnsi"/>
          <w:sz w:val="24"/>
          <w:szCs w:val="24"/>
        </w:rPr>
        <w:t xml:space="preserve">” </w:t>
      </w:r>
      <w:r w:rsidRPr="00C92C39">
        <w:rPr>
          <w:rFonts w:asciiTheme="majorHAnsi" w:hAnsiTheme="majorHAnsi"/>
          <w:i/>
          <w:sz w:val="24"/>
          <w:szCs w:val="24"/>
        </w:rPr>
        <w:t>American Political Science Review</w:t>
      </w:r>
      <w:r w:rsidR="00D13AAF" w:rsidRPr="00C92C39">
        <w:rPr>
          <w:rFonts w:asciiTheme="majorHAnsi" w:hAnsiTheme="majorHAnsi"/>
          <w:sz w:val="24"/>
          <w:szCs w:val="24"/>
        </w:rPr>
        <w:t xml:space="preserve"> 90, no. 2 (1996)</w:t>
      </w:r>
      <w:r w:rsidRPr="00C92C39">
        <w:rPr>
          <w:rFonts w:asciiTheme="majorHAnsi" w:hAnsiTheme="majorHAnsi"/>
          <w:sz w:val="24"/>
          <w:szCs w:val="24"/>
        </w:rPr>
        <w:t>: 344-60.</w:t>
      </w:r>
      <w:r w:rsidR="00935AD7" w:rsidRPr="00C92C39">
        <w:rPr>
          <w:rFonts w:asciiTheme="majorHAnsi" w:hAnsiTheme="majorHAnsi"/>
          <w:sz w:val="24"/>
          <w:szCs w:val="24"/>
        </w:rPr>
        <w:t xml:space="preserve"> http://www.jstor.org/stable/2082889</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______</w:t>
      </w:r>
      <w:r w:rsidR="000B47C4" w:rsidRPr="00C92C39">
        <w:rPr>
          <w:rFonts w:asciiTheme="majorHAnsi" w:hAnsiTheme="majorHAnsi"/>
          <w:sz w:val="24"/>
          <w:szCs w:val="24"/>
        </w:rPr>
        <w:t xml:space="preserve"> </w:t>
      </w:r>
      <w:r w:rsidR="00652972" w:rsidRPr="00C92C39">
        <w:rPr>
          <w:rFonts w:asciiTheme="majorHAnsi" w:hAnsiTheme="majorHAnsi"/>
          <w:sz w:val="24"/>
          <w:szCs w:val="24"/>
        </w:rPr>
        <w:t xml:space="preserve">. </w:t>
      </w:r>
      <w:proofErr w:type="gramStart"/>
      <w:r w:rsidR="00652972" w:rsidRPr="00C92C39">
        <w:rPr>
          <w:rFonts w:asciiTheme="majorHAnsi" w:hAnsiTheme="majorHAnsi"/>
          <w:sz w:val="24"/>
          <w:szCs w:val="24"/>
        </w:rPr>
        <w:t>“Rousseau, Nationalism, and the Politic</w:t>
      </w:r>
      <w:r w:rsidR="000B47C4" w:rsidRPr="00C92C39">
        <w:rPr>
          <w:rFonts w:asciiTheme="majorHAnsi" w:hAnsiTheme="majorHAnsi"/>
          <w:sz w:val="24"/>
          <w:szCs w:val="24"/>
        </w:rPr>
        <w:t>s of Sympathetic Identification.”</w:t>
      </w:r>
      <w:proofErr w:type="gramEnd"/>
      <w:r w:rsidR="000B47C4" w:rsidRPr="00C92C39">
        <w:rPr>
          <w:rFonts w:asciiTheme="majorHAnsi" w:hAnsiTheme="majorHAnsi"/>
          <w:sz w:val="24"/>
          <w:szCs w:val="24"/>
        </w:rPr>
        <w:t xml:space="preserve"> </w:t>
      </w:r>
      <w:proofErr w:type="gramStart"/>
      <w:r w:rsidR="000B47C4" w:rsidRPr="00C92C39">
        <w:rPr>
          <w:rFonts w:asciiTheme="majorHAnsi" w:hAnsiTheme="majorHAnsi"/>
          <w:sz w:val="24"/>
          <w:szCs w:val="24"/>
        </w:rPr>
        <w:t>I</w:t>
      </w:r>
      <w:r w:rsidR="00652972" w:rsidRPr="00C92C39">
        <w:rPr>
          <w:rFonts w:asciiTheme="majorHAnsi" w:hAnsiTheme="majorHAnsi"/>
          <w:sz w:val="24"/>
          <w:szCs w:val="24"/>
        </w:rPr>
        <w:t xml:space="preserve">n </w:t>
      </w:r>
      <w:r w:rsidR="00652972" w:rsidRPr="00C92C39">
        <w:rPr>
          <w:rFonts w:asciiTheme="majorHAnsi" w:hAnsiTheme="majorHAnsi"/>
          <w:i/>
          <w:sz w:val="24"/>
          <w:szCs w:val="24"/>
        </w:rPr>
        <w:t>Educating the Prince: Essays in Honor of Harvey Mansfield</w:t>
      </w:r>
      <w:r w:rsidR="00652972" w:rsidRPr="00C92C39">
        <w:rPr>
          <w:rFonts w:asciiTheme="majorHAnsi" w:hAnsiTheme="majorHAnsi"/>
          <w:sz w:val="24"/>
          <w:szCs w:val="24"/>
        </w:rPr>
        <w:t xml:space="preserve">, </w:t>
      </w:r>
      <w:r w:rsidR="000B47C4" w:rsidRPr="00C92C39">
        <w:rPr>
          <w:rFonts w:asciiTheme="majorHAnsi" w:hAnsiTheme="majorHAnsi"/>
          <w:sz w:val="24"/>
          <w:szCs w:val="24"/>
        </w:rPr>
        <w:t xml:space="preserve">ed. </w:t>
      </w:r>
      <w:r w:rsidR="00652972" w:rsidRPr="00C92C39">
        <w:rPr>
          <w:rFonts w:asciiTheme="majorHAnsi" w:hAnsiTheme="majorHAnsi"/>
          <w:sz w:val="24"/>
          <w:szCs w:val="24"/>
        </w:rPr>
        <w:t>Mark Blitz and Willia</w:t>
      </w:r>
      <w:r w:rsidR="000B47C4" w:rsidRPr="00C92C39">
        <w:rPr>
          <w:rFonts w:asciiTheme="majorHAnsi" w:hAnsiTheme="majorHAnsi"/>
          <w:sz w:val="24"/>
          <w:szCs w:val="24"/>
        </w:rPr>
        <w:t xml:space="preserve">m </w:t>
      </w:r>
      <w:proofErr w:type="spellStart"/>
      <w:r w:rsidR="000B47C4" w:rsidRPr="00C92C39">
        <w:rPr>
          <w:rFonts w:asciiTheme="majorHAnsi" w:hAnsiTheme="majorHAnsi"/>
          <w:sz w:val="24"/>
          <w:szCs w:val="24"/>
        </w:rPr>
        <w:t>Kristol</w:t>
      </w:r>
      <w:proofErr w:type="spellEnd"/>
      <w:r w:rsidR="000B47C4" w:rsidRPr="00C92C39">
        <w:rPr>
          <w:rFonts w:asciiTheme="majorHAnsi" w:hAnsiTheme="majorHAnsi"/>
          <w:sz w:val="24"/>
          <w:szCs w:val="24"/>
        </w:rPr>
        <w:t>, 111-28</w:t>
      </w:r>
      <w:r w:rsidR="00652972" w:rsidRPr="00C92C39">
        <w:rPr>
          <w:rFonts w:asciiTheme="majorHAnsi" w:hAnsiTheme="majorHAnsi"/>
          <w:sz w:val="24"/>
          <w:szCs w:val="24"/>
        </w:rPr>
        <w:t>.</w:t>
      </w:r>
      <w:proofErr w:type="gramEnd"/>
      <w:r w:rsidR="00652972" w:rsidRPr="00C92C39">
        <w:rPr>
          <w:rFonts w:asciiTheme="majorHAnsi" w:hAnsiTheme="majorHAnsi"/>
          <w:sz w:val="24"/>
          <w:szCs w:val="24"/>
        </w:rPr>
        <w:t xml:space="preserve"> Lanham, MA: </w:t>
      </w:r>
      <w:proofErr w:type="spellStart"/>
      <w:r w:rsidR="00652972" w:rsidRPr="00C92C39">
        <w:rPr>
          <w:rFonts w:asciiTheme="majorHAnsi" w:hAnsiTheme="majorHAnsi"/>
          <w:sz w:val="24"/>
          <w:szCs w:val="24"/>
        </w:rPr>
        <w:t>Rowman</w:t>
      </w:r>
      <w:proofErr w:type="spellEnd"/>
      <w:r w:rsidR="00652972" w:rsidRPr="00C92C39">
        <w:rPr>
          <w:rFonts w:asciiTheme="majorHAnsi" w:hAnsiTheme="majorHAnsi"/>
          <w:sz w:val="24"/>
          <w:szCs w:val="24"/>
        </w:rPr>
        <w:t xml:space="preserve"> and Littlefield</w:t>
      </w:r>
      <w:r w:rsidR="000B47C4" w:rsidRPr="00C92C39">
        <w:rPr>
          <w:rFonts w:asciiTheme="majorHAnsi" w:hAnsiTheme="majorHAnsi"/>
          <w:sz w:val="24"/>
          <w:szCs w:val="24"/>
        </w:rPr>
        <w:t>, 2000</w:t>
      </w:r>
      <w:r w:rsidR="00652972" w:rsidRPr="00C92C39">
        <w:rPr>
          <w:rFonts w:asciiTheme="majorHAnsi" w:hAnsiTheme="majorHAnsi"/>
          <w:sz w:val="24"/>
          <w:szCs w:val="24"/>
        </w:rPr>
        <w:t>.</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Miller, Peter N</w:t>
      </w:r>
      <w:r w:rsidR="00652972" w:rsidRPr="00C92C39">
        <w:rPr>
          <w:rFonts w:asciiTheme="majorHAnsi" w:hAnsiTheme="majorHAnsi"/>
          <w:sz w:val="24"/>
          <w:szCs w:val="24"/>
        </w:rPr>
        <w:t xml:space="preserve">. </w:t>
      </w:r>
      <w:proofErr w:type="spellStart"/>
      <w:r w:rsidR="00652972" w:rsidRPr="00C92C39">
        <w:rPr>
          <w:rFonts w:asciiTheme="majorHAnsi" w:hAnsiTheme="majorHAnsi"/>
          <w:i/>
          <w:sz w:val="24"/>
          <w:szCs w:val="24"/>
        </w:rPr>
        <w:t>Peirsec’s</w:t>
      </w:r>
      <w:proofErr w:type="spellEnd"/>
      <w:r w:rsidR="00652972" w:rsidRPr="00C92C39">
        <w:rPr>
          <w:rFonts w:asciiTheme="majorHAnsi" w:hAnsiTheme="majorHAnsi"/>
          <w:i/>
          <w:sz w:val="24"/>
          <w:szCs w:val="24"/>
        </w:rPr>
        <w:t xml:space="preserve"> Europe: Learning and Virtue in the Seventeenth Century.</w:t>
      </w:r>
      <w:r w:rsidR="00652972" w:rsidRPr="00C92C39">
        <w:rPr>
          <w:rFonts w:asciiTheme="majorHAnsi" w:hAnsiTheme="majorHAnsi"/>
          <w:sz w:val="24"/>
          <w:szCs w:val="24"/>
        </w:rPr>
        <w:t xml:space="preserve"> New Haven: Yale University Press</w:t>
      </w:r>
      <w:r w:rsidRPr="00C92C39">
        <w:rPr>
          <w:rFonts w:asciiTheme="majorHAnsi" w:hAnsiTheme="majorHAnsi"/>
          <w:sz w:val="24"/>
          <w:szCs w:val="24"/>
        </w:rPr>
        <w:t>, 2000</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Moloney</w:t>
      </w:r>
      <w:proofErr w:type="spellEnd"/>
      <w:r w:rsidRPr="00C92C39">
        <w:rPr>
          <w:rFonts w:asciiTheme="majorHAnsi" w:hAnsiTheme="majorHAnsi"/>
          <w:sz w:val="24"/>
          <w:szCs w:val="24"/>
        </w:rPr>
        <w:t xml:space="preserve">, Pat. </w:t>
      </w:r>
      <w:proofErr w:type="gramStart"/>
      <w:r w:rsidRPr="00C92C39">
        <w:rPr>
          <w:rFonts w:asciiTheme="majorHAnsi" w:hAnsiTheme="majorHAnsi"/>
          <w:sz w:val="24"/>
          <w:szCs w:val="24"/>
        </w:rPr>
        <w:t>“Hobbes, Sava</w:t>
      </w:r>
      <w:r w:rsidR="00D13AAF" w:rsidRPr="00C92C39">
        <w:rPr>
          <w:rFonts w:asciiTheme="majorHAnsi" w:hAnsiTheme="majorHAnsi"/>
          <w:sz w:val="24"/>
          <w:szCs w:val="24"/>
        </w:rPr>
        <w:t>gery, and International Anarchy.</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American Political Science Review</w:t>
      </w:r>
      <w:r w:rsidR="00D13AAF" w:rsidRPr="00C92C39">
        <w:rPr>
          <w:rFonts w:asciiTheme="majorHAnsi" w:hAnsiTheme="majorHAnsi"/>
          <w:sz w:val="24"/>
          <w:szCs w:val="24"/>
        </w:rPr>
        <w:t xml:space="preserve"> 105, no. 1 (2011)</w:t>
      </w:r>
      <w:r w:rsidRPr="00C92C39">
        <w:rPr>
          <w:rFonts w:asciiTheme="majorHAnsi" w:hAnsiTheme="majorHAnsi"/>
          <w:sz w:val="24"/>
          <w:szCs w:val="24"/>
        </w:rPr>
        <w:t>: 189-204.</w:t>
      </w:r>
      <w:r w:rsidR="00935AD7" w:rsidRPr="00C92C39">
        <w:rPr>
          <w:rFonts w:asciiTheme="majorHAnsi" w:hAnsiTheme="majorHAnsi"/>
          <w:sz w:val="24"/>
          <w:szCs w:val="24"/>
        </w:rPr>
        <w:t xml:space="preserve"> http://dx.doi.org/10.1017/S0003055410000511</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Neidleman</w:t>
      </w:r>
      <w:proofErr w:type="spellEnd"/>
      <w:r w:rsidRPr="00C92C39">
        <w:rPr>
          <w:rFonts w:asciiTheme="majorHAnsi" w:hAnsiTheme="majorHAnsi"/>
          <w:sz w:val="24"/>
          <w:szCs w:val="24"/>
        </w:rPr>
        <w:t xml:space="preserve">, Jason. “Rousseau’s Rediscovered </w:t>
      </w:r>
      <w:r w:rsidRPr="00C92C39">
        <w:rPr>
          <w:rFonts w:asciiTheme="majorHAnsi" w:hAnsiTheme="majorHAnsi"/>
          <w:i/>
          <w:sz w:val="24"/>
          <w:szCs w:val="24"/>
        </w:rPr>
        <w:t xml:space="preserve">Communion des </w:t>
      </w:r>
      <w:proofErr w:type="spellStart"/>
      <w:r w:rsidRPr="00C92C39">
        <w:rPr>
          <w:rFonts w:asciiTheme="majorHAnsi" w:hAnsiTheme="majorHAnsi"/>
          <w:i/>
          <w:sz w:val="24"/>
          <w:szCs w:val="24"/>
        </w:rPr>
        <w:t>Coeurs</w:t>
      </w:r>
      <w:proofErr w:type="spellEnd"/>
      <w:r w:rsidRPr="00C92C39">
        <w:rPr>
          <w:rFonts w:asciiTheme="majorHAnsi" w:hAnsiTheme="majorHAnsi"/>
          <w:sz w:val="24"/>
          <w:szCs w:val="24"/>
        </w:rPr>
        <w:t>: Cosmopolitanism in the R</w:t>
      </w:r>
      <w:r w:rsidR="00D13AAF" w:rsidRPr="00C92C39">
        <w:rPr>
          <w:rFonts w:asciiTheme="majorHAnsi" w:hAnsiTheme="majorHAnsi"/>
          <w:sz w:val="24"/>
          <w:szCs w:val="24"/>
        </w:rPr>
        <w:t>everies of the Solitary Walker.</w:t>
      </w:r>
      <w:r w:rsidRPr="00C92C39">
        <w:rPr>
          <w:rFonts w:asciiTheme="majorHAnsi" w:hAnsiTheme="majorHAnsi"/>
          <w:sz w:val="24"/>
          <w:szCs w:val="24"/>
        </w:rPr>
        <w:t xml:space="preserve">” </w:t>
      </w:r>
      <w:r w:rsidRPr="00C92C39">
        <w:rPr>
          <w:rFonts w:asciiTheme="majorHAnsi" w:hAnsiTheme="majorHAnsi"/>
          <w:i/>
          <w:sz w:val="24"/>
          <w:szCs w:val="24"/>
        </w:rPr>
        <w:t>Political Studies</w:t>
      </w:r>
      <w:r w:rsidR="00D13AAF" w:rsidRPr="00C92C39">
        <w:rPr>
          <w:rFonts w:asciiTheme="majorHAnsi" w:hAnsiTheme="majorHAnsi"/>
          <w:sz w:val="24"/>
          <w:szCs w:val="24"/>
        </w:rPr>
        <w:t xml:space="preserve"> 60, no. 1 (2012): 76-94</w:t>
      </w:r>
      <w:r w:rsidRPr="00C92C39">
        <w:rPr>
          <w:rFonts w:asciiTheme="majorHAnsi" w:hAnsiTheme="majorHAnsi"/>
          <w:sz w:val="24"/>
          <w:szCs w:val="24"/>
        </w:rPr>
        <w:t>.</w:t>
      </w:r>
      <w:r w:rsidR="001103B0" w:rsidRPr="00C92C39">
        <w:rPr>
          <w:rFonts w:asciiTheme="majorHAnsi" w:hAnsiTheme="majorHAnsi"/>
          <w:sz w:val="24"/>
          <w:szCs w:val="24"/>
        </w:rPr>
        <w:t xml:space="preserve"> http://dx.doi.org/10.1111/j.1467-9248.2011.00899.x</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Palti</w:t>
      </w:r>
      <w:proofErr w:type="spellEnd"/>
      <w:r w:rsidRPr="00C92C39">
        <w:rPr>
          <w:rFonts w:asciiTheme="majorHAnsi" w:hAnsiTheme="majorHAnsi"/>
          <w:sz w:val="24"/>
          <w:szCs w:val="24"/>
        </w:rPr>
        <w:t>, Elias Jose. “The Nation as a Problem: Histor</w:t>
      </w:r>
      <w:r w:rsidR="00D13AAF" w:rsidRPr="00C92C39">
        <w:rPr>
          <w:rFonts w:asciiTheme="majorHAnsi" w:hAnsiTheme="majorHAnsi"/>
          <w:sz w:val="24"/>
          <w:szCs w:val="24"/>
        </w:rPr>
        <w:t>ians and the ‘National Question.</w:t>
      </w:r>
      <w:r w:rsidRPr="00C92C39">
        <w:rPr>
          <w:rFonts w:asciiTheme="majorHAnsi" w:hAnsiTheme="majorHAnsi"/>
          <w:sz w:val="24"/>
          <w:szCs w:val="24"/>
        </w:rPr>
        <w:t xml:space="preserve">’” </w:t>
      </w:r>
      <w:r w:rsidRPr="00C92C39">
        <w:rPr>
          <w:rFonts w:asciiTheme="majorHAnsi" w:hAnsiTheme="majorHAnsi"/>
          <w:i/>
          <w:sz w:val="24"/>
          <w:szCs w:val="24"/>
        </w:rPr>
        <w:t>History &amp; Theory</w:t>
      </w:r>
      <w:r w:rsidR="00D13AAF" w:rsidRPr="00C92C39">
        <w:rPr>
          <w:rFonts w:asciiTheme="majorHAnsi" w:hAnsiTheme="majorHAnsi"/>
          <w:sz w:val="24"/>
          <w:szCs w:val="24"/>
        </w:rPr>
        <w:t xml:space="preserve"> 40, no. 3 (2001)</w:t>
      </w:r>
      <w:r w:rsidRPr="00C92C39">
        <w:rPr>
          <w:rFonts w:asciiTheme="majorHAnsi" w:hAnsiTheme="majorHAnsi"/>
          <w:sz w:val="24"/>
          <w:szCs w:val="24"/>
        </w:rPr>
        <w:t>: 324-46.</w:t>
      </w:r>
      <w:r w:rsidR="001103B0" w:rsidRPr="00C92C39">
        <w:rPr>
          <w:rFonts w:asciiTheme="majorHAnsi" w:hAnsiTheme="majorHAnsi"/>
          <w:sz w:val="24"/>
          <w:szCs w:val="24"/>
        </w:rPr>
        <w:t xml:space="preserve"> http://www.jstor.org/stable/2677969</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Perry, John</w:t>
      </w:r>
      <w:r w:rsidR="00652972" w:rsidRPr="00C92C39">
        <w:rPr>
          <w:rFonts w:asciiTheme="majorHAnsi" w:hAnsiTheme="majorHAnsi"/>
          <w:sz w:val="24"/>
          <w:szCs w:val="24"/>
        </w:rPr>
        <w:t xml:space="preserve">. </w:t>
      </w:r>
      <w:r w:rsidR="00652972" w:rsidRPr="00C92C39">
        <w:rPr>
          <w:rFonts w:asciiTheme="majorHAnsi" w:hAnsiTheme="majorHAnsi"/>
          <w:i/>
          <w:sz w:val="24"/>
          <w:szCs w:val="24"/>
        </w:rPr>
        <w:t>The Pretenses of Loyalty: Locke, Liberal Theory, and American Political Theology.</w:t>
      </w:r>
      <w:r w:rsidR="00652972" w:rsidRPr="00C92C39">
        <w:rPr>
          <w:rFonts w:asciiTheme="majorHAnsi" w:hAnsiTheme="majorHAnsi"/>
          <w:sz w:val="24"/>
          <w:szCs w:val="24"/>
        </w:rPr>
        <w:t xml:space="preserve"> Oxford: Oxford University Press</w:t>
      </w:r>
      <w:r w:rsidRPr="00C92C39">
        <w:rPr>
          <w:rFonts w:asciiTheme="majorHAnsi" w:hAnsiTheme="majorHAnsi"/>
          <w:sz w:val="24"/>
          <w:szCs w:val="24"/>
        </w:rPr>
        <w:t>, 2011</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Preus</w:t>
      </w:r>
      <w:proofErr w:type="spellEnd"/>
      <w:r w:rsidRPr="00C92C39">
        <w:rPr>
          <w:rFonts w:asciiTheme="majorHAnsi" w:hAnsiTheme="majorHAnsi"/>
          <w:sz w:val="24"/>
          <w:szCs w:val="24"/>
        </w:rPr>
        <w:t xml:space="preserve">, Samuel J. “Spinoza, </w:t>
      </w:r>
      <w:proofErr w:type="spellStart"/>
      <w:r w:rsidRPr="00C92C39">
        <w:rPr>
          <w:rFonts w:asciiTheme="majorHAnsi" w:hAnsiTheme="majorHAnsi"/>
          <w:sz w:val="24"/>
          <w:szCs w:val="24"/>
        </w:rPr>
        <w:t>Vico</w:t>
      </w:r>
      <w:proofErr w:type="spellEnd"/>
      <w:r w:rsidRPr="00C92C39">
        <w:rPr>
          <w:rFonts w:asciiTheme="majorHAnsi" w:hAnsiTheme="majorHAnsi"/>
          <w:sz w:val="24"/>
          <w:szCs w:val="24"/>
        </w:rPr>
        <w:t xml:space="preserve">, </w:t>
      </w:r>
      <w:r w:rsidR="00D13AAF" w:rsidRPr="00C92C39">
        <w:rPr>
          <w:rFonts w:asciiTheme="majorHAnsi" w:hAnsiTheme="majorHAnsi"/>
          <w:sz w:val="24"/>
          <w:szCs w:val="24"/>
        </w:rPr>
        <w:t>and the Imagination of Religion.</w:t>
      </w:r>
      <w:r w:rsidRPr="00C92C39">
        <w:rPr>
          <w:rFonts w:asciiTheme="majorHAnsi" w:hAnsiTheme="majorHAnsi"/>
          <w:sz w:val="24"/>
          <w:szCs w:val="24"/>
        </w:rPr>
        <w:t xml:space="preserve">” </w:t>
      </w:r>
      <w:r w:rsidRPr="00C92C39">
        <w:rPr>
          <w:rFonts w:asciiTheme="majorHAnsi" w:hAnsiTheme="majorHAnsi"/>
          <w:i/>
          <w:sz w:val="24"/>
          <w:szCs w:val="24"/>
        </w:rPr>
        <w:t>Journal of the History of Ideas</w:t>
      </w:r>
      <w:r w:rsidR="00D13AAF" w:rsidRPr="00C92C39">
        <w:rPr>
          <w:rFonts w:asciiTheme="majorHAnsi" w:hAnsiTheme="majorHAnsi"/>
          <w:sz w:val="24"/>
          <w:szCs w:val="24"/>
        </w:rPr>
        <w:t xml:space="preserve"> 50, no. 1 (1989)</w:t>
      </w:r>
      <w:r w:rsidRPr="00C92C39">
        <w:rPr>
          <w:rFonts w:asciiTheme="majorHAnsi" w:hAnsiTheme="majorHAnsi"/>
          <w:sz w:val="24"/>
          <w:szCs w:val="24"/>
        </w:rPr>
        <w:t>: 71-94.</w:t>
      </w:r>
      <w:r w:rsidR="001103B0" w:rsidRPr="00C92C39">
        <w:rPr>
          <w:rFonts w:asciiTheme="majorHAnsi" w:hAnsiTheme="majorHAnsi"/>
          <w:sz w:val="24"/>
          <w:szCs w:val="24"/>
        </w:rPr>
        <w:t xml:space="preserve"> http://www.jstor.org/stable/2709787</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Riley, Patrick</w:t>
      </w:r>
      <w:r w:rsidR="00652972" w:rsidRPr="00C92C39">
        <w:rPr>
          <w:rFonts w:asciiTheme="majorHAnsi" w:hAnsiTheme="majorHAnsi"/>
          <w:sz w:val="24"/>
          <w:szCs w:val="24"/>
        </w:rPr>
        <w:t xml:space="preserve">. </w:t>
      </w:r>
      <w:r w:rsidR="00652972" w:rsidRPr="00C92C39">
        <w:rPr>
          <w:rFonts w:asciiTheme="majorHAnsi" w:hAnsiTheme="majorHAnsi"/>
          <w:i/>
          <w:sz w:val="24"/>
          <w:szCs w:val="24"/>
        </w:rPr>
        <w:t>The General Will before Rousseau.</w:t>
      </w:r>
      <w:r w:rsidR="00652972" w:rsidRPr="00C92C39">
        <w:rPr>
          <w:rFonts w:asciiTheme="majorHAnsi" w:hAnsiTheme="majorHAnsi"/>
          <w:sz w:val="24"/>
          <w:szCs w:val="24"/>
        </w:rPr>
        <w:t xml:space="preserve"> Princeton: Princeton University Press</w:t>
      </w:r>
      <w:r w:rsidRPr="00C92C39">
        <w:rPr>
          <w:rFonts w:asciiTheme="majorHAnsi" w:hAnsiTheme="majorHAnsi"/>
          <w:sz w:val="24"/>
          <w:szCs w:val="24"/>
        </w:rPr>
        <w:t>, 1986</w:t>
      </w:r>
      <w:r w:rsidR="00652972" w:rsidRPr="00C92C39">
        <w:rPr>
          <w:rFonts w:asciiTheme="majorHAnsi" w:hAnsiTheme="majorHAnsi"/>
          <w:sz w:val="24"/>
          <w:szCs w:val="24"/>
        </w:rPr>
        <w:t>.</w:t>
      </w:r>
    </w:p>
    <w:p w:rsidR="00652972" w:rsidRPr="00C92C39" w:rsidRDefault="00E23714" w:rsidP="00652972">
      <w:pPr>
        <w:pStyle w:val="FootnoteText"/>
        <w:ind w:left="720" w:hanging="720"/>
        <w:rPr>
          <w:rFonts w:asciiTheme="majorHAnsi" w:hAnsiTheme="majorHAnsi"/>
          <w:sz w:val="24"/>
          <w:szCs w:val="24"/>
        </w:rPr>
      </w:pPr>
      <w:proofErr w:type="gramStart"/>
      <w:r w:rsidRPr="00C92C39">
        <w:rPr>
          <w:rFonts w:asciiTheme="majorHAnsi" w:hAnsiTheme="majorHAnsi"/>
          <w:sz w:val="24"/>
          <w:szCs w:val="24"/>
        </w:rPr>
        <w:t>Rousseau, Jean-Jacques.</w:t>
      </w:r>
      <w:proofErr w:type="gramEnd"/>
      <w:r w:rsidR="00652972" w:rsidRPr="00C92C39">
        <w:rPr>
          <w:rFonts w:asciiTheme="majorHAnsi" w:hAnsiTheme="majorHAnsi"/>
          <w:sz w:val="24"/>
          <w:szCs w:val="24"/>
        </w:rPr>
        <w:t xml:space="preserve"> </w:t>
      </w:r>
      <w:r w:rsidRPr="00C92C39">
        <w:rPr>
          <w:rFonts w:asciiTheme="majorHAnsi" w:hAnsiTheme="majorHAnsi"/>
          <w:sz w:val="24"/>
          <w:szCs w:val="24"/>
        </w:rPr>
        <w:t>“</w:t>
      </w:r>
      <w:r w:rsidR="00652972" w:rsidRPr="00C92C39">
        <w:rPr>
          <w:rFonts w:asciiTheme="majorHAnsi" w:hAnsiTheme="majorHAnsi"/>
          <w:sz w:val="24"/>
          <w:szCs w:val="24"/>
        </w:rPr>
        <w:t>Discourse on Political Economy</w:t>
      </w:r>
      <w:r w:rsidR="00652972" w:rsidRPr="00C92C39">
        <w:rPr>
          <w:rFonts w:asciiTheme="majorHAnsi" w:hAnsiTheme="majorHAnsi"/>
          <w:i/>
          <w:sz w:val="24"/>
          <w:szCs w:val="24"/>
        </w:rPr>
        <w:t>.</w:t>
      </w:r>
      <w:r w:rsidRPr="00C92C39">
        <w:rPr>
          <w:rFonts w:asciiTheme="majorHAnsi" w:hAnsiTheme="majorHAnsi"/>
          <w:i/>
          <w:sz w:val="24"/>
          <w:szCs w:val="24"/>
        </w:rPr>
        <w:t>”</w:t>
      </w:r>
      <w:r w:rsidRPr="00C92C39">
        <w:rPr>
          <w:rFonts w:asciiTheme="majorHAnsi" w:hAnsiTheme="majorHAnsi"/>
          <w:sz w:val="24"/>
          <w:szCs w:val="24"/>
        </w:rPr>
        <w:t xml:space="preserve"> In </w:t>
      </w:r>
      <w:r w:rsidRPr="00C92C39">
        <w:rPr>
          <w:rFonts w:asciiTheme="majorHAnsi" w:hAnsiTheme="majorHAnsi"/>
          <w:i/>
          <w:sz w:val="24"/>
          <w:szCs w:val="24"/>
        </w:rPr>
        <w:t>Jean-Jacques Rousseau: The Social Contract</w:t>
      </w:r>
      <w:r w:rsidRPr="00C92C39">
        <w:rPr>
          <w:rFonts w:asciiTheme="majorHAnsi" w:hAnsiTheme="majorHAnsi"/>
          <w:sz w:val="24"/>
          <w:szCs w:val="24"/>
        </w:rPr>
        <w:t>, trans. Christopher Betts, 1-42. Oxford: Oxford University Press, 1999 [1755].</w:t>
      </w:r>
    </w:p>
    <w:p w:rsidR="00830EFA" w:rsidRPr="00C92C39" w:rsidRDefault="00830EFA"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Santer</w:t>
      </w:r>
      <w:proofErr w:type="spellEnd"/>
      <w:r w:rsidRPr="00C92C39">
        <w:rPr>
          <w:rFonts w:asciiTheme="majorHAnsi" w:hAnsiTheme="majorHAnsi"/>
          <w:sz w:val="24"/>
          <w:szCs w:val="24"/>
        </w:rPr>
        <w:t xml:space="preserve">, Eric L. </w:t>
      </w:r>
      <w:r w:rsidRPr="00C92C39">
        <w:rPr>
          <w:rFonts w:asciiTheme="majorHAnsi" w:hAnsiTheme="majorHAnsi"/>
          <w:i/>
          <w:sz w:val="24"/>
          <w:szCs w:val="24"/>
        </w:rPr>
        <w:t xml:space="preserve">The Royal Remains: The </w:t>
      </w:r>
      <w:proofErr w:type="gramStart"/>
      <w:r w:rsidRPr="00C92C39">
        <w:rPr>
          <w:rFonts w:asciiTheme="majorHAnsi" w:hAnsiTheme="majorHAnsi"/>
          <w:i/>
          <w:sz w:val="24"/>
          <w:szCs w:val="24"/>
        </w:rPr>
        <w:t>People’s</w:t>
      </w:r>
      <w:proofErr w:type="gramEnd"/>
      <w:r w:rsidRPr="00C92C39">
        <w:rPr>
          <w:rFonts w:asciiTheme="majorHAnsi" w:hAnsiTheme="majorHAnsi"/>
          <w:i/>
          <w:sz w:val="24"/>
          <w:szCs w:val="24"/>
        </w:rPr>
        <w:t xml:space="preserve"> Two Bodies and the Endgames of Sovereignty</w:t>
      </w:r>
      <w:r w:rsidRPr="00C92C39">
        <w:rPr>
          <w:rFonts w:asciiTheme="majorHAnsi" w:hAnsiTheme="majorHAnsi"/>
          <w:sz w:val="24"/>
          <w:szCs w:val="24"/>
        </w:rPr>
        <w:t>.  Chicago: University of Chicago Press, 2011.</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Schneewind</w:t>
      </w:r>
      <w:proofErr w:type="spellEnd"/>
      <w:r w:rsidR="00586C67" w:rsidRPr="00C92C39">
        <w:rPr>
          <w:rFonts w:asciiTheme="majorHAnsi" w:hAnsiTheme="majorHAnsi"/>
          <w:sz w:val="24"/>
          <w:szCs w:val="24"/>
        </w:rPr>
        <w:t>, J. G</w:t>
      </w:r>
      <w:r w:rsidRPr="00C92C39">
        <w:rPr>
          <w:rFonts w:asciiTheme="majorHAnsi" w:hAnsiTheme="majorHAnsi"/>
          <w:sz w:val="24"/>
          <w:szCs w:val="24"/>
        </w:rPr>
        <w:t xml:space="preserve">. </w:t>
      </w:r>
      <w:proofErr w:type="gramStart"/>
      <w:r w:rsidRPr="00C92C39">
        <w:rPr>
          <w:rFonts w:asciiTheme="majorHAnsi" w:hAnsiTheme="majorHAnsi"/>
          <w:i/>
          <w:sz w:val="24"/>
          <w:szCs w:val="24"/>
        </w:rPr>
        <w:t>The Invention of Autonomy.</w:t>
      </w:r>
      <w:proofErr w:type="gramEnd"/>
      <w:r w:rsidRPr="00C92C39">
        <w:rPr>
          <w:rFonts w:asciiTheme="majorHAnsi" w:hAnsiTheme="majorHAnsi"/>
          <w:sz w:val="24"/>
          <w:szCs w:val="24"/>
        </w:rPr>
        <w:t xml:space="preserve"> Cambridge: Cambridge University Press</w:t>
      </w:r>
      <w:r w:rsidR="00586C67" w:rsidRPr="00C92C39">
        <w:rPr>
          <w:rFonts w:asciiTheme="majorHAnsi" w:hAnsiTheme="majorHAnsi"/>
          <w:sz w:val="24"/>
          <w:szCs w:val="24"/>
        </w:rPr>
        <w:t>, 1998</w:t>
      </w:r>
      <w:r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Schwoerer</w:t>
      </w:r>
      <w:proofErr w:type="spellEnd"/>
      <w:r w:rsidRPr="00C92C39">
        <w:rPr>
          <w:rFonts w:asciiTheme="majorHAnsi" w:hAnsiTheme="majorHAnsi"/>
          <w:sz w:val="24"/>
          <w:szCs w:val="24"/>
        </w:rPr>
        <w:t xml:space="preserve">, Lois G. “Locke, </w:t>
      </w:r>
      <w:proofErr w:type="spellStart"/>
      <w:r w:rsidRPr="00C92C39">
        <w:rPr>
          <w:rFonts w:asciiTheme="majorHAnsi" w:hAnsiTheme="majorHAnsi"/>
          <w:sz w:val="24"/>
          <w:szCs w:val="24"/>
        </w:rPr>
        <w:t>Lockean</w:t>
      </w:r>
      <w:proofErr w:type="spellEnd"/>
      <w:r w:rsidRPr="00C92C39">
        <w:rPr>
          <w:rFonts w:asciiTheme="majorHAnsi" w:hAnsiTheme="majorHAnsi"/>
          <w:sz w:val="24"/>
          <w:szCs w:val="24"/>
        </w:rPr>
        <w:t xml:space="preserve"> Ide</w:t>
      </w:r>
      <w:r w:rsidR="00D13AAF" w:rsidRPr="00C92C39">
        <w:rPr>
          <w:rFonts w:asciiTheme="majorHAnsi" w:hAnsiTheme="majorHAnsi"/>
          <w:sz w:val="24"/>
          <w:szCs w:val="24"/>
        </w:rPr>
        <w:t>as, and the Glorious Revolution.</w:t>
      </w:r>
      <w:r w:rsidRPr="00C92C39">
        <w:rPr>
          <w:rFonts w:asciiTheme="majorHAnsi" w:hAnsiTheme="majorHAnsi"/>
          <w:sz w:val="24"/>
          <w:szCs w:val="24"/>
        </w:rPr>
        <w:t xml:space="preserve">” </w:t>
      </w:r>
      <w:r w:rsidRPr="00C92C39">
        <w:rPr>
          <w:rFonts w:asciiTheme="majorHAnsi" w:hAnsiTheme="majorHAnsi"/>
          <w:i/>
          <w:sz w:val="24"/>
          <w:szCs w:val="24"/>
        </w:rPr>
        <w:t>Journal of the History of Ideas</w:t>
      </w:r>
      <w:r w:rsidR="00D13AAF" w:rsidRPr="00C92C39">
        <w:rPr>
          <w:rFonts w:asciiTheme="majorHAnsi" w:hAnsiTheme="majorHAnsi"/>
          <w:sz w:val="24"/>
          <w:szCs w:val="24"/>
        </w:rPr>
        <w:t xml:space="preserve"> 51, no. 4 (1990)</w:t>
      </w:r>
      <w:r w:rsidRPr="00C92C39">
        <w:rPr>
          <w:rFonts w:asciiTheme="majorHAnsi" w:hAnsiTheme="majorHAnsi"/>
          <w:sz w:val="24"/>
          <w:szCs w:val="24"/>
        </w:rPr>
        <w:t>: 531-48.</w:t>
      </w:r>
      <w:r w:rsidR="001103B0" w:rsidRPr="00C92C39">
        <w:rPr>
          <w:rFonts w:asciiTheme="majorHAnsi" w:hAnsiTheme="majorHAnsi"/>
          <w:sz w:val="24"/>
          <w:szCs w:val="24"/>
        </w:rPr>
        <w:t xml:space="preserve"> http://www.jstor.org/stable/2709645</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Scruton, Roger</w:t>
      </w:r>
      <w:r w:rsidR="00652972" w:rsidRPr="00C92C39">
        <w:rPr>
          <w:rFonts w:asciiTheme="majorHAnsi" w:hAnsiTheme="majorHAnsi"/>
          <w:sz w:val="24"/>
          <w:szCs w:val="24"/>
        </w:rPr>
        <w:t xml:space="preserve">. </w:t>
      </w:r>
      <w:r w:rsidR="00652972" w:rsidRPr="00C92C39">
        <w:rPr>
          <w:rFonts w:asciiTheme="majorHAnsi" w:hAnsiTheme="majorHAnsi"/>
          <w:i/>
          <w:sz w:val="24"/>
          <w:szCs w:val="24"/>
        </w:rPr>
        <w:t>Spinoza: A Very Short Introduction.</w:t>
      </w:r>
      <w:r w:rsidR="00652972" w:rsidRPr="00C92C39">
        <w:rPr>
          <w:rFonts w:asciiTheme="majorHAnsi" w:hAnsiTheme="majorHAnsi"/>
          <w:sz w:val="24"/>
          <w:szCs w:val="24"/>
        </w:rPr>
        <w:t xml:space="preserve"> </w:t>
      </w:r>
      <w:r w:rsidRPr="00C92C39">
        <w:rPr>
          <w:rFonts w:asciiTheme="majorHAnsi" w:hAnsiTheme="majorHAnsi"/>
          <w:sz w:val="24"/>
          <w:szCs w:val="24"/>
        </w:rPr>
        <w:t>Oxford: Oxford University Press, 2002.</w:t>
      </w:r>
    </w:p>
    <w:p w:rsidR="00652972" w:rsidRPr="00C92C39" w:rsidRDefault="00652972" w:rsidP="00652972">
      <w:pPr>
        <w:pStyle w:val="FootnoteText"/>
        <w:ind w:left="720" w:hanging="720"/>
        <w:rPr>
          <w:rFonts w:asciiTheme="majorHAnsi" w:hAnsiTheme="majorHAnsi"/>
          <w:sz w:val="24"/>
          <w:szCs w:val="24"/>
        </w:rPr>
      </w:pPr>
      <w:proofErr w:type="gramStart"/>
      <w:r w:rsidRPr="00C92C39">
        <w:rPr>
          <w:rFonts w:asciiTheme="majorHAnsi" w:hAnsiTheme="majorHAnsi"/>
          <w:sz w:val="24"/>
          <w:szCs w:val="24"/>
        </w:rPr>
        <w:t>Skinner, Quentin (2002 [1998]).</w:t>
      </w:r>
      <w:proofErr w:type="gramEnd"/>
      <w:r w:rsidRPr="00C92C39">
        <w:rPr>
          <w:rFonts w:asciiTheme="majorHAnsi" w:hAnsiTheme="majorHAnsi"/>
          <w:sz w:val="24"/>
          <w:szCs w:val="24"/>
        </w:rPr>
        <w:t xml:space="preserve"> </w:t>
      </w:r>
      <w:proofErr w:type="gramStart"/>
      <w:r w:rsidRPr="00C92C39">
        <w:rPr>
          <w:rFonts w:asciiTheme="majorHAnsi" w:hAnsiTheme="majorHAnsi"/>
          <w:sz w:val="24"/>
          <w:szCs w:val="24"/>
        </w:rPr>
        <w:t>“The State of Pri</w:t>
      </w:r>
      <w:r w:rsidR="00DE3B72" w:rsidRPr="00C92C39">
        <w:rPr>
          <w:rFonts w:asciiTheme="majorHAnsi" w:hAnsiTheme="majorHAnsi"/>
          <w:sz w:val="24"/>
          <w:szCs w:val="24"/>
        </w:rPr>
        <w:t>nces to the Person of the State.”</w:t>
      </w:r>
      <w:proofErr w:type="gramEnd"/>
      <w:r w:rsidR="00DE3B72" w:rsidRPr="00C92C39">
        <w:rPr>
          <w:rFonts w:asciiTheme="majorHAnsi" w:hAnsiTheme="majorHAnsi"/>
          <w:sz w:val="24"/>
          <w:szCs w:val="24"/>
        </w:rPr>
        <w:t xml:space="preserve"> I</w:t>
      </w:r>
      <w:r w:rsidRPr="00C92C39">
        <w:rPr>
          <w:rFonts w:asciiTheme="majorHAnsi" w:hAnsiTheme="majorHAnsi"/>
          <w:sz w:val="24"/>
          <w:szCs w:val="24"/>
        </w:rPr>
        <w:t xml:space="preserve">n </w:t>
      </w:r>
      <w:r w:rsidRPr="00C92C39">
        <w:rPr>
          <w:rFonts w:asciiTheme="majorHAnsi" w:hAnsiTheme="majorHAnsi"/>
          <w:i/>
          <w:sz w:val="24"/>
          <w:szCs w:val="24"/>
        </w:rPr>
        <w:t>Visions of Politics, Vol. II: Renaissance Virtues</w:t>
      </w:r>
      <w:r w:rsidR="00DE3B72" w:rsidRPr="00C92C39">
        <w:rPr>
          <w:rFonts w:asciiTheme="majorHAnsi" w:hAnsiTheme="majorHAnsi"/>
          <w:sz w:val="24"/>
          <w:szCs w:val="24"/>
        </w:rPr>
        <w:t xml:space="preserve">, 368-413. </w:t>
      </w:r>
      <w:r w:rsidRPr="00C92C39">
        <w:rPr>
          <w:rFonts w:asciiTheme="majorHAnsi" w:hAnsiTheme="majorHAnsi"/>
          <w:sz w:val="24"/>
          <w:szCs w:val="24"/>
        </w:rPr>
        <w:t>Cambri</w:t>
      </w:r>
      <w:r w:rsidR="00DE3B72" w:rsidRPr="00C92C39">
        <w:rPr>
          <w:rFonts w:asciiTheme="majorHAnsi" w:hAnsiTheme="majorHAnsi"/>
          <w:sz w:val="24"/>
          <w:szCs w:val="24"/>
        </w:rPr>
        <w:t>dge: Cambridge University Press, 2002 [1998]</w:t>
      </w:r>
      <w:r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lastRenderedPageBreak/>
        <w:t>Spinoza, Baruch</w:t>
      </w:r>
      <w:r w:rsidR="00045918" w:rsidRPr="00C92C39">
        <w:rPr>
          <w:rFonts w:asciiTheme="majorHAnsi" w:hAnsiTheme="majorHAnsi"/>
          <w:sz w:val="24"/>
          <w:szCs w:val="24"/>
        </w:rPr>
        <w:t>.</w:t>
      </w:r>
      <w:r w:rsidR="006066B6" w:rsidRPr="00C92C39">
        <w:rPr>
          <w:rFonts w:asciiTheme="majorHAnsi" w:hAnsiTheme="majorHAnsi"/>
          <w:sz w:val="24"/>
          <w:szCs w:val="24"/>
        </w:rPr>
        <w:t xml:space="preserve"> </w:t>
      </w:r>
      <w:r w:rsidRPr="00C92C39">
        <w:rPr>
          <w:rFonts w:asciiTheme="majorHAnsi" w:hAnsiTheme="majorHAnsi"/>
          <w:sz w:val="24"/>
          <w:szCs w:val="24"/>
        </w:rPr>
        <w:t xml:space="preserve"> </w:t>
      </w:r>
      <w:proofErr w:type="gramStart"/>
      <w:r w:rsidR="006066B6" w:rsidRPr="00C92C39">
        <w:rPr>
          <w:rFonts w:asciiTheme="majorHAnsi" w:hAnsiTheme="majorHAnsi"/>
          <w:i/>
          <w:sz w:val="24"/>
          <w:szCs w:val="24"/>
        </w:rPr>
        <w:t xml:space="preserve">A </w:t>
      </w:r>
      <w:proofErr w:type="spellStart"/>
      <w:r w:rsidR="006066B6" w:rsidRPr="00C92C39">
        <w:rPr>
          <w:rFonts w:asciiTheme="majorHAnsi" w:hAnsiTheme="majorHAnsi"/>
          <w:i/>
          <w:sz w:val="24"/>
          <w:szCs w:val="24"/>
        </w:rPr>
        <w:t>Theologico</w:t>
      </w:r>
      <w:proofErr w:type="spellEnd"/>
      <w:r w:rsidR="006066B6" w:rsidRPr="00C92C39">
        <w:rPr>
          <w:rFonts w:asciiTheme="majorHAnsi" w:hAnsiTheme="majorHAnsi"/>
          <w:i/>
          <w:sz w:val="24"/>
          <w:szCs w:val="24"/>
        </w:rPr>
        <w:t>-Political Treatise</w:t>
      </w:r>
      <w:r w:rsidR="006066B6" w:rsidRPr="00C92C39">
        <w:rPr>
          <w:rFonts w:asciiTheme="majorHAnsi" w:hAnsiTheme="majorHAnsi"/>
          <w:sz w:val="24"/>
          <w:szCs w:val="24"/>
        </w:rPr>
        <w:t xml:space="preserve">, trans. R. H. M. </w:t>
      </w:r>
      <w:proofErr w:type="spellStart"/>
      <w:r w:rsidR="006066B6" w:rsidRPr="00C92C39">
        <w:rPr>
          <w:rFonts w:asciiTheme="majorHAnsi" w:hAnsiTheme="majorHAnsi"/>
          <w:sz w:val="24"/>
          <w:szCs w:val="24"/>
        </w:rPr>
        <w:t>Elwes</w:t>
      </w:r>
      <w:proofErr w:type="spellEnd"/>
      <w:r w:rsidR="006066B6" w:rsidRPr="00C92C39">
        <w:rPr>
          <w:rFonts w:asciiTheme="majorHAnsi" w:hAnsiTheme="majorHAnsi"/>
          <w:sz w:val="24"/>
          <w:szCs w:val="24"/>
        </w:rPr>
        <w:t>.</w:t>
      </w:r>
      <w:proofErr w:type="gramEnd"/>
      <w:r w:rsidR="006066B6" w:rsidRPr="00C92C39">
        <w:rPr>
          <w:rFonts w:asciiTheme="majorHAnsi" w:hAnsiTheme="majorHAnsi"/>
          <w:sz w:val="24"/>
          <w:szCs w:val="24"/>
        </w:rPr>
        <w:t xml:space="preserve"> New York, NY: Dover Publications, 1951 [1670]</w:t>
      </w:r>
      <w:r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Sternhell</w:t>
      </w:r>
      <w:proofErr w:type="spellEnd"/>
      <w:r w:rsidR="00586C67" w:rsidRPr="00C92C39">
        <w:rPr>
          <w:rFonts w:asciiTheme="majorHAnsi" w:hAnsiTheme="majorHAnsi"/>
          <w:sz w:val="24"/>
          <w:szCs w:val="24"/>
        </w:rPr>
        <w:t xml:space="preserve">, </w:t>
      </w:r>
      <w:proofErr w:type="spellStart"/>
      <w:r w:rsidR="00586C67" w:rsidRPr="00C92C39">
        <w:rPr>
          <w:rFonts w:asciiTheme="majorHAnsi" w:hAnsiTheme="majorHAnsi"/>
          <w:sz w:val="24"/>
          <w:szCs w:val="24"/>
        </w:rPr>
        <w:t>Zeev</w:t>
      </w:r>
      <w:proofErr w:type="spellEnd"/>
      <w:r w:rsidRPr="00C92C39">
        <w:rPr>
          <w:rFonts w:asciiTheme="majorHAnsi" w:hAnsiTheme="majorHAnsi"/>
          <w:sz w:val="24"/>
          <w:szCs w:val="24"/>
        </w:rPr>
        <w:t xml:space="preserve">. </w:t>
      </w:r>
      <w:r w:rsidRPr="00C92C39">
        <w:rPr>
          <w:rFonts w:asciiTheme="majorHAnsi" w:hAnsiTheme="majorHAnsi"/>
          <w:i/>
          <w:sz w:val="24"/>
          <w:szCs w:val="24"/>
        </w:rPr>
        <w:t>The Anti-Enlightenment Tradition</w:t>
      </w:r>
      <w:r w:rsidRPr="00C92C39">
        <w:rPr>
          <w:rFonts w:asciiTheme="majorHAnsi" w:hAnsiTheme="majorHAnsi"/>
          <w:sz w:val="24"/>
          <w:szCs w:val="24"/>
        </w:rPr>
        <w:t xml:space="preserve">, David </w:t>
      </w:r>
      <w:proofErr w:type="spellStart"/>
      <w:r w:rsidRPr="00C92C39">
        <w:rPr>
          <w:rFonts w:asciiTheme="majorHAnsi" w:hAnsiTheme="majorHAnsi"/>
          <w:sz w:val="24"/>
          <w:szCs w:val="24"/>
        </w:rPr>
        <w:t>Maisel</w:t>
      </w:r>
      <w:proofErr w:type="spellEnd"/>
      <w:r w:rsidRPr="00C92C39">
        <w:rPr>
          <w:rFonts w:asciiTheme="majorHAnsi" w:hAnsiTheme="majorHAnsi"/>
          <w:sz w:val="24"/>
          <w:szCs w:val="24"/>
        </w:rPr>
        <w:t xml:space="preserve">, </w:t>
      </w:r>
      <w:proofErr w:type="gramStart"/>
      <w:r w:rsidRPr="00C92C39">
        <w:rPr>
          <w:rFonts w:asciiTheme="majorHAnsi" w:hAnsiTheme="majorHAnsi"/>
          <w:sz w:val="24"/>
          <w:szCs w:val="24"/>
        </w:rPr>
        <w:t>trans</w:t>
      </w:r>
      <w:proofErr w:type="gramEnd"/>
      <w:r w:rsidRPr="00C92C39">
        <w:rPr>
          <w:rFonts w:asciiTheme="majorHAnsi" w:hAnsiTheme="majorHAnsi"/>
          <w:sz w:val="24"/>
          <w:szCs w:val="24"/>
        </w:rPr>
        <w:t>. N</w:t>
      </w:r>
      <w:r w:rsidR="00586C67" w:rsidRPr="00C92C39">
        <w:rPr>
          <w:rFonts w:asciiTheme="majorHAnsi" w:hAnsiTheme="majorHAnsi"/>
          <w:sz w:val="24"/>
          <w:szCs w:val="24"/>
        </w:rPr>
        <w:t>ew Haven: Yale University Press, 2010.</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Taylor, Charles</w:t>
      </w:r>
      <w:r w:rsidR="00652972" w:rsidRPr="00C92C39">
        <w:rPr>
          <w:rFonts w:asciiTheme="majorHAnsi" w:hAnsiTheme="majorHAnsi"/>
          <w:sz w:val="24"/>
          <w:szCs w:val="24"/>
        </w:rPr>
        <w:t xml:space="preserve">. </w:t>
      </w:r>
      <w:proofErr w:type="gramStart"/>
      <w:r w:rsidR="00652972" w:rsidRPr="00C92C39">
        <w:rPr>
          <w:rFonts w:asciiTheme="majorHAnsi" w:hAnsiTheme="majorHAnsi"/>
          <w:i/>
          <w:sz w:val="24"/>
          <w:szCs w:val="24"/>
        </w:rPr>
        <w:t>A Secular Age.</w:t>
      </w:r>
      <w:proofErr w:type="gramEnd"/>
      <w:r w:rsidR="00652972" w:rsidRPr="00C92C39">
        <w:rPr>
          <w:rFonts w:asciiTheme="majorHAnsi" w:hAnsiTheme="majorHAnsi"/>
          <w:sz w:val="24"/>
          <w:szCs w:val="24"/>
        </w:rPr>
        <w:t xml:space="preserve"> Cambridge, MA: Belknap Press</w:t>
      </w:r>
      <w:r w:rsidRPr="00C92C39">
        <w:rPr>
          <w:rFonts w:asciiTheme="majorHAnsi" w:hAnsiTheme="majorHAnsi"/>
          <w:sz w:val="24"/>
          <w:szCs w:val="24"/>
        </w:rPr>
        <w:t>, 2007</w:t>
      </w:r>
      <w:r w:rsidR="00652972" w:rsidRPr="00C92C39">
        <w:rPr>
          <w:rFonts w:asciiTheme="majorHAnsi" w:hAnsiTheme="majorHAnsi"/>
          <w:sz w:val="24"/>
          <w:szCs w:val="24"/>
        </w:rPr>
        <w:t>.</w:t>
      </w:r>
    </w:p>
    <w:p w:rsidR="00652972" w:rsidRPr="00C92C39" w:rsidRDefault="00586C67"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Toulmin</w:t>
      </w:r>
      <w:proofErr w:type="spellEnd"/>
      <w:r w:rsidRPr="00C92C39">
        <w:rPr>
          <w:rFonts w:asciiTheme="majorHAnsi" w:hAnsiTheme="majorHAnsi"/>
          <w:sz w:val="24"/>
          <w:szCs w:val="24"/>
        </w:rPr>
        <w:t>, Stephen</w:t>
      </w:r>
      <w:r w:rsidR="00652972" w:rsidRPr="00C92C39">
        <w:rPr>
          <w:rFonts w:asciiTheme="majorHAnsi" w:hAnsiTheme="majorHAnsi"/>
          <w:sz w:val="24"/>
          <w:szCs w:val="24"/>
        </w:rPr>
        <w:t xml:space="preserve">. </w:t>
      </w:r>
      <w:proofErr w:type="spellStart"/>
      <w:r w:rsidR="00652972" w:rsidRPr="00C92C39">
        <w:rPr>
          <w:rFonts w:asciiTheme="majorHAnsi" w:hAnsiTheme="majorHAnsi"/>
          <w:i/>
          <w:sz w:val="24"/>
          <w:szCs w:val="24"/>
        </w:rPr>
        <w:t>Cosmopolis</w:t>
      </w:r>
      <w:proofErr w:type="spellEnd"/>
      <w:r w:rsidR="00652972" w:rsidRPr="00C92C39">
        <w:rPr>
          <w:rFonts w:asciiTheme="majorHAnsi" w:hAnsiTheme="majorHAnsi"/>
          <w:i/>
          <w:sz w:val="24"/>
          <w:szCs w:val="24"/>
        </w:rPr>
        <w:t>: The Hidden Agenda of Modernity.</w:t>
      </w:r>
      <w:r w:rsidR="00652972" w:rsidRPr="00C92C39">
        <w:rPr>
          <w:rFonts w:asciiTheme="majorHAnsi" w:hAnsiTheme="majorHAnsi"/>
          <w:sz w:val="24"/>
          <w:szCs w:val="24"/>
        </w:rPr>
        <w:t xml:space="preserve"> Chicago: University of Chicago Press</w:t>
      </w:r>
      <w:r w:rsidRPr="00C92C39">
        <w:rPr>
          <w:rFonts w:asciiTheme="majorHAnsi" w:hAnsiTheme="majorHAnsi"/>
          <w:sz w:val="24"/>
          <w:szCs w:val="24"/>
        </w:rPr>
        <w:t>, 1990</w:t>
      </w:r>
      <w:r w:rsidR="00652972" w:rsidRPr="00C92C39">
        <w:rPr>
          <w:rFonts w:asciiTheme="majorHAnsi" w:hAnsiTheme="majorHAnsi"/>
          <w:sz w:val="24"/>
          <w:szCs w:val="24"/>
        </w:rPr>
        <w:t>.</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Tuck, Richard</w:t>
      </w:r>
      <w:r w:rsidR="00652972" w:rsidRPr="00C92C39">
        <w:rPr>
          <w:rFonts w:asciiTheme="majorHAnsi" w:hAnsiTheme="majorHAnsi"/>
          <w:sz w:val="24"/>
          <w:szCs w:val="24"/>
        </w:rPr>
        <w:t xml:space="preserve">. </w:t>
      </w:r>
      <w:proofErr w:type="gramStart"/>
      <w:r w:rsidR="00652972" w:rsidRPr="00C92C39">
        <w:rPr>
          <w:rFonts w:asciiTheme="majorHAnsi" w:hAnsiTheme="majorHAnsi"/>
          <w:i/>
          <w:sz w:val="24"/>
          <w:szCs w:val="24"/>
        </w:rPr>
        <w:t>Natural Rights Theories.</w:t>
      </w:r>
      <w:proofErr w:type="gramEnd"/>
      <w:r w:rsidR="00652972" w:rsidRPr="00C92C39">
        <w:rPr>
          <w:rFonts w:asciiTheme="majorHAnsi" w:hAnsiTheme="majorHAnsi"/>
          <w:sz w:val="24"/>
          <w:szCs w:val="24"/>
        </w:rPr>
        <w:t xml:space="preserve"> Cambridge: Cambridge University Press</w:t>
      </w:r>
      <w:r w:rsidRPr="00C92C39">
        <w:rPr>
          <w:rFonts w:asciiTheme="majorHAnsi" w:hAnsiTheme="majorHAnsi"/>
          <w:sz w:val="24"/>
          <w:szCs w:val="24"/>
        </w:rPr>
        <w:t>, 1979</w:t>
      </w:r>
      <w:r w:rsidR="00652972" w:rsidRPr="00C92C39">
        <w:rPr>
          <w:rFonts w:asciiTheme="majorHAnsi" w:hAnsiTheme="majorHAnsi"/>
          <w:sz w:val="24"/>
          <w:szCs w:val="24"/>
        </w:rPr>
        <w:t>.</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______</w:t>
      </w:r>
      <w:r w:rsidR="00652972" w:rsidRPr="00C92C39">
        <w:rPr>
          <w:rFonts w:asciiTheme="majorHAnsi" w:hAnsiTheme="majorHAnsi"/>
          <w:sz w:val="24"/>
          <w:szCs w:val="24"/>
        </w:rPr>
        <w:t>.</w:t>
      </w:r>
      <w:r w:rsidR="00DE3B72" w:rsidRPr="00C92C39">
        <w:rPr>
          <w:rFonts w:asciiTheme="majorHAnsi" w:hAnsiTheme="majorHAnsi"/>
          <w:sz w:val="24"/>
          <w:szCs w:val="24"/>
        </w:rPr>
        <w:t xml:space="preserve"> </w:t>
      </w:r>
      <w:proofErr w:type="gramStart"/>
      <w:r w:rsidR="00DE3B72" w:rsidRPr="00C92C39">
        <w:rPr>
          <w:rFonts w:asciiTheme="majorHAnsi" w:hAnsiTheme="majorHAnsi"/>
          <w:sz w:val="24"/>
          <w:szCs w:val="24"/>
        </w:rPr>
        <w:t>“Grotius and Selden.”</w:t>
      </w:r>
      <w:proofErr w:type="gramEnd"/>
      <w:r w:rsidR="00DE3B72" w:rsidRPr="00C92C39">
        <w:rPr>
          <w:rFonts w:asciiTheme="majorHAnsi" w:hAnsiTheme="majorHAnsi"/>
          <w:sz w:val="24"/>
          <w:szCs w:val="24"/>
        </w:rPr>
        <w:t xml:space="preserve"> I</w:t>
      </w:r>
      <w:r w:rsidR="00652972" w:rsidRPr="00C92C39">
        <w:rPr>
          <w:rFonts w:asciiTheme="majorHAnsi" w:hAnsiTheme="majorHAnsi"/>
          <w:sz w:val="24"/>
          <w:szCs w:val="24"/>
        </w:rPr>
        <w:t xml:space="preserve">n </w:t>
      </w:r>
      <w:r w:rsidR="00652972" w:rsidRPr="00C92C39">
        <w:rPr>
          <w:rFonts w:asciiTheme="majorHAnsi" w:hAnsiTheme="majorHAnsi"/>
          <w:i/>
          <w:sz w:val="24"/>
          <w:szCs w:val="24"/>
        </w:rPr>
        <w:t>Cambridge History of Political Thought, 1450-1750</w:t>
      </w:r>
      <w:r w:rsidR="00DE3B72" w:rsidRPr="00C92C39">
        <w:rPr>
          <w:rFonts w:asciiTheme="majorHAnsi" w:hAnsiTheme="majorHAnsi"/>
          <w:sz w:val="24"/>
          <w:szCs w:val="24"/>
        </w:rPr>
        <w:t xml:space="preserve">, ed. J. H. Burns, </w:t>
      </w:r>
      <w:r w:rsidR="002C0882" w:rsidRPr="00C92C39">
        <w:rPr>
          <w:rFonts w:asciiTheme="majorHAnsi" w:hAnsiTheme="majorHAnsi"/>
          <w:sz w:val="24"/>
          <w:szCs w:val="24"/>
        </w:rPr>
        <w:t>499-529.</w:t>
      </w:r>
      <w:r w:rsidR="00652972" w:rsidRPr="00C92C39">
        <w:rPr>
          <w:rFonts w:asciiTheme="majorHAnsi" w:hAnsiTheme="majorHAnsi"/>
          <w:sz w:val="24"/>
          <w:szCs w:val="24"/>
        </w:rPr>
        <w:t xml:space="preserve"> Cambridge: Cambridge</w:t>
      </w:r>
      <w:r w:rsidR="002C0882" w:rsidRPr="00C92C39">
        <w:rPr>
          <w:rFonts w:asciiTheme="majorHAnsi" w:hAnsiTheme="majorHAnsi"/>
          <w:sz w:val="24"/>
          <w:szCs w:val="24"/>
        </w:rPr>
        <w:t xml:space="preserve"> University Press, 1991.</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Van </w:t>
      </w:r>
      <w:proofErr w:type="spellStart"/>
      <w:r w:rsidRPr="00C92C39">
        <w:rPr>
          <w:rFonts w:asciiTheme="majorHAnsi" w:hAnsiTheme="majorHAnsi"/>
          <w:sz w:val="24"/>
          <w:szCs w:val="24"/>
        </w:rPr>
        <w:t>Kley</w:t>
      </w:r>
      <w:proofErr w:type="spellEnd"/>
      <w:r w:rsidRPr="00C92C39">
        <w:rPr>
          <w:rFonts w:asciiTheme="majorHAnsi" w:hAnsiTheme="majorHAnsi"/>
          <w:sz w:val="24"/>
          <w:szCs w:val="24"/>
        </w:rPr>
        <w:t xml:space="preserve">, Dale. </w:t>
      </w:r>
      <w:proofErr w:type="gramStart"/>
      <w:r w:rsidRPr="00C92C39">
        <w:rPr>
          <w:rFonts w:asciiTheme="majorHAnsi" w:hAnsiTheme="majorHAnsi"/>
          <w:sz w:val="24"/>
          <w:szCs w:val="24"/>
        </w:rPr>
        <w:t xml:space="preserve">“Protestantism, Catholicism, and the Religious Origin of the </w:t>
      </w:r>
      <w:r w:rsidR="00D13AAF" w:rsidRPr="00C92C39">
        <w:rPr>
          <w:rFonts w:asciiTheme="majorHAnsi" w:hAnsiTheme="majorHAnsi"/>
          <w:sz w:val="24"/>
          <w:szCs w:val="24"/>
        </w:rPr>
        <w:t>French and American Revolutions.</w:t>
      </w:r>
      <w:r w:rsidRPr="00C92C39">
        <w:rPr>
          <w:rFonts w:asciiTheme="majorHAnsi" w:hAnsiTheme="majorHAnsi"/>
          <w:sz w:val="24"/>
          <w:szCs w:val="24"/>
        </w:rPr>
        <w:t>”</w:t>
      </w:r>
      <w:proofErr w:type="gramEnd"/>
      <w:r w:rsidRPr="00C92C39">
        <w:rPr>
          <w:rFonts w:asciiTheme="majorHAnsi" w:hAnsiTheme="majorHAnsi"/>
          <w:sz w:val="24"/>
          <w:szCs w:val="24"/>
        </w:rPr>
        <w:t xml:space="preserve"> </w:t>
      </w:r>
      <w:r w:rsidRPr="00C92C39">
        <w:rPr>
          <w:rFonts w:asciiTheme="majorHAnsi" w:hAnsiTheme="majorHAnsi"/>
          <w:i/>
          <w:sz w:val="24"/>
          <w:szCs w:val="24"/>
        </w:rPr>
        <w:t xml:space="preserve">Fides </w:t>
      </w:r>
      <w:proofErr w:type="gramStart"/>
      <w:r w:rsidRPr="00C92C39">
        <w:rPr>
          <w:rFonts w:asciiTheme="majorHAnsi" w:hAnsiTheme="majorHAnsi"/>
          <w:i/>
          <w:sz w:val="24"/>
          <w:szCs w:val="24"/>
        </w:rPr>
        <w:t>et</w:t>
      </w:r>
      <w:proofErr w:type="gramEnd"/>
      <w:r w:rsidRPr="00C92C39">
        <w:rPr>
          <w:rFonts w:asciiTheme="majorHAnsi" w:hAnsiTheme="majorHAnsi"/>
          <w:i/>
          <w:sz w:val="24"/>
          <w:szCs w:val="24"/>
        </w:rPr>
        <w:t xml:space="preserve"> </w:t>
      </w:r>
      <w:proofErr w:type="spellStart"/>
      <w:r w:rsidRPr="00C92C39">
        <w:rPr>
          <w:rFonts w:asciiTheme="majorHAnsi" w:hAnsiTheme="majorHAnsi"/>
          <w:i/>
          <w:sz w:val="24"/>
          <w:szCs w:val="24"/>
        </w:rPr>
        <w:t>Historia</w:t>
      </w:r>
      <w:proofErr w:type="spellEnd"/>
      <w:r w:rsidR="00D13AAF" w:rsidRPr="00C92C39">
        <w:rPr>
          <w:rFonts w:asciiTheme="majorHAnsi" w:hAnsiTheme="majorHAnsi"/>
          <w:sz w:val="24"/>
          <w:szCs w:val="24"/>
        </w:rPr>
        <w:t xml:space="preserve"> 23, no. </w:t>
      </w:r>
      <w:r w:rsidRPr="00C92C39">
        <w:rPr>
          <w:rFonts w:asciiTheme="majorHAnsi" w:hAnsiTheme="majorHAnsi"/>
          <w:sz w:val="24"/>
          <w:szCs w:val="24"/>
        </w:rPr>
        <w:t>1</w:t>
      </w:r>
      <w:r w:rsidR="00D13AAF" w:rsidRPr="00C92C39">
        <w:rPr>
          <w:rFonts w:asciiTheme="majorHAnsi" w:hAnsiTheme="majorHAnsi"/>
          <w:sz w:val="24"/>
          <w:szCs w:val="24"/>
        </w:rPr>
        <w:t xml:space="preserve"> (1991)</w:t>
      </w:r>
      <w:r w:rsidRPr="00C92C39">
        <w:rPr>
          <w:rFonts w:asciiTheme="majorHAnsi" w:hAnsiTheme="majorHAnsi"/>
          <w:sz w:val="24"/>
          <w:szCs w:val="24"/>
        </w:rPr>
        <w:t>: 53-68.</w:t>
      </w:r>
    </w:p>
    <w:p w:rsidR="00652972" w:rsidRPr="00C92C39" w:rsidRDefault="00586C67" w:rsidP="00652972">
      <w:pPr>
        <w:pStyle w:val="FootnoteText"/>
        <w:ind w:left="720" w:hanging="720"/>
        <w:rPr>
          <w:rFonts w:asciiTheme="majorHAnsi" w:hAnsiTheme="majorHAnsi"/>
          <w:sz w:val="24"/>
          <w:szCs w:val="24"/>
        </w:rPr>
      </w:pPr>
      <w:r w:rsidRPr="00C92C39">
        <w:rPr>
          <w:rFonts w:asciiTheme="majorHAnsi" w:hAnsiTheme="majorHAnsi"/>
          <w:sz w:val="24"/>
          <w:szCs w:val="24"/>
        </w:rPr>
        <w:t>Waldron, Jeremy</w:t>
      </w:r>
      <w:r w:rsidR="00652972" w:rsidRPr="00C92C39">
        <w:rPr>
          <w:rFonts w:asciiTheme="majorHAnsi" w:hAnsiTheme="majorHAnsi"/>
          <w:sz w:val="24"/>
          <w:szCs w:val="24"/>
        </w:rPr>
        <w:t xml:space="preserve">. </w:t>
      </w:r>
      <w:r w:rsidR="00652972" w:rsidRPr="00C92C39">
        <w:rPr>
          <w:rFonts w:asciiTheme="majorHAnsi" w:hAnsiTheme="majorHAnsi"/>
          <w:i/>
          <w:sz w:val="24"/>
          <w:szCs w:val="24"/>
        </w:rPr>
        <w:t>God, Locke, and Equality: Christian Foundations in Locke’s Political Thought.</w:t>
      </w:r>
      <w:r w:rsidR="00652972" w:rsidRPr="00C92C39">
        <w:rPr>
          <w:rFonts w:asciiTheme="majorHAnsi" w:hAnsiTheme="majorHAnsi"/>
          <w:sz w:val="24"/>
          <w:szCs w:val="24"/>
        </w:rPr>
        <w:t xml:space="preserve"> Cambridge: Cambridge University Press</w:t>
      </w:r>
      <w:r w:rsidRPr="00C92C39">
        <w:rPr>
          <w:rFonts w:asciiTheme="majorHAnsi" w:hAnsiTheme="majorHAnsi"/>
          <w:sz w:val="24"/>
          <w:szCs w:val="24"/>
        </w:rPr>
        <w:t>, 2002</w:t>
      </w:r>
      <w:r w:rsidR="00652972" w:rsidRPr="00C92C39">
        <w:rPr>
          <w:rFonts w:asciiTheme="majorHAnsi" w:hAnsiTheme="majorHAnsi"/>
          <w:sz w:val="24"/>
          <w:szCs w:val="24"/>
        </w:rPr>
        <w:t>.</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 xml:space="preserve">White, Richard. </w:t>
      </w:r>
      <w:proofErr w:type="gramStart"/>
      <w:r w:rsidRPr="00C92C39">
        <w:rPr>
          <w:rFonts w:asciiTheme="majorHAnsi" w:hAnsiTheme="majorHAnsi"/>
          <w:sz w:val="24"/>
          <w:szCs w:val="24"/>
        </w:rPr>
        <w:t>“Herde</w:t>
      </w:r>
      <w:r w:rsidR="00D13AAF" w:rsidRPr="00C92C39">
        <w:rPr>
          <w:rFonts w:asciiTheme="majorHAnsi" w:hAnsiTheme="majorHAnsi"/>
          <w:sz w:val="24"/>
          <w:szCs w:val="24"/>
        </w:rPr>
        <w:t>r: On the Ethics of Nationalism.</w:t>
      </w:r>
      <w:r w:rsidRPr="00C92C39">
        <w:rPr>
          <w:rFonts w:asciiTheme="majorHAnsi" w:hAnsiTheme="majorHAnsi"/>
          <w:sz w:val="24"/>
          <w:szCs w:val="24"/>
        </w:rPr>
        <w:t>”</w:t>
      </w:r>
      <w:proofErr w:type="gramEnd"/>
      <w:r w:rsidRPr="00C92C39">
        <w:rPr>
          <w:rFonts w:asciiTheme="majorHAnsi" w:hAnsiTheme="majorHAnsi"/>
          <w:sz w:val="24"/>
          <w:szCs w:val="24"/>
        </w:rPr>
        <w:t xml:space="preserve"> </w:t>
      </w:r>
      <w:proofErr w:type="spellStart"/>
      <w:r w:rsidRPr="00C92C39">
        <w:rPr>
          <w:rFonts w:asciiTheme="majorHAnsi" w:hAnsiTheme="majorHAnsi"/>
          <w:i/>
          <w:sz w:val="24"/>
          <w:szCs w:val="24"/>
        </w:rPr>
        <w:t>Humanitas</w:t>
      </w:r>
      <w:proofErr w:type="spellEnd"/>
      <w:r w:rsidR="00D13AAF" w:rsidRPr="00C92C39">
        <w:rPr>
          <w:rFonts w:asciiTheme="majorHAnsi" w:hAnsiTheme="majorHAnsi"/>
          <w:sz w:val="24"/>
          <w:szCs w:val="24"/>
        </w:rPr>
        <w:t xml:space="preserve"> 18, nos. 1-2 (2005)</w:t>
      </w:r>
      <w:r w:rsidR="002F59F6" w:rsidRPr="00C92C39">
        <w:rPr>
          <w:rFonts w:asciiTheme="majorHAnsi" w:hAnsiTheme="majorHAnsi"/>
          <w:sz w:val="24"/>
          <w:szCs w:val="24"/>
        </w:rPr>
        <w:t>: 166-81</w:t>
      </w:r>
      <w:r w:rsidRPr="00C92C39">
        <w:rPr>
          <w:rFonts w:asciiTheme="majorHAnsi" w:hAnsiTheme="majorHAnsi"/>
          <w:sz w:val="24"/>
          <w:szCs w:val="24"/>
        </w:rPr>
        <w:t>.</w:t>
      </w:r>
      <w:r w:rsidR="000E1DB1" w:rsidRPr="00C92C39">
        <w:rPr>
          <w:rFonts w:asciiTheme="majorHAnsi" w:hAnsiTheme="majorHAnsi"/>
          <w:sz w:val="24"/>
          <w:szCs w:val="24"/>
        </w:rPr>
        <w:t xml:space="preserve"> http://www.nhinet.org/white18-1&amp;2.pdf</w:t>
      </w:r>
    </w:p>
    <w:p w:rsidR="00652972" w:rsidRPr="00C92C39" w:rsidRDefault="00652972" w:rsidP="00652972">
      <w:pPr>
        <w:pStyle w:val="FootnoteText"/>
        <w:ind w:left="720" w:hanging="720"/>
        <w:rPr>
          <w:rFonts w:asciiTheme="majorHAnsi" w:hAnsiTheme="majorHAnsi"/>
          <w:sz w:val="24"/>
          <w:szCs w:val="24"/>
        </w:rPr>
      </w:pPr>
      <w:proofErr w:type="spellStart"/>
      <w:r w:rsidRPr="00C92C39">
        <w:rPr>
          <w:rFonts w:asciiTheme="majorHAnsi" w:hAnsiTheme="majorHAnsi"/>
          <w:sz w:val="24"/>
          <w:szCs w:val="24"/>
        </w:rPr>
        <w:t>Whitton</w:t>
      </w:r>
      <w:proofErr w:type="spellEnd"/>
      <w:r w:rsidRPr="00C92C39">
        <w:rPr>
          <w:rFonts w:asciiTheme="majorHAnsi" w:hAnsiTheme="majorHAnsi"/>
          <w:sz w:val="24"/>
          <w:szCs w:val="24"/>
        </w:rPr>
        <w:t xml:space="preserve">, Brian J. “Herder’s Critique of the Enlightenment: Cultural Community </w:t>
      </w:r>
      <w:r w:rsidR="002F59F6" w:rsidRPr="00C92C39">
        <w:rPr>
          <w:rFonts w:asciiTheme="majorHAnsi" w:hAnsiTheme="majorHAnsi"/>
          <w:sz w:val="24"/>
          <w:szCs w:val="24"/>
        </w:rPr>
        <w:t>versus Cosmopolitan Rationalism.</w:t>
      </w:r>
      <w:r w:rsidRPr="00C92C39">
        <w:rPr>
          <w:rFonts w:asciiTheme="majorHAnsi" w:hAnsiTheme="majorHAnsi"/>
          <w:sz w:val="24"/>
          <w:szCs w:val="24"/>
        </w:rPr>
        <w:t xml:space="preserve">” </w:t>
      </w:r>
      <w:r w:rsidRPr="00C92C39">
        <w:rPr>
          <w:rFonts w:asciiTheme="majorHAnsi" w:hAnsiTheme="majorHAnsi"/>
          <w:i/>
          <w:sz w:val="24"/>
          <w:szCs w:val="24"/>
        </w:rPr>
        <w:t>History &amp; Theory</w:t>
      </w:r>
      <w:r w:rsidR="002F59F6" w:rsidRPr="00C92C39">
        <w:rPr>
          <w:rFonts w:asciiTheme="majorHAnsi" w:hAnsiTheme="majorHAnsi"/>
          <w:sz w:val="24"/>
          <w:szCs w:val="24"/>
        </w:rPr>
        <w:t xml:space="preserve"> 27, no. 2 (1988)</w:t>
      </w:r>
      <w:r w:rsidRPr="00C92C39">
        <w:rPr>
          <w:rFonts w:asciiTheme="majorHAnsi" w:hAnsiTheme="majorHAnsi"/>
          <w:sz w:val="24"/>
          <w:szCs w:val="24"/>
        </w:rPr>
        <w:t>: 146-68.</w:t>
      </w:r>
      <w:r w:rsidR="000E1DB1" w:rsidRPr="00C92C39">
        <w:rPr>
          <w:rFonts w:asciiTheme="majorHAnsi" w:hAnsiTheme="majorHAnsi"/>
          <w:sz w:val="24"/>
          <w:szCs w:val="24"/>
        </w:rPr>
        <w:t xml:space="preserve"> http://www.jstor.org/stable/2505139</w:t>
      </w:r>
    </w:p>
    <w:p w:rsidR="00652972" w:rsidRPr="00C92C39" w:rsidRDefault="00652972" w:rsidP="00652972">
      <w:pPr>
        <w:pStyle w:val="FootnoteText"/>
        <w:ind w:left="720" w:hanging="720"/>
        <w:rPr>
          <w:rFonts w:asciiTheme="majorHAnsi" w:hAnsiTheme="majorHAnsi"/>
          <w:sz w:val="24"/>
          <w:szCs w:val="24"/>
        </w:rPr>
      </w:pPr>
      <w:r w:rsidRPr="00C92C39">
        <w:rPr>
          <w:rFonts w:asciiTheme="majorHAnsi" w:hAnsiTheme="majorHAnsi"/>
          <w:sz w:val="24"/>
          <w:szCs w:val="24"/>
        </w:rPr>
        <w:t>Wilson, William A. “Herder, Fo</w:t>
      </w:r>
      <w:r w:rsidR="002F59F6" w:rsidRPr="00C92C39">
        <w:rPr>
          <w:rFonts w:asciiTheme="majorHAnsi" w:hAnsiTheme="majorHAnsi"/>
          <w:sz w:val="24"/>
          <w:szCs w:val="24"/>
        </w:rPr>
        <w:t>lklore and Romantic Nationalism.</w:t>
      </w:r>
      <w:r w:rsidRPr="00C92C39">
        <w:rPr>
          <w:rFonts w:asciiTheme="majorHAnsi" w:hAnsiTheme="majorHAnsi"/>
          <w:sz w:val="24"/>
          <w:szCs w:val="24"/>
        </w:rPr>
        <w:t xml:space="preserve">” </w:t>
      </w:r>
      <w:r w:rsidRPr="00C92C39">
        <w:rPr>
          <w:rFonts w:asciiTheme="majorHAnsi" w:hAnsiTheme="majorHAnsi"/>
          <w:i/>
          <w:sz w:val="24"/>
          <w:szCs w:val="24"/>
        </w:rPr>
        <w:t>Journal of Popular Culture</w:t>
      </w:r>
      <w:r w:rsidR="002F59F6" w:rsidRPr="00C92C39">
        <w:rPr>
          <w:rFonts w:asciiTheme="majorHAnsi" w:hAnsiTheme="majorHAnsi"/>
          <w:sz w:val="24"/>
          <w:szCs w:val="24"/>
        </w:rPr>
        <w:t xml:space="preserve"> 6, no. 4 (1973)</w:t>
      </w:r>
      <w:r w:rsidRPr="00C92C39">
        <w:rPr>
          <w:rFonts w:asciiTheme="majorHAnsi" w:hAnsiTheme="majorHAnsi"/>
          <w:sz w:val="24"/>
          <w:szCs w:val="24"/>
        </w:rPr>
        <w:t>: 819-35.</w:t>
      </w:r>
      <w:r w:rsidR="000E1DB1" w:rsidRPr="00C92C39">
        <w:rPr>
          <w:rFonts w:asciiTheme="majorHAnsi" w:hAnsiTheme="majorHAnsi"/>
          <w:sz w:val="24"/>
          <w:szCs w:val="24"/>
        </w:rPr>
        <w:t xml:space="preserve"> http://dx.doi.org/10.1111/j.0022-3840.1973.00819.x</w:t>
      </w:r>
    </w:p>
    <w:p w:rsidR="00034B9A" w:rsidRPr="00C92C39" w:rsidRDefault="00586C67" w:rsidP="003F1C19">
      <w:pPr>
        <w:pStyle w:val="FootnoteText"/>
        <w:ind w:left="720" w:hanging="720"/>
        <w:rPr>
          <w:rFonts w:asciiTheme="majorHAnsi" w:hAnsiTheme="majorHAnsi"/>
          <w:sz w:val="24"/>
          <w:szCs w:val="24"/>
        </w:rPr>
      </w:pPr>
      <w:r w:rsidRPr="00C92C39">
        <w:rPr>
          <w:rFonts w:asciiTheme="majorHAnsi" w:hAnsiTheme="majorHAnsi"/>
          <w:sz w:val="24"/>
          <w:szCs w:val="24"/>
        </w:rPr>
        <w:t>Wolf, Eric R</w:t>
      </w:r>
      <w:r w:rsidR="00652972" w:rsidRPr="00C92C39">
        <w:rPr>
          <w:rFonts w:asciiTheme="majorHAnsi" w:hAnsiTheme="majorHAnsi"/>
          <w:sz w:val="24"/>
          <w:szCs w:val="24"/>
        </w:rPr>
        <w:t xml:space="preserve">. </w:t>
      </w:r>
      <w:r w:rsidR="00652972" w:rsidRPr="00C92C39">
        <w:rPr>
          <w:rFonts w:asciiTheme="majorHAnsi" w:hAnsiTheme="majorHAnsi"/>
          <w:i/>
          <w:sz w:val="24"/>
          <w:szCs w:val="24"/>
        </w:rPr>
        <w:t>Envisioning Power: Ideologies of Dominance and Crisis.</w:t>
      </w:r>
      <w:r w:rsidR="00652972" w:rsidRPr="00C92C39">
        <w:rPr>
          <w:rFonts w:asciiTheme="majorHAnsi" w:hAnsiTheme="majorHAnsi"/>
          <w:sz w:val="24"/>
          <w:szCs w:val="24"/>
        </w:rPr>
        <w:t xml:space="preserve"> Berkeley:  University of California Press</w:t>
      </w:r>
      <w:r w:rsidRPr="00C92C39">
        <w:rPr>
          <w:rFonts w:asciiTheme="majorHAnsi" w:hAnsiTheme="majorHAnsi"/>
          <w:sz w:val="24"/>
          <w:szCs w:val="24"/>
        </w:rPr>
        <w:t>, 1999</w:t>
      </w:r>
      <w:r w:rsidR="00652972" w:rsidRPr="00C92C39">
        <w:rPr>
          <w:rFonts w:asciiTheme="majorHAnsi" w:hAnsiTheme="majorHAnsi"/>
          <w:sz w:val="24"/>
          <w:szCs w:val="24"/>
        </w:rPr>
        <w:t>.</w:t>
      </w:r>
    </w:p>
    <w:sectPr w:rsidR="00034B9A" w:rsidRPr="00C92C39" w:rsidSect="008A78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DB" w:rsidRDefault="009131DB" w:rsidP="003B58F9">
      <w:pPr>
        <w:spacing w:after="0" w:line="240" w:lineRule="auto"/>
      </w:pPr>
      <w:r>
        <w:separator/>
      </w:r>
    </w:p>
  </w:endnote>
  <w:endnote w:type="continuationSeparator" w:id="0">
    <w:p w:rsidR="009131DB" w:rsidRDefault="009131DB" w:rsidP="003B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569407"/>
      <w:docPartObj>
        <w:docPartGallery w:val="Page Numbers (Bottom of Page)"/>
        <w:docPartUnique/>
      </w:docPartObj>
    </w:sdtPr>
    <w:sdtEndPr/>
    <w:sdtContent>
      <w:p w:rsidR="00975EF3" w:rsidRDefault="009131DB">
        <w:pPr>
          <w:pStyle w:val="Footer"/>
          <w:jc w:val="center"/>
        </w:pPr>
        <w:r>
          <w:fldChar w:fldCharType="begin"/>
        </w:r>
        <w:r>
          <w:instrText xml:space="preserve"> PAGE   \* MERGEFORMAT </w:instrText>
        </w:r>
        <w:r>
          <w:fldChar w:fldCharType="separate"/>
        </w:r>
        <w:r w:rsidR="00482AD5">
          <w:rPr>
            <w:noProof/>
          </w:rPr>
          <w:t>1</w:t>
        </w:r>
        <w:r>
          <w:rPr>
            <w:noProof/>
          </w:rPr>
          <w:fldChar w:fldCharType="end"/>
        </w:r>
      </w:p>
    </w:sdtContent>
  </w:sdt>
  <w:p w:rsidR="00975EF3" w:rsidRDefault="00975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DB" w:rsidRDefault="009131DB" w:rsidP="003B58F9">
      <w:pPr>
        <w:spacing w:after="0" w:line="240" w:lineRule="auto"/>
      </w:pPr>
      <w:r>
        <w:separator/>
      </w:r>
    </w:p>
  </w:footnote>
  <w:footnote w:type="continuationSeparator" w:id="0">
    <w:p w:rsidR="009131DB" w:rsidRDefault="009131DB" w:rsidP="003B58F9">
      <w:pPr>
        <w:spacing w:after="0" w:line="240" w:lineRule="auto"/>
      </w:pPr>
      <w:r>
        <w:continuationSeparator/>
      </w:r>
    </w:p>
  </w:footnote>
  <w:footnote w:id="1">
    <w:p w:rsidR="00975EF3" w:rsidRPr="001926AA" w:rsidRDefault="00975EF3" w:rsidP="00830EFA">
      <w:pPr>
        <w:pStyle w:val="FootnoteText"/>
        <w:ind w:firstLine="720"/>
      </w:pPr>
      <w:r>
        <w:rPr>
          <w:rStyle w:val="FootnoteReference"/>
        </w:rPr>
        <w:footnoteRef/>
      </w:r>
      <w:r>
        <w:t xml:space="preserve"> See, for example, Giorgio </w:t>
      </w:r>
      <w:proofErr w:type="spellStart"/>
      <w:r>
        <w:t>Agamben</w:t>
      </w:r>
      <w:proofErr w:type="spellEnd"/>
      <w:r>
        <w:t xml:space="preserve">, </w:t>
      </w:r>
      <w:r>
        <w:rPr>
          <w:i/>
        </w:rPr>
        <w:t>The Kingdom and the Glory: For a Theological Genealogy of Economy and Government</w:t>
      </w:r>
      <w:r>
        <w:t xml:space="preserve"> (Stanford: Stanford University Press, 2011); Ludwig Mikael </w:t>
      </w:r>
      <w:proofErr w:type="spellStart"/>
      <w:r>
        <w:t>Gelot</w:t>
      </w:r>
      <w:proofErr w:type="spellEnd"/>
      <w:r>
        <w:t xml:space="preserve">, “Thomas Hobbes’s </w:t>
      </w:r>
      <w:r>
        <w:rPr>
          <w:i/>
        </w:rPr>
        <w:t>Leviathan</w:t>
      </w:r>
      <w:r>
        <w:t xml:space="preserve"> and the Theological Origins of Secular International Politics,” </w:t>
      </w:r>
      <w:r>
        <w:rPr>
          <w:i/>
        </w:rPr>
        <w:t>Political Theology</w:t>
      </w:r>
      <w:r>
        <w:t xml:space="preserve"> 12, no. 4 (2011): 553-76; Eric L. </w:t>
      </w:r>
      <w:proofErr w:type="spellStart"/>
      <w:r>
        <w:t>Santer</w:t>
      </w:r>
      <w:proofErr w:type="spellEnd"/>
      <w:r>
        <w:t xml:space="preserve">, </w:t>
      </w:r>
      <w:r>
        <w:rPr>
          <w:i/>
        </w:rPr>
        <w:t>The Royal Remains: The People’s Two Bodies and the Endgames of Sovereignty</w:t>
      </w:r>
      <w:r>
        <w:t xml:space="preserve"> (Chicago: University of Chicago Press, 2011); William T Cavanaugh, “‘Killing for the Telephone Company’: Why the Nation-State Is Not the Keeper of the Common Good,” </w:t>
      </w:r>
      <w:r>
        <w:rPr>
          <w:i/>
        </w:rPr>
        <w:t>Modern Theology</w:t>
      </w:r>
      <w:r>
        <w:t xml:space="preserve"> 20, no. 2 (2004): 243-74.</w:t>
      </w:r>
    </w:p>
  </w:footnote>
  <w:footnote w:id="2">
    <w:p w:rsidR="00975EF3" w:rsidRPr="008A1F55" w:rsidRDefault="00975EF3" w:rsidP="008A1F55">
      <w:pPr>
        <w:pStyle w:val="FootnoteText"/>
        <w:ind w:firstLine="720"/>
      </w:pPr>
      <w:r>
        <w:rPr>
          <w:rStyle w:val="FootnoteReference"/>
        </w:rPr>
        <w:footnoteRef/>
      </w:r>
      <w:r>
        <w:t xml:space="preserve"> Charles Taylor, </w:t>
      </w:r>
      <w:r>
        <w:rPr>
          <w:i/>
        </w:rPr>
        <w:t>A Secular Age</w:t>
      </w:r>
      <w:r>
        <w:t xml:space="preserve"> (Cambridge, MA: Belknap Press, 2007), 21.</w:t>
      </w:r>
    </w:p>
  </w:footnote>
  <w:footnote w:id="3">
    <w:p w:rsidR="00975EF3" w:rsidRPr="008A259E" w:rsidRDefault="00975EF3" w:rsidP="008A259E">
      <w:pPr>
        <w:pStyle w:val="FootnoteText"/>
        <w:ind w:firstLine="720"/>
      </w:pPr>
      <w:r>
        <w:rPr>
          <w:rStyle w:val="FootnoteReference"/>
        </w:rPr>
        <w:footnoteRef/>
      </w:r>
      <w:r>
        <w:t xml:space="preserve"> See, for example, </w:t>
      </w:r>
      <w:proofErr w:type="spellStart"/>
      <w:r>
        <w:t>Reinhard</w:t>
      </w:r>
      <w:proofErr w:type="spellEnd"/>
      <w:r>
        <w:t xml:space="preserve"> Bendix, </w:t>
      </w:r>
      <w:r>
        <w:rPr>
          <w:i/>
        </w:rPr>
        <w:t xml:space="preserve">Kings or People: Power and the Mandate to Rule </w:t>
      </w:r>
      <w:r>
        <w:t xml:space="preserve">(Berkeley: University of California Press, 1978); Daniel </w:t>
      </w:r>
      <w:proofErr w:type="spellStart"/>
      <w:r>
        <w:t>Engster</w:t>
      </w:r>
      <w:proofErr w:type="spellEnd"/>
      <w:r>
        <w:t xml:space="preserve">, </w:t>
      </w:r>
      <w:r>
        <w:rPr>
          <w:i/>
        </w:rPr>
        <w:t>Divine Sovereignty: The Origins of Modern State Power</w:t>
      </w:r>
      <w:r>
        <w:t xml:space="preserve"> (DeKalb: Northern Illinois University Press, 2001).</w:t>
      </w:r>
    </w:p>
  </w:footnote>
  <w:footnote w:id="4">
    <w:p w:rsidR="00975EF3" w:rsidRPr="00D451E6" w:rsidRDefault="00975EF3" w:rsidP="00442C06">
      <w:pPr>
        <w:pStyle w:val="FootnoteText"/>
        <w:ind w:firstLine="720"/>
      </w:pPr>
      <w:r>
        <w:rPr>
          <w:rStyle w:val="FootnoteReference"/>
        </w:rPr>
        <w:footnoteRef/>
      </w:r>
      <w:r>
        <w:t xml:space="preserve"> Nicholas Abercrombie, Stephen Hill, and Bryan S. Turner, </w:t>
      </w:r>
      <w:proofErr w:type="gramStart"/>
      <w:r>
        <w:rPr>
          <w:i/>
        </w:rPr>
        <w:t>The</w:t>
      </w:r>
      <w:proofErr w:type="gramEnd"/>
      <w:r>
        <w:rPr>
          <w:i/>
        </w:rPr>
        <w:t xml:space="preserve"> Dominant Ideology Thesis</w:t>
      </w:r>
      <w:r>
        <w:t xml:space="preserve"> (London: Routledge, 1980); Eric R. Wolf, </w:t>
      </w:r>
      <w:r>
        <w:rPr>
          <w:i/>
        </w:rPr>
        <w:t>Envisioning Power: Ideologies of Dominance and Crisis</w:t>
      </w:r>
      <w:r>
        <w:t xml:space="preserve"> (Berkeley:  University of California Press, 1999)</w:t>
      </w:r>
      <w:r w:rsidR="009C6F95">
        <w:t>.</w:t>
      </w:r>
    </w:p>
  </w:footnote>
  <w:footnote w:id="5">
    <w:p w:rsidR="00975EF3" w:rsidRPr="00D451E6" w:rsidRDefault="00975EF3" w:rsidP="00442C06">
      <w:pPr>
        <w:pStyle w:val="FootnoteText"/>
        <w:ind w:firstLine="720"/>
      </w:pPr>
      <w:r>
        <w:rPr>
          <w:rStyle w:val="FootnoteReference"/>
        </w:rPr>
        <w:footnoteRef/>
      </w:r>
      <w:r>
        <w:t xml:space="preserve"> Victor V. </w:t>
      </w:r>
      <w:proofErr w:type="spellStart"/>
      <w:r>
        <w:t>Magagna</w:t>
      </w:r>
      <w:proofErr w:type="spellEnd"/>
      <w:r>
        <w:t xml:space="preserve">, </w:t>
      </w:r>
      <w:r>
        <w:rPr>
          <w:i/>
        </w:rPr>
        <w:t>Communities of Grain: Rural Rebellion in Comparative Perspective</w:t>
      </w:r>
      <w:r>
        <w:t xml:space="preserve"> (Ithaca, NY:  Cornell University Press, 1991), 25-47; Mark Harrison, “Coercion, Compliance, and the Collapse of the Soviet Command Economy,” </w:t>
      </w:r>
      <w:r>
        <w:rPr>
          <w:i/>
        </w:rPr>
        <w:t>The Economic History Review</w:t>
      </w:r>
      <w:r>
        <w:t xml:space="preserve"> 55, no. 3 (2002): 397-433.</w:t>
      </w:r>
    </w:p>
  </w:footnote>
  <w:footnote w:id="6">
    <w:p w:rsidR="00975EF3" w:rsidRPr="00941207" w:rsidRDefault="00975EF3" w:rsidP="0060208A">
      <w:pPr>
        <w:pStyle w:val="FootnoteText"/>
        <w:ind w:firstLine="720"/>
      </w:pPr>
      <w:r w:rsidRPr="00941207">
        <w:rPr>
          <w:rStyle w:val="FootnoteReference"/>
        </w:rPr>
        <w:footnoteRef/>
      </w:r>
      <w:r>
        <w:t xml:space="preserve"> Stephen </w:t>
      </w:r>
      <w:proofErr w:type="spellStart"/>
      <w:r>
        <w:t>Toulmin</w:t>
      </w:r>
      <w:proofErr w:type="spellEnd"/>
      <w:r w:rsidRPr="00941207">
        <w:t xml:space="preserve">, </w:t>
      </w:r>
      <w:proofErr w:type="spellStart"/>
      <w:r w:rsidRPr="00941207">
        <w:rPr>
          <w:i/>
        </w:rPr>
        <w:t>Cosmopolis</w:t>
      </w:r>
      <w:proofErr w:type="spellEnd"/>
      <w:r w:rsidRPr="00941207">
        <w:rPr>
          <w:i/>
        </w:rPr>
        <w:t>: The Hidden Agenda of Modernity</w:t>
      </w:r>
      <w:r w:rsidRPr="00941207">
        <w:t xml:space="preserve"> (Chicago: University of Chicago Press</w:t>
      </w:r>
      <w:r>
        <w:t>, 1990),</w:t>
      </w:r>
      <w:r w:rsidRPr="00941207">
        <w:t xml:space="preserve"> 69-87</w:t>
      </w:r>
      <w:r>
        <w:t>.</w:t>
      </w:r>
    </w:p>
  </w:footnote>
  <w:footnote w:id="7">
    <w:p w:rsidR="00975EF3" w:rsidRPr="00941207" w:rsidRDefault="00975EF3" w:rsidP="0060208A">
      <w:pPr>
        <w:pStyle w:val="FootnoteText"/>
        <w:ind w:firstLine="720"/>
      </w:pPr>
      <w:r w:rsidRPr="00941207">
        <w:rPr>
          <w:rStyle w:val="FootnoteReference"/>
        </w:rPr>
        <w:footnoteRef/>
      </w:r>
      <w:r w:rsidRPr="00941207">
        <w:t xml:space="preserve"> Grotius directly addressed theological issues in two works, </w:t>
      </w:r>
      <w:proofErr w:type="spellStart"/>
      <w:r w:rsidRPr="00941207">
        <w:rPr>
          <w:i/>
        </w:rPr>
        <w:t>Defensio</w:t>
      </w:r>
      <w:proofErr w:type="spellEnd"/>
      <w:r w:rsidRPr="00941207">
        <w:rPr>
          <w:i/>
        </w:rPr>
        <w:t xml:space="preserve"> </w:t>
      </w:r>
      <w:proofErr w:type="spellStart"/>
      <w:r w:rsidRPr="00941207">
        <w:rPr>
          <w:i/>
        </w:rPr>
        <w:t>fidei</w:t>
      </w:r>
      <w:proofErr w:type="spellEnd"/>
      <w:r w:rsidRPr="00941207">
        <w:rPr>
          <w:i/>
        </w:rPr>
        <w:t xml:space="preserve"> </w:t>
      </w:r>
      <w:proofErr w:type="spellStart"/>
      <w:r w:rsidRPr="00941207">
        <w:rPr>
          <w:i/>
        </w:rPr>
        <w:t>Catholicae</w:t>
      </w:r>
      <w:proofErr w:type="spellEnd"/>
      <w:r w:rsidRPr="00941207">
        <w:rPr>
          <w:i/>
        </w:rPr>
        <w:t xml:space="preserve"> de </w:t>
      </w:r>
      <w:proofErr w:type="spellStart"/>
      <w:r w:rsidRPr="00941207">
        <w:rPr>
          <w:i/>
        </w:rPr>
        <w:t>Satisfactione</w:t>
      </w:r>
      <w:proofErr w:type="spellEnd"/>
      <w:r w:rsidRPr="00941207">
        <w:rPr>
          <w:i/>
        </w:rPr>
        <w:t xml:space="preserve"> Christi</w:t>
      </w:r>
      <w:r w:rsidRPr="00941207">
        <w:t xml:space="preserve"> and </w:t>
      </w:r>
      <w:r w:rsidRPr="00941207">
        <w:rPr>
          <w:i/>
        </w:rPr>
        <w:t xml:space="preserve">De </w:t>
      </w:r>
      <w:proofErr w:type="spellStart"/>
      <w:r w:rsidRPr="00941207">
        <w:rPr>
          <w:i/>
        </w:rPr>
        <w:t>imperio</w:t>
      </w:r>
      <w:proofErr w:type="spellEnd"/>
      <w:r w:rsidRPr="00941207">
        <w:rPr>
          <w:i/>
        </w:rPr>
        <w:t xml:space="preserve"> </w:t>
      </w:r>
      <w:proofErr w:type="spellStart"/>
      <w:r w:rsidRPr="00941207">
        <w:rPr>
          <w:i/>
        </w:rPr>
        <w:t>summarum</w:t>
      </w:r>
      <w:proofErr w:type="spellEnd"/>
      <w:r w:rsidRPr="00941207">
        <w:rPr>
          <w:i/>
        </w:rPr>
        <w:t xml:space="preserve"> </w:t>
      </w:r>
      <w:proofErr w:type="spellStart"/>
      <w:r w:rsidRPr="00941207">
        <w:rPr>
          <w:i/>
        </w:rPr>
        <w:t>potestatum</w:t>
      </w:r>
      <w:proofErr w:type="spellEnd"/>
      <w:r w:rsidRPr="00941207">
        <w:rPr>
          <w:i/>
        </w:rPr>
        <w:t xml:space="preserve"> circa sacra</w:t>
      </w:r>
      <w:r w:rsidRPr="00941207">
        <w:t>, both written in 1617 in the midst of the Arminian controversy, though only the former was published a</w:t>
      </w:r>
      <w:r>
        <w:t>t that time, Richard Tuck</w:t>
      </w:r>
      <w:r w:rsidRPr="00941207">
        <w:t xml:space="preserve">, “Grotius and Selden,” in </w:t>
      </w:r>
      <w:r w:rsidRPr="00941207">
        <w:rPr>
          <w:i/>
        </w:rPr>
        <w:t>Cambridge History of Political Thought, 1450-1750</w:t>
      </w:r>
      <w:r>
        <w:t>, ed. J. H. Burns</w:t>
      </w:r>
      <w:r w:rsidRPr="00941207">
        <w:t xml:space="preserve"> (Cambridge: Cambridge University Press</w:t>
      </w:r>
      <w:r>
        <w:t>, 1991),</w:t>
      </w:r>
      <w:r w:rsidRPr="00941207">
        <w:t xml:space="preserve"> 511-14.</w:t>
      </w:r>
    </w:p>
  </w:footnote>
  <w:footnote w:id="8">
    <w:p w:rsidR="00975EF3" w:rsidRPr="00941207" w:rsidRDefault="00975EF3" w:rsidP="0060208A">
      <w:pPr>
        <w:pStyle w:val="FootnoteText"/>
        <w:ind w:firstLine="720"/>
      </w:pPr>
      <w:r w:rsidRPr="00941207">
        <w:rPr>
          <w:rStyle w:val="FootnoteReference"/>
        </w:rPr>
        <w:footnoteRef/>
      </w:r>
      <w:r>
        <w:t xml:space="preserve"> Hugo Grotius</w:t>
      </w:r>
      <w:r w:rsidRPr="00941207">
        <w:t xml:space="preserve">, </w:t>
      </w:r>
      <w:proofErr w:type="gramStart"/>
      <w:r w:rsidRPr="00941207">
        <w:rPr>
          <w:i/>
        </w:rPr>
        <w:t>The</w:t>
      </w:r>
      <w:proofErr w:type="gramEnd"/>
      <w:r w:rsidRPr="00941207">
        <w:rPr>
          <w:i/>
        </w:rPr>
        <w:t xml:space="preserve"> Rights of War and Peace</w:t>
      </w:r>
      <w:r w:rsidRPr="00941207">
        <w:t xml:space="preserve">, </w:t>
      </w:r>
      <w:r>
        <w:t xml:space="preserve">ed. </w:t>
      </w:r>
      <w:r w:rsidRPr="00941207">
        <w:t>Richard</w:t>
      </w:r>
      <w:r>
        <w:t xml:space="preserve"> Tuck</w:t>
      </w:r>
      <w:r w:rsidRPr="00941207">
        <w:t xml:space="preserve"> (</w:t>
      </w:r>
      <w:r>
        <w:t xml:space="preserve">Indianapolis, IN: </w:t>
      </w:r>
      <w:r w:rsidRPr="00941207">
        <w:t>Liberty Fund</w:t>
      </w:r>
      <w:r>
        <w:t>, 2005 [1625]</w:t>
      </w:r>
      <w:r w:rsidRPr="00941207">
        <w:t xml:space="preserve">).  The famous line of Grotius’s “Prolegomena” is known as the </w:t>
      </w:r>
      <w:proofErr w:type="spellStart"/>
      <w:r w:rsidRPr="00941207">
        <w:rPr>
          <w:i/>
        </w:rPr>
        <w:t>etiamsi</w:t>
      </w:r>
      <w:proofErr w:type="spellEnd"/>
      <w:r w:rsidRPr="00941207">
        <w:rPr>
          <w:i/>
        </w:rPr>
        <w:t xml:space="preserve"> </w:t>
      </w:r>
      <w:proofErr w:type="spellStart"/>
      <w:r w:rsidRPr="00941207">
        <w:rPr>
          <w:i/>
        </w:rPr>
        <w:t>daremus</w:t>
      </w:r>
      <w:proofErr w:type="spellEnd"/>
      <w:r w:rsidRPr="00941207">
        <w:t xml:space="preserve"> sentence, which translated means “even if we should concede…”, here meaning </w:t>
      </w:r>
      <w:r w:rsidRPr="00941207">
        <w:rPr>
          <w:i/>
        </w:rPr>
        <w:t>even if we should concede that God did not exist</w:t>
      </w:r>
      <w:r w:rsidRPr="00941207">
        <w:t>.  It should be noted that Grotius was not the first author to present such an inherently heretical argument:  the Spanish Scholastics and the neo-Stoical movement had also considered such a question, both of which influenc</w:t>
      </w:r>
      <w:r>
        <w:t xml:space="preserve">ed Grotius, J. G. </w:t>
      </w:r>
      <w:proofErr w:type="spellStart"/>
      <w:r>
        <w:t>Schneewind</w:t>
      </w:r>
      <w:proofErr w:type="spellEnd"/>
      <w:r w:rsidRPr="00941207">
        <w:t xml:space="preserve">, </w:t>
      </w:r>
      <w:r w:rsidRPr="00941207">
        <w:rPr>
          <w:i/>
        </w:rPr>
        <w:t>The Invention of Autonomy</w:t>
      </w:r>
      <w:r w:rsidRPr="00941207">
        <w:t xml:space="preserve"> (Cambridge: Cambridge University Press</w:t>
      </w:r>
      <w:r>
        <w:t>, 1998),</w:t>
      </w:r>
      <w:r w:rsidRPr="00941207">
        <w:t xml:space="preserve"> 68.</w:t>
      </w:r>
    </w:p>
  </w:footnote>
  <w:footnote w:id="9">
    <w:p w:rsidR="00975EF3" w:rsidRPr="00941207" w:rsidRDefault="00975EF3" w:rsidP="0060208A">
      <w:pPr>
        <w:pStyle w:val="FootnoteText"/>
        <w:ind w:firstLine="720"/>
      </w:pPr>
      <w:r w:rsidRPr="00941207">
        <w:rPr>
          <w:rStyle w:val="FootnoteReference"/>
        </w:rPr>
        <w:footnoteRef/>
      </w:r>
      <w:r>
        <w:t xml:space="preserve"> Richard Tuck,</w:t>
      </w:r>
      <w:r w:rsidRPr="00941207">
        <w:t xml:space="preserve"> </w:t>
      </w:r>
      <w:r w:rsidRPr="00941207">
        <w:rPr>
          <w:i/>
        </w:rPr>
        <w:t>Natural Rights Theories</w:t>
      </w:r>
      <w:r w:rsidRPr="00941207">
        <w:t xml:space="preserve"> (Cambridge: Cambridge University Press</w:t>
      </w:r>
      <w:r>
        <w:t>, 1979),</w:t>
      </w:r>
      <w:r w:rsidRPr="00941207">
        <w:t xml:space="preserve"> 76-77</w:t>
      </w:r>
      <w:r>
        <w:t xml:space="preserve">. </w:t>
      </w:r>
    </w:p>
  </w:footnote>
  <w:footnote w:id="10">
    <w:p w:rsidR="00975EF3" w:rsidRDefault="00975EF3" w:rsidP="00AC72EE">
      <w:pPr>
        <w:pStyle w:val="FootnoteText"/>
        <w:ind w:firstLine="720"/>
      </w:pPr>
      <w:r>
        <w:rPr>
          <w:rStyle w:val="FootnoteReference"/>
        </w:rPr>
        <w:footnoteRef/>
      </w:r>
      <w:r>
        <w:t xml:space="preserve"> Michel Foucault, </w:t>
      </w:r>
      <w:r>
        <w:rPr>
          <w:i/>
        </w:rPr>
        <w:t>Security, Territory, Population: Lectures at the College de France, 1977-1978</w:t>
      </w:r>
      <w:r>
        <w:t xml:space="preserve">, Graham </w:t>
      </w:r>
      <w:proofErr w:type="spellStart"/>
      <w:r>
        <w:t>Burchell</w:t>
      </w:r>
      <w:proofErr w:type="spellEnd"/>
      <w:r>
        <w:t>, trans. (New York, NY: Palgrave Macmillan, 2007), 236.</w:t>
      </w:r>
    </w:p>
  </w:footnote>
  <w:footnote w:id="11">
    <w:p w:rsidR="00975EF3" w:rsidRPr="00941207" w:rsidRDefault="00975EF3" w:rsidP="0060208A">
      <w:pPr>
        <w:pStyle w:val="FootnoteText"/>
        <w:ind w:firstLine="720"/>
      </w:pPr>
      <w:r w:rsidRPr="00941207">
        <w:rPr>
          <w:rStyle w:val="FootnoteReference"/>
        </w:rPr>
        <w:footnoteRef/>
      </w:r>
      <w:r>
        <w:t xml:space="preserve"> Thomas Hobbes</w:t>
      </w:r>
      <w:r w:rsidRPr="00941207">
        <w:t xml:space="preserve">, </w:t>
      </w:r>
      <w:r w:rsidRPr="00941207">
        <w:rPr>
          <w:i/>
        </w:rPr>
        <w:t>Leviathan</w:t>
      </w:r>
      <w:r>
        <w:t xml:space="preserve"> (Indianapolis, IN: Liberal Arts Press, 1958 [1651]),</w:t>
      </w:r>
      <w:r w:rsidRPr="00941207">
        <w:t xml:space="preserve"> </w:t>
      </w:r>
      <w:proofErr w:type="spellStart"/>
      <w:r w:rsidRPr="00941207">
        <w:t>ch.</w:t>
      </w:r>
      <w:proofErr w:type="spellEnd"/>
      <w:r w:rsidRPr="00941207">
        <w:t xml:space="preserve"> XIII.</w:t>
      </w:r>
    </w:p>
  </w:footnote>
  <w:footnote w:id="12">
    <w:p w:rsidR="00975EF3" w:rsidRPr="00941207" w:rsidRDefault="00975EF3" w:rsidP="00A05165">
      <w:pPr>
        <w:pStyle w:val="FootnoteText"/>
        <w:ind w:firstLine="720"/>
      </w:pPr>
      <w:r w:rsidRPr="00941207">
        <w:rPr>
          <w:rStyle w:val="FootnoteReference"/>
        </w:rPr>
        <w:footnoteRef/>
      </w:r>
      <w:r>
        <w:t xml:space="preserve"> </w:t>
      </w:r>
      <w:proofErr w:type="spellStart"/>
      <w:r>
        <w:t>Knud</w:t>
      </w:r>
      <w:proofErr w:type="spellEnd"/>
      <w:r>
        <w:t xml:space="preserve"> </w:t>
      </w:r>
      <w:proofErr w:type="spellStart"/>
      <w:r>
        <w:t>Haakonssen</w:t>
      </w:r>
      <w:proofErr w:type="spellEnd"/>
      <w:r w:rsidRPr="00941207">
        <w:t xml:space="preserve">, “Divine/Natural Law Theories in Ethics,” in </w:t>
      </w:r>
      <w:r w:rsidRPr="00941207">
        <w:rPr>
          <w:i/>
        </w:rPr>
        <w:t>Cambridge History of Seventeenth-Century Philosophy, vol. II</w:t>
      </w:r>
      <w:r w:rsidRPr="00941207">
        <w:t xml:space="preserve">, </w:t>
      </w:r>
      <w:r>
        <w:t xml:space="preserve">ed. </w:t>
      </w:r>
      <w:r w:rsidRPr="00941207">
        <w:t>Daniel Garber and Michael</w:t>
      </w:r>
      <w:r>
        <w:t xml:space="preserve"> Ayers</w:t>
      </w:r>
      <w:r w:rsidRPr="00941207">
        <w:t xml:space="preserve"> (Cambridge:  Cambridge University Press</w:t>
      </w:r>
      <w:r>
        <w:t>, 1998),</w:t>
      </w:r>
      <w:r w:rsidRPr="00941207">
        <w:t xml:space="preserve"> 1330.</w:t>
      </w:r>
    </w:p>
  </w:footnote>
  <w:footnote w:id="13">
    <w:p w:rsidR="00975EF3" w:rsidRPr="00941207" w:rsidRDefault="00975EF3" w:rsidP="0060208A">
      <w:pPr>
        <w:pStyle w:val="FootnoteText"/>
        <w:ind w:firstLine="720"/>
        <w:rPr>
          <w:i/>
        </w:rPr>
      </w:pPr>
      <w:r w:rsidRPr="00941207">
        <w:rPr>
          <w:rStyle w:val="FootnoteReference"/>
        </w:rPr>
        <w:footnoteRef/>
      </w:r>
      <w:r>
        <w:t xml:space="preserve"> Hobbes, </w:t>
      </w:r>
      <w:r>
        <w:rPr>
          <w:i/>
        </w:rPr>
        <w:t>Leviathan,</w:t>
      </w:r>
      <w:r w:rsidRPr="00941207">
        <w:t xml:space="preserve"> </w:t>
      </w:r>
      <w:proofErr w:type="spellStart"/>
      <w:r w:rsidRPr="00941207">
        <w:t>ch.</w:t>
      </w:r>
      <w:proofErr w:type="spellEnd"/>
      <w:r w:rsidRPr="00941207">
        <w:t xml:space="preserve"> XVII.</w:t>
      </w:r>
    </w:p>
  </w:footnote>
  <w:footnote w:id="14">
    <w:p w:rsidR="00975EF3" w:rsidRPr="00941207" w:rsidRDefault="00975EF3" w:rsidP="0060208A">
      <w:pPr>
        <w:pStyle w:val="FootnoteText"/>
        <w:ind w:firstLine="720"/>
      </w:pPr>
      <w:r w:rsidRPr="00941207">
        <w:rPr>
          <w:rStyle w:val="FootnoteReference"/>
        </w:rPr>
        <w:footnoteRef/>
      </w:r>
      <w:r>
        <w:t xml:space="preserve"> Hobbes, </w:t>
      </w:r>
      <w:r>
        <w:rPr>
          <w:i/>
        </w:rPr>
        <w:t>Leviathan,</w:t>
      </w:r>
      <w:r w:rsidRPr="00941207">
        <w:t xml:space="preserve"> </w:t>
      </w:r>
      <w:proofErr w:type="spellStart"/>
      <w:r w:rsidRPr="00941207">
        <w:t>ch.</w:t>
      </w:r>
      <w:proofErr w:type="spellEnd"/>
      <w:r w:rsidRPr="00941207">
        <w:t xml:space="preserve"> XIV.</w:t>
      </w:r>
    </w:p>
  </w:footnote>
  <w:footnote w:id="15">
    <w:p w:rsidR="00975EF3" w:rsidRDefault="00975EF3" w:rsidP="001E19A6">
      <w:pPr>
        <w:pStyle w:val="FootnoteText"/>
        <w:ind w:firstLine="720"/>
      </w:pPr>
      <w:r>
        <w:rPr>
          <w:rStyle w:val="FootnoteReference"/>
        </w:rPr>
        <w:footnoteRef/>
      </w:r>
      <w:r>
        <w:t xml:space="preserve"> Hobbes, </w:t>
      </w:r>
      <w:r>
        <w:rPr>
          <w:i/>
        </w:rPr>
        <w:t>Leviathan,</w:t>
      </w:r>
      <w:r w:rsidRPr="00941207">
        <w:t xml:space="preserve"> </w:t>
      </w:r>
      <w:proofErr w:type="spellStart"/>
      <w:r w:rsidRPr="00941207">
        <w:t>ch.</w:t>
      </w:r>
      <w:proofErr w:type="spellEnd"/>
      <w:r w:rsidRPr="00941207">
        <w:t xml:space="preserve"> XVII</w:t>
      </w:r>
      <w:r>
        <w:t>.</w:t>
      </w:r>
    </w:p>
  </w:footnote>
  <w:footnote w:id="16">
    <w:p w:rsidR="00975EF3" w:rsidRPr="00941207" w:rsidRDefault="00975EF3" w:rsidP="0060208A">
      <w:pPr>
        <w:pStyle w:val="FootnoteText"/>
        <w:ind w:firstLine="720"/>
      </w:pPr>
      <w:r w:rsidRPr="00941207">
        <w:rPr>
          <w:rStyle w:val="FootnoteReference"/>
        </w:rPr>
        <w:footnoteRef/>
      </w:r>
      <w:r w:rsidRPr="00941207">
        <w:t xml:space="preserve"> It is for this same reason that </w:t>
      </w:r>
      <w:r>
        <w:t>the Natural Law theories of Grotius and Hobbes</w:t>
      </w:r>
      <w:r w:rsidRPr="00941207">
        <w:t xml:space="preserve"> succeeded at the international level, at least am</w:t>
      </w:r>
      <w:r>
        <w:t>ong European political units: e</w:t>
      </w:r>
      <w:r w:rsidRPr="00941207">
        <w:t xml:space="preserve">ach </w:t>
      </w:r>
      <w:r>
        <w:t xml:space="preserve">European </w:t>
      </w:r>
      <w:r w:rsidRPr="00941207">
        <w:t>po</w:t>
      </w:r>
      <w:r>
        <w:t xml:space="preserve">litical unit </w:t>
      </w:r>
      <w:r w:rsidRPr="00941207">
        <w:t>possess</w:t>
      </w:r>
      <w:r>
        <w:t>ed</w:t>
      </w:r>
      <w:r w:rsidRPr="00941207">
        <w:t xml:space="preserve"> individual rights against the ot</w:t>
      </w:r>
      <w:r>
        <w:t>hers in an anarchic world, but p</w:t>
      </w:r>
      <w:r w:rsidRPr="00941207">
        <w:t>olitical units ou</w:t>
      </w:r>
      <w:r>
        <w:t>tside of Europe did not</w:t>
      </w:r>
      <w:r w:rsidRPr="00941207">
        <w:t xml:space="preserve"> possess the same rights as European political units because they were n</w:t>
      </w:r>
      <w:r>
        <w:t>ot rational, Edward Keene</w:t>
      </w:r>
      <w:r w:rsidRPr="00941207">
        <w:t xml:space="preserve">, </w:t>
      </w:r>
      <w:r w:rsidRPr="00941207">
        <w:rPr>
          <w:i/>
        </w:rPr>
        <w:t>Beyond the Anarchical Society: Grotius, Colonialism and Order in World Politics</w:t>
      </w:r>
      <w:r w:rsidRPr="00941207">
        <w:t xml:space="preserve"> (Cambridge: Cambridge University Press</w:t>
      </w:r>
      <w:r>
        <w:t xml:space="preserve">, 2002); Pat </w:t>
      </w:r>
      <w:proofErr w:type="spellStart"/>
      <w:r>
        <w:t>Moloney</w:t>
      </w:r>
      <w:proofErr w:type="spellEnd"/>
      <w:r w:rsidRPr="00941207">
        <w:t xml:space="preserve">, “Hobbes, Savagery, and International Anarchy,” </w:t>
      </w:r>
      <w:r w:rsidRPr="00941207">
        <w:rPr>
          <w:i/>
        </w:rPr>
        <w:t>American Political Science Review</w:t>
      </w:r>
      <w:r>
        <w:t xml:space="preserve"> 105, no. 1 (2011)</w:t>
      </w:r>
      <w:r w:rsidRPr="00941207">
        <w:t>: 189-204.</w:t>
      </w:r>
    </w:p>
  </w:footnote>
  <w:footnote w:id="17">
    <w:p w:rsidR="0058681D" w:rsidRPr="0058681D" w:rsidRDefault="0058681D" w:rsidP="009C6F95">
      <w:pPr>
        <w:pStyle w:val="FootnoteText"/>
        <w:ind w:firstLine="720"/>
      </w:pPr>
      <w:r>
        <w:rPr>
          <w:rStyle w:val="FootnoteReference"/>
        </w:rPr>
        <w:footnoteRef/>
      </w:r>
      <w:r>
        <w:t xml:space="preserve"> See, for example, David William Bates, </w:t>
      </w:r>
      <w:r>
        <w:rPr>
          <w:i/>
        </w:rPr>
        <w:t>States of War: Enlightenment Origins of the Political</w:t>
      </w:r>
      <w:r>
        <w:t xml:space="preserve"> (</w:t>
      </w:r>
      <w:r w:rsidR="009C6F95">
        <w:t>New York, NY: Columbia University Press, 2011).</w:t>
      </w:r>
    </w:p>
  </w:footnote>
  <w:footnote w:id="18">
    <w:p w:rsidR="00975EF3" w:rsidRPr="00CC2941" w:rsidRDefault="00975EF3" w:rsidP="00CC2941">
      <w:pPr>
        <w:pStyle w:val="FootnoteText"/>
        <w:ind w:firstLine="720"/>
      </w:pPr>
      <w:r>
        <w:rPr>
          <w:rStyle w:val="FootnoteReference"/>
        </w:rPr>
        <w:footnoteRef/>
      </w:r>
      <w:r>
        <w:t xml:space="preserve"> See, for example, Helmut Lehmann, “The Germans as a Chosen People: Old Testament Themes in German Nationalism,” </w:t>
      </w:r>
      <w:r>
        <w:rPr>
          <w:i/>
        </w:rPr>
        <w:t>German Studies Review</w:t>
      </w:r>
      <w:r>
        <w:t xml:space="preserve"> 14, no. 2 (1991): 261-73; Dale Van </w:t>
      </w:r>
      <w:proofErr w:type="spellStart"/>
      <w:r>
        <w:t>Kley</w:t>
      </w:r>
      <w:proofErr w:type="spellEnd"/>
      <w:r>
        <w:t xml:space="preserve">, “Protestantism, Catholicism, and the Religious Origin of the French and American Revolutions,” </w:t>
      </w:r>
      <w:r>
        <w:rPr>
          <w:i/>
        </w:rPr>
        <w:t xml:space="preserve">Fides et </w:t>
      </w:r>
      <w:proofErr w:type="spellStart"/>
      <w:r>
        <w:rPr>
          <w:i/>
        </w:rPr>
        <w:t>Historia</w:t>
      </w:r>
      <w:proofErr w:type="spellEnd"/>
      <w:r>
        <w:t xml:space="preserve"> 23, no. 1 (1991): 53-68; Bo </w:t>
      </w:r>
      <w:proofErr w:type="spellStart"/>
      <w:r>
        <w:t>Andersson</w:t>
      </w:r>
      <w:proofErr w:type="spellEnd"/>
      <w:r>
        <w:t xml:space="preserve">, “Sweden, the Elect Nation,” </w:t>
      </w:r>
      <w:r>
        <w:rPr>
          <w:i/>
        </w:rPr>
        <w:t>Lutheran Quarterly</w:t>
      </w:r>
      <w:r>
        <w:t xml:space="preserve"> 13, no. 3 (1999): 305-14</w:t>
      </w:r>
      <w:r w:rsidR="009C6F95">
        <w:t>.</w:t>
      </w:r>
    </w:p>
  </w:footnote>
  <w:footnote w:id="19">
    <w:p w:rsidR="00975EF3" w:rsidRPr="00EA69B2" w:rsidRDefault="00975EF3" w:rsidP="00EA69B2">
      <w:pPr>
        <w:pStyle w:val="FootnoteText"/>
        <w:ind w:firstLine="720"/>
      </w:pPr>
      <w:r>
        <w:rPr>
          <w:rStyle w:val="FootnoteReference"/>
        </w:rPr>
        <w:footnoteRef/>
      </w:r>
      <w:r>
        <w:t xml:space="preserve"> Lois G. </w:t>
      </w:r>
      <w:proofErr w:type="spellStart"/>
      <w:r>
        <w:t>Schwoerer</w:t>
      </w:r>
      <w:proofErr w:type="spellEnd"/>
      <w:r>
        <w:t xml:space="preserve">, “Locke, </w:t>
      </w:r>
      <w:proofErr w:type="spellStart"/>
      <w:r>
        <w:t>Lockean</w:t>
      </w:r>
      <w:proofErr w:type="spellEnd"/>
      <w:r>
        <w:t xml:space="preserve"> Ideas, and the Glorious Revolution,” </w:t>
      </w:r>
      <w:r>
        <w:rPr>
          <w:i/>
        </w:rPr>
        <w:t>Journal of the History of Ideas</w:t>
      </w:r>
      <w:r>
        <w:t xml:space="preserve"> 51, no. 4 (1990): 531-48.</w:t>
      </w:r>
    </w:p>
  </w:footnote>
  <w:footnote w:id="20">
    <w:p w:rsidR="00975EF3" w:rsidRPr="00DD4CDE" w:rsidRDefault="00975EF3" w:rsidP="00DD4CDE">
      <w:pPr>
        <w:pStyle w:val="FootnoteText"/>
        <w:ind w:firstLine="720"/>
      </w:pPr>
      <w:r>
        <w:rPr>
          <w:rStyle w:val="FootnoteReference"/>
        </w:rPr>
        <w:footnoteRef/>
      </w:r>
      <w:r>
        <w:t xml:space="preserve"> What made the contract language of Locke and other English Whigs so important was that it gave the </w:t>
      </w:r>
      <w:r>
        <w:rPr>
          <w:i/>
        </w:rPr>
        <w:t>People</w:t>
      </w:r>
      <w:r>
        <w:t xml:space="preserve"> the right to decide when a contract was violated.  Thus, the events of the Glorious Revolution of 1688 could be considered the choice of the People, James Farr and Clayton Roberts, “John Locke on the Glorious Revolution: A Rediscovered Document,” </w:t>
      </w:r>
      <w:r>
        <w:rPr>
          <w:i/>
        </w:rPr>
        <w:t>Historical Journal</w:t>
      </w:r>
      <w:r>
        <w:t xml:space="preserve"> 28, no. 2 (1985): 385-98.  Locke’s “radical” position was contrasted with the position of moderates and conservatives who argued that there was no “revolution” at all: either William legally conquered England (William’s choice) or James II deserted his throne (James’s choice), Tim Harris, “The People, the Law, and the Constitution in Scotland and England: A Comparative Approach to the Glorious Revolution,” </w:t>
      </w:r>
      <w:r>
        <w:rPr>
          <w:i/>
        </w:rPr>
        <w:t>Journal of British Studies</w:t>
      </w:r>
      <w:r>
        <w:t xml:space="preserve"> 38, no. 1 (1999): 28-58.</w:t>
      </w:r>
    </w:p>
  </w:footnote>
  <w:footnote w:id="21">
    <w:p w:rsidR="00975EF3" w:rsidRPr="003D7C89" w:rsidRDefault="00975EF3" w:rsidP="003D7C89">
      <w:pPr>
        <w:pStyle w:val="FootnoteText"/>
        <w:ind w:firstLine="720"/>
      </w:pPr>
      <w:r>
        <w:rPr>
          <w:rStyle w:val="FootnoteReference"/>
        </w:rPr>
        <w:footnoteRef/>
      </w:r>
      <w:r>
        <w:t xml:space="preserve"> </w:t>
      </w:r>
      <w:proofErr w:type="gramStart"/>
      <w:r>
        <w:t xml:space="preserve">John Locke, </w:t>
      </w:r>
      <w:r>
        <w:rPr>
          <w:i/>
        </w:rPr>
        <w:t>The Second Treatise on Civil Government</w:t>
      </w:r>
      <w:r>
        <w:t xml:space="preserve"> (Buffalo, NY: Prometheus Books, 1986 [1680]), sects.</w:t>
      </w:r>
      <w:proofErr w:type="gramEnd"/>
      <w:r>
        <w:t xml:space="preserve"> </w:t>
      </w:r>
      <w:proofErr w:type="gramStart"/>
      <w:r>
        <w:t>222, 227.</w:t>
      </w:r>
      <w:proofErr w:type="gramEnd"/>
    </w:p>
  </w:footnote>
  <w:footnote w:id="22">
    <w:p w:rsidR="00975EF3" w:rsidRPr="00B76559" w:rsidRDefault="00975EF3" w:rsidP="003431F5">
      <w:pPr>
        <w:pStyle w:val="FootnoteText"/>
        <w:ind w:firstLine="720"/>
      </w:pPr>
      <w:r>
        <w:rPr>
          <w:rStyle w:val="FootnoteReference"/>
        </w:rPr>
        <w:footnoteRef/>
      </w:r>
      <w:r>
        <w:t xml:space="preserve"> See, for example, George </w:t>
      </w:r>
      <w:proofErr w:type="spellStart"/>
      <w:r>
        <w:t>Kateb</w:t>
      </w:r>
      <w:proofErr w:type="spellEnd"/>
      <w:r>
        <w:t xml:space="preserve">, “Locke and the Political Origins of Secularism,” </w:t>
      </w:r>
      <w:r>
        <w:rPr>
          <w:i/>
        </w:rPr>
        <w:t>Social Research</w:t>
      </w:r>
      <w:r>
        <w:t xml:space="preserve"> 76, no. 4 (2009): 1001-34.</w:t>
      </w:r>
    </w:p>
  </w:footnote>
  <w:footnote w:id="23">
    <w:p w:rsidR="00975EF3" w:rsidRDefault="00975EF3" w:rsidP="003431F5">
      <w:pPr>
        <w:pStyle w:val="FootnoteText"/>
        <w:ind w:firstLine="720"/>
      </w:pPr>
      <w:r>
        <w:rPr>
          <w:rStyle w:val="FootnoteReference"/>
        </w:rPr>
        <w:footnoteRef/>
      </w:r>
      <w:r>
        <w:t xml:space="preserve"> John Perry, </w:t>
      </w:r>
      <w:r>
        <w:rPr>
          <w:i/>
        </w:rPr>
        <w:t>The Pretenses of Loyalty: Locke, Liberal Theory, and American Political Theology</w:t>
      </w:r>
      <w:r>
        <w:t xml:space="preserve"> (Oxford: Oxford University Press, 2011); </w:t>
      </w:r>
      <w:proofErr w:type="spellStart"/>
      <w:r>
        <w:t>Jakob</w:t>
      </w:r>
      <w:proofErr w:type="spellEnd"/>
      <w:r>
        <w:t xml:space="preserve"> De </w:t>
      </w:r>
      <w:proofErr w:type="spellStart"/>
      <w:r>
        <w:t>Roover</w:t>
      </w:r>
      <w:proofErr w:type="spellEnd"/>
      <w:r>
        <w:t xml:space="preserve"> and SN </w:t>
      </w:r>
      <w:proofErr w:type="spellStart"/>
      <w:r>
        <w:t>Balagangadhara</w:t>
      </w:r>
      <w:proofErr w:type="spellEnd"/>
      <w:r>
        <w:t xml:space="preserve">, “John Locke, Christian Liberty and the Predicament of Liberal Toleration,” </w:t>
      </w:r>
      <w:r>
        <w:rPr>
          <w:i/>
        </w:rPr>
        <w:t>Political Theory</w:t>
      </w:r>
      <w:r>
        <w:t xml:space="preserve"> 36, no. 4 (2008): 523-49; Jeremy Waldron, </w:t>
      </w:r>
      <w:r>
        <w:rPr>
          <w:i/>
        </w:rPr>
        <w:t>God, Locke, and Equality: Christian Foundations in Locke’s Political Thought</w:t>
      </w:r>
      <w:r>
        <w:t xml:space="preserve"> (Cambridge: Cambridge University Press, 2002).</w:t>
      </w:r>
    </w:p>
  </w:footnote>
  <w:footnote w:id="24">
    <w:p w:rsidR="00975EF3" w:rsidRPr="00B7644E" w:rsidRDefault="00975EF3" w:rsidP="00B7644E">
      <w:pPr>
        <w:pStyle w:val="FootnoteText"/>
        <w:ind w:firstLine="720"/>
      </w:pPr>
      <w:r>
        <w:rPr>
          <w:rStyle w:val="FootnoteReference"/>
        </w:rPr>
        <w:footnoteRef/>
      </w:r>
      <w:r>
        <w:t xml:space="preserve"> John Locke, </w:t>
      </w:r>
      <w:proofErr w:type="gramStart"/>
      <w:r>
        <w:rPr>
          <w:i/>
        </w:rPr>
        <w:t>A</w:t>
      </w:r>
      <w:proofErr w:type="gramEnd"/>
      <w:r>
        <w:rPr>
          <w:i/>
        </w:rPr>
        <w:t xml:space="preserve"> Letter Concerning Toleration</w:t>
      </w:r>
      <w:r>
        <w:t xml:space="preserve"> (Chicago, IL: Encyclopedia Britannica, 1952 [1685]).</w:t>
      </w:r>
    </w:p>
  </w:footnote>
  <w:footnote w:id="25">
    <w:p w:rsidR="00975EF3" w:rsidRPr="007E0020" w:rsidRDefault="00975EF3" w:rsidP="008A6415">
      <w:pPr>
        <w:pStyle w:val="FootnoteText"/>
        <w:ind w:firstLine="720"/>
      </w:pPr>
      <w:r>
        <w:rPr>
          <w:rStyle w:val="FootnoteReference"/>
        </w:rPr>
        <w:footnoteRef/>
      </w:r>
      <w:r>
        <w:t xml:space="preserve"> David McCabe, “John Locke and the Argument </w:t>
      </w:r>
      <w:proofErr w:type="gramStart"/>
      <w:r>
        <w:t>Against</w:t>
      </w:r>
      <w:proofErr w:type="gramEnd"/>
      <w:r>
        <w:t xml:space="preserve"> Strict Separation,” </w:t>
      </w:r>
      <w:r>
        <w:rPr>
          <w:i/>
        </w:rPr>
        <w:t>Review of Politics</w:t>
      </w:r>
      <w:r>
        <w:t xml:space="preserve"> 59, no. 2 (1997): 233-58; “</w:t>
      </w:r>
      <w:r>
        <w:rPr>
          <w:i/>
        </w:rPr>
        <w:t>God</w:t>
      </w:r>
      <w:r>
        <w:t xml:space="preserve"> in Heaven is </w:t>
      </w:r>
      <w:r>
        <w:rPr>
          <w:i/>
        </w:rPr>
        <w:t>Judge</w:t>
      </w:r>
      <w:r>
        <w:t xml:space="preserve">: He alone, ‘tis true, is Judge of the Right.  But </w:t>
      </w:r>
      <w:r>
        <w:rPr>
          <w:i/>
        </w:rPr>
        <w:t>every</w:t>
      </w:r>
      <w:r>
        <w:t xml:space="preserve"> Man is </w:t>
      </w:r>
      <w:r>
        <w:rPr>
          <w:i/>
        </w:rPr>
        <w:t>Judge</w:t>
      </w:r>
      <w:r>
        <w:t xml:space="preserve"> for himself, as in all other Cases, so in this, whether another hath put himself into a State of War with him,” Locke, </w:t>
      </w:r>
      <w:r>
        <w:rPr>
          <w:i/>
        </w:rPr>
        <w:t>Second Treatise</w:t>
      </w:r>
      <w:r>
        <w:t>, sect. 241.</w:t>
      </w:r>
    </w:p>
  </w:footnote>
  <w:footnote w:id="26">
    <w:p w:rsidR="00975EF3" w:rsidRPr="005A7272" w:rsidRDefault="00975EF3" w:rsidP="005A7272">
      <w:pPr>
        <w:pStyle w:val="FootnoteText"/>
        <w:ind w:firstLine="720"/>
      </w:pPr>
      <w:r>
        <w:rPr>
          <w:rStyle w:val="FootnoteReference"/>
        </w:rPr>
        <w:footnoteRef/>
      </w:r>
      <w:r>
        <w:t xml:space="preserve"> John Locke, </w:t>
      </w:r>
      <w:proofErr w:type="gramStart"/>
      <w:r>
        <w:rPr>
          <w:i/>
        </w:rPr>
        <w:t>The</w:t>
      </w:r>
      <w:proofErr w:type="gramEnd"/>
      <w:r>
        <w:rPr>
          <w:i/>
        </w:rPr>
        <w:t xml:space="preserve"> Reasonableness of Christianity</w:t>
      </w:r>
      <w:r>
        <w:t>, ed. John C. Higgins-Biddle (New York: Oxford University Press, 1999 [1695]), sect. 241.</w:t>
      </w:r>
    </w:p>
  </w:footnote>
  <w:footnote w:id="27">
    <w:p w:rsidR="00975EF3" w:rsidRPr="00857351" w:rsidRDefault="00975EF3" w:rsidP="008A6415">
      <w:pPr>
        <w:pStyle w:val="FootnoteText"/>
        <w:ind w:firstLine="720"/>
      </w:pPr>
      <w:r>
        <w:rPr>
          <w:rStyle w:val="FootnoteReference"/>
        </w:rPr>
        <w:footnoteRef/>
      </w:r>
      <w:r>
        <w:t xml:space="preserve"> </w:t>
      </w:r>
      <w:proofErr w:type="gramStart"/>
      <w:r>
        <w:t xml:space="preserve">De </w:t>
      </w:r>
      <w:proofErr w:type="spellStart"/>
      <w:r>
        <w:t>Roover</w:t>
      </w:r>
      <w:proofErr w:type="spellEnd"/>
      <w:r>
        <w:t xml:space="preserve"> and </w:t>
      </w:r>
      <w:proofErr w:type="spellStart"/>
      <w:r>
        <w:t>Balagangadhara</w:t>
      </w:r>
      <w:proofErr w:type="spellEnd"/>
      <w:r>
        <w:t>, “John Locke, Christian Liberty,” 540.</w:t>
      </w:r>
      <w:proofErr w:type="gramEnd"/>
    </w:p>
  </w:footnote>
  <w:footnote w:id="28">
    <w:p w:rsidR="00975EF3" w:rsidRPr="00EC530C" w:rsidRDefault="00975EF3" w:rsidP="00EC530C">
      <w:pPr>
        <w:pStyle w:val="FootnoteText"/>
        <w:ind w:firstLine="720"/>
      </w:pPr>
      <w:r>
        <w:rPr>
          <w:rStyle w:val="FootnoteReference"/>
        </w:rPr>
        <w:footnoteRef/>
      </w:r>
      <w:r>
        <w:t xml:space="preserve"> The actual number of deists in Europe in the eighteenth century was relatively small, S. J. Barnett, </w:t>
      </w:r>
      <w:r>
        <w:rPr>
          <w:i/>
        </w:rPr>
        <w:t>The Enlightenment and Religion: The Myths of Modernity</w:t>
      </w:r>
      <w:r>
        <w:t xml:space="preserve"> (Manchester:  Manchester University Press, 2004).</w:t>
      </w:r>
    </w:p>
  </w:footnote>
  <w:footnote w:id="29">
    <w:p w:rsidR="00975EF3" w:rsidRPr="006672FF" w:rsidRDefault="00975EF3" w:rsidP="006672FF">
      <w:pPr>
        <w:pStyle w:val="FootnoteText"/>
        <w:ind w:firstLine="720"/>
      </w:pPr>
      <w:r>
        <w:rPr>
          <w:rStyle w:val="FootnoteReference"/>
        </w:rPr>
        <w:footnoteRef/>
      </w:r>
      <w:r>
        <w:t xml:space="preserve"> One of the key ways in which Rousseau differed from the other </w:t>
      </w:r>
      <w:r>
        <w:rPr>
          <w:i/>
        </w:rPr>
        <w:t>philosophes</w:t>
      </w:r>
      <w:r>
        <w:t xml:space="preserve"> was his argument for a political theory that relied on a minimal version of nationalism rather than the broader concept of humanity, Daniel E Cullen, </w:t>
      </w:r>
      <w:r>
        <w:rPr>
          <w:i/>
        </w:rPr>
        <w:t>Freedom in Rousseau’s Political Philosophy</w:t>
      </w:r>
      <w:r>
        <w:t xml:space="preserve"> (DeKalb: Northern Illinois Press, 1993), 130-55.  It was no coincidence that French Revolutionaries made Rousseau, rather than </w:t>
      </w:r>
      <w:proofErr w:type="spellStart"/>
      <w:r>
        <w:t>Condillac</w:t>
      </w:r>
      <w:proofErr w:type="spellEnd"/>
      <w:r>
        <w:t xml:space="preserve"> or Helvetius, the intellectual father of their movement:  he supplied a much more manageable and practical source of political credibility and authority.</w:t>
      </w:r>
    </w:p>
  </w:footnote>
  <w:footnote w:id="30">
    <w:p w:rsidR="00975EF3" w:rsidRPr="004D0414" w:rsidRDefault="00975EF3" w:rsidP="004D0414">
      <w:pPr>
        <w:pStyle w:val="FootnoteText"/>
        <w:ind w:firstLine="720"/>
      </w:pPr>
      <w:r>
        <w:rPr>
          <w:rStyle w:val="FootnoteReference"/>
        </w:rPr>
        <w:footnoteRef/>
      </w:r>
      <w:r>
        <w:t xml:space="preserve"> Rousseau often stated his preference for smaller communities on the scale of the Athenian city-state or his native Geneva.  There has been some debate about whether he would have supported the idea of the general will on the scale of modern-day nation-states, but it is more than possible to see that “the seed of nationalism” existed in Rousseau’s thought, Arthur </w:t>
      </w:r>
      <w:proofErr w:type="spellStart"/>
      <w:r>
        <w:t>Melzer</w:t>
      </w:r>
      <w:proofErr w:type="spellEnd"/>
      <w:r>
        <w:t xml:space="preserve">, “Rousseau, Nationalism, and the Politics of Sympathetic Identification,” in </w:t>
      </w:r>
      <w:r>
        <w:rPr>
          <w:i/>
        </w:rPr>
        <w:t>Educating the Prince: Essays in Honor of Harvey Mansfield</w:t>
      </w:r>
      <w:r>
        <w:t xml:space="preserve">, ed. Mark Blitz and William </w:t>
      </w:r>
      <w:proofErr w:type="spellStart"/>
      <w:r>
        <w:t>Kristol</w:t>
      </w:r>
      <w:proofErr w:type="spellEnd"/>
      <w:r>
        <w:t xml:space="preserve"> (Lanham, MA: </w:t>
      </w:r>
      <w:proofErr w:type="spellStart"/>
      <w:r>
        <w:t>Rowman</w:t>
      </w:r>
      <w:proofErr w:type="spellEnd"/>
      <w:r>
        <w:t xml:space="preserve"> and Littlefield, 2000), 123.</w:t>
      </w:r>
    </w:p>
  </w:footnote>
  <w:footnote w:id="31">
    <w:p w:rsidR="00975EF3" w:rsidRPr="004D0414" w:rsidRDefault="00975EF3" w:rsidP="004D0414">
      <w:pPr>
        <w:pStyle w:val="FootnoteText"/>
        <w:ind w:firstLine="720"/>
      </w:pPr>
      <w:r>
        <w:rPr>
          <w:rStyle w:val="FootnoteReference"/>
        </w:rPr>
        <w:footnoteRef/>
      </w:r>
      <w:r>
        <w:t xml:space="preserve"> Patrick Riley, </w:t>
      </w:r>
      <w:proofErr w:type="gramStart"/>
      <w:r>
        <w:rPr>
          <w:i/>
        </w:rPr>
        <w:t>The</w:t>
      </w:r>
      <w:proofErr w:type="gramEnd"/>
      <w:r>
        <w:rPr>
          <w:i/>
        </w:rPr>
        <w:t xml:space="preserve"> General Will before Rousseau</w:t>
      </w:r>
      <w:r>
        <w:t xml:space="preserve"> (Princeton: Princeton University Press, 1986).</w:t>
      </w:r>
    </w:p>
  </w:footnote>
  <w:footnote w:id="32">
    <w:p w:rsidR="00975EF3" w:rsidRPr="006E7376" w:rsidRDefault="00975EF3" w:rsidP="006E7376">
      <w:pPr>
        <w:pStyle w:val="FootnoteText"/>
        <w:ind w:firstLine="720"/>
      </w:pPr>
      <w:r>
        <w:rPr>
          <w:rStyle w:val="FootnoteReference"/>
        </w:rPr>
        <w:footnoteRef/>
      </w:r>
      <w:r>
        <w:t xml:space="preserve"> Arthur M </w:t>
      </w:r>
      <w:proofErr w:type="spellStart"/>
      <w:r>
        <w:t>Melzer</w:t>
      </w:r>
      <w:proofErr w:type="spellEnd"/>
      <w:r>
        <w:t xml:space="preserve">, “The Origin of the Counter-Enlightenment: Rousseau and the New Religion of Sincerity,” </w:t>
      </w:r>
      <w:r>
        <w:rPr>
          <w:i/>
        </w:rPr>
        <w:t>American Political Science Review</w:t>
      </w:r>
      <w:r>
        <w:t xml:space="preserve"> 90, no. 2 (1996): 344-60; Edwin A Judge, “The Beginning of Religious History,” </w:t>
      </w:r>
      <w:r>
        <w:rPr>
          <w:i/>
        </w:rPr>
        <w:t>Journal of Religious History</w:t>
      </w:r>
      <w:r>
        <w:t xml:space="preserve"> 15, no. 4 (1989): 394-412.</w:t>
      </w:r>
    </w:p>
  </w:footnote>
  <w:footnote w:id="33">
    <w:p w:rsidR="00975EF3" w:rsidRPr="006E7376" w:rsidRDefault="00975EF3" w:rsidP="006E7376">
      <w:pPr>
        <w:pStyle w:val="FootnoteText"/>
        <w:ind w:firstLine="720"/>
      </w:pPr>
      <w:r>
        <w:rPr>
          <w:rStyle w:val="FootnoteReference"/>
        </w:rPr>
        <w:footnoteRef/>
      </w:r>
      <w:r>
        <w:t xml:space="preserve"> Graeme Garrard, “Rousseau, </w:t>
      </w:r>
      <w:proofErr w:type="spellStart"/>
      <w:r>
        <w:t>Maistre</w:t>
      </w:r>
      <w:proofErr w:type="spellEnd"/>
      <w:r>
        <w:t xml:space="preserve">, and the Counter-Enlightenment,” </w:t>
      </w:r>
      <w:r>
        <w:rPr>
          <w:i/>
        </w:rPr>
        <w:t>History of Political Thought</w:t>
      </w:r>
      <w:r>
        <w:t xml:space="preserve"> 15, no. 1 (1994): 97-120.</w:t>
      </w:r>
    </w:p>
  </w:footnote>
  <w:footnote w:id="34">
    <w:p w:rsidR="00975EF3" w:rsidRPr="001D695A" w:rsidRDefault="00975EF3" w:rsidP="001D695A">
      <w:pPr>
        <w:pStyle w:val="FootnoteText"/>
        <w:ind w:firstLine="720"/>
      </w:pPr>
      <w:r>
        <w:rPr>
          <w:rStyle w:val="FootnoteReference"/>
        </w:rPr>
        <w:footnoteRef/>
      </w:r>
      <w:r>
        <w:t xml:space="preserve"> Simon </w:t>
      </w:r>
      <w:proofErr w:type="spellStart"/>
      <w:r>
        <w:t>Critchley</w:t>
      </w:r>
      <w:proofErr w:type="spellEnd"/>
      <w:r>
        <w:t xml:space="preserve">, </w:t>
      </w:r>
      <w:proofErr w:type="gramStart"/>
      <w:r>
        <w:rPr>
          <w:i/>
        </w:rPr>
        <w:t>The</w:t>
      </w:r>
      <w:proofErr w:type="gramEnd"/>
      <w:r>
        <w:rPr>
          <w:i/>
        </w:rPr>
        <w:t xml:space="preserve"> Faith of the Faithless</w:t>
      </w:r>
      <w:r>
        <w:t xml:space="preserve"> (London: Verso, 2012), 34.</w:t>
      </w:r>
    </w:p>
  </w:footnote>
  <w:footnote w:id="35">
    <w:p w:rsidR="00975EF3" w:rsidRPr="006E7376" w:rsidRDefault="00975EF3" w:rsidP="006E7376">
      <w:pPr>
        <w:pStyle w:val="FootnoteText"/>
        <w:ind w:firstLine="720"/>
      </w:pPr>
      <w:r>
        <w:rPr>
          <w:rStyle w:val="FootnoteReference"/>
        </w:rPr>
        <w:footnoteRef/>
      </w:r>
      <w:r>
        <w:t xml:space="preserve"> Jason </w:t>
      </w:r>
      <w:proofErr w:type="spellStart"/>
      <w:r>
        <w:t>Neidleman</w:t>
      </w:r>
      <w:proofErr w:type="spellEnd"/>
      <w:r>
        <w:t xml:space="preserve"> argues that Rousseau “did not believe that cosmopolitanism could match patriotism’s capacity to inspire.  In theory, of course, a cosmopolitan love of humanity could supply the motivation for virtue, but a more </w:t>
      </w:r>
      <w:proofErr w:type="spellStart"/>
      <w:r>
        <w:rPr>
          <w:i/>
        </w:rPr>
        <w:t>particuliere</w:t>
      </w:r>
      <w:proofErr w:type="spellEnd"/>
      <w:r>
        <w:rPr>
          <w:i/>
        </w:rPr>
        <w:t xml:space="preserve"> </w:t>
      </w:r>
      <w:r>
        <w:t xml:space="preserve">love of </w:t>
      </w:r>
      <w:r>
        <w:rPr>
          <w:i/>
        </w:rPr>
        <w:t xml:space="preserve">la </w:t>
      </w:r>
      <w:proofErr w:type="spellStart"/>
      <w:r>
        <w:rPr>
          <w:i/>
        </w:rPr>
        <w:t>patrie</w:t>
      </w:r>
      <w:proofErr w:type="spellEnd"/>
      <w:r>
        <w:t xml:space="preserve"> is far more likely to inspire self-sacrifice in practice,” Jason </w:t>
      </w:r>
      <w:proofErr w:type="spellStart"/>
      <w:r>
        <w:t>Neidleman</w:t>
      </w:r>
      <w:proofErr w:type="spellEnd"/>
      <w:r>
        <w:t xml:space="preserve">, “Rousseau’s Rediscovered </w:t>
      </w:r>
      <w:r>
        <w:rPr>
          <w:i/>
        </w:rPr>
        <w:t xml:space="preserve">Communion des </w:t>
      </w:r>
      <w:proofErr w:type="spellStart"/>
      <w:r>
        <w:rPr>
          <w:i/>
        </w:rPr>
        <w:t>Coeurs</w:t>
      </w:r>
      <w:proofErr w:type="spellEnd"/>
      <w:r>
        <w:t xml:space="preserve">: Cosmopolitanism in the Reveries of the Solitary Walker,” </w:t>
      </w:r>
      <w:r>
        <w:rPr>
          <w:i/>
        </w:rPr>
        <w:t>Political Studies</w:t>
      </w:r>
      <w:r>
        <w:t xml:space="preserve"> 60, no. 1 (2012): 77.</w:t>
      </w:r>
    </w:p>
  </w:footnote>
  <w:footnote w:id="36">
    <w:p w:rsidR="00975EF3" w:rsidRPr="009061B6" w:rsidRDefault="00975EF3" w:rsidP="00A329E5">
      <w:pPr>
        <w:pStyle w:val="FootnoteText"/>
        <w:ind w:firstLine="720"/>
      </w:pPr>
      <w:r>
        <w:rPr>
          <w:rStyle w:val="FootnoteReference"/>
        </w:rPr>
        <w:footnoteRef/>
      </w:r>
      <w:r>
        <w:t xml:space="preserve"> Jean-Jacques Rousseau, “</w:t>
      </w:r>
      <w:r w:rsidRPr="009061B6">
        <w:t>Discourse on Political Economy</w:t>
      </w:r>
      <w:r>
        <w:t xml:space="preserve">,” in </w:t>
      </w:r>
      <w:r>
        <w:rPr>
          <w:i/>
        </w:rPr>
        <w:t>Jean-Jacques Rousseau: The Social Contract</w:t>
      </w:r>
      <w:r>
        <w:t>, trans. Christopher Betts (Oxford: Oxford University Press, 1999 [1755]), 1-42.</w:t>
      </w:r>
    </w:p>
  </w:footnote>
  <w:footnote w:id="37">
    <w:p w:rsidR="00975EF3" w:rsidRPr="00412AC6" w:rsidRDefault="00975EF3" w:rsidP="00412AC6">
      <w:pPr>
        <w:pStyle w:val="FootnoteText"/>
        <w:ind w:firstLine="720"/>
      </w:pPr>
      <w:r>
        <w:rPr>
          <w:rStyle w:val="FootnoteReference"/>
        </w:rPr>
        <w:footnoteRef/>
      </w:r>
      <w:r>
        <w:t xml:space="preserve"> Richard White, “Herder: On the Ethics of Nationalism,” </w:t>
      </w:r>
      <w:proofErr w:type="spellStart"/>
      <w:r>
        <w:rPr>
          <w:i/>
        </w:rPr>
        <w:t>Humanitas</w:t>
      </w:r>
      <w:proofErr w:type="spellEnd"/>
      <w:r>
        <w:t xml:space="preserve"> 18, nos. 1-2 (2005): 167.  In contrast, earlier social contract theories and, to a large extent, natural law theories, suggested that individual was the basic unit, which would mean the individual preceded the political community, Annabel Brett, </w:t>
      </w:r>
      <w:r>
        <w:rPr>
          <w:i/>
        </w:rPr>
        <w:t>Changes of State: Nature and the Limits of the City in Early Modern Natural Law</w:t>
      </w:r>
      <w:r>
        <w:t xml:space="preserve"> (Princeton:  Princeton University Press, 2012): 37-61.</w:t>
      </w:r>
    </w:p>
  </w:footnote>
  <w:footnote w:id="38">
    <w:p w:rsidR="00975EF3" w:rsidRPr="006C7E30" w:rsidRDefault="00975EF3" w:rsidP="006C7E30">
      <w:pPr>
        <w:pStyle w:val="FootnoteText"/>
        <w:ind w:firstLine="720"/>
      </w:pPr>
      <w:r>
        <w:rPr>
          <w:rStyle w:val="FootnoteReference"/>
        </w:rPr>
        <w:footnoteRef/>
      </w:r>
      <w:r>
        <w:t xml:space="preserve"> Michael N Forster, </w:t>
      </w:r>
      <w:r>
        <w:rPr>
          <w:i/>
        </w:rPr>
        <w:t>After Herder: Philosophy of Language in the German Tradition</w:t>
      </w:r>
      <w:r>
        <w:t xml:space="preserve"> (Oxford: Oxford University Press, 2010), 55-90.</w:t>
      </w:r>
    </w:p>
  </w:footnote>
  <w:footnote w:id="39">
    <w:p w:rsidR="00975EF3" w:rsidRPr="00412AC6" w:rsidRDefault="00975EF3" w:rsidP="00412AC6">
      <w:pPr>
        <w:pStyle w:val="FootnoteText"/>
        <w:ind w:firstLine="720"/>
      </w:pPr>
      <w:r>
        <w:rPr>
          <w:rStyle w:val="FootnoteReference"/>
        </w:rPr>
        <w:footnoteRef/>
      </w:r>
      <w:r>
        <w:t xml:space="preserve"> Frederick M Barnard, ed., </w:t>
      </w:r>
      <w:r>
        <w:rPr>
          <w:i/>
        </w:rPr>
        <w:t>J.G. Herder on Social and Political Culture</w:t>
      </w:r>
      <w:r>
        <w:t xml:space="preserve"> (Cambridge: Cambridge University Press, 1969), 185.</w:t>
      </w:r>
    </w:p>
  </w:footnote>
  <w:footnote w:id="40">
    <w:p w:rsidR="00975EF3" w:rsidRPr="00607F2C" w:rsidRDefault="00975EF3" w:rsidP="00BA732E">
      <w:pPr>
        <w:pStyle w:val="FootnoteText"/>
        <w:ind w:firstLine="720"/>
      </w:pPr>
      <w:r>
        <w:rPr>
          <w:rStyle w:val="FootnoteReference"/>
        </w:rPr>
        <w:footnoteRef/>
      </w:r>
      <w:r>
        <w:t xml:space="preserve"> Isaiah Berlin, Herder’s most famous modern-day commentator, labeled this “belief in the value of belonging to a group or culture” as </w:t>
      </w:r>
      <w:r>
        <w:rPr>
          <w:i/>
        </w:rPr>
        <w:t>populism</w:t>
      </w:r>
      <w:r>
        <w:t xml:space="preserve">.  It should be noted that Berlin was not a big fan, believing this to be a negative characteristic that, in most cases, produced inter-group violence and suppression of the individual, Isaiah Berlin, “Herder and the Enlightenment,” in </w:t>
      </w:r>
      <w:r>
        <w:rPr>
          <w:i/>
        </w:rPr>
        <w:t>The Proper Study of Mankind: An Anthology of Essays</w:t>
      </w:r>
      <w:r>
        <w:t xml:space="preserve">, ed. Henry Hardy and Roger </w:t>
      </w:r>
      <w:proofErr w:type="spellStart"/>
      <w:r>
        <w:t>Hausheer</w:t>
      </w:r>
      <w:proofErr w:type="spellEnd"/>
      <w:r>
        <w:t xml:space="preserve"> (New York:  Farrar, Straus, and Giroux, 1997 [1976]), 367-68, 370-80; a far stronger rejection of Herder’s theory and its </w:t>
      </w:r>
      <w:proofErr w:type="spellStart"/>
      <w:r>
        <w:t>descendents</w:t>
      </w:r>
      <w:proofErr w:type="spellEnd"/>
      <w:r>
        <w:t xml:space="preserve"> may be found in </w:t>
      </w:r>
      <w:proofErr w:type="spellStart"/>
      <w:r>
        <w:t>Zeev</w:t>
      </w:r>
      <w:proofErr w:type="spellEnd"/>
      <w:r>
        <w:t xml:space="preserve"> </w:t>
      </w:r>
      <w:proofErr w:type="spellStart"/>
      <w:r>
        <w:t>Sternhell</w:t>
      </w:r>
      <w:proofErr w:type="spellEnd"/>
      <w:r>
        <w:t xml:space="preserve">, </w:t>
      </w:r>
      <w:r>
        <w:rPr>
          <w:i/>
        </w:rPr>
        <w:t>The Anti-Enlightenment Tradition</w:t>
      </w:r>
      <w:r>
        <w:t xml:space="preserve">, trans. David </w:t>
      </w:r>
      <w:proofErr w:type="spellStart"/>
      <w:r>
        <w:t>Maisel</w:t>
      </w:r>
      <w:proofErr w:type="spellEnd"/>
      <w:r>
        <w:t xml:space="preserve"> (New Haven: Yale University Press, 2010).</w:t>
      </w:r>
    </w:p>
  </w:footnote>
  <w:footnote w:id="41">
    <w:p w:rsidR="00975EF3" w:rsidRPr="00BA732E" w:rsidRDefault="00975EF3" w:rsidP="00BA732E">
      <w:pPr>
        <w:pStyle w:val="FootnoteText"/>
        <w:ind w:firstLine="720"/>
      </w:pPr>
      <w:r>
        <w:rPr>
          <w:rStyle w:val="FootnoteReference"/>
        </w:rPr>
        <w:footnoteRef/>
      </w:r>
      <w:r>
        <w:t xml:space="preserve"> The tendency to see nations as </w:t>
      </w:r>
      <w:r>
        <w:rPr>
          <w:i/>
        </w:rPr>
        <w:t>natural</w:t>
      </w:r>
      <w:r>
        <w:t xml:space="preserve"> rather than </w:t>
      </w:r>
      <w:r>
        <w:rPr>
          <w:i/>
        </w:rPr>
        <w:t>man-made</w:t>
      </w:r>
      <w:r>
        <w:t xml:space="preserve"> dominated political practice and scholarship until World War I, Elias Jose </w:t>
      </w:r>
      <w:proofErr w:type="spellStart"/>
      <w:r>
        <w:t>Palti</w:t>
      </w:r>
      <w:proofErr w:type="spellEnd"/>
      <w:r>
        <w:t xml:space="preserve">, “The Nation as a Problem: Historians and the ‘National Question,’” </w:t>
      </w:r>
      <w:r>
        <w:rPr>
          <w:i/>
        </w:rPr>
        <w:t>History &amp; Theory</w:t>
      </w:r>
      <w:r>
        <w:t xml:space="preserve"> 40, no. 3 (2001): 324-46.  This raises the possibility that the post-modern questioning of the naturalness of the Nation has played a significant role in the nation-state’s perceived decline today.</w:t>
      </w:r>
    </w:p>
  </w:footnote>
  <w:footnote w:id="42">
    <w:p w:rsidR="00975EF3" w:rsidRPr="00AC468C" w:rsidRDefault="00975EF3" w:rsidP="00AC468C">
      <w:pPr>
        <w:pStyle w:val="FootnoteText"/>
        <w:ind w:firstLine="720"/>
      </w:pPr>
      <w:r>
        <w:rPr>
          <w:rStyle w:val="FootnoteReference"/>
        </w:rPr>
        <w:footnoteRef/>
      </w:r>
      <w:r>
        <w:t xml:space="preserve"> Herder asserted that each nation contributed to Humanity as a whole primarily through its particular arts.  He put this into practice by attempting to collect and publish all of the German folk poetry he could find, William A Wilson, “Herder, Folklore and Romantic Nationalism,” </w:t>
      </w:r>
      <w:r>
        <w:rPr>
          <w:i/>
        </w:rPr>
        <w:t>Journal of Popular Culture</w:t>
      </w:r>
      <w:r>
        <w:t xml:space="preserve"> 6, no. 4 (1973): 819-35.  This idea was more fully developed several decades in Arthur Schopenhauer’s </w:t>
      </w:r>
      <w:r>
        <w:rPr>
          <w:i/>
        </w:rPr>
        <w:t>The World as Will and Representation</w:t>
      </w:r>
      <w:r>
        <w:t xml:space="preserve"> and had a significant impact on the development of German arts and, not coincidentally, German nationalism.</w:t>
      </w:r>
    </w:p>
  </w:footnote>
  <w:footnote w:id="43">
    <w:p w:rsidR="00975EF3" w:rsidRDefault="00975EF3" w:rsidP="00776A96">
      <w:pPr>
        <w:pStyle w:val="FootnoteText"/>
        <w:ind w:firstLine="720"/>
      </w:pPr>
      <w:r>
        <w:rPr>
          <w:rStyle w:val="FootnoteReference"/>
        </w:rPr>
        <w:footnoteRef/>
      </w:r>
      <w:r>
        <w:t xml:space="preserve"> White, “Herder,” 175.</w:t>
      </w:r>
    </w:p>
  </w:footnote>
  <w:footnote w:id="44">
    <w:p w:rsidR="00975EF3" w:rsidRPr="00981979" w:rsidRDefault="00975EF3" w:rsidP="00776A96">
      <w:pPr>
        <w:pStyle w:val="FootnoteText"/>
        <w:ind w:firstLine="720"/>
      </w:pPr>
      <w:r>
        <w:rPr>
          <w:rStyle w:val="FootnoteReference"/>
        </w:rPr>
        <w:footnoteRef/>
      </w:r>
      <w:r>
        <w:t xml:space="preserve"> </w:t>
      </w:r>
      <w:proofErr w:type="spellStart"/>
      <w:r>
        <w:t>Ilit</w:t>
      </w:r>
      <w:proofErr w:type="spellEnd"/>
      <w:r>
        <w:t xml:space="preserve"> Ferber, “Herder: On Pain and the Origin of Language,” </w:t>
      </w:r>
      <w:r>
        <w:rPr>
          <w:i/>
        </w:rPr>
        <w:t>Germanic Review</w:t>
      </w:r>
      <w:r>
        <w:t xml:space="preserve"> 85, no. 3 (2010): 205-23; Brian J. </w:t>
      </w:r>
      <w:proofErr w:type="spellStart"/>
      <w:r>
        <w:t>Whitton</w:t>
      </w:r>
      <w:proofErr w:type="spellEnd"/>
      <w:r>
        <w:t xml:space="preserve">, “Herder’s Critique of the Enlightenment:  Cultural Community versus Cosmopolitan Rationalism,” </w:t>
      </w:r>
      <w:r>
        <w:rPr>
          <w:i/>
        </w:rPr>
        <w:t>History &amp; Theory</w:t>
      </w:r>
      <w:r>
        <w:t xml:space="preserve"> 27, no. 2 (1988): 146-68.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2354D"/>
    <w:multiLevelType w:val="hybridMultilevel"/>
    <w:tmpl w:val="069CF6EC"/>
    <w:lvl w:ilvl="0" w:tplc="95E4C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38"/>
    <w:rsid w:val="00010479"/>
    <w:rsid w:val="000327AA"/>
    <w:rsid w:val="00032B6C"/>
    <w:rsid w:val="00034831"/>
    <w:rsid w:val="00034B9A"/>
    <w:rsid w:val="0003599B"/>
    <w:rsid w:val="000364DA"/>
    <w:rsid w:val="00041378"/>
    <w:rsid w:val="00041AEA"/>
    <w:rsid w:val="00045918"/>
    <w:rsid w:val="000506B4"/>
    <w:rsid w:val="000526FE"/>
    <w:rsid w:val="00053037"/>
    <w:rsid w:val="0005424B"/>
    <w:rsid w:val="00057948"/>
    <w:rsid w:val="000630D6"/>
    <w:rsid w:val="00063251"/>
    <w:rsid w:val="00071F92"/>
    <w:rsid w:val="00072A52"/>
    <w:rsid w:val="00073C6B"/>
    <w:rsid w:val="0007731D"/>
    <w:rsid w:val="00083124"/>
    <w:rsid w:val="00096C5B"/>
    <w:rsid w:val="000A17CE"/>
    <w:rsid w:val="000A1CCD"/>
    <w:rsid w:val="000A7CA3"/>
    <w:rsid w:val="000B47C4"/>
    <w:rsid w:val="000B61BA"/>
    <w:rsid w:val="000D1517"/>
    <w:rsid w:val="000E0828"/>
    <w:rsid w:val="000E1DB1"/>
    <w:rsid w:val="000E28F9"/>
    <w:rsid w:val="000E3DC3"/>
    <w:rsid w:val="000E56D4"/>
    <w:rsid w:val="000E6501"/>
    <w:rsid w:val="000E7B02"/>
    <w:rsid w:val="000E7DBA"/>
    <w:rsid w:val="000F2C04"/>
    <w:rsid w:val="000F3F79"/>
    <w:rsid w:val="001006EE"/>
    <w:rsid w:val="00104C70"/>
    <w:rsid w:val="001103B0"/>
    <w:rsid w:val="00127BE6"/>
    <w:rsid w:val="00137C7F"/>
    <w:rsid w:val="00147F73"/>
    <w:rsid w:val="0015238A"/>
    <w:rsid w:val="00155A9C"/>
    <w:rsid w:val="0015625C"/>
    <w:rsid w:val="00173DCE"/>
    <w:rsid w:val="0017632D"/>
    <w:rsid w:val="001809D0"/>
    <w:rsid w:val="00181464"/>
    <w:rsid w:val="001828BF"/>
    <w:rsid w:val="001926AA"/>
    <w:rsid w:val="0019429A"/>
    <w:rsid w:val="001B6236"/>
    <w:rsid w:val="001C05A5"/>
    <w:rsid w:val="001C2031"/>
    <w:rsid w:val="001D695A"/>
    <w:rsid w:val="001E19A6"/>
    <w:rsid w:val="00200ECE"/>
    <w:rsid w:val="0020107A"/>
    <w:rsid w:val="00203435"/>
    <w:rsid w:val="00204912"/>
    <w:rsid w:val="002076F3"/>
    <w:rsid w:val="00211F63"/>
    <w:rsid w:val="00225DB2"/>
    <w:rsid w:val="00230A1B"/>
    <w:rsid w:val="002370C2"/>
    <w:rsid w:val="002445F2"/>
    <w:rsid w:val="00247C53"/>
    <w:rsid w:val="00254350"/>
    <w:rsid w:val="002572E6"/>
    <w:rsid w:val="002607E2"/>
    <w:rsid w:val="0027129F"/>
    <w:rsid w:val="002818E2"/>
    <w:rsid w:val="00286558"/>
    <w:rsid w:val="00287081"/>
    <w:rsid w:val="00292C32"/>
    <w:rsid w:val="0029772F"/>
    <w:rsid w:val="002A4031"/>
    <w:rsid w:val="002A62CD"/>
    <w:rsid w:val="002B073C"/>
    <w:rsid w:val="002B6A3E"/>
    <w:rsid w:val="002C0882"/>
    <w:rsid w:val="002C3DF7"/>
    <w:rsid w:val="002C5935"/>
    <w:rsid w:val="002C5958"/>
    <w:rsid w:val="002D5144"/>
    <w:rsid w:val="002D5724"/>
    <w:rsid w:val="002D5EE9"/>
    <w:rsid w:val="002E2C97"/>
    <w:rsid w:val="002F30FF"/>
    <w:rsid w:val="002F3A3D"/>
    <w:rsid w:val="002F4BCD"/>
    <w:rsid w:val="002F59F6"/>
    <w:rsid w:val="00310B94"/>
    <w:rsid w:val="00312732"/>
    <w:rsid w:val="003267A5"/>
    <w:rsid w:val="003431F5"/>
    <w:rsid w:val="00355411"/>
    <w:rsid w:val="0036089A"/>
    <w:rsid w:val="0037074A"/>
    <w:rsid w:val="00370EC3"/>
    <w:rsid w:val="003719C8"/>
    <w:rsid w:val="00371B82"/>
    <w:rsid w:val="0037784E"/>
    <w:rsid w:val="003961E9"/>
    <w:rsid w:val="003A2423"/>
    <w:rsid w:val="003B58F9"/>
    <w:rsid w:val="003B6B5E"/>
    <w:rsid w:val="003B7C21"/>
    <w:rsid w:val="003C15D8"/>
    <w:rsid w:val="003D085A"/>
    <w:rsid w:val="003D7A4A"/>
    <w:rsid w:val="003D7C89"/>
    <w:rsid w:val="003E56C6"/>
    <w:rsid w:val="003F1C19"/>
    <w:rsid w:val="00412AC6"/>
    <w:rsid w:val="00420C1C"/>
    <w:rsid w:val="00434303"/>
    <w:rsid w:val="004421DC"/>
    <w:rsid w:val="00442C06"/>
    <w:rsid w:val="004511F3"/>
    <w:rsid w:val="004635B8"/>
    <w:rsid w:val="00467C60"/>
    <w:rsid w:val="00482AD5"/>
    <w:rsid w:val="00484FD7"/>
    <w:rsid w:val="00486F72"/>
    <w:rsid w:val="004919F2"/>
    <w:rsid w:val="00491C72"/>
    <w:rsid w:val="00494015"/>
    <w:rsid w:val="004A0A77"/>
    <w:rsid w:val="004A0F5B"/>
    <w:rsid w:val="004A44C4"/>
    <w:rsid w:val="004B7A73"/>
    <w:rsid w:val="004C1CBC"/>
    <w:rsid w:val="004D0414"/>
    <w:rsid w:val="004E2A1D"/>
    <w:rsid w:val="004E30FA"/>
    <w:rsid w:val="004E68F7"/>
    <w:rsid w:val="005043B7"/>
    <w:rsid w:val="005178DE"/>
    <w:rsid w:val="00520680"/>
    <w:rsid w:val="00520986"/>
    <w:rsid w:val="00523305"/>
    <w:rsid w:val="00533A46"/>
    <w:rsid w:val="00550AA6"/>
    <w:rsid w:val="00555D11"/>
    <w:rsid w:val="00557BB1"/>
    <w:rsid w:val="00580980"/>
    <w:rsid w:val="00581C3D"/>
    <w:rsid w:val="00581F46"/>
    <w:rsid w:val="0058681D"/>
    <w:rsid w:val="005868AF"/>
    <w:rsid w:val="00586C67"/>
    <w:rsid w:val="00592310"/>
    <w:rsid w:val="005961B3"/>
    <w:rsid w:val="005973BC"/>
    <w:rsid w:val="005A388F"/>
    <w:rsid w:val="005A3D8F"/>
    <w:rsid w:val="005A64D8"/>
    <w:rsid w:val="005A7272"/>
    <w:rsid w:val="005B2AC1"/>
    <w:rsid w:val="005B49BB"/>
    <w:rsid w:val="005B6962"/>
    <w:rsid w:val="005D4DE4"/>
    <w:rsid w:val="005D66D9"/>
    <w:rsid w:val="005E1E52"/>
    <w:rsid w:val="005E33F0"/>
    <w:rsid w:val="005E48F4"/>
    <w:rsid w:val="00601EA8"/>
    <w:rsid w:val="0060208A"/>
    <w:rsid w:val="006027A1"/>
    <w:rsid w:val="006066B6"/>
    <w:rsid w:val="006073F2"/>
    <w:rsid w:val="00607F2C"/>
    <w:rsid w:val="006151AE"/>
    <w:rsid w:val="0061559B"/>
    <w:rsid w:val="00620D8E"/>
    <w:rsid w:val="00636757"/>
    <w:rsid w:val="00647DA1"/>
    <w:rsid w:val="00652972"/>
    <w:rsid w:val="00653AB5"/>
    <w:rsid w:val="00657889"/>
    <w:rsid w:val="00660921"/>
    <w:rsid w:val="006672FF"/>
    <w:rsid w:val="0067203F"/>
    <w:rsid w:val="00673024"/>
    <w:rsid w:val="00684E17"/>
    <w:rsid w:val="00691445"/>
    <w:rsid w:val="006A0FAE"/>
    <w:rsid w:val="006A7038"/>
    <w:rsid w:val="006C7E30"/>
    <w:rsid w:val="006D1B67"/>
    <w:rsid w:val="006D43FB"/>
    <w:rsid w:val="006E1665"/>
    <w:rsid w:val="006E234B"/>
    <w:rsid w:val="006E3A12"/>
    <w:rsid w:val="006E7376"/>
    <w:rsid w:val="006E7B5A"/>
    <w:rsid w:val="006F2C1B"/>
    <w:rsid w:val="006F5424"/>
    <w:rsid w:val="00710E42"/>
    <w:rsid w:val="0071358B"/>
    <w:rsid w:val="0071433B"/>
    <w:rsid w:val="00714BCA"/>
    <w:rsid w:val="00717FC2"/>
    <w:rsid w:val="00721D40"/>
    <w:rsid w:val="00723791"/>
    <w:rsid w:val="007277A6"/>
    <w:rsid w:val="007319FF"/>
    <w:rsid w:val="00735D9A"/>
    <w:rsid w:val="007362E8"/>
    <w:rsid w:val="00745EB2"/>
    <w:rsid w:val="00750144"/>
    <w:rsid w:val="007529B6"/>
    <w:rsid w:val="007656AD"/>
    <w:rsid w:val="00770A6B"/>
    <w:rsid w:val="0077295D"/>
    <w:rsid w:val="00776A96"/>
    <w:rsid w:val="00783B63"/>
    <w:rsid w:val="00793A31"/>
    <w:rsid w:val="007B6021"/>
    <w:rsid w:val="007C1998"/>
    <w:rsid w:val="007C68CE"/>
    <w:rsid w:val="007C7446"/>
    <w:rsid w:val="007E0020"/>
    <w:rsid w:val="007F56D9"/>
    <w:rsid w:val="007F5EDC"/>
    <w:rsid w:val="008040D3"/>
    <w:rsid w:val="008053C4"/>
    <w:rsid w:val="0081487B"/>
    <w:rsid w:val="00815771"/>
    <w:rsid w:val="00830EFA"/>
    <w:rsid w:val="008345A9"/>
    <w:rsid w:val="0084062D"/>
    <w:rsid w:val="008439A1"/>
    <w:rsid w:val="00857351"/>
    <w:rsid w:val="00857A53"/>
    <w:rsid w:val="00861905"/>
    <w:rsid w:val="00880F57"/>
    <w:rsid w:val="00885C0B"/>
    <w:rsid w:val="00887B37"/>
    <w:rsid w:val="008A1F55"/>
    <w:rsid w:val="008A259E"/>
    <w:rsid w:val="008A3247"/>
    <w:rsid w:val="008A6415"/>
    <w:rsid w:val="008A6454"/>
    <w:rsid w:val="008A7856"/>
    <w:rsid w:val="008B0960"/>
    <w:rsid w:val="008B7705"/>
    <w:rsid w:val="008D5C5A"/>
    <w:rsid w:val="00901437"/>
    <w:rsid w:val="00903E67"/>
    <w:rsid w:val="009061B6"/>
    <w:rsid w:val="0091111F"/>
    <w:rsid w:val="009131DB"/>
    <w:rsid w:val="0091668F"/>
    <w:rsid w:val="00923A18"/>
    <w:rsid w:val="00933720"/>
    <w:rsid w:val="00935AD7"/>
    <w:rsid w:val="0093601B"/>
    <w:rsid w:val="00941207"/>
    <w:rsid w:val="00947C02"/>
    <w:rsid w:val="009555DB"/>
    <w:rsid w:val="009558FA"/>
    <w:rsid w:val="00960CC2"/>
    <w:rsid w:val="00963FB9"/>
    <w:rsid w:val="00967578"/>
    <w:rsid w:val="00975EF3"/>
    <w:rsid w:val="00981979"/>
    <w:rsid w:val="00985E57"/>
    <w:rsid w:val="009871AF"/>
    <w:rsid w:val="00993CBE"/>
    <w:rsid w:val="009A612B"/>
    <w:rsid w:val="009C5CDA"/>
    <w:rsid w:val="009C6F95"/>
    <w:rsid w:val="009E3854"/>
    <w:rsid w:val="009E49BC"/>
    <w:rsid w:val="009E7EAC"/>
    <w:rsid w:val="009F5CF1"/>
    <w:rsid w:val="009F5D5E"/>
    <w:rsid w:val="009F7D9D"/>
    <w:rsid w:val="00A0086F"/>
    <w:rsid w:val="00A01072"/>
    <w:rsid w:val="00A05165"/>
    <w:rsid w:val="00A13A56"/>
    <w:rsid w:val="00A21629"/>
    <w:rsid w:val="00A26440"/>
    <w:rsid w:val="00A3047F"/>
    <w:rsid w:val="00A329E5"/>
    <w:rsid w:val="00A431A2"/>
    <w:rsid w:val="00A540A9"/>
    <w:rsid w:val="00A709D3"/>
    <w:rsid w:val="00A71D06"/>
    <w:rsid w:val="00A75602"/>
    <w:rsid w:val="00A84982"/>
    <w:rsid w:val="00AA122F"/>
    <w:rsid w:val="00AA43B6"/>
    <w:rsid w:val="00AA5091"/>
    <w:rsid w:val="00AA7E5A"/>
    <w:rsid w:val="00AB2F1C"/>
    <w:rsid w:val="00AC468C"/>
    <w:rsid w:val="00AC580B"/>
    <w:rsid w:val="00AC72EE"/>
    <w:rsid w:val="00AD23E0"/>
    <w:rsid w:val="00AD5259"/>
    <w:rsid w:val="00AD7D85"/>
    <w:rsid w:val="00AE7351"/>
    <w:rsid w:val="00AF7076"/>
    <w:rsid w:val="00AF7508"/>
    <w:rsid w:val="00B03D6B"/>
    <w:rsid w:val="00B06017"/>
    <w:rsid w:val="00B13B0D"/>
    <w:rsid w:val="00B15EC7"/>
    <w:rsid w:val="00B17966"/>
    <w:rsid w:val="00B22ED7"/>
    <w:rsid w:val="00B32056"/>
    <w:rsid w:val="00B36942"/>
    <w:rsid w:val="00B37C6A"/>
    <w:rsid w:val="00B606C9"/>
    <w:rsid w:val="00B64A68"/>
    <w:rsid w:val="00B7644E"/>
    <w:rsid w:val="00B76559"/>
    <w:rsid w:val="00B97FFD"/>
    <w:rsid w:val="00BA2262"/>
    <w:rsid w:val="00BA732E"/>
    <w:rsid w:val="00BB1D89"/>
    <w:rsid w:val="00BD0488"/>
    <w:rsid w:val="00BD1720"/>
    <w:rsid w:val="00BE782E"/>
    <w:rsid w:val="00BF13F0"/>
    <w:rsid w:val="00BF15B6"/>
    <w:rsid w:val="00BF546D"/>
    <w:rsid w:val="00BF79BA"/>
    <w:rsid w:val="00C01987"/>
    <w:rsid w:val="00C17ECB"/>
    <w:rsid w:val="00C51C34"/>
    <w:rsid w:val="00C56D97"/>
    <w:rsid w:val="00C57FFB"/>
    <w:rsid w:val="00C61156"/>
    <w:rsid w:val="00C67088"/>
    <w:rsid w:val="00C72B5A"/>
    <w:rsid w:val="00C83EF3"/>
    <w:rsid w:val="00C923BB"/>
    <w:rsid w:val="00C92C39"/>
    <w:rsid w:val="00CA43DE"/>
    <w:rsid w:val="00CA7079"/>
    <w:rsid w:val="00CB335D"/>
    <w:rsid w:val="00CB3FA6"/>
    <w:rsid w:val="00CB466E"/>
    <w:rsid w:val="00CB684A"/>
    <w:rsid w:val="00CB6F28"/>
    <w:rsid w:val="00CC2941"/>
    <w:rsid w:val="00CC6C5B"/>
    <w:rsid w:val="00CD0E0F"/>
    <w:rsid w:val="00CD7D7E"/>
    <w:rsid w:val="00CF387E"/>
    <w:rsid w:val="00CF3FC9"/>
    <w:rsid w:val="00CF67D0"/>
    <w:rsid w:val="00D06B26"/>
    <w:rsid w:val="00D10D96"/>
    <w:rsid w:val="00D13AAF"/>
    <w:rsid w:val="00D25D3E"/>
    <w:rsid w:val="00D25F3D"/>
    <w:rsid w:val="00D30E64"/>
    <w:rsid w:val="00D31916"/>
    <w:rsid w:val="00D34567"/>
    <w:rsid w:val="00D43B95"/>
    <w:rsid w:val="00D44A1D"/>
    <w:rsid w:val="00D451E6"/>
    <w:rsid w:val="00D51B0C"/>
    <w:rsid w:val="00D54B4F"/>
    <w:rsid w:val="00D55457"/>
    <w:rsid w:val="00D631D9"/>
    <w:rsid w:val="00D7265B"/>
    <w:rsid w:val="00D75EC2"/>
    <w:rsid w:val="00D76B8A"/>
    <w:rsid w:val="00D77EC8"/>
    <w:rsid w:val="00D81214"/>
    <w:rsid w:val="00D85455"/>
    <w:rsid w:val="00D948A7"/>
    <w:rsid w:val="00D96FF6"/>
    <w:rsid w:val="00DA1BE2"/>
    <w:rsid w:val="00DA2E15"/>
    <w:rsid w:val="00DB0FD5"/>
    <w:rsid w:val="00DB5C7A"/>
    <w:rsid w:val="00DD2B57"/>
    <w:rsid w:val="00DD4CDE"/>
    <w:rsid w:val="00DD5056"/>
    <w:rsid w:val="00DE3B72"/>
    <w:rsid w:val="00DE60A3"/>
    <w:rsid w:val="00DE6F58"/>
    <w:rsid w:val="00E06468"/>
    <w:rsid w:val="00E13D53"/>
    <w:rsid w:val="00E14B0C"/>
    <w:rsid w:val="00E21C34"/>
    <w:rsid w:val="00E23714"/>
    <w:rsid w:val="00E270D7"/>
    <w:rsid w:val="00E30163"/>
    <w:rsid w:val="00E334D8"/>
    <w:rsid w:val="00E34C83"/>
    <w:rsid w:val="00E35051"/>
    <w:rsid w:val="00E45FB6"/>
    <w:rsid w:val="00E50E60"/>
    <w:rsid w:val="00E51F33"/>
    <w:rsid w:val="00E617AA"/>
    <w:rsid w:val="00E82CEE"/>
    <w:rsid w:val="00E953B9"/>
    <w:rsid w:val="00EA09DA"/>
    <w:rsid w:val="00EA69B2"/>
    <w:rsid w:val="00EA6FB2"/>
    <w:rsid w:val="00EB189F"/>
    <w:rsid w:val="00EB7819"/>
    <w:rsid w:val="00EB7B9E"/>
    <w:rsid w:val="00EC30B6"/>
    <w:rsid w:val="00EC530C"/>
    <w:rsid w:val="00ED5D4F"/>
    <w:rsid w:val="00ED6A03"/>
    <w:rsid w:val="00EE0AAF"/>
    <w:rsid w:val="00EE2AA9"/>
    <w:rsid w:val="00EE6822"/>
    <w:rsid w:val="00EF168C"/>
    <w:rsid w:val="00F13373"/>
    <w:rsid w:val="00F16598"/>
    <w:rsid w:val="00F3666A"/>
    <w:rsid w:val="00F427A7"/>
    <w:rsid w:val="00F44661"/>
    <w:rsid w:val="00F455B9"/>
    <w:rsid w:val="00F5337A"/>
    <w:rsid w:val="00F56B16"/>
    <w:rsid w:val="00F665E9"/>
    <w:rsid w:val="00F7370C"/>
    <w:rsid w:val="00F73CB7"/>
    <w:rsid w:val="00F77E24"/>
    <w:rsid w:val="00F85CA8"/>
    <w:rsid w:val="00F912D9"/>
    <w:rsid w:val="00F97D35"/>
    <w:rsid w:val="00FA1EAC"/>
    <w:rsid w:val="00FA7DE6"/>
    <w:rsid w:val="00FB1B11"/>
    <w:rsid w:val="00FB5329"/>
    <w:rsid w:val="00FC5DDA"/>
    <w:rsid w:val="00FD0DA2"/>
    <w:rsid w:val="00FD1CF6"/>
    <w:rsid w:val="00FF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58F9"/>
    <w:pPr>
      <w:spacing w:after="0" w:line="240" w:lineRule="auto"/>
    </w:pPr>
    <w:rPr>
      <w:sz w:val="20"/>
      <w:szCs w:val="20"/>
    </w:rPr>
  </w:style>
  <w:style w:type="character" w:customStyle="1" w:styleId="FootnoteTextChar">
    <w:name w:val="Footnote Text Char"/>
    <w:basedOn w:val="DefaultParagraphFont"/>
    <w:link w:val="FootnoteText"/>
    <w:uiPriority w:val="99"/>
    <w:rsid w:val="003B58F9"/>
    <w:rPr>
      <w:sz w:val="20"/>
      <w:szCs w:val="20"/>
    </w:rPr>
  </w:style>
  <w:style w:type="character" w:styleId="FootnoteReference">
    <w:name w:val="footnote reference"/>
    <w:basedOn w:val="DefaultParagraphFont"/>
    <w:uiPriority w:val="99"/>
    <w:semiHidden/>
    <w:unhideWhenUsed/>
    <w:rsid w:val="003B58F9"/>
    <w:rPr>
      <w:vertAlign w:val="superscript"/>
    </w:rPr>
  </w:style>
  <w:style w:type="paragraph" w:styleId="ListParagraph">
    <w:name w:val="List Paragraph"/>
    <w:basedOn w:val="Normal"/>
    <w:uiPriority w:val="34"/>
    <w:qFormat/>
    <w:rsid w:val="00E50E60"/>
    <w:pPr>
      <w:ind w:left="720"/>
      <w:contextualSpacing/>
    </w:pPr>
  </w:style>
  <w:style w:type="paragraph" w:styleId="Header">
    <w:name w:val="header"/>
    <w:basedOn w:val="Normal"/>
    <w:link w:val="HeaderChar"/>
    <w:uiPriority w:val="99"/>
    <w:semiHidden/>
    <w:unhideWhenUsed/>
    <w:rsid w:val="006E1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665"/>
  </w:style>
  <w:style w:type="paragraph" w:styleId="Footer">
    <w:name w:val="footer"/>
    <w:basedOn w:val="Normal"/>
    <w:link w:val="FooterChar"/>
    <w:uiPriority w:val="99"/>
    <w:unhideWhenUsed/>
    <w:rsid w:val="006E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65"/>
  </w:style>
  <w:style w:type="character" w:styleId="Hyperlink">
    <w:name w:val="Hyperlink"/>
    <w:basedOn w:val="DefaultParagraphFont"/>
    <w:uiPriority w:val="99"/>
    <w:semiHidden/>
    <w:unhideWhenUsed/>
    <w:rsid w:val="00434303"/>
    <w:rPr>
      <w:color w:val="0000FF"/>
      <w:u w:val="single"/>
    </w:rPr>
  </w:style>
  <w:style w:type="paragraph" w:styleId="BalloonText">
    <w:name w:val="Balloon Text"/>
    <w:basedOn w:val="Normal"/>
    <w:link w:val="BalloonTextChar"/>
    <w:uiPriority w:val="99"/>
    <w:semiHidden/>
    <w:unhideWhenUsed/>
    <w:rsid w:val="007C6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58F9"/>
    <w:pPr>
      <w:spacing w:after="0" w:line="240" w:lineRule="auto"/>
    </w:pPr>
    <w:rPr>
      <w:sz w:val="20"/>
      <w:szCs w:val="20"/>
    </w:rPr>
  </w:style>
  <w:style w:type="character" w:customStyle="1" w:styleId="FootnoteTextChar">
    <w:name w:val="Footnote Text Char"/>
    <w:basedOn w:val="DefaultParagraphFont"/>
    <w:link w:val="FootnoteText"/>
    <w:uiPriority w:val="99"/>
    <w:rsid w:val="003B58F9"/>
    <w:rPr>
      <w:sz w:val="20"/>
      <w:szCs w:val="20"/>
    </w:rPr>
  </w:style>
  <w:style w:type="character" w:styleId="FootnoteReference">
    <w:name w:val="footnote reference"/>
    <w:basedOn w:val="DefaultParagraphFont"/>
    <w:uiPriority w:val="99"/>
    <w:semiHidden/>
    <w:unhideWhenUsed/>
    <w:rsid w:val="003B58F9"/>
    <w:rPr>
      <w:vertAlign w:val="superscript"/>
    </w:rPr>
  </w:style>
  <w:style w:type="paragraph" w:styleId="ListParagraph">
    <w:name w:val="List Paragraph"/>
    <w:basedOn w:val="Normal"/>
    <w:uiPriority w:val="34"/>
    <w:qFormat/>
    <w:rsid w:val="00E50E60"/>
    <w:pPr>
      <w:ind w:left="720"/>
      <w:contextualSpacing/>
    </w:pPr>
  </w:style>
  <w:style w:type="paragraph" w:styleId="Header">
    <w:name w:val="header"/>
    <w:basedOn w:val="Normal"/>
    <w:link w:val="HeaderChar"/>
    <w:uiPriority w:val="99"/>
    <w:semiHidden/>
    <w:unhideWhenUsed/>
    <w:rsid w:val="006E1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665"/>
  </w:style>
  <w:style w:type="paragraph" w:styleId="Footer">
    <w:name w:val="footer"/>
    <w:basedOn w:val="Normal"/>
    <w:link w:val="FooterChar"/>
    <w:uiPriority w:val="99"/>
    <w:unhideWhenUsed/>
    <w:rsid w:val="006E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65"/>
  </w:style>
  <w:style w:type="character" w:styleId="Hyperlink">
    <w:name w:val="Hyperlink"/>
    <w:basedOn w:val="DefaultParagraphFont"/>
    <w:uiPriority w:val="99"/>
    <w:semiHidden/>
    <w:unhideWhenUsed/>
    <w:rsid w:val="00434303"/>
    <w:rPr>
      <w:color w:val="0000FF"/>
      <w:u w:val="single"/>
    </w:rPr>
  </w:style>
  <w:style w:type="paragraph" w:styleId="BalloonText">
    <w:name w:val="Balloon Text"/>
    <w:basedOn w:val="Normal"/>
    <w:link w:val="BalloonTextChar"/>
    <w:uiPriority w:val="99"/>
    <w:semiHidden/>
    <w:unhideWhenUsed/>
    <w:rsid w:val="007C6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21389">
      <w:bodyDiv w:val="1"/>
      <w:marLeft w:val="0"/>
      <w:marRight w:val="0"/>
      <w:marTop w:val="0"/>
      <w:marBottom w:val="0"/>
      <w:divBdr>
        <w:top w:val="none" w:sz="0" w:space="0" w:color="auto"/>
        <w:left w:val="none" w:sz="0" w:space="0" w:color="auto"/>
        <w:bottom w:val="none" w:sz="0" w:space="0" w:color="auto"/>
        <w:right w:val="none" w:sz="0" w:space="0" w:color="auto"/>
      </w:divBdr>
      <w:divsChild>
        <w:div w:id="1058167419">
          <w:marLeft w:val="0"/>
          <w:marRight w:val="0"/>
          <w:marTop w:val="0"/>
          <w:marBottom w:val="0"/>
          <w:divBdr>
            <w:top w:val="none" w:sz="0" w:space="0" w:color="auto"/>
            <w:left w:val="none" w:sz="0" w:space="0" w:color="auto"/>
            <w:bottom w:val="none" w:sz="0" w:space="0" w:color="auto"/>
            <w:right w:val="none" w:sz="0" w:space="0" w:color="auto"/>
          </w:divBdr>
          <w:divsChild>
            <w:div w:id="473761621">
              <w:marLeft w:val="0"/>
              <w:marRight w:val="0"/>
              <w:marTop w:val="0"/>
              <w:marBottom w:val="0"/>
              <w:divBdr>
                <w:top w:val="none" w:sz="0" w:space="0" w:color="auto"/>
                <w:left w:val="none" w:sz="0" w:space="0" w:color="auto"/>
                <w:bottom w:val="none" w:sz="0" w:space="0" w:color="auto"/>
                <w:right w:val="none" w:sz="0" w:space="0" w:color="auto"/>
              </w:divBdr>
              <w:divsChild>
                <w:div w:id="1715273799">
                  <w:marLeft w:val="0"/>
                  <w:marRight w:val="0"/>
                  <w:marTop w:val="0"/>
                  <w:marBottom w:val="0"/>
                  <w:divBdr>
                    <w:top w:val="none" w:sz="0" w:space="0" w:color="auto"/>
                    <w:left w:val="none" w:sz="0" w:space="0" w:color="auto"/>
                    <w:bottom w:val="none" w:sz="0" w:space="0" w:color="auto"/>
                    <w:right w:val="none" w:sz="0" w:space="0" w:color="auto"/>
                  </w:divBdr>
                  <w:divsChild>
                    <w:div w:id="550993194">
                      <w:marLeft w:val="0"/>
                      <w:marRight w:val="0"/>
                      <w:marTop w:val="0"/>
                      <w:marBottom w:val="0"/>
                      <w:divBdr>
                        <w:top w:val="none" w:sz="0" w:space="0" w:color="auto"/>
                        <w:left w:val="none" w:sz="0" w:space="0" w:color="auto"/>
                        <w:bottom w:val="none" w:sz="0" w:space="0" w:color="auto"/>
                        <w:right w:val="none" w:sz="0" w:space="0" w:color="auto"/>
                      </w:divBdr>
                      <w:divsChild>
                        <w:div w:id="527572031">
                          <w:marLeft w:val="0"/>
                          <w:marRight w:val="0"/>
                          <w:marTop w:val="0"/>
                          <w:marBottom w:val="0"/>
                          <w:divBdr>
                            <w:top w:val="none" w:sz="0" w:space="0" w:color="auto"/>
                            <w:left w:val="none" w:sz="0" w:space="0" w:color="auto"/>
                            <w:bottom w:val="none" w:sz="0" w:space="0" w:color="auto"/>
                            <w:right w:val="none" w:sz="0" w:space="0" w:color="auto"/>
                          </w:divBdr>
                          <w:divsChild>
                            <w:div w:id="1141339212">
                              <w:marLeft w:val="0"/>
                              <w:marRight w:val="0"/>
                              <w:marTop w:val="0"/>
                              <w:marBottom w:val="0"/>
                              <w:divBdr>
                                <w:top w:val="none" w:sz="0" w:space="0" w:color="auto"/>
                                <w:left w:val="none" w:sz="0" w:space="0" w:color="auto"/>
                                <w:bottom w:val="none" w:sz="0" w:space="0" w:color="auto"/>
                                <w:right w:val="none" w:sz="0" w:space="0" w:color="auto"/>
                              </w:divBdr>
                              <w:divsChild>
                                <w:div w:id="684748593">
                                  <w:marLeft w:val="0"/>
                                  <w:marRight w:val="0"/>
                                  <w:marTop w:val="0"/>
                                  <w:marBottom w:val="0"/>
                                  <w:divBdr>
                                    <w:top w:val="none" w:sz="0" w:space="0" w:color="auto"/>
                                    <w:left w:val="none" w:sz="0" w:space="0" w:color="auto"/>
                                    <w:bottom w:val="none" w:sz="0" w:space="0" w:color="auto"/>
                                    <w:right w:val="none" w:sz="0" w:space="0" w:color="auto"/>
                                  </w:divBdr>
                                  <w:divsChild>
                                    <w:div w:id="1588422627">
                                      <w:marLeft w:val="0"/>
                                      <w:marRight w:val="0"/>
                                      <w:marTop w:val="0"/>
                                      <w:marBottom w:val="0"/>
                                      <w:divBdr>
                                        <w:top w:val="none" w:sz="0" w:space="0" w:color="auto"/>
                                        <w:left w:val="none" w:sz="0" w:space="0" w:color="auto"/>
                                        <w:bottom w:val="none" w:sz="0" w:space="0" w:color="auto"/>
                                        <w:right w:val="none" w:sz="0" w:space="0" w:color="auto"/>
                                      </w:divBdr>
                                      <w:divsChild>
                                        <w:div w:id="801994482">
                                          <w:marLeft w:val="0"/>
                                          <w:marRight w:val="0"/>
                                          <w:marTop w:val="0"/>
                                          <w:marBottom w:val="0"/>
                                          <w:divBdr>
                                            <w:top w:val="none" w:sz="0" w:space="0" w:color="auto"/>
                                            <w:left w:val="none" w:sz="0" w:space="0" w:color="auto"/>
                                            <w:bottom w:val="none" w:sz="0" w:space="0" w:color="auto"/>
                                            <w:right w:val="none" w:sz="0" w:space="0" w:color="auto"/>
                                          </w:divBdr>
                                          <w:divsChild>
                                            <w:div w:id="14625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795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1457">
          <w:marLeft w:val="0"/>
          <w:marRight w:val="0"/>
          <w:marTop w:val="0"/>
          <w:marBottom w:val="0"/>
          <w:divBdr>
            <w:top w:val="none" w:sz="0" w:space="0" w:color="auto"/>
            <w:left w:val="none" w:sz="0" w:space="0" w:color="auto"/>
            <w:bottom w:val="none" w:sz="0" w:space="0" w:color="auto"/>
            <w:right w:val="none" w:sz="0" w:space="0" w:color="auto"/>
          </w:divBdr>
          <w:divsChild>
            <w:div w:id="841699480">
              <w:marLeft w:val="0"/>
              <w:marRight w:val="0"/>
              <w:marTop w:val="0"/>
              <w:marBottom w:val="0"/>
              <w:divBdr>
                <w:top w:val="none" w:sz="0" w:space="0" w:color="auto"/>
                <w:left w:val="none" w:sz="0" w:space="0" w:color="auto"/>
                <w:bottom w:val="none" w:sz="0" w:space="0" w:color="auto"/>
                <w:right w:val="none" w:sz="0" w:space="0" w:color="auto"/>
              </w:divBdr>
              <w:divsChild>
                <w:div w:id="1042442328">
                  <w:marLeft w:val="0"/>
                  <w:marRight w:val="0"/>
                  <w:marTop w:val="0"/>
                  <w:marBottom w:val="0"/>
                  <w:divBdr>
                    <w:top w:val="none" w:sz="0" w:space="0" w:color="auto"/>
                    <w:left w:val="none" w:sz="0" w:space="0" w:color="auto"/>
                    <w:bottom w:val="none" w:sz="0" w:space="0" w:color="auto"/>
                    <w:right w:val="none" w:sz="0" w:space="0" w:color="auto"/>
                  </w:divBdr>
                  <w:divsChild>
                    <w:div w:id="458229035">
                      <w:marLeft w:val="0"/>
                      <w:marRight w:val="0"/>
                      <w:marTop w:val="0"/>
                      <w:marBottom w:val="0"/>
                      <w:divBdr>
                        <w:top w:val="none" w:sz="0" w:space="0" w:color="auto"/>
                        <w:left w:val="none" w:sz="0" w:space="0" w:color="auto"/>
                        <w:bottom w:val="none" w:sz="0" w:space="0" w:color="auto"/>
                        <w:right w:val="none" w:sz="0" w:space="0" w:color="auto"/>
                      </w:divBdr>
                      <w:divsChild>
                        <w:div w:id="1272008196">
                          <w:marLeft w:val="0"/>
                          <w:marRight w:val="0"/>
                          <w:marTop w:val="0"/>
                          <w:marBottom w:val="0"/>
                          <w:divBdr>
                            <w:top w:val="none" w:sz="0" w:space="0" w:color="auto"/>
                            <w:left w:val="none" w:sz="0" w:space="0" w:color="auto"/>
                            <w:bottom w:val="none" w:sz="0" w:space="0" w:color="auto"/>
                            <w:right w:val="none" w:sz="0" w:space="0" w:color="auto"/>
                          </w:divBdr>
                          <w:divsChild>
                            <w:div w:id="171072363">
                              <w:marLeft w:val="0"/>
                              <w:marRight w:val="0"/>
                              <w:marTop w:val="0"/>
                              <w:marBottom w:val="0"/>
                              <w:divBdr>
                                <w:top w:val="none" w:sz="0" w:space="0" w:color="auto"/>
                                <w:left w:val="none" w:sz="0" w:space="0" w:color="auto"/>
                                <w:bottom w:val="none" w:sz="0" w:space="0" w:color="auto"/>
                                <w:right w:val="none" w:sz="0" w:space="0" w:color="auto"/>
                              </w:divBdr>
                              <w:divsChild>
                                <w:div w:id="1310476413">
                                  <w:marLeft w:val="0"/>
                                  <w:marRight w:val="0"/>
                                  <w:marTop w:val="0"/>
                                  <w:marBottom w:val="0"/>
                                  <w:divBdr>
                                    <w:top w:val="none" w:sz="0" w:space="0" w:color="auto"/>
                                    <w:left w:val="none" w:sz="0" w:space="0" w:color="auto"/>
                                    <w:bottom w:val="none" w:sz="0" w:space="0" w:color="auto"/>
                                    <w:right w:val="none" w:sz="0" w:space="0" w:color="auto"/>
                                  </w:divBdr>
                                  <w:divsChild>
                                    <w:div w:id="589391898">
                                      <w:marLeft w:val="0"/>
                                      <w:marRight w:val="0"/>
                                      <w:marTop w:val="0"/>
                                      <w:marBottom w:val="0"/>
                                      <w:divBdr>
                                        <w:top w:val="none" w:sz="0" w:space="0" w:color="auto"/>
                                        <w:left w:val="none" w:sz="0" w:space="0" w:color="auto"/>
                                        <w:bottom w:val="none" w:sz="0" w:space="0" w:color="auto"/>
                                        <w:right w:val="none" w:sz="0" w:space="0" w:color="auto"/>
                                      </w:divBdr>
                                      <w:divsChild>
                                        <w:div w:id="636378219">
                                          <w:marLeft w:val="0"/>
                                          <w:marRight w:val="0"/>
                                          <w:marTop w:val="0"/>
                                          <w:marBottom w:val="0"/>
                                          <w:divBdr>
                                            <w:top w:val="none" w:sz="0" w:space="0" w:color="auto"/>
                                            <w:left w:val="none" w:sz="0" w:space="0" w:color="auto"/>
                                            <w:bottom w:val="none" w:sz="0" w:space="0" w:color="auto"/>
                                            <w:right w:val="none" w:sz="0" w:space="0" w:color="auto"/>
                                          </w:divBdr>
                                          <w:divsChild>
                                            <w:div w:id="1489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5F121-3B6B-4B1F-A3CB-646976F4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6348</Words>
  <Characters>36189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Point Loma Nazarene University</Company>
  <LinksUpToDate>false</LinksUpToDate>
  <CharactersWithSpaces>42453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Assist - ITS - Student Tech1</dc:creator>
  <cp:lastModifiedBy>Rosco Williamson</cp:lastModifiedBy>
  <cp:revision>5</cp:revision>
  <cp:lastPrinted>2016-03-07T17:55:00Z</cp:lastPrinted>
  <dcterms:created xsi:type="dcterms:W3CDTF">2016-03-07T17:55:00Z</dcterms:created>
  <dcterms:modified xsi:type="dcterms:W3CDTF">2016-03-09T18:34:00Z</dcterms:modified>
</cp:coreProperties>
</file>