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BE2738B" w14:textId="55F8167B" w:rsidR="00940D8F" w:rsidRPr="00F13CE9" w:rsidRDefault="00940D8F" w:rsidP="00CF0B95">
      <w:pPr>
        <w:spacing w:line="240" w:lineRule="auto"/>
        <w:jc w:val="right"/>
        <w:rPr>
          <w:rFonts w:cs="Times New Roman"/>
          <w:b/>
          <w:sz w:val="18"/>
          <w:szCs w:val="18"/>
        </w:rPr>
      </w:pPr>
    </w:p>
    <w:p w14:paraId="09774276" w14:textId="77777777" w:rsidR="00940D8F" w:rsidRDefault="00940D8F" w:rsidP="000B45C1">
      <w:pPr>
        <w:spacing w:line="240" w:lineRule="auto"/>
        <w:rPr>
          <w:rFonts w:cs="Times New Roman"/>
          <w:b/>
          <w:szCs w:val="24"/>
        </w:rPr>
      </w:pPr>
    </w:p>
    <w:p w14:paraId="3F3D6DBA" w14:textId="77777777" w:rsidR="00940D8F" w:rsidRDefault="00940D8F" w:rsidP="00554512">
      <w:pPr>
        <w:spacing w:line="240" w:lineRule="auto"/>
        <w:rPr>
          <w:rFonts w:cs="Times New Roman"/>
          <w:b/>
          <w:szCs w:val="24"/>
        </w:rPr>
      </w:pPr>
    </w:p>
    <w:p w14:paraId="32A74FA3" w14:textId="77777777" w:rsidR="00940D8F" w:rsidRDefault="00940D8F" w:rsidP="00554512">
      <w:pPr>
        <w:spacing w:line="240" w:lineRule="auto"/>
        <w:rPr>
          <w:rFonts w:cs="Times New Roman"/>
          <w:b/>
          <w:szCs w:val="24"/>
        </w:rPr>
      </w:pPr>
    </w:p>
    <w:p w14:paraId="57A6FC9A" w14:textId="77777777" w:rsidR="00940D8F" w:rsidRDefault="00940D8F" w:rsidP="00554512">
      <w:pPr>
        <w:spacing w:line="240" w:lineRule="auto"/>
        <w:rPr>
          <w:rFonts w:cs="Times New Roman"/>
          <w:b/>
          <w:szCs w:val="24"/>
        </w:rPr>
      </w:pPr>
    </w:p>
    <w:p w14:paraId="3C35785C" w14:textId="77777777" w:rsidR="00940D8F" w:rsidRDefault="00940D8F" w:rsidP="00554512">
      <w:pPr>
        <w:spacing w:line="240" w:lineRule="auto"/>
        <w:rPr>
          <w:rFonts w:cs="Times New Roman"/>
          <w:b/>
          <w:szCs w:val="24"/>
        </w:rPr>
      </w:pPr>
    </w:p>
    <w:p w14:paraId="6A574825" w14:textId="77777777" w:rsidR="00940D8F" w:rsidRDefault="00940D8F" w:rsidP="00554512">
      <w:pPr>
        <w:spacing w:line="240" w:lineRule="auto"/>
        <w:rPr>
          <w:rFonts w:cs="Times New Roman"/>
          <w:b/>
          <w:szCs w:val="24"/>
        </w:rPr>
      </w:pPr>
    </w:p>
    <w:p w14:paraId="3177B4C5" w14:textId="77777777" w:rsidR="00940D8F" w:rsidRDefault="00940D8F" w:rsidP="00554512">
      <w:pPr>
        <w:spacing w:line="240" w:lineRule="auto"/>
        <w:rPr>
          <w:rFonts w:cs="Times New Roman"/>
          <w:b/>
          <w:szCs w:val="24"/>
        </w:rPr>
      </w:pPr>
    </w:p>
    <w:p w14:paraId="43AC9EC9" w14:textId="10B5F81A" w:rsidR="00940D8F" w:rsidRPr="00B729BA" w:rsidRDefault="00B729BA" w:rsidP="00B729BA">
      <w:pPr>
        <w:spacing w:line="240" w:lineRule="auto"/>
        <w:jc w:val="center"/>
        <w:rPr>
          <w:rFonts w:cs="Times New Roman"/>
          <w:sz w:val="28"/>
          <w:szCs w:val="28"/>
        </w:rPr>
      </w:pPr>
      <w:r w:rsidRPr="00B729BA">
        <w:rPr>
          <w:rFonts w:cs="Times New Roman"/>
          <w:b/>
          <w:sz w:val="28"/>
          <w:szCs w:val="28"/>
        </w:rPr>
        <w:t xml:space="preserve">Diversity and Supreme Court </w:t>
      </w:r>
      <w:r w:rsidR="008D5B07">
        <w:rPr>
          <w:rFonts w:cs="Times New Roman"/>
          <w:b/>
          <w:sz w:val="28"/>
          <w:szCs w:val="28"/>
        </w:rPr>
        <w:t xml:space="preserve">Justices’ </w:t>
      </w:r>
      <w:r w:rsidRPr="00B729BA">
        <w:rPr>
          <w:rFonts w:cs="Times New Roman"/>
          <w:b/>
          <w:sz w:val="28"/>
          <w:szCs w:val="28"/>
        </w:rPr>
        <w:t xml:space="preserve">Voting When Legislative Intent </w:t>
      </w:r>
      <w:r w:rsidR="00C10AD0">
        <w:rPr>
          <w:rFonts w:cs="Times New Roman"/>
          <w:b/>
          <w:sz w:val="28"/>
          <w:szCs w:val="28"/>
        </w:rPr>
        <w:t xml:space="preserve">is </w:t>
      </w:r>
      <w:bookmarkStart w:id="0" w:name="_GoBack"/>
      <w:bookmarkEnd w:id="0"/>
      <w:r w:rsidRPr="00B729BA">
        <w:rPr>
          <w:rFonts w:cs="Times New Roman"/>
          <w:b/>
          <w:sz w:val="28"/>
          <w:szCs w:val="28"/>
        </w:rPr>
        <w:t>Known:</w:t>
      </w:r>
      <w:r w:rsidR="001316E9">
        <w:rPr>
          <w:rFonts w:cs="Times New Roman"/>
          <w:b/>
          <w:sz w:val="28"/>
          <w:szCs w:val="28"/>
        </w:rPr>
        <w:t xml:space="preserve"> </w:t>
      </w:r>
      <w:r w:rsidRPr="00B729BA">
        <w:rPr>
          <w:rFonts w:cs="Times New Roman"/>
          <w:b/>
          <w:sz w:val="28"/>
          <w:szCs w:val="28"/>
        </w:rPr>
        <w:t>The Case of Norway</w:t>
      </w:r>
    </w:p>
    <w:p w14:paraId="505458DD" w14:textId="77777777" w:rsidR="00940D8F" w:rsidRDefault="00940D8F" w:rsidP="00940D8F">
      <w:pPr>
        <w:spacing w:line="240" w:lineRule="auto"/>
        <w:rPr>
          <w:rFonts w:cs="Times New Roman"/>
          <w:szCs w:val="24"/>
        </w:rPr>
      </w:pPr>
    </w:p>
    <w:p w14:paraId="4EE1F9F0" w14:textId="77777777" w:rsidR="00940D8F" w:rsidRDefault="00940D8F" w:rsidP="00940D8F">
      <w:pPr>
        <w:spacing w:line="240" w:lineRule="auto"/>
        <w:rPr>
          <w:rFonts w:cs="Times New Roman"/>
          <w:szCs w:val="24"/>
        </w:rPr>
      </w:pPr>
    </w:p>
    <w:p w14:paraId="4E3E5C5B" w14:textId="77777777" w:rsidR="00940D8F" w:rsidRDefault="00940D8F" w:rsidP="00940D8F">
      <w:pPr>
        <w:spacing w:line="240" w:lineRule="auto"/>
        <w:rPr>
          <w:rFonts w:cs="Times New Roman"/>
          <w:szCs w:val="24"/>
        </w:rPr>
      </w:pPr>
    </w:p>
    <w:p w14:paraId="4969E5AD" w14:textId="77777777" w:rsidR="00940D8F" w:rsidRPr="00940D8F" w:rsidRDefault="00940D8F" w:rsidP="00940D8F">
      <w:pPr>
        <w:spacing w:line="240" w:lineRule="auto"/>
        <w:rPr>
          <w:rFonts w:cs="Times New Roman"/>
          <w:szCs w:val="24"/>
        </w:rPr>
      </w:pPr>
    </w:p>
    <w:p w14:paraId="7E9CF6C9" w14:textId="77777777" w:rsidR="00940D8F" w:rsidRPr="00940D8F" w:rsidRDefault="00940D8F" w:rsidP="00940D8F">
      <w:pPr>
        <w:spacing w:line="240" w:lineRule="auto"/>
        <w:rPr>
          <w:rFonts w:cs="Times New Roman"/>
          <w:szCs w:val="24"/>
        </w:rPr>
      </w:pPr>
    </w:p>
    <w:p w14:paraId="66B46E29" w14:textId="77777777" w:rsidR="00940D8F" w:rsidRPr="00940D8F" w:rsidRDefault="00940D8F" w:rsidP="00940D8F">
      <w:pPr>
        <w:spacing w:line="240" w:lineRule="auto"/>
        <w:rPr>
          <w:rFonts w:cs="Times New Roman"/>
          <w:szCs w:val="24"/>
        </w:rPr>
      </w:pPr>
    </w:p>
    <w:p w14:paraId="32F2FF86" w14:textId="77777777" w:rsidR="00940D8F" w:rsidRPr="00940D8F" w:rsidRDefault="00940D8F" w:rsidP="00940D8F">
      <w:pPr>
        <w:spacing w:line="240" w:lineRule="auto"/>
        <w:jc w:val="center"/>
        <w:rPr>
          <w:rFonts w:cs="Times New Roman"/>
          <w:szCs w:val="24"/>
          <w:lang w:val="en-GB"/>
        </w:rPr>
      </w:pPr>
      <w:r w:rsidRPr="00940D8F">
        <w:rPr>
          <w:rFonts w:cs="Times New Roman"/>
          <w:szCs w:val="24"/>
          <w:lang w:val="en-GB"/>
        </w:rPr>
        <w:t>William R. Shaffer</w:t>
      </w:r>
    </w:p>
    <w:p w14:paraId="2F418F59" w14:textId="77777777" w:rsidR="00940D8F" w:rsidRPr="00940D8F" w:rsidRDefault="00940D8F" w:rsidP="00940D8F">
      <w:pPr>
        <w:spacing w:line="240" w:lineRule="auto"/>
        <w:jc w:val="center"/>
        <w:rPr>
          <w:rFonts w:cs="Times New Roman"/>
          <w:szCs w:val="24"/>
          <w:lang w:val="en-GB"/>
        </w:rPr>
      </w:pPr>
      <w:r w:rsidRPr="00940D8F">
        <w:rPr>
          <w:rFonts w:cs="Times New Roman"/>
          <w:szCs w:val="24"/>
          <w:lang w:val="en-GB"/>
        </w:rPr>
        <w:t>Department of Political Science</w:t>
      </w:r>
    </w:p>
    <w:p w14:paraId="012510BE" w14:textId="77777777" w:rsidR="00940D8F" w:rsidRPr="00940D8F" w:rsidRDefault="00940D8F" w:rsidP="00940D8F">
      <w:pPr>
        <w:spacing w:line="240" w:lineRule="auto"/>
        <w:jc w:val="center"/>
        <w:rPr>
          <w:rFonts w:cs="Times New Roman"/>
          <w:szCs w:val="24"/>
          <w:lang w:val="en-GB"/>
        </w:rPr>
      </w:pPr>
      <w:r w:rsidRPr="00940D8F">
        <w:rPr>
          <w:rFonts w:cs="Times New Roman"/>
          <w:szCs w:val="24"/>
          <w:lang w:val="en-GB"/>
        </w:rPr>
        <w:t>Purdue University</w:t>
      </w:r>
    </w:p>
    <w:p w14:paraId="06000079" w14:textId="77777777" w:rsidR="00940D8F" w:rsidRDefault="00940D8F" w:rsidP="00554512">
      <w:pPr>
        <w:spacing w:line="240" w:lineRule="auto"/>
        <w:rPr>
          <w:rFonts w:cs="Times New Roman"/>
          <w:szCs w:val="24"/>
          <w:lang w:val="en-GB"/>
        </w:rPr>
      </w:pPr>
    </w:p>
    <w:p w14:paraId="491EE552" w14:textId="77777777" w:rsidR="00940D8F" w:rsidRPr="00940D8F" w:rsidRDefault="00940D8F" w:rsidP="00940D8F">
      <w:pPr>
        <w:spacing w:line="240" w:lineRule="auto"/>
        <w:jc w:val="center"/>
        <w:rPr>
          <w:rFonts w:cs="Times New Roman"/>
          <w:szCs w:val="24"/>
          <w:lang w:val="en-GB"/>
        </w:rPr>
      </w:pPr>
      <w:proofErr w:type="spellStart"/>
      <w:r w:rsidRPr="00940D8F">
        <w:rPr>
          <w:rFonts w:cs="Times New Roman"/>
          <w:szCs w:val="24"/>
          <w:lang w:val="en-GB"/>
        </w:rPr>
        <w:t>Ragnhild</w:t>
      </w:r>
      <w:proofErr w:type="spellEnd"/>
      <w:r w:rsidRPr="00940D8F">
        <w:rPr>
          <w:rFonts w:cs="Times New Roman"/>
          <w:szCs w:val="24"/>
          <w:lang w:val="en-GB"/>
        </w:rPr>
        <w:t xml:space="preserve"> Kisen</w:t>
      </w:r>
    </w:p>
    <w:p w14:paraId="41504513" w14:textId="77777777" w:rsidR="00940D8F" w:rsidRPr="00940D8F" w:rsidRDefault="00940D8F" w:rsidP="00940D8F">
      <w:pPr>
        <w:spacing w:line="240" w:lineRule="auto"/>
        <w:jc w:val="center"/>
        <w:rPr>
          <w:rFonts w:cs="Times New Roman"/>
          <w:szCs w:val="24"/>
          <w:lang w:val="en-GB"/>
        </w:rPr>
      </w:pPr>
      <w:r w:rsidRPr="00940D8F">
        <w:rPr>
          <w:rFonts w:cs="Times New Roman"/>
          <w:szCs w:val="24"/>
          <w:lang w:val="en-GB"/>
        </w:rPr>
        <w:t>Department of Comparative Politics</w:t>
      </w:r>
    </w:p>
    <w:p w14:paraId="3F76D307" w14:textId="77777777" w:rsidR="00940D8F" w:rsidRPr="00940D8F" w:rsidRDefault="00940D8F" w:rsidP="00940D8F">
      <w:pPr>
        <w:spacing w:line="240" w:lineRule="auto"/>
        <w:jc w:val="center"/>
        <w:rPr>
          <w:rFonts w:cs="Times New Roman"/>
          <w:szCs w:val="24"/>
          <w:lang w:val="en-GB"/>
        </w:rPr>
      </w:pPr>
      <w:r w:rsidRPr="00940D8F">
        <w:rPr>
          <w:rFonts w:cs="Times New Roman"/>
          <w:szCs w:val="24"/>
          <w:lang w:val="en-GB"/>
        </w:rPr>
        <w:t>University of Bergen</w:t>
      </w:r>
    </w:p>
    <w:p w14:paraId="4C8A8750" w14:textId="77777777" w:rsidR="00940D8F" w:rsidRPr="00940D8F" w:rsidRDefault="00940D8F" w:rsidP="00940D8F">
      <w:pPr>
        <w:spacing w:line="240" w:lineRule="auto"/>
        <w:rPr>
          <w:rFonts w:cs="Times New Roman"/>
          <w:szCs w:val="24"/>
        </w:rPr>
      </w:pPr>
    </w:p>
    <w:p w14:paraId="7975E4BF" w14:textId="77777777" w:rsidR="00940D8F" w:rsidRPr="00940D8F" w:rsidRDefault="00940D8F" w:rsidP="00940D8F">
      <w:pPr>
        <w:spacing w:line="240" w:lineRule="auto"/>
        <w:jc w:val="center"/>
        <w:rPr>
          <w:rFonts w:cs="Times New Roman"/>
          <w:szCs w:val="24"/>
          <w:lang w:val="en-GB"/>
        </w:rPr>
      </w:pPr>
      <w:r w:rsidRPr="00940D8F">
        <w:rPr>
          <w:rFonts w:cs="Times New Roman"/>
          <w:szCs w:val="24"/>
          <w:lang w:val="en-GB"/>
        </w:rPr>
        <w:t xml:space="preserve">Gunnar </w:t>
      </w:r>
      <w:proofErr w:type="spellStart"/>
      <w:r w:rsidRPr="00940D8F">
        <w:rPr>
          <w:rFonts w:cs="Times New Roman"/>
          <w:szCs w:val="24"/>
          <w:lang w:val="en-GB"/>
        </w:rPr>
        <w:t>Grendstad</w:t>
      </w:r>
      <w:proofErr w:type="spellEnd"/>
    </w:p>
    <w:p w14:paraId="3AD567AD" w14:textId="77777777" w:rsidR="00940D8F" w:rsidRPr="00940D8F" w:rsidRDefault="00940D8F" w:rsidP="00940D8F">
      <w:pPr>
        <w:spacing w:line="240" w:lineRule="auto"/>
        <w:jc w:val="center"/>
        <w:rPr>
          <w:rFonts w:cs="Times New Roman"/>
          <w:szCs w:val="24"/>
          <w:lang w:val="en-GB"/>
        </w:rPr>
      </w:pPr>
      <w:r w:rsidRPr="00940D8F">
        <w:rPr>
          <w:rFonts w:cs="Times New Roman"/>
          <w:szCs w:val="24"/>
          <w:lang w:val="en-GB"/>
        </w:rPr>
        <w:t>Department of Comparative Politics</w:t>
      </w:r>
    </w:p>
    <w:p w14:paraId="27F72E18" w14:textId="77777777" w:rsidR="00940D8F" w:rsidRPr="00940D8F" w:rsidRDefault="00940D8F" w:rsidP="00940D8F">
      <w:pPr>
        <w:spacing w:line="240" w:lineRule="auto"/>
        <w:jc w:val="center"/>
        <w:rPr>
          <w:rFonts w:cs="Times New Roman"/>
          <w:szCs w:val="24"/>
          <w:lang w:val="en-GB"/>
        </w:rPr>
      </w:pPr>
      <w:r w:rsidRPr="00940D8F">
        <w:rPr>
          <w:rFonts w:cs="Times New Roman"/>
          <w:szCs w:val="24"/>
          <w:lang w:val="en-GB"/>
        </w:rPr>
        <w:t>University of Bergen</w:t>
      </w:r>
    </w:p>
    <w:p w14:paraId="50B004D1" w14:textId="77777777" w:rsidR="00940D8F" w:rsidRPr="00940D8F" w:rsidRDefault="00940D8F" w:rsidP="00554512">
      <w:pPr>
        <w:spacing w:line="240" w:lineRule="auto"/>
        <w:rPr>
          <w:rFonts w:cs="Times New Roman"/>
          <w:szCs w:val="24"/>
          <w:lang w:val="en-GB"/>
        </w:rPr>
      </w:pPr>
    </w:p>
    <w:p w14:paraId="0BB5A550" w14:textId="77777777" w:rsidR="00940D8F" w:rsidRPr="00940D8F" w:rsidRDefault="00940D8F" w:rsidP="00940D8F">
      <w:pPr>
        <w:spacing w:line="240" w:lineRule="auto"/>
        <w:jc w:val="center"/>
        <w:rPr>
          <w:rFonts w:cs="Times New Roman"/>
          <w:szCs w:val="24"/>
          <w:lang w:val="en-GB"/>
        </w:rPr>
      </w:pPr>
      <w:r w:rsidRPr="00940D8F">
        <w:rPr>
          <w:rFonts w:cs="Times New Roman"/>
          <w:szCs w:val="24"/>
          <w:lang w:val="en-GB"/>
        </w:rPr>
        <w:t xml:space="preserve">Eric N. </w:t>
      </w:r>
      <w:proofErr w:type="spellStart"/>
      <w:r w:rsidRPr="00940D8F">
        <w:rPr>
          <w:rFonts w:cs="Times New Roman"/>
          <w:szCs w:val="24"/>
          <w:lang w:val="en-GB"/>
        </w:rPr>
        <w:t>Waltenburg</w:t>
      </w:r>
      <w:proofErr w:type="spellEnd"/>
    </w:p>
    <w:p w14:paraId="5293AA4E" w14:textId="77777777" w:rsidR="00940D8F" w:rsidRPr="00940D8F" w:rsidRDefault="00940D8F" w:rsidP="00940D8F">
      <w:pPr>
        <w:spacing w:line="240" w:lineRule="auto"/>
        <w:jc w:val="center"/>
        <w:rPr>
          <w:rFonts w:cs="Times New Roman"/>
          <w:szCs w:val="24"/>
          <w:lang w:val="en-GB"/>
        </w:rPr>
      </w:pPr>
      <w:r w:rsidRPr="00940D8F">
        <w:rPr>
          <w:rFonts w:cs="Times New Roman"/>
          <w:szCs w:val="24"/>
          <w:lang w:val="en-GB"/>
        </w:rPr>
        <w:t>Department of Political Science</w:t>
      </w:r>
    </w:p>
    <w:p w14:paraId="05F94DAD" w14:textId="77777777" w:rsidR="00940D8F" w:rsidRPr="00940D8F" w:rsidRDefault="00940D8F" w:rsidP="00940D8F">
      <w:pPr>
        <w:spacing w:line="240" w:lineRule="auto"/>
        <w:jc w:val="center"/>
        <w:rPr>
          <w:rFonts w:cs="Times New Roman"/>
          <w:szCs w:val="24"/>
          <w:lang w:val="en-GB"/>
        </w:rPr>
      </w:pPr>
      <w:r w:rsidRPr="00940D8F">
        <w:rPr>
          <w:rFonts w:cs="Times New Roman"/>
          <w:szCs w:val="24"/>
          <w:lang w:val="en-GB"/>
        </w:rPr>
        <w:t>Purdue University</w:t>
      </w:r>
    </w:p>
    <w:p w14:paraId="4825A96F" w14:textId="77777777" w:rsidR="00940D8F" w:rsidRDefault="00940D8F" w:rsidP="00940D8F">
      <w:pPr>
        <w:spacing w:line="240" w:lineRule="auto"/>
        <w:rPr>
          <w:rFonts w:cs="Times New Roman"/>
          <w:szCs w:val="24"/>
        </w:rPr>
      </w:pPr>
    </w:p>
    <w:p w14:paraId="67E1DB04" w14:textId="77777777" w:rsidR="00940D8F" w:rsidRPr="00940D8F" w:rsidRDefault="00940D8F" w:rsidP="00940D8F">
      <w:pPr>
        <w:spacing w:line="240" w:lineRule="auto"/>
        <w:rPr>
          <w:rFonts w:cs="Times New Roman"/>
          <w:szCs w:val="24"/>
        </w:rPr>
      </w:pPr>
    </w:p>
    <w:p w14:paraId="27326DD1" w14:textId="77777777" w:rsidR="00940D8F" w:rsidRPr="00940D8F" w:rsidRDefault="00940D8F" w:rsidP="00940D8F">
      <w:pPr>
        <w:spacing w:line="240" w:lineRule="auto"/>
        <w:rPr>
          <w:rFonts w:cs="Times New Roman"/>
          <w:szCs w:val="24"/>
        </w:rPr>
      </w:pPr>
    </w:p>
    <w:p w14:paraId="54ABC0CB" w14:textId="77777777" w:rsidR="00940D8F" w:rsidRPr="00940D8F" w:rsidRDefault="00940D8F" w:rsidP="00940D8F">
      <w:pPr>
        <w:spacing w:line="240" w:lineRule="auto"/>
        <w:rPr>
          <w:rFonts w:cs="Times New Roman"/>
          <w:szCs w:val="24"/>
        </w:rPr>
      </w:pPr>
    </w:p>
    <w:p w14:paraId="5C100BBA" w14:textId="77777777" w:rsidR="00940D8F" w:rsidRDefault="00940D8F" w:rsidP="00940D8F">
      <w:pPr>
        <w:spacing w:line="240" w:lineRule="auto"/>
        <w:rPr>
          <w:rFonts w:cs="Times New Roman"/>
          <w:szCs w:val="24"/>
        </w:rPr>
      </w:pPr>
    </w:p>
    <w:p w14:paraId="6E9ED28F" w14:textId="77777777" w:rsidR="00B729BA" w:rsidRDefault="00B729BA" w:rsidP="00940D8F">
      <w:pPr>
        <w:spacing w:line="240" w:lineRule="auto"/>
        <w:rPr>
          <w:rFonts w:cs="Times New Roman"/>
          <w:szCs w:val="24"/>
        </w:rPr>
      </w:pPr>
    </w:p>
    <w:p w14:paraId="5E0098AE" w14:textId="77777777" w:rsidR="00B729BA" w:rsidRDefault="00B729BA" w:rsidP="00940D8F">
      <w:pPr>
        <w:spacing w:line="240" w:lineRule="auto"/>
        <w:rPr>
          <w:rFonts w:cs="Times New Roman"/>
          <w:szCs w:val="24"/>
        </w:rPr>
      </w:pPr>
    </w:p>
    <w:p w14:paraId="57EE383B" w14:textId="77777777" w:rsidR="00B729BA" w:rsidRDefault="00B729BA" w:rsidP="00940D8F">
      <w:pPr>
        <w:spacing w:line="240" w:lineRule="auto"/>
        <w:rPr>
          <w:rFonts w:cs="Times New Roman"/>
          <w:szCs w:val="24"/>
        </w:rPr>
      </w:pPr>
    </w:p>
    <w:p w14:paraId="68F01449" w14:textId="77777777" w:rsidR="00B729BA" w:rsidRPr="00940D8F" w:rsidRDefault="00B729BA" w:rsidP="00940D8F">
      <w:pPr>
        <w:spacing w:line="240" w:lineRule="auto"/>
        <w:rPr>
          <w:rFonts w:cs="Times New Roman"/>
          <w:szCs w:val="24"/>
        </w:rPr>
      </w:pPr>
    </w:p>
    <w:p w14:paraId="0CCD50C4" w14:textId="77777777" w:rsidR="00940D8F" w:rsidRPr="00940D8F" w:rsidRDefault="00940D8F" w:rsidP="00940D8F">
      <w:pPr>
        <w:spacing w:line="240" w:lineRule="auto"/>
        <w:rPr>
          <w:rFonts w:cs="Times New Roman"/>
          <w:szCs w:val="24"/>
        </w:rPr>
      </w:pPr>
    </w:p>
    <w:p w14:paraId="3BA027C6" w14:textId="77777777" w:rsidR="00940D8F" w:rsidRPr="00940D8F" w:rsidRDefault="00940D8F" w:rsidP="00940D8F">
      <w:pPr>
        <w:spacing w:line="240" w:lineRule="auto"/>
        <w:rPr>
          <w:rFonts w:cs="Times New Roman"/>
          <w:szCs w:val="24"/>
        </w:rPr>
      </w:pPr>
    </w:p>
    <w:p w14:paraId="0A22B618" w14:textId="77777777" w:rsidR="00940D8F" w:rsidRDefault="00940D8F" w:rsidP="00B729BA">
      <w:pPr>
        <w:spacing w:line="240" w:lineRule="auto"/>
        <w:rPr>
          <w:rFonts w:cs="Times New Roman"/>
          <w:szCs w:val="24"/>
          <w:lang w:val="en-GB" w:eastAsia="nb-NO"/>
        </w:rPr>
      </w:pPr>
      <w:r>
        <w:rPr>
          <w:rFonts w:cs="Times New Roman"/>
          <w:szCs w:val="24"/>
        </w:rPr>
        <w:t>P</w:t>
      </w:r>
      <w:r w:rsidRPr="00940D8F">
        <w:rPr>
          <w:rFonts w:cs="Times New Roman"/>
          <w:szCs w:val="24"/>
        </w:rPr>
        <w:t xml:space="preserve">repared for delivery at the Annual Meeting </w:t>
      </w:r>
      <w:r w:rsidR="00B729BA">
        <w:rPr>
          <w:rFonts w:cs="Times New Roman"/>
          <w:szCs w:val="24"/>
          <w:lang w:val="en-GB" w:eastAsia="nb-NO"/>
        </w:rPr>
        <w:t>Western</w:t>
      </w:r>
      <w:r w:rsidRPr="00940D8F">
        <w:rPr>
          <w:rFonts w:cs="Times New Roman"/>
          <w:szCs w:val="24"/>
          <w:lang w:val="en-GB" w:eastAsia="nb-NO"/>
        </w:rPr>
        <w:t xml:space="preserve"> Political Science Association, </w:t>
      </w:r>
      <w:r w:rsidR="00B729BA">
        <w:rPr>
          <w:rFonts w:cs="Times New Roman"/>
          <w:szCs w:val="24"/>
          <w:lang w:val="en-GB" w:eastAsia="nb-NO"/>
        </w:rPr>
        <w:t>Hyatt Regency Hotel, San Francisco</w:t>
      </w:r>
      <w:r w:rsidRPr="00940D8F">
        <w:rPr>
          <w:rFonts w:cs="Times New Roman"/>
          <w:szCs w:val="24"/>
          <w:lang w:val="en-GB" w:eastAsia="nb-NO"/>
        </w:rPr>
        <w:t>,</w:t>
      </w:r>
      <w:r w:rsidR="00B729BA">
        <w:rPr>
          <w:rFonts w:cs="Times New Roman"/>
          <w:szCs w:val="24"/>
          <w:lang w:val="en-GB" w:eastAsia="nb-NO"/>
        </w:rPr>
        <w:t xml:space="preserve"> CA</w:t>
      </w:r>
      <w:r w:rsidRPr="00940D8F">
        <w:rPr>
          <w:rFonts w:cs="Times New Roman"/>
          <w:szCs w:val="24"/>
          <w:lang w:val="en-GB" w:eastAsia="nb-NO"/>
        </w:rPr>
        <w:t xml:space="preserve">, </w:t>
      </w:r>
      <w:r w:rsidR="00B729BA">
        <w:rPr>
          <w:rFonts w:cs="Times New Roman"/>
          <w:szCs w:val="24"/>
          <w:lang w:val="en-GB" w:eastAsia="nb-NO"/>
        </w:rPr>
        <w:t>March</w:t>
      </w:r>
      <w:r w:rsidRPr="00940D8F">
        <w:rPr>
          <w:rFonts w:cs="Times New Roman"/>
          <w:szCs w:val="24"/>
          <w:lang w:val="en-GB" w:eastAsia="nb-NO"/>
        </w:rPr>
        <w:t xml:space="preserve"> </w:t>
      </w:r>
      <w:r w:rsidR="00B729BA">
        <w:rPr>
          <w:rFonts w:cs="Times New Roman"/>
          <w:szCs w:val="24"/>
          <w:lang w:val="en-GB" w:eastAsia="nb-NO"/>
        </w:rPr>
        <w:t>29</w:t>
      </w:r>
      <w:r w:rsidRPr="00940D8F">
        <w:rPr>
          <w:rFonts w:cs="Times New Roman"/>
          <w:szCs w:val="24"/>
          <w:lang w:val="en-GB" w:eastAsia="nb-NO"/>
        </w:rPr>
        <w:t>-</w:t>
      </w:r>
      <w:r w:rsidR="00B729BA">
        <w:rPr>
          <w:rFonts w:cs="Times New Roman"/>
          <w:szCs w:val="24"/>
          <w:lang w:val="en-GB" w:eastAsia="nb-NO"/>
        </w:rPr>
        <w:t>31</w:t>
      </w:r>
      <w:r>
        <w:rPr>
          <w:rFonts w:cs="Times New Roman"/>
          <w:szCs w:val="24"/>
          <w:lang w:val="en-GB" w:eastAsia="nb-NO"/>
        </w:rPr>
        <w:t>, 201</w:t>
      </w:r>
      <w:r w:rsidR="00064399">
        <w:rPr>
          <w:rFonts w:cs="Times New Roman"/>
          <w:szCs w:val="24"/>
          <w:lang w:val="en-GB" w:eastAsia="nb-NO"/>
        </w:rPr>
        <w:t>8</w:t>
      </w:r>
    </w:p>
    <w:p w14:paraId="0F7B9FF3" w14:textId="14B3D6DE" w:rsidR="008A6C5C" w:rsidRDefault="008A6C5C">
      <w:pPr>
        <w:spacing w:after="200" w:line="276" w:lineRule="auto"/>
        <w:rPr>
          <w:rFonts w:cs="Times New Roman"/>
          <w:szCs w:val="24"/>
          <w:lang w:val="en-GB" w:eastAsia="nb-NO"/>
        </w:rPr>
      </w:pPr>
      <w:r>
        <w:rPr>
          <w:rFonts w:cs="Times New Roman"/>
          <w:szCs w:val="24"/>
          <w:lang w:val="en-GB" w:eastAsia="nb-NO"/>
        </w:rPr>
        <w:br w:type="page"/>
      </w:r>
    </w:p>
    <w:p w14:paraId="70B05E0E" w14:textId="77777777" w:rsidR="00940D8F" w:rsidRPr="00940D8F" w:rsidRDefault="00B729BA" w:rsidP="00940D8F">
      <w:pPr>
        <w:spacing w:line="240" w:lineRule="auto"/>
        <w:jc w:val="center"/>
        <w:rPr>
          <w:rFonts w:cs="Times New Roman"/>
          <w:b/>
          <w:szCs w:val="24"/>
        </w:rPr>
      </w:pPr>
      <w:r>
        <w:rPr>
          <w:rFonts w:cs="Times New Roman"/>
          <w:b/>
          <w:szCs w:val="24"/>
        </w:rPr>
        <w:lastRenderedPageBreak/>
        <w:t>A</w:t>
      </w:r>
      <w:r w:rsidR="00940D8F" w:rsidRPr="00940D8F">
        <w:rPr>
          <w:rFonts w:cs="Times New Roman"/>
          <w:b/>
          <w:szCs w:val="24"/>
        </w:rPr>
        <w:t>bstract</w:t>
      </w:r>
    </w:p>
    <w:p w14:paraId="391526CA" w14:textId="77777777" w:rsidR="00940D8F" w:rsidRDefault="00940D8F" w:rsidP="00940D8F">
      <w:pPr>
        <w:spacing w:line="240" w:lineRule="auto"/>
        <w:rPr>
          <w:rFonts w:cs="Times New Roman"/>
          <w:szCs w:val="24"/>
        </w:rPr>
      </w:pPr>
    </w:p>
    <w:p w14:paraId="7B7DD5D7" w14:textId="77777777" w:rsidR="00940D8F" w:rsidRDefault="00940D8F" w:rsidP="002B7FCE"/>
    <w:p w14:paraId="25819DBB" w14:textId="77777777" w:rsidR="002B7FCE" w:rsidRPr="00787DAF" w:rsidRDefault="002B7FCE" w:rsidP="00787DAF">
      <w:pPr>
        <w:ind w:firstLine="720"/>
      </w:pPr>
      <w:r w:rsidRPr="00787DAF">
        <w:t>Although the Norwegian Supreme Court is a political institution, legal scholars, lawyers and justices often argue that a variety of legal, rather than political, principles should be invoked to render good decisions</w:t>
      </w:r>
      <w:r w:rsidR="002452ED" w:rsidRPr="00787DAF">
        <w:t xml:space="preserve">. </w:t>
      </w:r>
      <w:r w:rsidRPr="00787DAF">
        <w:t>For example, justices may draw upon the plain meaning of the law, the objective</w:t>
      </w:r>
      <w:r w:rsidR="002452ED" w:rsidRPr="00787DAF">
        <w:t>s</w:t>
      </w:r>
      <w:r w:rsidRPr="00787DAF">
        <w:t xml:space="preserve"> of the </w:t>
      </w:r>
      <w:r w:rsidR="002452ED" w:rsidRPr="00787DAF">
        <w:t>C</w:t>
      </w:r>
      <w:r w:rsidRPr="00787DAF">
        <w:t>onstitution’s framers, precedence, and legislative intent</w:t>
      </w:r>
      <w:r w:rsidR="002452ED" w:rsidRPr="00787DAF">
        <w:t xml:space="preserve">. </w:t>
      </w:r>
    </w:p>
    <w:p w14:paraId="788CD5E3" w14:textId="3A31117A" w:rsidR="002B7FCE" w:rsidRPr="00787DAF" w:rsidRDefault="002B7FCE" w:rsidP="002B7FCE">
      <w:r w:rsidRPr="00787DAF">
        <w:tab/>
        <w:t xml:space="preserve">As part of a larger research project on the Norwegian judicial system, this paper </w:t>
      </w:r>
      <w:r w:rsidR="00A07089" w:rsidRPr="00787DAF">
        <w:t xml:space="preserve">is </w:t>
      </w:r>
      <w:r w:rsidR="00884B7D" w:rsidRPr="00787DAF">
        <w:t>an</w:t>
      </w:r>
      <w:r w:rsidR="00884B7D" w:rsidRPr="00DF246D">
        <w:rPr>
          <w:highlight w:val="yellow"/>
        </w:rPr>
        <w:t xml:space="preserve"> </w:t>
      </w:r>
      <w:r w:rsidR="00884B7D" w:rsidRPr="005B3031">
        <w:t xml:space="preserve">effort to </w:t>
      </w:r>
      <w:r w:rsidRPr="005B3031">
        <w:t xml:space="preserve">address the role of legislative meaning of the statute or constitutional provision </w:t>
      </w:r>
      <w:r w:rsidR="00787DAF" w:rsidRPr="005B3031">
        <w:t>in the context of an ever-diversifying Court</w:t>
      </w:r>
      <w:r w:rsidR="00DA571E">
        <w:t xml:space="preserve">. </w:t>
      </w:r>
      <w:r w:rsidRPr="00787DAF">
        <w:t>For each of a series of Supreme Court plenary session decisions where the key dispute is over a parliamentary law, we code the justices’ votes as being consistent with either a socialist or non-socialist position on the statutory provision.</w:t>
      </w:r>
    </w:p>
    <w:p w14:paraId="4DF66631" w14:textId="2EB12D47" w:rsidR="00940D8F" w:rsidRPr="00787DAF" w:rsidRDefault="002B7FCE" w:rsidP="002B7FCE">
      <w:r w:rsidRPr="00787DAF">
        <w:tab/>
        <w:t xml:space="preserve">We test whether </w:t>
      </w:r>
      <w:r w:rsidR="00787DAF">
        <w:t>diversity</w:t>
      </w:r>
      <w:r w:rsidR="00E421A1">
        <w:t xml:space="preserve"> of the Court</w:t>
      </w:r>
      <w:r w:rsidR="00787DAF">
        <w:t xml:space="preserve">, legislative intent, </w:t>
      </w:r>
      <w:r w:rsidR="00414EA5">
        <w:t xml:space="preserve">and </w:t>
      </w:r>
      <w:r w:rsidR="00E421A1">
        <w:t xml:space="preserve">a justice’s </w:t>
      </w:r>
      <w:r w:rsidRPr="00787DAF">
        <w:t>ideology</w:t>
      </w:r>
      <w:r w:rsidR="00787DAF">
        <w:t xml:space="preserve"> </w:t>
      </w:r>
      <w:r w:rsidRPr="00787DAF">
        <w:t>ha</w:t>
      </w:r>
      <w:r w:rsidR="00787DAF">
        <w:t>ve</w:t>
      </w:r>
      <w:r w:rsidRPr="00787DAF">
        <w:t xml:space="preserve"> a significant impact on the justices’ voting behavior in disputes involving the legal model’s partial reliance upon legislative intent in reaching a decision</w:t>
      </w:r>
      <w:r w:rsidR="002452ED" w:rsidRPr="005B3031">
        <w:t xml:space="preserve">. </w:t>
      </w:r>
      <w:r w:rsidR="00787DAF" w:rsidRPr="005B3031">
        <w:t xml:space="preserve">We find that </w:t>
      </w:r>
      <w:r w:rsidR="00E421A1">
        <w:t xml:space="preserve">the Court’s </w:t>
      </w:r>
      <w:r w:rsidR="00787DAF" w:rsidRPr="005B3031">
        <w:t>diversity and a socialist legislative intent reduce the likelihood of a justice casting a socialist vote</w:t>
      </w:r>
      <w:r w:rsidR="00DA571E">
        <w:t xml:space="preserve">. </w:t>
      </w:r>
      <w:r w:rsidR="00787DAF">
        <w:t>A socialist ideology, however, raises the likelihood that a justice suppor</w:t>
      </w:r>
      <w:r w:rsidR="00EA3DE9">
        <w:t>ts a socialist position in a ple</w:t>
      </w:r>
      <w:r w:rsidR="00787DAF">
        <w:t>nary session case</w:t>
      </w:r>
      <w:r w:rsidR="00DA571E">
        <w:t xml:space="preserve">. </w:t>
      </w:r>
      <w:r w:rsidR="005B3031">
        <w:t>We conclude that the negative effect of diversity on socialist voting reflects the more liberal views embraced by a younger cohort of justices.</w:t>
      </w:r>
    </w:p>
    <w:p w14:paraId="00BB420B" w14:textId="77777777" w:rsidR="00633C8A" w:rsidRDefault="00633C8A">
      <w:pPr>
        <w:spacing w:after="200" w:line="276" w:lineRule="auto"/>
      </w:pPr>
      <w:r>
        <w:br w:type="page"/>
      </w:r>
    </w:p>
    <w:p w14:paraId="1C88E08A" w14:textId="77777777" w:rsidR="000A40B2" w:rsidRDefault="000A40B2" w:rsidP="00940D8F">
      <w:pPr>
        <w:spacing w:line="240" w:lineRule="auto"/>
        <w:jc w:val="center"/>
        <w:rPr>
          <w:rFonts w:cs="Times New Roman"/>
          <w:b/>
          <w:szCs w:val="24"/>
        </w:rPr>
        <w:sectPr w:rsidR="000A40B2" w:rsidSect="007C033A">
          <w:footerReference w:type="default" r:id="rId8"/>
          <w:pgSz w:w="12240" w:h="15840"/>
          <w:pgMar w:top="1440" w:right="1440" w:bottom="1440" w:left="1440" w:header="720" w:footer="720" w:gutter="0"/>
          <w:pgNumType w:start="1"/>
          <w:cols w:space="720"/>
          <w:docGrid w:linePitch="360"/>
        </w:sectPr>
      </w:pPr>
    </w:p>
    <w:p w14:paraId="2AE1441D" w14:textId="268D79DD" w:rsidR="00940D8F" w:rsidRPr="00940D8F" w:rsidRDefault="00B155D8" w:rsidP="00940D8F">
      <w:pPr>
        <w:spacing w:line="240" w:lineRule="auto"/>
        <w:jc w:val="center"/>
        <w:rPr>
          <w:rFonts w:cs="Times New Roman"/>
          <w:b/>
          <w:szCs w:val="24"/>
        </w:rPr>
      </w:pPr>
      <w:r>
        <w:rPr>
          <w:rFonts w:cs="Times New Roman"/>
          <w:b/>
          <w:szCs w:val="24"/>
        </w:rPr>
        <w:lastRenderedPageBreak/>
        <w:t xml:space="preserve">Diversity </w:t>
      </w:r>
      <w:r w:rsidR="00855A3F">
        <w:rPr>
          <w:rFonts w:cs="Times New Roman"/>
          <w:b/>
          <w:szCs w:val="24"/>
        </w:rPr>
        <w:t xml:space="preserve">and </w:t>
      </w:r>
      <w:r w:rsidR="00940D8F" w:rsidRPr="00940D8F">
        <w:rPr>
          <w:rFonts w:cs="Times New Roman"/>
          <w:b/>
          <w:szCs w:val="24"/>
        </w:rPr>
        <w:t xml:space="preserve">Supreme Court </w:t>
      </w:r>
      <w:r w:rsidR="00855A3F">
        <w:rPr>
          <w:rFonts w:cs="Times New Roman"/>
          <w:b/>
          <w:szCs w:val="24"/>
        </w:rPr>
        <w:t>Voting When Legislative Intent Known</w:t>
      </w:r>
      <w:r w:rsidR="00940D8F" w:rsidRPr="00940D8F">
        <w:rPr>
          <w:rFonts w:cs="Times New Roman"/>
          <w:b/>
          <w:szCs w:val="24"/>
        </w:rPr>
        <w:t>:</w:t>
      </w:r>
    </w:p>
    <w:p w14:paraId="1EFED525" w14:textId="77777777" w:rsidR="00940D8F" w:rsidRDefault="00940D8F" w:rsidP="00940D8F">
      <w:pPr>
        <w:jc w:val="center"/>
        <w:rPr>
          <w:rFonts w:cs="Times New Roman"/>
          <w:szCs w:val="24"/>
        </w:rPr>
      </w:pPr>
      <w:r w:rsidRPr="00940D8F">
        <w:rPr>
          <w:rFonts w:cs="Times New Roman"/>
          <w:b/>
          <w:szCs w:val="24"/>
        </w:rPr>
        <w:t>The Case of Norway</w:t>
      </w:r>
      <w:r w:rsidR="00633C8A">
        <w:rPr>
          <w:rStyle w:val="FootnoteReference"/>
          <w:rFonts w:cs="Times New Roman"/>
          <w:b/>
          <w:szCs w:val="24"/>
        </w:rPr>
        <w:footnoteReference w:id="1"/>
      </w:r>
    </w:p>
    <w:p w14:paraId="3143ABCB" w14:textId="77777777" w:rsidR="00F96182" w:rsidRDefault="00F96182" w:rsidP="00F96182">
      <w:pPr>
        <w:spacing w:line="240" w:lineRule="auto"/>
        <w:rPr>
          <w:rFonts w:cs="Times New Roman"/>
          <w:szCs w:val="24"/>
        </w:rPr>
      </w:pPr>
    </w:p>
    <w:p w14:paraId="0C22678C" w14:textId="4C427502" w:rsidR="00864E16" w:rsidRPr="00CE73D4" w:rsidRDefault="00864E16" w:rsidP="00864E16">
      <w:pPr>
        <w:spacing w:line="240" w:lineRule="auto"/>
        <w:ind w:left="2835"/>
        <w:rPr>
          <w:rFonts w:cs="Times New Roman"/>
          <w:szCs w:val="24"/>
        </w:rPr>
      </w:pPr>
      <w:r w:rsidRPr="00CE73D4">
        <w:rPr>
          <w:rFonts w:cs="Times New Roman"/>
          <w:szCs w:val="24"/>
        </w:rPr>
        <w:t xml:space="preserve">Once the essential professional qualifications are met, it would </w:t>
      </w:r>
      <w:r w:rsidRPr="00CE73D4">
        <w:rPr>
          <w:rFonts w:cs="Times New Roman"/>
          <w:i/>
          <w:szCs w:val="24"/>
        </w:rPr>
        <w:t>be to the advantage of the Court</w:t>
      </w:r>
      <w:r w:rsidRPr="00CE73D4">
        <w:rPr>
          <w:rFonts w:cs="Times New Roman"/>
          <w:szCs w:val="24"/>
        </w:rPr>
        <w:t xml:space="preserve"> if its composition reflected a wide breadth of experience from different areas of the country, professional backgrounds from different areas of legal practice, and, furthermore, if it had a more balanced proportion of women to men (Smith, 1998: 101, italics added).</w:t>
      </w:r>
    </w:p>
    <w:p w14:paraId="1EEB2B0F" w14:textId="77777777" w:rsidR="00864E16" w:rsidRPr="00CE73D4" w:rsidRDefault="00864E16" w:rsidP="00864E16">
      <w:pPr>
        <w:spacing w:line="240" w:lineRule="auto"/>
        <w:rPr>
          <w:rFonts w:cs="Times New Roman"/>
          <w:szCs w:val="24"/>
        </w:rPr>
      </w:pPr>
    </w:p>
    <w:p w14:paraId="3EDF9B54" w14:textId="77777777" w:rsidR="00F7298C" w:rsidRDefault="00F7298C" w:rsidP="00F96182">
      <w:pPr>
        <w:spacing w:line="240" w:lineRule="auto"/>
        <w:rPr>
          <w:rFonts w:cs="Times New Roman"/>
          <w:szCs w:val="24"/>
        </w:rPr>
      </w:pPr>
    </w:p>
    <w:p w14:paraId="2356C28B" w14:textId="1606622F" w:rsidR="00F7298C" w:rsidRDefault="00F7298C" w:rsidP="00F7298C">
      <w:pPr>
        <w:rPr>
          <w:rFonts w:cs="Times New Roman"/>
          <w:szCs w:val="24"/>
        </w:rPr>
      </w:pPr>
      <w:r>
        <w:rPr>
          <w:rFonts w:cs="Times New Roman"/>
          <w:szCs w:val="24"/>
        </w:rPr>
        <w:tab/>
        <w:t xml:space="preserve">Former Chief Justice Carsten Smith actively promoted the diversification of the </w:t>
      </w:r>
      <w:proofErr w:type="spellStart"/>
      <w:r w:rsidRPr="00AD7F77">
        <w:rPr>
          <w:rFonts w:cs="Times New Roman"/>
          <w:szCs w:val="24"/>
        </w:rPr>
        <w:t>Høyesterett</w:t>
      </w:r>
      <w:proofErr w:type="spellEnd"/>
      <w:r w:rsidRPr="00AD7F77">
        <w:rPr>
          <w:rFonts w:cs="Times New Roman"/>
          <w:szCs w:val="24"/>
        </w:rPr>
        <w:t>, the Norwegian Supreme Court</w:t>
      </w:r>
      <w:r w:rsidR="00DA571E">
        <w:rPr>
          <w:rFonts w:cs="Times New Roman"/>
          <w:szCs w:val="24"/>
        </w:rPr>
        <w:t xml:space="preserve">. </w:t>
      </w:r>
      <w:r>
        <w:rPr>
          <w:rFonts w:cs="Times New Roman"/>
          <w:szCs w:val="24"/>
        </w:rPr>
        <w:t>While Norway has a highly egalitarian culture, the High Court was populated exclusively by males well into the 1960s</w:t>
      </w:r>
      <w:r w:rsidR="00DA571E">
        <w:rPr>
          <w:rFonts w:cs="Times New Roman"/>
          <w:szCs w:val="24"/>
        </w:rPr>
        <w:t xml:space="preserve">. </w:t>
      </w:r>
      <w:r>
        <w:rPr>
          <w:rFonts w:cs="Times New Roman"/>
          <w:szCs w:val="24"/>
        </w:rPr>
        <w:t xml:space="preserve">We hasten to point out that other political institutions also were male </w:t>
      </w:r>
      <w:r w:rsidR="00612C67">
        <w:rPr>
          <w:rFonts w:cs="Times New Roman"/>
          <w:szCs w:val="24"/>
        </w:rPr>
        <w:t>bastion</w:t>
      </w:r>
      <w:r>
        <w:rPr>
          <w:rFonts w:cs="Times New Roman"/>
          <w:szCs w:val="24"/>
        </w:rPr>
        <w:t>s</w:t>
      </w:r>
      <w:r w:rsidR="00064D9D">
        <w:rPr>
          <w:rFonts w:cs="Times New Roman"/>
          <w:szCs w:val="24"/>
        </w:rPr>
        <w:t>, but that is not our concern here</w:t>
      </w:r>
      <w:r w:rsidR="00DA571E">
        <w:rPr>
          <w:rFonts w:cs="Times New Roman"/>
          <w:szCs w:val="24"/>
        </w:rPr>
        <w:t xml:space="preserve">. </w:t>
      </w:r>
      <w:r w:rsidR="00612C67">
        <w:rPr>
          <w:rFonts w:cs="Times New Roman"/>
          <w:szCs w:val="24"/>
        </w:rPr>
        <w:t>Certainly,</w:t>
      </w:r>
      <w:r w:rsidR="00537E1E">
        <w:rPr>
          <w:rFonts w:cs="Times New Roman"/>
          <w:szCs w:val="24"/>
        </w:rPr>
        <w:t xml:space="preserve"> </w:t>
      </w:r>
      <w:r w:rsidR="000B45C1">
        <w:rPr>
          <w:rFonts w:cs="Times New Roman"/>
          <w:szCs w:val="24"/>
        </w:rPr>
        <w:t>by the 1960s</w:t>
      </w:r>
      <w:r w:rsidR="00DA571E">
        <w:rPr>
          <w:rFonts w:cs="Times New Roman"/>
          <w:szCs w:val="24"/>
        </w:rPr>
        <w:t xml:space="preserve"> </w:t>
      </w:r>
      <w:r w:rsidR="00612C67">
        <w:rPr>
          <w:rFonts w:cs="Times New Roman"/>
          <w:szCs w:val="24"/>
        </w:rPr>
        <w:t>women had made significant inroads in winning seats in the parliament and securing positions in the executive departments</w:t>
      </w:r>
      <w:r w:rsidR="00DA571E">
        <w:rPr>
          <w:rFonts w:cs="Times New Roman"/>
          <w:szCs w:val="24"/>
        </w:rPr>
        <w:t xml:space="preserve">. </w:t>
      </w:r>
      <w:r w:rsidR="00142D62">
        <w:rPr>
          <w:rFonts w:cs="Times New Roman"/>
          <w:szCs w:val="24"/>
        </w:rPr>
        <w:t xml:space="preserve">In a sense, the </w:t>
      </w:r>
      <w:proofErr w:type="spellStart"/>
      <w:r w:rsidR="00142D62" w:rsidRPr="00AD7F77">
        <w:rPr>
          <w:rFonts w:cs="Times New Roman"/>
          <w:szCs w:val="24"/>
        </w:rPr>
        <w:t>Høyesterett</w:t>
      </w:r>
      <w:proofErr w:type="spellEnd"/>
      <w:r w:rsidR="00142D62">
        <w:rPr>
          <w:rFonts w:cs="Times New Roman"/>
          <w:szCs w:val="24"/>
        </w:rPr>
        <w:t xml:space="preserve"> was something of a latecomer in the recruitment of women to serve as justices, with one female elevated to the Court in 1968</w:t>
      </w:r>
      <w:r w:rsidR="00DA571E">
        <w:rPr>
          <w:rFonts w:cs="Times New Roman"/>
          <w:szCs w:val="24"/>
        </w:rPr>
        <w:t xml:space="preserve">. </w:t>
      </w:r>
      <w:r w:rsidR="00142D62">
        <w:rPr>
          <w:rFonts w:cs="Times New Roman"/>
          <w:szCs w:val="24"/>
        </w:rPr>
        <w:t>Gender parity did not emerge rapidly, but a concerted effort to recruit more female justices has increased the presence of women to around one-third of the Court’s composition</w:t>
      </w:r>
      <w:r w:rsidR="00DA571E">
        <w:rPr>
          <w:rFonts w:cs="Times New Roman"/>
          <w:szCs w:val="24"/>
        </w:rPr>
        <w:t xml:space="preserve">. </w:t>
      </w:r>
      <w:r w:rsidR="00142D62">
        <w:rPr>
          <w:rFonts w:cs="Times New Roman"/>
          <w:szCs w:val="24"/>
        </w:rPr>
        <w:t>Chief Justice Smith’s commitment to diversity was embraced by his succ</w:t>
      </w:r>
      <w:r w:rsidR="00EA3DE9">
        <w:rPr>
          <w:rFonts w:cs="Times New Roman"/>
          <w:szCs w:val="24"/>
        </w:rPr>
        <w:t xml:space="preserve">essor, Chief Justice Tore </w:t>
      </w:r>
      <w:proofErr w:type="spellStart"/>
      <w:r w:rsidR="00EA3DE9">
        <w:rPr>
          <w:rFonts w:cs="Times New Roman"/>
          <w:szCs w:val="24"/>
        </w:rPr>
        <w:t>Schei</w:t>
      </w:r>
      <w:proofErr w:type="spellEnd"/>
      <w:r w:rsidR="00EA3DE9">
        <w:rPr>
          <w:rFonts w:cs="Times New Roman"/>
          <w:szCs w:val="24"/>
        </w:rPr>
        <w:t>, who in turn, was succeeded by a female Chief Justice</w:t>
      </w:r>
      <w:r w:rsidR="005C250C">
        <w:rPr>
          <w:rFonts w:cs="Times New Roman"/>
          <w:szCs w:val="24"/>
        </w:rPr>
        <w:t>,</w:t>
      </w:r>
      <w:r w:rsidR="00EA3DE9">
        <w:rPr>
          <w:rFonts w:cs="Times New Roman"/>
          <w:szCs w:val="24"/>
        </w:rPr>
        <w:t xml:space="preserve"> </w:t>
      </w:r>
      <w:proofErr w:type="spellStart"/>
      <w:r w:rsidR="00EA3DE9">
        <w:rPr>
          <w:rFonts w:cs="Times New Roman"/>
          <w:szCs w:val="24"/>
        </w:rPr>
        <w:t>Toril</w:t>
      </w:r>
      <w:proofErr w:type="spellEnd"/>
      <w:r w:rsidR="00EA3DE9">
        <w:rPr>
          <w:rFonts w:cs="Times New Roman"/>
          <w:szCs w:val="24"/>
        </w:rPr>
        <w:t xml:space="preserve"> </w:t>
      </w:r>
      <w:proofErr w:type="spellStart"/>
      <w:r w:rsidR="00EA3DE9">
        <w:rPr>
          <w:rFonts w:cs="Times New Roman"/>
          <w:szCs w:val="24"/>
        </w:rPr>
        <w:t>Øie</w:t>
      </w:r>
      <w:proofErr w:type="spellEnd"/>
      <w:r w:rsidR="00EA3DE9">
        <w:rPr>
          <w:rFonts w:cs="Times New Roman"/>
          <w:szCs w:val="24"/>
        </w:rPr>
        <w:t>.</w:t>
      </w:r>
    </w:p>
    <w:p w14:paraId="52720232" w14:textId="6A33F665" w:rsidR="006A72EF" w:rsidRDefault="000E2DAF" w:rsidP="001D68A7">
      <w:pPr>
        <w:rPr>
          <w:rFonts w:cs="Times New Roman"/>
          <w:szCs w:val="24"/>
        </w:rPr>
      </w:pPr>
      <w:r>
        <w:rPr>
          <w:rFonts w:cs="Times New Roman"/>
          <w:szCs w:val="24"/>
        </w:rPr>
        <w:tab/>
        <w:t>Recruiting female justices should guarantee that women’s “voices” help inform the Court’s deliberations</w:t>
      </w:r>
      <w:r w:rsidR="00DA571E">
        <w:rPr>
          <w:rFonts w:cs="Times New Roman"/>
          <w:szCs w:val="24"/>
        </w:rPr>
        <w:t xml:space="preserve">. </w:t>
      </w:r>
      <w:r>
        <w:rPr>
          <w:rFonts w:cs="Times New Roman"/>
          <w:szCs w:val="24"/>
        </w:rPr>
        <w:t>After all, the life experiences of women are presumed to differ from those of their male colleagues</w:t>
      </w:r>
      <w:r w:rsidR="00DA571E">
        <w:rPr>
          <w:rFonts w:cs="Times New Roman"/>
          <w:szCs w:val="24"/>
        </w:rPr>
        <w:t xml:space="preserve">. </w:t>
      </w:r>
      <w:r>
        <w:rPr>
          <w:rFonts w:cs="Times New Roman"/>
          <w:szCs w:val="24"/>
        </w:rPr>
        <w:t>Consequently, analyses of judicial behavior have been undertaken to assess the role of diversity by employing a simple dichotomous indicator of gender (Boyd et</w:t>
      </w:r>
      <w:r w:rsidR="005C250C">
        <w:rPr>
          <w:rFonts w:cs="Times New Roman"/>
          <w:szCs w:val="24"/>
        </w:rPr>
        <w:t xml:space="preserve"> </w:t>
      </w:r>
      <w:r>
        <w:rPr>
          <w:rFonts w:cs="Times New Roman"/>
          <w:szCs w:val="24"/>
        </w:rPr>
        <w:t xml:space="preserve">al., </w:t>
      </w:r>
      <w:r>
        <w:rPr>
          <w:rFonts w:cs="Times New Roman"/>
          <w:szCs w:val="24"/>
        </w:rPr>
        <w:lastRenderedPageBreak/>
        <w:t xml:space="preserve">2010; </w:t>
      </w:r>
      <w:proofErr w:type="spellStart"/>
      <w:r>
        <w:rPr>
          <w:rFonts w:cs="Times New Roman"/>
          <w:szCs w:val="24"/>
        </w:rPr>
        <w:t>Peresie</w:t>
      </w:r>
      <w:proofErr w:type="spellEnd"/>
      <w:r>
        <w:rPr>
          <w:rFonts w:cs="Times New Roman"/>
          <w:szCs w:val="24"/>
        </w:rPr>
        <w:t>, 2005</w:t>
      </w:r>
      <w:r w:rsidR="005855B5">
        <w:rPr>
          <w:rFonts w:cs="Times New Roman"/>
          <w:szCs w:val="24"/>
        </w:rPr>
        <w:t xml:space="preserve">; </w:t>
      </w:r>
      <w:proofErr w:type="spellStart"/>
      <w:r w:rsidR="005855B5">
        <w:rPr>
          <w:rFonts w:cs="Times New Roman"/>
          <w:szCs w:val="24"/>
        </w:rPr>
        <w:t>Grendstad</w:t>
      </w:r>
      <w:proofErr w:type="spellEnd"/>
      <w:r w:rsidR="005855B5">
        <w:rPr>
          <w:rFonts w:cs="Times New Roman"/>
          <w:szCs w:val="24"/>
        </w:rPr>
        <w:t xml:space="preserve"> et</w:t>
      </w:r>
      <w:r w:rsidR="005C250C">
        <w:rPr>
          <w:rFonts w:cs="Times New Roman"/>
          <w:szCs w:val="24"/>
        </w:rPr>
        <w:t xml:space="preserve"> </w:t>
      </w:r>
      <w:r w:rsidR="005855B5">
        <w:rPr>
          <w:rFonts w:cs="Times New Roman"/>
          <w:szCs w:val="24"/>
        </w:rPr>
        <w:t>al., 2015</w:t>
      </w:r>
      <w:r>
        <w:rPr>
          <w:rFonts w:cs="Times New Roman"/>
          <w:szCs w:val="24"/>
        </w:rPr>
        <w:t>)</w:t>
      </w:r>
      <w:r w:rsidR="00DA571E">
        <w:rPr>
          <w:rFonts w:cs="Times New Roman"/>
          <w:szCs w:val="24"/>
        </w:rPr>
        <w:t xml:space="preserve">. </w:t>
      </w:r>
      <w:r w:rsidR="00252A7E">
        <w:rPr>
          <w:rFonts w:cs="Times New Roman"/>
          <w:szCs w:val="24"/>
        </w:rPr>
        <w:t xml:space="preserve">Focusing on a </w:t>
      </w:r>
      <w:r w:rsidR="002600D1">
        <w:rPr>
          <w:rFonts w:cs="Times New Roman"/>
          <w:szCs w:val="24"/>
        </w:rPr>
        <w:t xml:space="preserve">specific </w:t>
      </w:r>
      <w:r w:rsidR="00252A7E">
        <w:rPr>
          <w:rFonts w:cs="Times New Roman"/>
          <w:szCs w:val="24"/>
        </w:rPr>
        <w:t xml:space="preserve">underrepresented group </w:t>
      </w:r>
      <w:r w:rsidR="005855B5">
        <w:rPr>
          <w:rFonts w:cs="Times New Roman"/>
          <w:szCs w:val="24"/>
        </w:rPr>
        <w:t>is clearly justified, although a dichotomous indicator offers a highly truncated version of diversity</w:t>
      </w:r>
      <w:r w:rsidR="00DA571E">
        <w:rPr>
          <w:rFonts w:cs="Times New Roman"/>
          <w:szCs w:val="24"/>
        </w:rPr>
        <w:t xml:space="preserve">. </w:t>
      </w:r>
      <w:r w:rsidR="006A72EF">
        <w:rPr>
          <w:rFonts w:cs="Times New Roman"/>
          <w:szCs w:val="24"/>
        </w:rPr>
        <w:t>Thus, we shall attempt to move beyond the “old binaries”</w:t>
      </w:r>
      <w:r w:rsidR="001E1C4D">
        <w:rPr>
          <w:rFonts w:cs="Times New Roman"/>
          <w:szCs w:val="24"/>
        </w:rPr>
        <w:t xml:space="preserve"> (Lewis and Cantor, 2016), such as </w:t>
      </w:r>
      <w:r w:rsidR="006A72EF">
        <w:rPr>
          <w:rFonts w:cs="Times New Roman"/>
          <w:szCs w:val="24"/>
        </w:rPr>
        <w:t>male-female</w:t>
      </w:r>
      <w:r w:rsidR="00DA571E">
        <w:rPr>
          <w:rFonts w:cs="Times New Roman"/>
          <w:szCs w:val="24"/>
        </w:rPr>
        <w:t xml:space="preserve"> or</w:t>
      </w:r>
      <w:r w:rsidR="006A72EF">
        <w:rPr>
          <w:rFonts w:cs="Times New Roman"/>
          <w:szCs w:val="24"/>
        </w:rPr>
        <w:t xml:space="preserve"> urban-rural</w:t>
      </w:r>
      <w:r w:rsidR="00DA571E">
        <w:rPr>
          <w:rFonts w:cs="Times New Roman"/>
          <w:szCs w:val="24"/>
        </w:rPr>
        <w:t xml:space="preserve">. </w:t>
      </w:r>
      <w:r w:rsidR="001E1C4D">
        <w:rPr>
          <w:rFonts w:cs="Times New Roman"/>
          <w:szCs w:val="24"/>
        </w:rPr>
        <w:t>After all, any individual has more than one salient group identity</w:t>
      </w:r>
      <w:r w:rsidR="005C250C">
        <w:rPr>
          <w:rFonts w:cs="Times New Roman"/>
          <w:szCs w:val="24"/>
        </w:rPr>
        <w:t>,</w:t>
      </w:r>
      <w:r w:rsidR="001E1C4D">
        <w:rPr>
          <w:rFonts w:cs="Times New Roman"/>
          <w:szCs w:val="24"/>
        </w:rPr>
        <w:t xml:space="preserve"> which may influence their opinions and actions</w:t>
      </w:r>
      <w:r w:rsidR="00DA571E">
        <w:rPr>
          <w:rFonts w:cs="Times New Roman"/>
          <w:szCs w:val="24"/>
        </w:rPr>
        <w:t xml:space="preserve">. </w:t>
      </w:r>
    </w:p>
    <w:p w14:paraId="7ACB1EBD" w14:textId="694B34F7" w:rsidR="00142D62" w:rsidRDefault="005855B5" w:rsidP="001E1C4D">
      <w:pPr>
        <w:ind w:firstLine="720"/>
        <w:rPr>
          <w:rFonts w:cs="Times New Roman"/>
          <w:szCs w:val="24"/>
        </w:rPr>
      </w:pPr>
      <w:r>
        <w:rPr>
          <w:rFonts w:cs="Times New Roman"/>
          <w:szCs w:val="24"/>
        </w:rPr>
        <w:t>We contend that heterogeneity might better be conceptualized in a manner a bit more complicated than a dummy variable (Schaeffer, 2013)</w:t>
      </w:r>
      <w:r w:rsidR="00DA571E">
        <w:rPr>
          <w:rFonts w:cs="Times New Roman"/>
          <w:szCs w:val="24"/>
        </w:rPr>
        <w:t xml:space="preserve"> and </w:t>
      </w:r>
      <w:r>
        <w:rPr>
          <w:rFonts w:cs="Times New Roman"/>
          <w:szCs w:val="24"/>
        </w:rPr>
        <w:t xml:space="preserve">have developed </w:t>
      </w:r>
      <w:r w:rsidR="00D82AC7">
        <w:rPr>
          <w:rFonts w:cs="Times New Roman"/>
          <w:szCs w:val="24"/>
        </w:rPr>
        <w:t xml:space="preserve">a </w:t>
      </w:r>
      <w:r>
        <w:rPr>
          <w:rFonts w:cs="Times New Roman"/>
          <w:szCs w:val="24"/>
        </w:rPr>
        <w:t>diversity measure incorporating multiple indicators (Shaffer et</w:t>
      </w:r>
      <w:r w:rsidR="005C250C">
        <w:rPr>
          <w:rFonts w:cs="Times New Roman"/>
          <w:szCs w:val="24"/>
        </w:rPr>
        <w:t xml:space="preserve"> </w:t>
      </w:r>
      <w:r>
        <w:rPr>
          <w:rFonts w:cs="Times New Roman"/>
          <w:szCs w:val="24"/>
        </w:rPr>
        <w:t>al., 2015)</w:t>
      </w:r>
      <w:r w:rsidR="00DA571E">
        <w:rPr>
          <w:rFonts w:cs="Times New Roman"/>
          <w:szCs w:val="24"/>
        </w:rPr>
        <w:t xml:space="preserve">. </w:t>
      </w:r>
      <w:r w:rsidR="00960AD0">
        <w:rPr>
          <w:rFonts w:cs="Times New Roman"/>
          <w:szCs w:val="24"/>
        </w:rPr>
        <w:t xml:space="preserve">This approach is in keeping with the </w:t>
      </w:r>
      <w:r w:rsidR="003644A6">
        <w:rPr>
          <w:rFonts w:cs="Times New Roman"/>
          <w:szCs w:val="24"/>
        </w:rPr>
        <w:t xml:space="preserve">official Judicial Appointments Board policy seeking to ensure </w:t>
      </w:r>
    </w:p>
    <w:p w14:paraId="5D672C0C" w14:textId="77777777" w:rsidR="00864E16" w:rsidRPr="00AD7F77" w:rsidRDefault="00864E16" w:rsidP="00864E16">
      <w:pPr>
        <w:autoSpaceDE w:val="0"/>
        <w:autoSpaceDN w:val="0"/>
        <w:adjustRightInd w:val="0"/>
        <w:spacing w:line="240" w:lineRule="auto"/>
        <w:ind w:left="1440"/>
        <w:rPr>
          <w:rFonts w:cs="Times New Roman"/>
          <w:szCs w:val="24"/>
        </w:rPr>
      </w:pPr>
      <w:r>
        <w:rPr>
          <w:rFonts w:cs="Times New Roman"/>
          <w:szCs w:val="24"/>
        </w:rPr>
        <w:t xml:space="preserve">… </w:t>
      </w:r>
      <w:r w:rsidRPr="00AD7F77">
        <w:rPr>
          <w:rFonts w:cs="Times New Roman"/>
          <w:szCs w:val="24"/>
        </w:rPr>
        <w:t xml:space="preserve"> a broad recruitment of justices, such that justices who are appointed have prior knowledge from various areas of community and legal life (</w:t>
      </w:r>
      <w:proofErr w:type="spellStart"/>
      <w:r w:rsidRPr="00AD7F77">
        <w:rPr>
          <w:rFonts w:cs="Times New Roman"/>
          <w:bCs/>
          <w:szCs w:val="24"/>
        </w:rPr>
        <w:t>Innstillingsrådet</w:t>
      </w:r>
      <w:proofErr w:type="spellEnd"/>
      <w:r w:rsidRPr="00AD7F77">
        <w:rPr>
          <w:rFonts w:cs="Times New Roman"/>
          <w:szCs w:val="24"/>
        </w:rPr>
        <w:t>, 2012).</w:t>
      </w:r>
    </w:p>
    <w:p w14:paraId="5A11BE12" w14:textId="77777777" w:rsidR="00864E16" w:rsidRDefault="00864E16" w:rsidP="00864E16">
      <w:pPr>
        <w:autoSpaceDE w:val="0"/>
        <w:autoSpaceDN w:val="0"/>
        <w:adjustRightInd w:val="0"/>
        <w:spacing w:line="240" w:lineRule="auto"/>
        <w:rPr>
          <w:rFonts w:cs="Times New Roman"/>
          <w:bCs/>
          <w:szCs w:val="24"/>
        </w:rPr>
      </w:pPr>
    </w:p>
    <w:p w14:paraId="75B5A016" w14:textId="2FECC5FA" w:rsidR="00FE5E97" w:rsidRDefault="004C4251" w:rsidP="004C4251">
      <w:pPr>
        <w:autoSpaceDE w:val="0"/>
        <w:autoSpaceDN w:val="0"/>
        <w:adjustRightInd w:val="0"/>
        <w:rPr>
          <w:szCs w:val="24"/>
        </w:rPr>
      </w:pPr>
      <w:r>
        <w:rPr>
          <w:rFonts w:cs="Times New Roman"/>
          <w:bCs/>
          <w:szCs w:val="24"/>
        </w:rPr>
        <w:t>If we are to tap into the “</w:t>
      </w:r>
      <w:r w:rsidRPr="00CE73D4">
        <w:rPr>
          <w:rFonts w:cs="Times New Roman"/>
          <w:szCs w:val="24"/>
        </w:rPr>
        <w:t>breadth of experience from different areas of the country</w:t>
      </w:r>
      <w:r>
        <w:rPr>
          <w:rFonts w:cs="Times New Roman"/>
          <w:szCs w:val="24"/>
        </w:rPr>
        <w:t xml:space="preserve">,” </w:t>
      </w:r>
      <w:r w:rsidR="00040762">
        <w:rPr>
          <w:rFonts w:cs="Times New Roman"/>
          <w:szCs w:val="24"/>
        </w:rPr>
        <w:t xml:space="preserve">in the words of former Chief Justice of the Supreme Court, Carsten Smith, </w:t>
      </w:r>
      <w:r>
        <w:rPr>
          <w:rFonts w:cs="Times New Roman"/>
          <w:szCs w:val="24"/>
        </w:rPr>
        <w:t xml:space="preserve">we must </w:t>
      </w:r>
      <w:r w:rsidRPr="004C4251">
        <w:rPr>
          <w:rFonts w:cs="Times New Roman"/>
          <w:szCs w:val="24"/>
        </w:rPr>
        <w:t>consider</w:t>
      </w:r>
      <w:r w:rsidR="00FE5E97" w:rsidRPr="004C4251">
        <w:rPr>
          <w:szCs w:val="24"/>
        </w:rPr>
        <w:t xml:space="preserve"> which, if any, social grouping</w:t>
      </w:r>
      <w:r>
        <w:rPr>
          <w:szCs w:val="24"/>
        </w:rPr>
        <w:t>s</w:t>
      </w:r>
      <w:r w:rsidR="00FE5E97" w:rsidRPr="004C4251">
        <w:rPr>
          <w:szCs w:val="24"/>
        </w:rPr>
        <w:t xml:space="preserve"> </w:t>
      </w:r>
      <w:r>
        <w:rPr>
          <w:szCs w:val="24"/>
        </w:rPr>
        <w:t>are salient for a variety of policy</w:t>
      </w:r>
      <w:r w:rsidR="00FE5E97" w:rsidRPr="004C4251">
        <w:rPr>
          <w:szCs w:val="24"/>
        </w:rPr>
        <w:t xml:space="preserve"> question</w:t>
      </w:r>
      <w:r>
        <w:rPr>
          <w:szCs w:val="24"/>
        </w:rPr>
        <w:t>s</w:t>
      </w:r>
      <w:r w:rsidR="00DA571E">
        <w:rPr>
          <w:szCs w:val="24"/>
        </w:rPr>
        <w:t xml:space="preserve">. </w:t>
      </w:r>
      <w:r w:rsidR="00FE5E97" w:rsidRPr="004C4251">
        <w:rPr>
          <w:szCs w:val="24"/>
        </w:rPr>
        <w:t xml:space="preserve">For a </w:t>
      </w:r>
      <w:proofErr w:type="gramStart"/>
      <w:r w:rsidR="00FE5E97" w:rsidRPr="004C4251">
        <w:rPr>
          <w:szCs w:val="24"/>
        </w:rPr>
        <w:t>particular case</w:t>
      </w:r>
      <w:proofErr w:type="gramEnd"/>
      <w:r w:rsidR="00FE5E97" w:rsidRPr="004C4251">
        <w:rPr>
          <w:szCs w:val="24"/>
        </w:rPr>
        <w:t>, one might assu</w:t>
      </w:r>
      <w:r w:rsidRPr="004C4251">
        <w:rPr>
          <w:szCs w:val="24"/>
        </w:rPr>
        <w:t xml:space="preserve">me that gender is an especially </w:t>
      </w:r>
      <w:r w:rsidR="00FE5E97" w:rsidRPr="004C4251">
        <w:rPr>
          <w:szCs w:val="24"/>
        </w:rPr>
        <w:t>relevant reference point, and it may, or may not be the case for a specific justice</w:t>
      </w:r>
      <w:r w:rsidR="00DA571E">
        <w:rPr>
          <w:szCs w:val="24"/>
        </w:rPr>
        <w:t xml:space="preserve">. </w:t>
      </w:r>
      <w:r>
        <w:rPr>
          <w:szCs w:val="24"/>
        </w:rPr>
        <w:t>Nevertheless, to assume that gende</w:t>
      </w:r>
      <w:r w:rsidR="00694318">
        <w:rPr>
          <w:szCs w:val="24"/>
        </w:rPr>
        <w:t>r</w:t>
      </w:r>
      <w:r>
        <w:rPr>
          <w:szCs w:val="24"/>
        </w:rPr>
        <w:t xml:space="preserve"> informs the values of justices in all manner of cases is highly improbable, to say the least</w:t>
      </w:r>
      <w:r w:rsidR="00DA571E">
        <w:rPr>
          <w:szCs w:val="24"/>
        </w:rPr>
        <w:t xml:space="preserve">. </w:t>
      </w:r>
      <w:r w:rsidR="00F64A16">
        <w:rPr>
          <w:szCs w:val="24"/>
        </w:rPr>
        <w:t xml:space="preserve">Therefore, </w:t>
      </w:r>
      <w:r w:rsidR="000501C8">
        <w:rPr>
          <w:szCs w:val="24"/>
        </w:rPr>
        <w:t>i</w:t>
      </w:r>
      <w:r w:rsidR="00F64A16">
        <w:rPr>
          <w:szCs w:val="24"/>
        </w:rPr>
        <w:t xml:space="preserve">n the present analysis we shall construct a measure of Supreme Court heterogeneity </w:t>
      </w:r>
      <w:r w:rsidR="005C250C">
        <w:rPr>
          <w:szCs w:val="24"/>
        </w:rPr>
        <w:t xml:space="preserve">that </w:t>
      </w:r>
      <w:r w:rsidR="00F64A16">
        <w:rPr>
          <w:szCs w:val="24"/>
        </w:rPr>
        <w:t xml:space="preserve">combines </w:t>
      </w:r>
      <w:proofErr w:type="gramStart"/>
      <w:r w:rsidR="00F64A16">
        <w:rPr>
          <w:szCs w:val="24"/>
        </w:rPr>
        <w:t>a number of</w:t>
      </w:r>
      <w:proofErr w:type="gramEnd"/>
      <w:r w:rsidR="00F64A16">
        <w:rPr>
          <w:szCs w:val="24"/>
        </w:rPr>
        <w:t xml:space="preserve"> potentially important factors underpinning the value judgments driving the justices’ decisional behavior</w:t>
      </w:r>
      <w:r w:rsidR="00DA571E">
        <w:rPr>
          <w:szCs w:val="24"/>
        </w:rPr>
        <w:t xml:space="preserve">. </w:t>
      </w:r>
      <w:r w:rsidR="00F64A16">
        <w:rPr>
          <w:szCs w:val="24"/>
        </w:rPr>
        <w:t>The mechanics of our diversity measure are outlined below.</w:t>
      </w:r>
    </w:p>
    <w:p w14:paraId="53CB6D3E" w14:textId="6A43E4FE" w:rsidR="00F64A16" w:rsidRDefault="00F64A16" w:rsidP="00C43D32">
      <w:pPr>
        <w:autoSpaceDE w:val="0"/>
        <w:autoSpaceDN w:val="0"/>
        <w:adjustRightInd w:val="0"/>
        <w:rPr>
          <w:szCs w:val="24"/>
        </w:rPr>
      </w:pPr>
      <w:r>
        <w:rPr>
          <w:szCs w:val="24"/>
        </w:rPr>
        <w:tab/>
        <w:t xml:space="preserve">In very general terms we expect the diversification of the Supreme Court to exert an influence on judicial behavior, if for no other reason than the undeniable fact that the </w:t>
      </w:r>
      <w:r w:rsidR="002117D7">
        <w:rPr>
          <w:szCs w:val="24"/>
        </w:rPr>
        <w:t>concerted efforts to diversify the high Court ha</w:t>
      </w:r>
      <w:r w:rsidR="005D77AE">
        <w:rPr>
          <w:szCs w:val="24"/>
        </w:rPr>
        <w:t xml:space="preserve">ve had </w:t>
      </w:r>
      <w:r w:rsidR="002D63FF">
        <w:rPr>
          <w:szCs w:val="24"/>
        </w:rPr>
        <w:t>their intended</w:t>
      </w:r>
      <w:r w:rsidR="002117D7">
        <w:rPr>
          <w:szCs w:val="24"/>
        </w:rPr>
        <w:t xml:space="preserve"> effect – the </w:t>
      </w:r>
      <w:r>
        <w:rPr>
          <w:szCs w:val="24"/>
        </w:rPr>
        <w:t xml:space="preserve">sociopolitical mix of </w:t>
      </w:r>
      <w:r>
        <w:rPr>
          <w:szCs w:val="24"/>
        </w:rPr>
        <w:lastRenderedPageBreak/>
        <w:t>justices has exhibited substantial change over time</w:t>
      </w:r>
      <w:r w:rsidR="00DA571E">
        <w:rPr>
          <w:szCs w:val="24"/>
        </w:rPr>
        <w:t xml:space="preserve">. </w:t>
      </w:r>
      <w:r w:rsidR="00920B55">
        <w:rPr>
          <w:szCs w:val="24"/>
        </w:rPr>
        <w:t>Clearly, diversifying the Court was undertaken by design, as reflected in th</w:t>
      </w:r>
      <w:r w:rsidR="00537E1E">
        <w:rPr>
          <w:szCs w:val="24"/>
        </w:rPr>
        <w:t xml:space="preserve">e Chief Justice Carsten Smith quote included at the outset of this paper, as well as the quote from the </w:t>
      </w:r>
      <w:proofErr w:type="spellStart"/>
      <w:r w:rsidR="00537E1E">
        <w:rPr>
          <w:szCs w:val="24"/>
        </w:rPr>
        <w:t>Instillingsr</w:t>
      </w:r>
      <w:r w:rsidR="00537E1E">
        <w:rPr>
          <w:rFonts w:cs="Times New Roman"/>
          <w:szCs w:val="24"/>
        </w:rPr>
        <w:t>å</w:t>
      </w:r>
      <w:r w:rsidR="00537E1E">
        <w:rPr>
          <w:szCs w:val="24"/>
        </w:rPr>
        <w:t>det</w:t>
      </w:r>
      <w:proofErr w:type="spellEnd"/>
      <w:r w:rsidR="00537E1E">
        <w:rPr>
          <w:szCs w:val="24"/>
        </w:rPr>
        <w:t>, cited above</w:t>
      </w:r>
      <w:r w:rsidR="00DA571E">
        <w:rPr>
          <w:szCs w:val="24"/>
        </w:rPr>
        <w:t xml:space="preserve">. </w:t>
      </w:r>
      <w:r w:rsidR="002D63FF">
        <w:rPr>
          <w:szCs w:val="24"/>
        </w:rPr>
        <w:t>Accordingly,</w:t>
      </w:r>
      <w:r w:rsidR="00C508E7">
        <w:rPr>
          <w:szCs w:val="24"/>
        </w:rPr>
        <w:t xml:space="preserve"> the increase in the number of female justices or those who enjoyed law faculty status might well have affected the decisions handed down by the Court</w:t>
      </w:r>
      <w:r w:rsidR="00DA571E">
        <w:rPr>
          <w:szCs w:val="24"/>
        </w:rPr>
        <w:t xml:space="preserve">. </w:t>
      </w:r>
      <w:r w:rsidR="00F919C7">
        <w:rPr>
          <w:szCs w:val="24"/>
        </w:rPr>
        <w:t>Later in this paper</w:t>
      </w:r>
      <w:r w:rsidR="002D63FF">
        <w:rPr>
          <w:szCs w:val="24"/>
        </w:rPr>
        <w:t xml:space="preserve"> w</w:t>
      </w:r>
      <w:r w:rsidR="00C508E7">
        <w:rPr>
          <w:szCs w:val="24"/>
        </w:rPr>
        <w:t xml:space="preserve">e shall return to the anticipated impact of diversity on </w:t>
      </w:r>
      <w:r w:rsidR="002D63FF">
        <w:rPr>
          <w:szCs w:val="24"/>
        </w:rPr>
        <w:t xml:space="preserve">a </w:t>
      </w:r>
      <w:r w:rsidR="00C508E7">
        <w:rPr>
          <w:szCs w:val="24"/>
        </w:rPr>
        <w:t>specific type of court case</w:t>
      </w:r>
      <w:r w:rsidR="002D63FF">
        <w:rPr>
          <w:szCs w:val="24"/>
        </w:rPr>
        <w:t xml:space="preserve"> – namely, </w:t>
      </w:r>
      <w:r w:rsidR="00C508E7">
        <w:rPr>
          <w:szCs w:val="24"/>
        </w:rPr>
        <w:t>those addressing constitutional</w:t>
      </w:r>
      <w:r w:rsidR="00A64DF3">
        <w:rPr>
          <w:rStyle w:val="FootnoteReference"/>
          <w:szCs w:val="24"/>
        </w:rPr>
        <w:footnoteReference w:id="2"/>
      </w:r>
      <w:r w:rsidR="00C508E7">
        <w:rPr>
          <w:szCs w:val="24"/>
        </w:rPr>
        <w:t xml:space="preserve"> issues </w:t>
      </w:r>
      <w:r w:rsidR="005B5514">
        <w:rPr>
          <w:szCs w:val="24"/>
        </w:rPr>
        <w:t>in cases where there is a clear, discernible legislative intent related to the legal conflict being adjudicated.</w:t>
      </w:r>
      <w:r w:rsidR="004A1E20">
        <w:rPr>
          <w:szCs w:val="24"/>
        </w:rPr>
        <w:t xml:space="preserve"> We chose to focus on this type of case because they offer a </w:t>
      </w:r>
      <w:r w:rsidR="00F05766">
        <w:rPr>
          <w:szCs w:val="24"/>
        </w:rPr>
        <w:t>particularly</w:t>
      </w:r>
      <w:r w:rsidR="004A1E20">
        <w:rPr>
          <w:szCs w:val="24"/>
        </w:rPr>
        <w:t xml:space="preserve"> </w:t>
      </w:r>
      <w:r w:rsidR="00F05766">
        <w:rPr>
          <w:szCs w:val="24"/>
        </w:rPr>
        <w:t>daunting test for the effect of diversity on the Court’s decisional outputs. With clear legislative intent, these cases present instances where the legal model should prevail and where extra-legal fo</w:t>
      </w:r>
      <w:r w:rsidR="00186AA9">
        <w:rPr>
          <w:szCs w:val="24"/>
        </w:rPr>
        <w:t>r</w:t>
      </w:r>
      <w:r w:rsidR="00F05766">
        <w:rPr>
          <w:szCs w:val="24"/>
        </w:rPr>
        <w:t xml:space="preserve">ces (like diversity) should be less likely to provide significant explanatory traction. Thus, if we find a statistically significant effect for diversity, it is </w:t>
      </w:r>
      <w:proofErr w:type="gramStart"/>
      <w:r w:rsidR="00F05766">
        <w:rPr>
          <w:szCs w:val="24"/>
        </w:rPr>
        <w:t>all the more</w:t>
      </w:r>
      <w:proofErr w:type="gramEnd"/>
      <w:r w:rsidR="00F05766">
        <w:rPr>
          <w:szCs w:val="24"/>
        </w:rPr>
        <w:t xml:space="preserve"> remarkable.</w:t>
      </w:r>
    </w:p>
    <w:p w14:paraId="3E2ACA1A" w14:textId="066CD18B" w:rsidR="00DE474C" w:rsidRDefault="00DE474C" w:rsidP="00C43D32">
      <w:pPr>
        <w:autoSpaceDE w:val="0"/>
        <w:autoSpaceDN w:val="0"/>
        <w:adjustRightInd w:val="0"/>
        <w:rPr>
          <w:szCs w:val="24"/>
        </w:rPr>
      </w:pPr>
      <w:r>
        <w:rPr>
          <w:szCs w:val="24"/>
        </w:rPr>
        <w:tab/>
      </w:r>
      <w:r w:rsidR="00BE5E39">
        <w:rPr>
          <w:szCs w:val="24"/>
        </w:rPr>
        <w:t>Basing a judicial decision, at least in part, on the expressed purpose of a national law is an example of legal reasoning</w:t>
      </w:r>
      <w:r w:rsidR="00DA571E">
        <w:rPr>
          <w:szCs w:val="24"/>
        </w:rPr>
        <w:t xml:space="preserve">. </w:t>
      </w:r>
      <w:r w:rsidR="00BE5E39">
        <w:rPr>
          <w:szCs w:val="24"/>
        </w:rPr>
        <w:t xml:space="preserve">Although legislative intent </w:t>
      </w:r>
      <w:proofErr w:type="gramStart"/>
      <w:r w:rsidR="00BE5E39">
        <w:rPr>
          <w:szCs w:val="24"/>
        </w:rPr>
        <w:t>is considered to be</w:t>
      </w:r>
      <w:proofErr w:type="gramEnd"/>
      <w:r w:rsidR="00BE5E39">
        <w:rPr>
          <w:szCs w:val="24"/>
        </w:rPr>
        <w:t xml:space="preserve"> an appropriate legal basis for a well-reasoned opinion, it is only one option that may be invoked by one or more justice</w:t>
      </w:r>
      <w:r w:rsidR="00D82AC7">
        <w:rPr>
          <w:szCs w:val="24"/>
        </w:rPr>
        <w:t>s</w:t>
      </w:r>
      <w:r w:rsidR="00DA571E">
        <w:rPr>
          <w:szCs w:val="24"/>
        </w:rPr>
        <w:t xml:space="preserve">. </w:t>
      </w:r>
      <w:r w:rsidR="00BE5E39">
        <w:rPr>
          <w:szCs w:val="24"/>
        </w:rPr>
        <w:t xml:space="preserve">However, whereas the Supreme Court is an independent branch of government, the Court may not be particularly obliged to adopt the “view of the </w:t>
      </w:r>
      <w:proofErr w:type="spellStart"/>
      <w:r w:rsidR="00BE5E39">
        <w:rPr>
          <w:szCs w:val="24"/>
        </w:rPr>
        <w:t>Storting</w:t>
      </w:r>
      <w:proofErr w:type="spellEnd"/>
      <w:r w:rsidR="00BE5E39">
        <w:rPr>
          <w:szCs w:val="24"/>
        </w:rPr>
        <w:t>.”</w:t>
      </w:r>
    </w:p>
    <w:p w14:paraId="0A98147A" w14:textId="443766DB" w:rsidR="00064D9D" w:rsidRDefault="00064D9D" w:rsidP="00BE5E39">
      <w:pPr>
        <w:autoSpaceDE w:val="0"/>
        <w:autoSpaceDN w:val="0"/>
        <w:adjustRightInd w:val="0"/>
        <w:spacing w:line="240" w:lineRule="auto"/>
        <w:ind w:left="1440"/>
        <w:rPr>
          <w:rFonts w:cs="Times New Roman"/>
          <w:szCs w:val="24"/>
        </w:rPr>
      </w:pPr>
      <w:r>
        <w:rPr>
          <w:rFonts w:cs="Times New Roman"/>
          <w:szCs w:val="24"/>
        </w:rPr>
        <w:t xml:space="preserve">The fact that there have been dissenting votes within the Supreme Court—even where the Supreme Court is nearly divided—is not in itself sufficient to give precedence to the view of the </w:t>
      </w:r>
      <w:proofErr w:type="spellStart"/>
      <w:r>
        <w:rPr>
          <w:rFonts w:cs="Times New Roman"/>
          <w:szCs w:val="24"/>
        </w:rPr>
        <w:t>Storting</w:t>
      </w:r>
      <w:proofErr w:type="spellEnd"/>
      <w:r>
        <w:rPr>
          <w:rFonts w:cs="Times New Roman"/>
          <w:szCs w:val="24"/>
        </w:rPr>
        <w:t xml:space="preserve"> (Tore </w:t>
      </w:r>
      <w:proofErr w:type="spellStart"/>
      <w:r>
        <w:rPr>
          <w:rFonts w:cs="Times New Roman"/>
          <w:szCs w:val="24"/>
        </w:rPr>
        <w:t>Schei</w:t>
      </w:r>
      <w:proofErr w:type="spellEnd"/>
      <w:r>
        <w:rPr>
          <w:rFonts w:cs="Times New Roman"/>
          <w:szCs w:val="24"/>
        </w:rPr>
        <w:t>, 2014:6)</w:t>
      </w:r>
      <w:r w:rsidR="00CF714D">
        <w:rPr>
          <w:rFonts w:cs="Times New Roman"/>
          <w:szCs w:val="24"/>
        </w:rPr>
        <w:t>.</w:t>
      </w:r>
    </w:p>
    <w:p w14:paraId="0756354F" w14:textId="77777777" w:rsidR="00064D9D" w:rsidRDefault="00064D9D" w:rsidP="00064D9D">
      <w:pPr>
        <w:spacing w:line="240" w:lineRule="auto"/>
        <w:rPr>
          <w:rFonts w:cs="Times New Roman"/>
          <w:szCs w:val="24"/>
        </w:rPr>
      </w:pPr>
    </w:p>
    <w:p w14:paraId="1147D8E4" w14:textId="77777777" w:rsidR="00654F7F" w:rsidRDefault="00654F7F" w:rsidP="003F443B">
      <w:pPr>
        <w:ind w:firstLine="720"/>
      </w:pPr>
      <w:r>
        <w:t xml:space="preserve">While we would be hard pressed to claim that decisions are rooted in a legal understanding that is agreed upon by all the justices, legal reasoning is no doubt ever present. One basis for the effort spent on </w:t>
      </w:r>
      <w:r w:rsidRPr="007C033A">
        <w:t xml:space="preserve">divining the </w:t>
      </w:r>
      <w:r w:rsidRPr="007C033A">
        <w:rPr>
          <w:i/>
        </w:rPr>
        <w:t>legislative intent</w:t>
      </w:r>
      <w:r w:rsidRPr="007C033A">
        <w:t xml:space="preserve"> of a parliamentary </w:t>
      </w:r>
      <w:r>
        <w:t xml:space="preserve">statue is to </w:t>
      </w:r>
      <w:r>
        <w:lastRenderedPageBreak/>
        <w:t>discern its legal meaning so that a decision can be based upon that legal meaning, thereby better insulating the eventual outcome with all the trappings of democratic legitimacy.</w:t>
      </w:r>
      <w:r>
        <w:rPr>
          <w:rStyle w:val="FootnoteReference"/>
        </w:rPr>
        <w:footnoteReference w:id="3"/>
      </w:r>
      <w:r>
        <w:t xml:space="preserve"> Justices make a good faith effort to consider seriously what in fact parliament intended to accomplish, rather than simply imposing their policy or value preferences. Once legislative intent is discerned, the Court might defer to a law passed by the elected, lawmaking body.</w:t>
      </w:r>
    </w:p>
    <w:p w14:paraId="0C58575B" w14:textId="4326B3F7" w:rsidR="00654F7F" w:rsidRDefault="00654F7F" w:rsidP="00654F7F">
      <w:r>
        <w:tab/>
        <w:t xml:space="preserve">Nevertheless, how do justices divine a single shared understanding of legislative intent? Surely in some cases, interpretations of the purpose of a statute may vary with the sociopolitical background of justices, a goal implicit in the official, prescribed judicial appointment procedure of Norway’s highest court. </w:t>
      </w:r>
      <w:r w:rsidRPr="005D7EB2">
        <w:rPr>
          <w:i/>
        </w:rPr>
        <w:t>The primary objective of this paper</w:t>
      </w:r>
      <w:r w:rsidR="000A35D8">
        <w:rPr>
          <w:i/>
        </w:rPr>
        <w:t>, then,</w:t>
      </w:r>
      <w:r w:rsidRPr="005D7EB2">
        <w:rPr>
          <w:i/>
        </w:rPr>
        <w:t xml:space="preserve"> is to undertake an analysis</w:t>
      </w:r>
      <w:r w:rsidR="00EB643A" w:rsidRPr="005D7EB2">
        <w:rPr>
          <w:i/>
        </w:rPr>
        <w:t xml:space="preserve"> </w:t>
      </w:r>
      <w:r w:rsidRPr="005D7EB2">
        <w:rPr>
          <w:i/>
        </w:rPr>
        <w:t>to evaluate the impact of extra-legal forces</w:t>
      </w:r>
      <w:r w:rsidR="000C19D8" w:rsidRPr="005D7EB2">
        <w:rPr>
          <w:i/>
        </w:rPr>
        <w:t xml:space="preserve">, </w:t>
      </w:r>
      <w:r w:rsidR="00C71C00" w:rsidRPr="005D7EB2">
        <w:rPr>
          <w:i/>
        </w:rPr>
        <w:t xml:space="preserve">primarily </w:t>
      </w:r>
      <w:r w:rsidR="000C19D8" w:rsidRPr="005D7EB2">
        <w:rPr>
          <w:i/>
        </w:rPr>
        <w:t>the level of Court diversity,</w:t>
      </w:r>
      <w:r w:rsidRPr="005D7EB2">
        <w:rPr>
          <w:i/>
        </w:rPr>
        <w:t xml:space="preserve"> on the ideological voting of Norwegian Supreme Court justices in non-unanimous </w:t>
      </w:r>
      <w:r w:rsidR="00D82AC7">
        <w:rPr>
          <w:i/>
        </w:rPr>
        <w:t xml:space="preserve">plenary </w:t>
      </w:r>
      <w:r w:rsidRPr="005D7EB2">
        <w:rPr>
          <w:i/>
        </w:rPr>
        <w:t>cases in which a parliamentary statute is central to the dispute at hand and legislative intent can be discerned</w:t>
      </w:r>
      <w:r>
        <w:t>.</w:t>
      </w:r>
    </w:p>
    <w:p w14:paraId="43FA1AEB" w14:textId="77777777" w:rsidR="00C1102D" w:rsidRPr="002D4730" w:rsidRDefault="00C1102D" w:rsidP="00C1102D">
      <w:pPr>
        <w:pStyle w:val="Heading1"/>
      </w:pPr>
      <w:r w:rsidRPr="002D4730">
        <w:t>Invoking a Modified Attitudinal Model</w:t>
      </w:r>
    </w:p>
    <w:p w14:paraId="341BFE33" w14:textId="1B21FBF3" w:rsidR="0050060A" w:rsidRDefault="000C19D8" w:rsidP="002D045E">
      <w:pPr>
        <w:ind w:firstLine="720"/>
      </w:pPr>
      <w:r>
        <w:t>How does the interplay of the extra-legal factor of sociopolitical diversity and legal reasoning revealed in a position grounded in legislative intent</w:t>
      </w:r>
      <w:r w:rsidR="0050060A">
        <w:t xml:space="preserve"> help account for the votes cast by justices</w:t>
      </w:r>
      <w:r w:rsidR="00DA571E">
        <w:t xml:space="preserve">? </w:t>
      </w:r>
      <w:r w:rsidR="002B7FCE">
        <w:t>I</w:t>
      </w:r>
      <w:r w:rsidR="0050060A">
        <w:t>n</w:t>
      </w:r>
      <w:r w:rsidR="002B7FCE">
        <w:t xml:space="preserve"> the decisions </w:t>
      </w:r>
      <w:r w:rsidR="002D045E">
        <w:t>rendered in cases involving a dispute</w:t>
      </w:r>
      <w:r w:rsidR="00EB643A">
        <w:t xml:space="preserve"> over a constitutional question, </w:t>
      </w:r>
      <w:r w:rsidR="002B7FCE">
        <w:t xml:space="preserve">justices can have an especially profound </w:t>
      </w:r>
      <w:r w:rsidR="002B7FCE" w:rsidRPr="00A41642">
        <w:rPr>
          <w:i/>
        </w:rPr>
        <w:t>political</w:t>
      </w:r>
      <w:r w:rsidR="002B7FCE">
        <w:t xml:space="preserve"> impact upon society. After all, in these cases the justices </w:t>
      </w:r>
      <w:r w:rsidR="009F47F5">
        <w:t>may</w:t>
      </w:r>
      <w:r w:rsidR="002B7FCE">
        <w:t xml:space="preserve"> – perhaps intrepidly, perhaps blithely –</w:t>
      </w:r>
      <w:r w:rsidR="009F47F5">
        <w:t xml:space="preserve"> </w:t>
      </w:r>
      <w:r w:rsidR="002D045E">
        <w:t>interpose</w:t>
      </w:r>
      <w:r w:rsidR="002B7FCE">
        <w:t xml:space="preserve"> their will, replacing the intent of the nation’s democratically elected representatives with their own. Now, how they arrive at these decisions can be explained by a variety of facto</w:t>
      </w:r>
      <w:r w:rsidR="0050060A">
        <w:t>rs, both legal and extra-legal.</w:t>
      </w:r>
    </w:p>
    <w:p w14:paraId="30F3B096" w14:textId="430A3067" w:rsidR="002B7FCE" w:rsidRDefault="002B7FCE" w:rsidP="002D045E">
      <w:pPr>
        <w:ind w:firstLine="720"/>
      </w:pPr>
      <w:r>
        <w:lastRenderedPageBreak/>
        <w:t>Norway’s Supreme Court justices are required to possess law degrees, and there is the additional informal expectation that they graduated near the top of their law school class</w:t>
      </w:r>
      <w:r w:rsidR="002452ED">
        <w:t xml:space="preserve">. </w:t>
      </w:r>
      <w:r>
        <w:t xml:space="preserve">Presumably, then, </w:t>
      </w:r>
      <w:r w:rsidR="00A07089">
        <w:t xml:space="preserve">justices’ </w:t>
      </w:r>
      <w:r>
        <w:t xml:space="preserve">professional competence positions </w:t>
      </w:r>
      <w:r w:rsidR="00A07089">
        <w:t xml:space="preserve">them </w:t>
      </w:r>
      <w:r>
        <w:t xml:space="preserve">so that they will render decisions based upon careful </w:t>
      </w:r>
      <w:r w:rsidRPr="00A41642">
        <w:rPr>
          <w:i/>
        </w:rPr>
        <w:t>legal</w:t>
      </w:r>
      <w:r>
        <w:t xml:space="preserve"> reasoning. Yet, these highly trained an</w:t>
      </w:r>
      <w:r w:rsidR="002452ED">
        <w:t>d</w:t>
      </w:r>
      <w:r>
        <w:t xml:space="preserve"> proficient jurists do not always arrive at the same legal conclusion. Thus, a fuller understanding of judicial decisional behavior requires a theoretical frame that invokes extra-legal forces that inform a justice’s opinion</w:t>
      </w:r>
      <w:r w:rsidR="00DA571E">
        <w:t xml:space="preserve">. </w:t>
      </w:r>
      <w:r>
        <w:t>In fact, as stated</w:t>
      </w:r>
      <w:r w:rsidRPr="00FD59BE">
        <w:t xml:space="preserve"> </w:t>
      </w:r>
      <w:r>
        <w:t xml:space="preserve">explicitly on the Norwegian Supreme Court (2015) home page, </w:t>
      </w:r>
      <w:proofErr w:type="gramStart"/>
      <w:r>
        <w:t>a number of</w:t>
      </w:r>
      <w:proofErr w:type="gramEnd"/>
      <w:r>
        <w:t xml:space="preserve"> extra-legal factors are to be reflected in the </w:t>
      </w:r>
      <w:r w:rsidRPr="00A41642">
        <w:rPr>
          <w:i/>
        </w:rPr>
        <w:t>appointment</w:t>
      </w:r>
      <w:r>
        <w:t xml:space="preserve"> of justices, including region, career experience, private background, prior public employment, sex</w:t>
      </w:r>
      <w:r w:rsidR="00A07089">
        <w:t>,</w:t>
      </w:r>
      <w:r>
        <w:t xml:space="preserve"> and variation in the age of justices</w:t>
      </w:r>
      <w:r w:rsidRPr="001541D8">
        <w:t>.</w:t>
      </w:r>
      <w:r>
        <w:rPr>
          <w:rStyle w:val="FootnoteReference"/>
        </w:rPr>
        <w:footnoteReference w:id="4"/>
      </w:r>
      <w:r>
        <w:t xml:space="preserve"> The principle of representation is embraced by the Judicial Appointments Board, which </w:t>
      </w:r>
      <w:r w:rsidR="009F47F5">
        <w:t xml:space="preserve">has played </w:t>
      </w:r>
      <w:r>
        <w:t xml:space="preserve">an important role in evaluating Supreme Court applicants </w:t>
      </w:r>
      <w:r w:rsidR="009F47F5">
        <w:t xml:space="preserve">since its start in 2002 </w:t>
      </w:r>
      <w:r>
        <w:t>(</w:t>
      </w:r>
      <w:proofErr w:type="spellStart"/>
      <w:r w:rsidRPr="0021352A">
        <w:rPr>
          <w:bCs/>
        </w:rPr>
        <w:t>Innstillingsrådet</w:t>
      </w:r>
      <w:proofErr w:type="spellEnd"/>
      <w:r w:rsidRPr="0021352A">
        <w:t>, 20</w:t>
      </w:r>
      <w:r>
        <w:t>12)</w:t>
      </w:r>
      <w:r w:rsidR="002452ED">
        <w:t xml:space="preserve">. </w:t>
      </w:r>
      <w:r>
        <w:t>To assess the impact of sociopolitical diversity requires the application of the extra-legal models of judicial behavior.</w:t>
      </w:r>
    </w:p>
    <w:p w14:paraId="0FCA3DF7" w14:textId="1DB25243" w:rsidR="002B7FCE" w:rsidRDefault="002B7FCE" w:rsidP="002B7FCE">
      <w:r>
        <w:tab/>
        <w:t>One such extra-legal model is a modified attitudinal representation of judicial outputs, and invoking it is by no means a rejection of fundamental legal reasoning</w:t>
      </w:r>
      <w:r w:rsidR="002452ED">
        <w:t xml:space="preserve">. </w:t>
      </w:r>
      <w:r>
        <w:t>To the contrary, we are not suggesting that a justice’s law school training was for naught</w:t>
      </w:r>
      <w:r w:rsidR="002452ED">
        <w:t xml:space="preserve">. </w:t>
      </w:r>
      <w:r>
        <w:t xml:space="preserve">Indeed, the principles of legal analysis brought to bear in judicial decision making explain a great deal about how the Supreme Court votes (Richards and </w:t>
      </w:r>
      <w:proofErr w:type="spellStart"/>
      <w:r>
        <w:t>Kritzer</w:t>
      </w:r>
      <w:proofErr w:type="spellEnd"/>
      <w:r>
        <w:t xml:space="preserve"> 2002; </w:t>
      </w:r>
      <w:proofErr w:type="spellStart"/>
      <w:r>
        <w:t>Kritzer</w:t>
      </w:r>
      <w:proofErr w:type="spellEnd"/>
      <w:r>
        <w:t xml:space="preserve"> and Richards 2005; Bailey and </w:t>
      </w:r>
      <w:proofErr w:type="spellStart"/>
      <w:r>
        <w:t>Maltzman</w:t>
      </w:r>
      <w:proofErr w:type="spellEnd"/>
      <w:r>
        <w:t xml:space="preserve"> 2011; Epstein et al. 2013)</w:t>
      </w:r>
      <w:r w:rsidR="002452ED">
        <w:t xml:space="preserve">. </w:t>
      </w:r>
      <w:r>
        <w:t>For example, no one would propose that justices ignore the facts of a case, which in turn inform decisional behavior</w:t>
      </w:r>
      <w:r w:rsidR="002452ED">
        <w:t xml:space="preserve">. </w:t>
      </w:r>
      <w:r>
        <w:t>Likewise, when there is general agreement about what constitutes “settled law</w:t>
      </w:r>
      <w:r w:rsidR="00E0217B">
        <w:t>,</w:t>
      </w:r>
      <w:r>
        <w:t xml:space="preserve">” justices invoke the concept of precedent as a </w:t>
      </w:r>
      <w:r>
        <w:lastRenderedPageBreak/>
        <w:t>heuristic device, thereby simplifying the processing of a case</w:t>
      </w:r>
      <w:r w:rsidR="002452ED">
        <w:t xml:space="preserve">. </w:t>
      </w:r>
      <w:r w:rsidR="007A1A39">
        <w:t xml:space="preserve">In mulling over a case, </w:t>
      </w:r>
      <w:r>
        <w:t>justices may seek to discern legislative intent when</w:t>
      </w:r>
      <w:r w:rsidR="00B9391A">
        <w:t xml:space="preserve"> </w:t>
      </w:r>
      <w:r>
        <w:t>there is a dispute involving a policy grounded in a statute</w:t>
      </w:r>
      <w:r w:rsidR="002452ED">
        <w:t xml:space="preserve">. </w:t>
      </w:r>
      <w:r>
        <w:t xml:space="preserve">Similarly, when there is a constitutional precept at stake, justices might seek to divine the meaning of that principle or the intent of the </w:t>
      </w:r>
      <w:r w:rsidR="00B9391A">
        <w:t>C</w:t>
      </w:r>
      <w:r>
        <w:t>onstitution</w:t>
      </w:r>
      <w:r w:rsidR="00B9391A">
        <w:t>’s</w:t>
      </w:r>
      <w:r>
        <w:t xml:space="preserve"> writers</w:t>
      </w:r>
      <w:r w:rsidR="002452ED">
        <w:t xml:space="preserve">. </w:t>
      </w:r>
      <w:proofErr w:type="gramStart"/>
      <w:r>
        <w:t>All of these</w:t>
      </w:r>
      <w:proofErr w:type="gramEnd"/>
      <w:r>
        <w:t xml:space="preserve"> “legal” factors should contribute to more objective decision making than would occur in their absence.</w:t>
      </w:r>
    </w:p>
    <w:p w14:paraId="5CB7ED8B" w14:textId="733F11A6" w:rsidR="002B7FCE" w:rsidRDefault="002B7FCE" w:rsidP="002B7FCE">
      <w:r>
        <w:tab/>
        <w:t>Since most Supreme Court lawsuits result in unanimous decisions, in what might be called “easy” cases, they do not generate highly challenging disputes to settle, ones that might bring the kinds of extra-legal factors, such as gender or ideology</w:t>
      </w:r>
      <w:r w:rsidR="00EB643A">
        <w:t>,</w:t>
      </w:r>
      <w:r>
        <w:t xml:space="preserve"> that the Judicial Appointments Board would like to have represented on the High Court </w:t>
      </w:r>
      <w:r w:rsidR="00B9391A">
        <w:t xml:space="preserve">into play </w:t>
      </w:r>
      <w:r>
        <w:t>(on the consequences of “hard” versus “easy” cases for judicial decisions, see Baum 1997)</w:t>
      </w:r>
      <w:r w:rsidR="002452ED">
        <w:t xml:space="preserve">. </w:t>
      </w:r>
      <w:r>
        <w:t>Of course, unanimous decisions may also be handed down in cases addressing vexing legal questions, and after much deliberation, justices conclude that the Court must speak with a single voice (</w:t>
      </w:r>
      <w:r w:rsidR="00B9391A">
        <w:t xml:space="preserve">on the perceived weight </w:t>
      </w:r>
      <w:r w:rsidR="003471F8">
        <w:t xml:space="preserve">given to unanimity among U.S. Supreme Court justices, </w:t>
      </w:r>
      <w:r>
        <w:t>see, for example, Zink, Spriggs II, and Scott 2009)</w:t>
      </w:r>
      <w:r w:rsidR="002452ED">
        <w:t xml:space="preserve">. </w:t>
      </w:r>
      <w:r>
        <w:t>On a smaller, but significant, proportion of cases, major disagreements may arise</w:t>
      </w:r>
      <w:r w:rsidR="00A07089">
        <w:t xml:space="preserve"> that</w:t>
      </w:r>
      <w:r>
        <w:t xml:space="preserve"> are not so easily resolved by pure legal reasoning</w:t>
      </w:r>
      <w:r w:rsidR="002452ED">
        <w:t xml:space="preserve">. </w:t>
      </w:r>
      <w:r>
        <w:t xml:space="preserve">Depending upon the sociopolitical values of justices, facts may be interpreted differently, precedents may be “cherry picked,” and legislative or constitutional intent may be construed in </w:t>
      </w:r>
      <w:r w:rsidR="003471F8">
        <w:t>strikingly different ways</w:t>
      </w:r>
      <w:r>
        <w:t xml:space="preserve"> across all justices (see Segal and </w:t>
      </w:r>
      <w:proofErr w:type="spellStart"/>
      <w:r>
        <w:t>Spaeth</w:t>
      </w:r>
      <w:proofErr w:type="spellEnd"/>
      <w:r>
        <w:t xml:space="preserve"> 2002).</w:t>
      </w:r>
    </w:p>
    <w:p w14:paraId="029D6CA7" w14:textId="5FE85BBB" w:rsidR="00DE7C8C" w:rsidRPr="000B45C1" w:rsidRDefault="007931BA" w:rsidP="000A40B2">
      <w:pPr>
        <w:pStyle w:val="Heading1"/>
        <w:ind w:firstLine="720"/>
      </w:pPr>
      <w:r w:rsidRPr="005D7EB2">
        <w:rPr>
          <w:b w:val="0"/>
        </w:rPr>
        <w:t>The attitudinal model assigns a major role to non-legal reasoning, but there seem</w:t>
      </w:r>
      <w:r w:rsidR="00BB455F">
        <w:rPr>
          <w:b w:val="0"/>
        </w:rPr>
        <w:t>s</w:t>
      </w:r>
      <w:r w:rsidRPr="005D7EB2">
        <w:rPr>
          <w:b w:val="0"/>
        </w:rPr>
        <w:t xml:space="preserve"> to be a number of variants of the general form</w:t>
      </w:r>
      <w:r w:rsidR="00A222D8" w:rsidRPr="005D7EB2">
        <w:rPr>
          <w:b w:val="0"/>
        </w:rPr>
        <w:t xml:space="preserve"> (Baum, 1997)</w:t>
      </w:r>
      <w:r w:rsidR="002452ED" w:rsidRPr="005D7EB2">
        <w:rPr>
          <w:b w:val="0"/>
        </w:rPr>
        <w:t xml:space="preserve">. </w:t>
      </w:r>
      <w:r w:rsidRPr="005D7EB2">
        <w:rPr>
          <w:b w:val="0"/>
        </w:rPr>
        <w:t>The most straightforward usage simply presumes that justices often pursue policy or ideological goals, while some scholars modify this orientation by including strategic behavior as well</w:t>
      </w:r>
      <w:r w:rsidR="002452ED" w:rsidRPr="005D7EB2">
        <w:rPr>
          <w:b w:val="0"/>
        </w:rPr>
        <w:t xml:space="preserve">. </w:t>
      </w:r>
      <w:r w:rsidRPr="005D7EB2">
        <w:rPr>
          <w:b w:val="0"/>
        </w:rPr>
        <w:t xml:space="preserve">Yet other applications incorporate </w:t>
      </w:r>
      <w:r w:rsidR="008C58B3" w:rsidRPr="005D7EB2">
        <w:rPr>
          <w:b w:val="0"/>
        </w:rPr>
        <w:t>m</w:t>
      </w:r>
      <w:r w:rsidRPr="005D7EB2">
        <w:rPr>
          <w:b w:val="0"/>
        </w:rPr>
        <w:t>any extra-legal forces</w:t>
      </w:r>
      <w:r w:rsidR="009B40C0" w:rsidRPr="005D7EB2">
        <w:rPr>
          <w:b w:val="0"/>
        </w:rPr>
        <w:t>, such as career experiences or gender</w:t>
      </w:r>
      <w:r w:rsidR="00E95B97" w:rsidRPr="005D7EB2">
        <w:rPr>
          <w:b w:val="0"/>
        </w:rPr>
        <w:t>, which</w:t>
      </w:r>
      <w:r w:rsidRPr="005D7EB2">
        <w:rPr>
          <w:b w:val="0"/>
        </w:rPr>
        <w:t xml:space="preserve"> may condition </w:t>
      </w:r>
      <w:r w:rsidR="00D76112" w:rsidRPr="005D7EB2">
        <w:rPr>
          <w:b w:val="0"/>
        </w:rPr>
        <w:t xml:space="preserve">policy </w:t>
      </w:r>
      <w:r w:rsidRPr="005D7EB2">
        <w:rPr>
          <w:b w:val="0"/>
        </w:rPr>
        <w:t xml:space="preserve">preferences </w:t>
      </w:r>
      <w:r w:rsidR="00E95B97" w:rsidRPr="005D7EB2">
        <w:rPr>
          <w:b w:val="0"/>
        </w:rPr>
        <w:lastRenderedPageBreak/>
        <w:t>and</w:t>
      </w:r>
      <w:r w:rsidR="00D76112" w:rsidRPr="005D7EB2">
        <w:rPr>
          <w:b w:val="0"/>
        </w:rPr>
        <w:t xml:space="preserve"> inform a justice’s decisional behavior</w:t>
      </w:r>
      <w:r w:rsidR="002452ED" w:rsidRPr="005D7EB2">
        <w:rPr>
          <w:b w:val="0"/>
        </w:rPr>
        <w:t xml:space="preserve">. </w:t>
      </w:r>
      <w:r w:rsidR="00D262C2" w:rsidRPr="005D7EB2">
        <w:rPr>
          <w:b w:val="0"/>
        </w:rPr>
        <w:t xml:space="preserve">In the present study we include </w:t>
      </w:r>
      <w:r w:rsidR="00751226" w:rsidRPr="005D7EB2">
        <w:rPr>
          <w:b w:val="0"/>
        </w:rPr>
        <w:t xml:space="preserve">diversity, </w:t>
      </w:r>
      <w:r w:rsidR="00D262C2" w:rsidRPr="005D7EB2">
        <w:rPr>
          <w:b w:val="0"/>
        </w:rPr>
        <w:t>ideology, gender</w:t>
      </w:r>
      <w:r w:rsidR="00751226" w:rsidRPr="005D7EB2">
        <w:rPr>
          <w:b w:val="0"/>
        </w:rPr>
        <w:t>,</w:t>
      </w:r>
      <w:r w:rsidR="00511AFA" w:rsidRPr="005D7EB2">
        <w:rPr>
          <w:b w:val="0"/>
        </w:rPr>
        <w:t xml:space="preserve"> </w:t>
      </w:r>
      <w:r w:rsidR="00751226" w:rsidRPr="005D7EB2">
        <w:rPr>
          <w:b w:val="0"/>
        </w:rPr>
        <w:t>and whether or not there was a pro-public plaintiff</w:t>
      </w:r>
      <w:r w:rsidR="00511AFA" w:rsidRPr="005D7EB2">
        <w:rPr>
          <w:b w:val="0"/>
        </w:rPr>
        <w:t>,</w:t>
      </w:r>
      <w:r w:rsidR="00D262C2" w:rsidRPr="005D7EB2">
        <w:rPr>
          <w:b w:val="0"/>
        </w:rPr>
        <w:t xml:space="preserve"> as extra-legal forces hypothesized to explain variation in Norwegian Supreme Court voting</w:t>
      </w:r>
      <w:r w:rsidR="002452ED" w:rsidRPr="005D7EB2">
        <w:rPr>
          <w:b w:val="0"/>
        </w:rPr>
        <w:t xml:space="preserve">. </w:t>
      </w:r>
      <w:r w:rsidR="00076E0D" w:rsidRPr="005D7EB2">
        <w:rPr>
          <w:b w:val="0"/>
        </w:rPr>
        <w:t xml:space="preserve">Prior studies of Norwegian judicial behavior have shown each of these to have some explanatory traction (see, for example, Grendstad et al. 2015). </w:t>
      </w:r>
      <w:r w:rsidR="00F956A0" w:rsidRPr="005D7EB2">
        <w:rPr>
          <w:b w:val="0"/>
        </w:rPr>
        <w:t>While the attitudinal model has been applied widely in the analysis of American judicial behavior, it has only been recently that an effort has been made to transport it across the pond</w:t>
      </w:r>
      <w:r w:rsidR="002452ED" w:rsidRPr="005D7EB2">
        <w:rPr>
          <w:b w:val="0"/>
        </w:rPr>
        <w:t xml:space="preserve">. </w:t>
      </w:r>
      <w:r w:rsidR="00D262C2" w:rsidRPr="005D7EB2">
        <w:rPr>
          <w:b w:val="0"/>
        </w:rPr>
        <w:t xml:space="preserve">Previous empirical findings </w:t>
      </w:r>
      <w:r w:rsidR="00642EDB" w:rsidRPr="005D7EB2">
        <w:rPr>
          <w:b w:val="0"/>
        </w:rPr>
        <w:t xml:space="preserve">are encouraging as to </w:t>
      </w:r>
      <w:r w:rsidR="00D262C2" w:rsidRPr="005D7EB2">
        <w:rPr>
          <w:b w:val="0"/>
        </w:rPr>
        <w:t>the application of the attitudinal model in the study of European high courts</w:t>
      </w:r>
      <w:r w:rsidR="002B7FCE" w:rsidRPr="005D7EB2">
        <w:rPr>
          <w:b w:val="0"/>
        </w:rPr>
        <w:t xml:space="preserve"> </w:t>
      </w:r>
      <w:r w:rsidR="00642EDB" w:rsidRPr="005D7EB2">
        <w:rPr>
          <w:b w:val="0"/>
        </w:rPr>
        <w:t>(e.g., Hönninge, 2009)</w:t>
      </w:r>
      <w:r w:rsidR="002452ED" w:rsidRPr="005D7EB2">
        <w:rPr>
          <w:b w:val="0"/>
        </w:rPr>
        <w:t xml:space="preserve">. </w:t>
      </w:r>
      <w:r w:rsidR="002B7FCE" w:rsidRPr="005D7EB2">
        <w:rPr>
          <w:b w:val="0"/>
        </w:rPr>
        <w:t>Here, we</w:t>
      </w:r>
      <w:r w:rsidR="009C4A44" w:rsidRPr="005D7EB2">
        <w:rPr>
          <w:b w:val="0"/>
        </w:rPr>
        <w:t xml:space="preserve"> </w:t>
      </w:r>
      <w:r w:rsidR="00510BBA" w:rsidRPr="005D7EB2">
        <w:rPr>
          <w:b w:val="0"/>
        </w:rPr>
        <w:t>employ the extra-legal forces noted above in an effort</w:t>
      </w:r>
      <w:r w:rsidR="009C4A44" w:rsidRPr="005D7EB2">
        <w:rPr>
          <w:b w:val="0"/>
        </w:rPr>
        <w:t xml:space="preserve"> to measure and explain the degree to which Norwegian Supreme Court </w:t>
      </w:r>
      <w:r w:rsidR="00B46CFE" w:rsidRPr="005D7EB2">
        <w:rPr>
          <w:b w:val="0"/>
        </w:rPr>
        <w:t>J</w:t>
      </w:r>
      <w:r w:rsidR="009C4A44" w:rsidRPr="005D7EB2">
        <w:rPr>
          <w:b w:val="0"/>
        </w:rPr>
        <w:t xml:space="preserve">ustices </w:t>
      </w:r>
      <w:r w:rsidR="00783191">
        <w:rPr>
          <w:b w:val="0"/>
        </w:rPr>
        <w:t>hew</w:t>
      </w:r>
      <w:r w:rsidR="00783191" w:rsidRPr="005D7EB2">
        <w:rPr>
          <w:b w:val="0"/>
        </w:rPr>
        <w:t xml:space="preserve"> </w:t>
      </w:r>
      <w:r w:rsidR="009C4A44" w:rsidRPr="005D7EB2">
        <w:rPr>
          <w:b w:val="0"/>
        </w:rPr>
        <w:t>to the legislative intent underpinning statutes enacted by the Storting.</w:t>
      </w:r>
    </w:p>
    <w:p w14:paraId="6C5DF76A" w14:textId="1F4CAE88" w:rsidR="009C4A44" w:rsidRDefault="002B7FCE" w:rsidP="002B7FCE">
      <w:r>
        <w:tab/>
        <w:t>In a</w:t>
      </w:r>
      <w:r w:rsidR="00751226">
        <w:t xml:space="preserve">n initial </w:t>
      </w:r>
      <w:r>
        <w:t xml:space="preserve">effort </w:t>
      </w:r>
      <w:r w:rsidR="00751226">
        <w:t xml:space="preserve">to gauge the impact of an extremely important principle of legal reasoning, </w:t>
      </w:r>
      <w:r>
        <w:t xml:space="preserve">Kisen (2014) identified a set of Supreme Court cases </w:t>
      </w:r>
      <w:r w:rsidR="00A23855">
        <w:t xml:space="preserve">decided </w:t>
      </w:r>
      <w:r w:rsidR="00735CFA">
        <w:t xml:space="preserve">in plenary session </w:t>
      </w:r>
      <w:r w:rsidR="00A23855">
        <w:t xml:space="preserve">between 1976 and 2013 </w:t>
      </w:r>
      <w:r>
        <w:t>that raised issues that were tied to the parliament’s legislative intent</w:t>
      </w:r>
      <w:r w:rsidR="002452ED">
        <w:t xml:space="preserve">. </w:t>
      </w:r>
      <w:proofErr w:type="gramStart"/>
      <w:r>
        <w:t>Generally speaking, parliament</w:t>
      </w:r>
      <w:proofErr w:type="gramEnd"/>
      <w:r>
        <w:t xml:space="preserve"> passed laws during this time period that embraced either a socialist or non-socialist policy</w:t>
      </w:r>
      <w:r w:rsidR="00751226">
        <w:t xml:space="preserve"> position</w:t>
      </w:r>
      <w:r w:rsidR="00DA571E">
        <w:t xml:space="preserve">. </w:t>
      </w:r>
      <w:r>
        <w:t>Consequently, initial bivariate tests were run to determine if the ideological proclivities of the justices matched the left-right coding of relevant statutes</w:t>
      </w:r>
      <w:r w:rsidR="002452ED">
        <w:t xml:space="preserve">. </w:t>
      </w:r>
      <w:r>
        <w:t>Some support was found for such a relationship, a point we shall return to later in the paper</w:t>
      </w:r>
      <w:r w:rsidR="002452ED">
        <w:t xml:space="preserve">. </w:t>
      </w:r>
      <w:r>
        <w:t>In the present study</w:t>
      </w:r>
      <w:r w:rsidR="00751226">
        <w:t>,</w:t>
      </w:r>
      <w:r>
        <w:t xml:space="preserve"> we shall extend the initial effort by undertaking a multivariate analys</w:t>
      </w:r>
      <w:r w:rsidR="00751226">
        <w:t>i</w:t>
      </w:r>
      <w:r>
        <w:t>s designed to test</w:t>
      </w:r>
      <w:r w:rsidR="00735CFA">
        <w:t xml:space="preserve"> five</w:t>
      </w:r>
      <w:r>
        <w:t xml:space="preserve"> hypotheses:</w:t>
      </w:r>
    </w:p>
    <w:p w14:paraId="6F2F2C6C" w14:textId="49B4DE1B" w:rsidR="004F24CD" w:rsidRPr="003D2991" w:rsidRDefault="004F24CD" w:rsidP="004F24CD">
      <w:pPr>
        <w:spacing w:line="240" w:lineRule="auto"/>
        <w:rPr>
          <w:rFonts w:cs="Times New Roman"/>
          <w:b/>
          <w:szCs w:val="24"/>
        </w:rPr>
      </w:pPr>
      <w:r w:rsidRPr="003D2991">
        <w:rPr>
          <w:rFonts w:cs="Times New Roman"/>
          <w:b/>
          <w:szCs w:val="24"/>
        </w:rPr>
        <w:t xml:space="preserve">Hypothesis #1: The greater the level of Supreme Court diversity, </w:t>
      </w:r>
      <w:r w:rsidRPr="008578BD">
        <w:rPr>
          <w:rFonts w:cs="Times New Roman"/>
          <w:b/>
          <w:color w:val="000000" w:themeColor="text1"/>
          <w:szCs w:val="24"/>
        </w:rPr>
        <w:t xml:space="preserve">the less </w:t>
      </w:r>
      <w:r w:rsidRPr="003D2991">
        <w:rPr>
          <w:rFonts w:cs="Times New Roman"/>
          <w:b/>
          <w:szCs w:val="24"/>
        </w:rPr>
        <w:t>likely a justice will register a socialist vote.</w:t>
      </w:r>
    </w:p>
    <w:p w14:paraId="7FC812A2" w14:textId="77777777" w:rsidR="004F24CD" w:rsidRPr="003D2991" w:rsidRDefault="004F24CD" w:rsidP="004F24CD">
      <w:pPr>
        <w:spacing w:line="240" w:lineRule="auto"/>
        <w:rPr>
          <w:rFonts w:cs="Times New Roman"/>
          <w:b/>
          <w:szCs w:val="24"/>
        </w:rPr>
      </w:pPr>
    </w:p>
    <w:p w14:paraId="397FC42B" w14:textId="7D2ED9F4" w:rsidR="004F24CD" w:rsidRPr="003D2991" w:rsidRDefault="004F24CD" w:rsidP="004F24CD">
      <w:pPr>
        <w:ind w:firstLine="720"/>
      </w:pPr>
      <w:r w:rsidRPr="003D2991">
        <w:t>This hypothesis is grounded in the long-term changes in the larger Norwegian political context and its role in the political socialization of future generations of justices</w:t>
      </w:r>
      <w:r w:rsidR="00DA571E">
        <w:t xml:space="preserve">. </w:t>
      </w:r>
      <w:r w:rsidRPr="003D2991">
        <w:t xml:space="preserve">In the early </w:t>
      </w:r>
      <w:r w:rsidRPr="003D2991">
        <w:lastRenderedPageBreak/>
        <w:t>years after the end of World War II Norway, as well as other Scandinavian nations, functioned pretty much as “consensual democracies” (Elder et</w:t>
      </w:r>
      <w:r w:rsidR="00BB455F">
        <w:t xml:space="preserve"> </w:t>
      </w:r>
      <w:r w:rsidRPr="003D2991">
        <w:t>al., 1988)</w:t>
      </w:r>
      <w:r w:rsidR="00DA571E">
        <w:t xml:space="preserve">. </w:t>
      </w:r>
      <w:proofErr w:type="gramStart"/>
      <w:r w:rsidR="009F47F5">
        <w:t>A</w:t>
      </w:r>
      <w:r w:rsidRPr="003D2991">
        <w:t xml:space="preserve"> number of</w:t>
      </w:r>
      <w:proofErr w:type="gramEnd"/>
      <w:r w:rsidRPr="003D2991">
        <w:t xml:space="preserve"> scholars argued that the consensual political systems were “frozen” (</w:t>
      </w:r>
      <w:proofErr w:type="spellStart"/>
      <w:r w:rsidRPr="003D2991">
        <w:t>Lipset</w:t>
      </w:r>
      <w:proofErr w:type="spellEnd"/>
      <w:r w:rsidRPr="003D2991">
        <w:t xml:space="preserve"> and </w:t>
      </w:r>
      <w:proofErr w:type="spellStart"/>
      <w:r w:rsidRPr="003D2991">
        <w:t>Rokkan</w:t>
      </w:r>
      <w:proofErr w:type="spellEnd"/>
      <w:r w:rsidRPr="003D2991">
        <w:t xml:space="preserve">, 1967; </w:t>
      </w:r>
      <w:proofErr w:type="spellStart"/>
      <w:r w:rsidRPr="003D2991">
        <w:t>Rokkan</w:t>
      </w:r>
      <w:proofErr w:type="spellEnd"/>
      <w:r w:rsidRPr="003D2991">
        <w:t>, 1970; Shamir, 1984)</w:t>
      </w:r>
      <w:r w:rsidR="00DA571E">
        <w:t xml:space="preserve">. </w:t>
      </w:r>
      <w:r w:rsidRPr="003D2991">
        <w:t>However, during the 1960s the social democratic consensus began to crumble, resulting in a gradual shift away from consensus to what has been described as “</w:t>
      </w:r>
      <w:proofErr w:type="spellStart"/>
      <w:r w:rsidRPr="003D2991">
        <w:t>dissensual</w:t>
      </w:r>
      <w:proofErr w:type="spellEnd"/>
      <w:r w:rsidRPr="003D2991">
        <w:t>” politics (</w:t>
      </w:r>
      <w:proofErr w:type="spellStart"/>
      <w:r w:rsidRPr="003D2991">
        <w:t>Rommetvedt</w:t>
      </w:r>
      <w:proofErr w:type="spellEnd"/>
      <w:r w:rsidRPr="003D2991">
        <w:t>, 2003)</w:t>
      </w:r>
      <w:r w:rsidR="00DA571E">
        <w:t xml:space="preserve">. </w:t>
      </w:r>
      <w:r w:rsidRPr="003D2991">
        <w:t>Liberal political preferences, such as the tax cuts favored by parties to the right of center, proved appealing to many Norwegian voters, as reflected in the growing support of both the Conservative and Populist Parties.</w:t>
      </w:r>
    </w:p>
    <w:p w14:paraId="75956E13" w14:textId="096C60C0" w:rsidR="004F24CD" w:rsidRDefault="004F24CD" w:rsidP="004F24CD">
      <w:pPr>
        <w:ind w:firstLine="720"/>
      </w:pPr>
      <w:r w:rsidRPr="003D2991">
        <w:t>When younger citizens are socialized in an environment no longer reflexively committed to socialist democracy, there may be only one direction in which one can move</w:t>
      </w:r>
      <w:r w:rsidR="00BB455F">
        <w:t xml:space="preserve"> – t</w:t>
      </w:r>
      <w:r w:rsidRPr="003D2991">
        <w:t>o a more right-of-center location along the political spectrum, in a manner reminiscent of regression toward the mean</w:t>
      </w:r>
      <w:r w:rsidR="00DA571E">
        <w:t xml:space="preserve">. </w:t>
      </w:r>
      <w:r w:rsidRPr="003D2991">
        <w:t>If such a shift occurs during the period in which Court diversity has increased (Shaffer et</w:t>
      </w:r>
      <w:r w:rsidR="00FC2722">
        <w:t xml:space="preserve"> </w:t>
      </w:r>
      <w:r w:rsidRPr="003D2991">
        <w:t xml:space="preserve">al., 2015), then we expect </w:t>
      </w:r>
      <w:r w:rsidR="00FC2722">
        <w:t>a measure of that diversity</w:t>
      </w:r>
      <w:r w:rsidRPr="003D2991">
        <w:t xml:space="preserve"> to exhibit a strong negative influence on the propensity to cast socialist votes</w:t>
      </w:r>
      <w:r w:rsidR="00DA571E">
        <w:t xml:space="preserve">. </w:t>
      </w:r>
      <w:r w:rsidRPr="003D2991">
        <w:t>Finding such a pattern would not be a spurious empirical result in our view, particularly given the ever-increasing presence of women and law professors, both of whom have exhibited non-socialist voting patterns in earlier research findings (</w:t>
      </w:r>
      <w:proofErr w:type="spellStart"/>
      <w:r w:rsidRPr="003D2991">
        <w:t>Skiple</w:t>
      </w:r>
      <w:proofErr w:type="spellEnd"/>
      <w:r w:rsidRPr="003D2991">
        <w:t xml:space="preserve"> et</w:t>
      </w:r>
      <w:r w:rsidR="009F47F5">
        <w:t xml:space="preserve"> </w:t>
      </w:r>
      <w:r w:rsidRPr="003D2991">
        <w:t>al., 2016).</w:t>
      </w:r>
    </w:p>
    <w:p w14:paraId="65554F8E" w14:textId="2556A835" w:rsidR="00E27CA8" w:rsidRDefault="00E27CA8" w:rsidP="00E27CA8">
      <w:pPr>
        <w:spacing w:line="240" w:lineRule="auto"/>
        <w:rPr>
          <w:rFonts w:cs="Times New Roman"/>
          <w:b/>
          <w:szCs w:val="24"/>
        </w:rPr>
      </w:pPr>
      <w:r>
        <w:rPr>
          <w:rFonts w:cs="Times New Roman"/>
          <w:b/>
          <w:szCs w:val="24"/>
        </w:rPr>
        <w:t>Hypothesis #</w:t>
      </w:r>
      <w:r w:rsidR="00FF789E">
        <w:rPr>
          <w:rFonts w:cs="Times New Roman"/>
          <w:b/>
          <w:szCs w:val="24"/>
        </w:rPr>
        <w:t>2</w:t>
      </w:r>
      <w:r w:rsidRPr="00FB3537">
        <w:rPr>
          <w:rFonts w:cs="Times New Roman"/>
          <w:b/>
          <w:szCs w:val="24"/>
        </w:rPr>
        <w:t xml:space="preserve">: </w:t>
      </w:r>
      <w:r w:rsidR="001A63A6">
        <w:rPr>
          <w:rFonts w:cs="Times New Roman"/>
          <w:b/>
          <w:szCs w:val="24"/>
        </w:rPr>
        <w:t>If legislative intent is</w:t>
      </w:r>
      <w:r w:rsidRPr="00FB3537">
        <w:rPr>
          <w:rFonts w:cs="Times New Roman"/>
          <w:b/>
          <w:szCs w:val="24"/>
        </w:rPr>
        <w:t xml:space="preserve"> </w:t>
      </w:r>
      <w:r w:rsidR="00BE1879">
        <w:rPr>
          <w:rFonts w:cs="Times New Roman"/>
          <w:b/>
          <w:szCs w:val="24"/>
        </w:rPr>
        <w:t>socialist</w:t>
      </w:r>
      <w:r w:rsidR="001A63A6">
        <w:rPr>
          <w:rFonts w:cs="Times New Roman"/>
          <w:b/>
          <w:szCs w:val="24"/>
        </w:rPr>
        <w:t>,</w:t>
      </w:r>
      <w:r w:rsidRPr="00FB3537">
        <w:rPr>
          <w:rFonts w:cs="Times New Roman"/>
          <w:b/>
          <w:szCs w:val="24"/>
        </w:rPr>
        <w:t xml:space="preserve"> </w:t>
      </w:r>
      <w:r w:rsidR="001A63A6">
        <w:rPr>
          <w:rFonts w:cs="Times New Roman"/>
          <w:b/>
          <w:szCs w:val="24"/>
        </w:rPr>
        <w:t xml:space="preserve">a justice is </w:t>
      </w:r>
      <w:r w:rsidRPr="00FB3537">
        <w:rPr>
          <w:rFonts w:cs="Times New Roman"/>
          <w:b/>
          <w:szCs w:val="24"/>
        </w:rPr>
        <w:t xml:space="preserve">more likely </w:t>
      </w:r>
      <w:r w:rsidR="001A63A6">
        <w:rPr>
          <w:rFonts w:cs="Times New Roman"/>
          <w:b/>
          <w:szCs w:val="24"/>
        </w:rPr>
        <w:t>to</w:t>
      </w:r>
      <w:r w:rsidRPr="00FB3537">
        <w:rPr>
          <w:rFonts w:cs="Times New Roman"/>
          <w:b/>
          <w:szCs w:val="24"/>
        </w:rPr>
        <w:t xml:space="preserve"> register a </w:t>
      </w:r>
      <w:r w:rsidR="00B8388A">
        <w:rPr>
          <w:rFonts w:cs="Times New Roman"/>
          <w:b/>
          <w:szCs w:val="24"/>
        </w:rPr>
        <w:t>socialist</w:t>
      </w:r>
      <w:r w:rsidRPr="00FB3537">
        <w:rPr>
          <w:rFonts w:cs="Times New Roman"/>
          <w:b/>
          <w:szCs w:val="24"/>
        </w:rPr>
        <w:t xml:space="preserve"> vote.</w:t>
      </w:r>
    </w:p>
    <w:p w14:paraId="14D9EAAE" w14:textId="77777777" w:rsidR="00E27CA8" w:rsidRDefault="00E27CA8" w:rsidP="00E27CA8">
      <w:pPr>
        <w:spacing w:line="240" w:lineRule="auto"/>
        <w:rPr>
          <w:rFonts w:cs="Times New Roman"/>
          <w:szCs w:val="24"/>
        </w:rPr>
      </w:pPr>
    </w:p>
    <w:p w14:paraId="070CE4DD" w14:textId="4FFED64E" w:rsidR="00E27CA8" w:rsidRDefault="00E27CA8" w:rsidP="00511AFA">
      <w:pPr>
        <w:ind w:firstLine="720"/>
      </w:pPr>
      <w:r>
        <w:t>If justices defer to the legislative intent of a law, presumably they are employing legal reasoning rather than infusing their personal preferences into Court decisions</w:t>
      </w:r>
      <w:r w:rsidR="002452ED">
        <w:t xml:space="preserve">. </w:t>
      </w:r>
      <w:r>
        <w:t>If this hypothesis enjoys empirical support, then the legal model would at the very minimum temper our reliance upon the attitudinal model to explain decisional behavior.</w:t>
      </w:r>
    </w:p>
    <w:p w14:paraId="14B4A8FC" w14:textId="2FCB98A9" w:rsidR="004C35A6" w:rsidRPr="00FC6F6D" w:rsidRDefault="00FB3537" w:rsidP="00FB3537">
      <w:pPr>
        <w:spacing w:line="240" w:lineRule="auto"/>
        <w:rPr>
          <w:rFonts w:cs="Times New Roman"/>
          <w:b/>
          <w:szCs w:val="24"/>
        </w:rPr>
      </w:pPr>
      <w:r w:rsidRPr="00FC6F6D">
        <w:rPr>
          <w:rFonts w:cs="Times New Roman"/>
          <w:b/>
          <w:szCs w:val="24"/>
        </w:rPr>
        <w:lastRenderedPageBreak/>
        <w:t>Hypothesis #</w:t>
      </w:r>
      <w:r w:rsidR="004B2623" w:rsidRPr="00FC6F6D">
        <w:rPr>
          <w:rFonts w:cs="Times New Roman"/>
          <w:b/>
          <w:szCs w:val="24"/>
        </w:rPr>
        <w:t>3</w:t>
      </w:r>
      <w:r w:rsidRPr="00FC6F6D">
        <w:rPr>
          <w:rFonts w:cs="Times New Roman"/>
          <w:b/>
          <w:szCs w:val="24"/>
        </w:rPr>
        <w:t>: Supreme Court justice</w:t>
      </w:r>
      <w:r w:rsidR="001A63A6" w:rsidRPr="00FC6F6D">
        <w:rPr>
          <w:rFonts w:cs="Times New Roman"/>
          <w:b/>
          <w:szCs w:val="24"/>
        </w:rPr>
        <w:t xml:space="preserve">s </w:t>
      </w:r>
      <w:r w:rsidR="00B61B9A">
        <w:rPr>
          <w:rFonts w:cs="Times New Roman"/>
          <w:b/>
          <w:szCs w:val="24"/>
        </w:rPr>
        <w:t xml:space="preserve">appointed by socialist governments </w:t>
      </w:r>
      <w:r w:rsidR="001A63A6" w:rsidRPr="00FC6F6D">
        <w:rPr>
          <w:rFonts w:cs="Times New Roman"/>
          <w:b/>
          <w:szCs w:val="24"/>
        </w:rPr>
        <w:t xml:space="preserve">are </w:t>
      </w:r>
      <w:r w:rsidRPr="00FC6F6D">
        <w:rPr>
          <w:rFonts w:cs="Times New Roman"/>
          <w:b/>
          <w:szCs w:val="24"/>
        </w:rPr>
        <w:t xml:space="preserve">more likely </w:t>
      </w:r>
      <w:r w:rsidR="001A63A6" w:rsidRPr="00FC6F6D">
        <w:rPr>
          <w:rFonts w:cs="Times New Roman"/>
          <w:b/>
          <w:szCs w:val="24"/>
        </w:rPr>
        <w:t>to</w:t>
      </w:r>
      <w:r w:rsidRPr="00FC6F6D">
        <w:rPr>
          <w:rFonts w:cs="Times New Roman"/>
          <w:b/>
          <w:szCs w:val="24"/>
        </w:rPr>
        <w:t xml:space="preserve"> register a </w:t>
      </w:r>
      <w:r w:rsidR="00B8388A" w:rsidRPr="00FC6F6D">
        <w:rPr>
          <w:rFonts w:cs="Times New Roman"/>
          <w:b/>
          <w:szCs w:val="24"/>
        </w:rPr>
        <w:t xml:space="preserve">socialist </w:t>
      </w:r>
      <w:r w:rsidRPr="00FC6F6D">
        <w:rPr>
          <w:rFonts w:cs="Times New Roman"/>
          <w:b/>
          <w:szCs w:val="24"/>
        </w:rPr>
        <w:t>vote</w:t>
      </w:r>
      <w:r w:rsidR="008578BD">
        <w:rPr>
          <w:rFonts w:cs="Times New Roman"/>
          <w:b/>
          <w:szCs w:val="24"/>
        </w:rPr>
        <w:t>.</w:t>
      </w:r>
    </w:p>
    <w:p w14:paraId="71C395F3" w14:textId="77777777" w:rsidR="00B828AD" w:rsidRPr="00FC6F6D" w:rsidRDefault="00B828AD" w:rsidP="00FB3537">
      <w:pPr>
        <w:spacing w:line="240" w:lineRule="auto"/>
        <w:rPr>
          <w:rFonts w:cs="Times New Roman"/>
          <w:b/>
          <w:szCs w:val="24"/>
        </w:rPr>
      </w:pPr>
    </w:p>
    <w:p w14:paraId="775C7346" w14:textId="122A826D" w:rsidR="00FB3537" w:rsidRDefault="007F0265" w:rsidP="00511AFA">
      <w:pPr>
        <w:ind w:firstLine="720"/>
      </w:pPr>
      <w:r w:rsidRPr="00FC6F6D">
        <w:t>The most straightforward, fundamental understanding of the attitudinal model argues that justices are policy makers seeking to promote their ideological preferences</w:t>
      </w:r>
      <w:r w:rsidR="002452ED" w:rsidRPr="00FC6F6D">
        <w:t xml:space="preserve">. </w:t>
      </w:r>
      <w:r w:rsidR="009770F4" w:rsidRPr="00FC6F6D">
        <w:t>A raft of strong empirical evidence has been produced documenting ideological voting in American higher courts (</w:t>
      </w:r>
      <w:r w:rsidR="00C679F5">
        <w:t>Pri</w:t>
      </w:r>
      <w:r w:rsidR="00F74D2E" w:rsidRPr="00FC6F6D">
        <w:t xml:space="preserve">tchett, 1948; Schubert, 1965; Segal and </w:t>
      </w:r>
      <w:proofErr w:type="spellStart"/>
      <w:r w:rsidR="00F74D2E" w:rsidRPr="00FC6F6D">
        <w:t>Spaeth</w:t>
      </w:r>
      <w:proofErr w:type="spellEnd"/>
      <w:r w:rsidR="00F74D2E" w:rsidRPr="00FC6F6D">
        <w:t>, 2002; Segal and Cover, 1989; Bailey et al</w:t>
      </w:r>
      <w:r w:rsidR="00076E0D" w:rsidRPr="00FC6F6D">
        <w:t>.</w:t>
      </w:r>
      <w:r w:rsidR="00F74D2E" w:rsidRPr="00FC6F6D">
        <w:t xml:space="preserve">, 2005; </w:t>
      </w:r>
      <w:proofErr w:type="spellStart"/>
      <w:r w:rsidR="00F74D2E" w:rsidRPr="00FC6F6D">
        <w:t>Wahlbeck</w:t>
      </w:r>
      <w:proofErr w:type="spellEnd"/>
      <w:r w:rsidR="00F74D2E" w:rsidRPr="00FC6F6D">
        <w:t xml:space="preserve"> et al</w:t>
      </w:r>
      <w:r w:rsidR="00076E0D" w:rsidRPr="00FC6F6D">
        <w:t>.</w:t>
      </w:r>
      <w:r w:rsidR="00F74D2E" w:rsidRPr="00FC6F6D">
        <w:t xml:space="preserve">, 1998; Rohde and </w:t>
      </w:r>
      <w:proofErr w:type="spellStart"/>
      <w:r w:rsidR="00F74D2E" w:rsidRPr="00FC6F6D">
        <w:t>Spaeth</w:t>
      </w:r>
      <w:proofErr w:type="spellEnd"/>
      <w:r w:rsidR="00F74D2E" w:rsidRPr="00FC6F6D">
        <w:t>, 1976</w:t>
      </w:r>
      <w:r w:rsidR="009770F4" w:rsidRPr="00FC6F6D">
        <w:t>), and very recently ideological position taking has been shown to influence decisional behavior in European courts in general (</w:t>
      </w:r>
      <w:proofErr w:type="spellStart"/>
      <w:r w:rsidR="005F488A" w:rsidRPr="00FC6F6D">
        <w:t>Hönnege</w:t>
      </w:r>
      <w:proofErr w:type="spellEnd"/>
      <w:r w:rsidR="005F488A" w:rsidRPr="00FC6F6D">
        <w:t xml:space="preserve">, 2009; </w:t>
      </w:r>
      <w:proofErr w:type="spellStart"/>
      <w:r w:rsidR="005F488A" w:rsidRPr="00FC6F6D">
        <w:t>Magalhaes</w:t>
      </w:r>
      <w:proofErr w:type="spellEnd"/>
      <w:r w:rsidR="005F488A" w:rsidRPr="00FC6F6D">
        <w:t xml:space="preserve">, 2003; </w:t>
      </w:r>
      <w:proofErr w:type="spellStart"/>
      <w:r w:rsidR="005F488A" w:rsidRPr="00FC6F6D">
        <w:t>Hanr</w:t>
      </w:r>
      <w:r w:rsidR="0015080A" w:rsidRPr="00FC6F6D">
        <w:t>e</w:t>
      </w:r>
      <w:r w:rsidR="005F488A" w:rsidRPr="00FC6F6D">
        <w:t>tty</w:t>
      </w:r>
      <w:proofErr w:type="spellEnd"/>
      <w:r w:rsidR="005F488A" w:rsidRPr="00FC6F6D">
        <w:t xml:space="preserve">, </w:t>
      </w:r>
      <w:r w:rsidR="00642EDB" w:rsidRPr="00FC6F6D">
        <w:t>2012</w:t>
      </w:r>
      <w:r w:rsidR="005F488A" w:rsidRPr="00FC6F6D">
        <w:t xml:space="preserve">; </w:t>
      </w:r>
      <w:proofErr w:type="spellStart"/>
      <w:r w:rsidR="005F488A" w:rsidRPr="00FC6F6D">
        <w:t>Voeten</w:t>
      </w:r>
      <w:proofErr w:type="spellEnd"/>
      <w:r w:rsidR="005F488A" w:rsidRPr="00FC6F6D">
        <w:t>, 2007, 2008</w:t>
      </w:r>
      <w:r w:rsidR="009770F4" w:rsidRPr="00FC6F6D">
        <w:t>)</w:t>
      </w:r>
      <w:r w:rsidR="00BE5106" w:rsidRPr="00FC6F6D">
        <w:t xml:space="preserve">. Especially relevant to the immediate research question, </w:t>
      </w:r>
      <w:proofErr w:type="spellStart"/>
      <w:r w:rsidR="00BE5106" w:rsidRPr="00FC6F6D">
        <w:t>Grendstad</w:t>
      </w:r>
      <w:proofErr w:type="spellEnd"/>
      <w:r w:rsidR="00064399" w:rsidRPr="00FC6F6D">
        <w:t xml:space="preserve"> et</w:t>
      </w:r>
      <w:r w:rsidR="009F47F5">
        <w:t xml:space="preserve"> </w:t>
      </w:r>
      <w:r w:rsidR="00064399" w:rsidRPr="00FC6F6D">
        <w:t>al.</w:t>
      </w:r>
      <w:r w:rsidR="009F47F5">
        <w:t xml:space="preserve"> (</w:t>
      </w:r>
      <w:r w:rsidR="00064399" w:rsidRPr="00FC6F6D">
        <w:t xml:space="preserve">2011, </w:t>
      </w:r>
      <w:r w:rsidR="009F47F5" w:rsidRPr="00FC6F6D">
        <w:t>201</w:t>
      </w:r>
      <w:r w:rsidR="009F47F5">
        <w:t>5</w:t>
      </w:r>
      <w:r w:rsidR="00BE7C8C">
        <w:t>)</w:t>
      </w:r>
      <w:r w:rsidR="00064399" w:rsidRPr="00FC6F6D">
        <w:t xml:space="preserve"> Shaffer et</w:t>
      </w:r>
      <w:r w:rsidR="00BE7C8C">
        <w:t xml:space="preserve"> </w:t>
      </w:r>
      <w:r w:rsidR="00064399" w:rsidRPr="00FC6F6D">
        <w:t>al.</w:t>
      </w:r>
      <w:r w:rsidR="00BE7C8C">
        <w:t xml:space="preserve"> (</w:t>
      </w:r>
      <w:r w:rsidR="00064399" w:rsidRPr="00FC6F6D">
        <w:t>2014</w:t>
      </w:r>
      <w:r w:rsidR="00BE7C8C">
        <w:t>)</w:t>
      </w:r>
      <w:r w:rsidR="00BE5106" w:rsidRPr="00FC6F6D">
        <w:t xml:space="preserve"> </w:t>
      </w:r>
      <w:r w:rsidR="00064399" w:rsidRPr="00FC6F6D">
        <w:t xml:space="preserve">have </w:t>
      </w:r>
      <w:r w:rsidR="00BE5106" w:rsidRPr="00FC6F6D">
        <w:t>demonstrated that the Norwegian High Court justices possess ideological or policy preferences</w:t>
      </w:r>
      <w:r w:rsidR="00B61B9A">
        <w:t xml:space="preserve"> that </w:t>
      </w:r>
      <w:r w:rsidR="00BE5106" w:rsidRPr="00FC6F6D">
        <w:t>influence the votes they cast in many decisions handed down.</w:t>
      </w:r>
    </w:p>
    <w:p w14:paraId="30BF4921" w14:textId="1DC86A03" w:rsidR="004B2623" w:rsidRPr="000A40B2" w:rsidRDefault="004B2623" w:rsidP="004B2623">
      <w:pPr>
        <w:spacing w:line="240" w:lineRule="auto"/>
        <w:rPr>
          <w:rFonts w:cs="Times New Roman"/>
          <w:b/>
          <w:szCs w:val="24"/>
        </w:rPr>
      </w:pPr>
      <w:r>
        <w:rPr>
          <w:rFonts w:cs="Times New Roman"/>
          <w:b/>
          <w:szCs w:val="24"/>
        </w:rPr>
        <w:t>Hypothesis #</w:t>
      </w:r>
      <w:r w:rsidR="00222A29">
        <w:rPr>
          <w:rFonts w:cs="Times New Roman"/>
          <w:b/>
          <w:szCs w:val="24"/>
        </w:rPr>
        <w:t>4</w:t>
      </w:r>
      <w:r>
        <w:rPr>
          <w:rFonts w:cs="Times New Roman"/>
          <w:b/>
          <w:szCs w:val="24"/>
        </w:rPr>
        <w:t xml:space="preserve">: If a case involves an economic issue, the more likely it is that a </w:t>
      </w:r>
      <w:r w:rsidR="00B61B9A">
        <w:rPr>
          <w:rFonts w:cs="Times New Roman"/>
          <w:b/>
          <w:szCs w:val="24"/>
        </w:rPr>
        <w:t xml:space="preserve">justice appointed by a </w:t>
      </w:r>
      <w:r>
        <w:rPr>
          <w:rFonts w:cs="Times New Roman"/>
          <w:b/>
          <w:szCs w:val="24"/>
        </w:rPr>
        <w:t xml:space="preserve">socialist </w:t>
      </w:r>
      <w:r w:rsidR="00B61B9A">
        <w:rPr>
          <w:rFonts w:cs="Times New Roman"/>
          <w:b/>
          <w:szCs w:val="24"/>
        </w:rPr>
        <w:t>government</w:t>
      </w:r>
      <w:r>
        <w:rPr>
          <w:rFonts w:cs="Times New Roman"/>
          <w:b/>
          <w:szCs w:val="24"/>
        </w:rPr>
        <w:t xml:space="preserve"> will vote the socialist position and the more likely it is that a </w:t>
      </w:r>
      <w:r w:rsidR="00B61B9A">
        <w:rPr>
          <w:rFonts w:cs="Times New Roman"/>
          <w:b/>
          <w:szCs w:val="24"/>
        </w:rPr>
        <w:t xml:space="preserve">justice appointed by a </w:t>
      </w:r>
      <w:r w:rsidRPr="00FB3537">
        <w:rPr>
          <w:rFonts w:cs="Times New Roman"/>
          <w:b/>
          <w:szCs w:val="24"/>
        </w:rPr>
        <w:t xml:space="preserve">conservative </w:t>
      </w:r>
      <w:r w:rsidR="00B61B9A">
        <w:rPr>
          <w:rFonts w:cs="Times New Roman"/>
          <w:b/>
          <w:szCs w:val="24"/>
        </w:rPr>
        <w:t xml:space="preserve">government </w:t>
      </w:r>
      <w:r>
        <w:rPr>
          <w:rFonts w:cs="Times New Roman"/>
          <w:b/>
          <w:szCs w:val="24"/>
        </w:rPr>
        <w:t>is to vote the conservative position.</w:t>
      </w:r>
    </w:p>
    <w:p w14:paraId="356544D7" w14:textId="77777777" w:rsidR="004B2623" w:rsidRDefault="004B2623" w:rsidP="004B2623">
      <w:pPr>
        <w:autoSpaceDE w:val="0"/>
        <w:autoSpaceDN w:val="0"/>
        <w:adjustRightInd w:val="0"/>
        <w:spacing w:line="240" w:lineRule="auto"/>
        <w:rPr>
          <w:rFonts w:cs="Times New Roman"/>
          <w:b/>
          <w:bCs/>
          <w:szCs w:val="24"/>
        </w:rPr>
      </w:pPr>
    </w:p>
    <w:p w14:paraId="5395B2DF" w14:textId="1839D71C" w:rsidR="003C7A18" w:rsidRDefault="003C7A18" w:rsidP="003C7A18">
      <w:pPr>
        <w:ind w:firstLine="720"/>
        <w:rPr>
          <w:rFonts w:cs="Times New Roman"/>
          <w:szCs w:val="24"/>
        </w:rPr>
      </w:pPr>
      <w:r w:rsidRPr="008D226A">
        <w:rPr>
          <w:rFonts w:cs="Times New Roman"/>
          <w:szCs w:val="24"/>
        </w:rPr>
        <w:t xml:space="preserve">Previous research has demonstrated that the appointing government’s ideology is significantly linked to </w:t>
      </w:r>
      <w:r w:rsidR="00B61B9A">
        <w:rPr>
          <w:rFonts w:cs="Times New Roman"/>
          <w:szCs w:val="24"/>
        </w:rPr>
        <w:t xml:space="preserve">the justices’ </w:t>
      </w:r>
      <w:r w:rsidRPr="008D226A">
        <w:rPr>
          <w:rFonts w:cs="Times New Roman"/>
          <w:szCs w:val="24"/>
        </w:rPr>
        <w:t>votes cast in cases adjudicating a public versus a private economic interest</w:t>
      </w:r>
      <w:r w:rsidRPr="00096BAA">
        <w:rPr>
          <w:rFonts w:cs="Times New Roman"/>
          <w:szCs w:val="24"/>
        </w:rPr>
        <w:t xml:space="preserve"> (see </w:t>
      </w:r>
      <w:proofErr w:type="spellStart"/>
      <w:r w:rsidRPr="00096BAA">
        <w:rPr>
          <w:rFonts w:cs="Times New Roman"/>
          <w:szCs w:val="24"/>
        </w:rPr>
        <w:t>Grendstad</w:t>
      </w:r>
      <w:proofErr w:type="spellEnd"/>
      <w:r w:rsidRPr="00096BAA">
        <w:rPr>
          <w:rFonts w:cs="Times New Roman"/>
          <w:szCs w:val="24"/>
        </w:rPr>
        <w:t xml:space="preserve"> et al. 2015). </w:t>
      </w:r>
      <w:r w:rsidRPr="008D226A">
        <w:rPr>
          <w:rFonts w:cs="Times New Roman"/>
          <w:szCs w:val="24"/>
        </w:rPr>
        <w:t>Moreover, cases raising economic issues may be more likely to be freighted with clear ideological connotations</w:t>
      </w:r>
      <w:r w:rsidR="00923233">
        <w:rPr>
          <w:rFonts w:cs="Times New Roman"/>
          <w:szCs w:val="24"/>
        </w:rPr>
        <w:t xml:space="preserve"> </w:t>
      </w:r>
      <w:r w:rsidR="005773DF">
        <w:rPr>
          <w:rFonts w:cs="Times New Roman"/>
          <w:szCs w:val="24"/>
        </w:rPr>
        <w:t xml:space="preserve">(see, for example, Epstein and Mershon </w:t>
      </w:r>
      <w:r w:rsidR="0095710B">
        <w:rPr>
          <w:rFonts w:cs="Times New Roman"/>
          <w:szCs w:val="24"/>
        </w:rPr>
        <w:t xml:space="preserve">(1996) </w:t>
      </w:r>
      <w:r w:rsidR="002714F4">
        <w:rPr>
          <w:rFonts w:cs="Times New Roman"/>
          <w:szCs w:val="24"/>
        </w:rPr>
        <w:t xml:space="preserve">on </w:t>
      </w:r>
      <w:r w:rsidR="0095710B">
        <w:rPr>
          <w:rFonts w:cs="Times New Roman"/>
          <w:szCs w:val="24"/>
        </w:rPr>
        <w:t>variation in the effectiveness of ideological measures across issue areas)</w:t>
      </w:r>
      <w:r w:rsidR="00DA571E">
        <w:rPr>
          <w:rFonts w:cs="Times New Roman"/>
          <w:szCs w:val="24"/>
        </w:rPr>
        <w:t xml:space="preserve">. </w:t>
      </w:r>
      <w:r w:rsidRPr="00096BAA">
        <w:rPr>
          <w:rFonts w:cs="Times New Roman"/>
          <w:szCs w:val="24"/>
        </w:rPr>
        <w:t>Socialist appointees are more likely to support the public economic interest, while non-socialist appointees lean toward the private party.</w:t>
      </w:r>
    </w:p>
    <w:p w14:paraId="30FBE436" w14:textId="6A41ECA6" w:rsidR="003C7A18" w:rsidRDefault="003C7A18" w:rsidP="003C7A18">
      <w:pPr>
        <w:ind w:firstLine="720"/>
        <w:rPr>
          <w:rFonts w:cs="Times New Roman"/>
          <w:szCs w:val="24"/>
        </w:rPr>
      </w:pPr>
      <w:r w:rsidRPr="00096BAA">
        <w:rPr>
          <w:rFonts w:cs="Times New Roman"/>
          <w:szCs w:val="24"/>
        </w:rPr>
        <w:t xml:space="preserve">However, for the small number of plenary cases in this study we simply consider </w:t>
      </w:r>
      <w:proofErr w:type="gramStart"/>
      <w:r w:rsidRPr="00096BAA">
        <w:rPr>
          <w:rFonts w:cs="Times New Roman"/>
          <w:szCs w:val="24"/>
        </w:rPr>
        <w:t>whether or not</w:t>
      </w:r>
      <w:proofErr w:type="gramEnd"/>
      <w:r w:rsidRPr="00096BAA">
        <w:rPr>
          <w:rFonts w:cs="Times New Roman"/>
          <w:szCs w:val="24"/>
        </w:rPr>
        <w:t xml:space="preserve"> an economic issue is at stake</w:t>
      </w:r>
      <w:r w:rsidR="00DA571E">
        <w:rPr>
          <w:rFonts w:cs="Times New Roman"/>
          <w:szCs w:val="24"/>
        </w:rPr>
        <w:t xml:space="preserve">. </w:t>
      </w:r>
      <w:r w:rsidRPr="00096BAA">
        <w:rPr>
          <w:rFonts w:cs="Times New Roman"/>
          <w:szCs w:val="24"/>
        </w:rPr>
        <w:t>Framed this way, we see no reason to hypothesize that the presence of an economic concern will produce an increased likelihood of a socialist vote</w:t>
      </w:r>
      <w:r w:rsidR="00DA571E">
        <w:rPr>
          <w:rFonts w:cs="Times New Roman"/>
          <w:szCs w:val="24"/>
        </w:rPr>
        <w:t xml:space="preserve">. </w:t>
      </w:r>
      <w:r w:rsidRPr="00096BAA">
        <w:rPr>
          <w:rFonts w:cs="Times New Roman"/>
          <w:szCs w:val="24"/>
        </w:rPr>
        <w:t xml:space="preserve">To the </w:t>
      </w:r>
      <w:r w:rsidRPr="00096BAA">
        <w:rPr>
          <w:rFonts w:cs="Times New Roman"/>
          <w:szCs w:val="24"/>
        </w:rPr>
        <w:lastRenderedPageBreak/>
        <w:t>contrary, a non-socialist appointee is not predisposed to cast a socialist vote on the matter, but a socialist government appointee could be expected to do so</w:t>
      </w:r>
      <w:r w:rsidR="00DA571E">
        <w:rPr>
          <w:rFonts w:cs="Times New Roman"/>
          <w:szCs w:val="24"/>
        </w:rPr>
        <w:t xml:space="preserve">. </w:t>
      </w:r>
      <w:r>
        <w:rPr>
          <w:rFonts w:cs="Times New Roman"/>
          <w:szCs w:val="24"/>
        </w:rPr>
        <w:t>Therefore, an economic issue is hypothesized to produce a socialist vote among those justices appointed by a socialist government</w:t>
      </w:r>
      <w:r w:rsidR="00DA571E">
        <w:rPr>
          <w:rFonts w:cs="Times New Roman"/>
          <w:szCs w:val="24"/>
        </w:rPr>
        <w:t xml:space="preserve">. </w:t>
      </w:r>
      <w:r>
        <w:rPr>
          <w:rFonts w:cs="Times New Roman"/>
          <w:szCs w:val="24"/>
        </w:rPr>
        <w:t>To reflect such a theoretical expectation requires an interaction between an economic issue and appointing government.</w:t>
      </w:r>
    </w:p>
    <w:p w14:paraId="153758D3" w14:textId="6F7412B4" w:rsidR="004B2623" w:rsidRDefault="004B2623" w:rsidP="004B2623">
      <w:pPr>
        <w:spacing w:line="240" w:lineRule="auto"/>
        <w:rPr>
          <w:rFonts w:cs="Times New Roman"/>
          <w:b/>
          <w:szCs w:val="24"/>
        </w:rPr>
      </w:pPr>
      <w:r>
        <w:rPr>
          <w:rFonts w:cs="Times New Roman"/>
          <w:b/>
          <w:szCs w:val="24"/>
        </w:rPr>
        <w:t>Hypothesis #</w:t>
      </w:r>
      <w:r w:rsidR="008D0FE8">
        <w:rPr>
          <w:rFonts w:cs="Times New Roman"/>
          <w:b/>
          <w:szCs w:val="24"/>
        </w:rPr>
        <w:t>5</w:t>
      </w:r>
      <w:r>
        <w:rPr>
          <w:rFonts w:cs="Times New Roman"/>
          <w:b/>
          <w:szCs w:val="24"/>
        </w:rPr>
        <w:t>: If a justice is female, she</w:t>
      </w:r>
      <w:r w:rsidRPr="00FB3537">
        <w:rPr>
          <w:rFonts w:cs="Times New Roman"/>
          <w:b/>
          <w:szCs w:val="24"/>
        </w:rPr>
        <w:t xml:space="preserve"> will register a </w:t>
      </w:r>
      <w:r w:rsidR="0024715D">
        <w:rPr>
          <w:rFonts w:cs="Times New Roman"/>
          <w:b/>
          <w:szCs w:val="24"/>
        </w:rPr>
        <w:t>non-</w:t>
      </w:r>
      <w:r>
        <w:rPr>
          <w:rFonts w:cs="Times New Roman"/>
          <w:b/>
          <w:szCs w:val="24"/>
        </w:rPr>
        <w:t xml:space="preserve">socialist </w:t>
      </w:r>
      <w:r w:rsidRPr="00FB3537">
        <w:rPr>
          <w:rFonts w:cs="Times New Roman"/>
          <w:b/>
          <w:szCs w:val="24"/>
        </w:rPr>
        <w:t xml:space="preserve">vote </w:t>
      </w:r>
    </w:p>
    <w:p w14:paraId="07574F4D" w14:textId="77777777" w:rsidR="004B2623" w:rsidRDefault="004B2623" w:rsidP="004B2623">
      <w:pPr>
        <w:spacing w:line="240" w:lineRule="auto"/>
        <w:rPr>
          <w:rFonts w:cs="Times New Roman"/>
          <w:b/>
          <w:szCs w:val="24"/>
        </w:rPr>
      </w:pPr>
    </w:p>
    <w:p w14:paraId="2A662411" w14:textId="2C97BAC6" w:rsidR="00BE4EAD" w:rsidRDefault="004B2623" w:rsidP="00BE4EAD">
      <w:pPr>
        <w:ind w:firstLine="720"/>
      </w:pPr>
      <w:r>
        <w:t>Although little evidence has been produced to date that provides empirical support for a link between gender and a justice’s vote, either in the case of the United States (see Boyd et al. 2010) or for Norway (</w:t>
      </w:r>
      <w:proofErr w:type="spellStart"/>
      <w:r>
        <w:t>Bergset</w:t>
      </w:r>
      <w:proofErr w:type="spellEnd"/>
      <w:r>
        <w:t xml:space="preserve"> 2013; </w:t>
      </w:r>
      <w:proofErr w:type="spellStart"/>
      <w:r>
        <w:t>Grendstad</w:t>
      </w:r>
      <w:proofErr w:type="spellEnd"/>
      <w:r>
        <w:t xml:space="preserve"> et al. 2015), male-female differences may emerge when cases involve a left-right dimension of ideology and legislative intent is discernable. Whether deliberating about welfare policies, family law, and other women’s issues, </w:t>
      </w:r>
      <w:r w:rsidR="001C06E7">
        <w:t xml:space="preserve">one might expect </w:t>
      </w:r>
      <w:r>
        <w:t xml:space="preserve">that </w:t>
      </w:r>
      <w:r w:rsidR="009024CC">
        <w:t>fe</w:t>
      </w:r>
      <w:r>
        <w:t xml:space="preserve">male justices will cast a more </w:t>
      </w:r>
      <w:r w:rsidR="009024CC">
        <w:t>socialist</w:t>
      </w:r>
      <w:r>
        <w:t xml:space="preserve"> vot</w:t>
      </w:r>
      <w:r w:rsidR="006A0AB7">
        <w:t>e</w:t>
      </w:r>
      <w:r>
        <w:t>.</w:t>
      </w:r>
      <w:r w:rsidR="009F2B5D">
        <w:rPr>
          <w:rStyle w:val="FootnoteReference"/>
        </w:rPr>
        <w:footnoteReference w:id="5"/>
      </w:r>
      <w:r w:rsidR="00E44ECD">
        <w:t xml:space="preserve"> Yet, </w:t>
      </w:r>
      <w:proofErr w:type="gramStart"/>
      <w:r w:rsidR="00E44ECD">
        <w:t>inasmuch as</w:t>
      </w:r>
      <w:proofErr w:type="gramEnd"/>
      <w:r w:rsidR="00E44ECD">
        <w:t xml:space="preserve"> </w:t>
      </w:r>
      <w:r w:rsidR="00BE4EAD">
        <w:t xml:space="preserve">women are relative newcomers to the High Court, they may exhibit </w:t>
      </w:r>
      <w:r w:rsidR="00E44ECD">
        <w:t xml:space="preserve">an </w:t>
      </w:r>
      <w:r w:rsidR="00BE4EAD">
        <w:t>orientation</w:t>
      </w:r>
      <w:r w:rsidR="00E44ECD">
        <w:t xml:space="preserve"> </w:t>
      </w:r>
      <w:r w:rsidR="004F1661">
        <w:t>m</w:t>
      </w:r>
      <w:r w:rsidR="00E44ECD">
        <w:t>ore sympathetic to private interests in economic affairs that is</w:t>
      </w:r>
      <w:r w:rsidR="00BE4EAD">
        <w:t xml:space="preserve"> symptomatic of more recent generations.</w:t>
      </w:r>
      <w:r w:rsidR="00E44ECD">
        <w:t xml:space="preserve"> Thus, we hypothesize that women will support a non-socialist position on the plenary cases analyzed herein.</w:t>
      </w:r>
    </w:p>
    <w:p w14:paraId="0A99DA1A" w14:textId="49D2936B" w:rsidR="00B019C2" w:rsidRPr="00BF5502" w:rsidRDefault="00B019C2" w:rsidP="00D82AC7">
      <w:pPr>
        <w:pStyle w:val="Heading1"/>
      </w:pPr>
      <w:r>
        <w:t>Data and Me</w:t>
      </w:r>
      <w:r w:rsidRPr="00BF5502">
        <w:t>thodology</w:t>
      </w:r>
    </w:p>
    <w:p w14:paraId="4A0815A5" w14:textId="77777777" w:rsidR="00FA7FD7" w:rsidRDefault="00015409" w:rsidP="00A22534">
      <w:pPr>
        <w:ind w:firstLine="284"/>
      </w:pPr>
      <w:r>
        <w:t>The initial data gathering and processing was a major undertaking reported in Kisen (2014)</w:t>
      </w:r>
      <w:r w:rsidR="00582C24">
        <w:t xml:space="preserve">. </w:t>
      </w:r>
      <w:r w:rsidR="00E86ECE">
        <w:t>It involved</w:t>
      </w:r>
      <w:r w:rsidR="008C37C8">
        <w:t xml:space="preserve"> a two-step process: (1) coding a legislative act as socialist or non-socialist, and (2) coding each participating justice’s vote as socialist or non-socialist</w:t>
      </w:r>
      <w:r w:rsidR="002452ED">
        <w:t xml:space="preserve">. </w:t>
      </w:r>
      <w:r w:rsidR="00EF69B9">
        <w:t xml:space="preserve">This procedure was performed for Norwegian Supreme Court cases decided in plenary session from 1976 through </w:t>
      </w:r>
      <w:r w:rsidR="00EF69B9">
        <w:lastRenderedPageBreak/>
        <w:t>2013</w:t>
      </w:r>
      <w:r w:rsidR="002452ED">
        <w:t xml:space="preserve">. </w:t>
      </w:r>
      <w:r w:rsidR="00EF69B9">
        <w:t xml:space="preserve">There were 62 such cases, </w:t>
      </w:r>
      <w:r w:rsidR="00582C24">
        <w:t xml:space="preserve">26 </w:t>
      </w:r>
      <w:r w:rsidR="00EF69B9">
        <w:t>of which addressed the legislative intent expressed in parliamentary statutes</w:t>
      </w:r>
      <w:r w:rsidR="002452ED">
        <w:t xml:space="preserve">. </w:t>
      </w:r>
      <w:r w:rsidR="00C1250A">
        <w:t xml:space="preserve">A careful reading of </w:t>
      </w:r>
      <w:proofErr w:type="spellStart"/>
      <w:r w:rsidR="00C1250A">
        <w:t>Storting</w:t>
      </w:r>
      <w:proofErr w:type="spellEnd"/>
      <w:r w:rsidR="00C1250A">
        <w:t xml:space="preserve"> documents </w:t>
      </w:r>
      <w:r w:rsidR="006143AF">
        <w:t xml:space="preserve">allowed Kisen (2014) to code legislative intent as </w:t>
      </w:r>
      <w:r w:rsidR="00D34C20">
        <w:t>either socialist or non-socialist, which could be determined for 22 cases</w:t>
      </w:r>
    </w:p>
    <w:p w14:paraId="42A915EA" w14:textId="16607728" w:rsidR="007B7160" w:rsidRDefault="00A22534" w:rsidP="00FA7FD7">
      <w:pPr>
        <w:ind w:firstLine="284"/>
      </w:pPr>
      <w:r>
        <w:t xml:space="preserve">The number of cases is necessarily limited, because the Court hears a small fraction in plenary session and legislative intent may not be </w:t>
      </w:r>
      <w:r w:rsidR="00550CC0">
        <w:t xml:space="preserve">explicitly </w:t>
      </w:r>
      <w:r>
        <w:t>addressed in many instances</w:t>
      </w:r>
      <w:r w:rsidR="00DA571E">
        <w:t xml:space="preserve">. </w:t>
      </w:r>
      <w:r>
        <w:t>Nonetheless, the finite number of cases provide a window into the impact of legislative intent, addressing a range of crucial matters, including quotas, property regulation, taxation, criminal sentencing, social insurance and expropriat</w:t>
      </w:r>
      <w:r w:rsidR="00FA7FD7">
        <w:t>i</w:t>
      </w:r>
      <w:r>
        <w:t>on</w:t>
      </w:r>
      <w:r w:rsidR="00DA571E">
        <w:t xml:space="preserve">. </w:t>
      </w:r>
      <w:r w:rsidR="00D90F24">
        <w:t>I</w:t>
      </w:r>
      <w:r w:rsidR="00454D28">
        <w:t xml:space="preserve">n </w:t>
      </w:r>
      <w:r w:rsidR="007E48C9">
        <w:t xml:space="preserve">19 of </w:t>
      </w:r>
      <w:r w:rsidR="00D90F24">
        <w:t xml:space="preserve">these </w:t>
      </w:r>
      <w:r w:rsidR="009A3F72">
        <w:t>22 cases</w:t>
      </w:r>
      <w:r w:rsidR="00D90F24">
        <w:t>, the</w:t>
      </w:r>
      <w:r w:rsidR="00454D28">
        <w:t xml:space="preserve"> </w:t>
      </w:r>
      <w:r w:rsidR="00D90F24">
        <w:t xml:space="preserve">individual justice’s vote </w:t>
      </w:r>
      <w:r w:rsidR="00454D28">
        <w:t>could be coded as supportive of a socialist or non-socialist stance.</w:t>
      </w:r>
      <w:r w:rsidR="00633C8A">
        <w:rPr>
          <w:rStyle w:val="FootnoteReference"/>
        </w:rPr>
        <w:footnoteReference w:id="6"/>
      </w:r>
      <w:r w:rsidR="008C0774">
        <w:t xml:space="preserve"> </w:t>
      </w:r>
      <w:r w:rsidR="00F0329C">
        <w:t xml:space="preserve">(See Table 1 for information on these cases.) </w:t>
      </w:r>
      <w:r w:rsidR="00D90F24">
        <w:t>With these data, t</w:t>
      </w:r>
      <w:r w:rsidR="008C0774">
        <w:t>hen</w:t>
      </w:r>
      <w:r w:rsidR="00D90F24">
        <w:t>,</w:t>
      </w:r>
      <w:r w:rsidR="008C0774">
        <w:t xml:space="preserve"> it was a simple matter of </w:t>
      </w:r>
      <w:r w:rsidR="008C7A71">
        <w:t xml:space="preserve">identifying when </w:t>
      </w:r>
      <w:r w:rsidR="008C0774">
        <w:t xml:space="preserve">a justice </w:t>
      </w:r>
      <w:r w:rsidR="00582C24">
        <w:t xml:space="preserve">voted in a manner that was consistent with </w:t>
      </w:r>
      <w:r w:rsidR="008C0774">
        <w:t xml:space="preserve">a socialist </w:t>
      </w:r>
      <w:r w:rsidR="006A5F62">
        <w:t>legislative intent</w:t>
      </w:r>
      <w:r w:rsidR="006C5FA3">
        <w:t xml:space="preserve">, </w:t>
      </w:r>
    </w:p>
    <w:p w14:paraId="78B5ECAD" w14:textId="77777777" w:rsidR="00F0329C" w:rsidRDefault="00F0329C" w:rsidP="00FE1F7C">
      <w:pPr>
        <w:jc w:val="center"/>
      </w:pPr>
      <w:r>
        <w:t>[Table 1 Goes Here]</w:t>
      </w:r>
    </w:p>
    <w:p w14:paraId="236E0B76" w14:textId="5683380C" w:rsidR="00504555" w:rsidRDefault="006A5F62" w:rsidP="00BF2417">
      <w:r>
        <w:tab/>
      </w:r>
      <w:r w:rsidR="004F441F">
        <w:t xml:space="preserve">Kisen finds some support </w:t>
      </w:r>
      <w:r w:rsidR="00582C24">
        <w:t xml:space="preserve">for </w:t>
      </w:r>
      <w:r w:rsidR="004F441F">
        <w:t xml:space="preserve">the hypothesis that the proportion of socialist votes is correlated with </w:t>
      </w:r>
      <w:r w:rsidR="00582C24">
        <w:t xml:space="preserve">a justice’s </w:t>
      </w:r>
      <w:r w:rsidR="004F441F">
        <w:t xml:space="preserve">ideology, at least for those cases in which legislative intent was critical but not expressly </w:t>
      </w:r>
      <w:r w:rsidR="00582C24">
        <w:t xml:space="preserve">referred to </w:t>
      </w:r>
      <w:r w:rsidR="004F441F">
        <w:t>by justices</w:t>
      </w:r>
      <w:r w:rsidR="002452ED">
        <w:t xml:space="preserve">. </w:t>
      </w:r>
      <w:r w:rsidR="00843052">
        <w:t xml:space="preserve">This is an extremely important finding in that </w:t>
      </w:r>
      <w:r w:rsidR="009A3F72">
        <w:t xml:space="preserve">justices’ </w:t>
      </w:r>
      <w:r w:rsidR="00C562EA">
        <w:t xml:space="preserve">ideology </w:t>
      </w:r>
      <w:r w:rsidR="004F0BF2">
        <w:t xml:space="preserve">not only </w:t>
      </w:r>
      <w:r w:rsidR="00C562EA">
        <w:t>play</w:t>
      </w:r>
      <w:r w:rsidR="004F0BF2">
        <w:t>s a ro</w:t>
      </w:r>
      <w:r w:rsidR="00843052">
        <w:t xml:space="preserve">le in </w:t>
      </w:r>
      <w:r w:rsidR="00C562EA">
        <w:t>judicial</w:t>
      </w:r>
      <w:r w:rsidR="00843052">
        <w:t xml:space="preserve"> behavior, but is also linked to party politics</w:t>
      </w:r>
      <w:r w:rsidR="00C562EA">
        <w:t xml:space="preserve"> as made manifest in the </w:t>
      </w:r>
      <w:proofErr w:type="spellStart"/>
      <w:r w:rsidR="00C562EA">
        <w:t>Storting</w:t>
      </w:r>
      <w:proofErr w:type="spellEnd"/>
      <w:r w:rsidR="002452ED">
        <w:t xml:space="preserve">. </w:t>
      </w:r>
      <w:r w:rsidR="00AB4F1B">
        <w:t>I</w:t>
      </w:r>
      <w:r w:rsidR="007F5206">
        <w:t>n this study, we expand on Kisen’s pioneering effort by undertaking a multivariate analysis of plenary session voting</w:t>
      </w:r>
      <w:r w:rsidR="000675D4">
        <w:t xml:space="preserve"> in ten </w:t>
      </w:r>
      <w:r w:rsidR="000675D4" w:rsidRPr="000A40B2">
        <w:rPr>
          <w:i/>
        </w:rPr>
        <w:t>non-unanimous</w:t>
      </w:r>
      <w:r w:rsidR="000675D4">
        <w:t xml:space="preserve"> decisions (see Table </w:t>
      </w:r>
      <w:r w:rsidR="008B00DA">
        <w:t>2</w:t>
      </w:r>
      <w:r w:rsidR="000675D4">
        <w:t>)</w:t>
      </w:r>
      <w:r w:rsidR="007F5206">
        <w:t xml:space="preserve"> w</w:t>
      </w:r>
      <w:r w:rsidR="000675D4">
        <w:t xml:space="preserve">here voting is </w:t>
      </w:r>
      <w:r w:rsidR="007F5206">
        <w:t>measured by its ideological direction, as determined by the thrust of the language in the law in question</w:t>
      </w:r>
      <w:r w:rsidR="002452ED">
        <w:t>.</w:t>
      </w:r>
      <w:r w:rsidR="002A53F5">
        <w:t xml:space="preserve"> The number of cases is small, 10 to be precise</w:t>
      </w:r>
      <w:r w:rsidR="00CF0246">
        <w:t>, reduced significantly from the 22 addressed by Kisen (Table 1)</w:t>
      </w:r>
      <w:r w:rsidR="00DA571E">
        <w:t xml:space="preserve">. </w:t>
      </w:r>
      <w:r w:rsidR="00CF0246">
        <w:t>Of course, a slight majority of these cases were excluded because they were unanimous decisions</w:t>
      </w:r>
      <w:r w:rsidR="00DA571E">
        <w:t xml:space="preserve">. </w:t>
      </w:r>
    </w:p>
    <w:p w14:paraId="1F550DC7" w14:textId="77777777" w:rsidR="003A349C" w:rsidRPr="008B00DA" w:rsidRDefault="003A349C" w:rsidP="003A349C">
      <w:pPr>
        <w:jc w:val="center"/>
        <w:rPr>
          <w:szCs w:val="24"/>
        </w:rPr>
      </w:pPr>
      <w:r>
        <w:rPr>
          <w:rStyle w:val="CommentReference"/>
          <w:sz w:val="24"/>
          <w:szCs w:val="24"/>
        </w:rPr>
        <w:lastRenderedPageBreak/>
        <w:t>[</w:t>
      </w:r>
      <w:r w:rsidRPr="004A26B3">
        <w:rPr>
          <w:rStyle w:val="CommentReference"/>
          <w:sz w:val="24"/>
          <w:szCs w:val="24"/>
        </w:rPr>
        <w:t>Table 2 Goes Here]</w:t>
      </w:r>
    </w:p>
    <w:p w14:paraId="7645951E" w14:textId="10C6E49E" w:rsidR="00BF2417" w:rsidRDefault="003A349C" w:rsidP="003F302B">
      <w:pPr>
        <w:ind w:firstLine="720"/>
      </w:pPr>
      <w:r>
        <w:t xml:space="preserve">Although our statistical examination concentrates on 10 plenary decisions, our unit of analysis is the individual justice’s vote, resulting in 148 observations. The dependent variable is coded as 0 when the justice’s vote is </w:t>
      </w:r>
      <w:r w:rsidR="00FA58E9">
        <w:t xml:space="preserve">consistent </w:t>
      </w:r>
      <w:r w:rsidR="001F3414">
        <w:t>with a</w:t>
      </w:r>
      <w:r>
        <w:t xml:space="preserve"> non-socialist </w:t>
      </w:r>
      <w:r w:rsidR="001F3414">
        <w:t>legislative intent</w:t>
      </w:r>
      <w:r>
        <w:t xml:space="preserve"> it is coded 1 when the justice’s vote is </w:t>
      </w:r>
      <w:r w:rsidR="001F3414">
        <w:t>in support of a</w:t>
      </w:r>
      <w:r>
        <w:t xml:space="preserve"> socialist </w:t>
      </w:r>
      <w:r w:rsidR="001F3414">
        <w:t>legislative intent</w:t>
      </w:r>
      <w:r>
        <w:t xml:space="preserve">. </w:t>
      </w:r>
    </w:p>
    <w:p w14:paraId="6CE0BA1C" w14:textId="6768D6FB" w:rsidR="00EE5770" w:rsidRPr="00EE5770" w:rsidRDefault="00AB4F1B" w:rsidP="007B4DEC">
      <w:pPr>
        <w:rPr>
          <w:b/>
          <w:color w:val="FF0000"/>
        </w:rPr>
      </w:pPr>
      <w:r w:rsidRPr="006C49EC">
        <w:tab/>
        <w:t xml:space="preserve">In the statistical findings reported below </w:t>
      </w:r>
      <w:r w:rsidR="006C49EC" w:rsidRPr="006C49EC">
        <w:t xml:space="preserve">we use an indicator </w:t>
      </w:r>
      <w:r w:rsidR="005B246F">
        <w:t xml:space="preserve">for the justices’ ideology that has been </w:t>
      </w:r>
      <w:r w:rsidR="006C49EC" w:rsidRPr="006C49EC">
        <w:t>employed in earlier research</w:t>
      </w:r>
      <w:r w:rsidR="00582C24">
        <w:t xml:space="preserve"> – namely, </w:t>
      </w:r>
      <w:r w:rsidR="006C49EC" w:rsidRPr="006C49EC">
        <w:t xml:space="preserve">the political color of the appointing government </w:t>
      </w:r>
      <w:r w:rsidR="00D90F24">
        <w:t xml:space="preserve">(see </w:t>
      </w:r>
      <w:r w:rsidR="006C49EC" w:rsidRPr="006C49EC">
        <w:t xml:space="preserve">also </w:t>
      </w:r>
      <w:proofErr w:type="spellStart"/>
      <w:r w:rsidR="006C49EC" w:rsidRPr="006C49EC">
        <w:t>Dye</w:t>
      </w:r>
      <w:r w:rsidR="00867D79">
        <w:t>v</w:t>
      </w:r>
      <w:r w:rsidR="006C49EC" w:rsidRPr="006C49EC">
        <w:t>re</w:t>
      </w:r>
      <w:proofErr w:type="spellEnd"/>
      <w:r w:rsidR="006C49EC" w:rsidRPr="006C49EC">
        <w:t>, 2010)</w:t>
      </w:r>
      <w:r w:rsidR="002452ED">
        <w:t xml:space="preserve">. </w:t>
      </w:r>
      <w:r w:rsidR="006C49EC" w:rsidRPr="006C49EC">
        <w:t xml:space="preserve">In </w:t>
      </w:r>
      <w:proofErr w:type="gramStart"/>
      <w:r w:rsidR="006C49EC" w:rsidRPr="006C49EC">
        <w:t>a number of</w:t>
      </w:r>
      <w:proofErr w:type="gramEnd"/>
      <w:r w:rsidR="006C49EC" w:rsidRPr="006C49EC">
        <w:t xml:space="preserve"> prior studies</w:t>
      </w:r>
      <w:r w:rsidR="00E86ECE">
        <w:t>,</w:t>
      </w:r>
      <w:r w:rsidR="006C49EC" w:rsidRPr="006C49EC">
        <w:t xml:space="preserve"> this proxy for ideology is significantly associated with decisional behavior, and we suggest that socialist and non-socialist governments may be prone to appointing justices who tend to be located on their side of the left-right continuum</w:t>
      </w:r>
      <w:r w:rsidR="002452ED">
        <w:t xml:space="preserve">. </w:t>
      </w:r>
      <w:r w:rsidR="006C49EC" w:rsidRPr="006C49EC">
        <w:t xml:space="preserve">For present </w:t>
      </w:r>
      <w:r w:rsidR="001B67C4">
        <w:t>p</w:t>
      </w:r>
      <w:r w:rsidR="006C49EC" w:rsidRPr="006C49EC">
        <w:t>urposes</w:t>
      </w:r>
      <w:r w:rsidR="004F1661">
        <w:t>,</w:t>
      </w:r>
      <w:r w:rsidR="006C49EC" w:rsidRPr="006C49EC">
        <w:t xml:space="preserve"> we code socialist </w:t>
      </w:r>
      <w:r w:rsidR="008B4D35">
        <w:t xml:space="preserve">government </w:t>
      </w:r>
      <w:r w:rsidR="006C49EC" w:rsidRPr="006C49EC">
        <w:t xml:space="preserve">appointees as </w:t>
      </w:r>
      <w:r w:rsidR="00CF0246">
        <w:t>1</w:t>
      </w:r>
      <w:r w:rsidR="006C49EC" w:rsidRPr="006C49EC">
        <w:t xml:space="preserve"> and non-socialist appointees as </w:t>
      </w:r>
      <w:r w:rsidR="00CF0246">
        <w:t>0</w:t>
      </w:r>
      <w:r w:rsidR="002452ED">
        <w:t>.</w:t>
      </w:r>
      <w:r w:rsidR="00AC5382">
        <w:rPr>
          <w:rStyle w:val="FootnoteReference"/>
        </w:rPr>
        <w:footnoteReference w:id="7"/>
      </w:r>
      <w:r w:rsidR="002452ED">
        <w:t xml:space="preserve"> </w:t>
      </w:r>
      <w:r w:rsidR="006C49EC" w:rsidRPr="006C49EC">
        <w:t xml:space="preserve">We include </w:t>
      </w:r>
      <w:r w:rsidR="00EE5770">
        <w:t xml:space="preserve">three </w:t>
      </w:r>
      <w:r w:rsidR="006C49EC" w:rsidRPr="006C49EC">
        <w:t xml:space="preserve">dichotomous variables: sex [0 = male, 1 = female], </w:t>
      </w:r>
      <w:r w:rsidR="005A2D56">
        <w:t>legislative intent</w:t>
      </w:r>
      <w:r w:rsidR="006C49EC" w:rsidRPr="006C49EC">
        <w:t xml:space="preserve"> </w:t>
      </w:r>
      <w:r w:rsidR="00D90F24">
        <w:t>[</w:t>
      </w:r>
      <w:r w:rsidR="006C49EC" w:rsidRPr="006C49EC">
        <w:t>0 = no</w:t>
      </w:r>
      <w:r w:rsidR="005A2D56">
        <w:t>n</w:t>
      </w:r>
      <w:r w:rsidR="003A349C">
        <w:t>-</w:t>
      </w:r>
      <w:r w:rsidR="005A2D56">
        <w:t>socialist</w:t>
      </w:r>
      <w:r w:rsidR="006C49EC" w:rsidRPr="006C49EC">
        <w:t>, 1 = s</w:t>
      </w:r>
      <w:r w:rsidR="005A2D56">
        <w:t>ocialist</w:t>
      </w:r>
      <w:r w:rsidR="006C49EC" w:rsidRPr="006C49EC">
        <w:t>]</w:t>
      </w:r>
      <w:r w:rsidR="00463589">
        <w:t xml:space="preserve">, and whether the case </w:t>
      </w:r>
      <w:r w:rsidR="005A2D56">
        <w:t>was brought by a public plaintiff</w:t>
      </w:r>
      <w:r w:rsidR="00193C35">
        <w:t xml:space="preserve"> [0 = Private, 1 = </w:t>
      </w:r>
      <w:r w:rsidR="003A349C">
        <w:t>Public</w:t>
      </w:r>
      <w:r w:rsidR="00193C35">
        <w:t>]</w:t>
      </w:r>
      <w:r w:rsidR="00DA571E">
        <w:t xml:space="preserve">. </w:t>
      </w:r>
      <w:r w:rsidR="00CB2BEE">
        <w:t xml:space="preserve">And we estimate the effect of an </w:t>
      </w:r>
      <w:r w:rsidR="00EE5770">
        <w:t>interaction term</w:t>
      </w:r>
      <w:r w:rsidR="00CB2BEE">
        <w:t>, which</w:t>
      </w:r>
      <w:r w:rsidR="00EE5770">
        <w:t xml:space="preserve"> is the product of the appointing government </w:t>
      </w:r>
      <w:r w:rsidR="00CB2BEE">
        <w:t xml:space="preserve">[0 = non-socialist, 1 = socialist] </w:t>
      </w:r>
      <w:r w:rsidR="00EE5770">
        <w:t xml:space="preserve">and </w:t>
      </w:r>
      <w:proofErr w:type="gramStart"/>
      <w:r w:rsidR="00EE5770">
        <w:t>whether or not</w:t>
      </w:r>
      <w:proofErr w:type="gramEnd"/>
      <w:r w:rsidR="00EE5770">
        <w:t xml:space="preserve"> a case dealt primarily w</w:t>
      </w:r>
      <w:r w:rsidR="00A93CE9">
        <w:t>ith an</w:t>
      </w:r>
      <w:r w:rsidR="00EE5770">
        <w:t xml:space="preserve"> economic </w:t>
      </w:r>
      <w:r w:rsidR="00EE5770" w:rsidRPr="00193C35">
        <w:rPr>
          <w:szCs w:val="24"/>
        </w:rPr>
        <w:t>question</w:t>
      </w:r>
      <w:bookmarkStart w:id="1" w:name="_Hlk501022711"/>
      <w:r w:rsidR="009E3A51">
        <w:rPr>
          <w:rStyle w:val="CommentReference"/>
          <w:sz w:val="24"/>
          <w:szCs w:val="24"/>
        </w:rPr>
        <w:t xml:space="preserve"> [0 =</w:t>
      </w:r>
      <w:r w:rsidR="00193C35" w:rsidRPr="00193C35">
        <w:rPr>
          <w:rStyle w:val="CommentReference"/>
          <w:sz w:val="24"/>
          <w:szCs w:val="24"/>
        </w:rPr>
        <w:t xml:space="preserve"> non-economic, 1 = economic]</w:t>
      </w:r>
      <w:r w:rsidR="00193C35">
        <w:rPr>
          <w:rStyle w:val="CommentReference"/>
          <w:sz w:val="24"/>
          <w:szCs w:val="24"/>
        </w:rPr>
        <w:t>.</w:t>
      </w:r>
      <w:r w:rsidR="00B27D2F">
        <w:rPr>
          <w:rStyle w:val="FootnoteReference"/>
          <w:szCs w:val="24"/>
        </w:rPr>
        <w:footnoteReference w:id="8"/>
      </w:r>
    </w:p>
    <w:bookmarkEnd w:id="1"/>
    <w:p w14:paraId="0450A4AF" w14:textId="393D407D" w:rsidR="00B65F9A" w:rsidRDefault="00193C35" w:rsidP="005E5BF2">
      <w:pPr>
        <w:ind w:firstLine="720"/>
        <w:rPr>
          <w:rFonts w:cs="Times New Roman"/>
          <w:szCs w:val="24"/>
        </w:rPr>
      </w:pPr>
      <w:r>
        <w:rPr>
          <w:rFonts w:cs="Times New Roman"/>
          <w:szCs w:val="24"/>
        </w:rPr>
        <w:t xml:space="preserve">Given our principal interest </w:t>
      </w:r>
      <w:r w:rsidR="00C40A1A">
        <w:rPr>
          <w:rFonts w:cs="Times New Roman"/>
          <w:szCs w:val="24"/>
        </w:rPr>
        <w:t>in estimating the impact of</w:t>
      </w:r>
      <w:r w:rsidR="009B5D7F">
        <w:rPr>
          <w:rFonts w:cs="Times New Roman"/>
          <w:szCs w:val="24"/>
        </w:rPr>
        <w:t xml:space="preserve"> sociopolitical diversity, we </w:t>
      </w:r>
      <w:r w:rsidR="00C40A1A">
        <w:rPr>
          <w:rFonts w:cs="Times New Roman"/>
          <w:szCs w:val="24"/>
        </w:rPr>
        <w:t>employ</w:t>
      </w:r>
      <w:r w:rsidR="009B5D7F">
        <w:rPr>
          <w:rFonts w:cs="Times New Roman"/>
          <w:szCs w:val="24"/>
        </w:rPr>
        <w:t xml:space="preserve"> an ind</w:t>
      </w:r>
      <w:r w:rsidR="00C40A1A">
        <w:rPr>
          <w:rFonts w:cs="Times New Roman"/>
          <w:szCs w:val="24"/>
        </w:rPr>
        <w:t>ex</w:t>
      </w:r>
      <w:r w:rsidR="009B5D7F">
        <w:rPr>
          <w:rFonts w:cs="Times New Roman"/>
          <w:szCs w:val="24"/>
        </w:rPr>
        <w:t xml:space="preserve"> of “fractionalization,” a measure </w:t>
      </w:r>
      <w:r w:rsidR="00C40A1A">
        <w:rPr>
          <w:rFonts w:cs="Times New Roman"/>
          <w:szCs w:val="24"/>
        </w:rPr>
        <w:t>utilized</w:t>
      </w:r>
      <w:r w:rsidR="009B5D7F">
        <w:rPr>
          <w:rFonts w:cs="Times New Roman"/>
          <w:szCs w:val="24"/>
        </w:rPr>
        <w:t xml:space="preserve"> in </w:t>
      </w:r>
      <w:proofErr w:type="gramStart"/>
      <w:r w:rsidR="009B5D7F">
        <w:rPr>
          <w:rFonts w:cs="Times New Roman"/>
          <w:szCs w:val="24"/>
        </w:rPr>
        <w:t>a number of</w:t>
      </w:r>
      <w:proofErr w:type="gramEnd"/>
      <w:r w:rsidR="009B5D7F">
        <w:rPr>
          <w:rFonts w:cs="Times New Roman"/>
          <w:szCs w:val="24"/>
        </w:rPr>
        <w:t xml:space="preserve"> sociological, political</w:t>
      </w:r>
      <w:r w:rsidR="004F1661">
        <w:rPr>
          <w:rFonts w:cs="Times New Roman"/>
          <w:szCs w:val="24"/>
        </w:rPr>
        <w:t>,</w:t>
      </w:r>
      <w:r w:rsidR="009B5D7F">
        <w:rPr>
          <w:rFonts w:cs="Times New Roman"/>
          <w:szCs w:val="24"/>
        </w:rPr>
        <w:t xml:space="preserve"> and economic studies (Annett, 2001; Esteban and Ray, 2008). Naturally, deciding which groups should be included in a diversity score is not always self-evident (Fearon, 2003). We focus on </w:t>
      </w:r>
      <w:r w:rsidR="009B5D7F">
        <w:rPr>
          <w:rFonts w:cs="Times New Roman"/>
          <w:szCs w:val="24"/>
        </w:rPr>
        <w:lastRenderedPageBreak/>
        <w:t>five different salient sociopolitical clusters, beginning with appointing government (socialist or non-socialist), a factor often found to be significantly correlated with Supreme Court votes (</w:t>
      </w:r>
      <w:proofErr w:type="spellStart"/>
      <w:r w:rsidR="009B5D7F">
        <w:rPr>
          <w:rFonts w:cs="Times New Roman"/>
          <w:szCs w:val="24"/>
        </w:rPr>
        <w:t>Grendstad</w:t>
      </w:r>
      <w:proofErr w:type="spellEnd"/>
      <w:r w:rsidR="009B5D7F">
        <w:rPr>
          <w:rFonts w:cs="Times New Roman"/>
          <w:szCs w:val="24"/>
        </w:rPr>
        <w:t xml:space="preserve"> et al., 2011; </w:t>
      </w:r>
      <w:proofErr w:type="spellStart"/>
      <w:r w:rsidR="009B5D7F">
        <w:rPr>
          <w:rFonts w:cs="Times New Roman"/>
          <w:szCs w:val="24"/>
        </w:rPr>
        <w:t>Skiple</w:t>
      </w:r>
      <w:proofErr w:type="spellEnd"/>
      <w:r w:rsidR="009B5D7F">
        <w:rPr>
          <w:rFonts w:cs="Times New Roman"/>
          <w:szCs w:val="24"/>
        </w:rPr>
        <w:t xml:space="preserve"> et al., 2016). Clearly, gender must be included, since a great deal of stress has been placed upon recruiting more women to the judiciary</w:t>
      </w:r>
      <w:r w:rsidR="00DA571E">
        <w:rPr>
          <w:rFonts w:cs="Times New Roman"/>
          <w:szCs w:val="24"/>
        </w:rPr>
        <w:t xml:space="preserve">. </w:t>
      </w:r>
      <w:r w:rsidR="009B5D7F">
        <w:rPr>
          <w:rFonts w:cs="Times New Roman"/>
          <w:szCs w:val="24"/>
        </w:rPr>
        <w:t>Likewise, region (Oslo- Periphery) has been relevant to secure a representative geographical distribution of justices and has on occasion been found to be pertinent to decisional behavior (</w:t>
      </w:r>
      <w:proofErr w:type="spellStart"/>
      <w:r w:rsidR="009B5D7F">
        <w:rPr>
          <w:rFonts w:cs="Times New Roman"/>
          <w:szCs w:val="24"/>
        </w:rPr>
        <w:t>Grendstad</w:t>
      </w:r>
      <w:proofErr w:type="spellEnd"/>
      <w:r w:rsidR="009B5D7F">
        <w:rPr>
          <w:rFonts w:cs="Times New Roman"/>
          <w:szCs w:val="24"/>
        </w:rPr>
        <w:t xml:space="preserve"> et al., 2011). </w:t>
      </w:r>
      <w:proofErr w:type="gramStart"/>
      <w:r w:rsidR="009B5D7F">
        <w:rPr>
          <w:rFonts w:cs="Times New Roman"/>
          <w:szCs w:val="24"/>
        </w:rPr>
        <w:t>A number of</w:t>
      </w:r>
      <w:proofErr w:type="gramEnd"/>
      <w:r w:rsidR="009B5D7F">
        <w:rPr>
          <w:rFonts w:cs="Times New Roman"/>
          <w:szCs w:val="24"/>
        </w:rPr>
        <w:t xml:space="preserve"> scholars have noted a pattern of “government friendliness” among </w:t>
      </w:r>
      <w:r w:rsidR="004F1661">
        <w:rPr>
          <w:rFonts w:cs="Times New Roman"/>
          <w:szCs w:val="24"/>
        </w:rPr>
        <w:t>several</w:t>
      </w:r>
      <w:r w:rsidR="009B5D7F">
        <w:rPr>
          <w:rFonts w:cs="Times New Roman"/>
          <w:szCs w:val="24"/>
        </w:rPr>
        <w:t xml:space="preserve"> justices (</w:t>
      </w:r>
      <w:proofErr w:type="spellStart"/>
      <w:r w:rsidR="009B5D7F" w:rsidRPr="00410216">
        <w:rPr>
          <w:rFonts w:cs="Times New Roman"/>
          <w:szCs w:val="24"/>
        </w:rPr>
        <w:t>Kjønstad</w:t>
      </w:r>
      <w:proofErr w:type="spellEnd"/>
      <w:r w:rsidR="009B5D7F">
        <w:rPr>
          <w:rFonts w:cs="Times New Roman"/>
          <w:szCs w:val="24"/>
        </w:rPr>
        <w:t xml:space="preserve">, 1999; Fleischer, 2006). We use </w:t>
      </w:r>
      <w:proofErr w:type="gramStart"/>
      <w:r w:rsidR="009B5D7F">
        <w:rPr>
          <w:rFonts w:cs="Times New Roman"/>
          <w:szCs w:val="24"/>
        </w:rPr>
        <w:t>whether or not</w:t>
      </w:r>
      <w:proofErr w:type="gramEnd"/>
      <w:r w:rsidR="009B5D7F">
        <w:rPr>
          <w:rFonts w:cs="Times New Roman"/>
          <w:szCs w:val="24"/>
        </w:rPr>
        <w:t xml:space="preserve"> a justice had prior service in the Legislation Department in an effort to tap government friendliness, a measure often linked to Court voting behavior (</w:t>
      </w:r>
      <w:proofErr w:type="spellStart"/>
      <w:r w:rsidR="009B5D7F">
        <w:rPr>
          <w:rFonts w:cs="Times New Roman"/>
          <w:szCs w:val="24"/>
        </w:rPr>
        <w:t>Grendstad</w:t>
      </w:r>
      <w:proofErr w:type="spellEnd"/>
      <w:r w:rsidR="009B5D7F">
        <w:rPr>
          <w:rFonts w:cs="Times New Roman"/>
          <w:szCs w:val="24"/>
        </w:rPr>
        <w:t xml:space="preserve"> et al., 2015). Finally, </w:t>
      </w:r>
      <w:proofErr w:type="gramStart"/>
      <w:r w:rsidR="009B5D7F">
        <w:rPr>
          <w:rFonts w:cs="Times New Roman"/>
          <w:szCs w:val="24"/>
        </w:rPr>
        <w:t>whether or not</w:t>
      </w:r>
      <w:proofErr w:type="gramEnd"/>
      <w:r w:rsidR="009B5D7F">
        <w:rPr>
          <w:rFonts w:cs="Times New Roman"/>
          <w:szCs w:val="24"/>
        </w:rPr>
        <w:t xml:space="preserve"> a justice had toiled in academia can serve to affect his or her decision in a number of cases </w:t>
      </w:r>
      <w:r w:rsidR="002E2FEC">
        <w:rPr>
          <w:rFonts w:cs="Times New Roman"/>
          <w:szCs w:val="24"/>
        </w:rPr>
        <w:t xml:space="preserve">involving legal reasoning </w:t>
      </w:r>
      <w:r w:rsidR="009B5D7F">
        <w:rPr>
          <w:rFonts w:cs="Times New Roman"/>
          <w:szCs w:val="24"/>
        </w:rPr>
        <w:t>(</w:t>
      </w:r>
      <w:proofErr w:type="spellStart"/>
      <w:r w:rsidR="009B5D7F">
        <w:rPr>
          <w:rFonts w:cs="Times New Roman"/>
          <w:szCs w:val="24"/>
        </w:rPr>
        <w:t>Grendstad</w:t>
      </w:r>
      <w:proofErr w:type="spellEnd"/>
      <w:r w:rsidR="009B5D7F">
        <w:rPr>
          <w:rFonts w:cs="Times New Roman"/>
          <w:szCs w:val="24"/>
        </w:rPr>
        <w:t xml:space="preserve"> et al., 2015</w:t>
      </w:r>
      <w:r w:rsidR="009B5D7F" w:rsidRPr="008578BD">
        <w:rPr>
          <w:rFonts w:cs="Times New Roman"/>
          <w:szCs w:val="24"/>
        </w:rPr>
        <w:t xml:space="preserve">). </w:t>
      </w:r>
      <w:r w:rsidR="0059158F" w:rsidRPr="008578BD">
        <w:rPr>
          <w:rFonts w:cs="Times New Roman"/>
          <w:szCs w:val="24"/>
        </w:rPr>
        <w:t>Thus, our measure of diversity comprises ideological, gender, and socialization differences among justices.</w:t>
      </w:r>
    </w:p>
    <w:p w14:paraId="287396E0" w14:textId="0EAE8DCE" w:rsidR="00E21D2D" w:rsidRDefault="00B65F9A" w:rsidP="00E21D2D">
      <w:pPr>
        <w:tabs>
          <w:tab w:val="left" w:pos="720"/>
          <w:tab w:val="left" w:pos="1440"/>
          <w:tab w:val="left" w:pos="2160"/>
          <w:tab w:val="left" w:pos="2880"/>
          <w:tab w:val="left" w:pos="3600"/>
          <w:tab w:val="left" w:pos="4320"/>
          <w:tab w:val="left" w:pos="5040"/>
          <w:tab w:val="left" w:pos="5760"/>
          <w:tab w:val="left" w:pos="6480"/>
          <w:tab w:val="right" w:pos="9360"/>
        </w:tabs>
        <w:rPr>
          <w:rFonts w:cs="Times New Roman"/>
          <w:szCs w:val="24"/>
        </w:rPr>
      </w:pPr>
      <w:r>
        <w:rPr>
          <w:rFonts w:cs="Times New Roman"/>
          <w:szCs w:val="24"/>
        </w:rPr>
        <w:tab/>
      </w:r>
      <w:proofErr w:type="gramStart"/>
      <w:r>
        <w:rPr>
          <w:rFonts w:cs="Times New Roman"/>
          <w:szCs w:val="24"/>
        </w:rPr>
        <w:t>In order to</w:t>
      </w:r>
      <w:proofErr w:type="gramEnd"/>
      <w:r>
        <w:rPr>
          <w:rFonts w:cs="Times New Roman"/>
          <w:szCs w:val="24"/>
        </w:rPr>
        <w:t xml:space="preserve"> estimate the degree of Supreme Court diversity</w:t>
      </w:r>
      <w:r w:rsidR="00AE0905">
        <w:rPr>
          <w:rFonts w:cs="Times New Roman"/>
          <w:szCs w:val="24"/>
        </w:rPr>
        <w:t>,</w:t>
      </w:r>
      <w:r>
        <w:rPr>
          <w:rFonts w:cs="Times New Roman"/>
          <w:szCs w:val="24"/>
        </w:rPr>
        <w:t xml:space="preserve"> we compute the proportion of justices found in each of 32 combinations of five factors (i.e., 2</w:t>
      </w:r>
      <w:r w:rsidRPr="005C6BB8">
        <w:rPr>
          <w:rFonts w:cs="Times New Roman"/>
          <w:szCs w:val="24"/>
          <w:vertAlign w:val="superscript"/>
        </w:rPr>
        <w:t>5</w:t>
      </w:r>
      <w:r>
        <w:rPr>
          <w:rFonts w:cs="Times New Roman"/>
          <w:szCs w:val="24"/>
        </w:rPr>
        <w:t>), for which we calculate the proportion in each combination, which presumably captures a unique social, political</w:t>
      </w:r>
      <w:r w:rsidR="004F1661">
        <w:rPr>
          <w:rFonts w:cs="Times New Roman"/>
          <w:szCs w:val="24"/>
        </w:rPr>
        <w:t>,</w:t>
      </w:r>
      <w:r>
        <w:rPr>
          <w:rFonts w:cs="Times New Roman"/>
          <w:szCs w:val="24"/>
        </w:rPr>
        <w:t xml:space="preserve"> and personal experience</w:t>
      </w:r>
      <w:r w:rsidR="004F1661">
        <w:rPr>
          <w:rFonts w:cs="Times New Roman"/>
          <w:szCs w:val="24"/>
        </w:rPr>
        <w:t xml:space="preserve"> – s</w:t>
      </w:r>
      <w:r w:rsidR="00AE0905">
        <w:rPr>
          <w:rFonts w:cs="Times New Roman"/>
          <w:szCs w:val="24"/>
        </w:rPr>
        <w:t>pecifically, the color of the appointing government, gender, region, service in the Legislative Department</w:t>
      </w:r>
      <w:r w:rsidR="004F1661">
        <w:rPr>
          <w:rFonts w:cs="Times New Roman"/>
          <w:szCs w:val="24"/>
        </w:rPr>
        <w:t>,</w:t>
      </w:r>
      <w:r w:rsidR="00AE0905">
        <w:rPr>
          <w:rFonts w:cs="Times New Roman"/>
          <w:szCs w:val="24"/>
        </w:rPr>
        <w:t xml:space="preserve"> and experience as a law professor</w:t>
      </w:r>
      <w:r w:rsidR="00DA571E">
        <w:rPr>
          <w:rFonts w:cs="Times New Roman"/>
          <w:szCs w:val="24"/>
        </w:rPr>
        <w:t xml:space="preserve">. </w:t>
      </w:r>
      <w:r>
        <w:rPr>
          <w:rFonts w:cs="Times New Roman"/>
          <w:szCs w:val="24"/>
        </w:rPr>
        <w:t xml:space="preserve">For each year the proportions serve as inputs to the fractionalization measure estimated by the formula 1 – the </w:t>
      </w:r>
      <w:proofErr w:type="spellStart"/>
      <w:r>
        <w:rPr>
          <w:rFonts w:cs="Times New Roman"/>
          <w:szCs w:val="24"/>
        </w:rPr>
        <w:t>Herfindahl</w:t>
      </w:r>
      <w:proofErr w:type="spellEnd"/>
      <w:r>
        <w:rPr>
          <w:rFonts w:cs="Times New Roman"/>
          <w:szCs w:val="24"/>
        </w:rPr>
        <w:t xml:space="preserve"> index (</w:t>
      </w:r>
      <w:proofErr w:type="spellStart"/>
      <w:r>
        <w:rPr>
          <w:rFonts w:cs="Times New Roman"/>
          <w:szCs w:val="24"/>
        </w:rPr>
        <w:t>Alesina</w:t>
      </w:r>
      <w:proofErr w:type="spellEnd"/>
      <w:r>
        <w:rPr>
          <w:rFonts w:cs="Times New Roman"/>
          <w:szCs w:val="24"/>
        </w:rPr>
        <w:t>, et al., 2003):</w:t>
      </w:r>
    </w:p>
    <w:p w14:paraId="15CA388A" w14:textId="6C0A1EF4" w:rsidR="004D284D" w:rsidRPr="00E937CF" w:rsidRDefault="004D284D" w:rsidP="004D284D">
      <w:pPr>
        <w:spacing w:line="240" w:lineRule="auto"/>
        <w:ind w:firstLine="720"/>
        <w:rPr>
          <w:rFonts w:cs="Times New Roman"/>
          <w:sz w:val="12"/>
          <w:szCs w:val="12"/>
        </w:rPr>
      </w:pPr>
      <w:r>
        <w:rPr>
          <w:rFonts w:cs="Times New Roman"/>
          <w:szCs w:val="24"/>
        </w:rPr>
        <w:tab/>
      </w:r>
      <w:r>
        <w:rPr>
          <w:rFonts w:cs="Times New Roman"/>
          <w:szCs w:val="24"/>
        </w:rPr>
        <w:tab/>
      </w:r>
      <w:r>
        <w:rPr>
          <w:rFonts w:cs="Times New Roman"/>
          <w:szCs w:val="24"/>
        </w:rPr>
        <w:tab/>
      </w:r>
      <w:r w:rsidR="00E937CF">
        <w:rPr>
          <w:rFonts w:cs="Times New Roman"/>
          <w:szCs w:val="24"/>
        </w:rPr>
        <w:t xml:space="preserve">  </w:t>
      </w:r>
      <w:r w:rsidRPr="00E937CF">
        <w:rPr>
          <w:rFonts w:cs="Times New Roman"/>
          <w:sz w:val="12"/>
          <w:szCs w:val="12"/>
        </w:rPr>
        <w:t>N</w:t>
      </w:r>
    </w:p>
    <w:p w14:paraId="0CE58A6B" w14:textId="64DD386A" w:rsidR="004D284D" w:rsidRDefault="00E21D2D" w:rsidP="004D284D">
      <w:pPr>
        <w:spacing w:line="240" w:lineRule="auto"/>
        <w:ind w:firstLine="720"/>
        <w:rPr>
          <w:rFonts w:cs="Times New Roman"/>
          <w:b/>
          <w:szCs w:val="24"/>
        </w:rPr>
      </w:pPr>
      <w:r>
        <w:rPr>
          <w:rFonts w:cs="Times New Roman"/>
          <w:szCs w:val="24"/>
        </w:rPr>
        <w:tab/>
      </w:r>
      <w:proofErr w:type="spellStart"/>
      <w:proofErr w:type="gramStart"/>
      <w:r w:rsidR="004D284D" w:rsidRPr="00D719E2">
        <w:rPr>
          <w:rFonts w:cs="Times New Roman"/>
          <w:b/>
          <w:szCs w:val="24"/>
        </w:rPr>
        <w:t>FRACT</w:t>
      </w:r>
      <w:r w:rsidR="004D284D" w:rsidRPr="00D719E2">
        <w:rPr>
          <w:rFonts w:cs="Times New Roman"/>
          <w:b/>
          <w:szCs w:val="24"/>
          <w:vertAlign w:val="subscript"/>
        </w:rPr>
        <w:t>j</w:t>
      </w:r>
      <w:proofErr w:type="spellEnd"/>
      <w:r w:rsidR="004D284D" w:rsidRPr="00D719E2">
        <w:rPr>
          <w:rFonts w:cs="Times New Roman"/>
          <w:b/>
          <w:szCs w:val="24"/>
        </w:rPr>
        <w:t xml:space="preserve">  =</w:t>
      </w:r>
      <w:proofErr w:type="gramEnd"/>
      <w:r w:rsidR="004D284D" w:rsidRPr="00D719E2">
        <w:rPr>
          <w:rFonts w:cs="Times New Roman"/>
          <w:b/>
          <w:szCs w:val="24"/>
        </w:rPr>
        <w:t xml:space="preserve"> 1 - ∑ s</w:t>
      </w:r>
      <w:r w:rsidR="004D284D" w:rsidRPr="00D719E2">
        <w:rPr>
          <w:rFonts w:cs="Times New Roman"/>
          <w:b/>
          <w:szCs w:val="24"/>
          <w:vertAlign w:val="subscript"/>
        </w:rPr>
        <w:t>ij</w:t>
      </w:r>
      <w:r w:rsidR="004D284D" w:rsidRPr="00D719E2">
        <w:rPr>
          <w:rFonts w:cs="Times New Roman"/>
          <w:b/>
          <w:szCs w:val="24"/>
          <w:vertAlign w:val="superscript"/>
        </w:rPr>
        <w:t>2</w:t>
      </w:r>
      <w:r w:rsidR="004D284D" w:rsidRPr="00D719E2">
        <w:rPr>
          <w:rFonts w:cs="Times New Roman"/>
          <w:b/>
          <w:szCs w:val="24"/>
        </w:rPr>
        <w:t>,</w:t>
      </w:r>
    </w:p>
    <w:p w14:paraId="6A22B414" w14:textId="5358B35B" w:rsidR="004D284D" w:rsidRPr="004D284D" w:rsidRDefault="004D284D" w:rsidP="004D284D">
      <w:pPr>
        <w:spacing w:line="240" w:lineRule="auto"/>
        <w:ind w:left="2160" w:firstLine="720"/>
        <w:rPr>
          <w:rFonts w:cs="Times New Roman"/>
          <w:b/>
          <w:szCs w:val="24"/>
        </w:rPr>
      </w:pPr>
      <w:r>
        <w:rPr>
          <w:rFonts w:cs="Times New Roman"/>
          <w:szCs w:val="24"/>
        </w:rPr>
        <w:t xml:space="preserve">   </w:t>
      </w:r>
      <w:proofErr w:type="spellStart"/>
      <w:r w:rsidRPr="00431E52">
        <w:rPr>
          <w:rFonts w:cs="Times New Roman"/>
          <w:b/>
          <w:sz w:val="12"/>
          <w:szCs w:val="12"/>
        </w:rPr>
        <w:t>i</w:t>
      </w:r>
      <w:proofErr w:type="spellEnd"/>
      <w:r w:rsidRPr="00431E52">
        <w:rPr>
          <w:rFonts w:cs="Times New Roman"/>
          <w:b/>
          <w:sz w:val="12"/>
          <w:szCs w:val="12"/>
        </w:rPr>
        <w:t>=1</w:t>
      </w:r>
    </w:p>
    <w:p w14:paraId="057F27A9" w14:textId="77777777" w:rsidR="00E937CF" w:rsidRDefault="00E937CF" w:rsidP="004D284D">
      <w:pPr>
        <w:spacing w:line="240" w:lineRule="auto"/>
        <w:rPr>
          <w:rFonts w:cs="Times New Roman"/>
          <w:szCs w:val="24"/>
        </w:rPr>
      </w:pPr>
    </w:p>
    <w:p w14:paraId="3551036B" w14:textId="6C94048B" w:rsidR="004D284D" w:rsidRPr="00D719E2" w:rsidRDefault="004D284D" w:rsidP="004D284D">
      <w:pPr>
        <w:spacing w:line="240" w:lineRule="auto"/>
        <w:rPr>
          <w:rFonts w:cs="Times New Roman"/>
          <w:szCs w:val="24"/>
        </w:rPr>
      </w:pPr>
      <w:r w:rsidRPr="00D719E2">
        <w:rPr>
          <w:rFonts w:cs="Times New Roman"/>
          <w:szCs w:val="24"/>
        </w:rPr>
        <w:tab/>
      </w:r>
      <w:r w:rsidRPr="00D719E2">
        <w:rPr>
          <w:rFonts w:cs="Times New Roman"/>
          <w:szCs w:val="24"/>
        </w:rPr>
        <w:tab/>
      </w:r>
      <w:r>
        <w:rPr>
          <w:rFonts w:cs="Times New Roman"/>
          <w:szCs w:val="24"/>
        </w:rPr>
        <w:tab/>
      </w:r>
      <w:proofErr w:type="spellStart"/>
      <w:r w:rsidRPr="00D719E2">
        <w:rPr>
          <w:rFonts w:cs="Times New Roman"/>
          <w:szCs w:val="24"/>
        </w:rPr>
        <w:t>FRACT</w:t>
      </w:r>
      <w:r w:rsidRPr="00D719E2">
        <w:rPr>
          <w:rFonts w:cs="Times New Roman"/>
          <w:szCs w:val="24"/>
          <w:vertAlign w:val="subscript"/>
        </w:rPr>
        <w:t>j</w:t>
      </w:r>
      <w:proofErr w:type="spellEnd"/>
      <w:r w:rsidRPr="00D719E2">
        <w:rPr>
          <w:rFonts w:cs="Times New Roman"/>
          <w:szCs w:val="24"/>
        </w:rPr>
        <w:t xml:space="preserve"> = Fractionalization Index for year </w:t>
      </w:r>
      <w:proofErr w:type="spellStart"/>
      <w:r w:rsidRPr="00D719E2">
        <w:rPr>
          <w:rFonts w:cs="Times New Roman"/>
          <w:szCs w:val="24"/>
        </w:rPr>
        <w:t>i</w:t>
      </w:r>
      <w:proofErr w:type="spellEnd"/>
      <w:r w:rsidRPr="00D719E2">
        <w:rPr>
          <w:rFonts w:cs="Times New Roman"/>
          <w:szCs w:val="24"/>
        </w:rPr>
        <w:t>, and</w:t>
      </w:r>
    </w:p>
    <w:p w14:paraId="7FFCF835" w14:textId="3C6A4B76" w:rsidR="004D284D" w:rsidRDefault="004D284D" w:rsidP="004D284D">
      <w:pPr>
        <w:spacing w:line="240" w:lineRule="auto"/>
        <w:rPr>
          <w:rFonts w:cs="Times New Roman"/>
          <w:szCs w:val="24"/>
        </w:rPr>
      </w:pPr>
      <w:r w:rsidRPr="00D719E2">
        <w:rPr>
          <w:rFonts w:cs="Times New Roman"/>
          <w:szCs w:val="24"/>
        </w:rPr>
        <w:tab/>
      </w:r>
      <w:r w:rsidRPr="00D719E2">
        <w:rPr>
          <w:rFonts w:cs="Times New Roman"/>
          <w:szCs w:val="24"/>
        </w:rPr>
        <w:tab/>
      </w:r>
      <w:r>
        <w:rPr>
          <w:rFonts w:cs="Times New Roman"/>
          <w:szCs w:val="24"/>
        </w:rPr>
        <w:tab/>
      </w:r>
      <w:proofErr w:type="spellStart"/>
      <w:r w:rsidRPr="00D719E2">
        <w:rPr>
          <w:rFonts w:cs="Times New Roman"/>
          <w:szCs w:val="24"/>
        </w:rPr>
        <w:t>s</w:t>
      </w:r>
      <w:r w:rsidRPr="00D719E2">
        <w:rPr>
          <w:rFonts w:cs="Times New Roman"/>
          <w:szCs w:val="24"/>
          <w:vertAlign w:val="subscript"/>
        </w:rPr>
        <w:t>ij</w:t>
      </w:r>
      <w:proofErr w:type="spellEnd"/>
      <w:r w:rsidRPr="00D719E2">
        <w:rPr>
          <w:rFonts w:cs="Times New Roman"/>
          <w:szCs w:val="24"/>
        </w:rPr>
        <w:t xml:space="preserve"> = Proportion of justices in group j for year </w:t>
      </w:r>
      <w:proofErr w:type="spellStart"/>
      <w:r w:rsidRPr="00D719E2">
        <w:rPr>
          <w:rFonts w:cs="Times New Roman"/>
          <w:szCs w:val="24"/>
        </w:rPr>
        <w:t>i</w:t>
      </w:r>
      <w:proofErr w:type="spellEnd"/>
    </w:p>
    <w:p w14:paraId="6B94CF17" w14:textId="77777777" w:rsidR="00E937CF" w:rsidRDefault="00E21D2D" w:rsidP="00E937CF">
      <w:pPr>
        <w:tabs>
          <w:tab w:val="left" w:pos="720"/>
          <w:tab w:val="left" w:pos="1440"/>
          <w:tab w:val="left" w:pos="2160"/>
          <w:tab w:val="left" w:pos="2880"/>
          <w:tab w:val="left" w:pos="3600"/>
          <w:tab w:val="left" w:pos="4320"/>
          <w:tab w:val="left" w:pos="5040"/>
          <w:tab w:val="left" w:pos="5760"/>
          <w:tab w:val="left" w:pos="6480"/>
          <w:tab w:val="right" w:pos="9360"/>
        </w:tabs>
        <w:spacing w:line="240" w:lineRule="auto"/>
        <w:rPr>
          <w:rFonts w:cs="Times New Roman"/>
          <w:szCs w:val="24"/>
        </w:rPr>
      </w:pPr>
      <w:r>
        <w:rPr>
          <w:rFonts w:cs="Times New Roman"/>
          <w:szCs w:val="24"/>
        </w:rPr>
        <w:tab/>
      </w:r>
    </w:p>
    <w:p w14:paraId="473997BD" w14:textId="386DBBE2" w:rsidR="002D4730" w:rsidRPr="00D95F47" w:rsidRDefault="00E937CF" w:rsidP="00E937CF">
      <w:pPr>
        <w:tabs>
          <w:tab w:val="left" w:pos="720"/>
          <w:tab w:val="left" w:pos="1440"/>
          <w:tab w:val="left" w:pos="2160"/>
          <w:tab w:val="left" w:pos="2880"/>
          <w:tab w:val="left" w:pos="3600"/>
          <w:tab w:val="left" w:pos="4320"/>
          <w:tab w:val="left" w:pos="5040"/>
          <w:tab w:val="left" w:pos="5760"/>
          <w:tab w:val="left" w:pos="6480"/>
          <w:tab w:val="right" w:pos="9360"/>
        </w:tabs>
        <w:rPr>
          <w:rFonts w:cs="Times New Roman"/>
          <w:szCs w:val="24"/>
        </w:rPr>
      </w:pPr>
      <w:r>
        <w:rPr>
          <w:rFonts w:cs="Times New Roman"/>
          <w:szCs w:val="24"/>
        </w:rPr>
        <w:lastRenderedPageBreak/>
        <w:tab/>
      </w:r>
      <w:r w:rsidR="002D4730">
        <w:rPr>
          <w:rFonts w:cs="Times New Roman"/>
          <w:szCs w:val="24"/>
        </w:rPr>
        <w:t xml:space="preserve">For any finite population, the fractionalization index ranges from 0 to a value approaching 1.0. Fractionalization scores of 0 would mean that all justices were in only 1 of the 32 combinations (e.g., </w:t>
      </w:r>
      <w:r w:rsidR="00285F12">
        <w:rPr>
          <w:rFonts w:cs="Times New Roman"/>
          <w:szCs w:val="24"/>
        </w:rPr>
        <w:t xml:space="preserve">a male, </w:t>
      </w:r>
      <w:r w:rsidR="002D4730">
        <w:rPr>
          <w:rFonts w:cs="Times New Roman"/>
          <w:szCs w:val="24"/>
        </w:rPr>
        <w:t xml:space="preserve">socialist appointee, </w:t>
      </w:r>
      <w:r w:rsidR="00285F12">
        <w:rPr>
          <w:rFonts w:cs="Times New Roman"/>
          <w:szCs w:val="24"/>
        </w:rPr>
        <w:t xml:space="preserve">born in </w:t>
      </w:r>
      <w:r w:rsidR="002D4730">
        <w:rPr>
          <w:rFonts w:cs="Times New Roman"/>
          <w:szCs w:val="24"/>
        </w:rPr>
        <w:t xml:space="preserve">Oslo, </w:t>
      </w:r>
      <w:r w:rsidR="008834DF">
        <w:rPr>
          <w:rFonts w:cs="Times New Roman"/>
          <w:szCs w:val="24"/>
        </w:rPr>
        <w:t xml:space="preserve">who </w:t>
      </w:r>
      <w:r w:rsidR="00285F12">
        <w:rPr>
          <w:rFonts w:cs="Times New Roman"/>
          <w:szCs w:val="24"/>
        </w:rPr>
        <w:t xml:space="preserve">served in the </w:t>
      </w:r>
      <w:r w:rsidR="002D4730">
        <w:rPr>
          <w:rFonts w:cs="Times New Roman"/>
          <w:szCs w:val="24"/>
        </w:rPr>
        <w:t xml:space="preserve">Legislation Department, </w:t>
      </w:r>
      <w:r w:rsidR="00285F12">
        <w:rPr>
          <w:rFonts w:cs="Times New Roman"/>
          <w:szCs w:val="24"/>
        </w:rPr>
        <w:t xml:space="preserve">and </w:t>
      </w:r>
      <w:r w:rsidR="008834DF">
        <w:rPr>
          <w:rFonts w:cs="Times New Roman"/>
          <w:szCs w:val="24"/>
        </w:rPr>
        <w:t xml:space="preserve">was </w:t>
      </w:r>
      <w:r w:rsidR="00285F12">
        <w:rPr>
          <w:rFonts w:cs="Times New Roman"/>
          <w:szCs w:val="24"/>
        </w:rPr>
        <w:t xml:space="preserve">not a legal </w:t>
      </w:r>
      <w:r w:rsidR="002D4730">
        <w:rPr>
          <w:rFonts w:cs="Times New Roman"/>
          <w:szCs w:val="24"/>
        </w:rPr>
        <w:t>academic). If there were two groupings (e.g</w:t>
      </w:r>
      <w:r w:rsidR="008834DF">
        <w:rPr>
          <w:rFonts w:cs="Times New Roman"/>
          <w:szCs w:val="24"/>
        </w:rPr>
        <w:t xml:space="preserve">., </w:t>
      </w:r>
      <w:r w:rsidR="002D4730">
        <w:rPr>
          <w:rFonts w:cs="Times New Roman"/>
          <w:szCs w:val="24"/>
        </w:rPr>
        <w:t>male</w:t>
      </w:r>
      <w:r w:rsidR="00285F12">
        <w:rPr>
          <w:rFonts w:cs="Times New Roman"/>
          <w:szCs w:val="24"/>
        </w:rPr>
        <w:t>s and femal</w:t>
      </w:r>
      <w:r w:rsidR="008834DF">
        <w:rPr>
          <w:rFonts w:cs="Times New Roman"/>
          <w:szCs w:val="24"/>
        </w:rPr>
        <w:t>e</w:t>
      </w:r>
      <w:r w:rsidR="00285F12">
        <w:rPr>
          <w:rFonts w:cs="Times New Roman"/>
          <w:szCs w:val="24"/>
        </w:rPr>
        <w:t xml:space="preserve">s but </w:t>
      </w:r>
      <w:r w:rsidR="008834DF">
        <w:rPr>
          <w:rFonts w:cs="Times New Roman"/>
          <w:szCs w:val="24"/>
        </w:rPr>
        <w:t xml:space="preserve">who are </w:t>
      </w:r>
      <w:r w:rsidR="00285F12">
        <w:rPr>
          <w:rFonts w:cs="Times New Roman"/>
          <w:szCs w:val="24"/>
        </w:rPr>
        <w:t xml:space="preserve">similar on </w:t>
      </w:r>
      <w:r w:rsidR="002D4730">
        <w:rPr>
          <w:rFonts w:cs="Times New Roman"/>
          <w:szCs w:val="24"/>
        </w:rPr>
        <w:t xml:space="preserve">all other traits), then </w:t>
      </w:r>
      <w:r w:rsidR="008834DF">
        <w:rPr>
          <w:rFonts w:cs="Times New Roman"/>
          <w:szCs w:val="24"/>
        </w:rPr>
        <w:t xml:space="preserve">fractionalization </w:t>
      </w:r>
      <w:r w:rsidR="002D4730">
        <w:rPr>
          <w:rFonts w:cs="Times New Roman"/>
          <w:szCs w:val="24"/>
        </w:rPr>
        <w:t>would be computed as .5 ([1.0 – (.5</w:t>
      </w:r>
      <w:r w:rsidR="002D4730">
        <w:rPr>
          <w:rFonts w:cs="Times New Roman"/>
          <w:szCs w:val="24"/>
          <w:vertAlign w:val="superscript"/>
        </w:rPr>
        <w:t>2</w:t>
      </w:r>
      <w:r w:rsidR="002D4730">
        <w:rPr>
          <w:rFonts w:cs="Times New Roman"/>
          <w:szCs w:val="24"/>
        </w:rPr>
        <w:t>+ .5</w:t>
      </w:r>
      <w:r w:rsidR="002D4730">
        <w:rPr>
          <w:rFonts w:cs="Times New Roman"/>
          <w:szCs w:val="24"/>
          <w:vertAlign w:val="superscript"/>
        </w:rPr>
        <w:t>2</w:t>
      </w:r>
      <w:r w:rsidR="002D4730">
        <w:rPr>
          <w:rFonts w:cs="Times New Roman"/>
          <w:szCs w:val="24"/>
        </w:rPr>
        <w:t xml:space="preserve">)]. As the Court is distributed over a greater number of combinations, the fractionalization index increases at a decreasing rate (Shaffer et al., 2015). During the </w:t>
      </w:r>
      <w:proofErr w:type="gramStart"/>
      <w:r w:rsidR="002D4730">
        <w:rPr>
          <w:rFonts w:cs="Times New Roman"/>
          <w:szCs w:val="24"/>
        </w:rPr>
        <w:t>time period</w:t>
      </w:r>
      <w:proofErr w:type="gramEnd"/>
      <w:r w:rsidR="002D4730">
        <w:rPr>
          <w:rFonts w:cs="Times New Roman"/>
          <w:szCs w:val="24"/>
        </w:rPr>
        <w:t xml:space="preserve"> under investigation, the Supreme Court reaches a maximum of 20 justices. If these 20 justices were distributed over 20 different combinations, the maximum possible diversity score would be .950.</w:t>
      </w:r>
    </w:p>
    <w:p w14:paraId="1964AAA8" w14:textId="75C4D2B9" w:rsidR="00EE571F" w:rsidRPr="003577CB" w:rsidRDefault="007B4DEC" w:rsidP="007B4DEC">
      <w:pPr>
        <w:rPr>
          <w:rFonts w:cs="Times New Roman"/>
          <w:szCs w:val="24"/>
        </w:rPr>
      </w:pPr>
      <w:r>
        <w:tab/>
        <w:t>Employing the independent variables outlined above, t</w:t>
      </w:r>
      <w:r w:rsidR="00EE571F">
        <w:rPr>
          <w:rFonts w:cs="Times New Roman"/>
          <w:szCs w:val="24"/>
        </w:rPr>
        <w:t>he following logit model will be tested:</w:t>
      </w:r>
    </w:p>
    <w:p w14:paraId="45F3BBFC" w14:textId="0865958F" w:rsidR="00C00F9D" w:rsidRDefault="00C25068" w:rsidP="00C25068">
      <w:pPr>
        <w:spacing w:line="240" w:lineRule="auto"/>
        <w:rPr>
          <w:rFonts w:cs="Times New Roman"/>
          <w:szCs w:val="24"/>
        </w:rPr>
      </w:pPr>
      <w:r>
        <w:rPr>
          <w:rFonts w:eastAsiaTheme="minorEastAsia" w:cs="Times New Roman"/>
        </w:rPr>
        <w:t>[</w:t>
      </w:r>
      <w:r w:rsidR="00867D79">
        <w:rPr>
          <w:rFonts w:eastAsiaTheme="minorEastAsia" w:cs="Times New Roman"/>
        </w:rPr>
        <w:t>1</w:t>
      </w:r>
      <w:r>
        <w:rPr>
          <w:rFonts w:eastAsiaTheme="minorEastAsia" w:cs="Times New Roman"/>
        </w:rPr>
        <w:t xml:space="preserve">] </w:t>
      </w:r>
      <w:r>
        <w:rPr>
          <w:rFonts w:eastAsiaTheme="minorEastAsia" w:cs="Times New Roman"/>
        </w:rPr>
        <w:tab/>
      </w:r>
      <m:oMath>
        <m:d>
          <m:dPr>
            <m:ctrlPr>
              <w:rPr>
                <w:rFonts w:ascii="Cambria Math" w:hAnsi="Cambria Math"/>
                <w:i/>
              </w:rPr>
            </m:ctrlPr>
          </m:dPr>
          <m:e>
            <m:f>
              <m:fPr>
                <m:ctrlPr>
                  <w:rPr>
                    <w:rFonts w:ascii="Cambria Math" w:hAnsi="Cambria Math"/>
                    <w:i/>
                  </w:rPr>
                </m:ctrlPr>
              </m:fPr>
              <m:num>
                <m:r>
                  <w:rPr>
                    <w:rFonts w:ascii="Cambria Math" w:hAnsi="Cambria Math"/>
                  </w:rPr>
                  <m:t>prob y= 1</m:t>
                </m:r>
              </m:num>
              <m:den>
                <m:r>
                  <w:rPr>
                    <w:rFonts w:ascii="Cambria Math" w:hAnsi="Cambria Math"/>
                  </w:rPr>
                  <m:t>prob y = 0</m:t>
                </m:r>
              </m:den>
            </m:f>
          </m:e>
        </m:d>
      </m:oMath>
      <w:r w:rsidR="00EE571F">
        <w:t xml:space="preserve"> =</w:t>
      </w:r>
      <w:r w:rsidR="001B67C4" w:rsidRPr="001B67C4">
        <w:rPr>
          <w:rFonts w:cs="Times New Roman"/>
          <w:szCs w:val="24"/>
        </w:rPr>
        <w:t xml:space="preserve"> ß</w:t>
      </w:r>
      <w:r w:rsidR="00FF5018">
        <w:rPr>
          <w:rFonts w:cs="Times New Roman"/>
          <w:szCs w:val="24"/>
          <w:vertAlign w:val="subscript"/>
        </w:rPr>
        <w:t>1</w:t>
      </w:r>
      <w:r w:rsidR="001B67C4">
        <w:rPr>
          <w:rFonts w:cs="Times New Roman"/>
          <w:szCs w:val="24"/>
        </w:rPr>
        <w:t>DIVERSITY + ß</w:t>
      </w:r>
      <w:r w:rsidR="00FF5018">
        <w:rPr>
          <w:rFonts w:cs="Times New Roman"/>
          <w:szCs w:val="24"/>
          <w:vertAlign w:val="subscript"/>
        </w:rPr>
        <w:t xml:space="preserve">2 </w:t>
      </w:r>
      <w:r w:rsidR="001B67C4">
        <w:rPr>
          <w:rFonts w:cs="Times New Roman"/>
          <w:szCs w:val="24"/>
        </w:rPr>
        <w:t>LEGINTENT +</w:t>
      </w:r>
      <w:r w:rsidR="001B67C4">
        <w:t xml:space="preserve"> </w:t>
      </w:r>
      <w:r w:rsidR="008035C5">
        <w:rPr>
          <w:rFonts w:cs="Times New Roman"/>
          <w:szCs w:val="24"/>
        </w:rPr>
        <w:t>ß</w:t>
      </w:r>
      <w:r w:rsidR="00FF5018">
        <w:rPr>
          <w:rFonts w:cs="Times New Roman"/>
          <w:szCs w:val="24"/>
        </w:rPr>
        <w:t xml:space="preserve"> </w:t>
      </w:r>
      <w:r w:rsidR="00FF5018">
        <w:rPr>
          <w:rFonts w:cs="Times New Roman"/>
          <w:szCs w:val="24"/>
          <w:vertAlign w:val="subscript"/>
        </w:rPr>
        <w:t>3</w:t>
      </w:r>
      <w:r w:rsidR="00FF5018">
        <w:rPr>
          <w:rFonts w:cs="Times New Roman"/>
          <w:szCs w:val="24"/>
        </w:rPr>
        <w:t>GOVERNMENT +</w:t>
      </w:r>
      <w:r w:rsidR="008035C5">
        <w:rPr>
          <w:rFonts w:cs="Times New Roman"/>
          <w:szCs w:val="24"/>
        </w:rPr>
        <w:t xml:space="preserve"> ß</w:t>
      </w:r>
      <w:r w:rsidR="00FF5018">
        <w:rPr>
          <w:rFonts w:cs="Times New Roman"/>
          <w:szCs w:val="24"/>
          <w:vertAlign w:val="subscript"/>
        </w:rPr>
        <w:t>4</w:t>
      </w:r>
      <w:r w:rsidR="008035C5">
        <w:rPr>
          <w:rFonts w:cs="Times New Roman"/>
          <w:szCs w:val="24"/>
        </w:rPr>
        <w:t xml:space="preserve">SEX + </w:t>
      </w:r>
    </w:p>
    <w:p w14:paraId="3C27505D" w14:textId="446E61F4" w:rsidR="00D93282" w:rsidRDefault="00D93282" w:rsidP="00C25068">
      <w:pPr>
        <w:spacing w:line="240" w:lineRule="auto"/>
        <w:rPr>
          <w:rFonts w:cs="Times New Roman"/>
          <w:szCs w:val="24"/>
        </w:rPr>
      </w:pPr>
      <w:r>
        <w:rPr>
          <w:rFonts w:cs="Times New Roman"/>
          <w:szCs w:val="24"/>
        </w:rPr>
        <w:tab/>
      </w:r>
      <w:r>
        <w:rPr>
          <w:rFonts w:cs="Times New Roman"/>
          <w:szCs w:val="24"/>
        </w:rPr>
        <w:tab/>
        <w:t>+ ß</w:t>
      </w:r>
      <w:r w:rsidRPr="00D93282">
        <w:rPr>
          <w:rFonts w:cs="Times New Roman"/>
          <w:szCs w:val="24"/>
          <w:vertAlign w:val="subscript"/>
        </w:rPr>
        <w:t>5</w:t>
      </w:r>
      <w:r>
        <w:rPr>
          <w:rFonts w:cs="Times New Roman"/>
          <w:szCs w:val="24"/>
          <w:vertAlign w:val="subscript"/>
        </w:rPr>
        <w:t xml:space="preserve"> </w:t>
      </w:r>
      <w:r w:rsidRPr="00D93282">
        <w:rPr>
          <w:rFonts w:cs="Times New Roman"/>
          <w:szCs w:val="24"/>
        </w:rPr>
        <w:t>LAWPROFESS</w:t>
      </w:r>
      <w:r>
        <w:rPr>
          <w:rFonts w:cs="Times New Roman"/>
          <w:szCs w:val="24"/>
        </w:rPr>
        <w:t xml:space="preserve"> +</w:t>
      </w:r>
      <w:r>
        <w:t xml:space="preserve"> </w:t>
      </w:r>
      <w:r>
        <w:rPr>
          <w:rFonts w:cs="Times New Roman"/>
          <w:szCs w:val="24"/>
        </w:rPr>
        <w:t>ß</w:t>
      </w:r>
      <w:r w:rsidRPr="00D93282">
        <w:rPr>
          <w:rFonts w:cs="Times New Roman"/>
          <w:szCs w:val="24"/>
          <w:vertAlign w:val="subscript"/>
        </w:rPr>
        <w:t>6</w:t>
      </w:r>
      <w:r w:rsidRPr="00D93282">
        <w:rPr>
          <w:rFonts w:cs="Times New Roman"/>
          <w:szCs w:val="24"/>
        </w:rPr>
        <w:t xml:space="preserve">OSLOBORN </w:t>
      </w:r>
      <w:r>
        <w:rPr>
          <w:rFonts w:cs="Times New Roman"/>
          <w:szCs w:val="24"/>
        </w:rPr>
        <w:t>+ ß</w:t>
      </w:r>
      <w:r w:rsidRPr="00D93282">
        <w:rPr>
          <w:rFonts w:cs="Times New Roman"/>
          <w:szCs w:val="24"/>
          <w:vertAlign w:val="subscript"/>
        </w:rPr>
        <w:t>7</w:t>
      </w:r>
      <w:r>
        <w:rPr>
          <w:rFonts w:cs="Times New Roman"/>
          <w:szCs w:val="24"/>
        </w:rPr>
        <w:t>LEGDRPT</w:t>
      </w:r>
    </w:p>
    <w:p w14:paraId="1AB63CAD" w14:textId="77777777" w:rsidR="00D93282" w:rsidRDefault="00D93282" w:rsidP="00C25068">
      <w:pPr>
        <w:spacing w:line="240" w:lineRule="auto"/>
        <w:rPr>
          <w:rFonts w:cs="Times New Roman"/>
          <w:szCs w:val="24"/>
        </w:rPr>
      </w:pPr>
    </w:p>
    <w:p w14:paraId="327F7AEE" w14:textId="16B1626B" w:rsidR="008035C5" w:rsidRDefault="006C49EC" w:rsidP="00C00F9D">
      <w:pPr>
        <w:spacing w:line="240" w:lineRule="auto"/>
        <w:ind w:left="720" w:firstLine="720"/>
        <w:rPr>
          <w:rFonts w:cs="Times New Roman"/>
          <w:szCs w:val="24"/>
        </w:rPr>
      </w:pPr>
      <w:r>
        <w:rPr>
          <w:rFonts w:cs="Times New Roman"/>
          <w:szCs w:val="24"/>
        </w:rPr>
        <w:t xml:space="preserve">+ </w:t>
      </w:r>
      <w:r w:rsidR="008035C5">
        <w:rPr>
          <w:rFonts w:cs="Times New Roman"/>
          <w:szCs w:val="24"/>
        </w:rPr>
        <w:t>ß</w:t>
      </w:r>
      <w:r w:rsidR="00D93282" w:rsidRPr="00D93282">
        <w:rPr>
          <w:rFonts w:cs="Times New Roman"/>
          <w:szCs w:val="24"/>
          <w:vertAlign w:val="subscript"/>
        </w:rPr>
        <w:t>8</w:t>
      </w:r>
      <w:r w:rsidR="00FF5018">
        <w:rPr>
          <w:rFonts w:cs="Times New Roman"/>
          <w:szCs w:val="24"/>
          <w:vertAlign w:val="subscript"/>
        </w:rPr>
        <w:t xml:space="preserve"> </w:t>
      </w:r>
      <w:r w:rsidR="00A0544D">
        <w:rPr>
          <w:rFonts w:cs="Times New Roman"/>
          <w:szCs w:val="24"/>
        </w:rPr>
        <w:t>(</w:t>
      </w:r>
      <w:r w:rsidR="00FF5018">
        <w:rPr>
          <w:rFonts w:cs="Times New Roman"/>
          <w:szCs w:val="24"/>
        </w:rPr>
        <w:t xml:space="preserve">GOVERNMENT * ECONOMIC) + </w:t>
      </w:r>
      <w:r w:rsidR="00FF5018" w:rsidRPr="00FF5018">
        <w:rPr>
          <w:rFonts w:cs="Times New Roman"/>
          <w:szCs w:val="24"/>
        </w:rPr>
        <w:t>ß</w:t>
      </w:r>
      <w:r w:rsidR="00D93282" w:rsidRPr="00D93282">
        <w:rPr>
          <w:rFonts w:cs="Times New Roman"/>
          <w:szCs w:val="24"/>
          <w:vertAlign w:val="subscript"/>
        </w:rPr>
        <w:t>10</w:t>
      </w:r>
      <w:r w:rsidR="00FF5018">
        <w:rPr>
          <w:rFonts w:cs="Times New Roman"/>
          <w:szCs w:val="24"/>
        </w:rPr>
        <w:t>PUBPLAINTIFF+</w:t>
      </w:r>
      <w:r w:rsidR="008244AA">
        <w:rPr>
          <w:rFonts w:cs="Times New Roman"/>
          <w:szCs w:val="24"/>
        </w:rPr>
        <w:t xml:space="preserve"> </w:t>
      </w:r>
      <w:r w:rsidR="008035C5">
        <w:rPr>
          <w:rFonts w:cs="Times New Roman"/>
          <w:szCs w:val="24"/>
        </w:rPr>
        <w:t>ε,</w:t>
      </w:r>
    </w:p>
    <w:p w14:paraId="5F9BC1C5" w14:textId="77777777" w:rsidR="00FE1F7C" w:rsidRDefault="00FE1F7C" w:rsidP="006C49EC">
      <w:pPr>
        <w:spacing w:line="240" w:lineRule="auto"/>
        <w:ind w:left="720"/>
        <w:rPr>
          <w:rFonts w:cs="Times New Roman"/>
          <w:szCs w:val="24"/>
        </w:rPr>
      </w:pPr>
    </w:p>
    <w:p w14:paraId="75657D14" w14:textId="77777777" w:rsidR="008C434A" w:rsidRDefault="006C49EC" w:rsidP="006C49EC">
      <w:pPr>
        <w:spacing w:line="240" w:lineRule="auto"/>
        <w:ind w:left="720"/>
        <w:rPr>
          <w:rFonts w:cs="Times New Roman"/>
          <w:szCs w:val="24"/>
        </w:rPr>
      </w:pPr>
      <w:r w:rsidRPr="001A2C04">
        <w:rPr>
          <w:rFonts w:cs="Times New Roman"/>
          <w:szCs w:val="24"/>
        </w:rPr>
        <w:t>Where</w:t>
      </w:r>
      <w:r w:rsidR="008C434A">
        <w:rPr>
          <w:rFonts w:cs="Times New Roman"/>
          <w:szCs w:val="24"/>
        </w:rPr>
        <w:t>:</w:t>
      </w:r>
      <w:r w:rsidRPr="001A2C04">
        <w:rPr>
          <w:rFonts w:cs="Times New Roman"/>
          <w:szCs w:val="24"/>
        </w:rPr>
        <w:t xml:space="preserve"> </w:t>
      </w:r>
    </w:p>
    <w:p w14:paraId="4B6A3DA7" w14:textId="28DFACBE" w:rsidR="00E42137" w:rsidRDefault="006C49EC" w:rsidP="006C49EC">
      <w:pPr>
        <w:spacing w:line="240" w:lineRule="auto"/>
        <w:ind w:left="720"/>
        <w:rPr>
          <w:rFonts w:cs="Times New Roman"/>
          <w:szCs w:val="24"/>
        </w:rPr>
      </w:pPr>
      <w:r w:rsidRPr="001A2C04">
        <w:rPr>
          <w:rFonts w:cs="Times New Roman"/>
          <w:szCs w:val="24"/>
        </w:rPr>
        <w:t xml:space="preserve">Y is the </w:t>
      </w:r>
      <w:r w:rsidR="008834DF">
        <w:rPr>
          <w:rFonts w:cs="Times New Roman"/>
          <w:szCs w:val="24"/>
        </w:rPr>
        <w:t xml:space="preserve">individual </w:t>
      </w:r>
      <w:r w:rsidR="008C434A">
        <w:rPr>
          <w:rFonts w:cs="Times New Roman"/>
          <w:szCs w:val="24"/>
        </w:rPr>
        <w:t>justice</w:t>
      </w:r>
      <w:r w:rsidR="008834DF">
        <w:rPr>
          <w:rFonts w:cs="Times New Roman"/>
          <w:szCs w:val="24"/>
        </w:rPr>
        <w:t>’</w:t>
      </w:r>
      <w:r w:rsidR="008C434A">
        <w:rPr>
          <w:rFonts w:cs="Times New Roman"/>
          <w:szCs w:val="24"/>
        </w:rPr>
        <w:t xml:space="preserve">s vote </w:t>
      </w:r>
      <w:r w:rsidR="00B03882">
        <w:rPr>
          <w:rFonts w:cs="Times New Roman"/>
          <w:szCs w:val="24"/>
        </w:rPr>
        <w:t xml:space="preserve">in </w:t>
      </w:r>
      <w:r w:rsidR="00FF7A35">
        <w:rPr>
          <w:rFonts w:cs="Times New Roman"/>
          <w:szCs w:val="24"/>
        </w:rPr>
        <w:t>the 10 plenary cas</w:t>
      </w:r>
      <w:r w:rsidR="00E42137">
        <w:rPr>
          <w:rFonts w:cs="Times New Roman"/>
          <w:szCs w:val="24"/>
        </w:rPr>
        <w:t>es where legislative intent cou</w:t>
      </w:r>
      <w:r w:rsidR="00FF7A35">
        <w:rPr>
          <w:rFonts w:cs="Times New Roman"/>
          <w:szCs w:val="24"/>
        </w:rPr>
        <w:t>ld be</w:t>
      </w:r>
    </w:p>
    <w:p w14:paraId="517C524A" w14:textId="18964582" w:rsidR="008C434A" w:rsidRDefault="00FF7A35" w:rsidP="003F302B">
      <w:pPr>
        <w:spacing w:line="240" w:lineRule="auto"/>
        <w:ind w:left="1440"/>
        <w:rPr>
          <w:rFonts w:cs="Times New Roman"/>
          <w:szCs w:val="24"/>
        </w:rPr>
      </w:pPr>
      <w:r>
        <w:rPr>
          <w:rFonts w:cs="Times New Roman"/>
          <w:szCs w:val="24"/>
        </w:rPr>
        <w:t>identified</w:t>
      </w:r>
      <w:r w:rsidR="000B0131">
        <w:rPr>
          <w:rFonts w:cs="Times New Roman"/>
          <w:szCs w:val="24"/>
        </w:rPr>
        <w:t xml:space="preserve">. It equals 1 when the justice votes in support of the </w:t>
      </w:r>
      <w:r w:rsidR="00E42137">
        <w:rPr>
          <w:rFonts w:cs="Times New Roman"/>
          <w:szCs w:val="24"/>
        </w:rPr>
        <w:t xml:space="preserve">litigant making the </w:t>
      </w:r>
      <w:r w:rsidR="006C49EC" w:rsidRPr="001A2C04">
        <w:rPr>
          <w:rFonts w:cs="Times New Roman"/>
          <w:szCs w:val="24"/>
        </w:rPr>
        <w:t xml:space="preserve">socialist </w:t>
      </w:r>
      <w:r w:rsidR="00E42137">
        <w:rPr>
          <w:rFonts w:cs="Times New Roman"/>
          <w:szCs w:val="24"/>
        </w:rPr>
        <w:t xml:space="preserve">claim, 0 </w:t>
      </w:r>
      <w:r w:rsidR="00B05071">
        <w:rPr>
          <w:rFonts w:cs="Times New Roman"/>
          <w:szCs w:val="24"/>
        </w:rPr>
        <w:t>when the justice</w:t>
      </w:r>
      <w:r w:rsidR="00E42137">
        <w:rPr>
          <w:rFonts w:cs="Times New Roman"/>
          <w:szCs w:val="24"/>
        </w:rPr>
        <w:t xml:space="preserve"> votes in support of the liti</w:t>
      </w:r>
      <w:r w:rsidR="00B05071">
        <w:rPr>
          <w:rFonts w:cs="Times New Roman"/>
          <w:szCs w:val="24"/>
        </w:rPr>
        <w:t xml:space="preserve">gant making the </w:t>
      </w:r>
      <w:r w:rsidR="00B03882">
        <w:rPr>
          <w:rFonts w:cs="Times New Roman"/>
          <w:szCs w:val="24"/>
        </w:rPr>
        <w:t>non-</w:t>
      </w:r>
      <w:r w:rsidR="00B05071">
        <w:rPr>
          <w:rFonts w:cs="Times New Roman"/>
          <w:szCs w:val="24"/>
        </w:rPr>
        <w:t>socialist claim;</w:t>
      </w:r>
    </w:p>
    <w:p w14:paraId="296DBB9F" w14:textId="035CC876" w:rsidR="005A2D56" w:rsidRDefault="00BC572C" w:rsidP="006C49EC">
      <w:pPr>
        <w:spacing w:line="240" w:lineRule="auto"/>
        <w:ind w:left="720"/>
        <w:rPr>
          <w:rFonts w:cs="Times New Roman"/>
          <w:szCs w:val="24"/>
        </w:rPr>
      </w:pPr>
      <w:r>
        <w:rPr>
          <w:rFonts w:cs="Times New Roman"/>
          <w:szCs w:val="24"/>
        </w:rPr>
        <w:t>DIVERSITY</w:t>
      </w:r>
      <w:r w:rsidR="00B03882">
        <w:rPr>
          <w:rFonts w:cs="Times New Roman"/>
          <w:szCs w:val="24"/>
        </w:rPr>
        <w:t xml:space="preserve"> </w:t>
      </w:r>
      <w:r w:rsidR="005A2D56">
        <w:rPr>
          <w:rFonts w:cs="Times New Roman"/>
          <w:szCs w:val="24"/>
        </w:rPr>
        <w:t>is the multivariate measure of Court diversity</w:t>
      </w:r>
      <w:r w:rsidR="00B03882">
        <w:rPr>
          <w:rFonts w:cs="Times New Roman"/>
          <w:szCs w:val="24"/>
        </w:rPr>
        <w:t>;</w:t>
      </w:r>
    </w:p>
    <w:p w14:paraId="71C39B53" w14:textId="7F9FC5FC" w:rsidR="005A2D56" w:rsidRPr="001A2C04" w:rsidRDefault="005A2D56" w:rsidP="005A2D56">
      <w:pPr>
        <w:spacing w:line="240" w:lineRule="auto"/>
        <w:ind w:left="720"/>
        <w:rPr>
          <w:rFonts w:cs="Times New Roman"/>
          <w:szCs w:val="24"/>
        </w:rPr>
      </w:pPr>
      <w:r w:rsidRPr="001A2C04">
        <w:rPr>
          <w:rFonts w:cs="Times New Roman"/>
          <w:szCs w:val="24"/>
        </w:rPr>
        <w:t>LEGINT is the ideologically coded legislative intent</w:t>
      </w:r>
      <w:r>
        <w:rPr>
          <w:rFonts w:cs="Times New Roman"/>
          <w:szCs w:val="24"/>
        </w:rPr>
        <w:t xml:space="preserve"> (1 = socialist)</w:t>
      </w:r>
      <w:r w:rsidR="00B03882">
        <w:rPr>
          <w:rFonts w:cs="Times New Roman"/>
          <w:szCs w:val="24"/>
        </w:rPr>
        <w:t>;</w:t>
      </w:r>
    </w:p>
    <w:p w14:paraId="782AB3D0" w14:textId="54C846B4" w:rsidR="005A2D56" w:rsidRDefault="006C49EC" w:rsidP="006C49EC">
      <w:pPr>
        <w:spacing w:line="240" w:lineRule="auto"/>
        <w:ind w:left="720"/>
        <w:rPr>
          <w:rFonts w:cs="Times New Roman"/>
          <w:szCs w:val="24"/>
        </w:rPr>
      </w:pPr>
      <w:r w:rsidRPr="001A2C04">
        <w:rPr>
          <w:rFonts w:cs="Times New Roman"/>
          <w:szCs w:val="24"/>
        </w:rPr>
        <w:t xml:space="preserve">GOVERNMENT is the </w:t>
      </w:r>
      <w:r w:rsidR="0016487E">
        <w:rPr>
          <w:rFonts w:cs="Times New Roman"/>
          <w:szCs w:val="24"/>
        </w:rPr>
        <w:t xml:space="preserve">color of the </w:t>
      </w:r>
      <w:r w:rsidRPr="001A2C04">
        <w:rPr>
          <w:rFonts w:cs="Times New Roman"/>
          <w:szCs w:val="24"/>
        </w:rPr>
        <w:t>appointing government</w:t>
      </w:r>
      <w:r w:rsidR="005A2D56">
        <w:rPr>
          <w:rFonts w:cs="Times New Roman"/>
          <w:szCs w:val="24"/>
        </w:rPr>
        <w:t xml:space="preserve"> (</w:t>
      </w:r>
      <w:r w:rsidR="00E40F65">
        <w:rPr>
          <w:rFonts w:cs="Times New Roman"/>
          <w:szCs w:val="24"/>
        </w:rPr>
        <w:t>socialist =1)</w:t>
      </w:r>
      <w:r w:rsidR="00B03882">
        <w:rPr>
          <w:rFonts w:cs="Times New Roman"/>
          <w:szCs w:val="24"/>
        </w:rPr>
        <w:t>;</w:t>
      </w:r>
    </w:p>
    <w:p w14:paraId="19412BB9" w14:textId="6E1CA559" w:rsidR="008C434A" w:rsidRDefault="006C49EC" w:rsidP="006C49EC">
      <w:pPr>
        <w:spacing w:line="240" w:lineRule="auto"/>
        <w:ind w:left="720"/>
        <w:rPr>
          <w:rFonts w:cs="Times New Roman"/>
          <w:szCs w:val="24"/>
        </w:rPr>
      </w:pPr>
      <w:r w:rsidRPr="001A2C04">
        <w:rPr>
          <w:rFonts w:cs="Times New Roman"/>
          <w:szCs w:val="24"/>
        </w:rPr>
        <w:t>SEX is male or female</w:t>
      </w:r>
      <w:r w:rsidR="00E40F65">
        <w:rPr>
          <w:rFonts w:cs="Times New Roman"/>
          <w:szCs w:val="24"/>
        </w:rPr>
        <w:t xml:space="preserve"> (female = 1)</w:t>
      </w:r>
      <w:r w:rsidR="00B03882">
        <w:rPr>
          <w:rFonts w:cs="Times New Roman"/>
          <w:szCs w:val="24"/>
        </w:rPr>
        <w:t>;</w:t>
      </w:r>
    </w:p>
    <w:p w14:paraId="098A1FA4" w14:textId="4F13412F" w:rsidR="00D93282" w:rsidRDefault="00D93282" w:rsidP="00D93282">
      <w:pPr>
        <w:spacing w:line="240" w:lineRule="auto"/>
        <w:ind w:left="720"/>
        <w:rPr>
          <w:rFonts w:cs="Times New Roman"/>
          <w:szCs w:val="24"/>
        </w:rPr>
      </w:pPr>
      <w:r>
        <w:rPr>
          <w:rFonts w:cs="Times New Roman"/>
          <w:szCs w:val="24"/>
        </w:rPr>
        <w:t>LAWPROFESS is law professor experience (law professor = 1)</w:t>
      </w:r>
      <w:r w:rsidR="00B03882">
        <w:rPr>
          <w:rFonts w:cs="Times New Roman"/>
          <w:szCs w:val="24"/>
        </w:rPr>
        <w:t>;</w:t>
      </w:r>
    </w:p>
    <w:p w14:paraId="471F381F" w14:textId="78A6ED45" w:rsidR="00D93282" w:rsidRDefault="00D93282" w:rsidP="006C49EC">
      <w:pPr>
        <w:spacing w:line="240" w:lineRule="auto"/>
        <w:ind w:left="720"/>
        <w:rPr>
          <w:rFonts w:cs="Times New Roman"/>
          <w:szCs w:val="24"/>
        </w:rPr>
      </w:pPr>
      <w:r>
        <w:rPr>
          <w:rFonts w:cs="Times New Roman"/>
          <w:szCs w:val="24"/>
        </w:rPr>
        <w:t>OSLOBORN is Oslo birth place (Oslo = 1)</w:t>
      </w:r>
      <w:r w:rsidR="00B03882">
        <w:rPr>
          <w:rFonts w:cs="Times New Roman"/>
          <w:szCs w:val="24"/>
        </w:rPr>
        <w:t>;</w:t>
      </w:r>
    </w:p>
    <w:p w14:paraId="728F58BD" w14:textId="36E96BD9" w:rsidR="00D93282" w:rsidRDefault="00D93282" w:rsidP="006C49EC">
      <w:pPr>
        <w:spacing w:line="240" w:lineRule="auto"/>
        <w:ind w:left="720"/>
        <w:rPr>
          <w:rFonts w:cs="Times New Roman"/>
          <w:szCs w:val="24"/>
        </w:rPr>
      </w:pPr>
      <w:r>
        <w:rPr>
          <w:rFonts w:cs="Times New Roman"/>
          <w:szCs w:val="24"/>
        </w:rPr>
        <w:t>LEGDEPT is Legislation Department experience (Legislation Department = 1)</w:t>
      </w:r>
      <w:r w:rsidR="00B03882">
        <w:rPr>
          <w:rFonts w:cs="Times New Roman"/>
          <w:szCs w:val="24"/>
        </w:rPr>
        <w:t>;</w:t>
      </w:r>
    </w:p>
    <w:p w14:paraId="7437271B" w14:textId="5982D367" w:rsidR="005A2D56" w:rsidRDefault="005A2D56" w:rsidP="006C49EC">
      <w:pPr>
        <w:spacing w:line="240" w:lineRule="auto"/>
        <w:ind w:left="720"/>
        <w:rPr>
          <w:rFonts w:cs="Times New Roman"/>
          <w:szCs w:val="24"/>
        </w:rPr>
      </w:pPr>
      <w:r>
        <w:rPr>
          <w:rFonts w:cs="Times New Roman"/>
          <w:szCs w:val="24"/>
        </w:rPr>
        <w:t>GOVERNMENT * ECONOMIC is the interaction term</w:t>
      </w:r>
      <w:r w:rsidR="00B03882">
        <w:rPr>
          <w:rFonts w:cs="Times New Roman"/>
          <w:szCs w:val="24"/>
        </w:rPr>
        <w:t>;</w:t>
      </w:r>
    </w:p>
    <w:p w14:paraId="02E41AEB" w14:textId="7D413C7F" w:rsidR="005A2D56" w:rsidRDefault="005A2D56" w:rsidP="006C49EC">
      <w:pPr>
        <w:spacing w:line="240" w:lineRule="auto"/>
        <w:ind w:left="720"/>
        <w:rPr>
          <w:rFonts w:cs="Times New Roman"/>
          <w:szCs w:val="24"/>
        </w:rPr>
      </w:pPr>
      <w:r>
        <w:rPr>
          <w:rFonts w:cs="Times New Roman"/>
          <w:szCs w:val="24"/>
        </w:rPr>
        <w:t>PUBPLAINTIFF is the case was brought by a public plaintiff (public plaintiff = 1)</w:t>
      </w:r>
      <w:r w:rsidR="00B03882">
        <w:rPr>
          <w:rFonts w:cs="Times New Roman"/>
          <w:szCs w:val="24"/>
        </w:rPr>
        <w:t>.</w:t>
      </w:r>
    </w:p>
    <w:p w14:paraId="03E95043" w14:textId="77777777" w:rsidR="005A2D56" w:rsidRDefault="005A2D56" w:rsidP="006C49EC">
      <w:pPr>
        <w:spacing w:line="240" w:lineRule="auto"/>
        <w:ind w:left="720"/>
        <w:rPr>
          <w:rFonts w:cs="Times New Roman"/>
          <w:szCs w:val="24"/>
        </w:rPr>
      </w:pPr>
    </w:p>
    <w:p w14:paraId="28B8D83C" w14:textId="7404EAE0" w:rsidR="002254CB" w:rsidRPr="007D2D1E" w:rsidRDefault="005E07EE" w:rsidP="002254CB">
      <w:pPr>
        <w:ind w:firstLine="720"/>
      </w:pPr>
      <w:r>
        <w:lastRenderedPageBreak/>
        <w:t>We have included as controls</w:t>
      </w:r>
      <w:r w:rsidR="00426C7B">
        <w:t xml:space="preserve"> the other</w:t>
      </w:r>
      <w:r>
        <w:t xml:space="preserve"> </w:t>
      </w:r>
      <w:r w:rsidR="00FB492A">
        <w:t xml:space="preserve">three </w:t>
      </w:r>
      <w:r>
        <w:t xml:space="preserve">constitutive elements of the </w:t>
      </w:r>
      <w:r w:rsidR="008E02B8">
        <w:t xml:space="preserve">fractionalization index, namely </w:t>
      </w:r>
      <w:proofErr w:type="gramStart"/>
      <w:r w:rsidR="008E02B8">
        <w:t>whether or not</w:t>
      </w:r>
      <w:proofErr w:type="gramEnd"/>
      <w:r w:rsidR="008E02B8">
        <w:t xml:space="preserve"> the justice served in the Legislation Department </w:t>
      </w:r>
      <w:r w:rsidR="003B7985">
        <w:t>[</w:t>
      </w:r>
      <w:r w:rsidR="008E02B8">
        <w:t>0 = no, 1 = yes], region of birth [0 = not Oslo</w:t>
      </w:r>
      <w:r w:rsidR="00D83DFE">
        <w:t xml:space="preserve">, 1 = Oslo], </w:t>
      </w:r>
      <w:r w:rsidR="00FB492A">
        <w:t xml:space="preserve">and </w:t>
      </w:r>
      <w:r w:rsidR="008E02B8">
        <w:t>whether or not the justice had been a law professor [0 = no, 1 = yes]</w:t>
      </w:r>
      <w:r w:rsidR="00FB492A">
        <w:t xml:space="preserve">. We have also coded </w:t>
      </w:r>
      <w:r w:rsidR="00D83DFE">
        <w:t>type of plaintiff [0 = private, 1 = public]</w:t>
      </w:r>
      <w:r w:rsidR="008E02B8">
        <w:t>.</w:t>
      </w:r>
      <w:r w:rsidR="008E02B8">
        <w:rPr>
          <w:rStyle w:val="FootnoteReference"/>
        </w:rPr>
        <w:footnoteReference w:id="9"/>
      </w:r>
      <w:r w:rsidR="00A07705">
        <w:t xml:space="preserve">  </w:t>
      </w:r>
      <w:r w:rsidR="002254CB">
        <w:t xml:space="preserve">The reader should note that </w:t>
      </w:r>
      <w:r w:rsidR="00131404">
        <w:t xml:space="preserve">below </w:t>
      </w:r>
      <w:r w:rsidR="002254CB">
        <w:t>we repor</w:t>
      </w:r>
      <w:r w:rsidR="00131404">
        <w:t>t</w:t>
      </w:r>
      <w:r w:rsidR="002254CB">
        <w:t xml:space="preserve"> logit results with estimates clustered on the panel of justices</w:t>
      </w:r>
      <w:r w:rsidR="00131404">
        <w:t>, a choice justified on</w:t>
      </w:r>
      <w:r w:rsidR="002254CB">
        <w:t xml:space="preserve"> substantive theoretical </w:t>
      </w:r>
      <w:r w:rsidR="00131404">
        <w:t>grounds</w:t>
      </w:r>
      <w:r w:rsidR="00DA571E">
        <w:t xml:space="preserve">. </w:t>
      </w:r>
      <w:r w:rsidR="002254CB">
        <w:t>Some clarification on this final point is in order. While individual attributes of justices play a role in explaining decisional behavior, there are case</w:t>
      </w:r>
      <w:r w:rsidR="00A75B9F">
        <w:t>-</w:t>
      </w:r>
      <w:r w:rsidR="002254CB">
        <w:t>specific effects, as well as the social context impact upon participating justices</w:t>
      </w:r>
      <w:r w:rsidR="002254CB" w:rsidRPr="00131404">
        <w:t>. By clustering on Supreme Court panels, we also are clustering on unique cases. On this point, the cases presently included span a 39-year period. Consequently, the collection of justices hearing each of these cases is unique. No two panels were composed of the exact same set of justices. In other research, we have found that panel and case effects add explanatory power over and above the values and experiences of individu</w:t>
      </w:r>
      <w:r w:rsidR="00086DBF">
        <w:t>al members (</w:t>
      </w:r>
      <w:proofErr w:type="spellStart"/>
      <w:r w:rsidR="00086DBF">
        <w:t>Skiple</w:t>
      </w:r>
      <w:proofErr w:type="spellEnd"/>
      <w:r w:rsidR="00086DBF">
        <w:t xml:space="preserve"> et al. 201</w:t>
      </w:r>
      <w:r w:rsidR="00243B61">
        <w:t>6</w:t>
      </w:r>
      <w:r w:rsidR="00086DBF">
        <w:t>)</w:t>
      </w:r>
      <w:r w:rsidR="00FB492A">
        <w:t>.</w:t>
      </w:r>
      <w:r w:rsidR="002254CB" w:rsidRPr="00131404">
        <w:rPr>
          <w:rStyle w:val="FootnoteReference"/>
        </w:rPr>
        <w:footnoteReference w:id="10"/>
      </w:r>
    </w:p>
    <w:p w14:paraId="564C419D" w14:textId="77777777" w:rsidR="00C00F9D" w:rsidRPr="00D82AC7" w:rsidRDefault="00054B46" w:rsidP="00D82AC7">
      <w:pPr>
        <w:pStyle w:val="Heading1"/>
      </w:pPr>
      <w:r w:rsidRPr="00D82AC7">
        <w:t>F</w:t>
      </w:r>
      <w:r w:rsidR="00687498" w:rsidRPr="00D82AC7">
        <w:t>indings</w:t>
      </w:r>
    </w:p>
    <w:p w14:paraId="467E0E19" w14:textId="740DD2B7" w:rsidR="000D57D2" w:rsidRDefault="009C0D7A" w:rsidP="000A40B2">
      <w:pPr>
        <w:ind w:firstLine="720"/>
      </w:pPr>
      <w:r>
        <w:t>To provide an overview of the Norwegian Supreme Court actions on cases where a parliamentary statutory provision was a key element, we have reworked a table reported by Kisen (2014:61)</w:t>
      </w:r>
      <w:r w:rsidR="002452ED">
        <w:t xml:space="preserve">. </w:t>
      </w:r>
      <w:r>
        <w:t xml:space="preserve">The tabulation of the aggregate Court rulings on these cases is presented in Table </w:t>
      </w:r>
      <w:r w:rsidR="008B00DA">
        <w:t>3</w:t>
      </w:r>
      <w:r>
        <w:t>.</w:t>
      </w:r>
      <w:r w:rsidR="00FE1F7C">
        <w:rPr>
          <w:rStyle w:val="FootnoteReference"/>
          <w:rFonts w:cs="Times New Roman"/>
          <w:szCs w:val="24"/>
        </w:rPr>
        <w:footnoteReference w:id="11"/>
      </w:r>
      <w:r>
        <w:t xml:space="preserve">  </w:t>
      </w:r>
      <w:r w:rsidR="000D57D2">
        <w:t>Generally speaking</w:t>
      </w:r>
      <w:r w:rsidR="00A0544D">
        <w:t>,</w:t>
      </w:r>
      <w:r w:rsidR="000D57D2">
        <w:t xml:space="preserve"> the Court rendered a decision </w:t>
      </w:r>
      <w:r w:rsidR="00A0544D">
        <w:t xml:space="preserve">that </w:t>
      </w:r>
      <w:r w:rsidR="000D57D2">
        <w:t xml:space="preserve">was ideologically consistent with the </w:t>
      </w:r>
      <w:proofErr w:type="spellStart"/>
      <w:r w:rsidR="000D57D2">
        <w:t>Storting’s</w:t>
      </w:r>
      <w:proofErr w:type="spellEnd"/>
      <w:r w:rsidR="000D57D2">
        <w:t xml:space="preserve"> statutory principle 59.1% (</w:t>
      </w:r>
      <w:r w:rsidR="00867D79">
        <w:t>9+4</w:t>
      </w:r>
      <w:r w:rsidR="000D57D2">
        <w:t>/22) of the time</w:t>
      </w:r>
      <w:r w:rsidR="002452ED">
        <w:t xml:space="preserve">. </w:t>
      </w:r>
      <w:r w:rsidR="00DB22BF">
        <w:t xml:space="preserve">We suggest that the Supreme </w:t>
      </w:r>
      <w:r w:rsidR="00DB22BF">
        <w:lastRenderedPageBreak/>
        <w:t xml:space="preserve">Court </w:t>
      </w:r>
      <w:r w:rsidR="00054B46">
        <w:t>appears</w:t>
      </w:r>
      <w:r w:rsidR="00DB22BF">
        <w:t xml:space="preserve"> to accede to legislative intent, but departs from that intent frequently</w:t>
      </w:r>
      <w:r w:rsidR="002452ED">
        <w:t xml:space="preserve">. </w:t>
      </w:r>
      <w:r w:rsidR="000D57D2" w:rsidRPr="00CB41EC">
        <w:t xml:space="preserve">Treating the aggregate Court vote as a dependent variable, knowledge of the </w:t>
      </w:r>
      <w:proofErr w:type="spellStart"/>
      <w:r w:rsidR="000D57D2" w:rsidRPr="00CB41EC">
        <w:t>Storting’s</w:t>
      </w:r>
      <w:proofErr w:type="spellEnd"/>
      <w:r w:rsidR="000D57D2" w:rsidRPr="00CB41EC">
        <w:t xml:space="preserve"> ideological direction</w:t>
      </w:r>
      <w:r w:rsidR="00887455">
        <w:t xml:space="preserve"> </w:t>
      </w:r>
      <w:r w:rsidR="00A0398C" w:rsidRPr="00CB41EC">
        <w:t>reduces predictive error by10%, as indicated by the lambda (</w:t>
      </w:r>
      <w:proofErr w:type="spellStart"/>
      <w:r w:rsidR="00A0398C" w:rsidRPr="00CB41EC">
        <w:t>λ</w:t>
      </w:r>
      <w:r w:rsidR="00A0398C" w:rsidRPr="00CB41EC">
        <w:rPr>
          <w:vertAlign w:val="subscript"/>
        </w:rPr>
        <w:t>B</w:t>
      </w:r>
      <w:proofErr w:type="spellEnd"/>
      <w:r w:rsidR="00A0398C" w:rsidRPr="00CB41EC">
        <w:t>)</w:t>
      </w:r>
      <w:r w:rsidR="00A0398C" w:rsidRPr="00CB41EC">
        <w:rPr>
          <w:rStyle w:val="FootnoteReference"/>
        </w:rPr>
        <w:t xml:space="preserve"> </w:t>
      </w:r>
      <w:r w:rsidR="00A0398C" w:rsidRPr="00CB41EC">
        <w:rPr>
          <w:rStyle w:val="FootnoteReference"/>
        </w:rPr>
        <w:footnoteReference w:id="12"/>
      </w:r>
      <w:r w:rsidR="00A0398C" w:rsidRPr="00CB41EC">
        <w:t xml:space="preserve"> coefficient of .100. The </w:t>
      </w:r>
      <w:r w:rsidR="000D57D2" w:rsidRPr="00CB41EC">
        <w:t>correlation is meaningful, but not powerful when the whole Court is the aggregate unit of analysis</w:t>
      </w:r>
      <w:r w:rsidR="00AE1C58" w:rsidRPr="00CB41EC">
        <w:t>.</w:t>
      </w:r>
      <w:r w:rsidR="00AE1C58">
        <w:t xml:space="preserve"> </w:t>
      </w:r>
    </w:p>
    <w:p w14:paraId="6CEFA002" w14:textId="77777777" w:rsidR="00AE1C58" w:rsidRDefault="00AE1C58" w:rsidP="00FE1F7C">
      <w:pPr>
        <w:jc w:val="center"/>
      </w:pPr>
      <w:r>
        <w:t xml:space="preserve">[Table </w:t>
      </w:r>
      <w:r w:rsidR="008B00DA">
        <w:t>3</w:t>
      </w:r>
      <w:r>
        <w:t xml:space="preserve"> Goes Here]</w:t>
      </w:r>
    </w:p>
    <w:p w14:paraId="3FDA5F24" w14:textId="684E6375" w:rsidR="006C09C4" w:rsidRDefault="008554B9" w:rsidP="00FE1F7C">
      <w:r w:rsidRPr="00E65D33">
        <w:tab/>
      </w:r>
      <w:r w:rsidR="00542799" w:rsidRPr="00E65D33">
        <w:t xml:space="preserve">While aggregate results for decisions handed down are pertinent, </w:t>
      </w:r>
      <w:r w:rsidR="00792C3A">
        <w:t xml:space="preserve">individuals cast votes on the </w:t>
      </w:r>
      <w:r w:rsidR="00542799" w:rsidRPr="00E65D33">
        <w:t>Court</w:t>
      </w:r>
      <w:r w:rsidR="00792C3A">
        <w:t xml:space="preserve">. </w:t>
      </w:r>
      <w:r w:rsidR="00542799" w:rsidRPr="00E65D33">
        <w:t xml:space="preserve">Therefore, we shall attempt to account for </w:t>
      </w:r>
      <w:r w:rsidR="00463589">
        <w:t>the individual</w:t>
      </w:r>
      <w:r w:rsidR="00542799" w:rsidRPr="00E65D33">
        <w:t xml:space="preserve"> justices’ votes by </w:t>
      </w:r>
      <w:r w:rsidR="00792C3A">
        <w:t xml:space="preserve">estimating </w:t>
      </w:r>
      <w:r w:rsidR="0016487E">
        <w:t xml:space="preserve">variations of </w:t>
      </w:r>
      <w:r w:rsidR="00792C3A">
        <w:t xml:space="preserve">the logit model specified above. Our data comprise </w:t>
      </w:r>
      <w:r w:rsidR="00205228">
        <w:t xml:space="preserve">10 </w:t>
      </w:r>
      <w:r w:rsidR="00792C3A">
        <w:t xml:space="preserve">non-unanimous, plenary Court </w:t>
      </w:r>
      <w:r w:rsidR="00B15722">
        <w:t>cases</w:t>
      </w:r>
      <w:r w:rsidR="00792C3A">
        <w:t>, but</w:t>
      </w:r>
      <w:r w:rsidR="00AB4D08">
        <w:t xml:space="preserve">, as noted above, </w:t>
      </w:r>
      <w:r w:rsidR="00792C3A">
        <w:t xml:space="preserve">our unit of analysis is the individual justice, </w:t>
      </w:r>
      <w:r w:rsidR="00B15722">
        <w:t>result</w:t>
      </w:r>
      <w:r w:rsidR="00AB4D08">
        <w:t>ing</w:t>
      </w:r>
      <w:r w:rsidR="00B15722">
        <w:t xml:space="preserve"> in </w:t>
      </w:r>
      <w:r w:rsidR="00205228">
        <w:t xml:space="preserve">148 </w:t>
      </w:r>
      <w:r w:rsidR="00B15722">
        <w:t xml:space="preserve">justice-votes. The dichotomous dependent variable is </w:t>
      </w:r>
      <w:r w:rsidR="00F0329C">
        <w:t>scored 0 (</w:t>
      </w:r>
      <w:r w:rsidR="00FC4212">
        <w:t>non-</w:t>
      </w:r>
      <w:r w:rsidR="00F0329C">
        <w:t>socialist vote) or 1 (socialist vote</w:t>
      </w:r>
      <w:r w:rsidR="00205228">
        <w:t>).</w:t>
      </w:r>
      <w:r w:rsidR="00391F9A">
        <w:t xml:space="preserve">  Univariate descriptive statistics for the variables included in the logit model are reported in Table 4.</w:t>
      </w:r>
    </w:p>
    <w:p w14:paraId="06B8392A" w14:textId="1E27C06F" w:rsidR="00391F9A" w:rsidRDefault="00391F9A" w:rsidP="008578BD">
      <w:pPr>
        <w:jc w:val="center"/>
      </w:pPr>
      <w:r>
        <w:t>[Table 4 Goes Here]</w:t>
      </w:r>
    </w:p>
    <w:p w14:paraId="3780D001" w14:textId="56417C13" w:rsidR="00CB41EC" w:rsidRDefault="00C64EF6" w:rsidP="00FE1F7C">
      <w:r>
        <w:tab/>
        <w:t>In the logit results reported below, we seek to understand the effect of legislative intent, a component of legal reasoning, while considering simultaneously the impact of Supreme Court diversity, understood best as an extra-legal force</w:t>
      </w:r>
      <w:r w:rsidR="00DA571E">
        <w:t xml:space="preserve">. </w:t>
      </w:r>
      <w:r>
        <w:t xml:space="preserve">Given the range of hypotheses, we estimate the </w:t>
      </w:r>
      <w:r>
        <w:lastRenderedPageBreak/>
        <w:t>multivariate logit model formally stated above</w:t>
      </w:r>
      <w:r w:rsidR="00D249FB">
        <w:t>;</w:t>
      </w:r>
      <w:r w:rsidR="00274FAD">
        <w:t xml:space="preserve"> the results are presented in Table </w:t>
      </w:r>
      <w:r w:rsidR="00116672">
        <w:t>5</w:t>
      </w:r>
      <w:r w:rsidR="00DA571E">
        <w:t xml:space="preserve">. </w:t>
      </w:r>
      <w:r w:rsidR="00274FAD">
        <w:t xml:space="preserve">Overall, the model is significant at the p &lt; .000 level and </w:t>
      </w:r>
      <w:r w:rsidR="006A0865">
        <w:t>sports a pseudo R</w:t>
      </w:r>
      <w:r w:rsidR="006A0865">
        <w:rPr>
          <w:vertAlign w:val="superscript"/>
        </w:rPr>
        <w:t>2</w:t>
      </w:r>
      <w:r w:rsidR="00DE61B6">
        <w:rPr>
          <w:vertAlign w:val="superscript"/>
        </w:rPr>
        <w:t xml:space="preserve"> </w:t>
      </w:r>
      <w:r w:rsidR="006A0865">
        <w:t>of .143</w:t>
      </w:r>
      <w:r w:rsidR="00DA571E">
        <w:t xml:space="preserve">. </w:t>
      </w:r>
      <w:r w:rsidR="00DC6279">
        <w:t>Visually, Figure 1 illustrates a graphic representation of the independent variables empirically linked to justice votes in support of a socialist legislative intent.</w:t>
      </w:r>
    </w:p>
    <w:p w14:paraId="63B88DBA" w14:textId="77555C2E" w:rsidR="00DC6279" w:rsidRDefault="00DC6279" w:rsidP="00BA3AD9">
      <w:pPr>
        <w:jc w:val="center"/>
      </w:pPr>
      <w:r>
        <w:t xml:space="preserve">[Table </w:t>
      </w:r>
      <w:r w:rsidR="00116672">
        <w:t>5</w:t>
      </w:r>
      <w:r>
        <w:t xml:space="preserve"> Goes Here]</w:t>
      </w:r>
    </w:p>
    <w:p w14:paraId="53837833" w14:textId="302EE64B" w:rsidR="00A0398C" w:rsidRDefault="00DC6279" w:rsidP="00A0398C">
      <w:pPr>
        <w:jc w:val="center"/>
      </w:pPr>
      <w:r>
        <w:t>[F</w:t>
      </w:r>
      <w:r w:rsidR="00BA3AD9">
        <w:t>igure 1 Goes Here]</w:t>
      </w:r>
    </w:p>
    <w:p w14:paraId="47EC834F" w14:textId="7BB38A0F" w:rsidR="00DC6279" w:rsidRDefault="00E57006" w:rsidP="00E57006">
      <w:pPr>
        <w:ind w:firstLine="720"/>
      </w:pPr>
      <w:r w:rsidRPr="008578BD">
        <w:t xml:space="preserve">Turning first </w:t>
      </w:r>
      <w:r w:rsidR="00D249FB">
        <w:t xml:space="preserve">to </w:t>
      </w:r>
      <w:r w:rsidRPr="008578BD">
        <w:t xml:space="preserve">the test of </w:t>
      </w:r>
      <w:r w:rsidR="00FC4212">
        <w:t>H</w:t>
      </w:r>
      <w:r w:rsidRPr="008578BD">
        <w:t xml:space="preserve">ypothesis #1, the diversity of the Supreme Court’s personnel exhibits a powerful influence on casting a socialist vote, in a direction completely </w:t>
      </w:r>
      <w:r w:rsidR="008D6108" w:rsidRPr="008578BD">
        <w:t xml:space="preserve">in accord with </w:t>
      </w:r>
      <w:r w:rsidRPr="008578BD">
        <w:t>that which we anticipated</w:t>
      </w:r>
      <w:r w:rsidR="00DA571E">
        <w:t xml:space="preserve">. </w:t>
      </w:r>
      <w:r w:rsidRPr="008578BD">
        <w:t>As diversity increases, the probability of the voting socialist position</w:t>
      </w:r>
      <w:r w:rsidR="001C1F83" w:rsidRPr="008578BD">
        <w:t xml:space="preserve"> declines dramatically</w:t>
      </w:r>
      <w:r w:rsidR="00DA571E">
        <w:t xml:space="preserve">. </w:t>
      </w:r>
      <w:r w:rsidR="00D21F6D">
        <w:t xml:space="preserve">Indeed, traversing the range of the fractionalization index, the probability of a socialist vote plummets by a value of </w:t>
      </w:r>
      <w:r w:rsidR="00FC341B">
        <w:t>0</w:t>
      </w:r>
      <w:r w:rsidR="00D21F6D">
        <w:t>.</w:t>
      </w:r>
      <w:r w:rsidR="006762DF">
        <w:t>661</w:t>
      </w:r>
      <w:r w:rsidR="00D21F6D">
        <w:t xml:space="preserve"> (See Figure 2).</w:t>
      </w:r>
      <w:r w:rsidR="00D931D7">
        <w:rPr>
          <w:rStyle w:val="FootnoteReference"/>
        </w:rPr>
        <w:footnoteReference w:id="13"/>
      </w:r>
      <w:r w:rsidR="005925CB">
        <w:t xml:space="preserve">  </w:t>
      </w:r>
      <w:r w:rsidR="008D6108">
        <w:t xml:space="preserve">Consistent with the logic underlying Hypothesis #1, </w:t>
      </w:r>
      <w:r w:rsidR="00D5259F">
        <w:t xml:space="preserve">diversifying the Court, thereby making it more representative of the nation’s population, </w:t>
      </w:r>
      <w:r w:rsidR="00AB5B0F">
        <w:t>include</w:t>
      </w:r>
      <w:r w:rsidR="008D6108">
        <w:t>d</w:t>
      </w:r>
      <w:r w:rsidR="00AB5B0F">
        <w:t xml:space="preserve"> justices more likely to embrace a more conservative position on these vitally important plenary session decisions</w:t>
      </w:r>
      <w:r w:rsidR="00DA571E">
        <w:t xml:space="preserve">. </w:t>
      </w:r>
      <w:r w:rsidR="00AB5B0F">
        <w:t xml:space="preserve">After all, </w:t>
      </w:r>
      <w:proofErr w:type="gramStart"/>
      <w:r w:rsidR="00AB5B0F">
        <w:t>a majority of</w:t>
      </w:r>
      <w:proofErr w:type="gramEnd"/>
      <w:r w:rsidR="00AB5B0F">
        <w:t xml:space="preserve"> justices in each and every case had been appointed by a socialist-led government</w:t>
      </w:r>
      <w:r w:rsidR="00FC2465">
        <w:t xml:space="preserve"> and half of these cases produced </w:t>
      </w:r>
      <w:r w:rsidR="008E7B83">
        <w:t>socialist vote majorities</w:t>
      </w:r>
      <w:r w:rsidR="00DA571E">
        <w:t xml:space="preserve">. </w:t>
      </w:r>
      <w:r w:rsidR="008E7B83">
        <w:t>Of course, inferences about individual behavior from aggregate outcomes can be highly misleading.</w:t>
      </w:r>
    </w:p>
    <w:p w14:paraId="577655EC" w14:textId="77777777" w:rsidR="00D21F6D" w:rsidRDefault="00D21F6D" w:rsidP="00D21F6D">
      <w:pPr>
        <w:jc w:val="center"/>
      </w:pPr>
      <w:r>
        <w:t>[Figure 2 Goes Here]</w:t>
      </w:r>
    </w:p>
    <w:p w14:paraId="71CB31F9" w14:textId="155A3E01" w:rsidR="009B2268" w:rsidRDefault="00AB5B0F" w:rsidP="00723CE7">
      <w:r>
        <w:tab/>
      </w:r>
    </w:p>
    <w:p w14:paraId="72646470" w14:textId="032DB7D0" w:rsidR="001A06A3" w:rsidRDefault="001A06A3" w:rsidP="008578BD">
      <w:pPr>
        <w:ind w:firstLine="720"/>
        <w:rPr>
          <w:rFonts w:cs="Times New Roman"/>
          <w:szCs w:val="24"/>
        </w:rPr>
      </w:pPr>
      <w:r>
        <w:rPr>
          <w:rFonts w:cs="Times New Roman"/>
          <w:szCs w:val="24"/>
        </w:rPr>
        <w:t xml:space="preserve">As outlined above, a credible interpretation of the negative finding suggests that the political socialization of different generational cohorts equips them with somewhat disparate </w:t>
      </w:r>
      <w:r>
        <w:rPr>
          <w:rFonts w:cs="Times New Roman"/>
          <w:szCs w:val="24"/>
        </w:rPr>
        <w:lastRenderedPageBreak/>
        <w:t>ideological orientations toward government policies</w:t>
      </w:r>
      <w:r w:rsidR="00DA571E">
        <w:rPr>
          <w:rFonts w:cs="Times New Roman"/>
          <w:szCs w:val="24"/>
        </w:rPr>
        <w:t xml:space="preserve">. </w:t>
      </w:r>
      <w:r>
        <w:rPr>
          <w:rFonts w:cs="Times New Roman"/>
          <w:szCs w:val="24"/>
        </w:rPr>
        <w:t>The gradual shift from a consensual social democracy to one with a more liberal, pro-business sensibility appears to underpin the somewhat more non-socialist values characterizing a more youthful generation</w:t>
      </w:r>
      <w:r w:rsidR="00DA571E">
        <w:rPr>
          <w:rFonts w:cs="Times New Roman"/>
          <w:szCs w:val="24"/>
        </w:rPr>
        <w:t xml:space="preserve">. </w:t>
      </w:r>
      <w:r>
        <w:rPr>
          <w:rFonts w:cs="Times New Roman"/>
          <w:szCs w:val="24"/>
        </w:rPr>
        <w:t>Studies of Norwegian public opinion and voting behavior offer strong empirical evidence of such an alteration of the Norwegian political context</w:t>
      </w:r>
      <w:r w:rsidR="00DA571E">
        <w:rPr>
          <w:rFonts w:cs="Times New Roman"/>
          <w:szCs w:val="24"/>
        </w:rPr>
        <w:t xml:space="preserve">. </w:t>
      </w:r>
      <w:r>
        <w:rPr>
          <w:rFonts w:cs="Times New Roman"/>
          <w:szCs w:val="24"/>
        </w:rPr>
        <w:t xml:space="preserve">Certainly, future justices, as they grow up, are not impervious to a long-term transformation of national politics. Given the socialist legislative intent of laws relevant to nearly </w:t>
      </w:r>
      <w:proofErr w:type="gramStart"/>
      <w:r>
        <w:rPr>
          <w:rFonts w:cs="Times New Roman"/>
          <w:szCs w:val="24"/>
        </w:rPr>
        <w:t>all of</w:t>
      </w:r>
      <w:proofErr w:type="gramEnd"/>
      <w:r>
        <w:rPr>
          <w:rFonts w:cs="Times New Roman"/>
          <w:szCs w:val="24"/>
        </w:rPr>
        <w:t xml:space="preserve"> the cases under study, the ample number of justices not socialized before or immediately after the end of World War II would not embrace a socialist legislative intent</w:t>
      </w:r>
      <w:r w:rsidR="00DA571E">
        <w:rPr>
          <w:rFonts w:cs="Times New Roman"/>
          <w:szCs w:val="24"/>
        </w:rPr>
        <w:t xml:space="preserve">. </w:t>
      </w:r>
      <w:r>
        <w:rPr>
          <w:rFonts w:cs="Times New Roman"/>
          <w:szCs w:val="24"/>
        </w:rPr>
        <w:t>So, as the Court added younger members, there was a greater likelihood of non-socialist voting, regardless of whether the attendant diversity resulted from adding law professors, women, etc.</w:t>
      </w:r>
    </w:p>
    <w:p w14:paraId="1B49053C" w14:textId="54452809" w:rsidR="00FF154B" w:rsidRDefault="001842B6" w:rsidP="009B2268">
      <w:pPr>
        <w:ind w:firstLine="720"/>
      </w:pPr>
      <w:r>
        <w:t xml:space="preserve">Alternatively, </w:t>
      </w:r>
      <w:r w:rsidR="0071714D">
        <w:t>one might entertain the notion that the groups that contributed to increased diversification</w:t>
      </w:r>
      <w:r w:rsidR="002A7D69">
        <w:t xml:space="preserve"> – </w:t>
      </w:r>
      <w:r w:rsidR="003A23D2">
        <w:t xml:space="preserve">such as </w:t>
      </w:r>
      <w:r w:rsidR="0071714D">
        <w:t xml:space="preserve">women, </w:t>
      </w:r>
      <w:r w:rsidR="00031C79">
        <w:t xml:space="preserve">Oslo </w:t>
      </w:r>
      <w:r w:rsidR="0071714D">
        <w:t>outsiders, and law professors, to name a few</w:t>
      </w:r>
      <w:r w:rsidR="002A7D69">
        <w:t xml:space="preserve"> – </w:t>
      </w:r>
      <w:r w:rsidR="0071714D">
        <w:t xml:space="preserve">generally found more liberal stances, especially </w:t>
      </w:r>
      <w:proofErr w:type="gramStart"/>
      <w:r w:rsidR="0071714D">
        <w:t>in the area of</w:t>
      </w:r>
      <w:proofErr w:type="gramEnd"/>
      <w:r w:rsidR="0071714D">
        <w:t xml:space="preserve"> economic policy, appealing</w:t>
      </w:r>
      <w:r w:rsidR="00DA571E">
        <w:t xml:space="preserve">. </w:t>
      </w:r>
      <w:r w:rsidR="003A23D2">
        <w:t xml:space="preserve">In any event, </w:t>
      </w:r>
      <w:r w:rsidR="009B2268">
        <w:t xml:space="preserve">the </w:t>
      </w:r>
      <w:r w:rsidR="00DA7CA6">
        <w:t>diversity</w:t>
      </w:r>
      <w:r w:rsidR="009B2268">
        <w:t>-decisional linkage is not explained by any exercise in legal reasoning, but reflects political values typically associated with the attitudinal model.</w:t>
      </w:r>
    </w:p>
    <w:p w14:paraId="561897C2" w14:textId="1F4BE88E" w:rsidR="00CD47CF" w:rsidRDefault="009B2268" w:rsidP="00CD47CF">
      <w:pPr>
        <w:rPr>
          <w:rFonts w:cs="Times New Roman"/>
          <w:szCs w:val="24"/>
        </w:rPr>
      </w:pPr>
      <w:r>
        <w:tab/>
      </w:r>
      <w:r w:rsidR="00F70F0A">
        <w:t xml:space="preserve">The statistical results testing </w:t>
      </w:r>
      <w:r w:rsidR="00DA7CA6">
        <w:t>H</w:t>
      </w:r>
      <w:r>
        <w:t>ypothesis #2</w:t>
      </w:r>
      <w:r w:rsidR="00F70F0A">
        <w:t xml:space="preserve"> also reveal some cracks in the legal model’s arch</w:t>
      </w:r>
      <w:r w:rsidR="00537E1E">
        <w:t>i</w:t>
      </w:r>
      <w:r w:rsidR="00F70F0A">
        <w:t>tecture</w:t>
      </w:r>
      <w:r w:rsidR="00DA571E">
        <w:t xml:space="preserve">. </w:t>
      </w:r>
      <w:r w:rsidR="00BA3AD9">
        <w:t>First, while the coefficient for legislative intent is highly sign</w:t>
      </w:r>
      <w:r w:rsidR="005B7DAE">
        <w:t>ificant (p=.000</w:t>
      </w:r>
      <w:r w:rsidR="00BA3AD9">
        <w:t>), t</w:t>
      </w:r>
      <w:r w:rsidR="00BA3AD9" w:rsidRPr="00FB3A27">
        <w:t xml:space="preserve">he probability of voting counter to a </w:t>
      </w:r>
      <w:proofErr w:type="spellStart"/>
      <w:r w:rsidR="00BA3AD9" w:rsidRPr="00FB3A27">
        <w:t>Storting</w:t>
      </w:r>
      <w:proofErr w:type="spellEnd"/>
      <w:r w:rsidR="00BA3AD9" w:rsidRPr="00FB3A27">
        <w:t xml:space="preserve"> statut</w:t>
      </w:r>
      <w:r w:rsidR="005B7DAE">
        <w:t xml:space="preserve">ory provision turns </w:t>
      </w:r>
      <w:r w:rsidR="00DA7CA6">
        <w:t>H</w:t>
      </w:r>
      <w:r w:rsidR="005B7DAE">
        <w:t>ypothesis #2</w:t>
      </w:r>
      <w:r w:rsidR="00BA3AD9" w:rsidRPr="00FB3A27">
        <w:t xml:space="preserve"> on its head</w:t>
      </w:r>
      <w:r w:rsidR="005B7DAE">
        <w:t xml:space="preserve"> (See Table </w:t>
      </w:r>
      <w:r w:rsidR="00116672">
        <w:t>5</w:t>
      </w:r>
      <w:r w:rsidR="005B7DAE">
        <w:t>)</w:t>
      </w:r>
      <w:r w:rsidR="00DA571E">
        <w:t xml:space="preserve">. </w:t>
      </w:r>
      <w:r w:rsidR="00BA3AD9" w:rsidRPr="00FB3A27">
        <w:t xml:space="preserve">If the ideological direction of the law in question were </w:t>
      </w:r>
      <w:r>
        <w:t>socialist</w:t>
      </w:r>
      <w:r w:rsidR="00BA3AD9" w:rsidRPr="00FB3A27">
        <w:t xml:space="preserve">, </w:t>
      </w:r>
      <w:r>
        <w:t xml:space="preserve">justices </w:t>
      </w:r>
      <w:r w:rsidR="00AC60C1">
        <w:t xml:space="preserve">were </w:t>
      </w:r>
      <w:r>
        <w:t xml:space="preserve">highly </w:t>
      </w:r>
      <w:r w:rsidR="00BA3AD9" w:rsidRPr="00FB3A27">
        <w:t xml:space="preserve">likely to support the </w:t>
      </w:r>
      <w:r w:rsidRPr="000A40B2">
        <w:rPr>
          <w:i/>
        </w:rPr>
        <w:t>non-</w:t>
      </w:r>
      <w:r w:rsidR="00BA3AD9" w:rsidRPr="002A7D69">
        <w:rPr>
          <w:i/>
        </w:rPr>
        <w:t>socialist</w:t>
      </w:r>
      <w:r w:rsidR="00BA3AD9" w:rsidRPr="00FB3A27">
        <w:t xml:space="preserve"> position, a relationship </w:t>
      </w:r>
      <w:r w:rsidR="00BA3AD9">
        <w:t>at the root of the outcome</w:t>
      </w:r>
      <w:r w:rsidR="00BA3AD9" w:rsidRPr="00FB3A27">
        <w:t xml:space="preserve"> illustrated in Figure </w:t>
      </w:r>
      <w:r w:rsidR="00222A29">
        <w:t>3</w:t>
      </w:r>
      <w:r w:rsidR="00BA3AD9">
        <w:t xml:space="preserve">. </w:t>
      </w:r>
      <w:r w:rsidR="007E5B9E">
        <w:t xml:space="preserve">Note that when legislative intent </w:t>
      </w:r>
      <w:r w:rsidR="00FC341B">
        <w:t>is non-socialist, there was a .887</w:t>
      </w:r>
      <w:r w:rsidR="007E5B9E">
        <w:t xml:space="preserve"> probability that the justice would cast a socialist vote, while a socialist legislative </w:t>
      </w:r>
      <w:r w:rsidR="00DA7CA6">
        <w:t xml:space="preserve">intent </w:t>
      </w:r>
      <w:r w:rsidR="007E5B9E">
        <w:t>lowered the probab</w:t>
      </w:r>
      <w:r w:rsidR="00FC341B">
        <w:t xml:space="preserve">ility of a </w:t>
      </w:r>
      <w:r w:rsidR="00DA7CA6">
        <w:t xml:space="preserve">justice voting for the socialist position </w:t>
      </w:r>
      <w:r w:rsidR="00FC341B">
        <w:t>to .452</w:t>
      </w:r>
      <w:r w:rsidR="00DA571E">
        <w:t xml:space="preserve">. </w:t>
      </w:r>
      <w:r w:rsidR="005B7DAE" w:rsidRPr="008578BD">
        <w:t xml:space="preserve">On the face of it, this result </w:t>
      </w:r>
      <w:r w:rsidR="005B7DAE" w:rsidRPr="008578BD">
        <w:lastRenderedPageBreak/>
        <w:t xml:space="preserve">would appear to </w:t>
      </w:r>
      <w:r w:rsidR="00FF73A2" w:rsidRPr="008578BD">
        <w:t>undermine</w:t>
      </w:r>
      <w:r w:rsidR="005B7DAE" w:rsidRPr="008578BD">
        <w:t xml:space="preserve"> claims of legal model devotees. </w:t>
      </w:r>
      <w:r w:rsidR="00FF73A2" w:rsidRPr="008578BD">
        <w:t xml:space="preserve">More likely, </w:t>
      </w:r>
      <w:r w:rsidR="005B7DAE" w:rsidRPr="008578BD">
        <w:t xml:space="preserve">justices </w:t>
      </w:r>
      <w:r w:rsidR="00FF73A2" w:rsidRPr="008578BD">
        <w:t xml:space="preserve">may have been </w:t>
      </w:r>
      <w:r w:rsidR="005B7DAE" w:rsidRPr="008578BD">
        <w:t xml:space="preserve">adjudicating dutifully in questioning the constitutionality of a parliamentary statute </w:t>
      </w:r>
      <w:proofErr w:type="gramStart"/>
      <w:r w:rsidR="005B7DAE" w:rsidRPr="008578BD">
        <w:t>in an effort to</w:t>
      </w:r>
      <w:proofErr w:type="gramEnd"/>
      <w:r w:rsidR="005B7DAE" w:rsidRPr="008578BD">
        <w:t xml:space="preserve"> produce better national law</w:t>
      </w:r>
      <w:r w:rsidR="00DA571E">
        <w:t xml:space="preserve">. </w:t>
      </w:r>
      <w:r w:rsidR="005B7DAE">
        <w:t xml:space="preserve">On the other hand, perhaps the </w:t>
      </w:r>
      <w:proofErr w:type="spellStart"/>
      <w:r w:rsidR="005B7DAE">
        <w:t>Storting</w:t>
      </w:r>
      <w:proofErr w:type="spellEnd"/>
      <w:r w:rsidR="005B7DAE">
        <w:t xml:space="preserve"> law did not square with the justices’ value preferences.</w:t>
      </w:r>
      <w:r w:rsidR="00CD47CF">
        <w:rPr>
          <w:rStyle w:val="FootnoteReference"/>
        </w:rPr>
        <w:footnoteReference w:id="14"/>
      </w:r>
    </w:p>
    <w:p w14:paraId="3D91A315" w14:textId="140F9171" w:rsidR="004228EF" w:rsidRDefault="004228EF" w:rsidP="00CD47CF">
      <w:pPr>
        <w:jc w:val="center"/>
      </w:pPr>
      <w:r>
        <w:t xml:space="preserve">[Figure </w:t>
      </w:r>
      <w:r w:rsidR="00222A29">
        <w:t>3 Goes Here]</w:t>
      </w:r>
    </w:p>
    <w:p w14:paraId="172A1FB1" w14:textId="7A4B2FB9" w:rsidR="00222A29" w:rsidRDefault="00222A29" w:rsidP="00222A29">
      <w:r>
        <w:tab/>
        <w:t xml:space="preserve">Regarding </w:t>
      </w:r>
      <w:r w:rsidR="00F70F0A">
        <w:t>H</w:t>
      </w:r>
      <w:r>
        <w:t xml:space="preserve">ypothesis #3, while previous research has found a significant impact of the color of the government appointing a justice, its impact </w:t>
      </w:r>
      <w:r w:rsidR="00D10E94">
        <w:t xml:space="preserve">here </w:t>
      </w:r>
      <w:r>
        <w:t>is non-significant (p=</w:t>
      </w:r>
      <w:r w:rsidR="00DA0DA4">
        <w:t>.</w:t>
      </w:r>
      <w:r w:rsidR="00D10E94">
        <w:t>625</w:t>
      </w:r>
      <w:r w:rsidR="00DA0DA4">
        <w:t>)</w:t>
      </w:r>
      <w:r w:rsidR="00DA571E">
        <w:t xml:space="preserve">. </w:t>
      </w:r>
      <w:r w:rsidR="00DA0DA4">
        <w:t xml:space="preserve">We hesitate to suggest that the Court has risen above ideology, bringing us to </w:t>
      </w:r>
      <w:r w:rsidR="00F70F0A">
        <w:t>H</w:t>
      </w:r>
      <w:r w:rsidR="00DA0DA4">
        <w:t xml:space="preserve">ypothesis #4, which also </w:t>
      </w:r>
      <w:r w:rsidR="004228EF">
        <w:t>is grounded in the value preferences of Supreme Court justices</w:t>
      </w:r>
      <w:r w:rsidR="00DA571E">
        <w:t xml:space="preserve">. </w:t>
      </w:r>
      <w:r>
        <w:t xml:space="preserve">For present purposes, we have specified ideological decisional behavior as </w:t>
      </w:r>
      <w:r w:rsidR="004228EF" w:rsidRPr="00B25B51">
        <w:t xml:space="preserve">the </w:t>
      </w:r>
      <w:r w:rsidR="004228EF" w:rsidRPr="00B25B51">
        <w:rPr>
          <w:i/>
        </w:rPr>
        <w:t xml:space="preserve">interaction </w:t>
      </w:r>
      <w:r w:rsidR="004228EF" w:rsidRPr="00B25B51">
        <w:t>between ideology</w:t>
      </w:r>
      <w:r>
        <w:t xml:space="preserve">, as measured by the political color of the appointing government </w:t>
      </w:r>
      <w:r w:rsidR="004228EF" w:rsidRPr="00B25B51">
        <w:t>and the economic/non-economic nature of a case</w:t>
      </w:r>
      <w:r w:rsidR="00DA571E">
        <w:t xml:space="preserve">. </w:t>
      </w:r>
      <w:r w:rsidR="00DA0DA4">
        <w:t xml:space="preserve">Measured this way, ideology exhibits a significant relationship with a justice’s vote </w:t>
      </w:r>
      <w:r w:rsidR="004228EF" w:rsidRPr="00B25B51">
        <w:t>(p=.</w:t>
      </w:r>
      <w:r w:rsidR="00D10E94">
        <w:t>042</w:t>
      </w:r>
      <w:r w:rsidR="004228EF" w:rsidRPr="00B25B51">
        <w:t>)</w:t>
      </w:r>
      <w:r w:rsidR="00DA571E">
        <w:t xml:space="preserve">. </w:t>
      </w:r>
      <w:r w:rsidR="00CD47CF">
        <w:t>There is little doubt that economic issues are central to the ideological divide in Norwegian politics.</w:t>
      </w:r>
    </w:p>
    <w:p w14:paraId="460E9295" w14:textId="7F4BFBDF" w:rsidR="004228EF" w:rsidRDefault="004228EF" w:rsidP="00DA0DA4">
      <w:pPr>
        <w:ind w:firstLine="720"/>
        <w:rPr>
          <w:i/>
        </w:rPr>
      </w:pPr>
      <w:r w:rsidRPr="00B25B51">
        <w:t>These results are graphically displayed in F</w:t>
      </w:r>
      <w:r w:rsidR="0066090C">
        <w:t xml:space="preserve">igure 4, which illustrates the </w:t>
      </w:r>
      <w:r w:rsidRPr="00B25B51">
        <w:t xml:space="preserve">high probability of casting a </w:t>
      </w:r>
      <w:r w:rsidR="00DA0DA4">
        <w:t xml:space="preserve">socialist </w:t>
      </w:r>
      <w:r w:rsidRPr="00B25B51">
        <w:t xml:space="preserve">vote when we focus on socialist </w:t>
      </w:r>
      <w:r w:rsidR="008B4D35">
        <w:t xml:space="preserve">government </w:t>
      </w:r>
      <w:r w:rsidRPr="00B25B51">
        <w:t>appointees adjudicating cases involving issues of economic import.</w:t>
      </w:r>
      <w:r>
        <w:t xml:space="preserve"> </w:t>
      </w:r>
      <w:r w:rsidR="00DA0DA4">
        <w:t>The interaction raises the probab</w:t>
      </w:r>
      <w:r w:rsidR="0066090C">
        <w:t>ility of a socialist vote by .204</w:t>
      </w:r>
      <w:r w:rsidR="00DA571E">
        <w:t xml:space="preserve">. </w:t>
      </w:r>
      <w:r>
        <w:t xml:space="preserve">For these </w:t>
      </w:r>
      <w:proofErr w:type="gramStart"/>
      <w:r>
        <w:t>particular policy</w:t>
      </w:r>
      <w:proofErr w:type="gramEnd"/>
      <w:r>
        <w:t xml:space="preserve"> questions, socialist </w:t>
      </w:r>
      <w:r w:rsidR="008B4D35">
        <w:t xml:space="preserve">government </w:t>
      </w:r>
      <w:r>
        <w:t xml:space="preserve">appointees appear to be more faithful to their presumed policy preferences. To state the relationship most concretely, </w:t>
      </w:r>
      <w:r w:rsidRPr="00A776DC">
        <w:rPr>
          <w:i/>
        </w:rPr>
        <w:t xml:space="preserve">the ideological division between socialist and non-socialist </w:t>
      </w:r>
      <w:r w:rsidR="008B4D35">
        <w:rPr>
          <w:i/>
        </w:rPr>
        <w:t xml:space="preserve">government </w:t>
      </w:r>
      <w:r w:rsidRPr="00A776DC">
        <w:rPr>
          <w:i/>
        </w:rPr>
        <w:t>appointees is most pronounced in cases addressing constitutional or statutory matters relating to the economy.</w:t>
      </w:r>
    </w:p>
    <w:p w14:paraId="381A2A55" w14:textId="77777777" w:rsidR="004228EF" w:rsidRDefault="004228EF" w:rsidP="004228EF">
      <w:pPr>
        <w:jc w:val="center"/>
        <w:rPr>
          <w:rFonts w:cs="Times New Roman"/>
          <w:szCs w:val="24"/>
        </w:rPr>
      </w:pPr>
      <w:r w:rsidRPr="00B25B51">
        <w:rPr>
          <w:rFonts w:cs="Times New Roman"/>
          <w:szCs w:val="24"/>
        </w:rPr>
        <w:lastRenderedPageBreak/>
        <w:t>[Figure 4 Goes Here]</w:t>
      </w:r>
    </w:p>
    <w:p w14:paraId="5ED6CE4D" w14:textId="1FD5C098" w:rsidR="00A27B79" w:rsidRDefault="00D465F8" w:rsidP="00A27B79">
      <w:r>
        <w:tab/>
        <w:t xml:space="preserve">Finally, </w:t>
      </w:r>
      <w:r w:rsidR="009D613E">
        <w:t>H</w:t>
      </w:r>
      <w:r>
        <w:t>ypotheses #5 receive</w:t>
      </w:r>
      <w:r w:rsidR="00C32C94">
        <w:t>s</w:t>
      </w:r>
      <w:r>
        <w:t xml:space="preserve"> no support in this logit analysis</w:t>
      </w:r>
      <w:r w:rsidR="00DA571E">
        <w:t xml:space="preserve">. </w:t>
      </w:r>
      <w:r>
        <w:t>Female justices were no more likely to register socialist vot</w:t>
      </w:r>
      <w:r w:rsidR="00C32C94">
        <w:t>es than their male colleagues.</w:t>
      </w:r>
    </w:p>
    <w:p w14:paraId="6AFFC86F" w14:textId="7CD7112A" w:rsidR="00C427ED" w:rsidRPr="00196A01" w:rsidRDefault="00196A01" w:rsidP="00D82AC7">
      <w:pPr>
        <w:pStyle w:val="Heading1"/>
      </w:pPr>
      <w:r w:rsidRPr="00196A01">
        <w:t>Political Culture and Diversity</w:t>
      </w:r>
    </w:p>
    <w:p w14:paraId="22BC3DA9" w14:textId="3E25642E" w:rsidR="00C427ED" w:rsidRDefault="00A14E0E" w:rsidP="00A27B79">
      <w:r>
        <w:tab/>
      </w:r>
      <w:r w:rsidR="00C112DB">
        <w:t>The reader may wonder just why diversification of the Norwegian Supreme Court so dramatically depresses the incidence of justices casting socialist votes</w:t>
      </w:r>
      <w:r w:rsidR="00DA571E">
        <w:t xml:space="preserve">. </w:t>
      </w:r>
      <w:r w:rsidR="00C112DB">
        <w:t xml:space="preserve">Near the outset of the paper we speculated that more recently appointed justices were may have been socialized in </w:t>
      </w:r>
      <w:r w:rsidR="0051321E">
        <w:t xml:space="preserve">a </w:t>
      </w:r>
      <w:r w:rsidR="00C112DB">
        <w:t>period in which the political culture drifted away from a socialist consensus to a more liberal political posture</w:t>
      </w:r>
      <w:r w:rsidR="00DA571E">
        <w:t xml:space="preserve">. </w:t>
      </w:r>
      <w:r w:rsidR="00C112DB">
        <w:t>In other words, one can imagine two distinct cohorts, one that was born before 1951 and one that was born after 1950</w:t>
      </w:r>
      <w:r w:rsidR="00DA571E">
        <w:t xml:space="preserve">. </w:t>
      </w:r>
      <w:r w:rsidR="00DD2014">
        <w:rPr>
          <w:rFonts w:cs="Times New Roman"/>
          <w:szCs w:val="24"/>
        </w:rPr>
        <w:t>The latter would have been politically socialized during the 1960s when a shift to a bit more non-socialist political culture was emergent.</w:t>
      </w:r>
      <w:r w:rsidR="004D7010">
        <w:t xml:space="preserve"> </w:t>
      </w:r>
      <w:r w:rsidR="0051321E">
        <w:t>We might also conjecture that as more women and law professors were added to the Court, two groups that were previously linked to a more liberal stance, more decisions of a non-socialist nature would naturally occur.</w:t>
      </w:r>
    </w:p>
    <w:p w14:paraId="5AF6BCC6" w14:textId="3B811553" w:rsidR="0051321E" w:rsidRDefault="0051321E" w:rsidP="00A27B79">
      <w:r>
        <w:tab/>
        <w:t>A peek at the voting patterns in th</w:t>
      </w:r>
      <w:r w:rsidR="004D7010">
        <w:t>ese</w:t>
      </w:r>
      <w:r>
        <w:t xml:space="preserve"> data set is instructive</w:t>
      </w:r>
      <w:r w:rsidR="00DA571E">
        <w:t xml:space="preserve">. </w:t>
      </w:r>
      <w:r w:rsidR="003478F7">
        <w:t xml:space="preserve">In Table </w:t>
      </w:r>
      <w:r w:rsidR="00116672">
        <w:t>7</w:t>
      </w:r>
      <w:r w:rsidR="003478F7">
        <w:t xml:space="preserve"> we report the percentage of socialist votes cast by gender, professorial status</w:t>
      </w:r>
      <w:r w:rsidR="004D7010">
        <w:t>,</w:t>
      </w:r>
      <w:r w:rsidR="003478F7">
        <w:t xml:space="preserve"> and cohort, as suggested in the preceding paragraph</w:t>
      </w:r>
      <w:r w:rsidR="00DA571E">
        <w:t xml:space="preserve">. </w:t>
      </w:r>
      <w:r w:rsidR="003478F7">
        <w:t>First, not</w:t>
      </w:r>
      <w:r w:rsidR="00D569BE">
        <w:t>e</w:t>
      </w:r>
      <w:r w:rsidR="003478F7">
        <w:t xml:space="preserve"> that </w:t>
      </w:r>
      <w:r w:rsidR="001764B8">
        <w:t>the percentage point difference between males and females is miniscule at 1.1%</w:t>
      </w:r>
      <w:r w:rsidR="00DA571E">
        <w:t xml:space="preserve">. </w:t>
      </w:r>
      <w:r w:rsidR="001764B8">
        <w:t>Likewise, professorial status appears inconsequential, with a 2.7% difference</w:t>
      </w:r>
      <w:r w:rsidR="00DA571E">
        <w:t xml:space="preserve">. </w:t>
      </w:r>
      <w:r w:rsidR="001764B8">
        <w:t>However, the apparent effect of cohort is a bit more impressive</w:t>
      </w:r>
      <w:r w:rsidR="00DA571E">
        <w:t xml:space="preserve">. </w:t>
      </w:r>
      <w:r w:rsidR="001764B8">
        <w:t>Consensus era justices cast socialist votes nearly t</w:t>
      </w:r>
      <w:r w:rsidR="00D569BE">
        <w:t>hree times out of</w:t>
      </w:r>
      <w:r w:rsidR="001764B8">
        <w:t xml:space="preserve"> five, while 43.8 percent of the votes their post-consensus colleagues were socialist, an observation consistent with the notion that younger justices may be somewhat more receptive to a liberal political understanding of cases heard in plenary session.</w:t>
      </w:r>
    </w:p>
    <w:p w14:paraId="7DABEF95" w14:textId="1AF06315" w:rsidR="001764B8" w:rsidRDefault="001764B8" w:rsidP="00417809">
      <w:pPr>
        <w:spacing w:line="240" w:lineRule="auto"/>
        <w:jc w:val="center"/>
      </w:pPr>
      <w:r>
        <w:lastRenderedPageBreak/>
        <w:t xml:space="preserve">[Table </w:t>
      </w:r>
      <w:r w:rsidR="00116672">
        <w:t>7</w:t>
      </w:r>
      <w:r>
        <w:t xml:space="preserve"> Goes Here]</w:t>
      </w:r>
    </w:p>
    <w:p w14:paraId="369A33EE" w14:textId="35D83B8C" w:rsidR="00417809" w:rsidRDefault="00417809" w:rsidP="00417809">
      <w:pPr>
        <w:spacing w:line="240" w:lineRule="auto"/>
      </w:pPr>
    </w:p>
    <w:p w14:paraId="43714858" w14:textId="366F57DB" w:rsidR="00417809" w:rsidRDefault="00417809" w:rsidP="00417809">
      <w:r>
        <w:tab/>
        <w:t>How then do these generational differences feed into the decisional behavior of Supreme Court justices</w:t>
      </w:r>
      <w:r w:rsidR="00DA571E">
        <w:t xml:space="preserve">? </w:t>
      </w:r>
      <w:r>
        <w:t xml:space="preserve">We offer a tentative and simple model of effects of cohort, </w:t>
      </w:r>
      <w:r w:rsidR="00E9651E">
        <w:t>diversity</w:t>
      </w:r>
      <w:r>
        <w:t xml:space="preserve"> legislative intent</w:t>
      </w:r>
      <w:r w:rsidR="00101EF1">
        <w:t>,</w:t>
      </w:r>
      <w:r>
        <w:t xml:space="preserve"> and the appointing government-economic issue interaction </w:t>
      </w:r>
      <w:r w:rsidR="009A09CB">
        <w:t xml:space="preserve">in </w:t>
      </w:r>
      <w:r>
        <w:t xml:space="preserve">Figure </w:t>
      </w:r>
      <w:r w:rsidR="00D569BE">
        <w:t>5</w:t>
      </w:r>
      <w:r w:rsidR="00DA571E">
        <w:t xml:space="preserve">. </w:t>
      </w:r>
      <w:r w:rsidR="00D569BE">
        <w:t xml:space="preserve">The impact of </w:t>
      </w:r>
      <w:r w:rsidR="00E9651E">
        <w:t>diversity</w:t>
      </w:r>
      <w:r w:rsidR="003A11C1">
        <w:t>, legislative intent</w:t>
      </w:r>
      <w:r w:rsidR="00101EF1">
        <w:t>,</w:t>
      </w:r>
      <w:r w:rsidR="003A11C1">
        <w:t xml:space="preserve"> and the appointing government-economic issue </w:t>
      </w:r>
      <w:r w:rsidR="00B02366">
        <w:t>is consistent with the findings reported above</w:t>
      </w:r>
      <w:r w:rsidR="00DA571E">
        <w:t xml:space="preserve">. </w:t>
      </w:r>
      <w:r w:rsidR="00B02366">
        <w:t>Of considerable interest is the role of the cohort variable, which elevates significantly the diversity of the Court</w:t>
      </w:r>
      <w:r w:rsidR="00DA571E">
        <w:t xml:space="preserve">. </w:t>
      </w:r>
      <w:r w:rsidR="00B02366">
        <w:t>In other words, the generation of Supreme Court justices born after 1950 elevated diversity, bringing with it a liberal orientation, priming justices to cast votes trending to a more non-socialist position</w:t>
      </w:r>
      <w:r w:rsidR="00DA571E">
        <w:t xml:space="preserve">. </w:t>
      </w:r>
      <w:r w:rsidR="00F03BE0">
        <w:t>While not displayed in the figure, justice cohort had no direct effect on voting behavior.</w:t>
      </w:r>
    </w:p>
    <w:p w14:paraId="283283ED" w14:textId="539B0FCD" w:rsidR="00F03BE0" w:rsidRDefault="00F03BE0" w:rsidP="00F03BE0">
      <w:pPr>
        <w:jc w:val="center"/>
      </w:pPr>
      <w:r>
        <w:t>[Figure 5 Goes Here]</w:t>
      </w:r>
    </w:p>
    <w:p w14:paraId="7EBA05AF" w14:textId="55C19E55" w:rsidR="00F03BE0" w:rsidRDefault="00F03BE0" w:rsidP="00F03BE0">
      <w:r>
        <w:tab/>
      </w:r>
      <w:r w:rsidR="002276AC">
        <w:t>Our preferred overall interpretation underscores the pervasive impact of value preferences on individual decision making</w:t>
      </w:r>
      <w:r w:rsidR="00DA571E">
        <w:t xml:space="preserve">. </w:t>
      </w:r>
      <w:r w:rsidR="002276AC">
        <w:t>The ideological impact of the socialist government appointment-economic issue interaction term is unmistakable. Diversity can be understood from a value preference perspective, as well, primarily because elevated fractionalization scores are generated by the inclusion of appointees who were socialized in the period characterized by a crumbling social democratic consensual politics</w:t>
      </w:r>
      <w:r w:rsidR="00DA571E">
        <w:t xml:space="preserve">. </w:t>
      </w:r>
      <w:r w:rsidR="00BC68E7">
        <w:t>Legislative intent, a feature of legal reasoning, may be freighted with ideological content, particularly as the relevant parliamentary action occurred before many of the justices were elevated to the High Court</w:t>
      </w:r>
      <w:r w:rsidR="00DA571E">
        <w:t xml:space="preserve">. </w:t>
      </w:r>
      <w:r w:rsidR="00012AF1">
        <w:t>Indeed, 80 percent of the cases carried with them a socialist-oriented legislative intent</w:t>
      </w:r>
      <w:r w:rsidR="00DA571E">
        <w:t xml:space="preserve">. </w:t>
      </w:r>
      <w:r w:rsidR="00BC68E7">
        <w:t>More center-right predilections lead justices away from regularly casting socialist votes.</w:t>
      </w:r>
    </w:p>
    <w:p w14:paraId="77B81630" w14:textId="77777777" w:rsidR="00D91B42" w:rsidRDefault="00D91B42" w:rsidP="00D82AC7">
      <w:pPr>
        <w:pStyle w:val="Heading1"/>
      </w:pPr>
    </w:p>
    <w:p w14:paraId="5D863EA6" w14:textId="77777777" w:rsidR="00D91B42" w:rsidRDefault="00D91B42" w:rsidP="00D82AC7">
      <w:pPr>
        <w:pStyle w:val="Heading1"/>
      </w:pPr>
    </w:p>
    <w:p w14:paraId="4220DC01" w14:textId="26A68698" w:rsidR="0066090C" w:rsidRPr="00BC3701" w:rsidRDefault="00CF004B" w:rsidP="00D82AC7">
      <w:pPr>
        <w:pStyle w:val="Heading1"/>
      </w:pPr>
      <w:r w:rsidRPr="00A27B79">
        <w:lastRenderedPageBreak/>
        <w:t xml:space="preserve">Summary and </w:t>
      </w:r>
      <w:r w:rsidR="00BD0303" w:rsidRPr="00A27B79">
        <w:t>Conclusion</w:t>
      </w:r>
    </w:p>
    <w:p w14:paraId="4653386B" w14:textId="688A4F76" w:rsidR="00BC3701" w:rsidRPr="00BC3701" w:rsidRDefault="00BC3701" w:rsidP="0066090C">
      <w:r>
        <w:tab/>
      </w:r>
      <w:r w:rsidR="00A0398C">
        <w:t xml:space="preserve">In the recruitment of Norwegian Supreme Court </w:t>
      </w:r>
      <w:r w:rsidR="00711C4B">
        <w:t>J</w:t>
      </w:r>
      <w:r w:rsidR="00A0398C">
        <w:t xml:space="preserve">ustices considerable attention has been paid to diversifying along </w:t>
      </w:r>
      <w:proofErr w:type="gramStart"/>
      <w:r w:rsidR="00A0398C">
        <w:t>a number of</w:t>
      </w:r>
      <w:proofErr w:type="gramEnd"/>
      <w:r w:rsidR="00A0398C">
        <w:t xml:space="preserve"> dimensions, with special attention being paid to elevating women </w:t>
      </w:r>
      <w:r w:rsidR="00711C4B">
        <w:t>to the Bench</w:t>
      </w:r>
      <w:r w:rsidR="00DA571E">
        <w:t xml:space="preserve">. </w:t>
      </w:r>
      <w:r w:rsidR="00711C4B">
        <w:t>Thus, the selection process should increase the likelihood that a variety of societal perspectives will be brought to bear on decisions handed down by the High Court</w:t>
      </w:r>
      <w:r w:rsidR="00DA571E">
        <w:t xml:space="preserve">. </w:t>
      </w:r>
      <w:r w:rsidR="00722E14">
        <w:t xml:space="preserve">Of course, increased </w:t>
      </w:r>
      <w:r w:rsidR="00711C4B">
        <w:t>diversification</w:t>
      </w:r>
      <w:r w:rsidR="00722E14">
        <w:t xml:space="preserve"> would steadily bring more </w:t>
      </w:r>
      <w:r w:rsidR="00711C4B">
        <w:t>and more individuals from the post-consensual political era</w:t>
      </w:r>
      <w:r w:rsidR="00DA571E">
        <w:t xml:space="preserve">. </w:t>
      </w:r>
      <w:r w:rsidR="00722E14">
        <w:t>Since t</w:t>
      </w:r>
      <w:r w:rsidR="00711C4B">
        <w:t xml:space="preserve">his cohort was more likely to embrace a more liberal stance on major issues, </w:t>
      </w:r>
      <w:r w:rsidR="00722E14">
        <w:t xml:space="preserve">we hypothesize </w:t>
      </w:r>
      <w:r w:rsidR="00B229D1">
        <w:t xml:space="preserve">that </w:t>
      </w:r>
      <w:r w:rsidR="00722E14">
        <w:t xml:space="preserve">recent recruits </w:t>
      </w:r>
      <w:r w:rsidR="00711C4B">
        <w:t xml:space="preserve">would more likely </w:t>
      </w:r>
      <w:r w:rsidR="00722E14">
        <w:t>cast</w:t>
      </w:r>
      <w:r w:rsidR="00711C4B">
        <w:t xml:space="preserve"> a non-socialist </w:t>
      </w:r>
      <w:r w:rsidR="00722E14">
        <w:t>vote, and the logit results offer strong support for the hypothesis</w:t>
      </w:r>
      <w:r w:rsidR="00DA571E">
        <w:t xml:space="preserve">. </w:t>
      </w:r>
      <w:r w:rsidR="002640D4">
        <w:t xml:space="preserve">Indeed, </w:t>
      </w:r>
      <w:r w:rsidR="00527FD8">
        <w:t>our measure of divers</w:t>
      </w:r>
      <w:r w:rsidR="00537E1E">
        <w:t>i</w:t>
      </w:r>
      <w:r w:rsidR="00527FD8">
        <w:t>ty</w:t>
      </w:r>
      <w:r w:rsidR="002640D4">
        <w:t xml:space="preserve"> was statistically significant, with the probability of a socialist vote plummeting from .912 at the lowest level of diversity to .251 at the highest degree of </w:t>
      </w:r>
      <w:r w:rsidR="00527FD8">
        <w:t>diversity</w:t>
      </w:r>
      <w:r w:rsidR="00DA571E">
        <w:t xml:space="preserve">. </w:t>
      </w:r>
      <w:r w:rsidR="00B229D1">
        <w:t xml:space="preserve">Naturally, if the goal is to better reflect the broad interests of the larger society, then one should expect the Supreme Court to be a bit more </w:t>
      </w:r>
      <w:r w:rsidR="0067497F">
        <w:t>n</w:t>
      </w:r>
      <w:r w:rsidR="00B229D1">
        <w:t>on-socialist in its decisional behavior than it might have been in the past.</w:t>
      </w:r>
    </w:p>
    <w:p w14:paraId="53910E8A" w14:textId="2073F8E3" w:rsidR="00364631" w:rsidRDefault="00B229D1" w:rsidP="00C427ED">
      <w:pPr>
        <w:ind w:firstLine="720"/>
      </w:pPr>
      <w:r>
        <w:t>Another hypothesis garnering strong support involves the role of legislative intent</w:t>
      </w:r>
      <w:r w:rsidR="00DA571E">
        <w:t xml:space="preserve">. </w:t>
      </w:r>
      <w:r w:rsidR="003A30C9">
        <w:t>Judges the world over subscribe to the view that they rely on legal reasoning in adjudicating policy disputes brought before them</w:t>
      </w:r>
      <w:r w:rsidR="002452ED">
        <w:t xml:space="preserve">. </w:t>
      </w:r>
      <w:r w:rsidR="003A30C9">
        <w:t>In holding up the facts of a case against the law, justices are</w:t>
      </w:r>
      <w:r w:rsidR="00366E06">
        <w:t>,</w:t>
      </w:r>
      <w:r w:rsidR="003A30C9">
        <w:t xml:space="preserve"> in the words of U.S. Supreme Court Chief Justice John Roberts</w:t>
      </w:r>
      <w:r w:rsidR="00366E06">
        <w:t xml:space="preserve">, </w:t>
      </w:r>
      <w:r w:rsidR="003A30C9">
        <w:t>only “calling balls and strikes.”  While the baseball metaphor does not travel well to the Old World, the logic does</w:t>
      </w:r>
      <w:r w:rsidR="002452ED">
        <w:t xml:space="preserve">. </w:t>
      </w:r>
      <w:r w:rsidR="003A30C9">
        <w:t>Among the top law school graduates, Norwegian Supreme Court justices are well</w:t>
      </w:r>
      <w:r w:rsidR="00366E06">
        <w:t>-</w:t>
      </w:r>
      <w:r w:rsidR="003A30C9">
        <w:t>trained practitioner</w:t>
      </w:r>
      <w:r w:rsidR="009F1861">
        <w:t>s</w:t>
      </w:r>
      <w:r w:rsidR="003A30C9">
        <w:t xml:space="preserve"> of </w:t>
      </w:r>
      <w:r w:rsidR="009F1861">
        <w:t xml:space="preserve">the </w:t>
      </w:r>
      <w:r w:rsidR="003A30C9">
        <w:t xml:space="preserve">legal method and attempt to </w:t>
      </w:r>
      <w:r w:rsidR="00AB7083">
        <w:t xml:space="preserve">hew </w:t>
      </w:r>
      <w:r w:rsidR="009F1861">
        <w:t>faithfully to those principles, with some considerable success</w:t>
      </w:r>
      <w:r w:rsidR="002452ED">
        <w:t xml:space="preserve">. </w:t>
      </w:r>
      <w:r w:rsidR="006E23F4">
        <w:t>L</w:t>
      </w:r>
      <w:r w:rsidR="009F1861">
        <w:t xml:space="preserve">egal reasoning, </w:t>
      </w:r>
      <w:r w:rsidR="006E23F4">
        <w:t xml:space="preserve">however, </w:t>
      </w:r>
      <w:r w:rsidR="009F1861">
        <w:t>while powerful, accounts for a great deal, but not all, of the decisional behavior exhibited by the High Court justices.</w:t>
      </w:r>
    </w:p>
    <w:p w14:paraId="4B11FA06" w14:textId="0FDF23E0" w:rsidR="002A7586" w:rsidRDefault="00B229D1" w:rsidP="002A7586">
      <w:r>
        <w:lastRenderedPageBreak/>
        <w:tab/>
        <w:t xml:space="preserve">The logit model confirms the hypothesis that legislative intent displayed a highly significant impact, even while controlling for a variety of extra-legal forces. However, the highly negative effect might not be the sort of finding </w:t>
      </w:r>
      <w:r w:rsidR="00626173">
        <w:t>its proponents</w:t>
      </w:r>
      <w:r>
        <w:t xml:space="preserve"> might have preferred, especially when the intent was judged to be socialist, in which case the probability of a socialist vote was just a little more than </w:t>
      </w:r>
      <w:r w:rsidR="00794441">
        <w:t>.</w:t>
      </w:r>
      <w:r>
        <w:t>452. Of course, the negative effect of legislative intent does not necessarily indicate that the justices were not engaged in legal reasoning</w:t>
      </w:r>
      <w:r w:rsidR="00DA571E">
        <w:t xml:space="preserve">. </w:t>
      </w:r>
      <w:r>
        <w:t>Indeed, they may have decided on purely legal grounds that a parliamentary statute was unconstitutional or simply a bad law</w:t>
      </w:r>
      <w:r w:rsidR="00DA571E">
        <w:t xml:space="preserve">. </w:t>
      </w:r>
      <w:r w:rsidR="00FA136D">
        <w:t xml:space="preserve">Or perhaps they sought </w:t>
      </w:r>
      <w:r w:rsidR="00794441">
        <w:t xml:space="preserve">to </w:t>
      </w:r>
      <w:r w:rsidR="00FA136D">
        <w:t>clarify or unify the law</w:t>
      </w:r>
      <w:r w:rsidR="00DA571E">
        <w:t xml:space="preserve">. </w:t>
      </w:r>
      <w:r>
        <w:t>From a contrarian point of view, one might infer that the justices</w:t>
      </w:r>
      <w:r w:rsidR="00794441">
        <w:t>’</w:t>
      </w:r>
      <w:r>
        <w:t xml:space="preserve"> value preferences led them to reject the law itself, notwithstanding the intent of the </w:t>
      </w:r>
      <w:proofErr w:type="spellStart"/>
      <w:r>
        <w:t>Storting</w:t>
      </w:r>
      <w:proofErr w:type="spellEnd"/>
      <w:r w:rsidR="00DA571E">
        <w:t xml:space="preserve">. </w:t>
      </w:r>
      <w:r w:rsidR="002A7586">
        <w:t xml:space="preserve">In any event, </w:t>
      </w:r>
      <w:r w:rsidR="002A7586" w:rsidRPr="000F7AB4">
        <w:t xml:space="preserve">we might conclude that the Court does not </w:t>
      </w:r>
      <w:r w:rsidR="002A7586">
        <w:t xml:space="preserve">consistently attend to the view of the </w:t>
      </w:r>
      <w:proofErr w:type="spellStart"/>
      <w:r w:rsidR="002A7586">
        <w:t>Storting</w:t>
      </w:r>
      <w:proofErr w:type="spellEnd"/>
      <w:r w:rsidR="002A7586">
        <w:t>,</w:t>
      </w:r>
      <w:r w:rsidR="002A7586" w:rsidRPr="000F7AB4">
        <w:t xml:space="preserve"> especially given the negative impact of our legislative intent variable</w:t>
      </w:r>
      <w:r w:rsidR="002A7586">
        <w:t>.</w:t>
      </w:r>
    </w:p>
    <w:p w14:paraId="6D6D7EE3" w14:textId="7B6BC23F" w:rsidR="00FA136D" w:rsidRDefault="00FA136D" w:rsidP="002640D4">
      <w:pPr>
        <w:ind w:firstLine="720"/>
      </w:pPr>
      <w:r>
        <w:t xml:space="preserve">While the role </w:t>
      </w:r>
      <w:r w:rsidR="00D10E94">
        <w:t xml:space="preserve">of </w:t>
      </w:r>
      <w:r>
        <w:t xml:space="preserve">diversification and legislative intent may very well be freighted with policy preferences, </w:t>
      </w:r>
      <w:r w:rsidR="002640D4">
        <w:t>our general indicator of ideology, specifically the color of the appointing government has no bearing on the justices’ votes</w:t>
      </w:r>
      <w:r w:rsidR="00DA571E">
        <w:t xml:space="preserve">. </w:t>
      </w:r>
      <w:r w:rsidR="002640D4">
        <w:t xml:space="preserve">However, </w:t>
      </w:r>
      <w:r>
        <w:t xml:space="preserve">a </w:t>
      </w:r>
      <w:r w:rsidR="002640D4">
        <w:t xml:space="preserve">more </w:t>
      </w:r>
      <w:r>
        <w:t>nuanced ideological measure</w:t>
      </w:r>
      <w:r w:rsidR="002640D4">
        <w:t>,</w:t>
      </w:r>
      <w:r>
        <w:t xml:space="preserve"> based upon the interaction of</w:t>
      </w:r>
      <w:r w:rsidR="002640D4">
        <w:t xml:space="preserve"> this ideological measure and </w:t>
      </w:r>
      <w:proofErr w:type="gramStart"/>
      <w:r w:rsidR="002640D4">
        <w:t>whether or not</w:t>
      </w:r>
      <w:proofErr w:type="gramEnd"/>
      <w:r w:rsidR="002640D4">
        <w:t xml:space="preserve"> a case reflects economic interests, has a significant impact on voting</w:t>
      </w:r>
      <w:r w:rsidR="00DA571E">
        <w:t xml:space="preserve">. </w:t>
      </w:r>
      <w:r>
        <w:t xml:space="preserve">Simply stated, on economic issues socialist </w:t>
      </w:r>
      <w:r w:rsidR="008B4D35">
        <w:t xml:space="preserve">government </w:t>
      </w:r>
      <w:r>
        <w:t>appointees were more likely to cast socialist votes than any other collection of justices.</w:t>
      </w:r>
    </w:p>
    <w:p w14:paraId="35FEC9EF" w14:textId="4C1770B9" w:rsidR="002A7586" w:rsidRDefault="002A7586" w:rsidP="002A7586">
      <w:pPr>
        <w:ind w:firstLine="720"/>
      </w:pPr>
      <w:r>
        <w:t>Building on the logit results we estimated a simple generalized structural equation path model to reflect our current thinking about the judicial decision-making process</w:t>
      </w:r>
      <w:r w:rsidR="00DA571E">
        <w:t xml:space="preserve">. </w:t>
      </w:r>
      <w:r>
        <w:t xml:space="preserve">As depicted in the path model diagram, </w:t>
      </w:r>
      <w:r w:rsidR="00626173">
        <w:t>diversity</w:t>
      </w:r>
      <w:r>
        <w:t>, legislative intent and the appointing government-economic issue interaction term all have the same direct effects reported in the logit analysis</w:t>
      </w:r>
      <w:r w:rsidR="00DA571E">
        <w:t xml:space="preserve">. </w:t>
      </w:r>
      <w:r>
        <w:t xml:space="preserve">However, a </w:t>
      </w:r>
      <w:r>
        <w:lastRenderedPageBreak/>
        <w:t xml:space="preserve">pre- and post-consensus variable exhibits a significant effect upon </w:t>
      </w:r>
      <w:r w:rsidR="00081307">
        <w:t>diversity</w:t>
      </w:r>
      <w:r w:rsidR="00DA571E">
        <w:t xml:space="preserve">. </w:t>
      </w:r>
      <w:r>
        <w:t xml:space="preserve">We suggest that the more youthful cohort tended to contribute to a more </w:t>
      </w:r>
      <w:r w:rsidR="00081307">
        <w:t xml:space="preserve">diverse </w:t>
      </w:r>
      <w:r>
        <w:t xml:space="preserve">Court, and therefore one that had drifted toward a more liberal posture. </w:t>
      </w:r>
    </w:p>
    <w:p w14:paraId="61B28270" w14:textId="19F17DD4" w:rsidR="00FA136D" w:rsidRDefault="002640D4" w:rsidP="008578BD">
      <w:pPr>
        <w:ind w:firstLine="720"/>
      </w:pPr>
      <w:r>
        <w:rPr>
          <w:rFonts w:cs="Times New Roman"/>
          <w:szCs w:val="24"/>
        </w:rPr>
        <w:t xml:space="preserve">While </w:t>
      </w:r>
      <w:r w:rsidRPr="0095367B">
        <w:rPr>
          <w:rFonts w:cs="Times New Roman"/>
          <w:szCs w:val="24"/>
        </w:rPr>
        <w:t xml:space="preserve">the </w:t>
      </w:r>
      <w:proofErr w:type="spellStart"/>
      <w:r w:rsidRPr="0095367B">
        <w:rPr>
          <w:rFonts w:cs="Times New Roman"/>
          <w:szCs w:val="24"/>
        </w:rPr>
        <w:t>Høyesterett</w:t>
      </w:r>
      <w:proofErr w:type="spellEnd"/>
      <w:r w:rsidRPr="0095367B">
        <w:rPr>
          <w:rFonts w:cs="Times New Roman"/>
          <w:szCs w:val="24"/>
        </w:rPr>
        <w:t xml:space="preserve"> </w:t>
      </w:r>
      <w:proofErr w:type="gramStart"/>
      <w:r w:rsidR="005B3031">
        <w:rPr>
          <w:rFonts w:cs="Times New Roman"/>
          <w:szCs w:val="24"/>
        </w:rPr>
        <w:t>is considered to be</w:t>
      </w:r>
      <w:proofErr w:type="gramEnd"/>
      <w:r w:rsidRPr="0095367B">
        <w:rPr>
          <w:rFonts w:cs="Times New Roman"/>
          <w:szCs w:val="24"/>
        </w:rPr>
        <w:t xml:space="preserve"> politically independent, it is not always ideologically neutral</w:t>
      </w:r>
      <w:r>
        <w:rPr>
          <w:rFonts w:cs="Times New Roman"/>
          <w:szCs w:val="24"/>
        </w:rPr>
        <w:t xml:space="preserve">. </w:t>
      </w:r>
      <w:r w:rsidRPr="0095367B">
        <w:rPr>
          <w:rFonts w:cs="Times New Roman"/>
          <w:szCs w:val="24"/>
        </w:rPr>
        <w:t>To the extent that it takes sides on such policy matters, that is the degree to which the Norwegian Supreme Court is a “political organ” (</w:t>
      </w:r>
      <w:proofErr w:type="spellStart"/>
      <w:r w:rsidRPr="0095367B">
        <w:rPr>
          <w:rFonts w:cs="Times New Roman"/>
          <w:szCs w:val="24"/>
        </w:rPr>
        <w:t>Seip</w:t>
      </w:r>
      <w:proofErr w:type="spellEnd"/>
      <w:r w:rsidRPr="0095367B">
        <w:rPr>
          <w:rFonts w:cs="Times New Roman"/>
          <w:szCs w:val="24"/>
        </w:rPr>
        <w:t>, 1968)</w:t>
      </w:r>
      <w:r w:rsidR="00DA571E">
        <w:rPr>
          <w:rFonts w:cs="Times New Roman"/>
          <w:szCs w:val="24"/>
        </w:rPr>
        <w:t xml:space="preserve">. </w:t>
      </w:r>
      <w:r>
        <w:rPr>
          <w:rFonts w:cs="Times New Roman"/>
          <w:szCs w:val="24"/>
        </w:rPr>
        <w:t xml:space="preserve">Many legal scholars do not embrace </w:t>
      </w:r>
      <w:proofErr w:type="spellStart"/>
      <w:r>
        <w:rPr>
          <w:rFonts w:cs="Times New Roman"/>
          <w:szCs w:val="24"/>
        </w:rPr>
        <w:t>Seip’s</w:t>
      </w:r>
      <w:proofErr w:type="spellEnd"/>
      <w:r>
        <w:rPr>
          <w:rFonts w:cs="Times New Roman"/>
          <w:szCs w:val="24"/>
        </w:rPr>
        <w:t xml:space="preserve"> assertion, but at the very least when the Supreme Court seeks to recruit just</w:t>
      </w:r>
      <w:r>
        <w:t xml:space="preserve">ices in a manner that includes a variety of value preferences, then legal reasoning, in this case </w:t>
      </w:r>
      <w:r w:rsidR="005B3031">
        <w:t xml:space="preserve">the </w:t>
      </w:r>
      <w:r>
        <w:t xml:space="preserve">impact legislative intent, will not diminish the prominent role of extra-legal forces, such as diversity and ideology. </w:t>
      </w:r>
      <w:r w:rsidR="005B3031">
        <w:t>For that matter, the decision to embrace legislative intent may certainly smack of ideological proclivities.</w:t>
      </w:r>
    </w:p>
    <w:p w14:paraId="56F0B076" w14:textId="31721B01" w:rsidR="00833B2E" w:rsidRDefault="00833B2E" w:rsidP="002A7586"/>
    <w:p w14:paraId="45C3621C" w14:textId="0192C030" w:rsidR="008C7A71" w:rsidRPr="00E21D2D" w:rsidRDefault="004D0FD9" w:rsidP="00FF73A2">
      <w:pPr>
        <w:jc w:val="center"/>
        <w:rPr>
          <w:rFonts w:cs="Times New Roman"/>
          <w:b/>
          <w:szCs w:val="24"/>
        </w:rPr>
      </w:pPr>
      <w:r>
        <w:rPr>
          <w:rFonts w:cs="Times New Roman"/>
          <w:szCs w:val="24"/>
        </w:rPr>
        <w:br w:type="page"/>
      </w:r>
      <w:r w:rsidR="008C7A71" w:rsidRPr="00E21D2D">
        <w:rPr>
          <w:rFonts w:cs="Times New Roman"/>
          <w:b/>
          <w:szCs w:val="24"/>
        </w:rPr>
        <w:lastRenderedPageBreak/>
        <w:t>Table 1</w:t>
      </w:r>
    </w:p>
    <w:p w14:paraId="7397B2BF" w14:textId="77777777" w:rsidR="008C7A71" w:rsidRPr="00E21D2D" w:rsidRDefault="004B6079" w:rsidP="008C7A71">
      <w:pPr>
        <w:spacing w:line="240" w:lineRule="auto"/>
        <w:jc w:val="center"/>
        <w:rPr>
          <w:rFonts w:cs="Times New Roman"/>
          <w:b/>
          <w:szCs w:val="24"/>
        </w:rPr>
      </w:pPr>
      <w:r w:rsidRPr="00E21D2D">
        <w:rPr>
          <w:rFonts w:cs="Times New Roman"/>
          <w:b/>
          <w:szCs w:val="24"/>
        </w:rPr>
        <w:t xml:space="preserve">19 </w:t>
      </w:r>
      <w:r w:rsidR="008C7A71" w:rsidRPr="00E21D2D">
        <w:rPr>
          <w:rFonts w:cs="Times New Roman"/>
          <w:b/>
          <w:szCs w:val="24"/>
        </w:rPr>
        <w:t>Plenary Decisions and Relevant Law</w:t>
      </w:r>
    </w:p>
    <w:p w14:paraId="1DB13CC7" w14:textId="77777777" w:rsidR="008C7A71" w:rsidRPr="00E21D2D" w:rsidRDefault="008C7A71" w:rsidP="008C7A71">
      <w:pPr>
        <w:spacing w:line="240" w:lineRule="auto"/>
        <w:jc w:val="center"/>
        <w:rPr>
          <w:rFonts w:cs="Times New Roman"/>
          <w:b/>
          <w:szCs w:val="24"/>
        </w:rPr>
      </w:pPr>
      <w:r w:rsidRPr="00E21D2D">
        <w:rPr>
          <w:rFonts w:cs="Times New Roman"/>
          <w:b/>
          <w:szCs w:val="24"/>
        </w:rPr>
        <w:t>Norwegian Supreme Court</w:t>
      </w:r>
    </w:p>
    <w:p w14:paraId="33756DA5" w14:textId="77777777" w:rsidR="008C7A71" w:rsidRPr="00E21D2D" w:rsidRDefault="008C7A71" w:rsidP="008C7A71">
      <w:pPr>
        <w:spacing w:line="240" w:lineRule="auto"/>
        <w:jc w:val="center"/>
        <w:rPr>
          <w:rFonts w:cs="Times New Roman"/>
          <w:b/>
          <w:szCs w:val="24"/>
        </w:rPr>
      </w:pPr>
      <w:r w:rsidRPr="00E21D2D">
        <w:rPr>
          <w:rFonts w:cs="Times New Roman"/>
          <w:b/>
          <w:szCs w:val="24"/>
        </w:rPr>
        <w:t>1976-2013</w:t>
      </w:r>
    </w:p>
    <w:p w14:paraId="3AFC1421" w14:textId="77777777" w:rsidR="008C7A71" w:rsidRDefault="008C7A71" w:rsidP="008C7A71">
      <w:pPr>
        <w:spacing w:line="240" w:lineRule="auto"/>
        <w:rPr>
          <w:rFonts w:cs="Times New Roman"/>
          <w:szCs w:val="24"/>
        </w:rPr>
      </w:pPr>
    </w:p>
    <w:p w14:paraId="739D10E0" w14:textId="77777777" w:rsidR="008C7A71" w:rsidRDefault="008C7A71" w:rsidP="008C7A71">
      <w:pPr>
        <w:spacing w:line="240" w:lineRule="auto"/>
        <w:rPr>
          <w:rFonts w:cs="Times New Roman"/>
          <w:szCs w:val="24"/>
        </w:rPr>
      </w:pPr>
    </w:p>
    <w:p w14:paraId="6B9D47E0" w14:textId="77777777" w:rsidR="008C7A71" w:rsidRDefault="008C7A71" w:rsidP="008C7A71">
      <w:pPr>
        <w:spacing w:line="240" w:lineRule="auto"/>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Legislative</w:t>
      </w:r>
      <w:r>
        <w:rPr>
          <w:rFonts w:cs="Times New Roman"/>
          <w:szCs w:val="24"/>
        </w:rPr>
        <w:tab/>
        <w:t xml:space="preserve"> Court</w:t>
      </w:r>
    </w:p>
    <w:p w14:paraId="0BDB48CD" w14:textId="77777777" w:rsidR="008C7A71" w:rsidRPr="00833877" w:rsidRDefault="008C7A71" w:rsidP="008C7A71">
      <w:pPr>
        <w:spacing w:line="240" w:lineRule="auto"/>
        <w:jc w:val="both"/>
        <w:rPr>
          <w:rFonts w:cs="Times New Roman"/>
          <w:szCs w:val="24"/>
          <w:u w:val="single"/>
        </w:rPr>
      </w:pPr>
      <w:r>
        <w:rPr>
          <w:rFonts w:cs="Times New Roman"/>
          <w:szCs w:val="24"/>
          <w:u w:val="single"/>
        </w:rPr>
        <w:t>Relevant L</w:t>
      </w:r>
      <w:r w:rsidRPr="008731AE">
        <w:rPr>
          <w:rFonts w:cs="Times New Roman"/>
          <w:szCs w:val="24"/>
          <w:u w:val="single"/>
        </w:rPr>
        <w:t>aw</w:t>
      </w:r>
      <w:r w:rsidRPr="008731AE">
        <w:rPr>
          <w:rFonts w:cs="Times New Roman"/>
          <w:szCs w:val="24"/>
          <w:u w:val="single"/>
        </w:rPr>
        <w:tab/>
      </w:r>
      <w:r>
        <w:rPr>
          <w:rFonts w:cs="Times New Roman"/>
          <w:szCs w:val="24"/>
          <w:u w:val="single"/>
        </w:rPr>
        <w:tab/>
      </w:r>
      <w:r w:rsidRPr="008731AE">
        <w:rPr>
          <w:rFonts w:cs="Times New Roman"/>
          <w:szCs w:val="24"/>
          <w:u w:val="single"/>
        </w:rPr>
        <w:tab/>
      </w:r>
      <w:r>
        <w:rPr>
          <w:rFonts w:cs="Times New Roman"/>
          <w:szCs w:val="24"/>
        </w:rPr>
        <w:tab/>
      </w:r>
      <w:r w:rsidRPr="008731AE">
        <w:rPr>
          <w:rFonts w:cs="Times New Roman"/>
          <w:szCs w:val="24"/>
          <w:u w:val="single"/>
        </w:rPr>
        <w:t>Case Number</w:t>
      </w:r>
      <w:r>
        <w:rPr>
          <w:rFonts w:cs="Times New Roman"/>
          <w:szCs w:val="24"/>
        </w:rPr>
        <w:tab/>
      </w:r>
      <w:r>
        <w:rPr>
          <w:rFonts w:cs="Times New Roman"/>
          <w:szCs w:val="24"/>
        </w:rPr>
        <w:tab/>
      </w:r>
      <w:r>
        <w:rPr>
          <w:rFonts w:cs="Times New Roman"/>
          <w:szCs w:val="24"/>
          <w:u w:val="single"/>
        </w:rPr>
        <w:t xml:space="preserve">    I</w:t>
      </w:r>
      <w:r w:rsidRPr="008731AE">
        <w:rPr>
          <w:rFonts w:cs="Times New Roman"/>
          <w:szCs w:val="24"/>
          <w:u w:val="single"/>
        </w:rPr>
        <w:t>ntent</w:t>
      </w:r>
      <w:r>
        <w:rPr>
          <w:rFonts w:cs="Times New Roman"/>
          <w:szCs w:val="24"/>
          <w:u w:val="single"/>
        </w:rPr>
        <w:t xml:space="preserve">   </w:t>
      </w:r>
      <w:r>
        <w:rPr>
          <w:rFonts w:cs="Times New Roman"/>
          <w:szCs w:val="24"/>
        </w:rPr>
        <w:tab/>
      </w:r>
      <w:r w:rsidRPr="008731AE">
        <w:rPr>
          <w:rFonts w:cs="Times New Roman"/>
          <w:szCs w:val="24"/>
          <w:u w:val="single"/>
        </w:rPr>
        <w:t>Position</w:t>
      </w:r>
      <w:r>
        <w:rPr>
          <w:rFonts w:cs="Times New Roman"/>
          <w:szCs w:val="24"/>
        </w:rPr>
        <w:t xml:space="preserve"> </w:t>
      </w:r>
      <w:r>
        <w:rPr>
          <w:rFonts w:cs="Times New Roman"/>
          <w:szCs w:val="24"/>
        </w:rPr>
        <w:tab/>
      </w:r>
      <w:r>
        <w:rPr>
          <w:rFonts w:cs="Times New Roman"/>
          <w:szCs w:val="24"/>
          <w:u w:val="single"/>
        </w:rPr>
        <w:t>Vote*</w:t>
      </w:r>
    </w:p>
    <w:p w14:paraId="76848DA7" w14:textId="77777777" w:rsidR="008C7A71" w:rsidRPr="00B700EA" w:rsidRDefault="008C7A71" w:rsidP="008C7A71">
      <w:pPr>
        <w:spacing w:line="240" w:lineRule="auto"/>
        <w:rPr>
          <w:rFonts w:cs="Times New Roman"/>
          <w:szCs w:val="24"/>
        </w:rPr>
      </w:pPr>
    </w:p>
    <w:p w14:paraId="563B2DD0" w14:textId="77777777" w:rsidR="008C7A71" w:rsidRPr="00B700EA" w:rsidRDefault="008C7A71" w:rsidP="008C7A71">
      <w:pPr>
        <w:spacing w:line="240" w:lineRule="auto"/>
        <w:rPr>
          <w:rFonts w:cs="Times New Roman"/>
          <w:szCs w:val="24"/>
        </w:rPr>
      </w:pPr>
      <w:r w:rsidRPr="00B700EA">
        <w:rPr>
          <w:rFonts w:cs="Times New Roman"/>
          <w:szCs w:val="24"/>
        </w:rPr>
        <w:t>Quota Rule</w:t>
      </w:r>
      <w:r w:rsidRPr="00B700EA">
        <w:rPr>
          <w:rFonts w:cs="Times New Roman"/>
          <w:szCs w:val="24"/>
        </w:rPr>
        <w:tab/>
      </w:r>
      <w:r w:rsidRPr="00B700EA">
        <w:rPr>
          <w:rFonts w:cs="Times New Roman"/>
          <w:szCs w:val="24"/>
        </w:rPr>
        <w:tab/>
      </w:r>
      <w:r w:rsidRPr="00B700EA">
        <w:rPr>
          <w:rFonts w:cs="Times New Roman"/>
          <w:szCs w:val="24"/>
        </w:rPr>
        <w:tab/>
      </w:r>
      <w:r w:rsidRPr="00B700EA">
        <w:rPr>
          <w:rFonts w:cs="Times New Roman"/>
          <w:szCs w:val="24"/>
        </w:rPr>
        <w:tab/>
        <w:t>Rt-2013-1345</w:t>
      </w:r>
      <w:r w:rsidRPr="00B700EA">
        <w:rPr>
          <w:rFonts w:cs="Times New Roman"/>
          <w:szCs w:val="24"/>
        </w:rPr>
        <w:tab/>
      </w:r>
      <w:r w:rsidRPr="00B700EA">
        <w:rPr>
          <w:rFonts w:cs="Times New Roman"/>
          <w:szCs w:val="24"/>
        </w:rPr>
        <w:tab/>
        <w:t>Socialist</w:t>
      </w:r>
      <w:r w:rsidRPr="00B700EA">
        <w:rPr>
          <w:rFonts w:cs="Times New Roman"/>
          <w:szCs w:val="24"/>
        </w:rPr>
        <w:tab/>
      </w:r>
      <w:proofErr w:type="spellStart"/>
      <w:r w:rsidRPr="00B700EA">
        <w:rPr>
          <w:rFonts w:cs="Times New Roman"/>
          <w:szCs w:val="24"/>
        </w:rPr>
        <w:t>Socialist</w:t>
      </w:r>
      <w:proofErr w:type="spellEnd"/>
      <w:r w:rsidRPr="00B700EA">
        <w:rPr>
          <w:rFonts w:cs="Times New Roman"/>
          <w:szCs w:val="24"/>
        </w:rPr>
        <w:tab/>
        <w:t xml:space="preserve">   9-8</w:t>
      </w:r>
    </w:p>
    <w:p w14:paraId="37595F00" w14:textId="77777777" w:rsidR="008C7A71" w:rsidRPr="00B700EA" w:rsidRDefault="008C7A71" w:rsidP="008C7A71">
      <w:pPr>
        <w:spacing w:line="240" w:lineRule="auto"/>
        <w:rPr>
          <w:rFonts w:cs="Times New Roman"/>
          <w:szCs w:val="24"/>
        </w:rPr>
      </w:pPr>
      <w:r w:rsidRPr="00B700EA">
        <w:rPr>
          <w:rFonts w:cs="Times New Roman"/>
          <w:szCs w:val="24"/>
        </w:rPr>
        <w:t>Property Lease</w:t>
      </w:r>
      <w:r w:rsidRPr="00B700EA">
        <w:rPr>
          <w:rFonts w:cs="Times New Roman"/>
          <w:szCs w:val="24"/>
        </w:rPr>
        <w:tab/>
      </w:r>
      <w:r w:rsidRPr="00B700EA">
        <w:rPr>
          <w:rFonts w:cs="Times New Roman"/>
          <w:szCs w:val="24"/>
        </w:rPr>
        <w:tab/>
      </w:r>
      <w:r w:rsidRPr="00B700EA">
        <w:rPr>
          <w:rFonts w:cs="Times New Roman"/>
          <w:szCs w:val="24"/>
        </w:rPr>
        <w:tab/>
        <w:t>Rt-2010-535</w:t>
      </w:r>
      <w:r w:rsidRPr="00B700EA">
        <w:rPr>
          <w:rFonts w:cs="Times New Roman"/>
          <w:szCs w:val="24"/>
        </w:rPr>
        <w:tab/>
      </w:r>
      <w:r w:rsidRPr="00B700EA">
        <w:rPr>
          <w:rFonts w:cs="Times New Roman"/>
          <w:szCs w:val="24"/>
        </w:rPr>
        <w:tab/>
        <w:t>Socialist</w:t>
      </w:r>
      <w:r w:rsidRPr="00B700EA">
        <w:rPr>
          <w:rFonts w:cs="Times New Roman"/>
          <w:szCs w:val="24"/>
        </w:rPr>
        <w:tab/>
        <w:t>Non-</w:t>
      </w:r>
      <w:proofErr w:type="spellStart"/>
      <w:r w:rsidRPr="00B700EA">
        <w:rPr>
          <w:rFonts w:cs="Times New Roman"/>
          <w:szCs w:val="24"/>
        </w:rPr>
        <w:t>Soc</w:t>
      </w:r>
      <w:proofErr w:type="spellEnd"/>
      <w:r w:rsidRPr="00B700EA">
        <w:rPr>
          <w:rFonts w:cs="Times New Roman"/>
          <w:szCs w:val="24"/>
        </w:rPr>
        <w:tab/>
        <w:t xml:space="preserve">    4-9</w:t>
      </w:r>
    </w:p>
    <w:p w14:paraId="7A9E660D" w14:textId="77777777" w:rsidR="008C7A71" w:rsidRPr="00B700EA" w:rsidRDefault="008C7A71" w:rsidP="008C7A71">
      <w:pPr>
        <w:spacing w:line="240" w:lineRule="auto"/>
        <w:rPr>
          <w:rFonts w:cs="Times New Roman"/>
          <w:szCs w:val="24"/>
        </w:rPr>
      </w:pPr>
      <w:r w:rsidRPr="00B700EA">
        <w:rPr>
          <w:rFonts w:cs="Times New Roman"/>
          <w:szCs w:val="24"/>
        </w:rPr>
        <w:t>Tax Law Rules</w:t>
      </w:r>
      <w:r w:rsidRPr="00B700EA">
        <w:rPr>
          <w:rFonts w:cs="Times New Roman"/>
          <w:szCs w:val="24"/>
        </w:rPr>
        <w:tab/>
      </w:r>
      <w:r w:rsidRPr="00B700EA">
        <w:rPr>
          <w:rFonts w:cs="Times New Roman"/>
          <w:szCs w:val="24"/>
        </w:rPr>
        <w:tab/>
      </w:r>
      <w:r w:rsidRPr="00B700EA">
        <w:rPr>
          <w:rFonts w:cs="Times New Roman"/>
          <w:szCs w:val="24"/>
        </w:rPr>
        <w:tab/>
        <w:t>Rt-2010-143</w:t>
      </w:r>
      <w:r w:rsidRPr="00B700EA">
        <w:rPr>
          <w:rFonts w:cs="Times New Roman"/>
          <w:szCs w:val="24"/>
        </w:rPr>
        <w:tab/>
      </w:r>
      <w:r w:rsidRPr="00B700EA">
        <w:rPr>
          <w:rFonts w:cs="Times New Roman"/>
          <w:szCs w:val="24"/>
        </w:rPr>
        <w:tab/>
        <w:t>Socialist</w:t>
      </w:r>
      <w:r w:rsidRPr="00B700EA">
        <w:rPr>
          <w:rFonts w:cs="Times New Roman"/>
          <w:szCs w:val="24"/>
        </w:rPr>
        <w:tab/>
        <w:t>Non-</w:t>
      </w:r>
      <w:proofErr w:type="spellStart"/>
      <w:r w:rsidRPr="00B700EA">
        <w:rPr>
          <w:rFonts w:cs="Times New Roman"/>
          <w:szCs w:val="24"/>
        </w:rPr>
        <w:t>Soc</w:t>
      </w:r>
      <w:proofErr w:type="spellEnd"/>
      <w:r w:rsidRPr="00B700EA">
        <w:rPr>
          <w:rFonts w:cs="Times New Roman"/>
          <w:szCs w:val="24"/>
        </w:rPr>
        <w:tab/>
        <w:t xml:space="preserve">    5-6</w:t>
      </w:r>
    </w:p>
    <w:p w14:paraId="29BE05DF" w14:textId="77777777" w:rsidR="008C7A71" w:rsidRPr="00B700EA" w:rsidRDefault="008C7A71" w:rsidP="008C7A71">
      <w:pPr>
        <w:spacing w:line="240" w:lineRule="auto"/>
        <w:rPr>
          <w:rFonts w:cs="Times New Roman"/>
          <w:szCs w:val="24"/>
        </w:rPr>
      </w:pPr>
      <w:r w:rsidRPr="00B700EA">
        <w:rPr>
          <w:rFonts w:cs="Times New Roman"/>
          <w:szCs w:val="24"/>
        </w:rPr>
        <w:t>Property Lease Law</w:t>
      </w:r>
      <w:r w:rsidRPr="00B700EA">
        <w:rPr>
          <w:rFonts w:cs="Times New Roman"/>
          <w:szCs w:val="24"/>
        </w:rPr>
        <w:tab/>
      </w:r>
      <w:r w:rsidRPr="00B700EA">
        <w:rPr>
          <w:rFonts w:cs="Times New Roman"/>
          <w:szCs w:val="24"/>
        </w:rPr>
        <w:tab/>
      </w:r>
      <w:r w:rsidRPr="00B700EA">
        <w:rPr>
          <w:rFonts w:cs="Times New Roman"/>
          <w:szCs w:val="24"/>
        </w:rPr>
        <w:tab/>
        <w:t>Rt-2007-1308</w:t>
      </w:r>
      <w:r w:rsidRPr="00B700EA">
        <w:rPr>
          <w:rFonts w:cs="Times New Roman"/>
          <w:szCs w:val="24"/>
        </w:rPr>
        <w:tab/>
      </w:r>
      <w:r w:rsidRPr="00B700EA">
        <w:rPr>
          <w:rFonts w:cs="Times New Roman"/>
          <w:szCs w:val="24"/>
        </w:rPr>
        <w:tab/>
        <w:t>Socialist</w:t>
      </w:r>
      <w:r w:rsidRPr="00B700EA">
        <w:rPr>
          <w:rFonts w:cs="Times New Roman"/>
          <w:szCs w:val="24"/>
        </w:rPr>
        <w:tab/>
        <w:t>Non-</w:t>
      </w:r>
      <w:proofErr w:type="spellStart"/>
      <w:r w:rsidRPr="00B700EA">
        <w:rPr>
          <w:rFonts w:cs="Times New Roman"/>
          <w:szCs w:val="24"/>
        </w:rPr>
        <w:t>Soc</w:t>
      </w:r>
      <w:proofErr w:type="spellEnd"/>
      <w:r w:rsidRPr="00B700EA">
        <w:rPr>
          <w:rFonts w:cs="Times New Roman"/>
          <w:szCs w:val="24"/>
        </w:rPr>
        <w:tab/>
        <w:t xml:space="preserve">    1-6</w:t>
      </w:r>
    </w:p>
    <w:p w14:paraId="79F40D4E" w14:textId="77777777" w:rsidR="008C7A71" w:rsidRPr="00B700EA" w:rsidRDefault="008C7A71" w:rsidP="008C7A71">
      <w:pPr>
        <w:spacing w:line="240" w:lineRule="auto"/>
        <w:rPr>
          <w:rFonts w:cs="Times New Roman"/>
          <w:szCs w:val="24"/>
        </w:rPr>
      </w:pPr>
      <w:r w:rsidRPr="00B700EA">
        <w:rPr>
          <w:rFonts w:cs="Times New Roman"/>
          <w:szCs w:val="24"/>
        </w:rPr>
        <w:t>Property Lease Law</w:t>
      </w:r>
      <w:r w:rsidRPr="00B700EA">
        <w:rPr>
          <w:rFonts w:cs="Times New Roman"/>
          <w:szCs w:val="24"/>
        </w:rPr>
        <w:tab/>
      </w:r>
      <w:r w:rsidRPr="00B700EA">
        <w:rPr>
          <w:rFonts w:cs="Times New Roman"/>
          <w:szCs w:val="24"/>
        </w:rPr>
        <w:tab/>
      </w:r>
      <w:r w:rsidRPr="00B700EA">
        <w:rPr>
          <w:rFonts w:cs="Times New Roman"/>
          <w:szCs w:val="24"/>
        </w:rPr>
        <w:tab/>
        <w:t>Rt-2007-1281</w:t>
      </w:r>
      <w:r w:rsidRPr="00B700EA">
        <w:rPr>
          <w:rFonts w:cs="Times New Roman"/>
          <w:szCs w:val="24"/>
        </w:rPr>
        <w:tab/>
      </w:r>
      <w:r w:rsidRPr="00B700EA">
        <w:rPr>
          <w:rFonts w:cs="Times New Roman"/>
          <w:szCs w:val="24"/>
        </w:rPr>
        <w:tab/>
        <w:t>Socialist</w:t>
      </w:r>
      <w:r w:rsidRPr="00B700EA">
        <w:rPr>
          <w:rFonts w:cs="Times New Roman"/>
          <w:szCs w:val="24"/>
        </w:rPr>
        <w:tab/>
      </w:r>
      <w:proofErr w:type="spellStart"/>
      <w:r w:rsidRPr="00B700EA">
        <w:rPr>
          <w:rFonts w:cs="Times New Roman"/>
          <w:szCs w:val="24"/>
        </w:rPr>
        <w:t>Socialist</w:t>
      </w:r>
      <w:proofErr w:type="spellEnd"/>
      <w:r w:rsidRPr="00B700EA">
        <w:rPr>
          <w:rFonts w:cs="Times New Roman"/>
          <w:szCs w:val="24"/>
        </w:rPr>
        <w:tab/>
        <w:t xml:space="preserve">    7-0</w:t>
      </w:r>
    </w:p>
    <w:p w14:paraId="22AF6C9D" w14:textId="77777777" w:rsidR="008C7A71" w:rsidRPr="00B700EA" w:rsidRDefault="008C7A71" w:rsidP="008C7A71">
      <w:pPr>
        <w:spacing w:line="240" w:lineRule="auto"/>
        <w:rPr>
          <w:rFonts w:cs="Times New Roman"/>
          <w:szCs w:val="24"/>
        </w:rPr>
      </w:pPr>
      <w:r w:rsidRPr="00B700EA">
        <w:rPr>
          <w:rFonts w:cs="Times New Roman"/>
          <w:szCs w:val="24"/>
        </w:rPr>
        <w:t>Tax and Fee Law</w:t>
      </w:r>
      <w:r w:rsidRPr="00B700EA">
        <w:rPr>
          <w:rFonts w:cs="Times New Roman"/>
          <w:szCs w:val="24"/>
        </w:rPr>
        <w:tab/>
      </w:r>
      <w:r w:rsidRPr="00B700EA">
        <w:rPr>
          <w:rFonts w:cs="Times New Roman"/>
          <w:szCs w:val="24"/>
        </w:rPr>
        <w:tab/>
      </w:r>
      <w:r w:rsidRPr="00B700EA">
        <w:rPr>
          <w:rFonts w:cs="Times New Roman"/>
          <w:szCs w:val="24"/>
        </w:rPr>
        <w:tab/>
        <w:t>Rt-2006-293</w:t>
      </w:r>
      <w:r w:rsidRPr="00B700EA">
        <w:rPr>
          <w:rFonts w:cs="Times New Roman"/>
          <w:szCs w:val="24"/>
        </w:rPr>
        <w:tab/>
      </w:r>
      <w:r w:rsidRPr="00B700EA">
        <w:rPr>
          <w:rFonts w:cs="Times New Roman"/>
          <w:szCs w:val="24"/>
        </w:rPr>
        <w:tab/>
        <w:t>Non-</w:t>
      </w:r>
      <w:proofErr w:type="spellStart"/>
      <w:r w:rsidRPr="00B700EA">
        <w:rPr>
          <w:rFonts w:cs="Times New Roman"/>
          <w:szCs w:val="24"/>
        </w:rPr>
        <w:t>Soc</w:t>
      </w:r>
      <w:proofErr w:type="spellEnd"/>
      <w:r w:rsidRPr="00B700EA">
        <w:rPr>
          <w:rFonts w:cs="Times New Roman"/>
          <w:szCs w:val="24"/>
        </w:rPr>
        <w:tab/>
        <w:t>Socialist</w:t>
      </w:r>
      <w:r w:rsidRPr="00B700EA">
        <w:rPr>
          <w:rFonts w:cs="Times New Roman"/>
          <w:szCs w:val="24"/>
        </w:rPr>
        <w:tab/>
        <w:t xml:space="preserve">   11-4</w:t>
      </w:r>
    </w:p>
    <w:p w14:paraId="3EE67F81" w14:textId="77777777" w:rsidR="008C7A71" w:rsidRPr="00B700EA" w:rsidRDefault="008C7A71" w:rsidP="008C7A71">
      <w:pPr>
        <w:spacing w:line="240" w:lineRule="auto"/>
        <w:rPr>
          <w:rFonts w:cs="Times New Roman"/>
          <w:szCs w:val="24"/>
        </w:rPr>
      </w:pPr>
      <w:r w:rsidRPr="00B700EA">
        <w:rPr>
          <w:rFonts w:cs="Times New Roman"/>
          <w:szCs w:val="24"/>
        </w:rPr>
        <w:t>Sentencing Law</w:t>
      </w:r>
      <w:r w:rsidRPr="00B700EA">
        <w:rPr>
          <w:rFonts w:cs="Times New Roman"/>
          <w:szCs w:val="24"/>
        </w:rPr>
        <w:tab/>
      </w:r>
      <w:r w:rsidRPr="00B700EA">
        <w:rPr>
          <w:rFonts w:cs="Times New Roman"/>
          <w:szCs w:val="24"/>
        </w:rPr>
        <w:tab/>
      </w:r>
      <w:r w:rsidRPr="00B700EA">
        <w:rPr>
          <w:rFonts w:cs="Times New Roman"/>
          <w:szCs w:val="24"/>
        </w:rPr>
        <w:tab/>
        <w:t>Rt-2002-1618</w:t>
      </w:r>
      <w:r w:rsidRPr="00B700EA">
        <w:rPr>
          <w:rFonts w:cs="Times New Roman"/>
          <w:szCs w:val="24"/>
        </w:rPr>
        <w:tab/>
      </w:r>
      <w:r w:rsidRPr="00B700EA">
        <w:rPr>
          <w:rFonts w:cs="Times New Roman"/>
          <w:szCs w:val="24"/>
        </w:rPr>
        <w:tab/>
        <w:t>Socialist</w:t>
      </w:r>
      <w:r w:rsidRPr="00B700EA">
        <w:rPr>
          <w:rFonts w:cs="Times New Roman"/>
          <w:szCs w:val="24"/>
        </w:rPr>
        <w:tab/>
        <w:t>Non-</w:t>
      </w:r>
      <w:proofErr w:type="spellStart"/>
      <w:r w:rsidRPr="00B700EA">
        <w:rPr>
          <w:rFonts w:cs="Times New Roman"/>
          <w:szCs w:val="24"/>
        </w:rPr>
        <w:t>Soc</w:t>
      </w:r>
      <w:proofErr w:type="spellEnd"/>
      <w:r w:rsidRPr="00B700EA">
        <w:rPr>
          <w:rFonts w:cs="Times New Roman"/>
          <w:szCs w:val="24"/>
        </w:rPr>
        <w:tab/>
        <w:t xml:space="preserve">    6-11</w:t>
      </w:r>
    </w:p>
    <w:p w14:paraId="2BB641BF" w14:textId="77777777" w:rsidR="008C7A71" w:rsidRPr="00B700EA" w:rsidRDefault="008C7A71" w:rsidP="008C7A71">
      <w:pPr>
        <w:spacing w:line="240" w:lineRule="auto"/>
        <w:rPr>
          <w:rFonts w:cs="Times New Roman"/>
          <w:szCs w:val="24"/>
        </w:rPr>
      </w:pPr>
      <w:r w:rsidRPr="00B700EA">
        <w:rPr>
          <w:rFonts w:cs="Times New Roman"/>
          <w:szCs w:val="24"/>
        </w:rPr>
        <w:t>Social Insurance Law</w:t>
      </w:r>
      <w:r w:rsidRPr="00B700EA">
        <w:rPr>
          <w:rFonts w:cs="Times New Roman"/>
          <w:szCs w:val="24"/>
        </w:rPr>
        <w:tab/>
      </w:r>
      <w:r w:rsidRPr="00B700EA">
        <w:rPr>
          <w:rFonts w:cs="Times New Roman"/>
          <w:szCs w:val="24"/>
        </w:rPr>
        <w:tab/>
      </w:r>
      <w:r w:rsidRPr="00B700EA">
        <w:rPr>
          <w:rFonts w:cs="Times New Roman"/>
          <w:szCs w:val="24"/>
        </w:rPr>
        <w:tab/>
        <w:t>Rt-1996-1415</w:t>
      </w:r>
      <w:r w:rsidRPr="00B700EA">
        <w:rPr>
          <w:rFonts w:cs="Times New Roman"/>
          <w:szCs w:val="24"/>
        </w:rPr>
        <w:tab/>
      </w:r>
      <w:r w:rsidRPr="00B700EA">
        <w:rPr>
          <w:rFonts w:cs="Times New Roman"/>
          <w:szCs w:val="24"/>
        </w:rPr>
        <w:tab/>
        <w:t>Non-</w:t>
      </w:r>
      <w:proofErr w:type="spellStart"/>
      <w:r w:rsidRPr="00B700EA">
        <w:rPr>
          <w:rFonts w:cs="Times New Roman"/>
          <w:szCs w:val="24"/>
        </w:rPr>
        <w:t>Soc</w:t>
      </w:r>
      <w:proofErr w:type="spellEnd"/>
      <w:r w:rsidRPr="00B700EA">
        <w:rPr>
          <w:rFonts w:cs="Times New Roman"/>
          <w:szCs w:val="24"/>
        </w:rPr>
        <w:tab/>
        <w:t>Non-</w:t>
      </w:r>
      <w:proofErr w:type="spellStart"/>
      <w:r w:rsidRPr="00B700EA">
        <w:rPr>
          <w:rFonts w:cs="Times New Roman"/>
          <w:szCs w:val="24"/>
        </w:rPr>
        <w:t>Soc</w:t>
      </w:r>
      <w:proofErr w:type="spellEnd"/>
      <w:r w:rsidRPr="00B700EA">
        <w:rPr>
          <w:rFonts w:cs="Times New Roman"/>
          <w:szCs w:val="24"/>
        </w:rPr>
        <w:tab/>
        <w:t xml:space="preserve">    0-17</w:t>
      </w:r>
    </w:p>
    <w:p w14:paraId="0A04F39D" w14:textId="77777777" w:rsidR="008C7A71" w:rsidRPr="00B700EA" w:rsidRDefault="008C7A71" w:rsidP="008C7A71">
      <w:pPr>
        <w:spacing w:line="240" w:lineRule="auto"/>
        <w:rPr>
          <w:rFonts w:cs="Times New Roman"/>
          <w:szCs w:val="24"/>
        </w:rPr>
      </w:pPr>
      <w:r w:rsidRPr="00B700EA">
        <w:rPr>
          <w:rFonts w:cs="Times New Roman"/>
          <w:szCs w:val="24"/>
        </w:rPr>
        <w:t>Social Insurance Law</w:t>
      </w:r>
      <w:r w:rsidRPr="00B700EA">
        <w:rPr>
          <w:rFonts w:cs="Times New Roman"/>
          <w:szCs w:val="24"/>
        </w:rPr>
        <w:tab/>
        <w:t>**</w:t>
      </w:r>
      <w:r w:rsidRPr="00B700EA">
        <w:rPr>
          <w:rFonts w:cs="Times New Roman"/>
          <w:szCs w:val="24"/>
        </w:rPr>
        <w:tab/>
      </w:r>
      <w:r w:rsidRPr="00B700EA">
        <w:rPr>
          <w:rFonts w:cs="Times New Roman"/>
          <w:szCs w:val="24"/>
        </w:rPr>
        <w:tab/>
        <w:t>Rt-1996-1440</w:t>
      </w:r>
      <w:r w:rsidRPr="00B700EA">
        <w:rPr>
          <w:rFonts w:cs="Times New Roman"/>
          <w:szCs w:val="24"/>
        </w:rPr>
        <w:tab/>
      </w:r>
      <w:r w:rsidRPr="00B700EA">
        <w:rPr>
          <w:rFonts w:cs="Times New Roman"/>
          <w:szCs w:val="24"/>
        </w:rPr>
        <w:tab/>
        <w:t>Non-</w:t>
      </w:r>
      <w:proofErr w:type="spellStart"/>
      <w:r w:rsidRPr="00B700EA">
        <w:rPr>
          <w:rFonts w:cs="Times New Roman"/>
          <w:szCs w:val="24"/>
        </w:rPr>
        <w:t>Soc</w:t>
      </w:r>
      <w:proofErr w:type="spellEnd"/>
      <w:r w:rsidRPr="00B700EA">
        <w:rPr>
          <w:rFonts w:cs="Times New Roman"/>
          <w:szCs w:val="24"/>
        </w:rPr>
        <w:tab/>
        <w:t>Non-</w:t>
      </w:r>
      <w:proofErr w:type="spellStart"/>
      <w:r w:rsidRPr="00B700EA">
        <w:rPr>
          <w:rFonts w:cs="Times New Roman"/>
          <w:szCs w:val="24"/>
        </w:rPr>
        <w:t>Soc</w:t>
      </w:r>
      <w:proofErr w:type="spellEnd"/>
      <w:r w:rsidRPr="00B700EA">
        <w:rPr>
          <w:rFonts w:cs="Times New Roman"/>
          <w:szCs w:val="24"/>
        </w:rPr>
        <w:tab/>
        <w:t xml:space="preserve">   1-1</w:t>
      </w:r>
      <w:r w:rsidR="001E11BB">
        <w:rPr>
          <w:rFonts w:cs="Times New Roman"/>
          <w:szCs w:val="24"/>
        </w:rPr>
        <w:t>6</w:t>
      </w:r>
    </w:p>
    <w:p w14:paraId="7B027C7D" w14:textId="77777777" w:rsidR="008C7A71" w:rsidRPr="00B700EA" w:rsidRDefault="008C7A71" w:rsidP="008C7A71">
      <w:pPr>
        <w:spacing w:line="240" w:lineRule="auto"/>
        <w:rPr>
          <w:rFonts w:cs="Times New Roman"/>
          <w:szCs w:val="24"/>
        </w:rPr>
      </w:pPr>
      <w:r w:rsidRPr="00B700EA">
        <w:rPr>
          <w:rFonts w:cs="Times New Roman"/>
          <w:szCs w:val="24"/>
        </w:rPr>
        <w:t>Expropriation Compensation</w:t>
      </w:r>
      <w:r w:rsidRPr="00B700EA">
        <w:rPr>
          <w:rFonts w:cs="Times New Roman"/>
          <w:szCs w:val="24"/>
        </w:rPr>
        <w:tab/>
      </w:r>
      <w:r w:rsidRPr="00B700EA">
        <w:rPr>
          <w:rFonts w:cs="Times New Roman"/>
          <w:szCs w:val="24"/>
        </w:rPr>
        <w:tab/>
        <w:t>Rt-1996-547</w:t>
      </w:r>
      <w:r w:rsidRPr="00B700EA">
        <w:rPr>
          <w:rFonts w:cs="Times New Roman"/>
          <w:szCs w:val="24"/>
        </w:rPr>
        <w:tab/>
      </w:r>
      <w:r w:rsidRPr="00B700EA">
        <w:rPr>
          <w:rFonts w:cs="Times New Roman"/>
          <w:szCs w:val="24"/>
        </w:rPr>
        <w:tab/>
        <w:t>Non-</w:t>
      </w:r>
      <w:proofErr w:type="spellStart"/>
      <w:r w:rsidRPr="00B700EA">
        <w:rPr>
          <w:rFonts w:cs="Times New Roman"/>
          <w:szCs w:val="24"/>
        </w:rPr>
        <w:t>Soc</w:t>
      </w:r>
      <w:proofErr w:type="spellEnd"/>
      <w:r w:rsidRPr="00B700EA">
        <w:rPr>
          <w:rFonts w:cs="Times New Roman"/>
          <w:szCs w:val="24"/>
        </w:rPr>
        <w:tab/>
        <w:t>Socialist</w:t>
      </w:r>
      <w:r w:rsidRPr="00B700EA">
        <w:rPr>
          <w:rFonts w:cs="Times New Roman"/>
          <w:szCs w:val="24"/>
        </w:rPr>
        <w:tab/>
        <w:t xml:space="preserve">   16-0</w:t>
      </w:r>
    </w:p>
    <w:p w14:paraId="296EB8EE" w14:textId="77777777" w:rsidR="008C7A71" w:rsidRPr="00B700EA" w:rsidRDefault="008C7A71" w:rsidP="008C7A71">
      <w:pPr>
        <w:spacing w:line="240" w:lineRule="auto"/>
        <w:rPr>
          <w:rFonts w:cs="Times New Roman"/>
          <w:szCs w:val="24"/>
        </w:rPr>
      </w:pPr>
      <w:r w:rsidRPr="00B700EA">
        <w:rPr>
          <w:rFonts w:cs="Times New Roman"/>
          <w:szCs w:val="24"/>
        </w:rPr>
        <w:t>Expropriation Compensation</w:t>
      </w:r>
      <w:r w:rsidRPr="00B700EA">
        <w:rPr>
          <w:rFonts w:cs="Times New Roman"/>
          <w:szCs w:val="24"/>
        </w:rPr>
        <w:tab/>
      </w:r>
      <w:r w:rsidRPr="00B700EA">
        <w:rPr>
          <w:rFonts w:cs="Times New Roman"/>
          <w:szCs w:val="24"/>
        </w:rPr>
        <w:tab/>
        <w:t>Rt-1996-521</w:t>
      </w:r>
      <w:r w:rsidRPr="00B700EA">
        <w:rPr>
          <w:rFonts w:cs="Times New Roman"/>
          <w:szCs w:val="24"/>
        </w:rPr>
        <w:tab/>
      </w:r>
      <w:r w:rsidRPr="00B700EA">
        <w:rPr>
          <w:rFonts w:cs="Times New Roman"/>
          <w:szCs w:val="24"/>
        </w:rPr>
        <w:tab/>
        <w:t>Non-</w:t>
      </w:r>
      <w:proofErr w:type="spellStart"/>
      <w:r w:rsidRPr="00B700EA">
        <w:rPr>
          <w:rFonts w:cs="Times New Roman"/>
          <w:szCs w:val="24"/>
        </w:rPr>
        <w:t>Soc</w:t>
      </w:r>
      <w:proofErr w:type="spellEnd"/>
      <w:r w:rsidRPr="00B700EA">
        <w:rPr>
          <w:rFonts w:cs="Times New Roman"/>
          <w:szCs w:val="24"/>
        </w:rPr>
        <w:tab/>
        <w:t>Socialist</w:t>
      </w:r>
      <w:r w:rsidRPr="00B700EA">
        <w:rPr>
          <w:rFonts w:cs="Times New Roman"/>
          <w:szCs w:val="24"/>
        </w:rPr>
        <w:tab/>
        <w:t xml:space="preserve">   15-0</w:t>
      </w:r>
    </w:p>
    <w:p w14:paraId="17B93D22" w14:textId="77777777" w:rsidR="008C7A71" w:rsidRPr="00B700EA" w:rsidRDefault="008C7A71" w:rsidP="008C7A71">
      <w:pPr>
        <w:spacing w:line="240" w:lineRule="auto"/>
        <w:rPr>
          <w:rFonts w:cs="Times New Roman"/>
          <w:szCs w:val="24"/>
        </w:rPr>
      </w:pPr>
      <w:r w:rsidRPr="00B700EA">
        <w:rPr>
          <w:rFonts w:cs="Times New Roman"/>
          <w:szCs w:val="24"/>
        </w:rPr>
        <w:t>Agreement Law</w:t>
      </w:r>
      <w:r w:rsidRPr="00B700EA">
        <w:rPr>
          <w:rFonts w:cs="Times New Roman"/>
          <w:szCs w:val="24"/>
        </w:rPr>
        <w:tab/>
      </w:r>
      <w:r w:rsidRPr="00B700EA">
        <w:rPr>
          <w:rFonts w:cs="Times New Roman"/>
          <w:szCs w:val="24"/>
        </w:rPr>
        <w:tab/>
      </w:r>
      <w:r w:rsidRPr="00B700EA">
        <w:rPr>
          <w:rFonts w:cs="Times New Roman"/>
          <w:szCs w:val="24"/>
        </w:rPr>
        <w:tab/>
        <w:t>Rt-1990-284</w:t>
      </w:r>
      <w:r w:rsidRPr="00B700EA">
        <w:rPr>
          <w:rFonts w:cs="Times New Roman"/>
          <w:szCs w:val="24"/>
        </w:rPr>
        <w:tab/>
      </w:r>
      <w:r w:rsidRPr="00B700EA">
        <w:rPr>
          <w:rFonts w:cs="Times New Roman"/>
          <w:szCs w:val="24"/>
        </w:rPr>
        <w:tab/>
        <w:t>Socialist</w:t>
      </w:r>
      <w:r w:rsidRPr="00B700EA">
        <w:rPr>
          <w:rFonts w:cs="Times New Roman"/>
          <w:szCs w:val="24"/>
        </w:rPr>
        <w:tab/>
      </w:r>
      <w:proofErr w:type="spellStart"/>
      <w:r w:rsidRPr="00B700EA">
        <w:rPr>
          <w:rFonts w:cs="Times New Roman"/>
          <w:szCs w:val="24"/>
        </w:rPr>
        <w:t>Socialist</w:t>
      </w:r>
      <w:proofErr w:type="spellEnd"/>
      <w:r w:rsidRPr="00B700EA">
        <w:rPr>
          <w:rFonts w:cs="Times New Roman"/>
          <w:szCs w:val="24"/>
        </w:rPr>
        <w:tab/>
        <w:t xml:space="preserve">   17-0</w:t>
      </w:r>
    </w:p>
    <w:p w14:paraId="386AFD72" w14:textId="77777777" w:rsidR="008C7A71" w:rsidRPr="00B700EA" w:rsidRDefault="008C7A71" w:rsidP="008C7A71">
      <w:pPr>
        <w:spacing w:line="240" w:lineRule="auto"/>
        <w:rPr>
          <w:rFonts w:cs="Times New Roman"/>
          <w:szCs w:val="24"/>
        </w:rPr>
      </w:pPr>
      <w:r w:rsidRPr="00B700EA">
        <w:rPr>
          <w:rFonts w:cs="Times New Roman"/>
          <w:szCs w:val="24"/>
        </w:rPr>
        <w:t>Agreement Law</w:t>
      </w:r>
      <w:r w:rsidRPr="00B700EA">
        <w:rPr>
          <w:rFonts w:cs="Times New Roman"/>
          <w:szCs w:val="24"/>
        </w:rPr>
        <w:tab/>
      </w:r>
      <w:r w:rsidRPr="00B700EA">
        <w:rPr>
          <w:rFonts w:cs="Times New Roman"/>
          <w:szCs w:val="24"/>
        </w:rPr>
        <w:tab/>
      </w:r>
      <w:r w:rsidRPr="00B700EA">
        <w:rPr>
          <w:rFonts w:cs="Times New Roman"/>
          <w:szCs w:val="24"/>
        </w:rPr>
        <w:tab/>
        <w:t>Rt-1988-295</w:t>
      </w:r>
      <w:r w:rsidRPr="00B700EA">
        <w:rPr>
          <w:rFonts w:cs="Times New Roman"/>
          <w:szCs w:val="24"/>
        </w:rPr>
        <w:tab/>
      </w:r>
      <w:r w:rsidRPr="00B700EA">
        <w:rPr>
          <w:rFonts w:cs="Times New Roman"/>
          <w:szCs w:val="24"/>
        </w:rPr>
        <w:tab/>
        <w:t>Socialist</w:t>
      </w:r>
      <w:r w:rsidRPr="00B700EA">
        <w:rPr>
          <w:rFonts w:cs="Times New Roman"/>
          <w:szCs w:val="24"/>
        </w:rPr>
        <w:tab/>
      </w:r>
      <w:proofErr w:type="spellStart"/>
      <w:r w:rsidRPr="00B700EA">
        <w:rPr>
          <w:rFonts w:cs="Times New Roman"/>
          <w:szCs w:val="24"/>
        </w:rPr>
        <w:t>Socialist</w:t>
      </w:r>
      <w:proofErr w:type="spellEnd"/>
      <w:r w:rsidRPr="00B700EA">
        <w:rPr>
          <w:rFonts w:cs="Times New Roman"/>
          <w:szCs w:val="24"/>
        </w:rPr>
        <w:tab/>
        <w:t xml:space="preserve">   1</w:t>
      </w:r>
      <w:r w:rsidR="00601DC0">
        <w:rPr>
          <w:rFonts w:cs="Times New Roman"/>
          <w:szCs w:val="24"/>
        </w:rPr>
        <w:t>7</w:t>
      </w:r>
      <w:r w:rsidRPr="00B700EA">
        <w:rPr>
          <w:rFonts w:cs="Times New Roman"/>
          <w:szCs w:val="24"/>
        </w:rPr>
        <w:t>-</w:t>
      </w:r>
      <w:r w:rsidR="00601DC0">
        <w:rPr>
          <w:rFonts w:cs="Times New Roman"/>
          <w:szCs w:val="24"/>
        </w:rPr>
        <w:t>0</w:t>
      </w:r>
    </w:p>
    <w:p w14:paraId="7B89CBD0" w14:textId="77777777" w:rsidR="008C7A71" w:rsidRPr="00B700EA" w:rsidRDefault="008C7A71" w:rsidP="008C7A71">
      <w:pPr>
        <w:spacing w:line="240" w:lineRule="auto"/>
        <w:rPr>
          <w:rFonts w:cs="Times New Roman"/>
          <w:szCs w:val="24"/>
        </w:rPr>
      </w:pPr>
      <w:r w:rsidRPr="00B700EA">
        <w:rPr>
          <w:rFonts w:cs="Times New Roman"/>
          <w:szCs w:val="24"/>
        </w:rPr>
        <w:t>Agreement Law-Property</w:t>
      </w:r>
      <w:r w:rsidRPr="00B700EA">
        <w:rPr>
          <w:rFonts w:cs="Times New Roman"/>
          <w:szCs w:val="24"/>
        </w:rPr>
        <w:tab/>
      </w:r>
      <w:r w:rsidRPr="00B700EA">
        <w:rPr>
          <w:rFonts w:cs="Times New Roman"/>
          <w:szCs w:val="24"/>
        </w:rPr>
        <w:tab/>
        <w:t>Rt-1988-276</w:t>
      </w:r>
      <w:r w:rsidRPr="00B700EA">
        <w:rPr>
          <w:rFonts w:cs="Times New Roman"/>
          <w:szCs w:val="24"/>
        </w:rPr>
        <w:tab/>
      </w:r>
      <w:r w:rsidRPr="00B700EA">
        <w:rPr>
          <w:rFonts w:cs="Times New Roman"/>
          <w:szCs w:val="24"/>
        </w:rPr>
        <w:tab/>
        <w:t>Socialist</w:t>
      </w:r>
      <w:r w:rsidRPr="00B700EA">
        <w:rPr>
          <w:rFonts w:cs="Times New Roman"/>
          <w:szCs w:val="24"/>
        </w:rPr>
        <w:tab/>
      </w:r>
      <w:proofErr w:type="spellStart"/>
      <w:r w:rsidRPr="00B700EA">
        <w:rPr>
          <w:rFonts w:cs="Times New Roman"/>
          <w:szCs w:val="24"/>
        </w:rPr>
        <w:t>Socialist</w:t>
      </w:r>
      <w:proofErr w:type="spellEnd"/>
      <w:r w:rsidRPr="00B700EA">
        <w:rPr>
          <w:rFonts w:cs="Times New Roman"/>
          <w:szCs w:val="24"/>
        </w:rPr>
        <w:tab/>
        <w:t xml:space="preserve">   11-6</w:t>
      </w:r>
    </w:p>
    <w:p w14:paraId="705CDCC0" w14:textId="77777777" w:rsidR="008C7A71" w:rsidRPr="00B700EA" w:rsidRDefault="008C7A71" w:rsidP="008C7A71">
      <w:pPr>
        <w:spacing w:line="240" w:lineRule="auto"/>
        <w:rPr>
          <w:rFonts w:cs="Times New Roman"/>
          <w:szCs w:val="24"/>
        </w:rPr>
      </w:pPr>
      <w:r w:rsidRPr="00B700EA">
        <w:rPr>
          <w:rFonts w:cs="Times New Roman"/>
          <w:szCs w:val="24"/>
        </w:rPr>
        <w:t>Conservation Law</w:t>
      </w:r>
      <w:r w:rsidRPr="00B700EA">
        <w:rPr>
          <w:rFonts w:cs="Times New Roman"/>
          <w:szCs w:val="24"/>
        </w:rPr>
        <w:tab/>
      </w:r>
      <w:r w:rsidRPr="00B700EA">
        <w:rPr>
          <w:rFonts w:cs="Times New Roman"/>
          <w:szCs w:val="24"/>
        </w:rPr>
        <w:tab/>
      </w:r>
      <w:r w:rsidRPr="00B700EA">
        <w:rPr>
          <w:rFonts w:cs="Times New Roman"/>
          <w:szCs w:val="24"/>
        </w:rPr>
        <w:tab/>
        <w:t>Rt-1987-80</w:t>
      </w:r>
      <w:r w:rsidRPr="00B700EA">
        <w:rPr>
          <w:rFonts w:cs="Times New Roman"/>
          <w:szCs w:val="24"/>
        </w:rPr>
        <w:tab/>
      </w:r>
      <w:r w:rsidRPr="00B700EA">
        <w:rPr>
          <w:rFonts w:cs="Times New Roman"/>
          <w:szCs w:val="24"/>
        </w:rPr>
        <w:tab/>
        <w:t>Non-</w:t>
      </w:r>
      <w:proofErr w:type="spellStart"/>
      <w:r w:rsidRPr="00B700EA">
        <w:rPr>
          <w:rFonts w:cs="Times New Roman"/>
          <w:szCs w:val="24"/>
        </w:rPr>
        <w:t>Soc</w:t>
      </w:r>
      <w:proofErr w:type="spellEnd"/>
      <w:r w:rsidRPr="00B700EA">
        <w:rPr>
          <w:rFonts w:cs="Times New Roman"/>
          <w:szCs w:val="24"/>
        </w:rPr>
        <w:tab/>
        <w:t>Non-</w:t>
      </w:r>
      <w:proofErr w:type="spellStart"/>
      <w:r w:rsidRPr="00B700EA">
        <w:rPr>
          <w:rFonts w:cs="Times New Roman"/>
          <w:szCs w:val="24"/>
        </w:rPr>
        <w:t>Soc</w:t>
      </w:r>
      <w:proofErr w:type="spellEnd"/>
      <w:r w:rsidRPr="00B700EA">
        <w:rPr>
          <w:rFonts w:cs="Times New Roman"/>
          <w:szCs w:val="24"/>
        </w:rPr>
        <w:tab/>
        <w:t xml:space="preserve">   0-17</w:t>
      </w:r>
    </w:p>
    <w:p w14:paraId="358DAB0F" w14:textId="77777777" w:rsidR="008C7A71" w:rsidRPr="00B700EA" w:rsidRDefault="008C7A71" w:rsidP="008C7A71">
      <w:pPr>
        <w:spacing w:line="240" w:lineRule="auto"/>
        <w:rPr>
          <w:rFonts w:cs="Times New Roman"/>
          <w:szCs w:val="24"/>
        </w:rPr>
      </w:pPr>
      <w:r w:rsidRPr="00B700EA">
        <w:rPr>
          <w:rFonts w:cs="Times New Roman"/>
          <w:szCs w:val="24"/>
        </w:rPr>
        <w:t>Conscientious Objector Law</w:t>
      </w:r>
      <w:r w:rsidRPr="00B700EA">
        <w:rPr>
          <w:rFonts w:cs="Times New Roman"/>
          <w:szCs w:val="24"/>
        </w:rPr>
        <w:tab/>
      </w:r>
      <w:r w:rsidRPr="00B700EA">
        <w:rPr>
          <w:rFonts w:cs="Times New Roman"/>
          <w:szCs w:val="24"/>
        </w:rPr>
        <w:tab/>
        <w:t>Rt-1983-477</w:t>
      </w:r>
      <w:r w:rsidRPr="00B700EA">
        <w:rPr>
          <w:rFonts w:cs="Times New Roman"/>
          <w:szCs w:val="24"/>
        </w:rPr>
        <w:tab/>
      </w:r>
      <w:r w:rsidRPr="00B700EA">
        <w:rPr>
          <w:rFonts w:cs="Times New Roman"/>
          <w:szCs w:val="24"/>
        </w:rPr>
        <w:tab/>
        <w:t>Non-</w:t>
      </w:r>
      <w:proofErr w:type="spellStart"/>
      <w:r w:rsidRPr="00B700EA">
        <w:rPr>
          <w:rFonts w:cs="Times New Roman"/>
          <w:szCs w:val="24"/>
        </w:rPr>
        <w:t>Soc</w:t>
      </w:r>
      <w:proofErr w:type="spellEnd"/>
      <w:r w:rsidRPr="00B700EA">
        <w:rPr>
          <w:rFonts w:cs="Times New Roman"/>
          <w:szCs w:val="24"/>
        </w:rPr>
        <w:tab/>
        <w:t>Non-</w:t>
      </w:r>
      <w:proofErr w:type="spellStart"/>
      <w:r w:rsidRPr="00B700EA">
        <w:rPr>
          <w:rFonts w:cs="Times New Roman"/>
          <w:szCs w:val="24"/>
        </w:rPr>
        <w:t>Soc</w:t>
      </w:r>
      <w:proofErr w:type="spellEnd"/>
      <w:r w:rsidRPr="00B700EA">
        <w:rPr>
          <w:rFonts w:cs="Times New Roman"/>
          <w:szCs w:val="24"/>
        </w:rPr>
        <w:tab/>
        <w:t xml:space="preserve">   0-17</w:t>
      </w:r>
    </w:p>
    <w:p w14:paraId="16E83B4A" w14:textId="77777777" w:rsidR="008C7A71" w:rsidRPr="00B700EA" w:rsidRDefault="008C7A71" w:rsidP="008C7A71">
      <w:pPr>
        <w:spacing w:line="240" w:lineRule="auto"/>
        <w:rPr>
          <w:rFonts w:cs="Times New Roman"/>
          <w:szCs w:val="24"/>
        </w:rPr>
      </w:pPr>
      <w:r w:rsidRPr="00B700EA">
        <w:rPr>
          <w:rFonts w:cs="Times New Roman"/>
          <w:szCs w:val="24"/>
        </w:rPr>
        <w:t>Stock Law</w:t>
      </w:r>
      <w:r w:rsidRPr="00B700EA">
        <w:rPr>
          <w:rFonts w:cs="Times New Roman"/>
          <w:szCs w:val="24"/>
        </w:rPr>
        <w:tab/>
      </w:r>
      <w:r w:rsidRPr="00B700EA">
        <w:rPr>
          <w:rFonts w:cs="Times New Roman"/>
          <w:szCs w:val="24"/>
        </w:rPr>
        <w:tab/>
      </w:r>
      <w:r w:rsidRPr="00B700EA">
        <w:rPr>
          <w:rFonts w:cs="Times New Roman"/>
          <w:szCs w:val="24"/>
        </w:rPr>
        <w:tab/>
      </w:r>
      <w:r w:rsidRPr="00B700EA">
        <w:rPr>
          <w:rFonts w:cs="Times New Roman"/>
          <w:szCs w:val="24"/>
        </w:rPr>
        <w:tab/>
        <w:t>Rt-1979-572</w:t>
      </w:r>
      <w:r w:rsidRPr="00B700EA">
        <w:rPr>
          <w:rFonts w:cs="Times New Roman"/>
          <w:szCs w:val="24"/>
        </w:rPr>
        <w:tab/>
      </w:r>
      <w:r w:rsidRPr="00B700EA">
        <w:rPr>
          <w:rFonts w:cs="Times New Roman"/>
          <w:szCs w:val="24"/>
        </w:rPr>
        <w:tab/>
        <w:t>Socialist</w:t>
      </w:r>
      <w:r w:rsidRPr="00B700EA">
        <w:rPr>
          <w:rFonts w:cs="Times New Roman"/>
          <w:szCs w:val="24"/>
        </w:rPr>
        <w:tab/>
      </w:r>
      <w:proofErr w:type="spellStart"/>
      <w:r w:rsidRPr="00B700EA">
        <w:rPr>
          <w:rFonts w:cs="Times New Roman"/>
          <w:szCs w:val="24"/>
        </w:rPr>
        <w:t>Socialist</w:t>
      </w:r>
      <w:proofErr w:type="spellEnd"/>
      <w:r w:rsidRPr="00B700EA">
        <w:rPr>
          <w:rFonts w:cs="Times New Roman"/>
          <w:szCs w:val="24"/>
        </w:rPr>
        <w:tab/>
        <w:t xml:space="preserve">   13-0</w:t>
      </w:r>
    </w:p>
    <w:p w14:paraId="66373B61" w14:textId="77777777" w:rsidR="008C7A71" w:rsidRPr="00B700EA" w:rsidRDefault="008C7A71" w:rsidP="008C7A71">
      <w:pPr>
        <w:spacing w:line="240" w:lineRule="auto"/>
        <w:rPr>
          <w:rFonts w:cs="Times New Roman"/>
          <w:szCs w:val="24"/>
        </w:rPr>
      </w:pPr>
      <w:r w:rsidRPr="00B700EA">
        <w:rPr>
          <w:rFonts w:cs="Times New Roman"/>
          <w:szCs w:val="24"/>
        </w:rPr>
        <w:t>Expropriation Compensation</w:t>
      </w:r>
      <w:r w:rsidRPr="00B700EA">
        <w:rPr>
          <w:rFonts w:cs="Times New Roman"/>
          <w:szCs w:val="24"/>
        </w:rPr>
        <w:tab/>
      </w:r>
      <w:r w:rsidRPr="00B700EA">
        <w:rPr>
          <w:rFonts w:cs="Times New Roman"/>
          <w:szCs w:val="24"/>
        </w:rPr>
        <w:tab/>
        <w:t>Rt-1977-24</w:t>
      </w:r>
      <w:r w:rsidRPr="00B700EA">
        <w:rPr>
          <w:rFonts w:cs="Times New Roman"/>
          <w:szCs w:val="24"/>
        </w:rPr>
        <w:tab/>
      </w:r>
      <w:r w:rsidRPr="00B700EA">
        <w:rPr>
          <w:rFonts w:cs="Times New Roman"/>
          <w:szCs w:val="24"/>
        </w:rPr>
        <w:tab/>
        <w:t>Socialist</w:t>
      </w:r>
      <w:r w:rsidRPr="00B700EA">
        <w:rPr>
          <w:rFonts w:cs="Times New Roman"/>
          <w:szCs w:val="24"/>
        </w:rPr>
        <w:tab/>
      </w:r>
      <w:proofErr w:type="spellStart"/>
      <w:r w:rsidRPr="00B700EA">
        <w:rPr>
          <w:rFonts w:cs="Times New Roman"/>
          <w:szCs w:val="24"/>
        </w:rPr>
        <w:t>Socialist</w:t>
      </w:r>
      <w:proofErr w:type="spellEnd"/>
      <w:r w:rsidRPr="00B700EA">
        <w:rPr>
          <w:rFonts w:cs="Times New Roman"/>
          <w:szCs w:val="24"/>
        </w:rPr>
        <w:tab/>
        <w:t xml:space="preserve">   12-5</w:t>
      </w:r>
    </w:p>
    <w:p w14:paraId="6FEDEC99" w14:textId="77777777" w:rsidR="008C7A71" w:rsidRPr="00B700EA" w:rsidRDefault="008C7A71" w:rsidP="008C7A71">
      <w:pPr>
        <w:spacing w:line="240" w:lineRule="auto"/>
        <w:rPr>
          <w:rFonts w:cs="Times New Roman"/>
          <w:szCs w:val="24"/>
        </w:rPr>
      </w:pPr>
      <w:r w:rsidRPr="00B700EA">
        <w:rPr>
          <w:rFonts w:cs="Times New Roman"/>
          <w:szCs w:val="24"/>
        </w:rPr>
        <w:t>Expropriation Compensation</w:t>
      </w:r>
      <w:r w:rsidRPr="00B700EA">
        <w:rPr>
          <w:rFonts w:cs="Times New Roman"/>
          <w:szCs w:val="24"/>
        </w:rPr>
        <w:tab/>
      </w:r>
      <w:r w:rsidRPr="00B700EA">
        <w:rPr>
          <w:rFonts w:cs="Times New Roman"/>
          <w:szCs w:val="24"/>
        </w:rPr>
        <w:tab/>
        <w:t>Rt-1976-1</w:t>
      </w:r>
      <w:r w:rsidRPr="00B700EA">
        <w:rPr>
          <w:rFonts w:cs="Times New Roman"/>
          <w:szCs w:val="24"/>
        </w:rPr>
        <w:tab/>
      </w:r>
      <w:r w:rsidRPr="00B700EA">
        <w:rPr>
          <w:rFonts w:cs="Times New Roman"/>
          <w:szCs w:val="24"/>
        </w:rPr>
        <w:tab/>
        <w:t>Socialist</w:t>
      </w:r>
      <w:r w:rsidRPr="00B700EA">
        <w:rPr>
          <w:rFonts w:cs="Times New Roman"/>
          <w:szCs w:val="24"/>
        </w:rPr>
        <w:tab/>
        <w:t>Non-</w:t>
      </w:r>
      <w:proofErr w:type="spellStart"/>
      <w:r w:rsidRPr="00B700EA">
        <w:rPr>
          <w:rFonts w:cs="Times New Roman"/>
          <w:szCs w:val="24"/>
        </w:rPr>
        <w:t>Soc</w:t>
      </w:r>
      <w:proofErr w:type="spellEnd"/>
      <w:r w:rsidRPr="00B700EA">
        <w:rPr>
          <w:rFonts w:cs="Times New Roman"/>
          <w:szCs w:val="24"/>
        </w:rPr>
        <w:tab/>
        <w:t xml:space="preserve">   7-10</w:t>
      </w:r>
    </w:p>
    <w:p w14:paraId="159AAD29" w14:textId="77777777" w:rsidR="008C7A71" w:rsidRPr="00B700EA" w:rsidRDefault="008C7A71" w:rsidP="008C7A71">
      <w:pPr>
        <w:spacing w:line="240" w:lineRule="auto"/>
        <w:rPr>
          <w:rFonts w:cs="Times New Roman"/>
          <w:szCs w:val="24"/>
        </w:rPr>
      </w:pPr>
    </w:p>
    <w:p w14:paraId="69F1AFDF" w14:textId="77777777" w:rsidR="008C7A71" w:rsidRPr="00B700EA" w:rsidRDefault="008C7A71" w:rsidP="008C7A71">
      <w:pPr>
        <w:spacing w:line="240" w:lineRule="auto"/>
        <w:rPr>
          <w:rFonts w:cs="Times New Roman"/>
          <w:szCs w:val="24"/>
        </w:rPr>
      </w:pPr>
    </w:p>
    <w:p w14:paraId="77F4DDC4" w14:textId="3A7CDEA1" w:rsidR="008C7A71" w:rsidRPr="00B700EA" w:rsidRDefault="008C7A71" w:rsidP="008C7A71">
      <w:pPr>
        <w:spacing w:line="240" w:lineRule="auto"/>
        <w:rPr>
          <w:rFonts w:cs="Times New Roman"/>
          <w:szCs w:val="24"/>
        </w:rPr>
      </w:pPr>
      <w:r w:rsidRPr="00B700EA">
        <w:rPr>
          <w:rFonts w:cs="Times New Roman"/>
          <w:szCs w:val="24"/>
        </w:rPr>
        <w:t xml:space="preserve">* </w:t>
      </w:r>
      <w:r w:rsidR="0089458C">
        <w:rPr>
          <w:rFonts w:cs="Times New Roman"/>
          <w:szCs w:val="24"/>
        </w:rPr>
        <w:t xml:space="preserve">Supreme Court </w:t>
      </w:r>
      <w:r w:rsidR="00D10E94">
        <w:rPr>
          <w:rFonts w:cs="Times New Roman"/>
          <w:szCs w:val="24"/>
        </w:rPr>
        <w:t xml:space="preserve">Justices’ aggregate </w:t>
      </w:r>
      <w:r w:rsidRPr="00B700EA">
        <w:rPr>
          <w:rFonts w:cs="Times New Roman"/>
          <w:szCs w:val="24"/>
        </w:rPr>
        <w:t>Socialist vs. Non-Socialist</w:t>
      </w:r>
      <w:r w:rsidR="0089458C">
        <w:rPr>
          <w:rFonts w:cs="Times New Roman"/>
          <w:szCs w:val="24"/>
        </w:rPr>
        <w:t xml:space="preserve"> vote</w:t>
      </w:r>
    </w:p>
    <w:p w14:paraId="07ECADA7" w14:textId="2AF17E36" w:rsidR="008C7A71" w:rsidRPr="00B700EA" w:rsidRDefault="008C7A71" w:rsidP="008C7A71">
      <w:pPr>
        <w:spacing w:line="240" w:lineRule="auto"/>
        <w:rPr>
          <w:rFonts w:cs="Times New Roman"/>
          <w:szCs w:val="24"/>
        </w:rPr>
      </w:pPr>
      <w:r w:rsidRPr="00B700EA">
        <w:rPr>
          <w:rFonts w:cs="Times New Roman"/>
          <w:szCs w:val="24"/>
        </w:rPr>
        <w:t xml:space="preserve">** </w:t>
      </w:r>
      <w:r w:rsidR="0089458C">
        <w:rPr>
          <w:rFonts w:cs="Times New Roman"/>
          <w:szCs w:val="24"/>
        </w:rPr>
        <w:t xml:space="preserve">The vote in parliament: </w:t>
      </w:r>
      <w:r w:rsidRPr="00B700EA">
        <w:rPr>
          <w:rFonts w:cs="Times New Roman"/>
          <w:szCs w:val="24"/>
        </w:rPr>
        <w:t>Ends-Against-The-Middle Vote (</w:t>
      </w:r>
      <w:proofErr w:type="spellStart"/>
      <w:r w:rsidRPr="00B700EA">
        <w:rPr>
          <w:rFonts w:cs="Times New Roman"/>
          <w:szCs w:val="24"/>
        </w:rPr>
        <w:t>Frp</w:t>
      </w:r>
      <w:proofErr w:type="spellEnd"/>
      <w:r w:rsidRPr="00B700EA">
        <w:rPr>
          <w:rFonts w:cs="Times New Roman"/>
          <w:szCs w:val="24"/>
        </w:rPr>
        <w:t xml:space="preserve"> and SV voted together)</w:t>
      </w:r>
    </w:p>
    <w:p w14:paraId="1DCEA67A" w14:textId="77777777" w:rsidR="008C7A71" w:rsidRPr="00B700EA" w:rsidRDefault="008C7A71" w:rsidP="008C7A71">
      <w:pPr>
        <w:rPr>
          <w:rFonts w:cs="Times New Roman"/>
          <w:szCs w:val="24"/>
        </w:rPr>
      </w:pPr>
    </w:p>
    <w:p w14:paraId="1BD562C0" w14:textId="77777777" w:rsidR="008C7A71" w:rsidRDefault="008C7A71">
      <w:pPr>
        <w:spacing w:after="200" w:line="276" w:lineRule="auto"/>
      </w:pPr>
      <w:r>
        <w:br w:type="page"/>
      </w:r>
    </w:p>
    <w:p w14:paraId="643A1DB7" w14:textId="77777777" w:rsidR="00990A85" w:rsidRPr="00E21D2D" w:rsidRDefault="00990A85" w:rsidP="00990A85">
      <w:pPr>
        <w:spacing w:line="240" w:lineRule="auto"/>
        <w:jc w:val="center"/>
        <w:rPr>
          <w:rFonts w:cs="Times New Roman"/>
          <w:b/>
          <w:szCs w:val="24"/>
        </w:rPr>
      </w:pPr>
      <w:r w:rsidRPr="00E21D2D">
        <w:rPr>
          <w:rFonts w:cs="Times New Roman"/>
          <w:b/>
          <w:szCs w:val="24"/>
        </w:rPr>
        <w:lastRenderedPageBreak/>
        <w:t xml:space="preserve">Table </w:t>
      </w:r>
      <w:r w:rsidR="008B00DA" w:rsidRPr="00E21D2D">
        <w:rPr>
          <w:rFonts w:cs="Times New Roman"/>
          <w:b/>
          <w:szCs w:val="24"/>
        </w:rPr>
        <w:t>2</w:t>
      </w:r>
    </w:p>
    <w:p w14:paraId="2492D7A3" w14:textId="77777777" w:rsidR="00990A85" w:rsidRPr="00E21D2D" w:rsidRDefault="004B6079" w:rsidP="00990A85">
      <w:pPr>
        <w:spacing w:line="240" w:lineRule="auto"/>
        <w:jc w:val="center"/>
        <w:rPr>
          <w:rFonts w:cs="Times New Roman"/>
          <w:b/>
          <w:szCs w:val="24"/>
        </w:rPr>
      </w:pPr>
      <w:r w:rsidRPr="00E21D2D">
        <w:rPr>
          <w:rFonts w:cs="Times New Roman"/>
          <w:b/>
          <w:szCs w:val="24"/>
        </w:rPr>
        <w:t xml:space="preserve">10 Non-unanimous </w:t>
      </w:r>
      <w:r w:rsidR="00990A85" w:rsidRPr="00E21D2D">
        <w:rPr>
          <w:rFonts w:cs="Times New Roman"/>
          <w:b/>
          <w:szCs w:val="24"/>
        </w:rPr>
        <w:t>Plenary Decisions and Relevant Law</w:t>
      </w:r>
    </w:p>
    <w:p w14:paraId="3067601B" w14:textId="77777777" w:rsidR="00990A85" w:rsidRPr="00E21D2D" w:rsidRDefault="00990A85" w:rsidP="00990A85">
      <w:pPr>
        <w:spacing w:line="240" w:lineRule="auto"/>
        <w:jc w:val="center"/>
        <w:rPr>
          <w:rFonts w:cs="Times New Roman"/>
          <w:b/>
          <w:szCs w:val="24"/>
        </w:rPr>
      </w:pPr>
      <w:r w:rsidRPr="00E21D2D">
        <w:rPr>
          <w:rFonts w:cs="Times New Roman"/>
          <w:b/>
          <w:szCs w:val="24"/>
        </w:rPr>
        <w:t>Norwegian Supreme Court</w:t>
      </w:r>
    </w:p>
    <w:p w14:paraId="08DEC820" w14:textId="77777777" w:rsidR="00990A85" w:rsidRPr="00E21D2D" w:rsidRDefault="00990A85" w:rsidP="00990A85">
      <w:pPr>
        <w:spacing w:line="240" w:lineRule="auto"/>
        <w:jc w:val="center"/>
        <w:rPr>
          <w:rFonts w:cs="Times New Roman"/>
          <w:b/>
          <w:szCs w:val="24"/>
        </w:rPr>
      </w:pPr>
      <w:r w:rsidRPr="00E21D2D">
        <w:rPr>
          <w:rFonts w:cs="Times New Roman"/>
          <w:b/>
          <w:szCs w:val="24"/>
        </w:rPr>
        <w:t>1976-2013</w:t>
      </w:r>
    </w:p>
    <w:p w14:paraId="65B01EB5" w14:textId="77777777" w:rsidR="00990A85" w:rsidRDefault="00990A85" w:rsidP="00990A85">
      <w:pPr>
        <w:spacing w:line="240" w:lineRule="auto"/>
        <w:rPr>
          <w:rFonts w:cs="Times New Roman"/>
          <w:szCs w:val="24"/>
        </w:rPr>
      </w:pPr>
    </w:p>
    <w:p w14:paraId="3096F09A" w14:textId="77777777" w:rsidR="00990A85" w:rsidRDefault="00990A85" w:rsidP="00990A85">
      <w:pPr>
        <w:spacing w:line="240" w:lineRule="auto"/>
        <w:rPr>
          <w:rFonts w:cs="Times New Roman"/>
          <w:szCs w:val="24"/>
        </w:rPr>
      </w:pPr>
    </w:p>
    <w:p w14:paraId="29991E89" w14:textId="77777777" w:rsidR="00990A85" w:rsidRDefault="00990A85" w:rsidP="00990A85">
      <w:pPr>
        <w:spacing w:line="240" w:lineRule="auto"/>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Legislative</w:t>
      </w:r>
      <w:r>
        <w:rPr>
          <w:rFonts w:cs="Times New Roman"/>
          <w:szCs w:val="24"/>
        </w:rPr>
        <w:tab/>
        <w:t xml:space="preserve"> Court</w:t>
      </w:r>
    </w:p>
    <w:p w14:paraId="72353865" w14:textId="77777777" w:rsidR="00990A85" w:rsidRPr="00833877" w:rsidRDefault="00990A85" w:rsidP="00990A85">
      <w:pPr>
        <w:spacing w:line="240" w:lineRule="auto"/>
        <w:jc w:val="both"/>
        <w:rPr>
          <w:rFonts w:cs="Times New Roman"/>
          <w:szCs w:val="24"/>
          <w:u w:val="single"/>
        </w:rPr>
      </w:pPr>
      <w:r>
        <w:rPr>
          <w:rFonts w:cs="Times New Roman"/>
          <w:szCs w:val="24"/>
          <w:u w:val="single"/>
        </w:rPr>
        <w:t>Relevant L</w:t>
      </w:r>
      <w:r w:rsidRPr="008731AE">
        <w:rPr>
          <w:rFonts w:cs="Times New Roman"/>
          <w:szCs w:val="24"/>
          <w:u w:val="single"/>
        </w:rPr>
        <w:t>aw</w:t>
      </w:r>
      <w:r w:rsidRPr="008731AE">
        <w:rPr>
          <w:rFonts w:cs="Times New Roman"/>
          <w:szCs w:val="24"/>
          <w:u w:val="single"/>
        </w:rPr>
        <w:tab/>
      </w:r>
      <w:r>
        <w:rPr>
          <w:rFonts w:cs="Times New Roman"/>
          <w:szCs w:val="24"/>
          <w:u w:val="single"/>
        </w:rPr>
        <w:tab/>
      </w:r>
      <w:r w:rsidRPr="008731AE">
        <w:rPr>
          <w:rFonts w:cs="Times New Roman"/>
          <w:szCs w:val="24"/>
          <w:u w:val="single"/>
        </w:rPr>
        <w:tab/>
      </w:r>
      <w:r>
        <w:rPr>
          <w:rFonts w:cs="Times New Roman"/>
          <w:szCs w:val="24"/>
        </w:rPr>
        <w:tab/>
      </w:r>
      <w:r w:rsidRPr="008731AE">
        <w:rPr>
          <w:rFonts w:cs="Times New Roman"/>
          <w:szCs w:val="24"/>
          <w:u w:val="single"/>
        </w:rPr>
        <w:t>Case Number</w:t>
      </w:r>
      <w:r>
        <w:rPr>
          <w:rFonts w:cs="Times New Roman"/>
          <w:szCs w:val="24"/>
        </w:rPr>
        <w:tab/>
      </w:r>
      <w:r>
        <w:rPr>
          <w:rFonts w:cs="Times New Roman"/>
          <w:szCs w:val="24"/>
        </w:rPr>
        <w:tab/>
      </w:r>
      <w:r>
        <w:rPr>
          <w:rFonts w:cs="Times New Roman"/>
          <w:szCs w:val="24"/>
          <w:u w:val="single"/>
        </w:rPr>
        <w:t xml:space="preserve">    I</w:t>
      </w:r>
      <w:r w:rsidRPr="008731AE">
        <w:rPr>
          <w:rFonts w:cs="Times New Roman"/>
          <w:szCs w:val="24"/>
          <w:u w:val="single"/>
        </w:rPr>
        <w:t>ntent</w:t>
      </w:r>
      <w:r>
        <w:rPr>
          <w:rFonts w:cs="Times New Roman"/>
          <w:szCs w:val="24"/>
          <w:u w:val="single"/>
        </w:rPr>
        <w:t xml:space="preserve">   </w:t>
      </w:r>
      <w:r>
        <w:rPr>
          <w:rFonts w:cs="Times New Roman"/>
          <w:szCs w:val="24"/>
        </w:rPr>
        <w:tab/>
      </w:r>
      <w:r w:rsidRPr="008731AE">
        <w:rPr>
          <w:rFonts w:cs="Times New Roman"/>
          <w:szCs w:val="24"/>
          <w:u w:val="single"/>
        </w:rPr>
        <w:t>Position</w:t>
      </w:r>
      <w:r>
        <w:rPr>
          <w:rFonts w:cs="Times New Roman"/>
          <w:szCs w:val="24"/>
        </w:rPr>
        <w:t xml:space="preserve"> </w:t>
      </w:r>
      <w:r>
        <w:rPr>
          <w:rFonts w:cs="Times New Roman"/>
          <w:szCs w:val="24"/>
        </w:rPr>
        <w:tab/>
      </w:r>
      <w:r>
        <w:rPr>
          <w:rFonts w:cs="Times New Roman"/>
          <w:szCs w:val="24"/>
          <w:u w:val="single"/>
        </w:rPr>
        <w:t>Vote*</w:t>
      </w:r>
    </w:p>
    <w:p w14:paraId="7EC17798" w14:textId="77777777" w:rsidR="00990A85" w:rsidRDefault="00990A85" w:rsidP="00990A85">
      <w:pPr>
        <w:spacing w:line="240" w:lineRule="auto"/>
        <w:rPr>
          <w:rFonts w:cs="Times New Roman"/>
          <w:szCs w:val="24"/>
        </w:rPr>
      </w:pPr>
    </w:p>
    <w:p w14:paraId="5F15FAA0" w14:textId="77777777" w:rsidR="00990A85" w:rsidRPr="003573F5" w:rsidRDefault="00990A85" w:rsidP="00990A85">
      <w:pPr>
        <w:spacing w:line="240" w:lineRule="auto"/>
        <w:rPr>
          <w:rFonts w:cs="Times New Roman"/>
          <w:szCs w:val="24"/>
        </w:rPr>
      </w:pPr>
      <w:r w:rsidRPr="003573F5">
        <w:rPr>
          <w:rFonts w:cs="Times New Roman"/>
          <w:szCs w:val="24"/>
        </w:rPr>
        <w:t>Quota Rule</w:t>
      </w:r>
      <w:r w:rsidRPr="003573F5">
        <w:rPr>
          <w:rFonts w:cs="Times New Roman"/>
          <w:szCs w:val="24"/>
        </w:rPr>
        <w:tab/>
      </w:r>
      <w:r w:rsidRPr="003573F5">
        <w:rPr>
          <w:rFonts w:cs="Times New Roman"/>
          <w:szCs w:val="24"/>
        </w:rPr>
        <w:tab/>
      </w:r>
      <w:r w:rsidRPr="003573F5">
        <w:rPr>
          <w:rFonts w:cs="Times New Roman"/>
          <w:szCs w:val="24"/>
        </w:rPr>
        <w:tab/>
      </w:r>
      <w:r w:rsidRPr="003573F5">
        <w:rPr>
          <w:rFonts w:cs="Times New Roman"/>
          <w:szCs w:val="24"/>
        </w:rPr>
        <w:tab/>
        <w:t>Rt-2013-1345</w:t>
      </w:r>
      <w:r w:rsidRPr="003573F5">
        <w:rPr>
          <w:rFonts w:cs="Times New Roman"/>
          <w:szCs w:val="24"/>
        </w:rPr>
        <w:tab/>
      </w:r>
      <w:r w:rsidRPr="003573F5">
        <w:rPr>
          <w:rFonts w:cs="Times New Roman"/>
          <w:szCs w:val="24"/>
        </w:rPr>
        <w:tab/>
        <w:t>Socialist</w:t>
      </w:r>
      <w:r w:rsidRPr="003573F5">
        <w:rPr>
          <w:rFonts w:cs="Times New Roman"/>
          <w:szCs w:val="24"/>
        </w:rPr>
        <w:tab/>
      </w:r>
      <w:proofErr w:type="spellStart"/>
      <w:r w:rsidRPr="003573F5">
        <w:rPr>
          <w:rFonts w:cs="Times New Roman"/>
          <w:szCs w:val="24"/>
        </w:rPr>
        <w:t>Socialist</w:t>
      </w:r>
      <w:proofErr w:type="spellEnd"/>
      <w:r w:rsidRPr="003573F5">
        <w:rPr>
          <w:rFonts w:cs="Times New Roman"/>
          <w:szCs w:val="24"/>
        </w:rPr>
        <w:tab/>
        <w:t xml:space="preserve">   9-8</w:t>
      </w:r>
    </w:p>
    <w:p w14:paraId="693CC86E" w14:textId="77777777" w:rsidR="00990A85" w:rsidRPr="003573F5" w:rsidRDefault="00990A85" w:rsidP="00990A85">
      <w:pPr>
        <w:spacing w:line="240" w:lineRule="auto"/>
        <w:rPr>
          <w:rFonts w:cs="Times New Roman"/>
          <w:szCs w:val="24"/>
        </w:rPr>
      </w:pPr>
      <w:r w:rsidRPr="003573F5">
        <w:rPr>
          <w:rFonts w:cs="Times New Roman"/>
          <w:szCs w:val="24"/>
        </w:rPr>
        <w:t>Property Lease</w:t>
      </w:r>
      <w:r w:rsidRPr="003573F5">
        <w:rPr>
          <w:rFonts w:cs="Times New Roman"/>
          <w:szCs w:val="24"/>
        </w:rPr>
        <w:tab/>
      </w:r>
      <w:r w:rsidRPr="003573F5">
        <w:rPr>
          <w:rFonts w:cs="Times New Roman"/>
          <w:szCs w:val="24"/>
        </w:rPr>
        <w:tab/>
      </w:r>
      <w:r w:rsidRPr="003573F5">
        <w:rPr>
          <w:rFonts w:cs="Times New Roman"/>
          <w:szCs w:val="24"/>
        </w:rPr>
        <w:tab/>
        <w:t>Rt-2010-535</w:t>
      </w:r>
      <w:r w:rsidRPr="003573F5">
        <w:rPr>
          <w:rFonts w:cs="Times New Roman"/>
          <w:szCs w:val="24"/>
        </w:rPr>
        <w:tab/>
      </w:r>
      <w:r w:rsidRPr="003573F5">
        <w:rPr>
          <w:rFonts w:cs="Times New Roman"/>
          <w:szCs w:val="24"/>
        </w:rPr>
        <w:tab/>
        <w:t>Socialist</w:t>
      </w:r>
      <w:r w:rsidRPr="003573F5">
        <w:rPr>
          <w:rFonts w:cs="Times New Roman"/>
          <w:szCs w:val="24"/>
        </w:rPr>
        <w:tab/>
        <w:t>Non-</w:t>
      </w:r>
      <w:proofErr w:type="spellStart"/>
      <w:r w:rsidRPr="003573F5">
        <w:rPr>
          <w:rFonts w:cs="Times New Roman"/>
          <w:szCs w:val="24"/>
        </w:rPr>
        <w:t>Soc</w:t>
      </w:r>
      <w:proofErr w:type="spellEnd"/>
      <w:r w:rsidRPr="003573F5">
        <w:rPr>
          <w:rFonts w:cs="Times New Roman"/>
          <w:szCs w:val="24"/>
        </w:rPr>
        <w:tab/>
        <w:t xml:space="preserve">    4-9</w:t>
      </w:r>
    </w:p>
    <w:p w14:paraId="5BE20AE9" w14:textId="77777777" w:rsidR="00990A85" w:rsidRPr="003573F5" w:rsidRDefault="00990A85" w:rsidP="00990A85">
      <w:pPr>
        <w:spacing w:line="240" w:lineRule="auto"/>
        <w:rPr>
          <w:rFonts w:cs="Times New Roman"/>
          <w:szCs w:val="24"/>
        </w:rPr>
      </w:pPr>
      <w:r w:rsidRPr="003573F5">
        <w:rPr>
          <w:rFonts w:cs="Times New Roman"/>
          <w:szCs w:val="24"/>
        </w:rPr>
        <w:t>Tax Law Rules</w:t>
      </w:r>
      <w:r w:rsidRPr="003573F5">
        <w:rPr>
          <w:rFonts w:cs="Times New Roman"/>
          <w:szCs w:val="24"/>
        </w:rPr>
        <w:tab/>
      </w:r>
      <w:r w:rsidRPr="003573F5">
        <w:rPr>
          <w:rFonts w:cs="Times New Roman"/>
          <w:szCs w:val="24"/>
        </w:rPr>
        <w:tab/>
      </w:r>
      <w:r w:rsidRPr="003573F5">
        <w:rPr>
          <w:rFonts w:cs="Times New Roman"/>
          <w:szCs w:val="24"/>
        </w:rPr>
        <w:tab/>
        <w:t>Rt-2010-143</w:t>
      </w:r>
      <w:r w:rsidRPr="003573F5">
        <w:rPr>
          <w:rFonts w:cs="Times New Roman"/>
          <w:szCs w:val="24"/>
        </w:rPr>
        <w:tab/>
      </w:r>
      <w:r w:rsidRPr="003573F5">
        <w:rPr>
          <w:rFonts w:cs="Times New Roman"/>
          <w:szCs w:val="24"/>
        </w:rPr>
        <w:tab/>
        <w:t>Socialist</w:t>
      </w:r>
      <w:r w:rsidRPr="003573F5">
        <w:rPr>
          <w:rFonts w:cs="Times New Roman"/>
          <w:szCs w:val="24"/>
        </w:rPr>
        <w:tab/>
        <w:t>Non-</w:t>
      </w:r>
      <w:proofErr w:type="spellStart"/>
      <w:r w:rsidRPr="003573F5">
        <w:rPr>
          <w:rFonts w:cs="Times New Roman"/>
          <w:szCs w:val="24"/>
        </w:rPr>
        <w:t>Soc</w:t>
      </w:r>
      <w:proofErr w:type="spellEnd"/>
      <w:r w:rsidRPr="003573F5">
        <w:rPr>
          <w:rFonts w:cs="Times New Roman"/>
          <w:szCs w:val="24"/>
        </w:rPr>
        <w:tab/>
        <w:t xml:space="preserve">    5-6</w:t>
      </w:r>
    </w:p>
    <w:p w14:paraId="09C97C84" w14:textId="77777777" w:rsidR="00990A85" w:rsidRPr="003573F5" w:rsidRDefault="00990A85" w:rsidP="00990A85">
      <w:pPr>
        <w:spacing w:line="240" w:lineRule="auto"/>
        <w:rPr>
          <w:rFonts w:cs="Times New Roman"/>
          <w:szCs w:val="24"/>
        </w:rPr>
      </w:pPr>
      <w:r w:rsidRPr="003573F5">
        <w:rPr>
          <w:rFonts w:cs="Times New Roman"/>
          <w:szCs w:val="24"/>
        </w:rPr>
        <w:t>Property Lease Law</w:t>
      </w:r>
      <w:r w:rsidRPr="003573F5">
        <w:rPr>
          <w:rFonts w:cs="Times New Roman"/>
          <w:szCs w:val="24"/>
        </w:rPr>
        <w:tab/>
      </w:r>
      <w:r w:rsidRPr="003573F5">
        <w:rPr>
          <w:rFonts w:cs="Times New Roman"/>
          <w:szCs w:val="24"/>
        </w:rPr>
        <w:tab/>
      </w:r>
      <w:r w:rsidRPr="003573F5">
        <w:rPr>
          <w:rFonts w:cs="Times New Roman"/>
          <w:szCs w:val="24"/>
        </w:rPr>
        <w:tab/>
        <w:t>Rt-2007-1308</w:t>
      </w:r>
      <w:r w:rsidRPr="003573F5">
        <w:rPr>
          <w:rFonts w:cs="Times New Roman"/>
          <w:szCs w:val="24"/>
        </w:rPr>
        <w:tab/>
      </w:r>
      <w:r w:rsidRPr="003573F5">
        <w:rPr>
          <w:rFonts w:cs="Times New Roman"/>
          <w:szCs w:val="24"/>
        </w:rPr>
        <w:tab/>
        <w:t>Socialist</w:t>
      </w:r>
      <w:r w:rsidRPr="003573F5">
        <w:rPr>
          <w:rFonts w:cs="Times New Roman"/>
          <w:szCs w:val="24"/>
        </w:rPr>
        <w:tab/>
        <w:t>Non-</w:t>
      </w:r>
      <w:proofErr w:type="spellStart"/>
      <w:r w:rsidRPr="003573F5">
        <w:rPr>
          <w:rFonts w:cs="Times New Roman"/>
          <w:szCs w:val="24"/>
        </w:rPr>
        <w:t>Soc</w:t>
      </w:r>
      <w:proofErr w:type="spellEnd"/>
      <w:r w:rsidRPr="003573F5">
        <w:rPr>
          <w:rFonts w:cs="Times New Roman"/>
          <w:szCs w:val="24"/>
        </w:rPr>
        <w:tab/>
        <w:t xml:space="preserve">    1-6</w:t>
      </w:r>
    </w:p>
    <w:p w14:paraId="11BA8EB3" w14:textId="77777777" w:rsidR="00990A85" w:rsidRPr="003573F5" w:rsidRDefault="00990A85" w:rsidP="00990A85">
      <w:pPr>
        <w:spacing w:line="240" w:lineRule="auto"/>
        <w:rPr>
          <w:rFonts w:cs="Times New Roman"/>
          <w:szCs w:val="24"/>
        </w:rPr>
      </w:pPr>
      <w:r w:rsidRPr="003573F5">
        <w:rPr>
          <w:rFonts w:cs="Times New Roman"/>
          <w:szCs w:val="24"/>
        </w:rPr>
        <w:t>Tax and Fee Law</w:t>
      </w:r>
      <w:r w:rsidRPr="003573F5">
        <w:rPr>
          <w:rFonts w:cs="Times New Roman"/>
          <w:szCs w:val="24"/>
        </w:rPr>
        <w:tab/>
      </w:r>
      <w:r w:rsidRPr="003573F5">
        <w:rPr>
          <w:rFonts w:cs="Times New Roman"/>
          <w:szCs w:val="24"/>
        </w:rPr>
        <w:tab/>
      </w:r>
      <w:r w:rsidRPr="003573F5">
        <w:rPr>
          <w:rFonts w:cs="Times New Roman"/>
          <w:szCs w:val="24"/>
        </w:rPr>
        <w:tab/>
        <w:t>Rt-2006-293</w:t>
      </w:r>
      <w:r w:rsidRPr="003573F5">
        <w:rPr>
          <w:rFonts w:cs="Times New Roman"/>
          <w:szCs w:val="24"/>
        </w:rPr>
        <w:tab/>
      </w:r>
      <w:r w:rsidRPr="003573F5">
        <w:rPr>
          <w:rFonts w:cs="Times New Roman"/>
          <w:szCs w:val="24"/>
        </w:rPr>
        <w:tab/>
        <w:t>Non-</w:t>
      </w:r>
      <w:proofErr w:type="spellStart"/>
      <w:r w:rsidRPr="003573F5">
        <w:rPr>
          <w:rFonts w:cs="Times New Roman"/>
          <w:szCs w:val="24"/>
        </w:rPr>
        <w:t>Soc</w:t>
      </w:r>
      <w:proofErr w:type="spellEnd"/>
      <w:r w:rsidRPr="003573F5">
        <w:rPr>
          <w:rFonts w:cs="Times New Roman"/>
          <w:szCs w:val="24"/>
        </w:rPr>
        <w:tab/>
        <w:t>Socialist</w:t>
      </w:r>
      <w:r w:rsidRPr="003573F5">
        <w:rPr>
          <w:rFonts w:cs="Times New Roman"/>
          <w:szCs w:val="24"/>
        </w:rPr>
        <w:tab/>
        <w:t xml:space="preserve">   11-4</w:t>
      </w:r>
    </w:p>
    <w:p w14:paraId="3D012C17" w14:textId="77777777" w:rsidR="00990A85" w:rsidRPr="003573F5" w:rsidRDefault="00990A85" w:rsidP="00990A85">
      <w:pPr>
        <w:spacing w:line="240" w:lineRule="auto"/>
        <w:rPr>
          <w:rFonts w:cs="Times New Roman"/>
          <w:szCs w:val="24"/>
        </w:rPr>
      </w:pPr>
      <w:r w:rsidRPr="003573F5">
        <w:rPr>
          <w:rFonts w:cs="Times New Roman"/>
          <w:szCs w:val="24"/>
        </w:rPr>
        <w:t>Sentencing Law</w:t>
      </w:r>
      <w:r w:rsidRPr="003573F5">
        <w:rPr>
          <w:rFonts w:cs="Times New Roman"/>
          <w:szCs w:val="24"/>
        </w:rPr>
        <w:tab/>
      </w:r>
      <w:r w:rsidRPr="003573F5">
        <w:rPr>
          <w:rFonts w:cs="Times New Roman"/>
          <w:szCs w:val="24"/>
        </w:rPr>
        <w:tab/>
      </w:r>
      <w:r w:rsidRPr="003573F5">
        <w:rPr>
          <w:rFonts w:cs="Times New Roman"/>
          <w:szCs w:val="24"/>
        </w:rPr>
        <w:tab/>
        <w:t>Rt-2002-1618</w:t>
      </w:r>
      <w:r w:rsidRPr="003573F5">
        <w:rPr>
          <w:rFonts w:cs="Times New Roman"/>
          <w:szCs w:val="24"/>
        </w:rPr>
        <w:tab/>
      </w:r>
      <w:r w:rsidRPr="003573F5">
        <w:rPr>
          <w:rFonts w:cs="Times New Roman"/>
          <w:szCs w:val="24"/>
        </w:rPr>
        <w:tab/>
        <w:t>Socialist</w:t>
      </w:r>
      <w:r w:rsidRPr="003573F5">
        <w:rPr>
          <w:rFonts w:cs="Times New Roman"/>
          <w:szCs w:val="24"/>
        </w:rPr>
        <w:tab/>
        <w:t>Non-</w:t>
      </w:r>
      <w:proofErr w:type="spellStart"/>
      <w:r w:rsidRPr="003573F5">
        <w:rPr>
          <w:rFonts w:cs="Times New Roman"/>
          <w:szCs w:val="24"/>
        </w:rPr>
        <w:t>Soc</w:t>
      </w:r>
      <w:proofErr w:type="spellEnd"/>
      <w:r w:rsidRPr="003573F5">
        <w:rPr>
          <w:rFonts w:cs="Times New Roman"/>
          <w:szCs w:val="24"/>
        </w:rPr>
        <w:tab/>
        <w:t xml:space="preserve">    6-11</w:t>
      </w:r>
    </w:p>
    <w:p w14:paraId="710537A2" w14:textId="77777777" w:rsidR="00990A85" w:rsidRPr="003573F5" w:rsidRDefault="00990A85" w:rsidP="00990A85">
      <w:pPr>
        <w:spacing w:line="240" w:lineRule="auto"/>
        <w:rPr>
          <w:rFonts w:cs="Times New Roman"/>
          <w:szCs w:val="24"/>
        </w:rPr>
      </w:pPr>
      <w:r w:rsidRPr="003573F5">
        <w:rPr>
          <w:rFonts w:cs="Times New Roman"/>
          <w:szCs w:val="24"/>
        </w:rPr>
        <w:t>Social Insurance Law</w:t>
      </w:r>
      <w:r w:rsidRPr="003573F5">
        <w:rPr>
          <w:rFonts w:cs="Times New Roman"/>
          <w:szCs w:val="24"/>
        </w:rPr>
        <w:tab/>
        <w:t>**</w:t>
      </w:r>
      <w:r w:rsidRPr="003573F5">
        <w:rPr>
          <w:rFonts w:cs="Times New Roman"/>
          <w:szCs w:val="24"/>
        </w:rPr>
        <w:tab/>
      </w:r>
      <w:r w:rsidRPr="003573F5">
        <w:rPr>
          <w:rFonts w:cs="Times New Roman"/>
          <w:szCs w:val="24"/>
        </w:rPr>
        <w:tab/>
        <w:t>Rt-1996-1440</w:t>
      </w:r>
      <w:r w:rsidRPr="003573F5">
        <w:rPr>
          <w:rFonts w:cs="Times New Roman"/>
          <w:szCs w:val="24"/>
        </w:rPr>
        <w:tab/>
      </w:r>
      <w:r w:rsidRPr="003573F5">
        <w:rPr>
          <w:rFonts w:cs="Times New Roman"/>
          <w:szCs w:val="24"/>
        </w:rPr>
        <w:tab/>
        <w:t>Non-</w:t>
      </w:r>
      <w:proofErr w:type="spellStart"/>
      <w:r w:rsidRPr="003573F5">
        <w:rPr>
          <w:rFonts w:cs="Times New Roman"/>
          <w:szCs w:val="24"/>
        </w:rPr>
        <w:t>Soc</w:t>
      </w:r>
      <w:proofErr w:type="spellEnd"/>
      <w:r w:rsidRPr="003573F5">
        <w:rPr>
          <w:rFonts w:cs="Times New Roman"/>
          <w:szCs w:val="24"/>
        </w:rPr>
        <w:tab/>
        <w:t>Non-</w:t>
      </w:r>
      <w:proofErr w:type="spellStart"/>
      <w:r w:rsidRPr="003573F5">
        <w:rPr>
          <w:rFonts w:cs="Times New Roman"/>
          <w:szCs w:val="24"/>
        </w:rPr>
        <w:t>Soc</w:t>
      </w:r>
      <w:proofErr w:type="spellEnd"/>
      <w:r w:rsidRPr="003573F5">
        <w:rPr>
          <w:rFonts w:cs="Times New Roman"/>
          <w:szCs w:val="24"/>
        </w:rPr>
        <w:tab/>
        <w:t xml:space="preserve">   16-1</w:t>
      </w:r>
    </w:p>
    <w:p w14:paraId="7034346A" w14:textId="77777777" w:rsidR="00990A85" w:rsidRPr="003573F5" w:rsidRDefault="00990A85" w:rsidP="00990A85">
      <w:pPr>
        <w:spacing w:line="240" w:lineRule="auto"/>
        <w:rPr>
          <w:rFonts w:cs="Times New Roman"/>
          <w:szCs w:val="24"/>
        </w:rPr>
      </w:pPr>
      <w:r w:rsidRPr="003573F5">
        <w:rPr>
          <w:rFonts w:cs="Times New Roman"/>
          <w:szCs w:val="24"/>
        </w:rPr>
        <w:t>Agreement Law-Property</w:t>
      </w:r>
      <w:r w:rsidRPr="003573F5">
        <w:rPr>
          <w:rFonts w:cs="Times New Roman"/>
          <w:szCs w:val="24"/>
        </w:rPr>
        <w:tab/>
      </w:r>
      <w:r w:rsidRPr="003573F5">
        <w:rPr>
          <w:rFonts w:cs="Times New Roman"/>
          <w:szCs w:val="24"/>
        </w:rPr>
        <w:tab/>
        <w:t>Rt-1988-276</w:t>
      </w:r>
      <w:r w:rsidRPr="003573F5">
        <w:rPr>
          <w:rFonts w:cs="Times New Roman"/>
          <w:szCs w:val="24"/>
        </w:rPr>
        <w:tab/>
      </w:r>
      <w:r w:rsidRPr="003573F5">
        <w:rPr>
          <w:rFonts w:cs="Times New Roman"/>
          <w:szCs w:val="24"/>
        </w:rPr>
        <w:tab/>
        <w:t>Socialist</w:t>
      </w:r>
      <w:r w:rsidRPr="003573F5">
        <w:rPr>
          <w:rFonts w:cs="Times New Roman"/>
          <w:szCs w:val="24"/>
        </w:rPr>
        <w:tab/>
      </w:r>
      <w:proofErr w:type="spellStart"/>
      <w:r w:rsidRPr="003573F5">
        <w:rPr>
          <w:rFonts w:cs="Times New Roman"/>
          <w:szCs w:val="24"/>
        </w:rPr>
        <w:t>Socialist</w:t>
      </w:r>
      <w:proofErr w:type="spellEnd"/>
      <w:r w:rsidRPr="003573F5">
        <w:rPr>
          <w:rFonts w:cs="Times New Roman"/>
          <w:szCs w:val="24"/>
        </w:rPr>
        <w:tab/>
        <w:t xml:space="preserve">   11-6</w:t>
      </w:r>
    </w:p>
    <w:p w14:paraId="1DCBBC5F" w14:textId="77777777" w:rsidR="00990A85" w:rsidRPr="003573F5" w:rsidRDefault="00990A85" w:rsidP="00990A85">
      <w:pPr>
        <w:spacing w:line="240" w:lineRule="auto"/>
        <w:rPr>
          <w:rFonts w:cs="Times New Roman"/>
          <w:szCs w:val="24"/>
        </w:rPr>
      </w:pPr>
      <w:r w:rsidRPr="003573F5">
        <w:rPr>
          <w:rFonts w:cs="Times New Roman"/>
          <w:szCs w:val="24"/>
        </w:rPr>
        <w:t>Expropriation Compensation</w:t>
      </w:r>
      <w:r w:rsidRPr="003573F5">
        <w:rPr>
          <w:rFonts w:cs="Times New Roman"/>
          <w:szCs w:val="24"/>
        </w:rPr>
        <w:tab/>
      </w:r>
      <w:r w:rsidRPr="003573F5">
        <w:rPr>
          <w:rFonts w:cs="Times New Roman"/>
          <w:szCs w:val="24"/>
        </w:rPr>
        <w:tab/>
        <w:t>Rt-1977-24</w:t>
      </w:r>
      <w:r w:rsidRPr="003573F5">
        <w:rPr>
          <w:rFonts w:cs="Times New Roman"/>
          <w:szCs w:val="24"/>
        </w:rPr>
        <w:tab/>
      </w:r>
      <w:r w:rsidRPr="003573F5">
        <w:rPr>
          <w:rFonts w:cs="Times New Roman"/>
          <w:szCs w:val="24"/>
        </w:rPr>
        <w:tab/>
        <w:t>Socialist</w:t>
      </w:r>
      <w:r w:rsidRPr="003573F5">
        <w:rPr>
          <w:rFonts w:cs="Times New Roman"/>
          <w:szCs w:val="24"/>
        </w:rPr>
        <w:tab/>
      </w:r>
      <w:proofErr w:type="spellStart"/>
      <w:r w:rsidRPr="003573F5">
        <w:rPr>
          <w:rFonts w:cs="Times New Roman"/>
          <w:szCs w:val="24"/>
        </w:rPr>
        <w:t>Socialist</w:t>
      </w:r>
      <w:proofErr w:type="spellEnd"/>
      <w:r w:rsidRPr="003573F5">
        <w:rPr>
          <w:rFonts w:cs="Times New Roman"/>
          <w:szCs w:val="24"/>
        </w:rPr>
        <w:tab/>
        <w:t xml:space="preserve">   12-5</w:t>
      </w:r>
    </w:p>
    <w:p w14:paraId="2C0657B6" w14:textId="77777777" w:rsidR="00990A85" w:rsidRPr="003573F5" w:rsidRDefault="00990A85" w:rsidP="00990A85">
      <w:pPr>
        <w:spacing w:line="240" w:lineRule="auto"/>
        <w:rPr>
          <w:rFonts w:cs="Times New Roman"/>
          <w:szCs w:val="24"/>
        </w:rPr>
      </w:pPr>
      <w:r w:rsidRPr="003573F5">
        <w:rPr>
          <w:rFonts w:cs="Times New Roman"/>
          <w:szCs w:val="24"/>
        </w:rPr>
        <w:t>Expropriation Compensation</w:t>
      </w:r>
      <w:r w:rsidRPr="003573F5">
        <w:rPr>
          <w:rFonts w:cs="Times New Roman"/>
          <w:szCs w:val="24"/>
        </w:rPr>
        <w:tab/>
      </w:r>
      <w:r w:rsidRPr="003573F5">
        <w:rPr>
          <w:rFonts w:cs="Times New Roman"/>
          <w:szCs w:val="24"/>
        </w:rPr>
        <w:tab/>
        <w:t>Rt-1976-1</w:t>
      </w:r>
      <w:r w:rsidRPr="003573F5">
        <w:rPr>
          <w:rFonts w:cs="Times New Roman"/>
          <w:szCs w:val="24"/>
        </w:rPr>
        <w:tab/>
      </w:r>
      <w:r w:rsidRPr="003573F5">
        <w:rPr>
          <w:rFonts w:cs="Times New Roman"/>
          <w:szCs w:val="24"/>
        </w:rPr>
        <w:tab/>
        <w:t>Socialist</w:t>
      </w:r>
      <w:r w:rsidRPr="003573F5">
        <w:rPr>
          <w:rFonts w:cs="Times New Roman"/>
          <w:szCs w:val="24"/>
        </w:rPr>
        <w:tab/>
        <w:t>Non-</w:t>
      </w:r>
      <w:proofErr w:type="spellStart"/>
      <w:r w:rsidRPr="003573F5">
        <w:rPr>
          <w:rFonts w:cs="Times New Roman"/>
          <w:szCs w:val="24"/>
        </w:rPr>
        <w:t>Soc</w:t>
      </w:r>
      <w:proofErr w:type="spellEnd"/>
      <w:r w:rsidRPr="003573F5">
        <w:rPr>
          <w:rFonts w:cs="Times New Roman"/>
          <w:szCs w:val="24"/>
        </w:rPr>
        <w:tab/>
        <w:t xml:space="preserve">   7-10</w:t>
      </w:r>
    </w:p>
    <w:p w14:paraId="0A5FBABC" w14:textId="77777777" w:rsidR="00990A85" w:rsidRPr="003573F5" w:rsidRDefault="00990A85" w:rsidP="00990A85">
      <w:pPr>
        <w:spacing w:line="240" w:lineRule="auto"/>
        <w:rPr>
          <w:rFonts w:cs="Times New Roman"/>
          <w:szCs w:val="24"/>
        </w:rPr>
      </w:pPr>
    </w:p>
    <w:p w14:paraId="158B7B11" w14:textId="77777777" w:rsidR="00990A85" w:rsidRDefault="00990A85" w:rsidP="00990A85">
      <w:pPr>
        <w:spacing w:line="240" w:lineRule="auto"/>
        <w:rPr>
          <w:rFonts w:cs="Times New Roman"/>
          <w:szCs w:val="24"/>
        </w:rPr>
      </w:pPr>
    </w:p>
    <w:p w14:paraId="57655A78" w14:textId="77777777" w:rsidR="0089458C" w:rsidRPr="00B700EA" w:rsidRDefault="0089458C" w:rsidP="0089458C">
      <w:pPr>
        <w:spacing w:line="240" w:lineRule="auto"/>
        <w:rPr>
          <w:rFonts w:cs="Times New Roman"/>
          <w:szCs w:val="24"/>
        </w:rPr>
      </w:pPr>
      <w:r w:rsidRPr="00B700EA">
        <w:rPr>
          <w:rFonts w:cs="Times New Roman"/>
          <w:szCs w:val="24"/>
        </w:rPr>
        <w:t xml:space="preserve">* </w:t>
      </w:r>
      <w:r>
        <w:rPr>
          <w:rFonts w:cs="Times New Roman"/>
          <w:szCs w:val="24"/>
        </w:rPr>
        <w:t xml:space="preserve">Supreme Court Justices’ aggregate </w:t>
      </w:r>
      <w:r w:rsidRPr="00B700EA">
        <w:rPr>
          <w:rFonts w:cs="Times New Roman"/>
          <w:szCs w:val="24"/>
        </w:rPr>
        <w:t>Socialist vs. Non-Socialist</w:t>
      </w:r>
      <w:r>
        <w:rPr>
          <w:rFonts w:cs="Times New Roman"/>
          <w:szCs w:val="24"/>
        </w:rPr>
        <w:t xml:space="preserve"> vote</w:t>
      </w:r>
    </w:p>
    <w:p w14:paraId="5E2559C7" w14:textId="32E87349" w:rsidR="00990A85" w:rsidRPr="003573F5" w:rsidRDefault="0089458C" w:rsidP="00990A85">
      <w:pPr>
        <w:spacing w:line="240" w:lineRule="auto"/>
        <w:rPr>
          <w:rFonts w:cs="Times New Roman"/>
          <w:szCs w:val="24"/>
        </w:rPr>
      </w:pPr>
      <w:r w:rsidRPr="00B700EA">
        <w:rPr>
          <w:rFonts w:cs="Times New Roman"/>
          <w:szCs w:val="24"/>
        </w:rPr>
        <w:t xml:space="preserve">** </w:t>
      </w:r>
      <w:r>
        <w:rPr>
          <w:rFonts w:cs="Times New Roman"/>
          <w:szCs w:val="24"/>
        </w:rPr>
        <w:t xml:space="preserve">The vote in parliament: </w:t>
      </w:r>
      <w:r w:rsidRPr="00B700EA">
        <w:rPr>
          <w:rFonts w:cs="Times New Roman"/>
          <w:szCs w:val="24"/>
        </w:rPr>
        <w:t>Ends-Against-The-Middle Vote (</w:t>
      </w:r>
      <w:proofErr w:type="spellStart"/>
      <w:r w:rsidRPr="00B700EA">
        <w:rPr>
          <w:rFonts w:cs="Times New Roman"/>
          <w:szCs w:val="24"/>
        </w:rPr>
        <w:t>Frp</w:t>
      </w:r>
      <w:proofErr w:type="spellEnd"/>
      <w:r w:rsidRPr="00B700EA">
        <w:rPr>
          <w:rFonts w:cs="Times New Roman"/>
          <w:szCs w:val="24"/>
        </w:rPr>
        <w:t xml:space="preserve"> and SV voted together)</w:t>
      </w:r>
    </w:p>
    <w:p w14:paraId="59F1FD9C" w14:textId="340D6B02" w:rsidR="00990A85" w:rsidRDefault="00990A85" w:rsidP="00693594"/>
    <w:p w14:paraId="339B2D1A" w14:textId="1793198B" w:rsidR="006D4F3A" w:rsidRDefault="006D4F3A">
      <w:pPr>
        <w:rPr>
          <w:rFonts w:cs="Times New Roman"/>
          <w:szCs w:val="24"/>
        </w:rPr>
      </w:pPr>
    </w:p>
    <w:p w14:paraId="631E19B5" w14:textId="77777777" w:rsidR="003D69B7" w:rsidRPr="00E21D2D" w:rsidRDefault="00990A85" w:rsidP="003D69B7">
      <w:pPr>
        <w:spacing w:line="240" w:lineRule="auto"/>
        <w:jc w:val="center"/>
        <w:rPr>
          <w:rFonts w:cs="Times New Roman"/>
          <w:b/>
          <w:szCs w:val="24"/>
        </w:rPr>
      </w:pPr>
      <w:r w:rsidRPr="00E21D2D">
        <w:rPr>
          <w:rFonts w:cs="Times New Roman"/>
          <w:b/>
          <w:szCs w:val="24"/>
        </w:rPr>
        <w:t xml:space="preserve">Table </w:t>
      </w:r>
      <w:r w:rsidR="008B00DA" w:rsidRPr="00E21D2D">
        <w:rPr>
          <w:rFonts w:cs="Times New Roman"/>
          <w:b/>
          <w:szCs w:val="24"/>
        </w:rPr>
        <w:t>3</w:t>
      </w:r>
    </w:p>
    <w:p w14:paraId="14CD17BD" w14:textId="77777777" w:rsidR="00666FD6" w:rsidRPr="00E21D2D" w:rsidRDefault="00666FD6" w:rsidP="003D69B7">
      <w:pPr>
        <w:spacing w:line="240" w:lineRule="auto"/>
        <w:jc w:val="center"/>
        <w:rPr>
          <w:rFonts w:cs="Times New Roman"/>
          <w:b/>
          <w:szCs w:val="24"/>
        </w:rPr>
      </w:pPr>
    </w:p>
    <w:p w14:paraId="1B145F1E" w14:textId="77777777" w:rsidR="003D69B7" w:rsidRPr="00E21D2D" w:rsidRDefault="003D69B7" w:rsidP="003D69B7">
      <w:pPr>
        <w:spacing w:line="240" w:lineRule="auto"/>
        <w:jc w:val="center"/>
        <w:rPr>
          <w:rFonts w:cs="Times New Roman"/>
          <w:b/>
          <w:szCs w:val="24"/>
        </w:rPr>
      </w:pPr>
      <w:r w:rsidRPr="00E21D2D">
        <w:rPr>
          <w:rFonts w:cs="Times New Roman"/>
          <w:b/>
          <w:szCs w:val="24"/>
        </w:rPr>
        <w:t>Supreme Court Decision by Ideological</w:t>
      </w:r>
    </w:p>
    <w:p w14:paraId="7791B0E0" w14:textId="77777777" w:rsidR="003D69B7" w:rsidRPr="00E21D2D" w:rsidRDefault="003D69B7" w:rsidP="003D69B7">
      <w:pPr>
        <w:spacing w:line="240" w:lineRule="auto"/>
        <w:jc w:val="center"/>
        <w:rPr>
          <w:rFonts w:cs="Times New Roman"/>
          <w:b/>
          <w:szCs w:val="24"/>
        </w:rPr>
      </w:pPr>
      <w:r w:rsidRPr="00E21D2D">
        <w:rPr>
          <w:rFonts w:cs="Times New Roman"/>
          <w:b/>
          <w:szCs w:val="24"/>
        </w:rPr>
        <w:t>Direction of Legislative Intent</w:t>
      </w:r>
    </w:p>
    <w:p w14:paraId="2B3B7D4F" w14:textId="77777777" w:rsidR="003D69B7" w:rsidRPr="004842E2" w:rsidRDefault="003D69B7" w:rsidP="003D69B7">
      <w:pPr>
        <w:spacing w:line="240" w:lineRule="auto"/>
        <w:rPr>
          <w:rFonts w:cs="Times New Roman"/>
          <w:szCs w:val="24"/>
        </w:rPr>
      </w:pPr>
    </w:p>
    <w:p w14:paraId="244303F6" w14:textId="77777777" w:rsidR="003D69B7" w:rsidRPr="004842E2" w:rsidRDefault="003D69B7" w:rsidP="003D69B7">
      <w:pPr>
        <w:spacing w:line="240" w:lineRule="auto"/>
        <w:rPr>
          <w:rFonts w:cs="Times New Roman"/>
          <w:szCs w:val="24"/>
        </w:rPr>
      </w:pPr>
    </w:p>
    <w:p w14:paraId="39FBBA0D" w14:textId="77777777" w:rsidR="003D69B7" w:rsidRPr="004842E2" w:rsidRDefault="003D69B7" w:rsidP="003D69B7">
      <w:pPr>
        <w:spacing w:line="240" w:lineRule="auto"/>
        <w:rPr>
          <w:rFonts w:cs="Times New Roman"/>
          <w:szCs w:val="24"/>
        </w:rPr>
      </w:pPr>
    </w:p>
    <w:p w14:paraId="091D5BB8" w14:textId="77777777" w:rsidR="003D69B7" w:rsidRPr="004842E2" w:rsidRDefault="003D69B7" w:rsidP="003D69B7">
      <w:pPr>
        <w:spacing w:line="240" w:lineRule="auto"/>
        <w:rPr>
          <w:rFonts w:cs="Times New Roman"/>
          <w:szCs w:val="24"/>
          <w:u w:val="single"/>
        </w:rPr>
      </w:pPr>
      <w:r w:rsidRPr="004842E2">
        <w:rPr>
          <w:rFonts w:cs="Times New Roman"/>
          <w:szCs w:val="24"/>
        </w:rPr>
        <w:t>Court Decision on</w:t>
      </w:r>
      <w:r w:rsidRPr="004842E2">
        <w:rPr>
          <w:rFonts w:cs="Times New Roman"/>
          <w:szCs w:val="24"/>
        </w:rPr>
        <w:tab/>
      </w:r>
      <w:r w:rsidRPr="004842E2">
        <w:rPr>
          <w:rFonts w:cs="Times New Roman"/>
          <w:szCs w:val="24"/>
        </w:rPr>
        <w:tab/>
      </w:r>
      <w:r w:rsidRPr="004842E2">
        <w:rPr>
          <w:rFonts w:cs="Times New Roman"/>
          <w:szCs w:val="24"/>
          <w:u w:val="single"/>
        </w:rPr>
        <w:t>Legislative Provision Ideological Direction</w:t>
      </w:r>
    </w:p>
    <w:p w14:paraId="465450E6" w14:textId="77777777" w:rsidR="003D69B7" w:rsidRPr="004842E2" w:rsidRDefault="003D69B7" w:rsidP="003D69B7">
      <w:pPr>
        <w:spacing w:line="240" w:lineRule="auto"/>
        <w:rPr>
          <w:rFonts w:cs="Times New Roman"/>
          <w:szCs w:val="24"/>
          <w:u w:val="single"/>
        </w:rPr>
      </w:pPr>
      <w:r w:rsidRPr="004842E2">
        <w:rPr>
          <w:rFonts w:cs="Times New Roman"/>
          <w:szCs w:val="24"/>
          <w:u w:val="single"/>
        </w:rPr>
        <w:t>Legislative Provision</w:t>
      </w:r>
      <w:r w:rsidRPr="004842E2">
        <w:rPr>
          <w:rFonts w:cs="Times New Roman"/>
          <w:szCs w:val="24"/>
        </w:rPr>
        <w:tab/>
      </w:r>
      <w:r w:rsidRPr="004842E2">
        <w:rPr>
          <w:rFonts w:cs="Times New Roman"/>
          <w:szCs w:val="24"/>
        </w:rPr>
        <w:tab/>
      </w:r>
      <w:r w:rsidRPr="004842E2">
        <w:rPr>
          <w:rFonts w:cs="Times New Roman"/>
          <w:szCs w:val="24"/>
          <w:u w:val="single"/>
        </w:rPr>
        <w:t>Socialist</w:t>
      </w:r>
      <w:r w:rsidRPr="004842E2">
        <w:rPr>
          <w:rFonts w:cs="Times New Roman"/>
          <w:szCs w:val="24"/>
        </w:rPr>
        <w:tab/>
      </w:r>
      <w:r w:rsidRPr="004842E2">
        <w:rPr>
          <w:rFonts w:cs="Times New Roman"/>
          <w:szCs w:val="24"/>
        </w:rPr>
        <w:tab/>
      </w:r>
      <w:r w:rsidRPr="004842E2">
        <w:rPr>
          <w:rFonts w:cs="Times New Roman"/>
          <w:szCs w:val="24"/>
        </w:rPr>
        <w:tab/>
      </w:r>
      <w:r w:rsidRPr="004842E2">
        <w:rPr>
          <w:rFonts w:cs="Times New Roman"/>
          <w:szCs w:val="24"/>
          <w:u w:val="single"/>
        </w:rPr>
        <w:t>Non-Socialist</w:t>
      </w:r>
      <w:r w:rsidRPr="004842E2">
        <w:rPr>
          <w:rFonts w:cs="Times New Roman"/>
          <w:szCs w:val="24"/>
        </w:rPr>
        <w:tab/>
      </w:r>
      <w:r w:rsidRPr="004842E2">
        <w:rPr>
          <w:rFonts w:cs="Times New Roman"/>
          <w:szCs w:val="24"/>
        </w:rPr>
        <w:tab/>
      </w:r>
      <w:r w:rsidRPr="004842E2">
        <w:rPr>
          <w:rFonts w:cs="Times New Roman"/>
          <w:szCs w:val="24"/>
          <w:u w:val="single"/>
        </w:rPr>
        <w:t>Total</w:t>
      </w:r>
    </w:p>
    <w:p w14:paraId="2BB06418" w14:textId="77777777" w:rsidR="003D69B7" w:rsidRPr="003573F5" w:rsidRDefault="003D69B7" w:rsidP="003D69B7">
      <w:pPr>
        <w:spacing w:line="240" w:lineRule="auto"/>
        <w:rPr>
          <w:rFonts w:cs="Times New Roman"/>
          <w:szCs w:val="24"/>
        </w:rPr>
      </w:pPr>
    </w:p>
    <w:p w14:paraId="28FCACB6" w14:textId="77777777" w:rsidR="003D69B7" w:rsidRPr="003573F5" w:rsidRDefault="003D69B7" w:rsidP="003D69B7">
      <w:pPr>
        <w:spacing w:line="240" w:lineRule="auto"/>
        <w:rPr>
          <w:rFonts w:cs="Times New Roman"/>
          <w:szCs w:val="24"/>
        </w:rPr>
      </w:pPr>
      <w:r w:rsidRPr="003573F5">
        <w:rPr>
          <w:rFonts w:cs="Times New Roman"/>
          <w:szCs w:val="24"/>
        </w:rPr>
        <w:t>Socialist</w:t>
      </w:r>
      <w:r w:rsidRPr="003573F5">
        <w:rPr>
          <w:rFonts w:cs="Times New Roman"/>
          <w:szCs w:val="24"/>
        </w:rPr>
        <w:tab/>
      </w:r>
      <w:r w:rsidRPr="003573F5">
        <w:rPr>
          <w:rFonts w:cs="Times New Roman"/>
          <w:szCs w:val="24"/>
        </w:rPr>
        <w:tab/>
      </w:r>
      <w:r w:rsidRPr="003573F5">
        <w:rPr>
          <w:rFonts w:cs="Times New Roman"/>
          <w:szCs w:val="24"/>
        </w:rPr>
        <w:tab/>
      </w:r>
      <w:r w:rsidR="00A05971" w:rsidRPr="003573F5">
        <w:rPr>
          <w:rFonts w:cs="Times New Roman"/>
          <w:szCs w:val="24"/>
        </w:rPr>
        <w:t>60</w:t>
      </w:r>
      <w:r w:rsidRPr="003573F5">
        <w:rPr>
          <w:rFonts w:cs="Times New Roman"/>
          <w:szCs w:val="24"/>
        </w:rPr>
        <w:t>.</w:t>
      </w:r>
      <w:r w:rsidR="00A05971" w:rsidRPr="003573F5">
        <w:rPr>
          <w:rFonts w:cs="Times New Roman"/>
          <w:szCs w:val="24"/>
        </w:rPr>
        <w:t>0</w:t>
      </w:r>
      <w:r w:rsidRPr="003573F5">
        <w:rPr>
          <w:rFonts w:cs="Times New Roman"/>
          <w:szCs w:val="24"/>
        </w:rPr>
        <w:t>% (</w:t>
      </w:r>
      <w:r w:rsidR="00A05971" w:rsidRPr="003573F5">
        <w:rPr>
          <w:rFonts w:cs="Times New Roman"/>
          <w:szCs w:val="24"/>
        </w:rPr>
        <w:t>9</w:t>
      </w:r>
      <w:r w:rsidRPr="003573F5">
        <w:rPr>
          <w:rFonts w:cs="Times New Roman"/>
          <w:szCs w:val="24"/>
        </w:rPr>
        <w:t>)</w:t>
      </w:r>
      <w:r w:rsidRPr="003573F5">
        <w:rPr>
          <w:rFonts w:cs="Times New Roman"/>
          <w:szCs w:val="24"/>
        </w:rPr>
        <w:tab/>
      </w:r>
      <w:r w:rsidRPr="003573F5">
        <w:rPr>
          <w:rFonts w:cs="Times New Roman"/>
          <w:szCs w:val="24"/>
        </w:rPr>
        <w:tab/>
      </w:r>
      <w:r w:rsidRPr="003573F5">
        <w:rPr>
          <w:rFonts w:cs="Times New Roman"/>
          <w:szCs w:val="24"/>
        </w:rPr>
        <w:tab/>
      </w:r>
      <w:r w:rsidR="00415CA2" w:rsidRPr="003573F5">
        <w:rPr>
          <w:rFonts w:cs="Times New Roman"/>
          <w:szCs w:val="24"/>
        </w:rPr>
        <w:t>42.9</w:t>
      </w:r>
      <w:r w:rsidRPr="003573F5">
        <w:rPr>
          <w:rFonts w:cs="Times New Roman"/>
          <w:szCs w:val="24"/>
        </w:rPr>
        <w:t>% (</w:t>
      </w:r>
      <w:r w:rsidR="00415CA2" w:rsidRPr="003573F5">
        <w:rPr>
          <w:rFonts w:cs="Times New Roman"/>
          <w:szCs w:val="24"/>
        </w:rPr>
        <w:t>3</w:t>
      </w:r>
      <w:r w:rsidRPr="003573F5">
        <w:rPr>
          <w:rFonts w:cs="Times New Roman"/>
          <w:szCs w:val="24"/>
        </w:rPr>
        <w:t>)</w:t>
      </w:r>
      <w:r w:rsidRPr="003573F5">
        <w:rPr>
          <w:rFonts w:cs="Times New Roman"/>
          <w:szCs w:val="24"/>
        </w:rPr>
        <w:tab/>
      </w:r>
      <w:r w:rsidRPr="003573F5">
        <w:rPr>
          <w:rFonts w:cs="Times New Roman"/>
          <w:szCs w:val="24"/>
        </w:rPr>
        <w:tab/>
      </w:r>
      <w:r w:rsidR="00A05971" w:rsidRPr="003573F5">
        <w:rPr>
          <w:rFonts w:cs="Times New Roman"/>
          <w:szCs w:val="24"/>
        </w:rPr>
        <w:t>5</w:t>
      </w:r>
      <w:r w:rsidR="00415CA2" w:rsidRPr="003573F5">
        <w:rPr>
          <w:rFonts w:cs="Times New Roman"/>
          <w:szCs w:val="24"/>
        </w:rPr>
        <w:t>4</w:t>
      </w:r>
      <w:r w:rsidR="00415D58" w:rsidRPr="003573F5">
        <w:rPr>
          <w:rFonts w:cs="Times New Roman"/>
          <w:szCs w:val="24"/>
        </w:rPr>
        <w:t>.</w:t>
      </w:r>
      <w:r w:rsidR="00415CA2" w:rsidRPr="003573F5">
        <w:rPr>
          <w:rFonts w:cs="Times New Roman"/>
          <w:szCs w:val="24"/>
        </w:rPr>
        <w:t>5</w:t>
      </w:r>
      <w:r w:rsidRPr="003573F5">
        <w:rPr>
          <w:rFonts w:cs="Times New Roman"/>
          <w:szCs w:val="24"/>
        </w:rPr>
        <w:t>% (</w:t>
      </w:r>
      <w:r w:rsidR="00A05971" w:rsidRPr="003573F5">
        <w:rPr>
          <w:rFonts w:cs="Times New Roman"/>
          <w:szCs w:val="24"/>
        </w:rPr>
        <w:t>1</w:t>
      </w:r>
      <w:r w:rsidR="00415CA2" w:rsidRPr="003573F5">
        <w:rPr>
          <w:rFonts w:cs="Times New Roman"/>
          <w:szCs w:val="24"/>
        </w:rPr>
        <w:t>2</w:t>
      </w:r>
      <w:r w:rsidRPr="003573F5">
        <w:rPr>
          <w:rFonts w:cs="Times New Roman"/>
          <w:szCs w:val="24"/>
        </w:rPr>
        <w:t>)</w:t>
      </w:r>
    </w:p>
    <w:p w14:paraId="007A7A3E" w14:textId="77777777" w:rsidR="003D69B7" w:rsidRPr="003573F5" w:rsidRDefault="003D69B7" w:rsidP="003D69B7">
      <w:pPr>
        <w:spacing w:line="240" w:lineRule="auto"/>
        <w:rPr>
          <w:rFonts w:cs="Times New Roman"/>
          <w:szCs w:val="24"/>
          <w:u w:val="single"/>
        </w:rPr>
      </w:pPr>
      <w:r w:rsidRPr="003573F5">
        <w:rPr>
          <w:rFonts w:cs="Times New Roman"/>
          <w:szCs w:val="24"/>
          <w:u w:val="single"/>
        </w:rPr>
        <w:t>Non-Socia</w:t>
      </w:r>
      <w:r w:rsidR="004D0FD9" w:rsidRPr="003573F5">
        <w:rPr>
          <w:rFonts w:cs="Times New Roman"/>
          <w:szCs w:val="24"/>
          <w:u w:val="single"/>
        </w:rPr>
        <w:t>l</w:t>
      </w:r>
      <w:r w:rsidRPr="003573F5">
        <w:rPr>
          <w:rFonts w:cs="Times New Roman"/>
          <w:szCs w:val="24"/>
          <w:u w:val="single"/>
        </w:rPr>
        <w:t>ist</w:t>
      </w:r>
      <w:r w:rsidRPr="003573F5">
        <w:rPr>
          <w:rFonts w:cs="Times New Roman"/>
          <w:szCs w:val="24"/>
          <w:u w:val="single"/>
        </w:rPr>
        <w:tab/>
      </w:r>
      <w:r w:rsidRPr="003573F5">
        <w:rPr>
          <w:rFonts w:cs="Times New Roman"/>
          <w:szCs w:val="24"/>
          <w:u w:val="single"/>
        </w:rPr>
        <w:tab/>
      </w:r>
      <w:r w:rsidRPr="003573F5">
        <w:rPr>
          <w:rFonts w:cs="Times New Roman"/>
          <w:szCs w:val="24"/>
        </w:rPr>
        <w:tab/>
        <w:t xml:space="preserve"> </w:t>
      </w:r>
      <w:r w:rsidR="00A05971" w:rsidRPr="003573F5">
        <w:rPr>
          <w:rFonts w:cs="Times New Roman"/>
          <w:szCs w:val="24"/>
        </w:rPr>
        <w:t>40.0</w:t>
      </w:r>
      <w:r w:rsidRPr="003573F5">
        <w:rPr>
          <w:rFonts w:cs="Times New Roman"/>
          <w:szCs w:val="24"/>
          <w:u w:val="single"/>
        </w:rPr>
        <w:t xml:space="preserve"> </w:t>
      </w:r>
      <w:proofErr w:type="gramStart"/>
      <w:r w:rsidRPr="003573F5">
        <w:rPr>
          <w:rFonts w:cs="Times New Roman"/>
          <w:szCs w:val="24"/>
          <w:u w:val="single"/>
        </w:rPr>
        <w:t xml:space="preserve">   (</w:t>
      </w:r>
      <w:proofErr w:type="gramEnd"/>
      <w:r w:rsidR="00A05971" w:rsidRPr="003573F5">
        <w:rPr>
          <w:rFonts w:cs="Times New Roman"/>
          <w:szCs w:val="24"/>
          <w:u w:val="single"/>
        </w:rPr>
        <w:t>6</w:t>
      </w:r>
      <w:r w:rsidRPr="003573F5">
        <w:rPr>
          <w:rFonts w:cs="Times New Roman"/>
          <w:szCs w:val="24"/>
          <w:u w:val="single"/>
        </w:rPr>
        <w:t>)</w:t>
      </w:r>
      <w:r w:rsidRPr="003573F5">
        <w:rPr>
          <w:rFonts w:cs="Times New Roman"/>
          <w:szCs w:val="24"/>
        </w:rPr>
        <w:tab/>
      </w:r>
      <w:r w:rsidRPr="003573F5">
        <w:rPr>
          <w:rFonts w:cs="Times New Roman"/>
          <w:szCs w:val="24"/>
        </w:rPr>
        <w:tab/>
      </w:r>
      <w:r w:rsidRPr="003573F5">
        <w:rPr>
          <w:rFonts w:cs="Times New Roman"/>
          <w:szCs w:val="24"/>
        </w:rPr>
        <w:tab/>
      </w:r>
      <w:r w:rsidRPr="003573F5">
        <w:rPr>
          <w:rFonts w:cs="Times New Roman"/>
          <w:szCs w:val="24"/>
          <w:u w:val="single"/>
        </w:rPr>
        <w:t xml:space="preserve"> </w:t>
      </w:r>
      <w:r w:rsidR="00415CA2" w:rsidRPr="003573F5">
        <w:rPr>
          <w:rFonts w:cs="Times New Roman"/>
          <w:szCs w:val="24"/>
          <w:u w:val="single"/>
        </w:rPr>
        <w:t>57.1</w:t>
      </w:r>
      <w:r w:rsidRPr="003573F5">
        <w:rPr>
          <w:rFonts w:cs="Times New Roman"/>
          <w:szCs w:val="24"/>
          <w:u w:val="single"/>
        </w:rPr>
        <w:t xml:space="preserve">    (</w:t>
      </w:r>
      <w:r w:rsidR="00415CA2" w:rsidRPr="003573F5">
        <w:rPr>
          <w:rFonts w:cs="Times New Roman"/>
          <w:szCs w:val="24"/>
          <w:u w:val="single"/>
        </w:rPr>
        <w:t>4</w:t>
      </w:r>
      <w:r w:rsidRPr="003573F5">
        <w:rPr>
          <w:rFonts w:cs="Times New Roman"/>
          <w:szCs w:val="24"/>
          <w:u w:val="single"/>
        </w:rPr>
        <w:t>)</w:t>
      </w:r>
      <w:r w:rsidRPr="003573F5">
        <w:rPr>
          <w:rFonts w:cs="Times New Roman"/>
          <w:szCs w:val="24"/>
        </w:rPr>
        <w:tab/>
      </w:r>
      <w:r w:rsidRPr="003573F5">
        <w:rPr>
          <w:rFonts w:cs="Times New Roman"/>
          <w:szCs w:val="24"/>
        </w:rPr>
        <w:tab/>
      </w:r>
      <w:r w:rsidRPr="003573F5">
        <w:rPr>
          <w:rFonts w:cs="Times New Roman"/>
          <w:szCs w:val="24"/>
          <w:u w:val="single"/>
        </w:rPr>
        <w:t xml:space="preserve"> </w:t>
      </w:r>
      <w:r w:rsidR="00A05971" w:rsidRPr="003573F5">
        <w:rPr>
          <w:rFonts w:cs="Times New Roman"/>
          <w:szCs w:val="24"/>
          <w:u w:val="single"/>
        </w:rPr>
        <w:t>4</w:t>
      </w:r>
      <w:r w:rsidR="00415CA2" w:rsidRPr="003573F5">
        <w:rPr>
          <w:rFonts w:cs="Times New Roman"/>
          <w:szCs w:val="24"/>
          <w:u w:val="single"/>
        </w:rPr>
        <w:t>5</w:t>
      </w:r>
      <w:r w:rsidRPr="003573F5">
        <w:rPr>
          <w:rFonts w:cs="Times New Roman"/>
          <w:szCs w:val="24"/>
          <w:u w:val="single"/>
        </w:rPr>
        <w:t>.</w:t>
      </w:r>
      <w:r w:rsidR="00415CA2" w:rsidRPr="003573F5">
        <w:rPr>
          <w:rFonts w:cs="Times New Roman"/>
          <w:szCs w:val="24"/>
          <w:u w:val="single"/>
        </w:rPr>
        <w:t>5</w:t>
      </w:r>
      <w:r w:rsidR="00A05971" w:rsidRPr="003573F5">
        <w:rPr>
          <w:rFonts w:cs="Times New Roman"/>
          <w:szCs w:val="24"/>
          <w:u w:val="single"/>
        </w:rPr>
        <w:t xml:space="preserve">    (</w:t>
      </w:r>
      <w:r w:rsidR="00415CA2" w:rsidRPr="003573F5">
        <w:rPr>
          <w:rFonts w:cs="Times New Roman"/>
          <w:szCs w:val="24"/>
          <w:u w:val="single"/>
        </w:rPr>
        <w:t>10)</w:t>
      </w:r>
    </w:p>
    <w:p w14:paraId="75B051DF" w14:textId="77777777" w:rsidR="003D69B7" w:rsidRPr="004842E2" w:rsidRDefault="003D69B7" w:rsidP="003D69B7">
      <w:pPr>
        <w:spacing w:line="240" w:lineRule="auto"/>
        <w:rPr>
          <w:rFonts w:cs="Times New Roman"/>
          <w:szCs w:val="24"/>
          <w:u w:val="single"/>
        </w:rPr>
      </w:pPr>
    </w:p>
    <w:p w14:paraId="0841BE72" w14:textId="77777777" w:rsidR="003D69B7" w:rsidRDefault="003D69B7" w:rsidP="003D69B7">
      <w:pPr>
        <w:spacing w:line="240" w:lineRule="auto"/>
        <w:rPr>
          <w:rFonts w:cs="Times New Roman"/>
          <w:szCs w:val="24"/>
        </w:rPr>
      </w:pPr>
      <w:r w:rsidRPr="004842E2">
        <w:rPr>
          <w:rFonts w:cs="Times New Roman"/>
          <w:szCs w:val="24"/>
        </w:rPr>
        <w:t>Total</w:t>
      </w:r>
      <w:r w:rsidRPr="004842E2">
        <w:rPr>
          <w:rFonts w:cs="Times New Roman"/>
          <w:szCs w:val="24"/>
        </w:rPr>
        <w:tab/>
      </w:r>
      <w:r w:rsidRPr="004842E2">
        <w:rPr>
          <w:rFonts w:cs="Times New Roman"/>
          <w:szCs w:val="24"/>
        </w:rPr>
        <w:tab/>
      </w:r>
      <w:r w:rsidRPr="004842E2">
        <w:rPr>
          <w:rFonts w:cs="Times New Roman"/>
          <w:szCs w:val="24"/>
        </w:rPr>
        <w:tab/>
      </w:r>
      <w:r w:rsidRPr="004842E2">
        <w:rPr>
          <w:rFonts w:cs="Times New Roman"/>
          <w:szCs w:val="24"/>
        </w:rPr>
        <w:tab/>
        <w:t>100.0% (1</w:t>
      </w:r>
      <w:r w:rsidR="00A05971">
        <w:rPr>
          <w:rFonts w:cs="Times New Roman"/>
          <w:szCs w:val="24"/>
        </w:rPr>
        <w:t>5</w:t>
      </w:r>
      <w:r w:rsidRPr="004842E2">
        <w:rPr>
          <w:rFonts w:cs="Times New Roman"/>
          <w:szCs w:val="24"/>
        </w:rPr>
        <w:t>)</w:t>
      </w:r>
      <w:r w:rsidRPr="004842E2">
        <w:rPr>
          <w:rFonts w:cs="Times New Roman"/>
          <w:szCs w:val="24"/>
        </w:rPr>
        <w:tab/>
      </w:r>
      <w:r w:rsidRPr="004842E2">
        <w:rPr>
          <w:rFonts w:cs="Times New Roman"/>
          <w:szCs w:val="24"/>
        </w:rPr>
        <w:tab/>
      </w:r>
      <w:r w:rsidRPr="004842E2">
        <w:rPr>
          <w:rFonts w:cs="Times New Roman"/>
          <w:szCs w:val="24"/>
        </w:rPr>
        <w:tab/>
        <w:t>100.0% (</w:t>
      </w:r>
      <w:r w:rsidR="00A05971">
        <w:rPr>
          <w:rFonts w:cs="Times New Roman"/>
          <w:szCs w:val="24"/>
        </w:rPr>
        <w:t>7</w:t>
      </w:r>
      <w:r w:rsidRPr="004842E2">
        <w:rPr>
          <w:rFonts w:cs="Times New Roman"/>
          <w:szCs w:val="24"/>
        </w:rPr>
        <w:t>)</w:t>
      </w:r>
      <w:r>
        <w:rPr>
          <w:rFonts w:cs="Times New Roman"/>
          <w:szCs w:val="24"/>
        </w:rPr>
        <w:tab/>
      </w:r>
      <w:r>
        <w:rPr>
          <w:rFonts w:cs="Times New Roman"/>
          <w:szCs w:val="24"/>
        </w:rPr>
        <w:tab/>
        <w:t>100.0% (22)</w:t>
      </w:r>
    </w:p>
    <w:p w14:paraId="5D33BFC1" w14:textId="77777777" w:rsidR="003D69B7" w:rsidRDefault="003D69B7" w:rsidP="009F4E5C">
      <w:pPr>
        <w:spacing w:line="240" w:lineRule="auto"/>
        <w:rPr>
          <w:rFonts w:cs="Times New Roman"/>
          <w:szCs w:val="24"/>
        </w:rPr>
      </w:pPr>
    </w:p>
    <w:p w14:paraId="25502CA0" w14:textId="77777777" w:rsidR="007A15A8" w:rsidRDefault="00C6609E" w:rsidP="009F4E5C">
      <w:pPr>
        <w:spacing w:line="240" w:lineRule="auto"/>
        <w:rPr>
          <w:rFonts w:cs="Times New Roman"/>
          <w:szCs w:val="24"/>
        </w:rPr>
      </w:pPr>
      <w:proofErr w:type="spellStart"/>
      <w:r>
        <w:rPr>
          <w:rFonts w:cs="Times New Roman"/>
          <w:szCs w:val="24"/>
        </w:rPr>
        <w:t>λ</w:t>
      </w:r>
      <w:r>
        <w:rPr>
          <w:rFonts w:cs="Times New Roman"/>
          <w:szCs w:val="24"/>
          <w:vertAlign w:val="subscript"/>
        </w:rPr>
        <w:t>B</w:t>
      </w:r>
      <w:proofErr w:type="spellEnd"/>
      <w:r>
        <w:rPr>
          <w:rFonts w:cs="Times New Roman"/>
          <w:szCs w:val="24"/>
        </w:rPr>
        <w:t xml:space="preserve"> = .100</w:t>
      </w:r>
    </w:p>
    <w:p w14:paraId="0FCCC3FB" w14:textId="77777777" w:rsidR="007A15A8" w:rsidRDefault="007A15A8" w:rsidP="009F4E5C">
      <w:pPr>
        <w:spacing w:line="240" w:lineRule="auto"/>
        <w:rPr>
          <w:rFonts w:cs="Times New Roman"/>
          <w:szCs w:val="24"/>
        </w:rPr>
      </w:pPr>
    </w:p>
    <w:p w14:paraId="3D871D18" w14:textId="77777777" w:rsidR="007A15A8" w:rsidRDefault="007A15A8" w:rsidP="009F4E5C">
      <w:pPr>
        <w:spacing w:line="240" w:lineRule="auto"/>
        <w:rPr>
          <w:rFonts w:cs="Times New Roman"/>
          <w:szCs w:val="24"/>
        </w:rPr>
      </w:pPr>
    </w:p>
    <w:p w14:paraId="0374024E" w14:textId="754EC9F1" w:rsidR="00116672" w:rsidRDefault="00116672">
      <w:pPr>
        <w:spacing w:after="200" w:line="276" w:lineRule="auto"/>
        <w:rPr>
          <w:rFonts w:cs="Times New Roman"/>
          <w:szCs w:val="24"/>
        </w:rPr>
      </w:pPr>
      <w:r>
        <w:rPr>
          <w:rFonts w:cs="Times New Roman"/>
          <w:szCs w:val="24"/>
        </w:rPr>
        <w:br w:type="page"/>
      </w:r>
    </w:p>
    <w:p w14:paraId="4A58DDAC" w14:textId="77777777" w:rsidR="00116672" w:rsidRPr="00116672" w:rsidRDefault="00116672" w:rsidP="00116672">
      <w:pPr>
        <w:spacing w:line="240" w:lineRule="auto"/>
        <w:jc w:val="center"/>
        <w:rPr>
          <w:rFonts w:cs="Times New Roman"/>
          <w:b/>
          <w:szCs w:val="24"/>
        </w:rPr>
      </w:pPr>
      <w:r w:rsidRPr="00116672">
        <w:rPr>
          <w:rFonts w:cs="Times New Roman"/>
          <w:b/>
          <w:szCs w:val="24"/>
        </w:rPr>
        <w:lastRenderedPageBreak/>
        <w:t>Table 4. Variables in Logit Equation</w:t>
      </w:r>
    </w:p>
    <w:p w14:paraId="4E3CE07B" w14:textId="77777777" w:rsidR="00116672" w:rsidRPr="00116672" w:rsidRDefault="00116672" w:rsidP="00116672">
      <w:pPr>
        <w:spacing w:line="240" w:lineRule="auto"/>
        <w:jc w:val="center"/>
        <w:rPr>
          <w:rFonts w:cs="Times New Roman"/>
          <w:b/>
          <w:szCs w:val="24"/>
          <w:u w:val="single"/>
        </w:rPr>
      </w:pPr>
    </w:p>
    <w:tbl>
      <w:tblPr>
        <w:tblStyle w:val="TableGrid"/>
        <w:tblW w:w="7938" w:type="dxa"/>
        <w:tblLayout w:type="fixed"/>
        <w:tblLook w:val="04A0" w:firstRow="1" w:lastRow="0" w:firstColumn="1" w:lastColumn="0" w:noHBand="0" w:noVBand="1"/>
      </w:tblPr>
      <w:tblGrid>
        <w:gridCol w:w="3528"/>
        <w:gridCol w:w="1170"/>
        <w:gridCol w:w="1170"/>
        <w:gridCol w:w="990"/>
        <w:gridCol w:w="1080"/>
      </w:tblGrid>
      <w:tr w:rsidR="00116672" w:rsidRPr="00116672" w14:paraId="6DE7AF1F" w14:textId="77777777" w:rsidTr="008578BD">
        <w:tc>
          <w:tcPr>
            <w:tcW w:w="3528" w:type="dxa"/>
          </w:tcPr>
          <w:p w14:paraId="107CB616" w14:textId="77777777" w:rsidR="00116672" w:rsidRPr="00116672" w:rsidRDefault="00116672" w:rsidP="008578BD">
            <w:pPr>
              <w:rPr>
                <w:rFonts w:cs="Times New Roman"/>
                <w:b/>
                <w:szCs w:val="24"/>
                <w:u w:val="single"/>
              </w:rPr>
            </w:pPr>
          </w:p>
        </w:tc>
        <w:tc>
          <w:tcPr>
            <w:tcW w:w="1170" w:type="dxa"/>
            <w:vAlign w:val="center"/>
          </w:tcPr>
          <w:p w14:paraId="1B6236F2" w14:textId="77777777" w:rsidR="00116672" w:rsidRPr="00116672" w:rsidRDefault="00116672" w:rsidP="008578BD">
            <w:pPr>
              <w:jc w:val="center"/>
              <w:rPr>
                <w:rFonts w:cs="Times New Roman"/>
                <w:b/>
                <w:szCs w:val="24"/>
                <w:u w:val="single"/>
              </w:rPr>
            </w:pPr>
            <w:r w:rsidRPr="00116672">
              <w:rPr>
                <w:rFonts w:cs="Times New Roman"/>
                <w:b/>
                <w:szCs w:val="24"/>
                <w:u w:val="single"/>
              </w:rPr>
              <w:t>Mean</w:t>
            </w:r>
          </w:p>
        </w:tc>
        <w:tc>
          <w:tcPr>
            <w:tcW w:w="1170" w:type="dxa"/>
            <w:vAlign w:val="center"/>
          </w:tcPr>
          <w:p w14:paraId="21E2AA4C" w14:textId="77777777" w:rsidR="00116672" w:rsidRPr="00116672" w:rsidRDefault="00116672" w:rsidP="008578BD">
            <w:pPr>
              <w:jc w:val="center"/>
              <w:rPr>
                <w:rFonts w:cs="Times New Roman"/>
                <w:b/>
                <w:szCs w:val="24"/>
                <w:u w:val="single"/>
              </w:rPr>
            </w:pPr>
            <w:proofErr w:type="spellStart"/>
            <w:r w:rsidRPr="00116672">
              <w:rPr>
                <w:rFonts w:cs="Times New Roman"/>
                <w:b/>
                <w:szCs w:val="24"/>
                <w:u w:val="single"/>
              </w:rPr>
              <w:t>Std</w:t>
            </w:r>
            <w:proofErr w:type="spellEnd"/>
            <w:r w:rsidRPr="00116672">
              <w:rPr>
                <w:rFonts w:cs="Times New Roman"/>
                <w:b/>
                <w:szCs w:val="24"/>
                <w:u w:val="single"/>
              </w:rPr>
              <w:t>, Dev.</w:t>
            </w:r>
          </w:p>
        </w:tc>
        <w:tc>
          <w:tcPr>
            <w:tcW w:w="990" w:type="dxa"/>
            <w:vAlign w:val="center"/>
          </w:tcPr>
          <w:p w14:paraId="0FABEAEC" w14:textId="77777777" w:rsidR="00116672" w:rsidRPr="00116672" w:rsidRDefault="00116672" w:rsidP="008578BD">
            <w:pPr>
              <w:jc w:val="center"/>
              <w:rPr>
                <w:rFonts w:cs="Times New Roman"/>
                <w:b/>
                <w:szCs w:val="24"/>
                <w:u w:val="single"/>
              </w:rPr>
            </w:pPr>
            <w:r w:rsidRPr="00116672">
              <w:rPr>
                <w:rFonts w:cs="Times New Roman"/>
                <w:b/>
                <w:szCs w:val="24"/>
                <w:u w:val="single"/>
              </w:rPr>
              <w:t>Min</w:t>
            </w:r>
          </w:p>
        </w:tc>
        <w:tc>
          <w:tcPr>
            <w:tcW w:w="1080" w:type="dxa"/>
            <w:vAlign w:val="center"/>
          </w:tcPr>
          <w:p w14:paraId="516013E2" w14:textId="77777777" w:rsidR="00116672" w:rsidRPr="00116672" w:rsidRDefault="00116672" w:rsidP="008578BD">
            <w:pPr>
              <w:jc w:val="center"/>
              <w:rPr>
                <w:rFonts w:cs="Times New Roman"/>
                <w:b/>
                <w:szCs w:val="24"/>
                <w:u w:val="single"/>
              </w:rPr>
            </w:pPr>
            <w:r w:rsidRPr="00116672">
              <w:rPr>
                <w:rFonts w:cs="Times New Roman"/>
                <w:b/>
                <w:szCs w:val="24"/>
                <w:u w:val="single"/>
              </w:rPr>
              <w:t>Max</w:t>
            </w:r>
          </w:p>
        </w:tc>
      </w:tr>
      <w:tr w:rsidR="00116672" w:rsidRPr="00116672" w14:paraId="1020E821" w14:textId="77777777" w:rsidTr="008578BD">
        <w:tc>
          <w:tcPr>
            <w:tcW w:w="3528" w:type="dxa"/>
          </w:tcPr>
          <w:p w14:paraId="6C363949" w14:textId="77777777" w:rsidR="00116672" w:rsidRPr="00FB1382" w:rsidRDefault="00116672" w:rsidP="006631FA">
            <w:pPr>
              <w:rPr>
                <w:rFonts w:cs="Times New Roman"/>
                <w:i/>
                <w:szCs w:val="24"/>
              </w:rPr>
            </w:pPr>
            <w:r w:rsidRPr="00FB1382">
              <w:rPr>
                <w:rFonts w:cs="Times New Roman"/>
                <w:i/>
                <w:szCs w:val="24"/>
              </w:rPr>
              <w:t>Dependent Variable</w:t>
            </w:r>
          </w:p>
        </w:tc>
        <w:tc>
          <w:tcPr>
            <w:tcW w:w="1170" w:type="dxa"/>
            <w:vAlign w:val="center"/>
          </w:tcPr>
          <w:p w14:paraId="77409DA0" w14:textId="77777777" w:rsidR="00116672" w:rsidRPr="00116672" w:rsidRDefault="00116672" w:rsidP="008578BD">
            <w:pPr>
              <w:jc w:val="center"/>
              <w:rPr>
                <w:rFonts w:cs="Times New Roman"/>
                <w:szCs w:val="24"/>
                <w:u w:val="single"/>
              </w:rPr>
            </w:pPr>
          </w:p>
        </w:tc>
        <w:tc>
          <w:tcPr>
            <w:tcW w:w="1170" w:type="dxa"/>
            <w:vAlign w:val="center"/>
          </w:tcPr>
          <w:p w14:paraId="04EC09ED" w14:textId="77777777" w:rsidR="00116672" w:rsidRPr="00116672" w:rsidRDefault="00116672" w:rsidP="008578BD">
            <w:pPr>
              <w:jc w:val="center"/>
              <w:rPr>
                <w:rFonts w:cs="Times New Roman"/>
                <w:szCs w:val="24"/>
                <w:u w:val="single"/>
              </w:rPr>
            </w:pPr>
          </w:p>
        </w:tc>
        <w:tc>
          <w:tcPr>
            <w:tcW w:w="990" w:type="dxa"/>
            <w:vAlign w:val="center"/>
          </w:tcPr>
          <w:p w14:paraId="6E4573E1" w14:textId="77777777" w:rsidR="00116672" w:rsidRPr="00116672" w:rsidRDefault="00116672" w:rsidP="008578BD">
            <w:pPr>
              <w:jc w:val="center"/>
              <w:rPr>
                <w:rFonts w:cs="Times New Roman"/>
                <w:szCs w:val="24"/>
                <w:u w:val="single"/>
              </w:rPr>
            </w:pPr>
          </w:p>
        </w:tc>
        <w:tc>
          <w:tcPr>
            <w:tcW w:w="1080" w:type="dxa"/>
            <w:vAlign w:val="center"/>
          </w:tcPr>
          <w:p w14:paraId="797B7413" w14:textId="77777777" w:rsidR="00116672" w:rsidRPr="00116672" w:rsidRDefault="00116672" w:rsidP="008578BD">
            <w:pPr>
              <w:jc w:val="center"/>
              <w:rPr>
                <w:rFonts w:cs="Times New Roman"/>
                <w:szCs w:val="24"/>
                <w:u w:val="single"/>
              </w:rPr>
            </w:pPr>
          </w:p>
        </w:tc>
      </w:tr>
      <w:tr w:rsidR="00116672" w:rsidRPr="00116672" w14:paraId="396CC78B" w14:textId="77777777" w:rsidTr="008578BD">
        <w:tc>
          <w:tcPr>
            <w:tcW w:w="3528" w:type="dxa"/>
          </w:tcPr>
          <w:p w14:paraId="5975EAC4" w14:textId="77777777" w:rsidR="00116672" w:rsidRPr="006631FA" w:rsidRDefault="00116672" w:rsidP="008578BD">
            <w:pPr>
              <w:rPr>
                <w:rFonts w:cs="Times New Roman"/>
                <w:szCs w:val="24"/>
              </w:rPr>
            </w:pPr>
            <w:r w:rsidRPr="006631FA">
              <w:rPr>
                <w:rFonts w:cs="Times New Roman"/>
                <w:szCs w:val="24"/>
              </w:rPr>
              <w:t>Socialist Vote</w:t>
            </w:r>
          </w:p>
        </w:tc>
        <w:tc>
          <w:tcPr>
            <w:tcW w:w="1170" w:type="dxa"/>
            <w:vAlign w:val="center"/>
          </w:tcPr>
          <w:p w14:paraId="1BBC4490" w14:textId="77777777" w:rsidR="00116672" w:rsidRPr="006631FA" w:rsidRDefault="00116672" w:rsidP="008578BD">
            <w:pPr>
              <w:jc w:val="center"/>
              <w:rPr>
                <w:rFonts w:cs="Times New Roman"/>
                <w:szCs w:val="24"/>
              </w:rPr>
            </w:pPr>
            <w:r w:rsidRPr="006631FA">
              <w:rPr>
                <w:rFonts w:cs="Times New Roman"/>
                <w:szCs w:val="24"/>
              </w:rPr>
              <w:t>.554</w:t>
            </w:r>
          </w:p>
        </w:tc>
        <w:tc>
          <w:tcPr>
            <w:tcW w:w="1170" w:type="dxa"/>
            <w:vAlign w:val="center"/>
          </w:tcPr>
          <w:p w14:paraId="209EF63F" w14:textId="77777777" w:rsidR="00116672" w:rsidRPr="006631FA" w:rsidRDefault="00116672" w:rsidP="008578BD">
            <w:pPr>
              <w:jc w:val="center"/>
              <w:rPr>
                <w:rFonts w:cs="Times New Roman"/>
                <w:szCs w:val="24"/>
              </w:rPr>
            </w:pPr>
            <w:r w:rsidRPr="006631FA">
              <w:rPr>
                <w:rFonts w:cs="Times New Roman"/>
                <w:szCs w:val="24"/>
              </w:rPr>
              <w:t>.499</w:t>
            </w:r>
          </w:p>
        </w:tc>
        <w:tc>
          <w:tcPr>
            <w:tcW w:w="990" w:type="dxa"/>
            <w:vAlign w:val="center"/>
          </w:tcPr>
          <w:p w14:paraId="0D598FA1" w14:textId="77777777" w:rsidR="00116672" w:rsidRPr="006631FA" w:rsidRDefault="00116672" w:rsidP="008578BD">
            <w:pPr>
              <w:jc w:val="center"/>
              <w:rPr>
                <w:rFonts w:cs="Times New Roman"/>
                <w:szCs w:val="24"/>
              </w:rPr>
            </w:pPr>
            <w:r w:rsidRPr="006631FA">
              <w:rPr>
                <w:rFonts w:cs="Times New Roman"/>
                <w:szCs w:val="24"/>
              </w:rPr>
              <w:t>0</w:t>
            </w:r>
          </w:p>
        </w:tc>
        <w:tc>
          <w:tcPr>
            <w:tcW w:w="1080" w:type="dxa"/>
            <w:vAlign w:val="center"/>
          </w:tcPr>
          <w:p w14:paraId="3FE7C491" w14:textId="77777777" w:rsidR="00116672" w:rsidRPr="006631FA" w:rsidRDefault="00116672" w:rsidP="008578BD">
            <w:pPr>
              <w:jc w:val="center"/>
              <w:rPr>
                <w:rFonts w:cs="Times New Roman"/>
                <w:szCs w:val="24"/>
              </w:rPr>
            </w:pPr>
            <w:r w:rsidRPr="006631FA">
              <w:rPr>
                <w:rFonts w:cs="Times New Roman"/>
                <w:szCs w:val="24"/>
              </w:rPr>
              <w:t>1</w:t>
            </w:r>
          </w:p>
        </w:tc>
      </w:tr>
      <w:tr w:rsidR="00116672" w:rsidRPr="006631FA" w14:paraId="46E41B21" w14:textId="77777777" w:rsidTr="008578BD">
        <w:tc>
          <w:tcPr>
            <w:tcW w:w="3528" w:type="dxa"/>
          </w:tcPr>
          <w:p w14:paraId="1D2FE34F" w14:textId="77777777" w:rsidR="00116672" w:rsidRPr="006631FA" w:rsidRDefault="00116672" w:rsidP="008578BD">
            <w:pPr>
              <w:rPr>
                <w:rFonts w:cs="Times New Roman"/>
                <w:szCs w:val="24"/>
              </w:rPr>
            </w:pPr>
          </w:p>
        </w:tc>
        <w:tc>
          <w:tcPr>
            <w:tcW w:w="1170" w:type="dxa"/>
            <w:vAlign w:val="center"/>
          </w:tcPr>
          <w:p w14:paraId="51300FEF" w14:textId="77777777" w:rsidR="00116672" w:rsidRPr="006631FA" w:rsidRDefault="00116672" w:rsidP="008578BD">
            <w:pPr>
              <w:jc w:val="center"/>
              <w:rPr>
                <w:rFonts w:cs="Times New Roman"/>
                <w:szCs w:val="24"/>
              </w:rPr>
            </w:pPr>
          </w:p>
        </w:tc>
        <w:tc>
          <w:tcPr>
            <w:tcW w:w="1170" w:type="dxa"/>
            <w:vAlign w:val="center"/>
          </w:tcPr>
          <w:p w14:paraId="3BE0338B" w14:textId="77777777" w:rsidR="00116672" w:rsidRPr="006631FA" w:rsidRDefault="00116672" w:rsidP="008578BD">
            <w:pPr>
              <w:jc w:val="center"/>
              <w:rPr>
                <w:rFonts w:cs="Times New Roman"/>
                <w:szCs w:val="24"/>
              </w:rPr>
            </w:pPr>
          </w:p>
        </w:tc>
        <w:tc>
          <w:tcPr>
            <w:tcW w:w="990" w:type="dxa"/>
            <w:vAlign w:val="center"/>
          </w:tcPr>
          <w:p w14:paraId="23262EAB" w14:textId="77777777" w:rsidR="00116672" w:rsidRPr="006631FA" w:rsidRDefault="00116672" w:rsidP="008578BD">
            <w:pPr>
              <w:jc w:val="center"/>
              <w:rPr>
                <w:rFonts w:cs="Times New Roman"/>
                <w:szCs w:val="24"/>
              </w:rPr>
            </w:pPr>
          </w:p>
        </w:tc>
        <w:tc>
          <w:tcPr>
            <w:tcW w:w="1080" w:type="dxa"/>
            <w:vAlign w:val="center"/>
          </w:tcPr>
          <w:p w14:paraId="0AD9216D" w14:textId="77777777" w:rsidR="00116672" w:rsidRPr="006631FA" w:rsidRDefault="00116672" w:rsidP="008578BD">
            <w:pPr>
              <w:jc w:val="center"/>
              <w:rPr>
                <w:rFonts w:cs="Times New Roman"/>
                <w:szCs w:val="24"/>
              </w:rPr>
            </w:pPr>
          </w:p>
        </w:tc>
      </w:tr>
      <w:tr w:rsidR="00116672" w:rsidRPr="00116672" w14:paraId="42ACFB81" w14:textId="77777777" w:rsidTr="008578BD">
        <w:tc>
          <w:tcPr>
            <w:tcW w:w="3528" w:type="dxa"/>
          </w:tcPr>
          <w:p w14:paraId="37F1943C" w14:textId="77777777" w:rsidR="00116672" w:rsidRPr="00116672" w:rsidRDefault="00116672" w:rsidP="008578BD">
            <w:pPr>
              <w:rPr>
                <w:rFonts w:cs="Times New Roman"/>
                <w:i/>
                <w:szCs w:val="24"/>
              </w:rPr>
            </w:pPr>
            <w:r w:rsidRPr="00116672">
              <w:rPr>
                <w:rFonts w:cs="Times New Roman"/>
                <w:i/>
                <w:szCs w:val="24"/>
              </w:rPr>
              <w:t>Independent Variables</w:t>
            </w:r>
          </w:p>
        </w:tc>
        <w:tc>
          <w:tcPr>
            <w:tcW w:w="1170" w:type="dxa"/>
            <w:vAlign w:val="center"/>
          </w:tcPr>
          <w:p w14:paraId="49D09411" w14:textId="77777777" w:rsidR="00116672" w:rsidRPr="00116672" w:rsidRDefault="00116672" w:rsidP="008578BD">
            <w:pPr>
              <w:jc w:val="center"/>
              <w:rPr>
                <w:rFonts w:cs="Times New Roman"/>
                <w:szCs w:val="24"/>
              </w:rPr>
            </w:pPr>
          </w:p>
        </w:tc>
        <w:tc>
          <w:tcPr>
            <w:tcW w:w="1170" w:type="dxa"/>
            <w:vAlign w:val="center"/>
          </w:tcPr>
          <w:p w14:paraId="61CD3AF2" w14:textId="77777777" w:rsidR="00116672" w:rsidRPr="00116672" w:rsidRDefault="00116672" w:rsidP="008578BD">
            <w:pPr>
              <w:jc w:val="center"/>
              <w:rPr>
                <w:rFonts w:cs="Times New Roman"/>
                <w:szCs w:val="24"/>
              </w:rPr>
            </w:pPr>
          </w:p>
        </w:tc>
        <w:tc>
          <w:tcPr>
            <w:tcW w:w="990" w:type="dxa"/>
            <w:vAlign w:val="center"/>
          </w:tcPr>
          <w:p w14:paraId="195B4FE6" w14:textId="77777777" w:rsidR="00116672" w:rsidRPr="00116672" w:rsidRDefault="00116672" w:rsidP="008578BD">
            <w:pPr>
              <w:jc w:val="center"/>
              <w:rPr>
                <w:rFonts w:cs="Times New Roman"/>
                <w:szCs w:val="24"/>
              </w:rPr>
            </w:pPr>
          </w:p>
        </w:tc>
        <w:tc>
          <w:tcPr>
            <w:tcW w:w="1080" w:type="dxa"/>
            <w:vAlign w:val="center"/>
          </w:tcPr>
          <w:p w14:paraId="5F14F94E" w14:textId="77777777" w:rsidR="00116672" w:rsidRPr="00116672" w:rsidRDefault="00116672" w:rsidP="008578BD">
            <w:pPr>
              <w:jc w:val="center"/>
              <w:rPr>
                <w:rFonts w:cs="Times New Roman"/>
                <w:szCs w:val="24"/>
              </w:rPr>
            </w:pPr>
          </w:p>
        </w:tc>
      </w:tr>
      <w:tr w:rsidR="00116672" w:rsidRPr="00116672" w14:paraId="3CAD3A4A" w14:textId="77777777" w:rsidTr="008578BD">
        <w:tc>
          <w:tcPr>
            <w:tcW w:w="3528" w:type="dxa"/>
          </w:tcPr>
          <w:p w14:paraId="0139595C" w14:textId="1D175915" w:rsidR="00116672" w:rsidRPr="006631FA" w:rsidRDefault="001E28C3" w:rsidP="008578BD">
            <w:pPr>
              <w:rPr>
                <w:rFonts w:cs="Times New Roman"/>
                <w:szCs w:val="24"/>
              </w:rPr>
            </w:pPr>
            <w:r w:rsidRPr="006631FA">
              <w:rPr>
                <w:rFonts w:cs="Times New Roman"/>
                <w:szCs w:val="24"/>
              </w:rPr>
              <w:t>Appointing Government</w:t>
            </w:r>
          </w:p>
        </w:tc>
        <w:tc>
          <w:tcPr>
            <w:tcW w:w="1170" w:type="dxa"/>
            <w:vAlign w:val="center"/>
          </w:tcPr>
          <w:p w14:paraId="1025DB91" w14:textId="77777777" w:rsidR="00116672" w:rsidRPr="00116672" w:rsidRDefault="00116672" w:rsidP="008578BD">
            <w:pPr>
              <w:jc w:val="center"/>
              <w:rPr>
                <w:rFonts w:cs="Times New Roman"/>
                <w:szCs w:val="24"/>
              </w:rPr>
            </w:pPr>
            <w:r w:rsidRPr="00116672">
              <w:rPr>
                <w:rFonts w:cs="Times New Roman"/>
                <w:szCs w:val="24"/>
              </w:rPr>
              <w:t>.635</w:t>
            </w:r>
          </w:p>
        </w:tc>
        <w:tc>
          <w:tcPr>
            <w:tcW w:w="1170" w:type="dxa"/>
            <w:vAlign w:val="center"/>
          </w:tcPr>
          <w:p w14:paraId="1765058C" w14:textId="77777777" w:rsidR="00116672" w:rsidRPr="00116672" w:rsidRDefault="00116672" w:rsidP="008578BD">
            <w:pPr>
              <w:jc w:val="center"/>
              <w:rPr>
                <w:rFonts w:cs="Times New Roman"/>
                <w:szCs w:val="24"/>
              </w:rPr>
            </w:pPr>
            <w:r w:rsidRPr="00116672">
              <w:rPr>
                <w:rFonts w:cs="Times New Roman"/>
                <w:szCs w:val="24"/>
              </w:rPr>
              <w:t>.483</w:t>
            </w:r>
          </w:p>
        </w:tc>
        <w:tc>
          <w:tcPr>
            <w:tcW w:w="990" w:type="dxa"/>
            <w:vAlign w:val="center"/>
          </w:tcPr>
          <w:p w14:paraId="19928FDC" w14:textId="77777777" w:rsidR="00116672" w:rsidRPr="00116672" w:rsidRDefault="00116672" w:rsidP="008578BD">
            <w:pPr>
              <w:jc w:val="center"/>
              <w:rPr>
                <w:rFonts w:cs="Times New Roman"/>
                <w:szCs w:val="24"/>
              </w:rPr>
            </w:pPr>
            <w:r w:rsidRPr="00116672">
              <w:rPr>
                <w:rFonts w:cs="Times New Roman"/>
                <w:szCs w:val="24"/>
              </w:rPr>
              <w:t>0</w:t>
            </w:r>
          </w:p>
        </w:tc>
        <w:tc>
          <w:tcPr>
            <w:tcW w:w="1080" w:type="dxa"/>
            <w:vAlign w:val="center"/>
          </w:tcPr>
          <w:p w14:paraId="26A5AB66" w14:textId="77777777" w:rsidR="00116672" w:rsidRPr="00116672" w:rsidRDefault="00116672" w:rsidP="008578BD">
            <w:pPr>
              <w:jc w:val="center"/>
              <w:rPr>
                <w:rFonts w:cs="Times New Roman"/>
                <w:szCs w:val="24"/>
              </w:rPr>
            </w:pPr>
            <w:r w:rsidRPr="00116672">
              <w:rPr>
                <w:rFonts w:cs="Times New Roman"/>
                <w:szCs w:val="24"/>
              </w:rPr>
              <w:t>1</w:t>
            </w:r>
          </w:p>
        </w:tc>
      </w:tr>
      <w:tr w:rsidR="00116672" w:rsidRPr="00116672" w14:paraId="4CD7C39E" w14:textId="77777777" w:rsidTr="008578BD">
        <w:tc>
          <w:tcPr>
            <w:tcW w:w="3528" w:type="dxa"/>
          </w:tcPr>
          <w:p w14:paraId="5CA1FCFD" w14:textId="7CE055DC" w:rsidR="00116672" w:rsidRPr="006631FA" w:rsidRDefault="001E28C3" w:rsidP="008578BD">
            <w:pPr>
              <w:rPr>
                <w:rFonts w:cs="Times New Roman"/>
                <w:szCs w:val="24"/>
              </w:rPr>
            </w:pPr>
            <w:r w:rsidRPr="006631FA">
              <w:rPr>
                <w:rFonts w:cs="Times New Roman"/>
                <w:szCs w:val="24"/>
              </w:rPr>
              <w:t>(Diversity (</w:t>
            </w:r>
            <w:r w:rsidR="00116672" w:rsidRPr="006631FA">
              <w:rPr>
                <w:rFonts w:cs="Times New Roman"/>
                <w:szCs w:val="24"/>
              </w:rPr>
              <w:t>Fractionalization</w:t>
            </w:r>
            <w:r w:rsidRPr="006631FA">
              <w:rPr>
                <w:rFonts w:cs="Times New Roman"/>
                <w:szCs w:val="24"/>
              </w:rPr>
              <w:t>)</w:t>
            </w:r>
          </w:p>
        </w:tc>
        <w:tc>
          <w:tcPr>
            <w:tcW w:w="1170" w:type="dxa"/>
            <w:vAlign w:val="center"/>
          </w:tcPr>
          <w:p w14:paraId="4D735ECF" w14:textId="77777777" w:rsidR="00116672" w:rsidRPr="00116672" w:rsidRDefault="00116672" w:rsidP="008578BD">
            <w:pPr>
              <w:jc w:val="center"/>
              <w:rPr>
                <w:rFonts w:cs="Times New Roman"/>
                <w:szCs w:val="24"/>
              </w:rPr>
            </w:pPr>
            <w:r w:rsidRPr="00116672">
              <w:rPr>
                <w:rFonts w:cs="Times New Roman"/>
                <w:szCs w:val="24"/>
              </w:rPr>
              <w:t>.879</w:t>
            </w:r>
          </w:p>
        </w:tc>
        <w:tc>
          <w:tcPr>
            <w:tcW w:w="1170" w:type="dxa"/>
            <w:vAlign w:val="center"/>
          </w:tcPr>
          <w:p w14:paraId="5E09106D" w14:textId="77777777" w:rsidR="00116672" w:rsidRPr="00116672" w:rsidRDefault="00116672" w:rsidP="008578BD">
            <w:pPr>
              <w:rPr>
                <w:rFonts w:cs="Times New Roman"/>
                <w:szCs w:val="24"/>
              </w:rPr>
            </w:pPr>
            <w:r w:rsidRPr="00116672">
              <w:rPr>
                <w:rFonts w:cs="Times New Roman"/>
                <w:szCs w:val="24"/>
              </w:rPr>
              <w:t xml:space="preserve">     </w:t>
            </w:r>
            <w:proofErr w:type="gramStart"/>
            <w:r w:rsidRPr="00116672">
              <w:rPr>
                <w:rFonts w:cs="Times New Roman"/>
                <w:szCs w:val="24"/>
              </w:rPr>
              <w:t>..</w:t>
            </w:r>
            <w:proofErr w:type="gramEnd"/>
            <w:r w:rsidRPr="00116672">
              <w:rPr>
                <w:rFonts w:cs="Times New Roman"/>
                <w:szCs w:val="24"/>
              </w:rPr>
              <w:t>041</w:t>
            </w:r>
          </w:p>
        </w:tc>
        <w:tc>
          <w:tcPr>
            <w:tcW w:w="990" w:type="dxa"/>
            <w:vAlign w:val="center"/>
          </w:tcPr>
          <w:p w14:paraId="1CC80EA6" w14:textId="77777777" w:rsidR="00116672" w:rsidRPr="00116672" w:rsidRDefault="00116672" w:rsidP="008578BD">
            <w:pPr>
              <w:jc w:val="center"/>
              <w:rPr>
                <w:rFonts w:cs="Times New Roman"/>
                <w:szCs w:val="24"/>
              </w:rPr>
            </w:pPr>
            <w:r w:rsidRPr="00116672">
              <w:rPr>
                <w:rFonts w:cs="Times New Roman"/>
                <w:szCs w:val="24"/>
              </w:rPr>
              <w:t>.806</w:t>
            </w:r>
          </w:p>
        </w:tc>
        <w:tc>
          <w:tcPr>
            <w:tcW w:w="1080" w:type="dxa"/>
            <w:vAlign w:val="center"/>
          </w:tcPr>
          <w:p w14:paraId="41E6C31B" w14:textId="77777777" w:rsidR="00116672" w:rsidRPr="00116672" w:rsidRDefault="00116672" w:rsidP="008578BD">
            <w:pPr>
              <w:jc w:val="center"/>
              <w:rPr>
                <w:rFonts w:cs="Times New Roman"/>
                <w:szCs w:val="24"/>
              </w:rPr>
            </w:pPr>
            <w:r w:rsidRPr="00116672">
              <w:rPr>
                <w:rFonts w:cs="Times New Roman"/>
                <w:szCs w:val="24"/>
              </w:rPr>
              <w:t>.924</w:t>
            </w:r>
          </w:p>
        </w:tc>
      </w:tr>
      <w:tr w:rsidR="00116672" w:rsidRPr="00116672" w14:paraId="65398CB6" w14:textId="77777777" w:rsidTr="008578BD">
        <w:tc>
          <w:tcPr>
            <w:tcW w:w="3528" w:type="dxa"/>
          </w:tcPr>
          <w:p w14:paraId="0C7851F4" w14:textId="77777777" w:rsidR="00116672" w:rsidRPr="006631FA" w:rsidRDefault="00116672" w:rsidP="008578BD">
            <w:pPr>
              <w:rPr>
                <w:rFonts w:cs="Times New Roman"/>
                <w:szCs w:val="24"/>
              </w:rPr>
            </w:pPr>
            <w:r w:rsidRPr="006631FA">
              <w:rPr>
                <w:rFonts w:cs="Times New Roman"/>
                <w:szCs w:val="24"/>
              </w:rPr>
              <w:t>Legislative Intent</w:t>
            </w:r>
          </w:p>
        </w:tc>
        <w:tc>
          <w:tcPr>
            <w:tcW w:w="1170" w:type="dxa"/>
            <w:vAlign w:val="center"/>
          </w:tcPr>
          <w:p w14:paraId="7EECB10A" w14:textId="77777777" w:rsidR="00116672" w:rsidRPr="00116672" w:rsidRDefault="00116672" w:rsidP="008578BD">
            <w:pPr>
              <w:jc w:val="center"/>
              <w:rPr>
                <w:rFonts w:cs="Times New Roman"/>
                <w:szCs w:val="24"/>
              </w:rPr>
            </w:pPr>
            <w:r w:rsidRPr="00116672">
              <w:rPr>
                <w:rFonts w:cs="Times New Roman"/>
                <w:szCs w:val="24"/>
              </w:rPr>
              <w:t>.784</w:t>
            </w:r>
          </w:p>
        </w:tc>
        <w:tc>
          <w:tcPr>
            <w:tcW w:w="1170" w:type="dxa"/>
            <w:vAlign w:val="center"/>
          </w:tcPr>
          <w:p w14:paraId="5950BDB3" w14:textId="77777777" w:rsidR="00116672" w:rsidRPr="00116672" w:rsidRDefault="00116672" w:rsidP="008578BD">
            <w:pPr>
              <w:jc w:val="center"/>
              <w:rPr>
                <w:rFonts w:cs="Times New Roman"/>
                <w:szCs w:val="24"/>
              </w:rPr>
            </w:pPr>
            <w:proofErr w:type="gramStart"/>
            <w:r w:rsidRPr="00116672">
              <w:rPr>
                <w:rFonts w:cs="Times New Roman"/>
                <w:szCs w:val="24"/>
              </w:rPr>
              <w:t>..</w:t>
            </w:r>
            <w:proofErr w:type="gramEnd"/>
            <w:r w:rsidRPr="00116672">
              <w:rPr>
                <w:rFonts w:cs="Times New Roman"/>
                <w:szCs w:val="24"/>
              </w:rPr>
              <w:t>413</w:t>
            </w:r>
          </w:p>
        </w:tc>
        <w:tc>
          <w:tcPr>
            <w:tcW w:w="990" w:type="dxa"/>
            <w:vAlign w:val="center"/>
          </w:tcPr>
          <w:p w14:paraId="098A599E" w14:textId="77777777" w:rsidR="00116672" w:rsidRPr="00116672" w:rsidRDefault="00116672" w:rsidP="008578BD">
            <w:pPr>
              <w:jc w:val="center"/>
              <w:rPr>
                <w:rFonts w:cs="Times New Roman"/>
                <w:szCs w:val="24"/>
              </w:rPr>
            </w:pPr>
            <w:r w:rsidRPr="00116672">
              <w:rPr>
                <w:rFonts w:cs="Times New Roman"/>
                <w:szCs w:val="24"/>
              </w:rPr>
              <w:t>0</w:t>
            </w:r>
          </w:p>
        </w:tc>
        <w:tc>
          <w:tcPr>
            <w:tcW w:w="1080" w:type="dxa"/>
            <w:vAlign w:val="center"/>
          </w:tcPr>
          <w:p w14:paraId="1B9CB0DB" w14:textId="77777777" w:rsidR="00116672" w:rsidRPr="00116672" w:rsidRDefault="00116672" w:rsidP="008578BD">
            <w:pPr>
              <w:jc w:val="center"/>
              <w:rPr>
                <w:rFonts w:cs="Times New Roman"/>
                <w:szCs w:val="24"/>
              </w:rPr>
            </w:pPr>
            <w:r w:rsidRPr="00116672">
              <w:rPr>
                <w:rFonts w:cs="Times New Roman"/>
                <w:szCs w:val="24"/>
              </w:rPr>
              <w:t>1</w:t>
            </w:r>
          </w:p>
        </w:tc>
      </w:tr>
      <w:tr w:rsidR="00116672" w:rsidRPr="00116672" w14:paraId="281D4723" w14:textId="77777777" w:rsidTr="008578BD">
        <w:tc>
          <w:tcPr>
            <w:tcW w:w="3528" w:type="dxa"/>
          </w:tcPr>
          <w:p w14:paraId="6BD80312" w14:textId="77777777" w:rsidR="00116672" w:rsidRPr="006631FA" w:rsidRDefault="00116672" w:rsidP="008578BD">
            <w:pPr>
              <w:rPr>
                <w:rFonts w:cs="Times New Roman"/>
                <w:szCs w:val="24"/>
              </w:rPr>
            </w:pPr>
            <w:r w:rsidRPr="006631FA">
              <w:rPr>
                <w:rFonts w:cs="Times New Roman"/>
                <w:szCs w:val="24"/>
              </w:rPr>
              <w:t>Appointing Govt * Economic</w:t>
            </w:r>
          </w:p>
        </w:tc>
        <w:tc>
          <w:tcPr>
            <w:tcW w:w="1170" w:type="dxa"/>
            <w:vAlign w:val="center"/>
          </w:tcPr>
          <w:p w14:paraId="58FACB63" w14:textId="77777777" w:rsidR="00116672" w:rsidRPr="00116672" w:rsidRDefault="00116672" w:rsidP="008578BD">
            <w:pPr>
              <w:jc w:val="center"/>
              <w:rPr>
                <w:rFonts w:cs="Times New Roman"/>
                <w:szCs w:val="24"/>
              </w:rPr>
            </w:pPr>
            <w:r w:rsidRPr="00116672">
              <w:rPr>
                <w:rFonts w:cs="Times New Roman"/>
                <w:szCs w:val="24"/>
              </w:rPr>
              <w:t>.459</w:t>
            </w:r>
          </w:p>
        </w:tc>
        <w:tc>
          <w:tcPr>
            <w:tcW w:w="1170" w:type="dxa"/>
            <w:vAlign w:val="center"/>
          </w:tcPr>
          <w:p w14:paraId="28598CED" w14:textId="77777777" w:rsidR="00116672" w:rsidRPr="00116672" w:rsidRDefault="00116672" w:rsidP="008578BD">
            <w:pPr>
              <w:jc w:val="center"/>
              <w:rPr>
                <w:rFonts w:cs="Times New Roman"/>
                <w:szCs w:val="24"/>
              </w:rPr>
            </w:pPr>
            <w:r w:rsidRPr="00116672">
              <w:rPr>
                <w:rFonts w:cs="Times New Roman"/>
                <w:szCs w:val="24"/>
              </w:rPr>
              <w:t>.500</w:t>
            </w:r>
          </w:p>
        </w:tc>
        <w:tc>
          <w:tcPr>
            <w:tcW w:w="990" w:type="dxa"/>
            <w:vAlign w:val="center"/>
          </w:tcPr>
          <w:p w14:paraId="0E803286" w14:textId="77777777" w:rsidR="00116672" w:rsidRPr="00116672" w:rsidRDefault="00116672" w:rsidP="008578BD">
            <w:pPr>
              <w:jc w:val="center"/>
              <w:rPr>
                <w:rFonts w:cs="Times New Roman"/>
                <w:szCs w:val="24"/>
              </w:rPr>
            </w:pPr>
            <w:r w:rsidRPr="00116672">
              <w:rPr>
                <w:rFonts w:cs="Times New Roman"/>
                <w:szCs w:val="24"/>
              </w:rPr>
              <w:t>0</w:t>
            </w:r>
          </w:p>
        </w:tc>
        <w:tc>
          <w:tcPr>
            <w:tcW w:w="1080" w:type="dxa"/>
            <w:vAlign w:val="center"/>
          </w:tcPr>
          <w:p w14:paraId="671EEAA9" w14:textId="77777777" w:rsidR="00116672" w:rsidRPr="00116672" w:rsidRDefault="00116672" w:rsidP="008578BD">
            <w:pPr>
              <w:jc w:val="center"/>
              <w:rPr>
                <w:rFonts w:cs="Times New Roman"/>
                <w:szCs w:val="24"/>
              </w:rPr>
            </w:pPr>
            <w:r w:rsidRPr="00116672">
              <w:rPr>
                <w:rFonts w:cs="Times New Roman"/>
                <w:szCs w:val="24"/>
              </w:rPr>
              <w:t>1</w:t>
            </w:r>
          </w:p>
        </w:tc>
      </w:tr>
      <w:tr w:rsidR="00116672" w:rsidRPr="00116672" w14:paraId="0614D661" w14:textId="77777777" w:rsidTr="008578BD">
        <w:tc>
          <w:tcPr>
            <w:tcW w:w="3528" w:type="dxa"/>
          </w:tcPr>
          <w:p w14:paraId="063ED938" w14:textId="77777777" w:rsidR="00116672" w:rsidRPr="006631FA" w:rsidRDefault="00116672" w:rsidP="008578BD">
            <w:pPr>
              <w:rPr>
                <w:rFonts w:cs="Times New Roman"/>
                <w:szCs w:val="24"/>
              </w:rPr>
            </w:pPr>
            <w:r w:rsidRPr="006631FA">
              <w:rPr>
                <w:rFonts w:cs="Times New Roman"/>
                <w:szCs w:val="24"/>
              </w:rPr>
              <w:t>Female</w:t>
            </w:r>
          </w:p>
        </w:tc>
        <w:tc>
          <w:tcPr>
            <w:tcW w:w="1170" w:type="dxa"/>
            <w:vAlign w:val="center"/>
          </w:tcPr>
          <w:p w14:paraId="341FE21B" w14:textId="77777777" w:rsidR="00116672" w:rsidRPr="00116672" w:rsidRDefault="00116672" w:rsidP="008578BD">
            <w:pPr>
              <w:jc w:val="center"/>
              <w:rPr>
                <w:rFonts w:cs="Times New Roman"/>
                <w:szCs w:val="24"/>
              </w:rPr>
            </w:pPr>
            <w:r w:rsidRPr="00116672">
              <w:rPr>
                <w:rFonts w:cs="Times New Roman"/>
                <w:szCs w:val="24"/>
              </w:rPr>
              <w:t>.224</w:t>
            </w:r>
          </w:p>
        </w:tc>
        <w:tc>
          <w:tcPr>
            <w:tcW w:w="1170" w:type="dxa"/>
            <w:vAlign w:val="center"/>
          </w:tcPr>
          <w:p w14:paraId="4631F874" w14:textId="77777777" w:rsidR="00116672" w:rsidRPr="00116672" w:rsidRDefault="00116672" w:rsidP="008578BD">
            <w:pPr>
              <w:jc w:val="center"/>
              <w:rPr>
                <w:rFonts w:cs="Times New Roman"/>
                <w:szCs w:val="24"/>
              </w:rPr>
            </w:pPr>
            <w:r w:rsidRPr="00116672">
              <w:rPr>
                <w:rFonts w:cs="Times New Roman"/>
                <w:szCs w:val="24"/>
              </w:rPr>
              <w:t>.418</w:t>
            </w:r>
          </w:p>
        </w:tc>
        <w:tc>
          <w:tcPr>
            <w:tcW w:w="990" w:type="dxa"/>
            <w:vAlign w:val="center"/>
          </w:tcPr>
          <w:p w14:paraId="06156165" w14:textId="77777777" w:rsidR="00116672" w:rsidRPr="00116672" w:rsidRDefault="00116672" w:rsidP="008578BD">
            <w:pPr>
              <w:jc w:val="center"/>
              <w:rPr>
                <w:rFonts w:cs="Times New Roman"/>
                <w:szCs w:val="24"/>
              </w:rPr>
            </w:pPr>
            <w:r w:rsidRPr="00116672">
              <w:rPr>
                <w:rFonts w:cs="Times New Roman"/>
                <w:szCs w:val="24"/>
              </w:rPr>
              <w:t>0</w:t>
            </w:r>
          </w:p>
        </w:tc>
        <w:tc>
          <w:tcPr>
            <w:tcW w:w="1080" w:type="dxa"/>
            <w:vAlign w:val="center"/>
          </w:tcPr>
          <w:p w14:paraId="7D461EB4" w14:textId="77777777" w:rsidR="00116672" w:rsidRPr="00116672" w:rsidRDefault="00116672" w:rsidP="008578BD">
            <w:pPr>
              <w:jc w:val="center"/>
              <w:rPr>
                <w:rFonts w:cs="Times New Roman"/>
                <w:szCs w:val="24"/>
              </w:rPr>
            </w:pPr>
            <w:r w:rsidRPr="00116672">
              <w:rPr>
                <w:rFonts w:cs="Times New Roman"/>
                <w:szCs w:val="24"/>
              </w:rPr>
              <w:t>1</w:t>
            </w:r>
          </w:p>
        </w:tc>
      </w:tr>
      <w:tr w:rsidR="00116672" w:rsidRPr="00116672" w14:paraId="60880B17" w14:textId="77777777" w:rsidTr="008578BD">
        <w:tc>
          <w:tcPr>
            <w:tcW w:w="3528" w:type="dxa"/>
          </w:tcPr>
          <w:p w14:paraId="68710BCC" w14:textId="77777777" w:rsidR="00116672" w:rsidRPr="006631FA" w:rsidRDefault="00116672" w:rsidP="008578BD">
            <w:pPr>
              <w:rPr>
                <w:rFonts w:cs="Times New Roman"/>
                <w:szCs w:val="24"/>
              </w:rPr>
            </w:pPr>
            <w:r w:rsidRPr="006631FA">
              <w:rPr>
                <w:rFonts w:cs="Times New Roman"/>
                <w:szCs w:val="24"/>
              </w:rPr>
              <w:t>Public Plaintiff</w:t>
            </w:r>
          </w:p>
        </w:tc>
        <w:tc>
          <w:tcPr>
            <w:tcW w:w="1170" w:type="dxa"/>
            <w:vAlign w:val="center"/>
          </w:tcPr>
          <w:p w14:paraId="53DE72AA" w14:textId="77777777" w:rsidR="00116672" w:rsidRPr="00116672" w:rsidRDefault="00116672" w:rsidP="008578BD">
            <w:pPr>
              <w:jc w:val="center"/>
              <w:rPr>
                <w:rFonts w:cs="Times New Roman"/>
                <w:szCs w:val="24"/>
              </w:rPr>
            </w:pPr>
            <w:r w:rsidRPr="00116672">
              <w:rPr>
                <w:rFonts w:cs="Times New Roman"/>
                <w:szCs w:val="24"/>
              </w:rPr>
              <w:t>.318</w:t>
            </w:r>
          </w:p>
        </w:tc>
        <w:tc>
          <w:tcPr>
            <w:tcW w:w="1170" w:type="dxa"/>
            <w:vAlign w:val="center"/>
          </w:tcPr>
          <w:p w14:paraId="17E1D0A2" w14:textId="77777777" w:rsidR="00116672" w:rsidRPr="00116672" w:rsidRDefault="00116672" w:rsidP="008578BD">
            <w:pPr>
              <w:jc w:val="center"/>
              <w:rPr>
                <w:rFonts w:cs="Times New Roman"/>
                <w:szCs w:val="24"/>
              </w:rPr>
            </w:pPr>
            <w:r w:rsidRPr="00116672">
              <w:rPr>
                <w:rFonts w:cs="Times New Roman"/>
                <w:szCs w:val="24"/>
              </w:rPr>
              <w:t>.467</w:t>
            </w:r>
          </w:p>
        </w:tc>
        <w:tc>
          <w:tcPr>
            <w:tcW w:w="990" w:type="dxa"/>
            <w:vAlign w:val="center"/>
          </w:tcPr>
          <w:p w14:paraId="4D0D8768" w14:textId="77777777" w:rsidR="00116672" w:rsidRPr="00116672" w:rsidRDefault="00116672" w:rsidP="008578BD">
            <w:pPr>
              <w:jc w:val="center"/>
              <w:rPr>
                <w:rFonts w:cs="Times New Roman"/>
                <w:szCs w:val="24"/>
              </w:rPr>
            </w:pPr>
            <w:r w:rsidRPr="00116672">
              <w:rPr>
                <w:rFonts w:cs="Times New Roman"/>
                <w:szCs w:val="24"/>
              </w:rPr>
              <w:t>0</w:t>
            </w:r>
          </w:p>
        </w:tc>
        <w:tc>
          <w:tcPr>
            <w:tcW w:w="1080" w:type="dxa"/>
            <w:vAlign w:val="center"/>
          </w:tcPr>
          <w:p w14:paraId="1B106F3C" w14:textId="77777777" w:rsidR="00116672" w:rsidRPr="00116672" w:rsidRDefault="00116672" w:rsidP="008578BD">
            <w:pPr>
              <w:jc w:val="center"/>
              <w:rPr>
                <w:rFonts w:cs="Times New Roman"/>
                <w:szCs w:val="24"/>
              </w:rPr>
            </w:pPr>
            <w:r w:rsidRPr="00116672">
              <w:rPr>
                <w:rFonts w:cs="Times New Roman"/>
                <w:szCs w:val="24"/>
              </w:rPr>
              <w:t>1</w:t>
            </w:r>
          </w:p>
        </w:tc>
      </w:tr>
      <w:tr w:rsidR="00116672" w:rsidRPr="00116672" w14:paraId="5D5860E1" w14:textId="77777777" w:rsidTr="008578BD">
        <w:tc>
          <w:tcPr>
            <w:tcW w:w="3528" w:type="dxa"/>
          </w:tcPr>
          <w:p w14:paraId="5E1E5755" w14:textId="77777777" w:rsidR="00116672" w:rsidRPr="006631FA" w:rsidRDefault="00116672" w:rsidP="008578BD">
            <w:pPr>
              <w:rPr>
                <w:rFonts w:cs="Times New Roman"/>
                <w:szCs w:val="24"/>
              </w:rPr>
            </w:pPr>
            <w:r w:rsidRPr="006631FA">
              <w:rPr>
                <w:rFonts w:cs="Times New Roman"/>
                <w:szCs w:val="24"/>
              </w:rPr>
              <w:t>Legislation Department</w:t>
            </w:r>
          </w:p>
        </w:tc>
        <w:tc>
          <w:tcPr>
            <w:tcW w:w="1170" w:type="dxa"/>
            <w:vAlign w:val="center"/>
          </w:tcPr>
          <w:p w14:paraId="4D0939E2" w14:textId="77777777" w:rsidR="00116672" w:rsidRPr="00116672" w:rsidRDefault="00116672" w:rsidP="008578BD">
            <w:pPr>
              <w:jc w:val="center"/>
              <w:rPr>
                <w:rFonts w:cs="Times New Roman"/>
                <w:szCs w:val="24"/>
              </w:rPr>
            </w:pPr>
            <w:r w:rsidRPr="00116672">
              <w:rPr>
                <w:rFonts w:cs="Times New Roman"/>
                <w:szCs w:val="24"/>
              </w:rPr>
              <w:t>.432</w:t>
            </w:r>
          </w:p>
        </w:tc>
        <w:tc>
          <w:tcPr>
            <w:tcW w:w="1170" w:type="dxa"/>
            <w:vAlign w:val="center"/>
          </w:tcPr>
          <w:p w14:paraId="75FE836B" w14:textId="77777777" w:rsidR="00116672" w:rsidRPr="00116672" w:rsidRDefault="00116672" w:rsidP="008578BD">
            <w:pPr>
              <w:jc w:val="center"/>
              <w:rPr>
                <w:rFonts w:cs="Times New Roman"/>
                <w:szCs w:val="24"/>
              </w:rPr>
            </w:pPr>
            <w:r w:rsidRPr="00116672">
              <w:rPr>
                <w:rFonts w:cs="Times New Roman"/>
                <w:szCs w:val="24"/>
              </w:rPr>
              <w:t>.497</w:t>
            </w:r>
          </w:p>
        </w:tc>
        <w:tc>
          <w:tcPr>
            <w:tcW w:w="990" w:type="dxa"/>
            <w:vAlign w:val="center"/>
          </w:tcPr>
          <w:p w14:paraId="4004846D" w14:textId="77777777" w:rsidR="00116672" w:rsidRPr="00116672" w:rsidRDefault="00116672" w:rsidP="008578BD">
            <w:pPr>
              <w:jc w:val="center"/>
              <w:rPr>
                <w:rFonts w:cs="Times New Roman"/>
                <w:szCs w:val="24"/>
              </w:rPr>
            </w:pPr>
            <w:r w:rsidRPr="00116672">
              <w:rPr>
                <w:rFonts w:cs="Times New Roman"/>
                <w:szCs w:val="24"/>
              </w:rPr>
              <w:t>0</w:t>
            </w:r>
          </w:p>
        </w:tc>
        <w:tc>
          <w:tcPr>
            <w:tcW w:w="1080" w:type="dxa"/>
            <w:vAlign w:val="center"/>
          </w:tcPr>
          <w:p w14:paraId="08591A73" w14:textId="77777777" w:rsidR="00116672" w:rsidRPr="00116672" w:rsidRDefault="00116672" w:rsidP="008578BD">
            <w:pPr>
              <w:jc w:val="center"/>
              <w:rPr>
                <w:rFonts w:cs="Times New Roman"/>
                <w:szCs w:val="24"/>
              </w:rPr>
            </w:pPr>
            <w:r w:rsidRPr="00116672">
              <w:rPr>
                <w:rFonts w:cs="Times New Roman"/>
                <w:szCs w:val="24"/>
              </w:rPr>
              <w:t>1</w:t>
            </w:r>
          </w:p>
        </w:tc>
      </w:tr>
      <w:tr w:rsidR="00116672" w:rsidRPr="00116672" w14:paraId="03D696D3" w14:textId="77777777" w:rsidTr="008578BD">
        <w:tc>
          <w:tcPr>
            <w:tcW w:w="3528" w:type="dxa"/>
          </w:tcPr>
          <w:p w14:paraId="22896CEF" w14:textId="77777777" w:rsidR="00116672" w:rsidRPr="006631FA" w:rsidRDefault="00116672" w:rsidP="008578BD">
            <w:pPr>
              <w:rPr>
                <w:rFonts w:cs="Times New Roman"/>
                <w:szCs w:val="24"/>
              </w:rPr>
            </w:pPr>
            <w:r w:rsidRPr="006631FA">
              <w:rPr>
                <w:rFonts w:cs="Times New Roman"/>
                <w:szCs w:val="24"/>
              </w:rPr>
              <w:t>Oslo Born</w:t>
            </w:r>
          </w:p>
        </w:tc>
        <w:tc>
          <w:tcPr>
            <w:tcW w:w="1170" w:type="dxa"/>
            <w:vAlign w:val="center"/>
          </w:tcPr>
          <w:p w14:paraId="0D24D476" w14:textId="77777777" w:rsidR="00116672" w:rsidRPr="00116672" w:rsidRDefault="00116672" w:rsidP="008578BD">
            <w:pPr>
              <w:jc w:val="center"/>
              <w:rPr>
                <w:rFonts w:cs="Times New Roman"/>
                <w:szCs w:val="24"/>
              </w:rPr>
            </w:pPr>
            <w:r w:rsidRPr="00116672">
              <w:rPr>
                <w:rFonts w:cs="Times New Roman"/>
                <w:szCs w:val="24"/>
              </w:rPr>
              <w:t>.385</w:t>
            </w:r>
          </w:p>
        </w:tc>
        <w:tc>
          <w:tcPr>
            <w:tcW w:w="1170" w:type="dxa"/>
            <w:vAlign w:val="center"/>
          </w:tcPr>
          <w:p w14:paraId="58F758DB" w14:textId="77777777" w:rsidR="00116672" w:rsidRPr="00116672" w:rsidRDefault="00116672" w:rsidP="008578BD">
            <w:pPr>
              <w:jc w:val="center"/>
              <w:rPr>
                <w:rFonts w:cs="Times New Roman"/>
                <w:szCs w:val="24"/>
              </w:rPr>
            </w:pPr>
            <w:r w:rsidRPr="00116672">
              <w:rPr>
                <w:rFonts w:cs="Times New Roman"/>
                <w:szCs w:val="24"/>
              </w:rPr>
              <w:t>.498</w:t>
            </w:r>
          </w:p>
        </w:tc>
        <w:tc>
          <w:tcPr>
            <w:tcW w:w="990" w:type="dxa"/>
            <w:vAlign w:val="center"/>
          </w:tcPr>
          <w:p w14:paraId="2418A6EC" w14:textId="77777777" w:rsidR="00116672" w:rsidRPr="00116672" w:rsidRDefault="00116672" w:rsidP="008578BD">
            <w:pPr>
              <w:jc w:val="center"/>
              <w:rPr>
                <w:rFonts w:cs="Times New Roman"/>
                <w:szCs w:val="24"/>
              </w:rPr>
            </w:pPr>
            <w:r w:rsidRPr="00116672">
              <w:rPr>
                <w:rFonts w:cs="Times New Roman"/>
                <w:szCs w:val="24"/>
              </w:rPr>
              <w:t>0</w:t>
            </w:r>
          </w:p>
        </w:tc>
        <w:tc>
          <w:tcPr>
            <w:tcW w:w="1080" w:type="dxa"/>
            <w:vAlign w:val="center"/>
          </w:tcPr>
          <w:p w14:paraId="60C86BA6" w14:textId="77777777" w:rsidR="00116672" w:rsidRPr="00116672" w:rsidRDefault="00116672" w:rsidP="008578BD">
            <w:pPr>
              <w:jc w:val="center"/>
              <w:rPr>
                <w:rFonts w:cs="Times New Roman"/>
                <w:szCs w:val="24"/>
              </w:rPr>
            </w:pPr>
            <w:r w:rsidRPr="00116672">
              <w:rPr>
                <w:rFonts w:cs="Times New Roman"/>
                <w:szCs w:val="24"/>
              </w:rPr>
              <w:t>1</w:t>
            </w:r>
          </w:p>
        </w:tc>
      </w:tr>
      <w:tr w:rsidR="00116672" w:rsidRPr="00116672" w14:paraId="0CEBC826" w14:textId="77777777" w:rsidTr="008578BD">
        <w:tc>
          <w:tcPr>
            <w:tcW w:w="3528" w:type="dxa"/>
          </w:tcPr>
          <w:p w14:paraId="5A64D61F" w14:textId="77777777" w:rsidR="00116672" w:rsidRPr="006631FA" w:rsidRDefault="00116672" w:rsidP="008578BD">
            <w:pPr>
              <w:rPr>
                <w:rFonts w:cs="Times New Roman"/>
                <w:szCs w:val="24"/>
              </w:rPr>
            </w:pPr>
            <w:r w:rsidRPr="006631FA">
              <w:rPr>
                <w:rFonts w:cs="Times New Roman"/>
                <w:szCs w:val="24"/>
              </w:rPr>
              <w:t>Law Professor</w:t>
            </w:r>
          </w:p>
        </w:tc>
        <w:tc>
          <w:tcPr>
            <w:tcW w:w="1170" w:type="dxa"/>
            <w:vAlign w:val="center"/>
          </w:tcPr>
          <w:p w14:paraId="69774950" w14:textId="77777777" w:rsidR="00116672" w:rsidRPr="00116672" w:rsidRDefault="00116672" w:rsidP="008578BD">
            <w:pPr>
              <w:jc w:val="center"/>
              <w:rPr>
                <w:rFonts w:cs="Times New Roman"/>
                <w:szCs w:val="24"/>
              </w:rPr>
            </w:pPr>
            <w:r w:rsidRPr="00116672">
              <w:rPr>
                <w:rFonts w:cs="Times New Roman"/>
                <w:szCs w:val="24"/>
              </w:rPr>
              <w:t>.115</w:t>
            </w:r>
          </w:p>
        </w:tc>
        <w:tc>
          <w:tcPr>
            <w:tcW w:w="1170" w:type="dxa"/>
            <w:vAlign w:val="center"/>
          </w:tcPr>
          <w:p w14:paraId="20446B0A" w14:textId="77777777" w:rsidR="00116672" w:rsidRPr="00116672" w:rsidRDefault="00116672" w:rsidP="008578BD">
            <w:pPr>
              <w:jc w:val="center"/>
              <w:rPr>
                <w:rFonts w:cs="Times New Roman"/>
                <w:szCs w:val="24"/>
              </w:rPr>
            </w:pPr>
            <w:r w:rsidRPr="00116672">
              <w:rPr>
                <w:rFonts w:cs="Times New Roman"/>
                <w:szCs w:val="24"/>
              </w:rPr>
              <w:t>.320</w:t>
            </w:r>
          </w:p>
        </w:tc>
        <w:tc>
          <w:tcPr>
            <w:tcW w:w="990" w:type="dxa"/>
            <w:vAlign w:val="center"/>
          </w:tcPr>
          <w:p w14:paraId="7BCB2476" w14:textId="77777777" w:rsidR="00116672" w:rsidRPr="00116672" w:rsidRDefault="00116672" w:rsidP="008578BD">
            <w:pPr>
              <w:jc w:val="center"/>
              <w:rPr>
                <w:rFonts w:cs="Times New Roman"/>
                <w:szCs w:val="24"/>
              </w:rPr>
            </w:pPr>
            <w:r w:rsidRPr="00116672">
              <w:rPr>
                <w:rFonts w:cs="Times New Roman"/>
                <w:szCs w:val="24"/>
              </w:rPr>
              <w:t>0</w:t>
            </w:r>
          </w:p>
        </w:tc>
        <w:tc>
          <w:tcPr>
            <w:tcW w:w="1080" w:type="dxa"/>
            <w:vAlign w:val="center"/>
          </w:tcPr>
          <w:p w14:paraId="3B42CE29" w14:textId="77777777" w:rsidR="00116672" w:rsidRPr="00116672" w:rsidRDefault="00116672" w:rsidP="008578BD">
            <w:pPr>
              <w:jc w:val="center"/>
              <w:rPr>
                <w:rFonts w:cs="Times New Roman"/>
                <w:szCs w:val="24"/>
              </w:rPr>
            </w:pPr>
            <w:r w:rsidRPr="00116672">
              <w:rPr>
                <w:rFonts w:cs="Times New Roman"/>
                <w:szCs w:val="24"/>
              </w:rPr>
              <w:t>1</w:t>
            </w:r>
          </w:p>
        </w:tc>
      </w:tr>
    </w:tbl>
    <w:p w14:paraId="6AA60E98" w14:textId="77777777" w:rsidR="007A15A8" w:rsidRPr="00116672" w:rsidRDefault="007A15A8" w:rsidP="00FE1F7C">
      <w:pPr>
        <w:spacing w:line="240" w:lineRule="auto"/>
        <w:rPr>
          <w:rFonts w:cs="Times New Roman"/>
          <w:szCs w:val="24"/>
        </w:rPr>
      </w:pPr>
    </w:p>
    <w:p w14:paraId="6C0FDD4F" w14:textId="3CA947E2" w:rsidR="00EB76A2" w:rsidRPr="004959CA" w:rsidRDefault="001B2DA2" w:rsidP="00E21D2D">
      <w:pPr>
        <w:spacing w:after="200" w:line="276" w:lineRule="auto"/>
        <w:jc w:val="center"/>
        <w:rPr>
          <w:rFonts w:cs="Times New Roman"/>
          <w:b/>
          <w:color w:val="000000" w:themeColor="text1"/>
          <w:sz w:val="28"/>
          <w:szCs w:val="28"/>
        </w:rPr>
      </w:pPr>
      <w:r>
        <w:rPr>
          <w:rFonts w:cs="Times New Roman"/>
          <w:szCs w:val="24"/>
        </w:rPr>
        <w:br w:type="page"/>
      </w:r>
      <w:r w:rsidR="00EB76A2" w:rsidRPr="004959CA">
        <w:rPr>
          <w:rFonts w:cs="Times New Roman"/>
          <w:b/>
          <w:szCs w:val="24"/>
        </w:rPr>
        <w:lastRenderedPageBreak/>
        <w:t xml:space="preserve">Table </w:t>
      </w:r>
      <w:r w:rsidR="00116672">
        <w:rPr>
          <w:rFonts w:cs="Times New Roman"/>
          <w:b/>
          <w:szCs w:val="24"/>
        </w:rPr>
        <w:t>5</w:t>
      </w:r>
    </w:p>
    <w:p w14:paraId="37AA0FA5" w14:textId="45378D48" w:rsidR="00EB76A2" w:rsidRPr="004959CA" w:rsidRDefault="00EB76A2" w:rsidP="00EB76A2">
      <w:pPr>
        <w:spacing w:line="240" w:lineRule="auto"/>
        <w:jc w:val="center"/>
        <w:rPr>
          <w:rFonts w:cs="Times New Roman"/>
          <w:b/>
          <w:szCs w:val="24"/>
        </w:rPr>
      </w:pPr>
      <w:r w:rsidRPr="004959CA">
        <w:rPr>
          <w:rFonts w:cs="Times New Roman"/>
          <w:b/>
          <w:szCs w:val="24"/>
        </w:rPr>
        <w:t xml:space="preserve">Probability of Voting the Socialist </w:t>
      </w:r>
      <w:proofErr w:type="spellStart"/>
      <w:r w:rsidRPr="004959CA">
        <w:rPr>
          <w:rFonts w:cs="Times New Roman"/>
          <w:b/>
          <w:szCs w:val="24"/>
        </w:rPr>
        <w:t>Storting</w:t>
      </w:r>
      <w:proofErr w:type="spellEnd"/>
      <w:r w:rsidRPr="004959CA">
        <w:rPr>
          <w:rFonts w:cs="Times New Roman"/>
          <w:b/>
          <w:szCs w:val="24"/>
        </w:rPr>
        <w:t xml:space="preserve"> Position</w:t>
      </w:r>
    </w:p>
    <w:p w14:paraId="1226EECE" w14:textId="77777777" w:rsidR="00EB76A2" w:rsidRPr="00CE3F96" w:rsidRDefault="00EB76A2" w:rsidP="00EB76A2">
      <w:pPr>
        <w:spacing w:line="240" w:lineRule="auto"/>
        <w:jc w:val="center"/>
        <w:rPr>
          <w:rFonts w:cs="Times New Roman"/>
          <w:b/>
          <w:szCs w:val="24"/>
        </w:rPr>
      </w:pPr>
      <w:r w:rsidRPr="004959CA">
        <w:rPr>
          <w:rFonts w:cs="Times New Roman"/>
          <w:b/>
          <w:szCs w:val="24"/>
        </w:rPr>
        <w:t>Logit Estimates</w:t>
      </w:r>
      <w:r w:rsidR="00F32FF5" w:rsidRPr="004959CA">
        <w:rPr>
          <w:rFonts w:cs="Times New Roman"/>
          <w:b/>
          <w:szCs w:val="24"/>
        </w:rPr>
        <w:t xml:space="preserve"> Clustered on </w:t>
      </w:r>
      <w:r w:rsidR="004171E8" w:rsidRPr="004959CA">
        <w:rPr>
          <w:rFonts w:cs="Times New Roman"/>
          <w:b/>
          <w:szCs w:val="24"/>
        </w:rPr>
        <w:t>Panel</w:t>
      </w:r>
    </w:p>
    <w:p w14:paraId="7AA421B6" w14:textId="77777777" w:rsidR="00EB76A2" w:rsidRDefault="00EB76A2" w:rsidP="00EB76A2">
      <w:pPr>
        <w:spacing w:line="240" w:lineRule="auto"/>
        <w:rPr>
          <w:rFonts w:cs="Times New Roman"/>
          <w:szCs w:val="24"/>
        </w:rPr>
      </w:pPr>
    </w:p>
    <w:tbl>
      <w:tblPr>
        <w:tblStyle w:val="TableGrid"/>
        <w:tblW w:w="9180" w:type="dxa"/>
        <w:tblLayout w:type="fixed"/>
        <w:tblLook w:val="04A0" w:firstRow="1" w:lastRow="0" w:firstColumn="1" w:lastColumn="0" w:noHBand="0" w:noVBand="1"/>
      </w:tblPr>
      <w:tblGrid>
        <w:gridCol w:w="4219"/>
        <w:gridCol w:w="1701"/>
        <w:gridCol w:w="1701"/>
        <w:gridCol w:w="1559"/>
      </w:tblGrid>
      <w:tr w:rsidR="00CE3F96" w14:paraId="3669508E" w14:textId="77777777" w:rsidTr="00C31CE3">
        <w:tc>
          <w:tcPr>
            <w:tcW w:w="4219" w:type="dxa"/>
          </w:tcPr>
          <w:p w14:paraId="05AE2AE6" w14:textId="77777777" w:rsidR="0041035D" w:rsidRPr="00CE3F96" w:rsidRDefault="0041035D">
            <w:pPr>
              <w:spacing w:after="200" w:line="276" w:lineRule="auto"/>
              <w:rPr>
                <w:rFonts w:cs="Times New Roman"/>
                <w:b/>
                <w:szCs w:val="24"/>
              </w:rPr>
            </w:pPr>
            <w:r w:rsidRPr="00CE3F96">
              <w:rPr>
                <w:rFonts w:cs="Times New Roman"/>
                <w:b/>
                <w:szCs w:val="24"/>
              </w:rPr>
              <w:t>Variable</w:t>
            </w:r>
          </w:p>
        </w:tc>
        <w:tc>
          <w:tcPr>
            <w:tcW w:w="1701" w:type="dxa"/>
            <w:vAlign w:val="center"/>
          </w:tcPr>
          <w:p w14:paraId="05B05CB3" w14:textId="77777777" w:rsidR="0041035D" w:rsidRPr="00CE3F96" w:rsidRDefault="00CE3F96" w:rsidP="00CE3F96">
            <w:pPr>
              <w:spacing w:after="200" w:line="276" w:lineRule="auto"/>
              <w:jc w:val="center"/>
              <w:rPr>
                <w:rFonts w:cs="Times New Roman"/>
                <w:b/>
                <w:szCs w:val="24"/>
              </w:rPr>
            </w:pPr>
            <w:r w:rsidRPr="00CE3F96">
              <w:rPr>
                <w:rFonts w:cs="Times New Roman"/>
                <w:b/>
                <w:szCs w:val="24"/>
              </w:rPr>
              <w:t>Coefficient</w:t>
            </w:r>
          </w:p>
        </w:tc>
        <w:tc>
          <w:tcPr>
            <w:tcW w:w="1701" w:type="dxa"/>
            <w:vAlign w:val="center"/>
          </w:tcPr>
          <w:p w14:paraId="59E0F9C5" w14:textId="77777777" w:rsidR="0041035D" w:rsidRPr="00CE3F96" w:rsidRDefault="00CE3F96" w:rsidP="00CE3F96">
            <w:pPr>
              <w:spacing w:after="200" w:line="276" w:lineRule="auto"/>
              <w:jc w:val="center"/>
              <w:rPr>
                <w:rFonts w:cs="Times New Roman"/>
                <w:b/>
                <w:szCs w:val="24"/>
              </w:rPr>
            </w:pPr>
            <w:r w:rsidRPr="00CE3F96">
              <w:rPr>
                <w:rFonts w:cs="Times New Roman"/>
                <w:b/>
                <w:szCs w:val="24"/>
              </w:rPr>
              <w:t>Z-Value</w:t>
            </w:r>
          </w:p>
        </w:tc>
        <w:tc>
          <w:tcPr>
            <w:tcW w:w="1559" w:type="dxa"/>
            <w:vAlign w:val="center"/>
          </w:tcPr>
          <w:p w14:paraId="26DAE3FE" w14:textId="77777777" w:rsidR="0041035D" w:rsidRPr="00CE3F96" w:rsidRDefault="00CE3F96" w:rsidP="00CE3F96">
            <w:pPr>
              <w:spacing w:after="200" w:line="276" w:lineRule="auto"/>
              <w:jc w:val="center"/>
              <w:rPr>
                <w:rFonts w:cs="Times New Roman"/>
                <w:b/>
                <w:szCs w:val="24"/>
              </w:rPr>
            </w:pPr>
            <w:r w:rsidRPr="00CE3F96">
              <w:rPr>
                <w:rFonts w:cs="Times New Roman"/>
                <w:b/>
                <w:szCs w:val="24"/>
              </w:rPr>
              <w:t>P&gt;|z|</w:t>
            </w:r>
          </w:p>
        </w:tc>
      </w:tr>
      <w:tr w:rsidR="00CE3F96" w14:paraId="0063A2A5" w14:textId="77777777" w:rsidTr="00C31CE3">
        <w:tc>
          <w:tcPr>
            <w:tcW w:w="4219" w:type="dxa"/>
          </w:tcPr>
          <w:p w14:paraId="014423CB" w14:textId="4498EC1E" w:rsidR="0041035D" w:rsidRDefault="0089458C">
            <w:pPr>
              <w:spacing w:after="200" w:line="276" w:lineRule="auto"/>
              <w:rPr>
                <w:rFonts w:cs="Times New Roman"/>
                <w:szCs w:val="24"/>
              </w:rPr>
            </w:pPr>
            <w:r>
              <w:rPr>
                <w:rFonts w:cs="Times New Roman"/>
                <w:szCs w:val="24"/>
              </w:rPr>
              <w:t xml:space="preserve">H3: </w:t>
            </w:r>
            <w:r w:rsidR="006631FA">
              <w:rPr>
                <w:rFonts w:cs="Times New Roman"/>
                <w:szCs w:val="24"/>
              </w:rPr>
              <w:t>Appointing Government</w:t>
            </w:r>
          </w:p>
        </w:tc>
        <w:tc>
          <w:tcPr>
            <w:tcW w:w="1701" w:type="dxa"/>
            <w:vAlign w:val="center"/>
          </w:tcPr>
          <w:p w14:paraId="2E1DCBCF" w14:textId="7F7D6148" w:rsidR="0041035D" w:rsidRDefault="002F5D87" w:rsidP="00CE3F96">
            <w:pPr>
              <w:spacing w:after="200" w:line="276" w:lineRule="auto"/>
              <w:jc w:val="center"/>
              <w:rPr>
                <w:rFonts w:cs="Times New Roman"/>
                <w:szCs w:val="24"/>
              </w:rPr>
            </w:pPr>
            <w:r>
              <w:rPr>
                <w:rFonts w:cs="Times New Roman"/>
                <w:szCs w:val="24"/>
              </w:rPr>
              <w:t>0.</w:t>
            </w:r>
            <w:r w:rsidR="00C93E13">
              <w:rPr>
                <w:rFonts w:cs="Times New Roman"/>
                <w:szCs w:val="24"/>
              </w:rPr>
              <w:t>232</w:t>
            </w:r>
          </w:p>
        </w:tc>
        <w:tc>
          <w:tcPr>
            <w:tcW w:w="1701" w:type="dxa"/>
            <w:vAlign w:val="center"/>
          </w:tcPr>
          <w:p w14:paraId="48208C5B" w14:textId="09F38A65" w:rsidR="0041035D" w:rsidRDefault="002F5D87" w:rsidP="00CE3F96">
            <w:pPr>
              <w:spacing w:after="200" w:line="276" w:lineRule="auto"/>
              <w:jc w:val="center"/>
              <w:rPr>
                <w:rFonts w:cs="Times New Roman"/>
                <w:szCs w:val="24"/>
              </w:rPr>
            </w:pPr>
            <w:r>
              <w:rPr>
                <w:rFonts w:cs="Times New Roman"/>
                <w:szCs w:val="24"/>
              </w:rPr>
              <w:t>0</w:t>
            </w:r>
            <w:r w:rsidR="00C93E13">
              <w:rPr>
                <w:rFonts w:cs="Times New Roman"/>
                <w:szCs w:val="24"/>
              </w:rPr>
              <w:t>.49</w:t>
            </w:r>
          </w:p>
        </w:tc>
        <w:tc>
          <w:tcPr>
            <w:tcW w:w="1559" w:type="dxa"/>
            <w:vAlign w:val="center"/>
          </w:tcPr>
          <w:p w14:paraId="23B56154" w14:textId="7F7AC201" w:rsidR="0041035D" w:rsidRPr="002F5D87" w:rsidRDefault="0089458C" w:rsidP="00CE3F96">
            <w:pPr>
              <w:spacing w:after="200" w:line="276" w:lineRule="auto"/>
              <w:jc w:val="center"/>
              <w:rPr>
                <w:rFonts w:cs="Times New Roman"/>
                <w:szCs w:val="24"/>
              </w:rPr>
            </w:pPr>
            <w:r>
              <w:rPr>
                <w:rFonts w:cs="Times New Roman"/>
                <w:szCs w:val="24"/>
              </w:rPr>
              <w:t>.</w:t>
            </w:r>
            <w:r w:rsidR="00C93E13">
              <w:rPr>
                <w:rFonts w:cs="Times New Roman"/>
                <w:szCs w:val="24"/>
              </w:rPr>
              <w:t>625</w:t>
            </w:r>
          </w:p>
        </w:tc>
      </w:tr>
      <w:tr w:rsidR="00CE3F96" w14:paraId="11B27074" w14:textId="77777777" w:rsidTr="00C31CE3">
        <w:tc>
          <w:tcPr>
            <w:tcW w:w="4219" w:type="dxa"/>
          </w:tcPr>
          <w:p w14:paraId="0963403A" w14:textId="3A9A3D08" w:rsidR="0041035D" w:rsidRDefault="0089458C">
            <w:pPr>
              <w:spacing w:after="200" w:line="276" w:lineRule="auto"/>
              <w:rPr>
                <w:rFonts w:cs="Times New Roman"/>
                <w:szCs w:val="24"/>
              </w:rPr>
            </w:pPr>
            <w:r>
              <w:rPr>
                <w:rFonts w:cs="Times New Roman"/>
                <w:szCs w:val="24"/>
              </w:rPr>
              <w:t xml:space="preserve">H1: </w:t>
            </w:r>
            <w:r w:rsidR="002F5D87">
              <w:rPr>
                <w:rFonts w:cs="Times New Roman"/>
                <w:szCs w:val="24"/>
              </w:rPr>
              <w:t>Diversity</w:t>
            </w:r>
          </w:p>
        </w:tc>
        <w:tc>
          <w:tcPr>
            <w:tcW w:w="1701" w:type="dxa"/>
            <w:vAlign w:val="center"/>
          </w:tcPr>
          <w:p w14:paraId="3FA3B1F6" w14:textId="4D3B0362" w:rsidR="0041035D" w:rsidRDefault="00CE3F96" w:rsidP="00CE3F96">
            <w:pPr>
              <w:spacing w:after="200" w:line="276" w:lineRule="auto"/>
              <w:jc w:val="center"/>
              <w:rPr>
                <w:rFonts w:cs="Times New Roman"/>
                <w:szCs w:val="24"/>
              </w:rPr>
            </w:pPr>
            <w:r>
              <w:rPr>
                <w:rFonts w:cs="Times New Roman"/>
                <w:szCs w:val="24"/>
              </w:rPr>
              <w:t>-1</w:t>
            </w:r>
            <w:r w:rsidR="00C93E13">
              <w:rPr>
                <w:rFonts w:cs="Times New Roman"/>
                <w:szCs w:val="24"/>
              </w:rPr>
              <w:t>3</w:t>
            </w:r>
            <w:r>
              <w:rPr>
                <w:rFonts w:cs="Times New Roman"/>
                <w:szCs w:val="24"/>
              </w:rPr>
              <w:t>.</w:t>
            </w:r>
            <w:r w:rsidR="00C93E13">
              <w:rPr>
                <w:rFonts w:cs="Times New Roman"/>
                <w:szCs w:val="24"/>
              </w:rPr>
              <w:t>566</w:t>
            </w:r>
          </w:p>
        </w:tc>
        <w:tc>
          <w:tcPr>
            <w:tcW w:w="1701" w:type="dxa"/>
            <w:vAlign w:val="center"/>
          </w:tcPr>
          <w:p w14:paraId="05EEF7C3" w14:textId="562CCE71" w:rsidR="0041035D" w:rsidRDefault="00C93E13" w:rsidP="00CE3F96">
            <w:pPr>
              <w:spacing w:after="200" w:line="276" w:lineRule="auto"/>
              <w:jc w:val="center"/>
              <w:rPr>
                <w:rFonts w:cs="Times New Roman"/>
                <w:szCs w:val="24"/>
              </w:rPr>
            </w:pPr>
            <w:r>
              <w:rPr>
                <w:rFonts w:cs="Times New Roman"/>
                <w:szCs w:val="24"/>
              </w:rPr>
              <w:t>-3.02</w:t>
            </w:r>
          </w:p>
        </w:tc>
        <w:tc>
          <w:tcPr>
            <w:tcW w:w="1559" w:type="dxa"/>
            <w:vAlign w:val="center"/>
          </w:tcPr>
          <w:p w14:paraId="3BA3B062" w14:textId="4DC06DE9" w:rsidR="0041035D" w:rsidRPr="008051C4" w:rsidRDefault="00C93E13" w:rsidP="00CE3F96">
            <w:pPr>
              <w:spacing w:after="200" w:line="276" w:lineRule="auto"/>
              <w:jc w:val="center"/>
              <w:rPr>
                <w:rFonts w:cs="Times New Roman"/>
                <w:b/>
                <w:szCs w:val="24"/>
              </w:rPr>
            </w:pPr>
            <w:r>
              <w:rPr>
                <w:rFonts w:cs="Times New Roman"/>
                <w:b/>
                <w:szCs w:val="24"/>
              </w:rPr>
              <w:t>.003</w:t>
            </w:r>
          </w:p>
        </w:tc>
      </w:tr>
      <w:tr w:rsidR="00CE3F96" w14:paraId="1CA401EC" w14:textId="77777777" w:rsidTr="00C31CE3">
        <w:tc>
          <w:tcPr>
            <w:tcW w:w="4219" w:type="dxa"/>
          </w:tcPr>
          <w:p w14:paraId="0590C53F" w14:textId="2D4806A6" w:rsidR="0041035D" w:rsidRDefault="0089458C">
            <w:pPr>
              <w:spacing w:after="200" w:line="276" w:lineRule="auto"/>
              <w:rPr>
                <w:rFonts w:cs="Times New Roman"/>
                <w:szCs w:val="24"/>
              </w:rPr>
            </w:pPr>
            <w:r>
              <w:rPr>
                <w:rFonts w:cs="Times New Roman"/>
                <w:szCs w:val="24"/>
              </w:rPr>
              <w:t xml:space="preserve">H2: </w:t>
            </w:r>
            <w:r w:rsidR="002F5D87">
              <w:rPr>
                <w:rFonts w:cs="Times New Roman"/>
                <w:szCs w:val="24"/>
              </w:rPr>
              <w:t>Legislative Intent</w:t>
            </w:r>
          </w:p>
        </w:tc>
        <w:tc>
          <w:tcPr>
            <w:tcW w:w="1701" w:type="dxa"/>
            <w:vAlign w:val="center"/>
          </w:tcPr>
          <w:p w14:paraId="1DEBB0B8" w14:textId="2E128D58" w:rsidR="0041035D" w:rsidRDefault="00CE3F96" w:rsidP="00CE3F96">
            <w:pPr>
              <w:spacing w:after="200" w:line="276" w:lineRule="auto"/>
              <w:jc w:val="center"/>
              <w:rPr>
                <w:rFonts w:cs="Times New Roman"/>
                <w:szCs w:val="24"/>
              </w:rPr>
            </w:pPr>
            <w:r>
              <w:rPr>
                <w:rFonts w:cs="Times New Roman"/>
                <w:szCs w:val="24"/>
              </w:rPr>
              <w:t>-</w:t>
            </w:r>
            <w:r w:rsidR="002F5D87">
              <w:rPr>
                <w:rFonts w:cs="Times New Roman"/>
                <w:szCs w:val="24"/>
              </w:rPr>
              <w:t>2</w:t>
            </w:r>
            <w:r>
              <w:rPr>
                <w:rFonts w:cs="Times New Roman"/>
                <w:szCs w:val="24"/>
              </w:rPr>
              <w:t>.</w:t>
            </w:r>
            <w:r w:rsidR="00C93E13">
              <w:rPr>
                <w:rFonts w:cs="Times New Roman"/>
                <w:szCs w:val="24"/>
              </w:rPr>
              <w:t>506</w:t>
            </w:r>
          </w:p>
        </w:tc>
        <w:tc>
          <w:tcPr>
            <w:tcW w:w="1701" w:type="dxa"/>
            <w:vAlign w:val="center"/>
          </w:tcPr>
          <w:p w14:paraId="75E74A79" w14:textId="6A234AF0" w:rsidR="0041035D" w:rsidRDefault="00CE3F96" w:rsidP="00CE3F96">
            <w:pPr>
              <w:spacing w:after="200" w:line="276" w:lineRule="auto"/>
              <w:jc w:val="center"/>
              <w:rPr>
                <w:rFonts w:cs="Times New Roman"/>
                <w:szCs w:val="24"/>
              </w:rPr>
            </w:pPr>
            <w:r>
              <w:rPr>
                <w:rFonts w:cs="Times New Roman"/>
                <w:szCs w:val="24"/>
              </w:rPr>
              <w:t>-</w:t>
            </w:r>
            <w:r w:rsidR="002F5D87">
              <w:rPr>
                <w:rFonts w:cs="Times New Roman"/>
                <w:szCs w:val="24"/>
              </w:rPr>
              <w:t>5</w:t>
            </w:r>
            <w:r>
              <w:rPr>
                <w:rFonts w:cs="Times New Roman"/>
                <w:szCs w:val="24"/>
              </w:rPr>
              <w:t>.</w:t>
            </w:r>
            <w:r w:rsidR="00C93E13">
              <w:rPr>
                <w:rFonts w:cs="Times New Roman"/>
                <w:szCs w:val="24"/>
              </w:rPr>
              <w:t>16</w:t>
            </w:r>
          </w:p>
        </w:tc>
        <w:tc>
          <w:tcPr>
            <w:tcW w:w="1559" w:type="dxa"/>
            <w:vAlign w:val="center"/>
          </w:tcPr>
          <w:p w14:paraId="4520F6AC" w14:textId="77777777" w:rsidR="0041035D" w:rsidRPr="002F5D87" w:rsidRDefault="002F5D87" w:rsidP="00CE3F96">
            <w:pPr>
              <w:spacing w:after="200" w:line="276" w:lineRule="auto"/>
              <w:jc w:val="center"/>
              <w:rPr>
                <w:rFonts w:cs="Times New Roman"/>
                <w:b/>
                <w:szCs w:val="24"/>
              </w:rPr>
            </w:pPr>
            <w:r w:rsidRPr="002F5D87">
              <w:rPr>
                <w:rFonts w:cs="Times New Roman"/>
                <w:b/>
                <w:szCs w:val="24"/>
              </w:rPr>
              <w:t>.000</w:t>
            </w:r>
          </w:p>
        </w:tc>
      </w:tr>
      <w:tr w:rsidR="00CE3F96" w14:paraId="5289E75A" w14:textId="77777777" w:rsidTr="00C31CE3">
        <w:tc>
          <w:tcPr>
            <w:tcW w:w="4219" w:type="dxa"/>
          </w:tcPr>
          <w:p w14:paraId="5AEA819D" w14:textId="3D16C055" w:rsidR="0041035D" w:rsidRDefault="0089458C" w:rsidP="0089458C">
            <w:pPr>
              <w:spacing w:after="200" w:line="276" w:lineRule="auto"/>
              <w:rPr>
                <w:rFonts w:cs="Times New Roman"/>
                <w:szCs w:val="24"/>
              </w:rPr>
            </w:pPr>
            <w:r>
              <w:rPr>
                <w:rFonts w:cs="Times New Roman"/>
                <w:szCs w:val="24"/>
              </w:rPr>
              <w:t xml:space="preserve">H4: </w:t>
            </w:r>
            <w:r w:rsidR="00CE3F96">
              <w:rPr>
                <w:rFonts w:cs="Times New Roman"/>
                <w:szCs w:val="24"/>
              </w:rPr>
              <w:t>Appointing Govt * Economic</w:t>
            </w:r>
          </w:p>
        </w:tc>
        <w:tc>
          <w:tcPr>
            <w:tcW w:w="1701" w:type="dxa"/>
            <w:vAlign w:val="center"/>
          </w:tcPr>
          <w:p w14:paraId="717B5DCA" w14:textId="6DAF4960" w:rsidR="0041035D" w:rsidRDefault="002F5D87" w:rsidP="00CE3F96">
            <w:pPr>
              <w:spacing w:after="200" w:line="276" w:lineRule="auto"/>
              <w:jc w:val="center"/>
              <w:rPr>
                <w:rFonts w:cs="Times New Roman"/>
                <w:szCs w:val="24"/>
              </w:rPr>
            </w:pPr>
            <w:r>
              <w:rPr>
                <w:rFonts w:cs="Times New Roman"/>
                <w:szCs w:val="24"/>
              </w:rPr>
              <w:t>0.9</w:t>
            </w:r>
            <w:r w:rsidR="00C93E13">
              <w:rPr>
                <w:rFonts w:cs="Times New Roman"/>
                <w:szCs w:val="24"/>
              </w:rPr>
              <w:t>67</w:t>
            </w:r>
          </w:p>
        </w:tc>
        <w:tc>
          <w:tcPr>
            <w:tcW w:w="1701" w:type="dxa"/>
            <w:vAlign w:val="center"/>
          </w:tcPr>
          <w:p w14:paraId="24CA14F5" w14:textId="72FEAB89" w:rsidR="0041035D" w:rsidRDefault="002F5D87" w:rsidP="00CE3F96">
            <w:pPr>
              <w:spacing w:after="200" w:line="276" w:lineRule="auto"/>
              <w:jc w:val="center"/>
              <w:rPr>
                <w:rFonts w:cs="Times New Roman"/>
                <w:szCs w:val="24"/>
              </w:rPr>
            </w:pPr>
            <w:r>
              <w:rPr>
                <w:rFonts w:cs="Times New Roman"/>
                <w:szCs w:val="24"/>
              </w:rPr>
              <w:t>2</w:t>
            </w:r>
            <w:r w:rsidR="00CE3F96">
              <w:rPr>
                <w:rFonts w:cs="Times New Roman"/>
                <w:szCs w:val="24"/>
              </w:rPr>
              <w:t>.</w:t>
            </w:r>
            <w:r w:rsidR="00C93E13">
              <w:rPr>
                <w:rFonts w:cs="Times New Roman"/>
                <w:szCs w:val="24"/>
              </w:rPr>
              <w:t>03</w:t>
            </w:r>
          </w:p>
        </w:tc>
        <w:tc>
          <w:tcPr>
            <w:tcW w:w="1559" w:type="dxa"/>
            <w:vAlign w:val="center"/>
          </w:tcPr>
          <w:p w14:paraId="7792B72B" w14:textId="22C25673" w:rsidR="0041035D" w:rsidRPr="008051C4" w:rsidRDefault="002F5D87" w:rsidP="00CE3F96">
            <w:pPr>
              <w:spacing w:after="200" w:line="276" w:lineRule="auto"/>
              <w:jc w:val="center"/>
              <w:rPr>
                <w:rFonts w:cs="Times New Roman"/>
                <w:b/>
                <w:szCs w:val="24"/>
              </w:rPr>
            </w:pPr>
            <w:r>
              <w:rPr>
                <w:rFonts w:cs="Times New Roman"/>
                <w:b/>
                <w:szCs w:val="24"/>
              </w:rPr>
              <w:t>.0</w:t>
            </w:r>
            <w:r w:rsidR="00C93E13">
              <w:rPr>
                <w:rFonts w:cs="Times New Roman"/>
                <w:b/>
                <w:szCs w:val="24"/>
              </w:rPr>
              <w:t>42</w:t>
            </w:r>
          </w:p>
        </w:tc>
      </w:tr>
      <w:tr w:rsidR="00CE3F96" w14:paraId="0379C2EB" w14:textId="77777777" w:rsidTr="00C31CE3">
        <w:tc>
          <w:tcPr>
            <w:tcW w:w="4219" w:type="dxa"/>
          </w:tcPr>
          <w:p w14:paraId="0F7D55EB" w14:textId="2FC1AC73" w:rsidR="0041035D" w:rsidRDefault="0089458C">
            <w:pPr>
              <w:spacing w:after="200" w:line="276" w:lineRule="auto"/>
              <w:rPr>
                <w:rFonts w:cs="Times New Roman"/>
                <w:szCs w:val="24"/>
              </w:rPr>
            </w:pPr>
            <w:r>
              <w:rPr>
                <w:rFonts w:cs="Times New Roman"/>
                <w:szCs w:val="24"/>
              </w:rPr>
              <w:t xml:space="preserve">H5: </w:t>
            </w:r>
            <w:r w:rsidR="002F5D87">
              <w:rPr>
                <w:rFonts w:cs="Times New Roman"/>
                <w:szCs w:val="24"/>
              </w:rPr>
              <w:t>Female</w:t>
            </w:r>
          </w:p>
        </w:tc>
        <w:tc>
          <w:tcPr>
            <w:tcW w:w="1701" w:type="dxa"/>
            <w:vAlign w:val="center"/>
          </w:tcPr>
          <w:p w14:paraId="5655D344" w14:textId="3FFDE72E" w:rsidR="0041035D" w:rsidRDefault="00CE3F96" w:rsidP="00CE3F96">
            <w:pPr>
              <w:spacing w:after="200" w:line="276" w:lineRule="auto"/>
              <w:jc w:val="center"/>
              <w:rPr>
                <w:rFonts w:cs="Times New Roman"/>
                <w:szCs w:val="24"/>
              </w:rPr>
            </w:pPr>
            <w:r>
              <w:rPr>
                <w:rFonts w:cs="Times New Roman"/>
                <w:szCs w:val="24"/>
              </w:rPr>
              <w:t>0.</w:t>
            </w:r>
            <w:r w:rsidR="002F5D87">
              <w:rPr>
                <w:rFonts w:cs="Times New Roman"/>
                <w:szCs w:val="24"/>
              </w:rPr>
              <w:t>1</w:t>
            </w:r>
            <w:r w:rsidR="00C93E13">
              <w:rPr>
                <w:rFonts w:cs="Times New Roman"/>
                <w:szCs w:val="24"/>
              </w:rPr>
              <w:t>88</w:t>
            </w:r>
          </w:p>
        </w:tc>
        <w:tc>
          <w:tcPr>
            <w:tcW w:w="1701" w:type="dxa"/>
            <w:vAlign w:val="center"/>
          </w:tcPr>
          <w:p w14:paraId="3596A8B4" w14:textId="1C4C1B5D" w:rsidR="0041035D" w:rsidRDefault="002F5D87" w:rsidP="00CE3F96">
            <w:pPr>
              <w:spacing w:after="200" w:line="276" w:lineRule="auto"/>
              <w:jc w:val="center"/>
              <w:rPr>
                <w:rFonts w:cs="Times New Roman"/>
                <w:szCs w:val="24"/>
              </w:rPr>
            </w:pPr>
            <w:r>
              <w:rPr>
                <w:rFonts w:cs="Times New Roman"/>
                <w:szCs w:val="24"/>
              </w:rPr>
              <w:t>0.</w:t>
            </w:r>
            <w:r w:rsidR="00C93E13">
              <w:rPr>
                <w:rFonts w:cs="Times New Roman"/>
                <w:szCs w:val="24"/>
              </w:rPr>
              <w:t>41</w:t>
            </w:r>
          </w:p>
        </w:tc>
        <w:tc>
          <w:tcPr>
            <w:tcW w:w="1559" w:type="dxa"/>
            <w:vAlign w:val="center"/>
          </w:tcPr>
          <w:p w14:paraId="6FD2C26D" w14:textId="027D84F5" w:rsidR="0041035D" w:rsidRDefault="002F5D87" w:rsidP="00CE3F96">
            <w:pPr>
              <w:spacing w:after="200" w:line="276" w:lineRule="auto"/>
              <w:jc w:val="center"/>
              <w:rPr>
                <w:rFonts w:cs="Times New Roman"/>
                <w:szCs w:val="24"/>
              </w:rPr>
            </w:pPr>
            <w:r>
              <w:rPr>
                <w:rFonts w:cs="Times New Roman"/>
                <w:szCs w:val="24"/>
              </w:rPr>
              <w:t>.</w:t>
            </w:r>
            <w:r w:rsidR="00C93E13">
              <w:rPr>
                <w:rFonts w:cs="Times New Roman"/>
                <w:szCs w:val="24"/>
              </w:rPr>
              <w:t>680</w:t>
            </w:r>
          </w:p>
        </w:tc>
      </w:tr>
      <w:tr w:rsidR="00CE3F96" w14:paraId="128D78E8" w14:textId="77777777" w:rsidTr="00C31CE3">
        <w:tc>
          <w:tcPr>
            <w:tcW w:w="4219" w:type="dxa"/>
          </w:tcPr>
          <w:p w14:paraId="71375376" w14:textId="77777777" w:rsidR="0041035D" w:rsidRDefault="002F5D87">
            <w:pPr>
              <w:spacing w:after="200" w:line="276" w:lineRule="auto"/>
              <w:rPr>
                <w:rFonts w:cs="Times New Roman"/>
                <w:szCs w:val="24"/>
              </w:rPr>
            </w:pPr>
            <w:r>
              <w:rPr>
                <w:rFonts w:cs="Times New Roman"/>
                <w:szCs w:val="24"/>
              </w:rPr>
              <w:t>Public Plaintiff</w:t>
            </w:r>
          </w:p>
        </w:tc>
        <w:tc>
          <w:tcPr>
            <w:tcW w:w="1701" w:type="dxa"/>
            <w:vAlign w:val="center"/>
          </w:tcPr>
          <w:p w14:paraId="7289C881" w14:textId="7CD68811" w:rsidR="0041035D" w:rsidRDefault="002F5D87" w:rsidP="00CE3F96">
            <w:pPr>
              <w:spacing w:after="200" w:line="276" w:lineRule="auto"/>
              <w:jc w:val="center"/>
              <w:rPr>
                <w:rFonts w:cs="Times New Roman"/>
                <w:szCs w:val="24"/>
              </w:rPr>
            </w:pPr>
            <w:r>
              <w:rPr>
                <w:rFonts w:cs="Times New Roman"/>
                <w:szCs w:val="24"/>
              </w:rPr>
              <w:t>0.4</w:t>
            </w:r>
            <w:r w:rsidR="00C93E13">
              <w:rPr>
                <w:rFonts w:cs="Times New Roman"/>
                <w:szCs w:val="24"/>
              </w:rPr>
              <w:t>21</w:t>
            </w:r>
          </w:p>
        </w:tc>
        <w:tc>
          <w:tcPr>
            <w:tcW w:w="1701" w:type="dxa"/>
            <w:vAlign w:val="center"/>
          </w:tcPr>
          <w:p w14:paraId="2ADDF9C5" w14:textId="5DF27E20" w:rsidR="0041035D" w:rsidRDefault="002F5D87" w:rsidP="00CE3F96">
            <w:pPr>
              <w:spacing w:after="200" w:line="276" w:lineRule="auto"/>
              <w:jc w:val="center"/>
              <w:rPr>
                <w:rFonts w:cs="Times New Roman"/>
                <w:szCs w:val="24"/>
              </w:rPr>
            </w:pPr>
            <w:r>
              <w:rPr>
                <w:rFonts w:cs="Times New Roman"/>
                <w:szCs w:val="24"/>
              </w:rPr>
              <w:t>1.1</w:t>
            </w:r>
            <w:r w:rsidR="00C93E13">
              <w:rPr>
                <w:rFonts w:cs="Times New Roman"/>
                <w:szCs w:val="24"/>
              </w:rPr>
              <w:t>0</w:t>
            </w:r>
          </w:p>
        </w:tc>
        <w:tc>
          <w:tcPr>
            <w:tcW w:w="1559" w:type="dxa"/>
            <w:vAlign w:val="center"/>
          </w:tcPr>
          <w:p w14:paraId="20C3CC9D" w14:textId="2239E64F" w:rsidR="0041035D" w:rsidRDefault="002F5D87" w:rsidP="00CE3F96">
            <w:pPr>
              <w:spacing w:after="200" w:line="276" w:lineRule="auto"/>
              <w:jc w:val="center"/>
              <w:rPr>
                <w:rFonts w:cs="Times New Roman"/>
                <w:szCs w:val="24"/>
              </w:rPr>
            </w:pPr>
            <w:r>
              <w:rPr>
                <w:rFonts w:cs="Times New Roman"/>
                <w:szCs w:val="24"/>
              </w:rPr>
              <w:t>.2</w:t>
            </w:r>
            <w:r w:rsidR="00C93E13">
              <w:rPr>
                <w:rFonts w:cs="Times New Roman"/>
                <w:szCs w:val="24"/>
              </w:rPr>
              <w:t>73</w:t>
            </w:r>
          </w:p>
        </w:tc>
      </w:tr>
      <w:tr w:rsidR="00CE3F96" w14:paraId="3521367D" w14:textId="77777777" w:rsidTr="00C31CE3">
        <w:tc>
          <w:tcPr>
            <w:tcW w:w="4219" w:type="dxa"/>
          </w:tcPr>
          <w:p w14:paraId="586415E6" w14:textId="73DB80B3" w:rsidR="00D44949" w:rsidRDefault="00D44949">
            <w:pPr>
              <w:spacing w:after="200" w:line="276" w:lineRule="auto"/>
              <w:rPr>
                <w:rFonts w:cs="Times New Roman"/>
                <w:szCs w:val="24"/>
              </w:rPr>
            </w:pPr>
            <w:r>
              <w:rPr>
                <w:rFonts w:cs="Times New Roman"/>
                <w:szCs w:val="24"/>
              </w:rPr>
              <w:t>Legislation Department</w:t>
            </w:r>
          </w:p>
        </w:tc>
        <w:tc>
          <w:tcPr>
            <w:tcW w:w="1701" w:type="dxa"/>
            <w:vAlign w:val="center"/>
          </w:tcPr>
          <w:p w14:paraId="12A90C8C" w14:textId="7E3280C8" w:rsidR="0041035D" w:rsidRDefault="00C93E13" w:rsidP="00CE3F96">
            <w:pPr>
              <w:spacing w:after="200" w:line="276" w:lineRule="auto"/>
              <w:jc w:val="center"/>
              <w:rPr>
                <w:rFonts w:cs="Times New Roman"/>
                <w:szCs w:val="24"/>
              </w:rPr>
            </w:pPr>
            <w:r>
              <w:rPr>
                <w:rFonts w:cs="Times New Roman"/>
                <w:szCs w:val="24"/>
              </w:rPr>
              <w:t>.283</w:t>
            </w:r>
          </w:p>
        </w:tc>
        <w:tc>
          <w:tcPr>
            <w:tcW w:w="1701" w:type="dxa"/>
            <w:vAlign w:val="center"/>
          </w:tcPr>
          <w:p w14:paraId="7A53113A" w14:textId="708E7128" w:rsidR="0041035D" w:rsidRDefault="00C93E13" w:rsidP="00CE3F96">
            <w:pPr>
              <w:spacing w:after="200" w:line="276" w:lineRule="auto"/>
              <w:jc w:val="center"/>
              <w:rPr>
                <w:rFonts w:cs="Times New Roman"/>
                <w:szCs w:val="24"/>
              </w:rPr>
            </w:pPr>
            <w:r>
              <w:rPr>
                <w:rFonts w:cs="Times New Roman"/>
                <w:szCs w:val="24"/>
              </w:rPr>
              <w:t>0.52</w:t>
            </w:r>
          </w:p>
        </w:tc>
        <w:tc>
          <w:tcPr>
            <w:tcW w:w="1559" w:type="dxa"/>
            <w:vAlign w:val="center"/>
          </w:tcPr>
          <w:p w14:paraId="5FC8CB04" w14:textId="41E89999" w:rsidR="0041035D" w:rsidRDefault="00C93E13" w:rsidP="00CE3F96">
            <w:pPr>
              <w:spacing w:after="200" w:line="276" w:lineRule="auto"/>
              <w:jc w:val="center"/>
              <w:rPr>
                <w:rFonts w:cs="Times New Roman"/>
                <w:szCs w:val="24"/>
              </w:rPr>
            </w:pPr>
            <w:r>
              <w:rPr>
                <w:rFonts w:cs="Times New Roman"/>
                <w:szCs w:val="24"/>
              </w:rPr>
              <w:t>.606</w:t>
            </w:r>
          </w:p>
        </w:tc>
      </w:tr>
      <w:tr w:rsidR="00D44949" w14:paraId="7BA6B455" w14:textId="77777777" w:rsidTr="00C31CE3">
        <w:tc>
          <w:tcPr>
            <w:tcW w:w="4219" w:type="dxa"/>
          </w:tcPr>
          <w:p w14:paraId="4078ADF1" w14:textId="06192E2A" w:rsidR="00D44949" w:rsidRDefault="00D44949">
            <w:pPr>
              <w:spacing w:after="200" w:line="276" w:lineRule="auto"/>
              <w:rPr>
                <w:rFonts w:cs="Times New Roman"/>
                <w:szCs w:val="24"/>
              </w:rPr>
            </w:pPr>
            <w:r>
              <w:rPr>
                <w:rFonts w:cs="Times New Roman"/>
                <w:szCs w:val="24"/>
              </w:rPr>
              <w:t>Oslo Born</w:t>
            </w:r>
          </w:p>
        </w:tc>
        <w:tc>
          <w:tcPr>
            <w:tcW w:w="1701" w:type="dxa"/>
            <w:vAlign w:val="center"/>
          </w:tcPr>
          <w:p w14:paraId="70B5D8DB" w14:textId="6C014435" w:rsidR="00D44949" w:rsidRDefault="00C93E13" w:rsidP="00CE3F96">
            <w:pPr>
              <w:spacing w:after="200" w:line="276" w:lineRule="auto"/>
              <w:jc w:val="center"/>
              <w:rPr>
                <w:rFonts w:cs="Times New Roman"/>
                <w:szCs w:val="24"/>
              </w:rPr>
            </w:pPr>
            <w:r>
              <w:rPr>
                <w:rFonts w:cs="Times New Roman"/>
                <w:szCs w:val="24"/>
              </w:rPr>
              <w:t>-.273</w:t>
            </w:r>
          </w:p>
        </w:tc>
        <w:tc>
          <w:tcPr>
            <w:tcW w:w="1701" w:type="dxa"/>
            <w:vAlign w:val="center"/>
          </w:tcPr>
          <w:p w14:paraId="0B4D2F64" w14:textId="630875E1" w:rsidR="00D44949" w:rsidRDefault="00C93E13" w:rsidP="00CE3F96">
            <w:pPr>
              <w:spacing w:after="200" w:line="276" w:lineRule="auto"/>
              <w:jc w:val="center"/>
              <w:rPr>
                <w:rFonts w:cs="Times New Roman"/>
                <w:szCs w:val="24"/>
              </w:rPr>
            </w:pPr>
            <w:r>
              <w:rPr>
                <w:rFonts w:cs="Times New Roman"/>
                <w:szCs w:val="24"/>
              </w:rPr>
              <w:t>-0.88</w:t>
            </w:r>
          </w:p>
        </w:tc>
        <w:tc>
          <w:tcPr>
            <w:tcW w:w="1559" w:type="dxa"/>
            <w:vAlign w:val="center"/>
          </w:tcPr>
          <w:p w14:paraId="2B1FBD1C" w14:textId="6C7F235B" w:rsidR="00D44949" w:rsidRDefault="00C93E13" w:rsidP="00CE3F96">
            <w:pPr>
              <w:spacing w:after="200" w:line="276" w:lineRule="auto"/>
              <w:jc w:val="center"/>
              <w:rPr>
                <w:rFonts w:cs="Times New Roman"/>
                <w:szCs w:val="24"/>
              </w:rPr>
            </w:pPr>
            <w:r>
              <w:rPr>
                <w:rFonts w:cs="Times New Roman"/>
                <w:szCs w:val="24"/>
              </w:rPr>
              <w:t>.377</w:t>
            </w:r>
          </w:p>
        </w:tc>
      </w:tr>
      <w:tr w:rsidR="00D44949" w14:paraId="3EFF4402" w14:textId="77777777" w:rsidTr="00C31CE3">
        <w:tc>
          <w:tcPr>
            <w:tcW w:w="4219" w:type="dxa"/>
          </w:tcPr>
          <w:p w14:paraId="52EDFCC8" w14:textId="45612192" w:rsidR="00D44949" w:rsidRDefault="00D44949">
            <w:pPr>
              <w:spacing w:after="200" w:line="276" w:lineRule="auto"/>
              <w:rPr>
                <w:rFonts w:cs="Times New Roman"/>
                <w:szCs w:val="24"/>
              </w:rPr>
            </w:pPr>
            <w:r>
              <w:rPr>
                <w:rFonts w:cs="Times New Roman"/>
                <w:szCs w:val="24"/>
              </w:rPr>
              <w:t>Law Professor</w:t>
            </w:r>
          </w:p>
        </w:tc>
        <w:tc>
          <w:tcPr>
            <w:tcW w:w="1701" w:type="dxa"/>
            <w:vAlign w:val="center"/>
          </w:tcPr>
          <w:p w14:paraId="0F076757" w14:textId="2880DC7D" w:rsidR="00D44949" w:rsidRDefault="00C93E13" w:rsidP="00CE3F96">
            <w:pPr>
              <w:spacing w:after="200" w:line="276" w:lineRule="auto"/>
              <w:jc w:val="center"/>
              <w:rPr>
                <w:rFonts w:cs="Times New Roman"/>
                <w:szCs w:val="24"/>
              </w:rPr>
            </w:pPr>
            <w:r>
              <w:rPr>
                <w:rFonts w:cs="Times New Roman"/>
                <w:szCs w:val="24"/>
              </w:rPr>
              <w:t>-.239</w:t>
            </w:r>
          </w:p>
        </w:tc>
        <w:tc>
          <w:tcPr>
            <w:tcW w:w="1701" w:type="dxa"/>
            <w:vAlign w:val="center"/>
          </w:tcPr>
          <w:p w14:paraId="2A14308D" w14:textId="15562FAA" w:rsidR="00D44949" w:rsidRDefault="00C93E13" w:rsidP="00CE3F96">
            <w:pPr>
              <w:spacing w:after="200" w:line="276" w:lineRule="auto"/>
              <w:jc w:val="center"/>
              <w:rPr>
                <w:rFonts w:cs="Times New Roman"/>
                <w:szCs w:val="24"/>
              </w:rPr>
            </w:pPr>
            <w:r>
              <w:rPr>
                <w:rFonts w:cs="Times New Roman"/>
                <w:szCs w:val="24"/>
              </w:rPr>
              <w:t>0.34</w:t>
            </w:r>
          </w:p>
        </w:tc>
        <w:tc>
          <w:tcPr>
            <w:tcW w:w="1559" w:type="dxa"/>
            <w:vAlign w:val="center"/>
          </w:tcPr>
          <w:p w14:paraId="639750AF" w14:textId="4898CBCE" w:rsidR="00D44949" w:rsidRDefault="00C93E13" w:rsidP="00CE3F96">
            <w:pPr>
              <w:spacing w:after="200" w:line="276" w:lineRule="auto"/>
              <w:jc w:val="center"/>
              <w:rPr>
                <w:rFonts w:cs="Times New Roman"/>
                <w:szCs w:val="24"/>
              </w:rPr>
            </w:pPr>
            <w:r>
              <w:rPr>
                <w:rFonts w:cs="Times New Roman"/>
                <w:szCs w:val="24"/>
              </w:rPr>
              <w:t>.737</w:t>
            </w:r>
          </w:p>
        </w:tc>
      </w:tr>
      <w:tr w:rsidR="00CE3F96" w14:paraId="7E5F3B45" w14:textId="77777777" w:rsidTr="00C31CE3">
        <w:tc>
          <w:tcPr>
            <w:tcW w:w="4219" w:type="dxa"/>
          </w:tcPr>
          <w:p w14:paraId="563431AD" w14:textId="77777777" w:rsidR="00CE3F96" w:rsidRDefault="00CE3F96">
            <w:pPr>
              <w:spacing w:after="200" w:line="276" w:lineRule="auto"/>
              <w:rPr>
                <w:rFonts w:cs="Times New Roman"/>
                <w:szCs w:val="24"/>
              </w:rPr>
            </w:pPr>
            <w:r>
              <w:rPr>
                <w:rFonts w:cs="Times New Roman"/>
                <w:szCs w:val="24"/>
              </w:rPr>
              <w:t>Constant</w:t>
            </w:r>
          </w:p>
        </w:tc>
        <w:tc>
          <w:tcPr>
            <w:tcW w:w="1701" w:type="dxa"/>
            <w:vAlign w:val="center"/>
          </w:tcPr>
          <w:p w14:paraId="2B6292A4" w14:textId="30942FFC" w:rsidR="00CE3F96" w:rsidRDefault="002F5D87" w:rsidP="00CE3F96">
            <w:pPr>
              <w:spacing w:after="200" w:line="276" w:lineRule="auto"/>
              <w:jc w:val="center"/>
              <w:rPr>
                <w:rFonts w:cs="Times New Roman"/>
                <w:szCs w:val="24"/>
              </w:rPr>
            </w:pPr>
            <w:r>
              <w:rPr>
                <w:rFonts w:cs="Times New Roman"/>
                <w:szCs w:val="24"/>
              </w:rPr>
              <w:t>1</w:t>
            </w:r>
            <w:r w:rsidR="008665F9">
              <w:rPr>
                <w:rFonts w:cs="Times New Roman"/>
                <w:szCs w:val="24"/>
              </w:rPr>
              <w:t>3</w:t>
            </w:r>
            <w:r w:rsidR="00CE3F96">
              <w:rPr>
                <w:rFonts w:cs="Times New Roman"/>
                <w:szCs w:val="24"/>
              </w:rPr>
              <w:t>.</w:t>
            </w:r>
            <w:r w:rsidR="008665F9">
              <w:rPr>
                <w:rFonts w:cs="Times New Roman"/>
                <w:szCs w:val="24"/>
              </w:rPr>
              <w:t>420</w:t>
            </w:r>
          </w:p>
        </w:tc>
        <w:tc>
          <w:tcPr>
            <w:tcW w:w="1701" w:type="dxa"/>
            <w:vAlign w:val="center"/>
          </w:tcPr>
          <w:p w14:paraId="7FA05A6B" w14:textId="02272CB2" w:rsidR="00CE3F96" w:rsidRDefault="002F5D87" w:rsidP="00CE3F96">
            <w:pPr>
              <w:spacing w:after="200" w:line="276" w:lineRule="auto"/>
              <w:jc w:val="center"/>
              <w:rPr>
                <w:rFonts w:cs="Times New Roman"/>
                <w:szCs w:val="24"/>
              </w:rPr>
            </w:pPr>
            <w:r>
              <w:rPr>
                <w:rFonts w:cs="Times New Roman"/>
                <w:szCs w:val="24"/>
              </w:rPr>
              <w:t>3</w:t>
            </w:r>
            <w:r w:rsidR="00CE3F96">
              <w:rPr>
                <w:rFonts w:cs="Times New Roman"/>
                <w:szCs w:val="24"/>
              </w:rPr>
              <w:t>.</w:t>
            </w:r>
            <w:r w:rsidR="008665F9">
              <w:rPr>
                <w:rFonts w:cs="Times New Roman"/>
                <w:szCs w:val="24"/>
              </w:rPr>
              <w:t>58</w:t>
            </w:r>
          </w:p>
        </w:tc>
        <w:tc>
          <w:tcPr>
            <w:tcW w:w="1559" w:type="dxa"/>
            <w:vAlign w:val="center"/>
          </w:tcPr>
          <w:p w14:paraId="45B9A798" w14:textId="3563040E" w:rsidR="00CE3F96" w:rsidRDefault="00CE3F96" w:rsidP="00CE3F96">
            <w:pPr>
              <w:spacing w:after="200" w:line="276" w:lineRule="auto"/>
              <w:jc w:val="center"/>
              <w:rPr>
                <w:rFonts w:cs="Times New Roman"/>
                <w:szCs w:val="24"/>
              </w:rPr>
            </w:pPr>
            <w:r>
              <w:rPr>
                <w:rFonts w:cs="Times New Roman"/>
                <w:szCs w:val="24"/>
              </w:rPr>
              <w:t>.0</w:t>
            </w:r>
            <w:r w:rsidR="008665F9">
              <w:rPr>
                <w:rFonts w:cs="Times New Roman"/>
                <w:szCs w:val="24"/>
              </w:rPr>
              <w:t>00</w:t>
            </w:r>
          </w:p>
        </w:tc>
      </w:tr>
    </w:tbl>
    <w:p w14:paraId="2671CA18" w14:textId="77777777" w:rsidR="00CE3F96" w:rsidRPr="00940FA1" w:rsidRDefault="00CE3F96" w:rsidP="00CE3F96">
      <w:pPr>
        <w:spacing w:line="240" w:lineRule="auto"/>
        <w:rPr>
          <w:rFonts w:cs="Times New Roman"/>
          <w:szCs w:val="24"/>
        </w:rPr>
      </w:pPr>
      <w:r>
        <w:rPr>
          <w:rFonts w:cs="Times New Roman"/>
          <w:szCs w:val="24"/>
        </w:rPr>
        <w:t>N = 148</w:t>
      </w:r>
    </w:p>
    <w:p w14:paraId="7662B04A" w14:textId="7E409301" w:rsidR="00CE3F96" w:rsidRDefault="00CE3F96" w:rsidP="00CE3F96">
      <w:pPr>
        <w:spacing w:line="240" w:lineRule="auto"/>
        <w:rPr>
          <w:rFonts w:cs="Times New Roman"/>
          <w:szCs w:val="24"/>
        </w:rPr>
      </w:pPr>
      <w:r w:rsidRPr="009D177B">
        <w:rPr>
          <w:rFonts w:cs="Times New Roman"/>
          <w:szCs w:val="24"/>
        </w:rPr>
        <w:t>Chi</w:t>
      </w:r>
      <w:r w:rsidRPr="009D177B">
        <w:rPr>
          <w:rFonts w:cs="Times New Roman"/>
          <w:szCs w:val="24"/>
          <w:vertAlign w:val="superscript"/>
        </w:rPr>
        <w:t>2</w:t>
      </w:r>
      <w:r>
        <w:rPr>
          <w:rFonts w:cs="Times New Roman"/>
          <w:szCs w:val="24"/>
        </w:rPr>
        <w:t xml:space="preserve"> = </w:t>
      </w:r>
      <w:r w:rsidR="002F5D87">
        <w:rPr>
          <w:rFonts w:cs="Times New Roman"/>
          <w:szCs w:val="24"/>
        </w:rPr>
        <w:t>51.77</w:t>
      </w:r>
      <w:r>
        <w:rPr>
          <w:rFonts w:cs="Times New Roman"/>
          <w:szCs w:val="24"/>
        </w:rPr>
        <w:t xml:space="preserve">; Probability &gt; </w:t>
      </w:r>
      <w:r w:rsidRPr="009D177B">
        <w:rPr>
          <w:rFonts w:cs="Times New Roman"/>
          <w:szCs w:val="24"/>
        </w:rPr>
        <w:t>Chi</w:t>
      </w:r>
      <w:r w:rsidRPr="009D177B">
        <w:rPr>
          <w:rFonts w:cs="Times New Roman"/>
          <w:szCs w:val="24"/>
          <w:vertAlign w:val="superscript"/>
        </w:rPr>
        <w:t>2</w:t>
      </w:r>
      <w:r w:rsidR="007533B4">
        <w:rPr>
          <w:rFonts w:cs="Times New Roman"/>
          <w:szCs w:val="24"/>
        </w:rPr>
        <w:t xml:space="preserve"> = .0000; Pseudo </w:t>
      </w:r>
      <w:r w:rsidRPr="009D177B">
        <w:rPr>
          <w:rFonts w:cs="Times New Roman"/>
          <w:szCs w:val="24"/>
        </w:rPr>
        <w:t>R</w:t>
      </w:r>
      <w:r w:rsidRPr="009D177B">
        <w:rPr>
          <w:rFonts w:cs="Times New Roman"/>
          <w:szCs w:val="24"/>
          <w:vertAlign w:val="superscript"/>
        </w:rPr>
        <w:t>2</w:t>
      </w:r>
      <w:r w:rsidR="009C04DE">
        <w:rPr>
          <w:rFonts w:cs="Times New Roman"/>
          <w:szCs w:val="24"/>
        </w:rPr>
        <w:t xml:space="preserve"> = .147</w:t>
      </w:r>
    </w:p>
    <w:p w14:paraId="43120237" w14:textId="6EE5432F" w:rsidR="00CE3F96" w:rsidRDefault="00C6463E" w:rsidP="00CE3F96">
      <w:pPr>
        <w:spacing w:line="240" w:lineRule="auto"/>
        <w:rPr>
          <w:rFonts w:cs="Times New Roman"/>
          <w:szCs w:val="24"/>
        </w:rPr>
      </w:pPr>
      <w:r>
        <w:rPr>
          <w:rFonts w:cs="Times New Roman"/>
          <w:szCs w:val="24"/>
        </w:rPr>
        <w:t>Mean VIF = 1.40</w:t>
      </w:r>
    </w:p>
    <w:p w14:paraId="3B65B383" w14:textId="1C95595D" w:rsidR="009C04DE" w:rsidRDefault="009C04DE" w:rsidP="00CE3F96">
      <w:pPr>
        <w:spacing w:line="240" w:lineRule="auto"/>
        <w:rPr>
          <w:rFonts w:cs="Times New Roman"/>
          <w:szCs w:val="24"/>
        </w:rPr>
      </w:pPr>
    </w:p>
    <w:p w14:paraId="28920407" w14:textId="72060C3B" w:rsidR="00E21D2D" w:rsidRDefault="00E21D2D" w:rsidP="00CE3F96">
      <w:pPr>
        <w:spacing w:line="240" w:lineRule="auto"/>
        <w:rPr>
          <w:rFonts w:cs="Times New Roman"/>
          <w:szCs w:val="24"/>
        </w:rPr>
      </w:pPr>
    </w:p>
    <w:p w14:paraId="6680A45B" w14:textId="7F33D75F" w:rsidR="009C04DE" w:rsidRPr="004959CA" w:rsidRDefault="009C04DE" w:rsidP="009C04DE">
      <w:pPr>
        <w:spacing w:line="240" w:lineRule="auto"/>
        <w:jc w:val="center"/>
        <w:rPr>
          <w:rFonts w:cs="Times New Roman"/>
          <w:b/>
          <w:color w:val="000000" w:themeColor="text1"/>
          <w:sz w:val="28"/>
          <w:szCs w:val="28"/>
        </w:rPr>
      </w:pPr>
      <w:r w:rsidRPr="004959CA">
        <w:rPr>
          <w:rFonts w:cs="Times New Roman"/>
          <w:b/>
          <w:szCs w:val="24"/>
        </w:rPr>
        <w:t xml:space="preserve">Table </w:t>
      </w:r>
      <w:r w:rsidR="00116672">
        <w:rPr>
          <w:rFonts w:cs="Times New Roman"/>
          <w:b/>
          <w:szCs w:val="24"/>
        </w:rPr>
        <w:t>6</w:t>
      </w:r>
    </w:p>
    <w:p w14:paraId="702E2F17" w14:textId="77777777" w:rsidR="009C04DE" w:rsidRPr="004959CA" w:rsidRDefault="009C04DE" w:rsidP="009C04DE">
      <w:pPr>
        <w:spacing w:line="240" w:lineRule="auto"/>
        <w:jc w:val="center"/>
        <w:rPr>
          <w:rFonts w:cs="Times New Roman"/>
          <w:b/>
          <w:szCs w:val="24"/>
        </w:rPr>
      </w:pPr>
      <w:r w:rsidRPr="004959CA">
        <w:rPr>
          <w:rFonts w:cs="Times New Roman"/>
          <w:b/>
          <w:szCs w:val="24"/>
        </w:rPr>
        <w:t xml:space="preserve">Probability of Voting the Non-Socialist </w:t>
      </w:r>
      <w:proofErr w:type="spellStart"/>
      <w:r w:rsidRPr="004959CA">
        <w:rPr>
          <w:rFonts w:cs="Times New Roman"/>
          <w:b/>
          <w:szCs w:val="24"/>
        </w:rPr>
        <w:t>Storting</w:t>
      </w:r>
      <w:proofErr w:type="spellEnd"/>
      <w:r w:rsidRPr="004959CA">
        <w:rPr>
          <w:rFonts w:cs="Times New Roman"/>
          <w:b/>
          <w:szCs w:val="24"/>
        </w:rPr>
        <w:t xml:space="preserve"> Position</w:t>
      </w:r>
    </w:p>
    <w:p w14:paraId="36D1851C" w14:textId="77777777" w:rsidR="009C04DE" w:rsidRPr="00CE3F96" w:rsidRDefault="009C04DE" w:rsidP="009C04DE">
      <w:pPr>
        <w:spacing w:line="240" w:lineRule="auto"/>
        <w:jc w:val="center"/>
        <w:rPr>
          <w:rFonts w:cs="Times New Roman"/>
          <w:b/>
          <w:szCs w:val="24"/>
        </w:rPr>
      </w:pPr>
      <w:r w:rsidRPr="004959CA">
        <w:rPr>
          <w:rFonts w:cs="Times New Roman"/>
          <w:b/>
          <w:szCs w:val="24"/>
        </w:rPr>
        <w:t>Logit Estimates Clustered on Panel</w:t>
      </w:r>
    </w:p>
    <w:p w14:paraId="7AB53759" w14:textId="26032C26" w:rsidR="009C04DE" w:rsidRDefault="009C04DE" w:rsidP="00CE3F96">
      <w:pPr>
        <w:spacing w:line="240" w:lineRule="auto"/>
        <w:rPr>
          <w:rFonts w:cs="Times New Roman"/>
          <w:szCs w:val="24"/>
        </w:rPr>
      </w:pPr>
    </w:p>
    <w:p w14:paraId="62C161CE" w14:textId="0C003F22" w:rsidR="008665F9" w:rsidRDefault="008665F9" w:rsidP="00CE3F96">
      <w:pPr>
        <w:spacing w:line="240" w:lineRule="auto"/>
        <w:rPr>
          <w:rFonts w:cs="Times New Roman"/>
          <w:szCs w:val="24"/>
        </w:rPr>
      </w:pPr>
    </w:p>
    <w:p w14:paraId="0082B7BF" w14:textId="77777777" w:rsidR="008665F9" w:rsidRDefault="008665F9" w:rsidP="00CE3F96">
      <w:pPr>
        <w:spacing w:line="240" w:lineRule="auto"/>
        <w:rPr>
          <w:rFonts w:cs="Times New Roman"/>
          <w:szCs w:val="24"/>
        </w:rPr>
      </w:pPr>
    </w:p>
    <w:tbl>
      <w:tblPr>
        <w:tblStyle w:val="TableGrid"/>
        <w:tblW w:w="0" w:type="auto"/>
        <w:tblLook w:val="04A0" w:firstRow="1" w:lastRow="0" w:firstColumn="1" w:lastColumn="0" w:noHBand="0" w:noVBand="1"/>
      </w:tblPr>
      <w:tblGrid>
        <w:gridCol w:w="2695"/>
        <w:gridCol w:w="1979"/>
        <w:gridCol w:w="2338"/>
        <w:gridCol w:w="2338"/>
      </w:tblGrid>
      <w:tr w:rsidR="009C04DE" w14:paraId="6FC20DFB" w14:textId="77777777" w:rsidTr="008665F9">
        <w:tc>
          <w:tcPr>
            <w:tcW w:w="2695" w:type="dxa"/>
          </w:tcPr>
          <w:p w14:paraId="4FB6C94C" w14:textId="67E3F75F" w:rsidR="009C04DE" w:rsidRPr="009C04DE" w:rsidRDefault="009C04DE" w:rsidP="009C04DE">
            <w:pPr>
              <w:spacing w:line="240" w:lineRule="auto"/>
              <w:jc w:val="center"/>
              <w:rPr>
                <w:rFonts w:cs="Times New Roman"/>
                <w:b/>
                <w:szCs w:val="24"/>
              </w:rPr>
            </w:pPr>
            <w:r w:rsidRPr="009C04DE">
              <w:rPr>
                <w:rFonts w:cs="Times New Roman"/>
                <w:b/>
                <w:szCs w:val="24"/>
              </w:rPr>
              <w:t>Variable</w:t>
            </w:r>
          </w:p>
        </w:tc>
        <w:tc>
          <w:tcPr>
            <w:tcW w:w="1979" w:type="dxa"/>
          </w:tcPr>
          <w:p w14:paraId="325535F0" w14:textId="05CC09E6" w:rsidR="009C04DE" w:rsidRPr="009C04DE" w:rsidRDefault="009C04DE" w:rsidP="009C04DE">
            <w:pPr>
              <w:spacing w:line="240" w:lineRule="auto"/>
              <w:jc w:val="center"/>
              <w:rPr>
                <w:rFonts w:cs="Times New Roman"/>
                <w:b/>
                <w:szCs w:val="24"/>
              </w:rPr>
            </w:pPr>
            <w:r w:rsidRPr="009C04DE">
              <w:rPr>
                <w:rFonts w:cs="Times New Roman"/>
                <w:b/>
                <w:szCs w:val="24"/>
              </w:rPr>
              <w:t>Coefficient</w:t>
            </w:r>
          </w:p>
        </w:tc>
        <w:tc>
          <w:tcPr>
            <w:tcW w:w="2338" w:type="dxa"/>
          </w:tcPr>
          <w:p w14:paraId="0A02FD0D" w14:textId="4C59C468" w:rsidR="009C04DE" w:rsidRPr="009C04DE" w:rsidRDefault="009C04DE" w:rsidP="009C04DE">
            <w:pPr>
              <w:spacing w:line="240" w:lineRule="auto"/>
              <w:jc w:val="center"/>
              <w:rPr>
                <w:rFonts w:cs="Times New Roman"/>
                <w:b/>
                <w:szCs w:val="24"/>
              </w:rPr>
            </w:pPr>
            <w:r w:rsidRPr="009C04DE">
              <w:rPr>
                <w:rFonts w:cs="Times New Roman"/>
                <w:b/>
                <w:szCs w:val="24"/>
              </w:rPr>
              <w:t>Z-Value</w:t>
            </w:r>
          </w:p>
        </w:tc>
        <w:tc>
          <w:tcPr>
            <w:tcW w:w="2338" w:type="dxa"/>
          </w:tcPr>
          <w:p w14:paraId="2FB28C6D" w14:textId="1FE268B6" w:rsidR="009C04DE" w:rsidRPr="009C04DE" w:rsidRDefault="009C04DE" w:rsidP="009C04DE">
            <w:pPr>
              <w:spacing w:line="240" w:lineRule="auto"/>
              <w:jc w:val="center"/>
              <w:rPr>
                <w:rFonts w:cs="Times New Roman"/>
                <w:szCs w:val="24"/>
              </w:rPr>
            </w:pPr>
            <w:r w:rsidRPr="009C04DE">
              <w:rPr>
                <w:rFonts w:cs="Times New Roman"/>
                <w:b/>
                <w:szCs w:val="24"/>
              </w:rPr>
              <w:t>P&gt;|z</w:t>
            </w:r>
            <w:r w:rsidRPr="009C04DE">
              <w:rPr>
                <w:rFonts w:cs="Times New Roman"/>
                <w:szCs w:val="24"/>
              </w:rPr>
              <w:t>|</w:t>
            </w:r>
          </w:p>
        </w:tc>
      </w:tr>
      <w:tr w:rsidR="009C04DE" w14:paraId="2B8E26CF" w14:textId="77777777" w:rsidTr="008665F9">
        <w:tc>
          <w:tcPr>
            <w:tcW w:w="2695" w:type="dxa"/>
          </w:tcPr>
          <w:p w14:paraId="029F54F7" w14:textId="40D1DE59" w:rsidR="009C04DE" w:rsidRDefault="009C04DE" w:rsidP="00CE3F96">
            <w:pPr>
              <w:spacing w:line="240" w:lineRule="auto"/>
              <w:rPr>
                <w:rFonts w:cs="Times New Roman"/>
                <w:szCs w:val="24"/>
              </w:rPr>
            </w:pPr>
            <w:r>
              <w:rPr>
                <w:rFonts w:cs="Times New Roman"/>
                <w:szCs w:val="24"/>
              </w:rPr>
              <w:t>Diversity</w:t>
            </w:r>
          </w:p>
        </w:tc>
        <w:tc>
          <w:tcPr>
            <w:tcW w:w="1979" w:type="dxa"/>
          </w:tcPr>
          <w:p w14:paraId="358B4818" w14:textId="190F2F8D" w:rsidR="009C04DE" w:rsidRDefault="008665F9" w:rsidP="008665F9">
            <w:pPr>
              <w:spacing w:line="240" w:lineRule="auto"/>
              <w:jc w:val="center"/>
              <w:rPr>
                <w:rFonts w:cs="Times New Roman"/>
                <w:szCs w:val="24"/>
              </w:rPr>
            </w:pPr>
            <w:r>
              <w:rPr>
                <w:rFonts w:cs="Times New Roman"/>
                <w:szCs w:val="24"/>
              </w:rPr>
              <w:t>-11.446</w:t>
            </w:r>
          </w:p>
        </w:tc>
        <w:tc>
          <w:tcPr>
            <w:tcW w:w="2338" w:type="dxa"/>
          </w:tcPr>
          <w:p w14:paraId="3B599BAF" w14:textId="70B3A752" w:rsidR="009C04DE" w:rsidRDefault="008665F9" w:rsidP="008665F9">
            <w:pPr>
              <w:spacing w:line="240" w:lineRule="auto"/>
              <w:jc w:val="center"/>
              <w:rPr>
                <w:rFonts w:cs="Times New Roman"/>
                <w:szCs w:val="24"/>
              </w:rPr>
            </w:pPr>
            <w:r>
              <w:rPr>
                <w:rFonts w:cs="Times New Roman"/>
                <w:szCs w:val="24"/>
              </w:rPr>
              <w:t>-2.77</w:t>
            </w:r>
          </w:p>
        </w:tc>
        <w:tc>
          <w:tcPr>
            <w:tcW w:w="2338" w:type="dxa"/>
          </w:tcPr>
          <w:p w14:paraId="77B666AE" w14:textId="0052F907" w:rsidR="009C04DE" w:rsidRDefault="008665F9" w:rsidP="008665F9">
            <w:pPr>
              <w:spacing w:line="240" w:lineRule="auto"/>
              <w:jc w:val="center"/>
              <w:rPr>
                <w:rFonts w:cs="Times New Roman"/>
                <w:szCs w:val="24"/>
              </w:rPr>
            </w:pPr>
            <w:r>
              <w:rPr>
                <w:rFonts w:cs="Times New Roman"/>
                <w:szCs w:val="24"/>
              </w:rPr>
              <w:t>.006</w:t>
            </w:r>
          </w:p>
        </w:tc>
      </w:tr>
      <w:tr w:rsidR="008665F9" w14:paraId="1C8EB139" w14:textId="77777777" w:rsidTr="008665F9">
        <w:tc>
          <w:tcPr>
            <w:tcW w:w="2695" w:type="dxa"/>
          </w:tcPr>
          <w:p w14:paraId="37431B00" w14:textId="32682DCB" w:rsidR="008665F9" w:rsidRDefault="008665F9" w:rsidP="00CE3F96">
            <w:pPr>
              <w:spacing w:line="240" w:lineRule="auto"/>
              <w:rPr>
                <w:rFonts w:cs="Times New Roman"/>
                <w:szCs w:val="24"/>
              </w:rPr>
            </w:pPr>
            <w:r>
              <w:rPr>
                <w:rFonts w:cs="Times New Roman"/>
                <w:szCs w:val="24"/>
              </w:rPr>
              <w:t>Legislative Intent</w:t>
            </w:r>
          </w:p>
        </w:tc>
        <w:tc>
          <w:tcPr>
            <w:tcW w:w="1979" w:type="dxa"/>
          </w:tcPr>
          <w:p w14:paraId="246FA95E" w14:textId="335E6DAE" w:rsidR="008665F9" w:rsidRDefault="008665F9" w:rsidP="008665F9">
            <w:pPr>
              <w:spacing w:line="240" w:lineRule="auto"/>
              <w:jc w:val="center"/>
              <w:rPr>
                <w:rFonts w:cs="Times New Roman"/>
                <w:szCs w:val="24"/>
              </w:rPr>
            </w:pPr>
            <w:r>
              <w:rPr>
                <w:rFonts w:cs="Times New Roman"/>
                <w:szCs w:val="24"/>
              </w:rPr>
              <w:t>-2.349</w:t>
            </w:r>
          </w:p>
        </w:tc>
        <w:tc>
          <w:tcPr>
            <w:tcW w:w="2338" w:type="dxa"/>
          </w:tcPr>
          <w:p w14:paraId="6AC130DF" w14:textId="443AFD7C" w:rsidR="008665F9" w:rsidRDefault="008665F9" w:rsidP="008665F9">
            <w:pPr>
              <w:spacing w:line="240" w:lineRule="auto"/>
              <w:jc w:val="center"/>
              <w:rPr>
                <w:rFonts w:cs="Times New Roman"/>
                <w:szCs w:val="24"/>
              </w:rPr>
            </w:pPr>
            <w:r>
              <w:rPr>
                <w:rFonts w:cs="Times New Roman"/>
                <w:szCs w:val="24"/>
              </w:rPr>
              <w:t>-5.40</w:t>
            </w:r>
          </w:p>
        </w:tc>
        <w:tc>
          <w:tcPr>
            <w:tcW w:w="2338" w:type="dxa"/>
          </w:tcPr>
          <w:p w14:paraId="107CBDEC" w14:textId="38A7CEA3" w:rsidR="008665F9" w:rsidRDefault="008665F9" w:rsidP="008665F9">
            <w:pPr>
              <w:spacing w:line="240" w:lineRule="auto"/>
              <w:jc w:val="center"/>
              <w:rPr>
                <w:rFonts w:cs="Times New Roman"/>
                <w:szCs w:val="24"/>
              </w:rPr>
            </w:pPr>
            <w:r>
              <w:rPr>
                <w:rFonts w:cs="Times New Roman"/>
                <w:szCs w:val="24"/>
              </w:rPr>
              <w:t>.000</w:t>
            </w:r>
          </w:p>
        </w:tc>
      </w:tr>
      <w:tr w:rsidR="008665F9" w14:paraId="716957B3" w14:textId="77777777" w:rsidTr="008665F9">
        <w:tc>
          <w:tcPr>
            <w:tcW w:w="2695" w:type="dxa"/>
          </w:tcPr>
          <w:p w14:paraId="7EE33893" w14:textId="25CB74CC" w:rsidR="008665F9" w:rsidRDefault="008665F9" w:rsidP="00CE3F96">
            <w:pPr>
              <w:spacing w:line="240" w:lineRule="auto"/>
              <w:rPr>
                <w:rFonts w:cs="Times New Roman"/>
                <w:szCs w:val="24"/>
              </w:rPr>
            </w:pPr>
            <w:r>
              <w:rPr>
                <w:rFonts w:cs="Times New Roman"/>
                <w:szCs w:val="24"/>
              </w:rPr>
              <w:t>Appointing Government</w:t>
            </w:r>
          </w:p>
        </w:tc>
        <w:tc>
          <w:tcPr>
            <w:tcW w:w="1979" w:type="dxa"/>
          </w:tcPr>
          <w:p w14:paraId="6DFE526A" w14:textId="080F3AA9" w:rsidR="008665F9" w:rsidRDefault="008665F9" w:rsidP="008665F9">
            <w:pPr>
              <w:spacing w:line="240" w:lineRule="auto"/>
              <w:jc w:val="center"/>
              <w:rPr>
                <w:rFonts w:cs="Times New Roman"/>
                <w:szCs w:val="24"/>
              </w:rPr>
            </w:pPr>
            <w:r>
              <w:rPr>
                <w:rFonts w:cs="Times New Roman"/>
                <w:szCs w:val="24"/>
              </w:rPr>
              <w:t>0.850</w:t>
            </w:r>
          </w:p>
        </w:tc>
        <w:tc>
          <w:tcPr>
            <w:tcW w:w="2338" w:type="dxa"/>
          </w:tcPr>
          <w:p w14:paraId="50ACA5D1" w14:textId="12C0EE49" w:rsidR="008665F9" w:rsidRDefault="008665F9" w:rsidP="008665F9">
            <w:pPr>
              <w:spacing w:line="240" w:lineRule="auto"/>
              <w:jc w:val="center"/>
              <w:rPr>
                <w:rFonts w:cs="Times New Roman"/>
                <w:szCs w:val="24"/>
              </w:rPr>
            </w:pPr>
            <w:r>
              <w:rPr>
                <w:rFonts w:cs="Times New Roman"/>
                <w:szCs w:val="24"/>
              </w:rPr>
              <w:t>2.14</w:t>
            </w:r>
          </w:p>
        </w:tc>
        <w:tc>
          <w:tcPr>
            <w:tcW w:w="2338" w:type="dxa"/>
          </w:tcPr>
          <w:p w14:paraId="0A621FC4" w14:textId="7344821C" w:rsidR="008665F9" w:rsidRDefault="008665F9" w:rsidP="008665F9">
            <w:pPr>
              <w:spacing w:line="240" w:lineRule="auto"/>
              <w:jc w:val="center"/>
              <w:rPr>
                <w:rFonts w:cs="Times New Roman"/>
                <w:szCs w:val="24"/>
              </w:rPr>
            </w:pPr>
            <w:r>
              <w:rPr>
                <w:rFonts w:cs="Times New Roman"/>
                <w:szCs w:val="24"/>
              </w:rPr>
              <w:t>.033</w:t>
            </w:r>
          </w:p>
        </w:tc>
      </w:tr>
      <w:tr w:rsidR="008665F9" w14:paraId="33E59970" w14:textId="77777777" w:rsidTr="008665F9">
        <w:tc>
          <w:tcPr>
            <w:tcW w:w="2695" w:type="dxa"/>
          </w:tcPr>
          <w:p w14:paraId="40397F93" w14:textId="5C66F762" w:rsidR="008665F9" w:rsidRDefault="008665F9" w:rsidP="00CE3F96">
            <w:pPr>
              <w:spacing w:line="240" w:lineRule="auto"/>
              <w:rPr>
                <w:rFonts w:cs="Times New Roman"/>
                <w:szCs w:val="24"/>
              </w:rPr>
            </w:pPr>
            <w:r>
              <w:rPr>
                <w:rFonts w:cs="Times New Roman"/>
                <w:szCs w:val="24"/>
              </w:rPr>
              <w:t>Constant</w:t>
            </w:r>
          </w:p>
        </w:tc>
        <w:tc>
          <w:tcPr>
            <w:tcW w:w="1979" w:type="dxa"/>
          </w:tcPr>
          <w:p w14:paraId="78E0134C" w14:textId="19DAA865" w:rsidR="008665F9" w:rsidRDefault="008665F9" w:rsidP="008665F9">
            <w:pPr>
              <w:spacing w:line="240" w:lineRule="auto"/>
              <w:jc w:val="center"/>
              <w:rPr>
                <w:rFonts w:cs="Times New Roman"/>
                <w:szCs w:val="24"/>
              </w:rPr>
            </w:pPr>
            <w:r>
              <w:rPr>
                <w:rFonts w:cs="Times New Roman"/>
                <w:szCs w:val="24"/>
              </w:rPr>
              <w:t>11.733</w:t>
            </w:r>
          </w:p>
        </w:tc>
        <w:tc>
          <w:tcPr>
            <w:tcW w:w="2338" w:type="dxa"/>
          </w:tcPr>
          <w:p w14:paraId="47515633" w14:textId="3A384F77" w:rsidR="008665F9" w:rsidRDefault="008665F9" w:rsidP="008665F9">
            <w:pPr>
              <w:spacing w:line="240" w:lineRule="auto"/>
              <w:jc w:val="center"/>
              <w:rPr>
                <w:rFonts w:cs="Times New Roman"/>
                <w:szCs w:val="24"/>
              </w:rPr>
            </w:pPr>
            <w:r>
              <w:rPr>
                <w:rFonts w:cs="Times New Roman"/>
                <w:szCs w:val="24"/>
              </w:rPr>
              <w:t>3.13</w:t>
            </w:r>
          </w:p>
        </w:tc>
        <w:tc>
          <w:tcPr>
            <w:tcW w:w="2338" w:type="dxa"/>
          </w:tcPr>
          <w:p w14:paraId="1664CBA8" w14:textId="485B50AA" w:rsidR="008665F9" w:rsidRDefault="008665F9" w:rsidP="008665F9">
            <w:pPr>
              <w:spacing w:line="240" w:lineRule="auto"/>
              <w:jc w:val="center"/>
              <w:rPr>
                <w:rFonts w:cs="Times New Roman"/>
                <w:szCs w:val="24"/>
              </w:rPr>
            </w:pPr>
            <w:r>
              <w:rPr>
                <w:rFonts w:cs="Times New Roman"/>
                <w:szCs w:val="24"/>
              </w:rPr>
              <w:t>.002</w:t>
            </w:r>
          </w:p>
        </w:tc>
      </w:tr>
    </w:tbl>
    <w:p w14:paraId="6D7D9D0E" w14:textId="77777777" w:rsidR="009C04DE" w:rsidRPr="00940FA1" w:rsidRDefault="009C04DE" w:rsidP="00CE3F96">
      <w:pPr>
        <w:spacing w:line="240" w:lineRule="auto"/>
        <w:rPr>
          <w:rFonts w:cs="Times New Roman"/>
          <w:szCs w:val="24"/>
        </w:rPr>
      </w:pPr>
    </w:p>
    <w:p w14:paraId="0A0C1386" w14:textId="77777777" w:rsidR="008665F9" w:rsidRPr="00940FA1" w:rsidRDefault="008665F9" w:rsidP="008665F9">
      <w:pPr>
        <w:spacing w:line="240" w:lineRule="auto"/>
        <w:rPr>
          <w:rFonts w:cs="Times New Roman"/>
          <w:szCs w:val="24"/>
        </w:rPr>
      </w:pPr>
      <w:r>
        <w:rPr>
          <w:rFonts w:cs="Times New Roman"/>
          <w:szCs w:val="24"/>
        </w:rPr>
        <w:t>N = 148</w:t>
      </w:r>
    </w:p>
    <w:p w14:paraId="0C55ACD6" w14:textId="1929A151" w:rsidR="008665F9" w:rsidRDefault="008665F9" w:rsidP="008665F9">
      <w:pPr>
        <w:spacing w:line="240" w:lineRule="auto"/>
        <w:rPr>
          <w:rFonts w:cs="Times New Roman"/>
          <w:szCs w:val="24"/>
        </w:rPr>
      </w:pPr>
      <w:r w:rsidRPr="009D177B">
        <w:rPr>
          <w:rFonts w:cs="Times New Roman"/>
          <w:szCs w:val="24"/>
        </w:rPr>
        <w:t>Chi</w:t>
      </w:r>
      <w:r w:rsidRPr="009D177B">
        <w:rPr>
          <w:rFonts w:cs="Times New Roman"/>
          <w:szCs w:val="24"/>
          <w:vertAlign w:val="superscript"/>
        </w:rPr>
        <w:t>2</w:t>
      </w:r>
      <w:r>
        <w:rPr>
          <w:rFonts w:cs="Times New Roman"/>
          <w:szCs w:val="24"/>
        </w:rPr>
        <w:t xml:space="preserve"> = 40.68; Probability &gt; </w:t>
      </w:r>
      <w:r w:rsidRPr="009D177B">
        <w:rPr>
          <w:rFonts w:cs="Times New Roman"/>
          <w:szCs w:val="24"/>
        </w:rPr>
        <w:t>Chi</w:t>
      </w:r>
      <w:r w:rsidRPr="009D177B">
        <w:rPr>
          <w:rFonts w:cs="Times New Roman"/>
          <w:szCs w:val="24"/>
          <w:vertAlign w:val="superscript"/>
        </w:rPr>
        <w:t>2</w:t>
      </w:r>
      <w:r w:rsidR="00426213">
        <w:rPr>
          <w:rFonts w:cs="Times New Roman"/>
          <w:szCs w:val="24"/>
        </w:rPr>
        <w:t xml:space="preserve"> = .0000; Pseudo </w:t>
      </w:r>
      <w:r w:rsidRPr="009D177B">
        <w:rPr>
          <w:rFonts w:cs="Times New Roman"/>
          <w:szCs w:val="24"/>
        </w:rPr>
        <w:t>R</w:t>
      </w:r>
      <w:r w:rsidRPr="009D177B">
        <w:rPr>
          <w:rFonts w:cs="Times New Roman"/>
          <w:szCs w:val="24"/>
          <w:vertAlign w:val="superscript"/>
        </w:rPr>
        <w:t>2</w:t>
      </w:r>
      <w:r>
        <w:rPr>
          <w:rFonts w:cs="Times New Roman"/>
          <w:szCs w:val="24"/>
        </w:rPr>
        <w:t xml:space="preserve"> = .136</w:t>
      </w:r>
    </w:p>
    <w:p w14:paraId="511C6201" w14:textId="14BD963D" w:rsidR="008665F9" w:rsidRDefault="00AB4A96" w:rsidP="008665F9">
      <w:pPr>
        <w:spacing w:line="240" w:lineRule="auto"/>
        <w:rPr>
          <w:rFonts w:cs="Times New Roman"/>
          <w:szCs w:val="24"/>
        </w:rPr>
      </w:pPr>
      <w:r>
        <w:rPr>
          <w:rFonts w:cs="Times New Roman"/>
          <w:szCs w:val="24"/>
        </w:rPr>
        <w:t>Mean VIF = 1.05</w:t>
      </w:r>
    </w:p>
    <w:p w14:paraId="672F4335" w14:textId="02DA5E03" w:rsidR="00A1169A" w:rsidRPr="004959CA" w:rsidRDefault="00A1169A" w:rsidP="00A1169A">
      <w:pPr>
        <w:spacing w:line="240" w:lineRule="auto"/>
        <w:jc w:val="center"/>
        <w:rPr>
          <w:rFonts w:cs="Times New Roman"/>
          <w:b/>
          <w:color w:val="000000" w:themeColor="text1"/>
          <w:sz w:val="28"/>
          <w:szCs w:val="28"/>
        </w:rPr>
      </w:pPr>
      <w:r w:rsidRPr="004959CA">
        <w:rPr>
          <w:rFonts w:cs="Times New Roman"/>
          <w:b/>
          <w:szCs w:val="24"/>
        </w:rPr>
        <w:lastRenderedPageBreak/>
        <w:t xml:space="preserve">Table </w:t>
      </w:r>
      <w:r w:rsidR="00116672">
        <w:rPr>
          <w:rFonts w:cs="Times New Roman"/>
          <w:b/>
          <w:szCs w:val="24"/>
        </w:rPr>
        <w:t>7</w:t>
      </w:r>
    </w:p>
    <w:p w14:paraId="1B324397" w14:textId="492AB800" w:rsidR="00A1169A" w:rsidRDefault="00A1169A" w:rsidP="00A1169A">
      <w:pPr>
        <w:spacing w:line="240" w:lineRule="auto"/>
        <w:jc w:val="center"/>
        <w:rPr>
          <w:rFonts w:cs="Times New Roman"/>
          <w:b/>
          <w:szCs w:val="24"/>
        </w:rPr>
      </w:pPr>
      <w:r>
        <w:rPr>
          <w:rFonts w:cs="Times New Roman"/>
          <w:b/>
          <w:szCs w:val="24"/>
        </w:rPr>
        <w:t>Socialist Votes Tabulated by Gender, Professor Status and Cohort</w:t>
      </w:r>
    </w:p>
    <w:p w14:paraId="7257AA94" w14:textId="55C86234" w:rsidR="00A1169A" w:rsidRPr="004959CA" w:rsidRDefault="00A1169A" w:rsidP="00A1169A">
      <w:pPr>
        <w:spacing w:line="240" w:lineRule="auto"/>
        <w:jc w:val="center"/>
        <w:rPr>
          <w:rFonts w:cs="Times New Roman"/>
          <w:b/>
          <w:szCs w:val="24"/>
        </w:rPr>
      </w:pPr>
      <w:r>
        <w:rPr>
          <w:rFonts w:cs="Times New Roman"/>
          <w:b/>
          <w:szCs w:val="24"/>
        </w:rPr>
        <w:t>(in Percent)</w:t>
      </w:r>
    </w:p>
    <w:p w14:paraId="44021B8F" w14:textId="655496D5" w:rsidR="00A1169A" w:rsidRDefault="00A1169A" w:rsidP="008665F9">
      <w:pPr>
        <w:spacing w:line="240" w:lineRule="auto"/>
        <w:rPr>
          <w:rFonts w:cs="Times New Roman"/>
          <w:szCs w:val="24"/>
        </w:rPr>
      </w:pPr>
    </w:p>
    <w:p w14:paraId="792B5173" w14:textId="3862A61C" w:rsidR="00A1169A" w:rsidRDefault="00845FFF" w:rsidP="008665F9">
      <w:pPr>
        <w:spacing w:line="240" w:lineRule="auto"/>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Ab</w:t>
      </w:r>
      <w:r w:rsidR="00110775">
        <w:rPr>
          <w:rFonts w:cs="Times New Roman"/>
          <w:szCs w:val="24"/>
        </w:rPr>
        <w:t>s</w:t>
      </w:r>
      <w:r>
        <w:rPr>
          <w:rFonts w:cs="Times New Roman"/>
          <w:szCs w:val="24"/>
        </w:rPr>
        <w:t>olute</w:t>
      </w:r>
    </w:p>
    <w:p w14:paraId="20043194" w14:textId="4E90684D" w:rsidR="00A1169A" w:rsidRPr="00845FFF" w:rsidRDefault="00A1169A" w:rsidP="00A1169A">
      <w:pPr>
        <w:spacing w:line="240" w:lineRule="auto"/>
        <w:ind w:left="720" w:firstLine="720"/>
        <w:rPr>
          <w:rFonts w:cs="Times New Roman"/>
          <w:szCs w:val="24"/>
          <w:u w:val="single"/>
        </w:rPr>
      </w:pPr>
      <w:r w:rsidRPr="00FF797B">
        <w:rPr>
          <w:rFonts w:cs="Times New Roman"/>
          <w:szCs w:val="24"/>
          <w:u w:val="single"/>
        </w:rPr>
        <w:t>Independent Variable</w:t>
      </w:r>
      <w:r>
        <w:rPr>
          <w:rFonts w:cs="Times New Roman"/>
          <w:szCs w:val="24"/>
        </w:rPr>
        <w:tab/>
      </w:r>
      <w:r>
        <w:rPr>
          <w:rFonts w:cs="Times New Roman"/>
          <w:szCs w:val="24"/>
        </w:rPr>
        <w:tab/>
      </w:r>
      <w:r>
        <w:rPr>
          <w:rFonts w:cs="Times New Roman"/>
          <w:szCs w:val="24"/>
        </w:rPr>
        <w:tab/>
      </w:r>
      <w:r w:rsidRPr="00845FFF">
        <w:rPr>
          <w:rFonts w:cs="Times New Roman"/>
          <w:szCs w:val="24"/>
          <w:u w:val="single"/>
        </w:rPr>
        <w:t>Socialist Vote</w:t>
      </w:r>
      <w:r w:rsidR="00845FFF">
        <w:rPr>
          <w:rFonts w:cs="Times New Roman"/>
          <w:szCs w:val="24"/>
        </w:rPr>
        <w:tab/>
      </w:r>
      <w:r w:rsidR="00845FFF">
        <w:rPr>
          <w:rFonts w:cs="Times New Roman"/>
          <w:szCs w:val="24"/>
        </w:rPr>
        <w:tab/>
      </w:r>
      <w:r w:rsidR="00845FFF" w:rsidRPr="00845FFF">
        <w:rPr>
          <w:rFonts w:cs="Times New Roman"/>
          <w:szCs w:val="24"/>
          <w:u w:val="single"/>
        </w:rPr>
        <w:t>Difference</w:t>
      </w:r>
    </w:p>
    <w:p w14:paraId="60663568" w14:textId="77777777" w:rsidR="00A1169A" w:rsidRDefault="00A1169A" w:rsidP="008665F9">
      <w:pPr>
        <w:spacing w:line="240" w:lineRule="auto"/>
        <w:rPr>
          <w:rFonts w:cs="Times New Roman"/>
          <w:szCs w:val="24"/>
          <w:u w:val="single"/>
        </w:rPr>
      </w:pPr>
    </w:p>
    <w:p w14:paraId="0EF372D7" w14:textId="640ADAC7" w:rsidR="00A1169A" w:rsidRDefault="00A1169A" w:rsidP="00A1169A">
      <w:pPr>
        <w:spacing w:line="240" w:lineRule="auto"/>
        <w:ind w:left="1440" w:firstLine="720"/>
        <w:rPr>
          <w:rFonts w:cs="Times New Roman"/>
          <w:szCs w:val="24"/>
        </w:rPr>
      </w:pPr>
      <w:r>
        <w:rPr>
          <w:rFonts w:cs="Times New Roman"/>
          <w:szCs w:val="24"/>
        </w:rPr>
        <w:t>Gender</w:t>
      </w:r>
    </w:p>
    <w:p w14:paraId="4542666C" w14:textId="362DCD93" w:rsidR="00A1169A" w:rsidRDefault="00A1169A" w:rsidP="008665F9">
      <w:pPr>
        <w:spacing w:line="240" w:lineRule="auto"/>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t>Male</w:t>
      </w:r>
      <w:r>
        <w:rPr>
          <w:rFonts w:cs="Times New Roman"/>
          <w:szCs w:val="24"/>
        </w:rPr>
        <w:tab/>
      </w:r>
      <w:r>
        <w:rPr>
          <w:rFonts w:cs="Times New Roman"/>
          <w:szCs w:val="24"/>
        </w:rPr>
        <w:tab/>
      </w:r>
      <w:r>
        <w:rPr>
          <w:rFonts w:cs="Times New Roman"/>
          <w:szCs w:val="24"/>
        </w:rPr>
        <w:tab/>
      </w:r>
      <w:r>
        <w:rPr>
          <w:rFonts w:cs="Times New Roman"/>
          <w:szCs w:val="24"/>
        </w:rPr>
        <w:tab/>
        <w:t>55.7%</w:t>
      </w:r>
    </w:p>
    <w:p w14:paraId="788B0E1F" w14:textId="69AADDB0" w:rsidR="00A1169A" w:rsidRDefault="00A1169A" w:rsidP="008665F9">
      <w:pPr>
        <w:spacing w:line="240" w:lineRule="auto"/>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t>Female</w:t>
      </w:r>
      <w:r>
        <w:rPr>
          <w:rFonts w:cs="Times New Roman"/>
          <w:szCs w:val="24"/>
        </w:rPr>
        <w:tab/>
      </w:r>
      <w:r>
        <w:rPr>
          <w:rFonts w:cs="Times New Roman"/>
          <w:szCs w:val="24"/>
        </w:rPr>
        <w:tab/>
      </w:r>
      <w:r>
        <w:rPr>
          <w:rFonts w:cs="Times New Roman"/>
          <w:szCs w:val="24"/>
        </w:rPr>
        <w:tab/>
      </w:r>
      <w:r>
        <w:rPr>
          <w:rFonts w:cs="Times New Roman"/>
          <w:szCs w:val="24"/>
        </w:rPr>
        <w:tab/>
        <w:t>54.6</w:t>
      </w:r>
      <w:r w:rsidR="00845FFF">
        <w:rPr>
          <w:rFonts w:cs="Times New Roman"/>
          <w:szCs w:val="24"/>
        </w:rPr>
        <w:tab/>
      </w:r>
      <w:r w:rsidR="00845FFF">
        <w:rPr>
          <w:rFonts w:cs="Times New Roman"/>
          <w:szCs w:val="24"/>
        </w:rPr>
        <w:tab/>
      </w:r>
      <w:r w:rsidR="00110775">
        <w:rPr>
          <w:rFonts w:cs="Times New Roman"/>
          <w:szCs w:val="24"/>
        </w:rPr>
        <w:t xml:space="preserve">     </w:t>
      </w:r>
      <w:r w:rsidR="00845FFF">
        <w:rPr>
          <w:rFonts w:cs="Times New Roman"/>
          <w:szCs w:val="24"/>
        </w:rPr>
        <w:t>1.1%</w:t>
      </w:r>
    </w:p>
    <w:p w14:paraId="3FFA0BB4" w14:textId="77777777" w:rsidR="00A1169A" w:rsidRDefault="00A1169A" w:rsidP="008665F9">
      <w:pPr>
        <w:spacing w:line="240" w:lineRule="auto"/>
        <w:rPr>
          <w:rFonts w:cs="Times New Roman"/>
          <w:szCs w:val="24"/>
        </w:rPr>
      </w:pPr>
    </w:p>
    <w:p w14:paraId="6514205D" w14:textId="492E2107" w:rsidR="00A1169A" w:rsidRDefault="00A1169A" w:rsidP="008665F9">
      <w:pPr>
        <w:spacing w:line="240" w:lineRule="auto"/>
        <w:rPr>
          <w:rFonts w:cs="Times New Roman"/>
          <w:szCs w:val="24"/>
        </w:rPr>
      </w:pPr>
      <w:r>
        <w:rPr>
          <w:rFonts w:cs="Times New Roman"/>
          <w:szCs w:val="24"/>
        </w:rPr>
        <w:tab/>
      </w:r>
      <w:r>
        <w:rPr>
          <w:rFonts w:cs="Times New Roman"/>
          <w:szCs w:val="24"/>
        </w:rPr>
        <w:tab/>
      </w:r>
      <w:r>
        <w:rPr>
          <w:rFonts w:cs="Times New Roman"/>
          <w:szCs w:val="24"/>
        </w:rPr>
        <w:tab/>
        <w:t>Professor Status</w:t>
      </w:r>
    </w:p>
    <w:p w14:paraId="76FA6048" w14:textId="0C9A06F9" w:rsidR="00A1169A" w:rsidRDefault="00A1169A" w:rsidP="008665F9">
      <w:pPr>
        <w:spacing w:line="240" w:lineRule="auto"/>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t>Not Law Professor</w:t>
      </w:r>
      <w:r>
        <w:rPr>
          <w:rFonts w:cs="Times New Roman"/>
          <w:szCs w:val="24"/>
        </w:rPr>
        <w:tab/>
      </w:r>
      <w:r>
        <w:rPr>
          <w:rFonts w:cs="Times New Roman"/>
          <w:szCs w:val="24"/>
        </w:rPr>
        <w:tab/>
        <w:t>55.7%</w:t>
      </w:r>
    </w:p>
    <w:p w14:paraId="077E61C6" w14:textId="17545CDA" w:rsidR="00A1169A" w:rsidRDefault="00A1169A" w:rsidP="008665F9">
      <w:pPr>
        <w:spacing w:line="240" w:lineRule="auto"/>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t>Law Professor</w:t>
      </w:r>
      <w:r>
        <w:rPr>
          <w:rFonts w:cs="Times New Roman"/>
          <w:szCs w:val="24"/>
        </w:rPr>
        <w:tab/>
      </w:r>
      <w:r>
        <w:rPr>
          <w:rFonts w:cs="Times New Roman"/>
          <w:szCs w:val="24"/>
        </w:rPr>
        <w:tab/>
      </w:r>
      <w:r>
        <w:rPr>
          <w:rFonts w:cs="Times New Roman"/>
          <w:szCs w:val="24"/>
        </w:rPr>
        <w:tab/>
        <w:t>54.6</w:t>
      </w:r>
      <w:r w:rsidR="00845FFF">
        <w:rPr>
          <w:rFonts w:cs="Times New Roman"/>
          <w:szCs w:val="24"/>
        </w:rPr>
        <w:tab/>
      </w:r>
      <w:r w:rsidR="00845FFF">
        <w:rPr>
          <w:rFonts w:cs="Times New Roman"/>
          <w:szCs w:val="24"/>
        </w:rPr>
        <w:tab/>
      </w:r>
      <w:r w:rsidR="00110775">
        <w:rPr>
          <w:rFonts w:cs="Times New Roman"/>
          <w:szCs w:val="24"/>
        </w:rPr>
        <w:t xml:space="preserve">     </w:t>
      </w:r>
      <w:r w:rsidR="00845FFF">
        <w:rPr>
          <w:rFonts w:cs="Times New Roman"/>
          <w:szCs w:val="24"/>
        </w:rPr>
        <w:t>2.7%</w:t>
      </w:r>
    </w:p>
    <w:p w14:paraId="15BDAB2E" w14:textId="77777777" w:rsidR="00A1169A" w:rsidRDefault="00A1169A" w:rsidP="008665F9">
      <w:pPr>
        <w:spacing w:line="240" w:lineRule="auto"/>
        <w:rPr>
          <w:rFonts w:cs="Times New Roman"/>
          <w:szCs w:val="24"/>
        </w:rPr>
      </w:pPr>
    </w:p>
    <w:p w14:paraId="17E4B706" w14:textId="3F94E31F" w:rsidR="00A1169A" w:rsidRDefault="00A1169A" w:rsidP="008665F9">
      <w:pPr>
        <w:spacing w:line="240" w:lineRule="auto"/>
        <w:rPr>
          <w:rFonts w:cs="Times New Roman"/>
          <w:szCs w:val="24"/>
        </w:rPr>
      </w:pPr>
      <w:r>
        <w:rPr>
          <w:rFonts w:cs="Times New Roman"/>
          <w:szCs w:val="24"/>
        </w:rPr>
        <w:tab/>
      </w:r>
      <w:r>
        <w:rPr>
          <w:rFonts w:cs="Times New Roman"/>
          <w:szCs w:val="24"/>
        </w:rPr>
        <w:tab/>
      </w:r>
      <w:r>
        <w:rPr>
          <w:rFonts w:cs="Times New Roman"/>
          <w:szCs w:val="24"/>
        </w:rPr>
        <w:tab/>
        <w:t>Cohort</w:t>
      </w:r>
    </w:p>
    <w:p w14:paraId="75DC9E8B" w14:textId="7A43E16F" w:rsidR="00A1169A" w:rsidRDefault="00A1169A" w:rsidP="008665F9">
      <w:pPr>
        <w:spacing w:line="240" w:lineRule="auto"/>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t>Consensus Era</w:t>
      </w:r>
      <w:r>
        <w:rPr>
          <w:rFonts w:cs="Times New Roman"/>
          <w:szCs w:val="24"/>
        </w:rPr>
        <w:tab/>
      </w:r>
      <w:r>
        <w:rPr>
          <w:rFonts w:cs="Times New Roman"/>
          <w:szCs w:val="24"/>
        </w:rPr>
        <w:tab/>
      </w:r>
      <w:r>
        <w:rPr>
          <w:rFonts w:cs="Times New Roman"/>
          <w:szCs w:val="24"/>
        </w:rPr>
        <w:tab/>
        <w:t>58.6%</w:t>
      </w:r>
    </w:p>
    <w:p w14:paraId="0F77F25E" w14:textId="61ED6A04" w:rsidR="00A1169A" w:rsidRDefault="00A1169A" w:rsidP="008665F9">
      <w:pPr>
        <w:spacing w:line="240" w:lineRule="auto"/>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t>Post-Consensus Era</w:t>
      </w:r>
      <w:r>
        <w:rPr>
          <w:rFonts w:cs="Times New Roman"/>
          <w:szCs w:val="24"/>
        </w:rPr>
        <w:tab/>
      </w:r>
      <w:r>
        <w:rPr>
          <w:rFonts w:cs="Times New Roman"/>
          <w:szCs w:val="24"/>
        </w:rPr>
        <w:tab/>
        <w:t>43.8%</w:t>
      </w:r>
      <w:r w:rsidR="00845FFF">
        <w:rPr>
          <w:rFonts w:cs="Times New Roman"/>
          <w:szCs w:val="24"/>
        </w:rPr>
        <w:tab/>
      </w:r>
      <w:proofErr w:type="gramStart"/>
      <w:r w:rsidR="00845FFF">
        <w:rPr>
          <w:rFonts w:cs="Times New Roman"/>
          <w:szCs w:val="24"/>
        </w:rPr>
        <w:tab/>
      </w:r>
      <w:r w:rsidR="00110775">
        <w:rPr>
          <w:rFonts w:cs="Times New Roman"/>
          <w:szCs w:val="24"/>
        </w:rPr>
        <w:t xml:space="preserve">  </w:t>
      </w:r>
      <w:r w:rsidR="00845FFF">
        <w:rPr>
          <w:rFonts w:cs="Times New Roman"/>
          <w:szCs w:val="24"/>
        </w:rPr>
        <w:t>14.8</w:t>
      </w:r>
      <w:proofErr w:type="gramEnd"/>
      <w:r w:rsidR="00845FFF">
        <w:rPr>
          <w:rFonts w:cs="Times New Roman"/>
          <w:szCs w:val="24"/>
        </w:rPr>
        <w:t>%</w:t>
      </w:r>
    </w:p>
    <w:p w14:paraId="1F195DAC" w14:textId="5A705FF9" w:rsidR="00A1169A" w:rsidRDefault="00A1169A" w:rsidP="008665F9">
      <w:pPr>
        <w:spacing w:line="240" w:lineRule="auto"/>
        <w:rPr>
          <w:rFonts w:cs="Times New Roman"/>
          <w:szCs w:val="24"/>
        </w:rPr>
      </w:pPr>
      <w:r>
        <w:rPr>
          <w:rFonts w:cs="Times New Roman"/>
          <w:szCs w:val="24"/>
        </w:rPr>
        <w:tab/>
      </w:r>
    </w:p>
    <w:p w14:paraId="5A755A47" w14:textId="5B943766" w:rsidR="00A1169A" w:rsidRDefault="00A1169A" w:rsidP="008665F9">
      <w:pPr>
        <w:spacing w:line="240" w:lineRule="auto"/>
        <w:rPr>
          <w:rFonts w:cs="Times New Roman"/>
          <w:szCs w:val="24"/>
        </w:rPr>
      </w:pPr>
    </w:p>
    <w:p w14:paraId="601E2490" w14:textId="4205C58D" w:rsidR="00110775" w:rsidRDefault="00110775" w:rsidP="008665F9">
      <w:pPr>
        <w:spacing w:line="240" w:lineRule="auto"/>
        <w:rPr>
          <w:rFonts w:cs="Times New Roman"/>
          <w:szCs w:val="24"/>
        </w:rPr>
      </w:pPr>
    </w:p>
    <w:p w14:paraId="727892F4" w14:textId="77777777" w:rsidR="00110775" w:rsidRDefault="00110775" w:rsidP="008665F9">
      <w:pPr>
        <w:spacing w:line="240" w:lineRule="auto"/>
        <w:rPr>
          <w:rFonts w:cs="Times New Roman"/>
          <w:szCs w:val="24"/>
        </w:rPr>
      </w:pPr>
    </w:p>
    <w:p w14:paraId="5BE2D05F" w14:textId="2EB66176" w:rsidR="00A1169A" w:rsidRDefault="00A1169A" w:rsidP="00FF797B">
      <w:pPr>
        <w:spacing w:line="240" w:lineRule="auto"/>
        <w:rPr>
          <w:rFonts w:cs="Times New Roman"/>
          <w:szCs w:val="24"/>
        </w:rPr>
      </w:pPr>
    </w:p>
    <w:p w14:paraId="25C5AD0F" w14:textId="53ECAE11" w:rsidR="00B72782" w:rsidRDefault="00B72782" w:rsidP="00FF797B">
      <w:pPr>
        <w:spacing w:line="240" w:lineRule="auto"/>
        <w:rPr>
          <w:rFonts w:cs="Times New Roman"/>
          <w:szCs w:val="24"/>
        </w:rPr>
      </w:pPr>
    </w:p>
    <w:p w14:paraId="39DE969F" w14:textId="42AE00AA" w:rsidR="00B72782" w:rsidRDefault="00B72782" w:rsidP="00FF797B">
      <w:pPr>
        <w:spacing w:line="240" w:lineRule="auto"/>
        <w:rPr>
          <w:rFonts w:cs="Times New Roman"/>
          <w:szCs w:val="24"/>
        </w:rPr>
      </w:pPr>
    </w:p>
    <w:p w14:paraId="285C4CDB" w14:textId="29FBD6A2" w:rsidR="00B72782" w:rsidRDefault="00B72782" w:rsidP="00FF797B">
      <w:pPr>
        <w:spacing w:line="240" w:lineRule="auto"/>
        <w:rPr>
          <w:rFonts w:cs="Times New Roman"/>
          <w:szCs w:val="24"/>
        </w:rPr>
      </w:pPr>
    </w:p>
    <w:p w14:paraId="3D65CE0F" w14:textId="10EF3441" w:rsidR="00B72782" w:rsidRDefault="00B72782" w:rsidP="00FF797B">
      <w:pPr>
        <w:spacing w:line="240" w:lineRule="auto"/>
        <w:rPr>
          <w:rFonts w:cs="Times New Roman"/>
          <w:szCs w:val="24"/>
        </w:rPr>
      </w:pPr>
    </w:p>
    <w:p w14:paraId="43B44A39" w14:textId="19DF284E" w:rsidR="00B72782" w:rsidRDefault="00B72782" w:rsidP="00FF797B">
      <w:pPr>
        <w:spacing w:line="240" w:lineRule="auto"/>
        <w:rPr>
          <w:rFonts w:cs="Times New Roman"/>
          <w:szCs w:val="24"/>
        </w:rPr>
      </w:pPr>
    </w:p>
    <w:p w14:paraId="211A0883" w14:textId="77777777" w:rsidR="00B72782" w:rsidRDefault="00B72782" w:rsidP="00FF797B">
      <w:pPr>
        <w:spacing w:line="240" w:lineRule="auto"/>
        <w:rPr>
          <w:rFonts w:cs="Times New Roman"/>
          <w:szCs w:val="24"/>
        </w:rPr>
      </w:pPr>
    </w:p>
    <w:p w14:paraId="3C3F6543" w14:textId="445C0F49" w:rsidR="00A1169A" w:rsidRDefault="00A1169A" w:rsidP="00FF797B">
      <w:pPr>
        <w:spacing w:line="240" w:lineRule="auto"/>
        <w:rPr>
          <w:rFonts w:cs="Times New Roman"/>
          <w:szCs w:val="24"/>
        </w:rPr>
      </w:pPr>
    </w:p>
    <w:p w14:paraId="1AC34767" w14:textId="7F119B6B" w:rsidR="00A1169A" w:rsidRDefault="00A1169A" w:rsidP="00FF797B">
      <w:pPr>
        <w:spacing w:line="240" w:lineRule="auto"/>
        <w:rPr>
          <w:rFonts w:cs="Times New Roman"/>
          <w:szCs w:val="24"/>
        </w:rPr>
      </w:pPr>
    </w:p>
    <w:p w14:paraId="6184566C" w14:textId="7592F14A" w:rsidR="00A1169A" w:rsidRDefault="00A1169A" w:rsidP="00FF797B">
      <w:pPr>
        <w:spacing w:line="240" w:lineRule="auto"/>
        <w:rPr>
          <w:rFonts w:cs="Times New Roman"/>
          <w:szCs w:val="24"/>
        </w:rPr>
      </w:pPr>
    </w:p>
    <w:p w14:paraId="213F99F9" w14:textId="5179BF2E" w:rsidR="00A1169A" w:rsidRDefault="00A1169A" w:rsidP="00FF797B">
      <w:pPr>
        <w:spacing w:line="240" w:lineRule="auto"/>
        <w:rPr>
          <w:rFonts w:cs="Times New Roman"/>
          <w:szCs w:val="24"/>
        </w:rPr>
      </w:pPr>
    </w:p>
    <w:p w14:paraId="46A8352E" w14:textId="232DFCD8" w:rsidR="00A1169A" w:rsidRDefault="00A1169A" w:rsidP="00FF797B">
      <w:pPr>
        <w:spacing w:line="240" w:lineRule="auto"/>
        <w:rPr>
          <w:rFonts w:cs="Times New Roman"/>
          <w:szCs w:val="24"/>
        </w:rPr>
      </w:pPr>
    </w:p>
    <w:p w14:paraId="3649B65F" w14:textId="30AA4691" w:rsidR="00A1169A" w:rsidRDefault="00A1169A" w:rsidP="00FF797B">
      <w:pPr>
        <w:spacing w:line="240" w:lineRule="auto"/>
        <w:rPr>
          <w:rFonts w:cs="Times New Roman"/>
          <w:szCs w:val="24"/>
        </w:rPr>
      </w:pPr>
    </w:p>
    <w:p w14:paraId="0F61F508" w14:textId="0E9829A2" w:rsidR="00A1169A" w:rsidRDefault="00A1169A" w:rsidP="00FF797B">
      <w:pPr>
        <w:spacing w:line="240" w:lineRule="auto"/>
        <w:rPr>
          <w:rFonts w:cs="Times New Roman"/>
          <w:szCs w:val="24"/>
        </w:rPr>
      </w:pPr>
    </w:p>
    <w:p w14:paraId="7E81E9BD" w14:textId="1F25F3C6" w:rsidR="00A1169A" w:rsidRDefault="00A1169A" w:rsidP="00FF797B">
      <w:pPr>
        <w:spacing w:line="240" w:lineRule="auto"/>
        <w:rPr>
          <w:rFonts w:cs="Times New Roman"/>
          <w:szCs w:val="24"/>
        </w:rPr>
      </w:pPr>
    </w:p>
    <w:p w14:paraId="0E05B9D1" w14:textId="45891476" w:rsidR="00A1169A" w:rsidRDefault="00A1169A" w:rsidP="00FF797B">
      <w:pPr>
        <w:spacing w:line="240" w:lineRule="auto"/>
        <w:rPr>
          <w:rFonts w:cs="Times New Roman"/>
          <w:szCs w:val="24"/>
        </w:rPr>
      </w:pPr>
    </w:p>
    <w:p w14:paraId="36E2B9FA" w14:textId="0BE91C15" w:rsidR="00A1169A" w:rsidRDefault="00A1169A" w:rsidP="00FF797B">
      <w:pPr>
        <w:spacing w:line="240" w:lineRule="auto"/>
        <w:rPr>
          <w:rFonts w:cs="Times New Roman"/>
          <w:szCs w:val="24"/>
        </w:rPr>
      </w:pPr>
    </w:p>
    <w:p w14:paraId="08E70C87" w14:textId="1F5D04EE" w:rsidR="00A1169A" w:rsidRDefault="00A1169A" w:rsidP="00FF797B">
      <w:pPr>
        <w:spacing w:line="240" w:lineRule="auto"/>
        <w:rPr>
          <w:rFonts w:cs="Times New Roman"/>
          <w:szCs w:val="24"/>
        </w:rPr>
      </w:pPr>
    </w:p>
    <w:p w14:paraId="4E92E7D1" w14:textId="038F51D7" w:rsidR="00A1169A" w:rsidRDefault="00A1169A" w:rsidP="00FF797B">
      <w:pPr>
        <w:spacing w:line="240" w:lineRule="auto"/>
        <w:rPr>
          <w:rFonts w:cs="Times New Roman"/>
          <w:szCs w:val="24"/>
        </w:rPr>
      </w:pPr>
    </w:p>
    <w:p w14:paraId="2C4368FE" w14:textId="0D442411" w:rsidR="00A1169A" w:rsidRDefault="00A1169A" w:rsidP="00FF797B">
      <w:pPr>
        <w:spacing w:line="240" w:lineRule="auto"/>
        <w:rPr>
          <w:rFonts w:cs="Times New Roman"/>
          <w:szCs w:val="24"/>
        </w:rPr>
      </w:pPr>
    </w:p>
    <w:p w14:paraId="0A285D2C" w14:textId="693C5278" w:rsidR="00A1169A" w:rsidRDefault="00A1169A" w:rsidP="00FF797B">
      <w:pPr>
        <w:spacing w:line="240" w:lineRule="auto"/>
        <w:rPr>
          <w:rFonts w:cs="Times New Roman"/>
          <w:szCs w:val="24"/>
        </w:rPr>
      </w:pPr>
    </w:p>
    <w:p w14:paraId="4A34B756" w14:textId="5F976EF3" w:rsidR="00A1169A" w:rsidRDefault="00A1169A" w:rsidP="00FF797B">
      <w:pPr>
        <w:spacing w:line="240" w:lineRule="auto"/>
        <w:rPr>
          <w:rFonts w:cs="Times New Roman"/>
          <w:szCs w:val="24"/>
        </w:rPr>
      </w:pPr>
    </w:p>
    <w:p w14:paraId="4F8843EE" w14:textId="51084AEA" w:rsidR="00A1169A" w:rsidRDefault="00A1169A" w:rsidP="00FF797B">
      <w:pPr>
        <w:spacing w:line="240" w:lineRule="auto"/>
        <w:rPr>
          <w:rFonts w:cs="Times New Roman"/>
          <w:szCs w:val="24"/>
        </w:rPr>
      </w:pPr>
    </w:p>
    <w:p w14:paraId="462EDCE2" w14:textId="77777777" w:rsidR="00A1169A" w:rsidRDefault="00A1169A" w:rsidP="00FF797B">
      <w:pPr>
        <w:spacing w:line="240" w:lineRule="auto"/>
        <w:rPr>
          <w:rFonts w:cs="Times New Roman"/>
          <w:szCs w:val="24"/>
        </w:rPr>
      </w:pPr>
    </w:p>
    <w:p w14:paraId="05C63800" w14:textId="3CD4AB35" w:rsidR="00715EBE" w:rsidRDefault="00715EBE" w:rsidP="00C31CE3">
      <w:pPr>
        <w:spacing w:line="240" w:lineRule="auto"/>
        <w:rPr>
          <w:rFonts w:ascii="Candara" w:hAnsi="Candara" w:cs="Times New Roman"/>
          <w:b/>
          <w:sz w:val="36"/>
          <w:szCs w:val="36"/>
        </w:rPr>
      </w:pPr>
      <w:r w:rsidRPr="004959CA">
        <w:rPr>
          <w:rFonts w:ascii="Candara" w:hAnsi="Candara" w:cs="Times New Roman"/>
          <w:b/>
          <w:sz w:val="36"/>
          <w:szCs w:val="36"/>
        </w:rPr>
        <w:lastRenderedPageBreak/>
        <w:t>Figure 1</w:t>
      </w:r>
    </w:p>
    <w:p w14:paraId="7867E314" w14:textId="0ED4963A" w:rsidR="00DB78BC" w:rsidRDefault="002801F2" w:rsidP="00DB78BC">
      <w:pPr>
        <w:spacing w:line="240" w:lineRule="auto"/>
        <w:rPr>
          <w:rFonts w:ascii="Candara" w:hAnsi="Candara" w:cs="Times New Roman"/>
          <w:b/>
          <w:noProof/>
          <w:sz w:val="36"/>
          <w:szCs w:val="36"/>
        </w:rPr>
      </w:pPr>
      <w:r w:rsidRPr="002801F2">
        <w:rPr>
          <w:rFonts w:ascii="Candara" w:hAnsi="Candara" w:cs="Times New Roman"/>
          <w:b/>
          <w:noProof/>
          <w:sz w:val="36"/>
          <w:szCs w:val="36"/>
        </w:rPr>
        <w:drawing>
          <wp:inline distT="0" distB="0" distL="0" distR="0" wp14:anchorId="0EA7C54B" wp14:editId="5EB21D20">
            <wp:extent cx="4038600" cy="29371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3316" cy="2947867"/>
                    </a:xfrm>
                    <a:prstGeom prst="rect">
                      <a:avLst/>
                    </a:prstGeom>
                    <a:noFill/>
                    <a:ln>
                      <a:noFill/>
                    </a:ln>
                  </pic:spPr>
                </pic:pic>
              </a:graphicData>
            </a:graphic>
          </wp:inline>
        </w:drawing>
      </w:r>
      <w:r w:rsidRPr="002801F2">
        <w:rPr>
          <w:rFonts w:ascii="Candara" w:hAnsi="Candara" w:cs="Times New Roman"/>
          <w:b/>
          <w:noProof/>
          <w:sz w:val="36"/>
          <w:szCs w:val="36"/>
        </w:rPr>
        <w:t xml:space="preserve"> </w:t>
      </w:r>
    </w:p>
    <w:p w14:paraId="62CC0463" w14:textId="77777777" w:rsidR="00AF72FE" w:rsidRDefault="00AF72FE" w:rsidP="008A6C5C"/>
    <w:p w14:paraId="41403DAE" w14:textId="77777777" w:rsidR="008578BD" w:rsidRDefault="008578BD" w:rsidP="008A6C5C"/>
    <w:p w14:paraId="3FCA0B51" w14:textId="77777777" w:rsidR="008A4852" w:rsidRDefault="008A4852" w:rsidP="00C31CE3">
      <w:pPr>
        <w:spacing w:line="240" w:lineRule="auto"/>
        <w:rPr>
          <w:rFonts w:ascii="Candara" w:hAnsi="Candara" w:cs="Times New Roman"/>
          <w:b/>
          <w:sz w:val="36"/>
          <w:szCs w:val="36"/>
        </w:rPr>
      </w:pPr>
      <w:r w:rsidRPr="004959CA">
        <w:rPr>
          <w:rFonts w:ascii="Candara" w:hAnsi="Candara" w:cs="Times New Roman"/>
          <w:b/>
          <w:sz w:val="36"/>
          <w:szCs w:val="36"/>
        </w:rPr>
        <w:t>Figure 2</w:t>
      </w:r>
    </w:p>
    <w:p w14:paraId="1A10D79E" w14:textId="76A41E86" w:rsidR="00B2113A" w:rsidRDefault="00022733" w:rsidP="00C31CE3">
      <w:pPr>
        <w:spacing w:line="240" w:lineRule="auto"/>
      </w:pPr>
      <w:r w:rsidRPr="00022733">
        <w:rPr>
          <w:noProof/>
        </w:rPr>
        <w:drawing>
          <wp:inline distT="0" distB="0" distL="0" distR="0" wp14:anchorId="05112670" wp14:editId="39EB3018">
            <wp:extent cx="3886200" cy="282632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2641" cy="2831012"/>
                    </a:xfrm>
                    <a:prstGeom prst="rect">
                      <a:avLst/>
                    </a:prstGeom>
                    <a:noFill/>
                    <a:ln>
                      <a:noFill/>
                    </a:ln>
                  </pic:spPr>
                </pic:pic>
              </a:graphicData>
            </a:graphic>
          </wp:inline>
        </w:drawing>
      </w:r>
    </w:p>
    <w:p w14:paraId="7C4EB1A6" w14:textId="43DC20A5" w:rsidR="0089458C" w:rsidRDefault="006B2C30">
      <w:pPr>
        <w:spacing w:after="200" w:line="276" w:lineRule="auto"/>
        <w:rPr>
          <w:rFonts w:cs="Times New Roman"/>
          <w:szCs w:val="24"/>
        </w:rPr>
      </w:pPr>
      <w:r>
        <w:rPr>
          <w:rFonts w:cs="Times New Roman"/>
          <w:szCs w:val="24"/>
        </w:rPr>
        <w:t xml:space="preserve">Probability Socialist Vote Range: </w:t>
      </w:r>
      <w:r w:rsidR="0085260F">
        <w:rPr>
          <w:rFonts w:cs="Times New Roman"/>
          <w:szCs w:val="24"/>
        </w:rPr>
        <w:t>.912 - .251</w:t>
      </w:r>
    </w:p>
    <w:p w14:paraId="38053FE7" w14:textId="72021753" w:rsidR="00633C8A" w:rsidRDefault="00633C8A">
      <w:pPr>
        <w:spacing w:after="200" w:line="276" w:lineRule="auto"/>
        <w:rPr>
          <w:rFonts w:cs="Times New Roman"/>
          <w:szCs w:val="24"/>
        </w:rPr>
      </w:pPr>
      <w:r>
        <w:rPr>
          <w:rFonts w:cs="Times New Roman"/>
          <w:szCs w:val="24"/>
        </w:rPr>
        <w:br w:type="page"/>
      </w:r>
    </w:p>
    <w:p w14:paraId="3C714FAB" w14:textId="77777777" w:rsidR="009D77F0" w:rsidRDefault="00450780" w:rsidP="00C31CE3">
      <w:pPr>
        <w:spacing w:line="240" w:lineRule="auto"/>
        <w:rPr>
          <w:rFonts w:ascii="Candara" w:hAnsi="Candara" w:cs="Times New Roman"/>
          <w:b/>
          <w:sz w:val="36"/>
          <w:szCs w:val="36"/>
        </w:rPr>
      </w:pPr>
      <w:r w:rsidRPr="004959CA">
        <w:rPr>
          <w:rFonts w:ascii="Candara" w:hAnsi="Candara" w:cs="Times New Roman"/>
          <w:b/>
          <w:sz w:val="36"/>
          <w:szCs w:val="36"/>
        </w:rPr>
        <w:lastRenderedPageBreak/>
        <w:t>Figure 3</w:t>
      </w:r>
    </w:p>
    <w:p w14:paraId="6E1E9F0A" w14:textId="4A54C2B0" w:rsidR="00030E30" w:rsidRDefault="0011488D" w:rsidP="009D77F0">
      <w:pPr>
        <w:spacing w:line="240" w:lineRule="auto"/>
        <w:rPr>
          <w:rFonts w:cs="Times New Roman"/>
          <w:szCs w:val="24"/>
        </w:rPr>
      </w:pPr>
      <w:r w:rsidRPr="0011488D">
        <w:rPr>
          <w:rFonts w:cs="Times New Roman"/>
          <w:noProof/>
          <w:szCs w:val="24"/>
        </w:rPr>
        <w:drawing>
          <wp:inline distT="0" distB="0" distL="0" distR="0" wp14:anchorId="267466CA" wp14:editId="2B00787E">
            <wp:extent cx="4033838" cy="2933700"/>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7658" cy="2936478"/>
                    </a:xfrm>
                    <a:prstGeom prst="rect">
                      <a:avLst/>
                    </a:prstGeom>
                    <a:noFill/>
                    <a:ln>
                      <a:noFill/>
                    </a:ln>
                  </pic:spPr>
                </pic:pic>
              </a:graphicData>
            </a:graphic>
          </wp:inline>
        </w:drawing>
      </w:r>
    </w:p>
    <w:p w14:paraId="6AED89EE" w14:textId="0D64305E" w:rsidR="008F3A7F" w:rsidRDefault="006B2C30" w:rsidP="009D77F0">
      <w:pPr>
        <w:spacing w:line="240" w:lineRule="auto"/>
        <w:rPr>
          <w:rFonts w:cs="Times New Roman"/>
          <w:szCs w:val="24"/>
        </w:rPr>
      </w:pPr>
      <w:r>
        <w:rPr>
          <w:rFonts w:cs="Times New Roman"/>
          <w:szCs w:val="24"/>
        </w:rPr>
        <w:t xml:space="preserve">Probability Socialist Vote Range: </w:t>
      </w:r>
      <w:r w:rsidR="0085260F">
        <w:rPr>
          <w:rFonts w:cs="Times New Roman"/>
          <w:szCs w:val="24"/>
        </w:rPr>
        <w:t>.887 - .452</w:t>
      </w:r>
    </w:p>
    <w:p w14:paraId="5A85ABCF" w14:textId="77777777" w:rsidR="008F3A7F" w:rsidRDefault="008F3A7F" w:rsidP="009D77F0">
      <w:pPr>
        <w:spacing w:line="240" w:lineRule="auto"/>
        <w:rPr>
          <w:rFonts w:cs="Times New Roman"/>
          <w:szCs w:val="24"/>
        </w:rPr>
      </w:pPr>
    </w:p>
    <w:p w14:paraId="5710975C" w14:textId="77777777" w:rsidR="00450780" w:rsidRDefault="00450780" w:rsidP="009D77F0">
      <w:pPr>
        <w:spacing w:line="240" w:lineRule="auto"/>
        <w:rPr>
          <w:rFonts w:cs="Times New Roman"/>
          <w:szCs w:val="24"/>
        </w:rPr>
      </w:pPr>
    </w:p>
    <w:p w14:paraId="2F1563E1" w14:textId="77777777" w:rsidR="00450780" w:rsidRDefault="00450780" w:rsidP="00C31CE3">
      <w:pPr>
        <w:spacing w:line="240" w:lineRule="auto"/>
        <w:rPr>
          <w:rFonts w:ascii="Candara" w:hAnsi="Candara" w:cs="Times New Roman"/>
          <w:b/>
          <w:sz w:val="36"/>
          <w:szCs w:val="36"/>
        </w:rPr>
      </w:pPr>
      <w:r>
        <w:rPr>
          <w:rFonts w:ascii="Candara" w:hAnsi="Candara" w:cs="Times New Roman"/>
          <w:b/>
          <w:sz w:val="36"/>
          <w:szCs w:val="36"/>
        </w:rPr>
        <w:t>Figure 4</w:t>
      </w:r>
    </w:p>
    <w:p w14:paraId="22A29F96" w14:textId="3B2F1E6B" w:rsidR="009E2335" w:rsidRDefault="00F36FCC" w:rsidP="00C31CE3">
      <w:pPr>
        <w:spacing w:line="240" w:lineRule="auto"/>
      </w:pPr>
      <w:r w:rsidRPr="00F36FCC">
        <w:rPr>
          <w:noProof/>
        </w:rPr>
        <w:drawing>
          <wp:inline distT="0" distB="0" distL="0" distR="0" wp14:anchorId="1D9CB425" wp14:editId="44FF415F">
            <wp:extent cx="3951514" cy="2873828"/>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52856" cy="2874804"/>
                    </a:xfrm>
                    <a:prstGeom prst="rect">
                      <a:avLst/>
                    </a:prstGeom>
                    <a:noFill/>
                    <a:ln>
                      <a:noFill/>
                    </a:ln>
                  </pic:spPr>
                </pic:pic>
              </a:graphicData>
            </a:graphic>
          </wp:inline>
        </w:drawing>
      </w:r>
    </w:p>
    <w:p w14:paraId="48AA27AE" w14:textId="573BE33F" w:rsidR="0085260F" w:rsidRDefault="006B2C30" w:rsidP="00FE1F7C">
      <w:r>
        <w:rPr>
          <w:rFonts w:cs="Times New Roman"/>
          <w:szCs w:val="24"/>
        </w:rPr>
        <w:t xml:space="preserve">Probability Socialist Vote Range: </w:t>
      </w:r>
      <w:r>
        <w:t>.</w:t>
      </w:r>
      <w:r w:rsidR="0085260F">
        <w:t>476 - .680</w:t>
      </w:r>
    </w:p>
    <w:p w14:paraId="3E475D60" w14:textId="2E743A33" w:rsidR="005A31E3" w:rsidRDefault="005A31E3">
      <w:pPr>
        <w:spacing w:after="200" w:line="276" w:lineRule="auto"/>
      </w:pPr>
      <w:r>
        <w:br w:type="page"/>
      </w:r>
    </w:p>
    <w:p w14:paraId="63CA752B" w14:textId="77777777" w:rsidR="0089458C" w:rsidRDefault="0089458C" w:rsidP="00C31CE3">
      <w:pPr>
        <w:spacing w:line="240" w:lineRule="auto"/>
      </w:pPr>
    </w:p>
    <w:p w14:paraId="480B7070" w14:textId="7B24DFC4" w:rsidR="005A31E3" w:rsidRDefault="005A31E3" w:rsidP="00C31CE3">
      <w:pPr>
        <w:spacing w:line="240" w:lineRule="auto"/>
        <w:rPr>
          <w:rFonts w:ascii="Candara" w:hAnsi="Candara" w:cs="Times New Roman"/>
          <w:b/>
          <w:sz w:val="36"/>
          <w:szCs w:val="36"/>
        </w:rPr>
      </w:pPr>
      <w:r>
        <w:rPr>
          <w:rFonts w:ascii="Candara" w:hAnsi="Candara" w:cs="Times New Roman"/>
          <w:b/>
          <w:sz w:val="36"/>
          <w:szCs w:val="36"/>
        </w:rPr>
        <w:t>Figure 5</w:t>
      </w:r>
    </w:p>
    <w:p w14:paraId="7832F855" w14:textId="018FD078" w:rsidR="005B64DA" w:rsidRDefault="000772B5" w:rsidP="00FE1F7C">
      <w:r>
        <w:object w:dxaOrig="10408" w:dyaOrig="6182" w14:anchorId="3C9CA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277.8pt" o:ole="">
            <v:imagedata r:id="rId13" o:title=""/>
          </v:shape>
          <o:OLEObject Type="Embed" ProgID="PSIGraph.PSIPlot.8" ShapeID="_x0000_i1025" DrawAspect="Content" ObjectID="_1581487647" r:id="rId14"/>
        </w:object>
      </w:r>
    </w:p>
    <w:p w14:paraId="022B10A5" w14:textId="4D065CC4" w:rsidR="0089458C" w:rsidRDefault="0089458C">
      <w:pPr>
        <w:spacing w:after="200" w:line="276" w:lineRule="auto"/>
      </w:pPr>
      <w:r>
        <w:br w:type="page"/>
      </w:r>
    </w:p>
    <w:p w14:paraId="0821B681" w14:textId="77777777" w:rsidR="0085260F" w:rsidRDefault="0085260F" w:rsidP="0085260F"/>
    <w:p w14:paraId="0F44F233" w14:textId="58D0CE88" w:rsidR="005906F6" w:rsidRDefault="005906F6" w:rsidP="00C31CE3">
      <w:pPr>
        <w:jc w:val="center"/>
        <w:rPr>
          <w:rFonts w:cs="Times New Roman"/>
          <w:szCs w:val="24"/>
        </w:rPr>
      </w:pPr>
      <w:r w:rsidRPr="005906F6">
        <w:rPr>
          <w:rFonts w:cs="Times New Roman"/>
          <w:b/>
          <w:szCs w:val="24"/>
        </w:rPr>
        <w:t>References</w:t>
      </w:r>
    </w:p>
    <w:p w14:paraId="68BD0CFD" w14:textId="77777777" w:rsidR="00C40A1A" w:rsidRDefault="00C40A1A" w:rsidP="002D2F01">
      <w:pPr>
        <w:spacing w:line="240" w:lineRule="auto"/>
        <w:rPr>
          <w:rFonts w:cs="Times New Roman"/>
          <w:szCs w:val="24"/>
        </w:rPr>
      </w:pPr>
    </w:p>
    <w:p w14:paraId="4C6E8587" w14:textId="23C12DBB" w:rsidR="00C40A1A" w:rsidRPr="00A27B79" w:rsidRDefault="00C40A1A" w:rsidP="000A40B2">
      <w:pPr>
        <w:spacing w:line="240" w:lineRule="auto"/>
        <w:ind w:left="720" w:hanging="720"/>
        <w:rPr>
          <w:rFonts w:cs="Times New Roman"/>
          <w:szCs w:val="24"/>
        </w:rPr>
      </w:pPr>
      <w:proofErr w:type="spellStart"/>
      <w:r w:rsidRPr="00A27B79">
        <w:rPr>
          <w:rFonts w:cs="Times New Roman"/>
          <w:szCs w:val="24"/>
        </w:rPr>
        <w:t>Alesina</w:t>
      </w:r>
      <w:proofErr w:type="spellEnd"/>
      <w:r w:rsidRPr="00A27B79">
        <w:rPr>
          <w:rFonts w:cs="Times New Roman"/>
          <w:szCs w:val="24"/>
        </w:rPr>
        <w:t xml:space="preserve">, Alberto, Arnaud </w:t>
      </w:r>
      <w:proofErr w:type="spellStart"/>
      <w:r w:rsidRPr="00A27B79">
        <w:rPr>
          <w:rFonts w:cs="Times New Roman"/>
          <w:szCs w:val="24"/>
        </w:rPr>
        <w:t>Devleechauwer</w:t>
      </w:r>
      <w:proofErr w:type="spellEnd"/>
      <w:r w:rsidRPr="00A27B79">
        <w:rPr>
          <w:rFonts w:cs="Times New Roman"/>
          <w:szCs w:val="24"/>
        </w:rPr>
        <w:t xml:space="preserve">, William Easterly, Sergio </w:t>
      </w:r>
      <w:proofErr w:type="spellStart"/>
      <w:r w:rsidRPr="00A27B79">
        <w:rPr>
          <w:rFonts w:cs="Times New Roman"/>
          <w:szCs w:val="24"/>
        </w:rPr>
        <w:t>Kurlat</w:t>
      </w:r>
      <w:proofErr w:type="spellEnd"/>
      <w:r w:rsidRPr="00A27B79">
        <w:rPr>
          <w:rFonts w:cs="Times New Roman"/>
          <w:szCs w:val="24"/>
        </w:rPr>
        <w:t>, and Romain</w:t>
      </w:r>
      <w:r w:rsidR="00885219">
        <w:rPr>
          <w:rFonts w:cs="Times New Roman"/>
          <w:szCs w:val="24"/>
        </w:rPr>
        <w:t xml:space="preserve"> </w:t>
      </w:r>
      <w:proofErr w:type="spellStart"/>
      <w:r w:rsidRPr="00A27B79">
        <w:rPr>
          <w:rFonts w:cs="Times New Roman"/>
          <w:szCs w:val="24"/>
        </w:rPr>
        <w:t>Wacziarg</w:t>
      </w:r>
      <w:proofErr w:type="spellEnd"/>
      <w:r w:rsidRPr="00A27B79">
        <w:rPr>
          <w:rFonts w:cs="Times New Roman"/>
          <w:szCs w:val="24"/>
        </w:rPr>
        <w:t xml:space="preserve">. 2003. “Fractionalization.” </w:t>
      </w:r>
      <w:r w:rsidRPr="00A27B79">
        <w:rPr>
          <w:rFonts w:cs="Times New Roman"/>
          <w:i/>
          <w:szCs w:val="24"/>
        </w:rPr>
        <w:t>Journal of Economic Growth</w:t>
      </w:r>
      <w:r w:rsidRPr="00A27B79">
        <w:rPr>
          <w:rFonts w:cs="Times New Roman"/>
          <w:szCs w:val="24"/>
        </w:rPr>
        <w:t xml:space="preserve"> 8:155-194.</w:t>
      </w:r>
    </w:p>
    <w:p w14:paraId="470567E8" w14:textId="77777777" w:rsidR="00C40A1A" w:rsidRPr="00A27B79" w:rsidRDefault="00C40A1A" w:rsidP="000A40B2">
      <w:pPr>
        <w:spacing w:line="240" w:lineRule="auto"/>
        <w:ind w:left="720" w:hanging="720"/>
        <w:rPr>
          <w:rFonts w:cs="Times New Roman"/>
          <w:szCs w:val="24"/>
        </w:rPr>
      </w:pPr>
    </w:p>
    <w:p w14:paraId="2454905E" w14:textId="4D509D9F" w:rsidR="00C40A1A" w:rsidRPr="00A27B79" w:rsidRDefault="00C40A1A" w:rsidP="000A40B2">
      <w:pPr>
        <w:autoSpaceDE w:val="0"/>
        <w:autoSpaceDN w:val="0"/>
        <w:adjustRightInd w:val="0"/>
        <w:spacing w:line="240" w:lineRule="auto"/>
        <w:ind w:left="720" w:hanging="720"/>
        <w:rPr>
          <w:rFonts w:cs="Times New Roman"/>
          <w:szCs w:val="24"/>
        </w:rPr>
      </w:pPr>
      <w:r w:rsidRPr="00A27B79">
        <w:rPr>
          <w:rFonts w:cs="Times New Roman"/>
          <w:szCs w:val="24"/>
        </w:rPr>
        <w:t xml:space="preserve">Annett, Anthony. 2001. “Social Fractionalization, Political Instability, and the Size of Government.” </w:t>
      </w:r>
      <w:r w:rsidRPr="00A27B79">
        <w:rPr>
          <w:rFonts w:cs="Times New Roman"/>
          <w:i/>
          <w:szCs w:val="24"/>
        </w:rPr>
        <w:t>International Monetary Fund Staff Papers</w:t>
      </w:r>
      <w:r w:rsidRPr="00A27B79">
        <w:rPr>
          <w:rFonts w:cs="Times New Roman"/>
          <w:szCs w:val="24"/>
        </w:rPr>
        <w:t xml:space="preserve"> 48:561-592.</w:t>
      </w:r>
    </w:p>
    <w:p w14:paraId="5B333E7D" w14:textId="77777777" w:rsidR="00C40A1A" w:rsidRPr="00A27B79" w:rsidRDefault="00C40A1A" w:rsidP="000A40B2">
      <w:pPr>
        <w:spacing w:line="240" w:lineRule="auto"/>
        <w:ind w:left="720" w:hanging="720"/>
        <w:rPr>
          <w:rFonts w:cs="Times New Roman"/>
          <w:szCs w:val="24"/>
        </w:rPr>
      </w:pPr>
    </w:p>
    <w:p w14:paraId="57F1212B" w14:textId="77777777" w:rsidR="00B139CC" w:rsidRPr="00A27B79" w:rsidRDefault="00B139CC" w:rsidP="00E144BE">
      <w:pPr>
        <w:spacing w:line="240" w:lineRule="auto"/>
        <w:ind w:left="720" w:hanging="720"/>
        <w:rPr>
          <w:rFonts w:cs="Times New Roman"/>
          <w:szCs w:val="24"/>
        </w:rPr>
      </w:pPr>
      <w:r w:rsidRPr="00A27B79">
        <w:rPr>
          <w:rFonts w:cs="Times New Roman"/>
          <w:szCs w:val="24"/>
        </w:rPr>
        <w:t xml:space="preserve">Bailey, Michael A., Brian </w:t>
      </w:r>
      <w:proofErr w:type="spellStart"/>
      <w:r w:rsidRPr="00A27B79">
        <w:rPr>
          <w:rFonts w:cs="Times New Roman"/>
          <w:szCs w:val="24"/>
        </w:rPr>
        <w:t>Kamoie</w:t>
      </w:r>
      <w:proofErr w:type="spellEnd"/>
      <w:r w:rsidRPr="00A27B79">
        <w:rPr>
          <w:rFonts w:cs="Times New Roman"/>
          <w:szCs w:val="24"/>
        </w:rPr>
        <w:t xml:space="preserve">, and Forest </w:t>
      </w:r>
      <w:proofErr w:type="spellStart"/>
      <w:r w:rsidRPr="00A27B79">
        <w:rPr>
          <w:rFonts w:cs="Times New Roman"/>
          <w:szCs w:val="24"/>
        </w:rPr>
        <w:t>Maltzman</w:t>
      </w:r>
      <w:proofErr w:type="spellEnd"/>
      <w:r w:rsidRPr="00A27B79">
        <w:rPr>
          <w:rFonts w:cs="Times New Roman"/>
          <w:szCs w:val="24"/>
        </w:rPr>
        <w:t xml:space="preserve">. 2005. </w:t>
      </w:r>
      <w:r w:rsidR="00400E9D" w:rsidRPr="00A27B79">
        <w:rPr>
          <w:rFonts w:cs="Times New Roman"/>
          <w:szCs w:val="24"/>
        </w:rPr>
        <w:t xml:space="preserve">“Signals from the Tenth </w:t>
      </w:r>
      <w:proofErr w:type="spellStart"/>
      <w:proofErr w:type="gramStart"/>
      <w:r w:rsidR="00400E9D" w:rsidRPr="00A27B79">
        <w:rPr>
          <w:rFonts w:cs="Times New Roman"/>
          <w:szCs w:val="24"/>
        </w:rPr>
        <w:t>Justice:</w:t>
      </w:r>
      <w:r w:rsidRPr="00A27B79">
        <w:rPr>
          <w:rFonts w:cs="Times New Roman"/>
          <w:szCs w:val="24"/>
        </w:rPr>
        <w:t>The</w:t>
      </w:r>
      <w:proofErr w:type="spellEnd"/>
      <w:proofErr w:type="gramEnd"/>
      <w:r w:rsidRPr="00A27B79">
        <w:rPr>
          <w:rFonts w:cs="Times New Roman"/>
          <w:szCs w:val="24"/>
        </w:rPr>
        <w:t xml:space="preserve"> Political Role </w:t>
      </w:r>
      <w:r w:rsidR="00400E9D" w:rsidRPr="00A27B79">
        <w:rPr>
          <w:rFonts w:cs="Times New Roman"/>
          <w:szCs w:val="24"/>
        </w:rPr>
        <w:t xml:space="preserve">of the Solicitor General in Supreme Court Decision Making.” </w:t>
      </w:r>
      <w:r w:rsidR="00400E9D" w:rsidRPr="00A27B79">
        <w:rPr>
          <w:rFonts w:cs="Times New Roman"/>
          <w:i/>
          <w:szCs w:val="24"/>
        </w:rPr>
        <w:t>American Journal of Political Science</w:t>
      </w:r>
      <w:r w:rsidR="00400E9D" w:rsidRPr="00A27B79">
        <w:rPr>
          <w:rFonts w:cs="Times New Roman"/>
          <w:szCs w:val="24"/>
        </w:rPr>
        <w:t xml:space="preserve"> 49:72-85.</w:t>
      </w:r>
    </w:p>
    <w:p w14:paraId="58924DB4" w14:textId="77777777" w:rsidR="00B139CC" w:rsidRPr="00A27B79" w:rsidRDefault="00B139CC" w:rsidP="00E144BE">
      <w:pPr>
        <w:spacing w:line="240" w:lineRule="auto"/>
        <w:ind w:left="720" w:hanging="720"/>
        <w:rPr>
          <w:rFonts w:cs="Times New Roman"/>
          <w:szCs w:val="24"/>
        </w:rPr>
      </w:pPr>
    </w:p>
    <w:p w14:paraId="7FBBDF7C" w14:textId="28BBA91E" w:rsidR="00BF6FA6" w:rsidRPr="00A27B79" w:rsidRDefault="00BF6FA6" w:rsidP="00E144BE">
      <w:pPr>
        <w:spacing w:line="240" w:lineRule="auto"/>
        <w:ind w:left="720" w:hanging="720"/>
        <w:rPr>
          <w:rFonts w:cs="Times New Roman"/>
          <w:szCs w:val="24"/>
        </w:rPr>
      </w:pPr>
      <w:r w:rsidRPr="00A27B79">
        <w:rPr>
          <w:rFonts w:cs="Times New Roman"/>
          <w:szCs w:val="24"/>
        </w:rPr>
        <w:t xml:space="preserve">Bailey, Michael A. and Forest </w:t>
      </w:r>
      <w:proofErr w:type="spellStart"/>
      <w:r w:rsidRPr="00A27B79">
        <w:rPr>
          <w:rFonts w:cs="Times New Roman"/>
          <w:szCs w:val="24"/>
        </w:rPr>
        <w:t>Maltzman</w:t>
      </w:r>
      <w:proofErr w:type="spellEnd"/>
      <w:r w:rsidRPr="00A27B79">
        <w:rPr>
          <w:rFonts w:cs="Times New Roman"/>
          <w:szCs w:val="24"/>
        </w:rPr>
        <w:t xml:space="preserve">. 2011. </w:t>
      </w:r>
      <w:r w:rsidRPr="00A27B79">
        <w:rPr>
          <w:rFonts w:cs="Times New Roman"/>
          <w:i/>
          <w:szCs w:val="24"/>
        </w:rPr>
        <w:t>The Constrained Court: Law, Politics, and the Decisions Justices Make</w:t>
      </w:r>
      <w:r w:rsidRPr="00A27B79">
        <w:rPr>
          <w:rFonts w:cs="Times New Roman"/>
          <w:szCs w:val="24"/>
        </w:rPr>
        <w:t>. Princeton, NJ: Princeton University Press.</w:t>
      </w:r>
    </w:p>
    <w:p w14:paraId="657983DE" w14:textId="77777777" w:rsidR="00BF6FA6" w:rsidRPr="00A27B79" w:rsidRDefault="00BF6FA6" w:rsidP="00E144BE">
      <w:pPr>
        <w:spacing w:line="240" w:lineRule="auto"/>
        <w:ind w:left="720" w:hanging="720"/>
        <w:rPr>
          <w:rFonts w:cs="Times New Roman"/>
          <w:szCs w:val="24"/>
        </w:rPr>
      </w:pPr>
    </w:p>
    <w:p w14:paraId="01C4C42D" w14:textId="77777777" w:rsidR="00FC6F6D" w:rsidRPr="00A27B79" w:rsidRDefault="00FC6F6D" w:rsidP="00E144BE">
      <w:pPr>
        <w:spacing w:line="240" w:lineRule="auto"/>
        <w:ind w:left="720" w:hanging="720"/>
        <w:rPr>
          <w:rFonts w:cs="Times New Roman"/>
          <w:szCs w:val="24"/>
        </w:rPr>
      </w:pPr>
      <w:r w:rsidRPr="00A27B79">
        <w:rPr>
          <w:rFonts w:cs="Times New Roman"/>
          <w:szCs w:val="24"/>
        </w:rPr>
        <w:t xml:space="preserve">Baum. Lawrence. 1997. </w:t>
      </w:r>
      <w:r w:rsidRPr="00A27B79">
        <w:rPr>
          <w:rFonts w:cs="Times New Roman"/>
          <w:i/>
          <w:szCs w:val="24"/>
        </w:rPr>
        <w:t>The Puzzle of Judicial Behavior</w:t>
      </w:r>
      <w:r w:rsidRPr="00A27B79">
        <w:rPr>
          <w:rFonts w:cs="Times New Roman"/>
          <w:szCs w:val="24"/>
        </w:rPr>
        <w:t>. Ann Arbor, MI: University of Michigan Press.</w:t>
      </w:r>
    </w:p>
    <w:p w14:paraId="74A6B4BB" w14:textId="77777777" w:rsidR="00FC6F6D" w:rsidRPr="00A27B79" w:rsidRDefault="00FC6F6D" w:rsidP="00E144BE">
      <w:pPr>
        <w:spacing w:line="240" w:lineRule="auto"/>
        <w:ind w:left="720" w:hanging="720"/>
        <w:rPr>
          <w:rFonts w:cs="Times New Roman"/>
          <w:szCs w:val="24"/>
        </w:rPr>
      </w:pPr>
    </w:p>
    <w:p w14:paraId="3A706797" w14:textId="77777777" w:rsidR="00DD1866" w:rsidRPr="00A27B79" w:rsidRDefault="00DD1866" w:rsidP="00E144BE">
      <w:pPr>
        <w:spacing w:line="240" w:lineRule="auto"/>
        <w:ind w:left="720" w:hanging="720"/>
      </w:pPr>
      <w:proofErr w:type="spellStart"/>
      <w:r w:rsidRPr="00A27B79">
        <w:t>Bergset</w:t>
      </w:r>
      <w:proofErr w:type="spellEnd"/>
      <w:r w:rsidRPr="00A27B79">
        <w:t xml:space="preserve">, Kurt-Rune. 2013. Gender in the Supreme Court of Norway. Judicial </w:t>
      </w:r>
      <w:proofErr w:type="spellStart"/>
      <w:r w:rsidRPr="00A27B79">
        <w:t>behaviour</w:t>
      </w:r>
      <w:proofErr w:type="spellEnd"/>
      <w:r w:rsidRPr="00A27B79">
        <w:t xml:space="preserve"> in child custody cases 1968-2011, Master's Thesis. Department of Comparative Politics, University of Bergen.</w:t>
      </w:r>
    </w:p>
    <w:p w14:paraId="0542EDCA" w14:textId="77777777" w:rsidR="00A02FFA" w:rsidRPr="00A27B79" w:rsidRDefault="00A02FFA" w:rsidP="00E144BE">
      <w:pPr>
        <w:spacing w:line="240" w:lineRule="auto"/>
        <w:ind w:left="720" w:hanging="720"/>
        <w:rPr>
          <w:rFonts w:cs="Times New Roman"/>
          <w:szCs w:val="24"/>
        </w:rPr>
      </w:pPr>
    </w:p>
    <w:p w14:paraId="73A9215E" w14:textId="42539AE5" w:rsidR="005E140E" w:rsidRPr="00A27B79" w:rsidRDefault="005E140E" w:rsidP="00E144BE">
      <w:pPr>
        <w:spacing w:line="240" w:lineRule="auto"/>
        <w:ind w:left="720" w:hanging="720"/>
        <w:rPr>
          <w:rFonts w:cs="Times New Roman"/>
          <w:szCs w:val="24"/>
        </w:rPr>
      </w:pPr>
      <w:r w:rsidRPr="00A27B79">
        <w:rPr>
          <w:rFonts w:cs="Times New Roman"/>
          <w:szCs w:val="24"/>
        </w:rPr>
        <w:t xml:space="preserve">Boyd, Christina, Lee Epstein, and Andrew D. Martin. 2010. “Untangling the Causal Effects of Sex on Judging.” </w:t>
      </w:r>
      <w:r w:rsidRPr="00A27B79">
        <w:rPr>
          <w:rFonts w:cs="Times New Roman"/>
          <w:i/>
          <w:szCs w:val="24"/>
        </w:rPr>
        <w:t>American Journal of Political Science</w:t>
      </w:r>
      <w:r w:rsidRPr="00A27B79">
        <w:rPr>
          <w:rFonts w:cs="Times New Roman"/>
          <w:szCs w:val="24"/>
        </w:rPr>
        <w:t xml:space="preserve"> 54:389-411.</w:t>
      </w:r>
    </w:p>
    <w:p w14:paraId="3A71FBD3" w14:textId="77777777" w:rsidR="005E140E" w:rsidRPr="00A27B79" w:rsidRDefault="005E140E" w:rsidP="00E144BE">
      <w:pPr>
        <w:spacing w:line="240" w:lineRule="auto"/>
        <w:ind w:left="720" w:hanging="720"/>
        <w:rPr>
          <w:rFonts w:cs="Times New Roman"/>
          <w:szCs w:val="24"/>
        </w:rPr>
      </w:pPr>
    </w:p>
    <w:p w14:paraId="41D69E0D" w14:textId="1C6A2979" w:rsidR="002D2F01" w:rsidRPr="00A27B79" w:rsidRDefault="002D2F01" w:rsidP="00E144BE">
      <w:pPr>
        <w:spacing w:line="240" w:lineRule="auto"/>
        <w:ind w:left="720" w:hanging="720"/>
        <w:rPr>
          <w:rFonts w:cs="Times New Roman"/>
          <w:noProof/>
          <w:kern w:val="28"/>
          <w:szCs w:val="24"/>
          <w:lang w:val="en-GB"/>
        </w:rPr>
      </w:pPr>
      <w:r w:rsidRPr="00A27B79">
        <w:rPr>
          <w:rFonts w:cs="Times New Roman"/>
          <w:noProof/>
          <w:kern w:val="28"/>
          <w:szCs w:val="24"/>
          <w:lang w:val="en-GB"/>
        </w:rPr>
        <w:t>Dyevre, Arthur. 2010. “</w:t>
      </w:r>
      <w:r w:rsidRPr="00A27B79">
        <w:rPr>
          <w:rFonts w:cs="Times New Roman"/>
          <w:szCs w:val="24"/>
        </w:rPr>
        <w:t>Unifying the field of comparative judicial politics: towards a general</w:t>
      </w:r>
      <w:r w:rsidR="00C02654">
        <w:rPr>
          <w:rFonts w:cs="Times New Roman"/>
          <w:szCs w:val="24"/>
        </w:rPr>
        <w:t xml:space="preserve"> </w:t>
      </w:r>
      <w:r w:rsidRPr="00A27B79">
        <w:rPr>
          <w:rFonts w:cs="Times New Roman"/>
          <w:szCs w:val="24"/>
        </w:rPr>
        <w:t xml:space="preserve">theory of judicial behavior.” </w:t>
      </w:r>
      <w:r w:rsidRPr="00A27B79">
        <w:rPr>
          <w:rFonts w:cs="Times New Roman"/>
          <w:i/>
          <w:szCs w:val="24"/>
        </w:rPr>
        <w:t>European Political Science Review</w:t>
      </w:r>
      <w:r w:rsidRPr="00A27B79">
        <w:rPr>
          <w:rFonts w:cs="Times New Roman"/>
          <w:szCs w:val="24"/>
        </w:rPr>
        <w:t xml:space="preserve"> 2:297–327.</w:t>
      </w:r>
    </w:p>
    <w:p w14:paraId="617A2EBD" w14:textId="77777777" w:rsidR="002D2F01" w:rsidRPr="00A27B79" w:rsidRDefault="002D2F01" w:rsidP="00E144BE">
      <w:pPr>
        <w:spacing w:line="240" w:lineRule="auto"/>
        <w:ind w:left="720" w:hanging="720"/>
        <w:rPr>
          <w:rFonts w:cs="Times New Roman"/>
          <w:noProof/>
          <w:kern w:val="28"/>
          <w:szCs w:val="24"/>
          <w:lang w:val="en-GB"/>
        </w:rPr>
      </w:pPr>
    </w:p>
    <w:p w14:paraId="27837784" w14:textId="4F34EA01" w:rsidR="00723CE7" w:rsidRPr="00A27B79" w:rsidRDefault="00723CE7" w:rsidP="000A40B2">
      <w:pPr>
        <w:spacing w:line="240" w:lineRule="auto"/>
        <w:ind w:left="720" w:hanging="720"/>
      </w:pPr>
      <w:r w:rsidRPr="00A27B79">
        <w:t xml:space="preserve">Elder, Neil, Alastair H. Thomas and David </w:t>
      </w:r>
      <w:proofErr w:type="spellStart"/>
      <w:r w:rsidRPr="00A27B79">
        <w:t>Arter</w:t>
      </w:r>
      <w:proofErr w:type="spellEnd"/>
      <w:r w:rsidRPr="00A27B79">
        <w:t xml:space="preserve">. 1988. </w:t>
      </w:r>
      <w:r w:rsidRPr="00A27B79">
        <w:rPr>
          <w:i/>
        </w:rPr>
        <w:t>The Consensual Democracies? The Government and Politics of the Scandinavian States</w:t>
      </w:r>
      <w:r w:rsidRPr="00A27B79">
        <w:t>. Oxford: Basil Blackwell.</w:t>
      </w:r>
    </w:p>
    <w:p w14:paraId="798CBE12" w14:textId="77777777" w:rsidR="00723CE7" w:rsidRPr="00A27B79" w:rsidRDefault="00723CE7" w:rsidP="000A40B2">
      <w:pPr>
        <w:spacing w:line="240" w:lineRule="auto"/>
        <w:ind w:left="720" w:hanging="720"/>
      </w:pPr>
    </w:p>
    <w:p w14:paraId="5A1F3016" w14:textId="35EFE17C" w:rsidR="00C40A1A" w:rsidRDefault="00C40A1A" w:rsidP="000A40B2">
      <w:pPr>
        <w:pStyle w:val="Default"/>
        <w:ind w:left="720" w:hanging="720"/>
        <w:rPr>
          <w:color w:val="auto"/>
        </w:rPr>
      </w:pPr>
      <w:r w:rsidRPr="00A27B79">
        <w:rPr>
          <w:color w:val="auto"/>
        </w:rPr>
        <w:t xml:space="preserve">Esteban, Joan and </w:t>
      </w:r>
      <w:proofErr w:type="spellStart"/>
      <w:r w:rsidRPr="00A27B79">
        <w:rPr>
          <w:color w:val="auto"/>
        </w:rPr>
        <w:t>Debraj</w:t>
      </w:r>
      <w:proofErr w:type="spellEnd"/>
      <w:r w:rsidRPr="00A27B79">
        <w:rPr>
          <w:color w:val="auto"/>
        </w:rPr>
        <w:t xml:space="preserve"> Ray. 2008. “Polarization, Fractionalization and Conflict.” </w:t>
      </w:r>
      <w:r w:rsidRPr="00A27B79">
        <w:rPr>
          <w:i/>
          <w:color w:val="auto"/>
        </w:rPr>
        <w:t>Journal of Peace Research</w:t>
      </w:r>
      <w:r w:rsidRPr="00A27B79">
        <w:rPr>
          <w:color w:val="auto"/>
        </w:rPr>
        <w:t xml:space="preserve"> 45:163-182.</w:t>
      </w:r>
    </w:p>
    <w:p w14:paraId="2C1DCFD9" w14:textId="77777777" w:rsidR="0095710B" w:rsidRDefault="0095710B" w:rsidP="000A40B2">
      <w:pPr>
        <w:pStyle w:val="Default"/>
        <w:ind w:left="720" w:hanging="720"/>
        <w:rPr>
          <w:color w:val="auto"/>
        </w:rPr>
      </w:pPr>
    </w:p>
    <w:p w14:paraId="76BC9EF1" w14:textId="4EAA17E1" w:rsidR="0095710B" w:rsidRPr="0095710B" w:rsidRDefault="0095710B" w:rsidP="000A40B2">
      <w:pPr>
        <w:pStyle w:val="Default"/>
        <w:ind w:left="720" w:hanging="720"/>
        <w:rPr>
          <w:color w:val="auto"/>
        </w:rPr>
      </w:pPr>
      <w:r>
        <w:rPr>
          <w:color w:val="auto"/>
        </w:rPr>
        <w:t>Epstein, Lee and Carol Mershon. 1996. “Measuring Political Preferences.</w:t>
      </w:r>
      <w:r w:rsidR="004D3F85">
        <w:rPr>
          <w:color w:val="auto"/>
        </w:rPr>
        <w:t>”</w:t>
      </w:r>
      <w:r>
        <w:rPr>
          <w:color w:val="auto"/>
        </w:rPr>
        <w:t xml:space="preserve"> </w:t>
      </w:r>
      <w:r w:rsidRPr="00C31CE3">
        <w:rPr>
          <w:i/>
          <w:color w:val="auto"/>
        </w:rPr>
        <w:t>American Journal of</w:t>
      </w:r>
      <w:r w:rsidR="00E144BE">
        <w:rPr>
          <w:i/>
          <w:color w:val="auto"/>
        </w:rPr>
        <w:t xml:space="preserve"> </w:t>
      </w:r>
      <w:r w:rsidRPr="00C31CE3">
        <w:rPr>
          <w:i/>
          <w:color w:val="auto"/>
        </w:rPr>
        <w:t>Political Science</w:t>
      </w:r>
      <w:r>
        <w:rPr>
          <w:color w:val="auto"/>
        </w:rPr>
        <w:t xml:space="preserve"> 40(1):261-294.</w:t>
      </w:r>
    </w:p>
    <w:p w14:paraId="7984B06D" w14:textId="77777777" w:rsidR="00C40A1A" w:rsidRPr="00A27B79" w:rsidRDefault="00C40A1A" w:rsidP="00E144BE">
      <w:pPr>
        <w:spacing w:line="240" w:lineRule="auto"/>
        <w:ind w:left="720" w:hanging="720"/>
        <w:rPr>
          <w:rFonts w:cs="Times New Roman"/>
          <w:szCs w:val="24"/>
        </w:rPr>
      </w:pPr>
    </w:p>
    <w:p w14:paraId="72715023" w14:textId="77777777" w:rsidR="0015428A" w:rsidRPr="00A27B79" w:rsidRDefault="0015428A" w:rsidP="00E144BE">
      <w:pPr>
        <w:spacing w:line="240" w:lineRule="auto"/>
        <w:ind w:left="720" w:hanging="720"/>
        <w:rPr>
          <w:rFonts w:cs="Times New Roman"/>
          <w:szCs w:val="24"/>
        </w:rPr>
      </w:pPr>
      <w:r w:rsidRPr="00A27B79">
        <w:rPr>
          <w:rFonts w:cs="Times New Roman"/>
          <w:szCs w:val="24"/>
        </w:rPr>
        <w:t xml:space="preserve">Epstein, Lee, William M. </w:t>
      </w:r>
      <w:proofErr w:type="spellStart"/>
      <w:r w:rsidRPr="00A27B79">
        <w:rPr>
          <w:rFonts w:cs="Times New Roman"/>
          <w:szCs w:val="24"/>
        </w:rPr>
        <w:t>Landes</w:t>
      </w:r>
      <w:proofErr w:type="spellEnd"/>
      <w:r w:rsidRPr="00A27B79">
        <w:rPr>
          <w:rFonts w:cs="Times New Roman"/>
          <w:szCs w:val="24"/>
        </w:rPr>
        <w:t xml:space="preserve"> and Richard A. Posner. 2013. </w:t>
      </w:r>
      <w:r w:rsidRPr="000A40B2">
        <w:rPr>
          <w:rFonts w:cs="Times New Roman"/>
          <w:i/>
          <w:szCs w:val="24"/>
        </w:rPr>
        <w:t>The Behavior of Federal Judges</w:t>
      </w:r>
      <w:r w:rsidRPr="00A27B79">
        <w:rPr>
          <w:rFonts w:cs="Times New Roman"/>
          <w:szCs w:val="24"/>
        </w:rPr>
        <w:t>.</w:t>
      </w:r>
      <w:r w:rsidR="00B9391A" w:rsidRPr="00A27B79">
        <w:rPr>
          <w:rFonts w:cs="Times New Roman"/>
          <w:szCs w:val="24"/>
        </w:rPr>
        <w:t xml:space="preserve"> </w:t>
      </w:r>
      <w:r w:rsidRPr="00A27B79">
        <w:rPr>
          <w:rFonts w:cs="Times New Roman"/>
          <w:szCs w:val="24"/>
        </w:rPr>
        <w:t>Cambridge, MA: Harvard University Press.</w:t>
      </w:r>
    </w:p>
    <w:p w14:paraId="001C4960" w14:textId="77777777" w:rsidR="006921A0" w:rsidRPr="00A27B79" w:rsidRDefault="006921A0" w:rsidP="00E144BE">
      <w:pPr>
        <w:spacing w:line="240" w:lineRule="auto"/>
        <w:ind w:left="720" w:hanging="720"/>
        <w:rPr>
          <w:rFonts w:cs="Times New Roman"/>
          <w:noProof/>
          <w:kern w:val="28"/>
          <w:szCs w:val="24"/>
          <w:lang w:val="en-GB"/>
        </w:rPr>
      </w:pPr>
    </w:p>
    <w:p w14:paraId="6A4F4659" w14:textId="65C4284C" w:rsidR="002E2FEC" w:rsidRPr="00A27B79" w:rsidRDefault="002E2FEC" w:rsidP="000A40B2">
      <w:pPr>
        <w:spacing w:line="240" w:lineRule="auto"/>
        <w:ind w:left="720" w:hanging="720"/>
        <w:rPr>
          <w:rFonts w:cs="Times New Roman"/>
          <w:szCs w:val="24"/>
          <w:lang w:val="nb-NO"/>
        </w:rPr>
      </w:pPr>
      <w:r w:rsidRPr="008578BD">
        <w:rPr>
          <w:rFonts w:cs="Times New Roman"/>
          <w:szCs w:val="24"/>
        </w:rPr>
        <w:t xml:space="preserve">Fearon, James D. 2003. </w:t>
      </w:r>
      <w:r w:rsidRPr="00A27B79">
        <w:rPr>
          <w:rFonts w:cs="Times New Roman"/>
          <w:szCs w:val="24"/>
        </w:rPr>
        <w:t xml:space="preserve">“Ethnic and Cultural Diversity by Country.” </w:t>
      </w:r>
      <w:r w:rsidRPr="00A27B79">
        <w:rPr>
          <w:rFonts w:cs="Times New Roman"/>
          <w:i/>
          <w:szCs w:val="24"/>
          <w:lang w:val="nb-NO"/>
        </w:rPr>
        <w:t>Journal of Economic Growth</w:t>
      </w:r>
      <w:r w:rsidRPr="00A27B79">
        <w:rPr>
          <w:rFonts w:cs="Times New Roman"/>
          <w:szCs w:val="24"/>
          <w:lang w:val="nb-NO"/>
        </w:rPr>
        <w:t xml:space="preserve"> 8:195-222.</w:t>
      </w:r>
    </w:p>
    <w:p w14:paraId="7E4AA775" w14:textId="77777777" w:rsidR="002E2FEC" w:rsidRPr="008578BD" w:rsidRDefault="002E2FEC" w:rsidP="00E144BE">
      <w:pPr>
        <w:spacing w:line="240" w:lineRule="auto"/>
        <w:ind w:left="720" w:hanging="720"/>
        <w:rPr>
          <w:rFonts w:cs="Times New Roman"/>
          <w:noProof/>
          <w:kern w:val="28"/>
          <w:szCs w:val="24"/>
          <w:lang w:val="nb-NO"/>
        </w:rPr>
      </w:pPr>
    </w:p>
    <w:p w14:paraId="5E208403" w14:textId="314AC90C" w:rsidR="002E2FEC" w:rsidRPr="00A27B79" w:rsidRDefault="002E2FEC" w:rsidP="000A40B2">
      <w:pPr>
        <w:spacing w:line="240" w:lineRule="auto"/>
        <w:ind w:left="720" w:hanging="720"/>
        <w:rPr>
          <w:rFonts w:cs="Times New Roman"/>
          <w:szCs w:val="24"/>
        </w:rPr>
      </w:pPr>
      <w:r w:rsidRPr="00A27B79">
        <w:rPr>
          <w:rFonts w:cs="Times New Roman"/>
          <w:szCs w:val="24"/>
          <w:lang w:val="nb-NO"/>
        </w:rPr>
        <w:lastRenderedPageBreak/>
        <w:t xml:space="preserve">Fleischer, Carl A. 2006. </w:t>
      </w:r>
      <w:r w:rsidRPr="00A27B79">
        <w:rPr>
          <w:rFonts w:cs="Times New Roman"/>
          <w:i/>
          <w:szCs w:val="24"/>
          <w:lang w:val="nb-NO"/>
        </w:rPr>
        <w:t>Korrupsjonskultur, Kameraderi og Tillitssvikt I Norge</w:t>
      </w:r>
      <w:r w:rsidRPr="00A27B79">
        <w:rPr>
          <w:rFonts w:cs="Times New Roman"/>
          <w:szCs w:val="24"/>
          <w:lang w:val="nb-NO"/>
        </w:rPr>
        <w:t xml:space="preserve">. </w:t>
      </w:r>
      <w:r w:rsidRPr="00A27B79">
        <w:rPr>
          <w:rFonts w:cs="Times New Roman"/>
          <w:szCs w:val="24"/>
        </w:rPr>
        <w:t>Oslo</w:t>
      </w:r>
      <w:r w:rsidR="00E144BE">
        <w:rPr>
          <w:rFonts w:cs="Times New Roman"/>
          <w:szCs w:val="24"/>
        </w:rPr>
        <w:t xml:space="preserve"> </w:t>
      </w:r>
      <w:proofErr w:type="spellStart"/>
      <w:proofErr w:type="gramStart"/>
      <w:r w:rsidRPr="00A27B79">
        <w:rPr>
          <w:rFonts w:cs="Times New Roman"/>
          <w:szCs w:val="24"/>
        </w:rPr>
        <w:t>Koloritt</w:t>
      </w:r>
      <w:proofErr w:type="spellEnd"/>
      <w:r w:rsidR="00E144BE">
        <w:rPr>
          <w:rFonts w:cs="Times New Roman"/>
          <w:szCs w:val="24"/>
        </w:rPr>
        <w:t xml:space="preserve"> </w:t>
      </w:r>
      <w:r w:rsidRPr="00A27B79">
        <w:rPr>
          <w:rFonts w:cs="Times New Roman"/>
          <w:szCs w:val="24"/>
        </w:rPr>
        <w:t xml:space="preserve"> </w:t>
      </w:r>
      <w:proofErr w:type="spellStart"/>
      <w:r w:rsidRPr="00A27B79">
        <w:rPr>
          <w:rFonts w:cs="Times New Roman"/>
          <w:szCs w:val="24"/>
        </w:rPr>
        <w:t>Forlag</w:t>
      </w:r>
      <w:proofErr w:type="spellEnd"/>
      <w:proofErr w:type="gramEnd"/>
      <w:r w:rsidRPr="00A27B79">
        <w:rPr>
          <w:rFonts w:cs="Times New Roman"/>
          <w:szCs w:val="24"/>
        </w:rPr>
        <w:t>.</w:t>
      </w:r>
    </w:p>
    <w:p w14:paraId="20754B59" w14:textId="77777777" w:rsidR="002E2FEC" w:rsidRDefault="002E2FEC" w:rsidP="00E144BE">
      <w:pPr>
        <w:spacing w:line="240" w:lineRule="auto"/>
        <w:ind w:left="720" w:hanging="720"/>
        <w:rPr>
          <w:rFonts w:cs="Times New Roman"/>
          <w:noProof/>
          <w:kern w:val="28"/>
          <w:szCs w:val="24"/>
          <w:lang w:val="en-GB"/>
        </w:rPr>
      </w:pPr>
    </w:p>
    <w:p w14:paraId="53F214F5" w14:textId="77777777" w:rsidR="0070635D" w:rsidRPr="00A27B79" w:rsidRDefault="0070635D" w:rsidP="00E144BE">
      <w:pPr>
        <w:spacing w:line="240" w:lineRule="auto"/>
        <w:ind w:left="720" w:hanging="720"/>
        <w:rPr>
          <w:rFonts w:cs="Times New Roman"/>
          <w:noProof/>
          <w:kern w:val="28"/>
          <w:szCs w:val="24"/>
          <w:lang w:val="en-GB"/>
        </w:rPr>
      </w:pPr>
      <w:r w:rsidRPr="00A27B79">
        <w:rPr>
          <w:rFonts w:cs="Times New Roman"/>
          <w:noProof/>
          <w:kern w:val="28"/>
          <w:szCs w:val="24"/>
          <w:lang w:val="en-GB"/>
        </w:rPr>
        <w:t xml:space="preserve">Grendstad, Gunnar, William R. Shaffer, Eric N. Waltenburg. </w:t>
      </w:r>
      <w:r w:rsidR="00064399" w:rsidRPr="00A27B79">
        <w:rPr>
          <w:rFonts w:cs="Times New Roman"/>
          <w:szCs w:val="24"/>
          <w:lang w:val="en-GB"/>
        </w:rPr>
        <w:t>2011. “</w:t>
      </w:r>
      <w:r w:rsidRPr="00A27B79">
        <w:rPr>
          <w:rFonts w:cs="Times New Roman"/>
          <w:szCs w:val="24"/>
          <w:lang w:val="en-GB"/>
        </w:rPr>
        <w:t xml:space="preserve">When Justices Disagree: The Influence of Ideology and Geography on Economic Voting on the Norwegian Supreme Court.” </w:t>
      </w:r>
      <w:proofErr w:type="spellStart"/>
      <w:r w:rsidRPr="00A27B79">
        <w:rPr>
          <w:rFonts w:cs="Times New Roman"/>
          <w:i/>
          <w:szCs w:val="24"/>
          <w:lang w:val="en-GB"/>
        </w:rPr>
        <w:t>Retfærd</w:t>
      </w:r>
      <w:proofErr w:type="spellEnd"/>
      <w:r w:rsidRPr="00A27B79">
        <w:rPr>
          <w:rFonts w:cs="Times New Roman"/>
          <w:szCs w:val="24"/>
          <w:lang w:val="en-GB"/>
        </w:rPr>
        <w:t xml:space="preserve"> 34:3-22.</w:t>
      </w:r>
    </w:p>
    <w:p w14:paraId="091AD73F" w14:textId="77777777" w:rsidR="002D2F01" w:rsidRPr="00A27B79" w:rsidRDefault="002D2F01" w:rsidP="00E144BE">
      <w:pPr>
        <w:spacing w:line="240" w:lineRule="auto"/>
        <w:ind w:left="720" w:hanging="720"/>
        <w:rPr>
          <w:rFonts w:cs="Times New Roman"/>
          <w:noProof/>
          <w:kern w:val="28"/>
          <w:szCs w:val="24"/>
          <w:lang w:val="en-GB"/>
        </w:rPr>
      </w:pPr>
    </w:p>
    <w:p w14:paraId="65C03000" w14:textId="00AA9D0D" w:rsidR="009624A5" w:rsidRPr="00A27B79" w:rsidRDefault="009624A5" w:rsidP="00E144BE">
      <w:pPr>
        <w:spacing w:line="240" w:lineRule="auto"/>
        <w:ind w:left="720" w:hanging="720"/>
        <w:rPr>
          <w:rFonts w:cs="Times New Roman"/>
          <w:noProof/>
          <w:kern w:val="28"/>
          <w:szCs w:val="24"/>
          <w:lang w:val="en-GB"/>
        </w:rPr>
      </w:pPr>
      <w:proofErr w:type="spellStart"/>
      <w:r w:rsidRPr="00A27B79">
        <w:rPr>
          <w:rFonts w:cs="Times New Roman"/>
          <w:szCs w:val="24"/>
        </w:rPr>
        <w:t>Grendstad</w:t>
      </w:r>
      <w:proofErr w:type="spellEnd"/>
      <w:r w:rsidRPr="00A27B79">
        <w:rPr>
          <w:rFonts w:cs="Times New Roman"/>
          <w:szCs w:val="24"/>
        </w:rPr>
        <w:t>, Gunnar, William R. Shaff</w:t>
      </w:r>
      <w:r w:rsidR="00064399" w:rsidRPr="00A27B79">
        <w:rPr>
          <w:rFonts w:cs="Times New Roman"/>
          <w:szCs w:val="24"/>
        </w:rPr>
        <w:t xml:space="preserve">er and Eric N. </w:t>
      </w:r>
      <w:proofErr w:type="spellStart"/>
      <w:r w:rsidR="00064399" w:rsidRPr="00A27B79">
        <w:rPr>
          <w:rFonts w:cs="Times New Roman"/>
          <w:szCs w:val="24"/>
        </w:rPr>
        <w:t>Waltenburg</w:t>
      </w:r>
      <w:proofErr w:type="spellEnd"/>
      <w:r w:rsidR="00064399" w:rsidRPr="00A27B79">
        <w:rPr>
          <w:rFonts w:cs="Times New Roman"/>
          <w:szCs w:val="24"/>
        </w:rPr>
        <w:t>. 2015</w:t>
      </w:r>
      <w:r w:rsidR="00DA571E">
        <w:rPr>
          <w:rFonts w:cs="Times New Roman"/>
          <w:szCs w:val="24"/>
        </w:rPr>
        <w:t xml:space="preserve">. </w:t>
      </w:r>
      <w:r w:rsidRPr="00A27B79">
        <w:rPr>
          <w:rFonts w:cs="Times New Roman"/>
          <w:bCs/>
          <w:i/>
          <w:szCs w:val="24"/>
        </w:rPr>
        <w:t>Policy Making in an Independent Judiciary: The Norwegian Supreme Court</w:t>
      </w:r>
      <w:r w:rsidRPr="00A27B79">
        <w:rPr>
          <w:rFonts w:cs="Times New Roman"/>
          <w:bCs/>
          <w:szCs w:val="24"/>
        </w:rPr>
        <w:t xml:space="preserve">. </w:t>
      </w:r>
      <w:r w:rsidRPr="00A27B79">
        <w:rPr>
          <w:rFonts w:cs="Times New Roman"/>
          <w:szCs w:val="24"/>
        </w:rPr>
        <w:t xml:space="preserve">European Consortium for Political Research Press. Essex: </w:t>
      </w:r>
      <w:r w:rsidR="00064399" w:rsidRPr="00A27B79">
        <w:rPr>
          <w:rFonts w:cs="Times New Roman"/>
          <w:szCs w:val="24"/>
        </w:rPr>
        <w:t>University of Essex</w:t>
      </w:r>
      <w:r w:rsidRPr="00A27B79">
        <w:rPr>
          <w:rFonts w:cs="Times New Roman"/>
          <w:szCs w:val="24"/>
        </w:rPr>
        <w:t>.</w:t>
      </w:r>
    </w:p>
    <w:p w14:paraId="18FE5EF9" w14:textId="77777777" w:rsidR="009624A5" w:rsidRPr="00A27B79" w:rsidRDefault="009624A5" w:rsidP="00E144BE">
      <w:pPr>
        <w:spacing w:line="240" w:lineRule="auto"/>
        <w:ind w:left="720" w:hanging="720"/>
        <w:rPr>
          <w:rFonts w:cs="Times New Roman"/>
          <w:noProof/>
          <w:szCs w:val="24"/>
        </w:rPr>
      </w:pPr>
    </w:p>
    <w:p w14:paraId="718E2A4E" w14:textId="77777777" w:rsidR="00A532E3" w:rsidRPr="00A27B79" w:rsidRDefault="00A532E3" w:rsidP="00E144BE">
      <w:pPr>
        <w:spacing w:line="240" w:lineRule="auto"/>
        <w:ind w:left="720" w:hanging="720"/>
        <w:rPr>
          <w:rFonts w:cs="Times New Roman"/>
          <w:noProof/>
          <w:szCs w:val="24"/>
        </w:rPr>
      </w:pPr>
      <w:r w:rsidRPr="00A27B79">
        <w:rPr>
          <w:rFonts w:cs="Times New Roman"/>
          <w:noProof/>
          <w:szCs w:val="24"/>
        </w:rPr>
        <w:t>Hanr</w:t>
      </w:r>
      <w:r w:rsidR="00E82A45" w:rsidRPr="00A27B79">
        <w:rPr>
          <w:rFonts w:cs="Times New Roman"/>
          <w:noProof/>
          <w:szCs w:val="24"/>
        </w:rPr>
        <w:t>e</w:t>
      </w:r>
      <w:r w:rsidRPr="00A27B79">
        <w:rPr>
          <w:rFonts w:cs="Times New Roman"/>
          <w:noProof/>
          <w:szCs w:val="24"/>
        </w:rPr>
        <w:t xml:space="preserve">tty, Chris. </w:t>
      </w:r>
      <w:r w:rsidR="00642EDB" w:rsidRPr="00A27B79">
        <w:rPr>
          <w:rFonts w:cs="Times New Roman"/>
          <w:noProof/>
          <w:szCs w:val="24"/>
        </w:rPr>
        <w:t>2012</w:t>
      </w:r>
      <w:r w:rsidRPr="00A27B79">
        <w:rPr>
          <w:rFonts w:cs="Times New Roman"/>
          <w:noProof/>
          <w:szCs w:val="24"/>
        </w:rPr>
        <w:t xml:space="preserve">. </w:t>
      </w:r>
      <w:r w:rsidR="00642EDB" w:rsidRPr="00A27B79">
        <w:t xml:space="preserve">"Dissent in Iberia: The ideal points of justices on the Spanish and Portuguese Constitutional Tribunals." </w:t>
      </w:r>
      <w:r w:rsidR="00642EDB" w:rsidRPr="00A27B79">
        <w:rPr>
          <w:i/>
          <w:iCs/>
        </w:rPr>
        <w:t>European Journal of Political Research</w:t>
      </w:r>
      <w:r w:rsidR="00642EDB" w:rsidRPr="00A27B79">
        <w:t xml:space="preserve"> 51 (5):671-92.</w:t>
      </w:r>
    </w:p>
    <w:p w14:paraId="75F9E6D9" w14:textId="77777777" w:rsidR="00A532E3" w:rsidRPr="00A27B79" w:rsidRDefault="00A532E3" w:rsidP="00E144BE">
      <w:pPr>
        <w:spacing w:line="240" w:lineRule="auto"/>
        <w:ind w:left="720" w:hanging="720"/>
        <w:rPr>
          <w:rFonts w:cs="Times New Roman"/>
          <w:noProof/>
          <w:szCs w:val="24"/>
        </w:rPr>
      </w:pPr>
    </w:p>
    <w:p w14:paraId="0F19FE0F" w14:textId="77777777" w:rsidR="0095367B" w:rsidRPr="00A27B79" w:rsidRDefault="0095367B" w:rsidP="00E144BE">
      <w:pPr>
        <w:spacing w:line="240" w:lineRule="auto"/>
        <w:ind w:left="720" w:hanging="720"/>
        <w:rPr>
          <w:rFonts w:cs="Times New Roman"/>
          <w:noProof/>
          <w:szCs w:val="24"/>
          <w:lang w:val="nb-NO"/>
        </w:rPr>
      </w:pPr>
      <w:r w:rsidRPr="00A27B79">
        <w:rPr>
          <w:rFonts w:cs="Times New Roman"/>
          <w:noProof/>
          <w:szCs w:val="24"/>
        </w:rPr>
        <w:t xml:space="preserve">Hönnige, Christoph. 2009. “The Electoral Connection: How the Pivotal Judge Affects Oppositional Success at European Constitutional Courts. ” </w:t>
      </w:r>
      <w:r w:rsidRPr="00A27B79">
        <w:rPr>
          <w:rFonts w:cs="Times New Roman"/>
          <w:i/>
          <w:noProof/>
          <w:szCs w:val="24"/>
          <w:lang w:val="nb-NO"/>
        </w:rPr>
        <w:t>West European Politics</w:t>
      </w:r>
      <w:r w:rsidRPr="00A27B79">
        <w:rPr>
          <w:rFonts w:cs="Times New Roman"/>
          <w:noProof/>
          <w:szCs w:val="24"/>
          <w:lang w:val="nb-NO"/>
        </w:rPr>
        <w:t xml:space="preserve"> 32:963-984)</w:t>
      </w:r>
    </w:p>
    <w:p w14:paraId="7334363A" w14:textId="77777777" w:rsidR="00E82A45" w:rsidRPr="00A27B79" w:rsidRDefault="00E82A45" w:rsidP="00E144BE">
      <w:pPr>
        <w:spacing w:line="240" w:lineRule="auto"/>
        <w:ind w:left="720" w:hanging="720"/>
        <w:rPr>
          <w:rFonts w:cs="Times New Roman"/>
          <w:noProof/>
          <w:szCs w:val="24"/>
          <w:lang w:val="nb-NO"/>
        </w:rPr>
      </w:pPr>
    </w:p>
    <w:p w14:paraId="3511326D" w14:textId="77777777" w:rsidR="004E367B" w:rsidRPr="00A27B79" w:rsidRDefault="004E367B" w:rsidP="00E144BE">
      <w:pPr>
        <w:autoSpaceDE w:val="0"/>
        <w:autoSpaceDN w:val="0"/>
        <w:adjustRightInd w:val="0"/>
        <w:spacing w:line="240" w:lineRule="auto"/>
        <w:ind w:left="720" w:hanging="720"/>
        <w:rPr>
          <w:rFonts w:cs="Times New Roman"/>
          <w:szCs w:val="24"/>
          <w:lang w:val="nb-NO"/>
        </w:rPr>
      </w:pPr>
      <w:r w:rsidRPr="00A27B79">
        <w:rPr>
          <w:rFonts w:cs="Times New Roman"/>
          <w:bCs/>
          <w:szCs w:val="24"/>
          <w:lang w:val="nb-NO"/>
        </w:rPr>
        <w:t xml:space="preserve">Innstillingsrådet, 2012. </w:t>
      </w:r>
      <w:r w:rsidRPr="00A27B79">
        <w:rPr>
          <w:rFonts w:cs="Times New Roman"/>
          <w:bCs/>
          <w:i/>
          <w:szCs w:val="24"/>
          <w:lang w:val="nb-NO"/>
        </w:rPr>
        <w:t>Innstillingsrådets Praksis-/PolicyNotat</w:t>
      </w:r>
      <w:r w:rsidRPr="00A27B79">
        <w:rPr>
          <w:rFonts w:cs="Times New Roman"/>
          <w:bCs/>
          <w:szCs w:val="24"/>
          <w:lang w:val="nb-NO"/>
        </w:rPr>
        <w:t xml:space="preserve"> (</w:t>
      </w:r>
      <w:hyperlink r:id="rId15" w:history="1">
        <w:r w:rsidRPr="00A27B79">
          <w:rPr>
            <w:rStyle w:val="Hyperlink"/>
            <w:rFonts w:cs="Times New Roman"/>
            <w:bCs/>
            <w:color w:val="auto"/>
            <w:szCs w:val="24"/>
            <w:lang w:val="nb-NO"/>
          </w:rPr>
          <w:t>http://www.domstol.no/upload/DA/Internett/Innstillingsr%C3%A5det/Dokumenter/PP-notat_jan_2011.pdf</w:t>
        </w:r>
      </w:hyperlink>
      <w:r w:rsidRPr="00A27B79">
        <w:rPr>
          <w:rFonts w:cs="Times New Roman"/>
          <w:bCs/>
          <w:szCs w:val="24"/>
          <w:lang w:val="nb-NO"/>
        </w:rPr>
        <w:t>)</w:t>
      </w:r>
    </w:p>
    <w:p w14:paraId="6FC8540A" w14:textId="77777777" w:rsidR="00E82A45" w:rsidRPr="00A27B79" w:rsidRDefault="00E82A45" w:rsidP="00E144BE">
      <w:pPr>
        <w:spacing w:line="240" w:lineRule="auto"/>
        <w:ind w:left="720" w:hanging="720"/>
        <w:rPr>
          <w:rFonts w:cs="Times New Roman"/>
          <w:noProof/>
          <w:szCs w:val="24"/>
          <w:lang w:val="nb-NO"/>
        </w:rPr>
      </w:pPr>
    </w:p>
    <w:p w14:paraId="734CF8AB" w14:textId="77777777" w:rsidR="00F32FF5" w:rsidRPr="00A27B79" w:rsidRDefault="00F32FF5" w:rsidP="00E144BE">
      <w:pPr>
        <w:spacing w:line="240" w:lineRule="auto"/>
        <w:ind w:left="720" w:hanging="720"/>
        <w:rPr>
          <w:rFonts w:cs="Times New Roman"/>
          <w:noProof/>
          <w:szCs w:val="24"/>
        </w:rPr>
      </w:pPr>
      <w:r w:rsidRPr="00A27B79">
        <w:rPr>
          <w:rFonts w:cs="Times New Roman"/>
          <w:noProof/>
          <w:szCs w:val="24"/>
        </w:rPr>
        <w:t xml:space="preserve">Hays, William L. and Robert L. Winkler. 1970. </w:t>
      </w:r>
      <w:r w:rsidRPr="00A27B79">
        <w:rPr>
          <w:rFonts w:cs="Times New Roman"/>
          <w:i/>
          <w:noProof/>
          <w:szCs w:val="24"/>
        </w:rPr>
        <w:t>Statistics Volume II: Probabiliy, Unference and Decision</w:t>
      </w:r>
      <w:r w:rsidRPr="00A27B79">
        <w:rPr>
          <w:rFonts w:cs="Times New Roman"/>
          <w:noProof/>
          <w:szCs w:val="24"/>
        </w:rPr>
        <w:t>. New York: Holt, Rinehart and Winston, Inc.</w:t>
      </w:r>
    </w:p>
    <w:p w14:paraId="6AECADD5" w14:textId="77777777" w:rsidR="00F32FF5" w:rsidRPr="00A27B79" w:rsidRDefault="00F32FF5" w:rsidP="00E144BE">
      <w:pPr>
        <w:spacing w:line="240" w:lineRule="auto"/>
        <w:ind w:left="720" w:hanging="720"/>
        <w:rPr>
          <w:rFonts w:cs="Times New Roman"/>
          <w:noProof/>
          <w:szCs w:val="24"/>
        </w:rPr>
      </w:pPr>
    </w:p>
    <w:p w14:paraId="14D5AC02" w14:textId="77777777" w:rsidR="007636C8" w:rsidRPr="00A27B79" w:rsidRDefault="007636C8" w:rsidP="00E144BE">
      <w:pPr>
        <w:spacing w:line="240" w:lineRule="auto"/>
        <w:ind w:left="720" w:hanging="720"/>
        <w:rPr>
          <w:rFonts w:cs="Times New Roman"/>
          <w:szCs w:val="24"/>
          <w:lang w:val="nb-NO"/>
        </w:rPr>
      </w:pPr>
      <w:r w:rsidRPr="00A27B79">
        <w:rPr>
          <w:rFonts w:cs="Times New Roman"/>
          <w:szCs w:val="24"/>
        </w:rPr>
        <w:t xml:space="preserve">Kisen, </w:t>
      </w:r>
      <w:proofErr w:type="spellStart"/>
      <w:r w:rsidRPr="00A27B79">
        <w:rPr>
          <w:rFonts w:cs="Times New Roman"/>
          <w:szCs w:val="24"/>
        </w:rPr>
        <w:t>Ragnhild</w:t>
      </w:r>
      <w:proofErr w:type="spellEnd"/>
      <w:r w:rsidRPr="00A27B79">
        <w:rPr>
          <w:rFonts w:cs="Times New Roman"/>
          <w:szCs w:val="24"/>
        </w:rPr>
        <w:t xml:space="preserve">. 3014. </w:t>
      </w:r>
      <w:proofErr w:type="spellStart"/>
      <w:r w:rsidRPr="00A27B79">
        <w:rPr>
          <w:rFonts w:cs="Times New Roman"/>
          <w:i/>
          <w:szCs w:val="24"/>
        </w:rPr>
        <w:t>Felles</w:t>
      </w:r>
      <w:proofErr w:type="spellEnd"/>
      <w:r w:rsidRPr="00A27B79">
        <w:rPr>
          <w:rFonts w:cs="Times New Roman"/>
          <w:i/>
          <w:szCs w:val="24"/>
        </w:rPr>
        <w:t xml:space="preserve"> </w:t>
      </w:r>
      <w:proofErr w:type="spellStart"/>
      <w:r w:rsidRPr="00A27B79">
        <w:rPr>
          <w:rFonts w:cs="Times New Roman"/>
          <w:i/>
          <w:szCs w:val="24"/>
        </w:rPr>
        <w:t>makt</w:t>
      </w:r>
      <w:proofErr w:type="spellEnd"/>
      <w:r w:rsidRPr="00A27B79">
        <w:rPr>
          <w:rFonts w:cs="Times New Roman"/>
          <w:i/>
          <w:szCs w:val="24"/>
        </w:rPr>
        <w:t>—</w:t>
      </w:r>
      <w:proofErr w:type="spellStart"/>
      <w:r w:rsidRPr="00A27B79">
        <w:rPr>
          <w:rFonts w:cs="Times New Roman"/>
          <w:i/>
          <w:szCs w:val="24"/>
        </w:rPr>
        <w:t>felles</w:t>
      </w:r>
      <w:proofErr w:type="spellEnd"/>
      <w:r w:rsidRPr="00A27B79">
        <w:rPr>
          <w:rFonts w:cs="Times New Roman"/>
          <w:i/>
          <w:szCs w:val="24"/>
        </w:rPr>
        <w:t xml:space="preserve"> ideology</w:t>
      </w:r>
      <w:r w:rsidR="002452ED" w:rsidRPr="00A27B79">
        <w:rPr>
          <w:rFonts w:cs="Times New Roman"/>
          <w:i/>
          <w:szCs w:val="24"/>
        </w:rPr>
        <w:t xml:space="preserve">? </w:t>
      </w:r>
      <w:r w:rsidR="00205228" w:rsidRPr="00A27B79">
        <w:rPr>
          <w:lang w:val="nb-NO"/>
        </w:rPr>
        <w:t xml:space="preserve">En sammenlikning av lovgivning i Stortinget og rettsutvikling i Høyesterett mellom 1976 og 2013. </w:t>
      </w:r>
      <w:r w:rsidRPr="00A27B79">
        <w:rPr>
          <w:rFonts w:cs="Times New Roman"/>
          <w:szCs w:val="24"/>
          <w:lang w:val="nb-NO"/>
        </w:rPr>
        <w:t>Bergen, Norway: University of Bergen.</w:t>
      </w:r>
    </w:p>
    <w:p w14:paraId="6434844B" w14:textId="77777777" w:rsidR="007636C8" w:rsidRPr="00A27B79" w:rsidRDefault="007636C8" w:rsidP="000A40B2">
      <w:pPr>
        <w:spacing w:line="240" w:lineRule="auto"/>
        <w:ind w:left="720" w:hanging="720"/>
        <w:rPr>
          <w:rFonts w:cs="Times New Roman"/>
          <w:szCs w:val="24"/>
          <w:lang w:val="nb-NO"/>
        </w:rPr>
      </w:pPr>
    </w:p>
    <w:p w14:paraId="4DC41A98" w14:textId="77777777" w:rsidR="007636C8" w:rsidRPr="00A27B79" w:rsidRDefault="007636C8" w:rsidP="000A40B2">
      <w:pPr>
        <w:spacing w:line="240" w:lineRule="auto"/>
        <w:ind w:left="720" w:hanging="720"/>
        <w:rPr>
          <w:rFonts w:cs="Times New Roman"/>
          <w:noProof/>
          <w:kern w:val="28"/>
          <w:szCs w:val="24"/>
          <w:lang w:val="nb-NO"/>
        </w:rPr>
      </w:pPr>
      <w:r w:rsidRPr="00A27B79">
        <w:rPr>
          <w:rFonts w:eastAsia="Calibri" w:cs="Times New Roman"/>
          <w:szCs w:val="24"/>
          <w:lang w:val="nb-NO"/>
        </w:rPr>
        <w:t xml:space="preserve">Kjønstad, Asbjørn. 1999. “Er Høyestrett statsvennlig?,” </w:t>
      </w:r>
      <w:r w:rsidRPr="00A27B79">
        <w:rPr>
          <w:rFonts w:eastAsia="Calibri" w:cs="Times New Roman"/>
          <w:i/>
          <w:iCs/>
          <w:szCs w:val="24"/>
          <w:lang w:val="nb-NO"/>
        </w:rPr>
        <w:t xml:space="preserve">Lov og Rett </w:t>
      </w:r>
      <w:r w:rsidRPr="00A27B79">
        <w:rPr>
          <w:rFonts w:eastAsia="Calibri" w:cs="Times New Roman"/>
          <w:szCs w:val="24"/>
          <w:lang w:val="nb-NO"/>
        </w:rPr>
        <w:t>97–122.</w:t>
      </w:r>
    </w:p>
    <w:p w14:paraId="773D21E4" w14:textId="77777777" w:rsidR="007636C8" w:rsidRPr="00A27B79" w:rsidRDefault="007636C8" w:rsidP="000A40B2">
      <w:pPr>
        <w:spacing w:line="240" w:lineRule="auto"/>
        <w:ind w:left="720" w:hanging="720"/>
        <w:rPr>
          <w:rFonts w:cs="Times New Roman"/>
          <w:noProof/>
          <w:kern w:val="28"/>
          <w:szCs w:val="24"/>
          <w:lang w:val="nb-NO"/>
        </w:rPr>
      </w:pPr>
    </w:p>
    <w:p w14:paraId="7F4A1E83" w14:textId="77777777" w:rsidR="007636C8" w:rsidRPr="00A27B79" w:rsidRDefault="007636C8" w:rsidP="00E144BE">
      <w:pPr>
        <w:spacing w:line="240" w:lineRule="auto"/>
        <w:ind w:left="720" w:hanging="720"/>
        <w:rPr>
          <w:rFonts w:cs="Times New Roman"/>
          <w:szCs w:val="24"/>
        </w:rPr>
      </w:pPr>
      <w:r w:rsidRPr="00A27B79">
        <w:rPr>
          <w:rFonts w:cs="Times New Roman"/>
          <w:szCs w:val="24"/>
          <w:lang w:val="de-DE"/>
        </w:rPr>
        <w:t xml:space="preserve">Kritzer, Herbert M. And Mark J. Richards. </w:t>
      </w:r>
      <w:r w:rsidRPr="00A27B79">
        <w:rPr>
          <w:rFonts w:cs="Times New Roman"/>
          <w:szCs w:val="24"/>
        </w:rPr>
        <w:t xml:space="preserve">2005. “The Influence of Law in the Supreme Court’s Search and Seizure Jurisprudence.” </w:t>
      </w:r>
      <w:r w:rsidRPr="00A27B79">
        <w:rPr>
          <w:rFonts w:cs="Times New Roman"/>
          <w:i/>
          <w:szCs w:val="24"/>
        </w:rPr>
        <w:t>American Politics Research</w:t>
      </w:r>
      <w:r w:rsidRPr="00A27B79">
        <w:rPr>
          <w:rFonts w:cs="Times New Roman"/>
          <w:szCs w:val="24"/>
        </w:rPr>
        <w:t xml:space="preserve"> 33:33-55.</w:t>
      </w:r>
    </w:p>
    <w:p w14:paraId="59817D00" w14:textId="77777777" w:rsidR="002D2F01" w:rsidRPr="00A27B79" w:rsidRDefault="002D2F01" w:rsidP="000A40B2">
      <w:pPr>
        <w:spacing w:line="240" w:lineRule="auto"/>
        <w:ind w:left="720" w:hanging="720"/>
        <w:rPr>
          <w:rFonts w:cs="Times New Roman"/>
          <w:noProof/>
          <w:kern w:val="28"/>
          <w:szCs w:val="24"/>
          <w:lang w:val="en-GB"/>
        </w:rPr>
      </w:pPr>
    </w:p>
    <w:p w14:paraId="7DA559DF" w14:textId="7A5055EA" w:rsidR="001E1C4D" w:rsidRPr="00A27B79" w:rsidRDefault="001E1C4D" w:rsidP="000A40B2">
      <w:pPr>
        <w:spacing w:line="240" w:lineRule="auto"/>
        <w:ind w:left="720" w:hanging="720"/>
        <w:rPr>
          <w:rFonts w:cs="Times New Roman"/>
          <w:szCs w:val="24"/>
        </w:rPr>
      </w:pPr>
      <w:r w:rsidRPr="00A27B79">
        <w:rPr>
          <w:rFonts w:cs="Times New Roman"/>
          <w:szCs w:val="24"/>
        </w:rPr>
        <w:t xml:space="preserve">Lewis, Earl and Nancy Cantor, eds. 2016. </w:t>
      </w:r>
      <w:r w:rsidRPr="00A27B79">
        <w:rPr>
          <w:rFonts w:cs="Times New Roman"/>
          <w:i/>
          <w:szCs w:val="24"/>
        </w:rPr>
        <w:t>Our Compelling Interests: The Value of Diversity for Democracy and a Prosperous Society</w:t>
      </w:r>
      <w:r w:rsidRPr="00A27B79">
        <w:rPr>
          <w:rFonts w:cs="Times New Roman"/>
          <w:szCs w:val="24"/>
        </w:rPr>
        <w:t>. Princeton, NJ: Princeton University Press.</w:t>
      </w:r>
    </w:p>
    <w:p w14:paraId="4B75C742" w14:textId="77777777" w:rsidR="001E1C4D" w:rsidRPr="00A27B79" w:rsidRDefault="001E1C4D" w:rsidP="000A40B2">
      <w:pPr>
        <w:spacing w:line="240" w:lineRule="auto"/>
        <w:ind w:left="720" w:hanging="720"/>
        <w:rPr>
          <w:rFonts w:cs="Times New Roman"/>
          <w:noProof/>
          <w:kern w:val="28"/>
          <w:szCs w:val="24"/>
          <w:lang w:val="en-GB"/>
        </w:rPr>
      </w:pPr>
    </w:p>
    <w:p w14:paraId="7E17D4A6" w14:textId="61D9284B" w:rsidR="008D77E8" w:rsidRPr="00A27B79" w:rsidRDefault="008D77E8" w:rsidP="000A40B2">
      <w:pPr>
        <w:spacing w:line="240" w:lineRule="auto"/>
        <w:ind w:left="720" w:hanging="720"/>
      </w:pPr>
      <w:proofErr w:type="spellStart"/>
      <w:r w:rsidRPr="00A27B79">
        <w:t>Lipset</w:t>
      </w:r>
      <w:proofErr w:type="spellEnd"/>
      <w:r w:rsidRPr="00A27B79">
        <w:t xml:space="preserve">, Seymour Martin and Stein </w:t>
      </w:r>
      <w:proofErr w:type="spellStart"/>
      <w:r w:rsidRPr="00A27B79">
        <w:t>Rokkan</w:t>
      </w:r>
      <w:proofErr w:type="spellEnd"/>
      <w:r w:rsidRPr="00A27B79">
        <w:t xml:space="preserve">. 1967. </w:t>
      </w:r>
      <w:r w:rsidRPr="00A27B79">
        <w:rPr>
          <w:i/>
        </w:rPr>
        <w:t>Party Systems and Voter Alignments</w:t>
      </w:r>
      <w:r w:rsidRPr="00A27B79">
        <w:t>. New York: Free Press.</w:t>
      </w:r>
    </w:p>
    <w:p w14:paraId="7345D1A0" w14:textId="77777777" w:rsidR="008D77E8" w:rsidRPr="00A27B79" w:rsidRDefault="008D77E8" w:rsidP="000A40B2">
      <w:pPr>
        <w:spacing w:line="240" w:lineRule="auto"/>
        <w:ind w:left="720" w:hanging="720"/>
        <w:rPr>
          <w:rFonts w:cs="Times New Roman"/>
          <w:noProof/>
          <w:kern w:val="28"/>
          <w:szCs w:val="24"/>
          <w:lang w:val="en-GB"/>
        </w:rPr>
      </w:pPr>
    </w:p>
    <w:p w14:paraId="5887CFF3" w14:textId="77777777" w:rsidR="00530AFF" w:rsidRPr="00A27B79" w:rsidRDefault="00530AFF" w:rsidP="00E144BE">
      <w:pPr>
        <w:spacing w:line="240" w:lineRule="auto"/>
        <w:ind w:left="720" w:hanging="720"/>
        <w:rPr>
          <w:rFonts w:cs="Times New Roman"/>
          <w:szCs w:val="24"/>
        </w:rPr>
      </w:pPr>
      <w:proofErr w:type="spellStart"/>
      <w:r w:rsidRPr="00A27B79">
        <w:rPr>
          <w:rFonts w:cs="Times New Roman"/>
          <w:szCs w:val="24"/>
        </w:rPr>
        <w:t>Magalhaes</w:t>
      </w:r>
      <w:proofErr w:type="spellEnd"/>
      <w:r w:rsidRPr="00A27B79">
        <w:rPr>
          <w:rFonts w:cs="Times New Roman"/>
          <w:szCs w:val="24"/>
        </w:rPr>
        <w:t xml:space="preserve">, Pedro C. 2003. </w:t>
      </w:r>
      <w:r w:rsidR="00A532E3" w:rsidRPr="00A27B79">
        <w:rPr>
          <w:rFonts w:cs="Times New Roman"/>
          <w:szCs w:val="24"/>
        </w:rPr>
        <w:t>“</w:t>
      </w:r>
      <w:r w:rsidRPr="00A27B79">
        <w:rPr>
          <w:rFonts w:cs="Times New Roman"/>
          <w:szCs w:val="24"/>
        </w:rPr>
        <w:t xml:space="preserve">The limits of judicialization: legislative politics and constitutional </w:t>
      </w:r>
      <w:r w:rsidR="00A532E3" w:rsidRPr="00A27B79">
        <w:rPr>
          <w:rFonts w:cs="Times New Roman"/>
          <w:szCs w:val="24"/>
        </w:rPr>
        <w:t>r</w:t>
      </w:r>
      <w:r w:rsidRPr="00A27B79">
        <w:rPr>
          <w:rFonts w:cs="Times New Roman"/>
          <w:szCs w:val="24"/>
        </w:rPr>
        <w:t>eview</w:t>
      </w:r>
      <w:r w:rsidR="00A532E3" w:rsidRPr="00A27B79">
        <w:rPr>
          <w:rFonts w:cs="Times New Roman"/>
          <w:szCs w:val="24"/>
        </w:rPr>
        <w:t xml:space="preserve"> </w:t>
      </w:r>
      <w:r w:rsidRPr="00A27B79">
        <w:rPr>
          <w:rFonts w:cs="Times New Roman"/>
          <w:szCs w:val="24"/>
        </w:rPr>
        <w:t>in the Iberian Democracy,</w:t>
      </w:r>
      <w:r w:rsidR="00A532E3" w:rsidRPr="00A27B79">
        <w:rPr>
          <w:rFonts w:cs="Times New Roman"/>
          <w:szCs w:val="24"/>
        </w:rPr>
        <w:t>”</w:t>
      </w:r>
      <w:r w:rsidRPr="00A27B79">
        <w:rPr>
          <w:rFonts w:cs="Times New Roman"/>
          <w:szCs w:val="24"/>
        </w:rPr>
        <w:t xml:space="preserve"> The Ohio State University</w:t>
      </w:r>
      <w:r w:rsidR="00A532E3" w:rsidRPr="00A27B79">
        <w:rPr>
          <w:rFonts w:cs="Times New Roman"/>
          <w:szCs w:val="24"/>
        </w:rPr>
        <w:t>, Columbus, OH.</w:t>
      </w:r>
    </w:p>
    <w:p w14:paraId="6D417B9C" w14:textId="77777777" w:rsidR="00F7530A" w:rsidRDefault="00F7530A" w:rsidP="000A40B2">
      <w:pPr>
        <w:spacing w:line="240" w:lineRule="auto"/>
        <w:ind w:left="720" w:hanging="720"/>
        <w:rPr>
          <w:rFonts w:cs="Times New Roman"/>
          <w:noProof/>
          <w:kern w:val="28"/>
          <w:szCs w:val="24"/>
          <w:lang w:val="en-GB"/>
        </w:rPr>
      </w:pPr>
    </w:p>
    <w:p w14:paraId="38B7A20D" w14:textId="77777777" w:rsidR="00E82A45" w:rsidRPr="00A27B79" w:rsidRDefault="00E82A45" w:rsidP="00E144BE">
      <w:pPr>
        <w:spacing w:line="240" w:lineRule="auto"/>
        <w:ind w:left="720" w:hanging="720"/>
      </w:pPr>
      <w:r w:rsidRPr="00A27B79">
        <w:t>The Norwegian Supreme Court (2015) (</w:t>
      </w:r>
      <w:hyperlink r:id="rId16" w:history="1">
        <w:r w:rsidRPr="00A27B79">
          <w:rPr>
            <w:rStyle w:val="Hyperlink"/>
            <w:rFonts w:cs="Times New Roman"/>
            <w:szCs w:val="24"/>
          </w:rPr>
          <w:t>http://www.domstol.no/no/Enkelt-domstol/-Norges-Hoyesterett/Om-Hoyesterett/Personalia/</w:t>
        </w:r>
      </w:hyperlink>
      <w:r w:rsidRPr="00A27B79">
        <w:rPr>
          <w:u w:val="single"/>
        </w:rPr>
        <w:t xml:space="preserve"> (Accessed March 10, 2015)</w:t>
      </w:r>
    </w:p>
    <w:p w14:paraId="77D0ABF4" w14:textId="77777777" w:rsidR="00E82A45" w:rsidRPr="00A27B79" w:rsidRDefault="00E82A45" w:rsidP="000A40B2">
      <w:pPr>
        <w:spacing w:line="240" w:lineRule="auto"/>
        <w:ind w:left="720" w:hanging="720"/>
        <w:rPr>
          <w:rFonts w:cs="Times New Roman"/>
          <w:noProof/>
          <w:kern w:val="28"/>
          <w:szCs w:val="24"/>
          <w:lang w:val="en-GB"/>
        </w:rPr>
      </w:pPr>
    </w:p>
    <w:p w14:paraId="0CDD6C38" w14:textId="0933A7C4" w:rsidR="00E56210" w:rsidRPr="00A27B79" w:rsidRDefault="00E56210" w:rsidP="000A40B2">
      <w:pPr>
        <w:spacing w:line="240" w:lineRule="auto"/>
        <w:ind w:left="720" w:hanging="720"/>
        <w:rPr>
          <w:rFonts w:cs="Times New Roman"/>
          <w:color w:val="000000"/>
          <w:szCs w:val="24"/>
        </w:rPr>
      </w:pPr>
      <w:proofErr w:type="spellStart"/>
      <w:r w:rsidRPr="00A27B79">
        <w:rPr>
          <w:rFonts w:cs="Times New Roman"/>
          <w:color w:val="000000"/>
          <w:szCs w:val="24"/>
        </w:rPr>
        <w:t>Peresie</w:t>
      </w:r>
      <w:proofErr w:type="spellEnd"/>
      <w:r w:rsidRPr="00A27B79">
        <w:rPr>
          <w:rFonts w:cs="Times New Roman"/>
          <w:color w:val="000000"/>
          <w:szCs w:val="24"/>
        </w:rPr>
        <w:t>, Jennifer L. 2005. “Female Judges Matter: Gender and Collegial Decision</w:t>
      </w:r>
      <w:r w:rsidR="00537E1E">
        <w:rPr>
          <w:rFonts w:cs="Times New Roman"/>
          <w:color w:val="000000"/>
          <w:szCs w:val="24"/>
        </w:rPr>
        <w:t xml:space="preserve"> </w:t>
      </w:r>
      <w:r w:rsidRPr="00A27B79">
        <w:rPr>
          <w:rFonts w:cs="Times New Roman"/>
          <w:color w:val="000000"/>
          <w:szCs w:val="24"/>
        </w:rPr>
        <w:t xml:space="preserve">making in the Federal Appellate Courts”, </w:t>
      </w:r>
      <w:r w:rsidRPr="00A27B79">
        <w:rPr>
          <w:rFonts w:cs="Times New Roman"/>
          <w:i/>
          <w:iCs/>
          <w:color w:val="000000"/>
          <w:szCs w:val="24"/>
        </w:rPr>
        <w:t xml:space="preserve">Yale Law Journal </w:t>
      </w:r>
      <w:r w:rsidRPr="00A27B79">
        <w:rPr>
          <w:rFonts w:cs="Times New Roman"/>
          <w:color w:val="000000"/>
          <w:szCs w:val="24"/>
        </w:rPr>
        <w:t>114 (7): 1759–1790.</w:t>
      </w:r>
    </w:p>
    <w:p w14:paraId="258D4AC1" w14:textId="77777777" w:rsidR="00E56210" w:rsidRPr="00A27B79" w:rsidRDefault="00E56210" w:rsidP="000A40B2">
      <w:pPr>
        <w:spacing w:line="240" w:lineRule="auto"/>
        <w:ind w:left="720" w:hanging="720"/>
        <w:rPr>
          <w:rFonts w:cs="Times New Roman"/>
          <w:noProof/>
          <w:kern w:val="28"/>
          <w:szCs w:val="24"/>
          <w:lang w:val="en-GB"/>
        </w:rPr>
      </w:pPr>
    </w:p>
    <w:p w14:paraId="3879A09C" w14:textId="21096335" w:rsidR="007A6776" w:rsidRPr="00A27B79" w:rsidRDefault="007A6776" w:rsidP="00E144BE">
      <w:pPr>
        <w:spacing w:line="240" w:lineRule="auto"/>
        <w:ind w:left="720" w:hanging="720"/>
        <w:rPr>
          <w:rFonts w:cs="Times New Roman"/>
          <w:noProof/>
          <w:kern w:val="28"/>
          <w:szCs w:val="24"/>
          <w:lang w:val="en-GB"/>
        </w:rPr>
      </w:pPr>
      <w:r w:rsidRPr="00A27B79">
        <w:rPr>
          <w:rFonts w:cs="Times New Roman"/>
          <w:noProof/>
          <w:kern w:val="28"/>
          <w:szCs w:val="24"/>
          <w:lang w:val="en-GB"/>
        </w:rPr>
        <w:t xml:space="preserve">Pritchett, C. Herman. 1948. </w:t>
      </w:r>
      <w:r w:rsidRPr="00A27B79">
        <w:rPr>
          <w:rFonts w:cs="Times New Roman"/>
          <w:i/>
          <w:noProof/>
          <w:kern w:val="28"/>
          <w:szCs w:val="24"/>
          <w:lang w:val="en-GB"/>
        </w:rPr>
        <w:t xml:space="preserve">The Roosevelt Court: A Study in </w:t>
      </w:r>
      <w:r w:rsidR="004D3F85">
        <w:rPr>
          <w:rFonts w:cs="Times New Roman"/>
          <w:i/>
          <w:noProof/>
          <w:kern w:val="28"/>
          <w:szCs w:val="24"/>
          <w:lang w:val="en-GB"/>
        </w:rPr>
        <w:t>J</w:t>
      </w:r>
      <w:r w:rsidRPr="00A27B79">
        <w:rPr>
          <w:rFonts w:cs="Times New Roman"/>
          <w:i/>
          <w:noProof/>
          <w:kern w:val="28"/>
          <w:szCs w:val="24"/>
          <w:lang w:val="en-GB"/>
        </w:rPr>
        <w:t>udicial</w:t>
      </w:r>
      <w:r w:rsidR="004D3F85">
        <w:rPr>
          <w:rFonts w:cs="Times New Roman"/>
          <w:i/>
          <w:noProof/>
          <w:kern w:val="28"/>
          <w:szCs w:val="24"/>
          <w:lang w:val="en-GB"/>
        </w:rPr>
        <w:t xml:space="preserve"> P</w:t>
      </w:r>
      <w:r w:rsidRPr="00A27B79">
        <w:rPr>
          <w:rFonts w:cs="Times New Roman"/>
          <w:i/>
          <w:noProof/>
          <w:kern w:val="28"/>
          <w:szCs w:val="24"/>
          <w:lang w:val="en-GB"/>
        </w:rPr>
        <w:t xml:space="preserve">olitics and </w:t>
      </w:r>
      <w:r w:rsidR="004D3F85">
        <w:rPr>
          <w:rFonts w:cs="Times New Roman"/>
          <w:i/>
          <w:noProof/>
          <w:kern w:val="28"/>
          <w:szCs w:val="24"/>
          <w:lang w:val="en-GB"/>
        </w:rPr>
        <w:t>V</w:t>
      </w:r>
      <w:r w:rsidRPr="00A27B79">
        <w:rPr>
          <w:rFonts w:cs="Times New Roman"/>
          <w:i/>
          <w:noProof/>
          <w:kern w:val="28"/>
          <w:szCs w:val="24"/>
          <w:lang w:val="en-GB"/>
        </w:rPr>
        <w:t>alues, 1937</w:t>
      </w:r>
      <w:r w:rsidR="004D3F85">
        <w:rPr>
          <w:rFonts w:cs="Times New Roman"/>
          <w:i/>
          <w:noProof/>
          <w:kern w:val="28"/>
          <w:szCs w:val="24"/>
          <w:lang w:val="en-GB"/>
        </w:rPr>
        <w:t>-</w:t>
      </w:r>
      <w:r w:rsidRPr="00A27B79">
        <w:rPr>
          <w:rFonts w:cs="Times New Roman"/>
          <w:i/>
          <w:noProof/>
          <w:kern w:val="28"/>
          <w:szCs w:val="24"/>
          <w:lang w:val="en-GB"/>
        </w:rPr>
        <w:t>1947</w:t>
      </w:r>
      <w:r w:rsidRPr="00A27B79">
        <w:rPr>
          <w:rFonts w:cs="Times New Roman"/>
          <w:noProof/>
          <w:kern w:val="28"/>
          <w:szCs w:val="24"/>
          <w:lang w:val="en-GB"/>
        </w:rPr>
        <w:t>. New York: Macmillan Co.</w:t>
      </w:r>
    </w:p>
    <w:p w14:paraId="2D1359FD" w14:textId="77777777" w:rsidR="002E2FEC" w:rsidRPr="00A27B79" w:rsidRDefault="002E2FEC" w:rsidP="000A40B2">
      <w:pPr>
        <w:spacing w:line="240" w:lineRule="auto"/>
        <w:ind w:left="720" w:hanging="720"/>
        <w:rPr>
          <w:rFonts w:cs="Times New Roman"/>
          <w:noProof/>
          <w:kern w:val="28"/>
          <w:szCs w:val="24"/>
          <w:lang w:val="en-GB"/>
        </w:rPr>
      </w:pPr>
    </w:p>
    <w:p w14:paraId="5A70062A" w14:textId="77777777" w:rsidR="00C66D49" w:rsidRPr="00A27B79" w:rsidRDefault="00C66D49" w:rsidP="00E144BE">
      <w:pPr>
        <w:spacing w:line="240" w:lineRule="auto"/>
        <w:ind w:left="720" w:hanging="720"/>
        <w:rPr>
          <w:rFonts w:cs="Times New Roman"/>
          <w:szCs w:val="24"/>
          <w:lang w:val="en-GB"/>
        </w:rPr>
      </w:pPr>
      <w:r w:rsidRPr="00A27B79">
        <w:rPr>
          <w:rFonts w:cs="Times New Roman"/>
          <w:szCs w:val="24"/>
          <w:lang w:val="en-GB"/>
        </w:rPr>
        <w:t xml:space="preserve">Richards, Mark J. and Herbert M. </w:t>
      </w:r>
      <w:proofErr w:type="spellStart"/>
      <w:r w:rsidRPr="00A27B79">
        <w:rPr>
          <w:rFonts w:cs="Times New Roman"/>
          <w:szCs w:val="24"/>
          <w:lang w:val="en-GB"/>
        </w:rPr>
        <w:t>Kritzer</w:t>
      </w:r>
      <w:proofErr w:type="spellEnd"/>
      <w:r w:rsidRPr="00A27B79">
        <w:rPr>
          <w:rFonts w:cs="Times New Roman"/>
          <w:szCs w:val="24"/>
          <w:lang w:val="en-GB"/>
        </w:rPr>
        <w:t xml:space="preserve">. 2002. “Jurisprudential Regimes in Supreme Court Decision Making.” </w:t>
      </w:r>
      <w:r w:rsidRPr="00A27B79">
        <w:rPr>
          <w:rFonts w:cs="Times New Roman"/>
          <w:i/>
          <w:szCs w:val="24"/>
          <w:lang w:val="en-GB"/>
        </w:rPr>
        <w:t>American Political Science Review</w:t>
      </w:r>
      <w:r w:rsidRPr="00A27B79">
        <w:rPr>
          <w:rFonts w:cs="Times New Roman"/>
          <w:szCs w:val="24"/>
          <w:lang w:val="en-GB"/>
        </w:rPr>
        <w:t xml:space="preserve"> 96:305-320.</w:t>
      </w:r>
    </w:p>
    <w:p w14:paraId="16A96F7F" w14:textId="77777777" w:rsidR="00C66D49" w:rsidRPr="00A27B79" w:rsidRDefault="00C66D49" w:rsidP="000A40B2">
      <w:pPr>
        <w:spacing w:line="240" w:lineRule="auto"/>
        <w:ind w:left="720" w:hanging="720"/>
        <w:rPr>
          <w:rFonts w:cs="Times New Roman"/>
          <w:noProof/>
          <w:kern w:val="28"/>
          <w:szCs w:val="24"/>
          <w:lang w:val="en-GB"/>
        </w:rPr>
      </w:pPr>
    </w:p>
    <w:p w14:paraId="7D2726BC" w14:textId="77777777" w:rsidR="00815EC3" w:rsidRPr="00A27B79" w:rsidRDefault="00815EC3" w:rsidP="00E144BE">
      <w:pPr>
        <w:spacing w:line="240" w:lineRule="auto"/>
        <w:ind w:left="720" w:hanging="720"/>
        <w:rPr>
          <w:rFonts w:cs="Times New Roman"/>
          <w:noProof/>
          <w:kern w:val="28"/>
          <w:szCs w:val="24"/>
          <w:lang w:val="en-GB"/>
        </w:rPr>
      </w:pPr>
      <w:r w:rsidRPr="00A27B79">
        <w:rPr>
          <w:rFonts w:cs="Times New Roman"/>
          <w:noProof/>
          <w:kern w:val="28"/>
          <w:szCs w:val="24"/>
          <w:lang w:val="en-GB"/>
        </w:rPr>
        <w:t xml:space="preserve">Rohde, David W. and Harold J. Spaeth. 1967. </w:t>
      </w:r>
      <w:r w:rsidRPr="00A27B79">
        <w:rPr>
          <w:rFonts w:cs="Times New Roman"/>
          <w:i/>
          <w:noProof/>
          <w:kern w:val="28"/>
          <w:szCs w:val="24"/>
          <w:lang w:val="en-GB"/>
        </w:rPr>
        <w:t>Supreme Court DecisionMaking</w:t>
      </w:r>
      <w:r w:rsidRPr="00A27B79">
        <w:rPr>
          <w:rFonts w:cs="Times New Roman"/>
          <w:noProof/>
          <w:kern w:val="28"/>
          <w:szCs w:val="24"/>
          <w:lang w:val="en-GB"/>
        </w:rPr>
        <w:t>. New York: W.H.Freeman.</w:t>
      </w:r>
    </w:p>
    <w:p w14:paraId="62060510" w14:textId="77777777" w:rsidR="00815EC3" w:rsidRPr="00A27B79" w:rsidRDefault="00815EC3" w:rsidP="000A40B2">
      <w:pPr>
        <w:spacing w:line="240" w:lineRule="auto"/>
        <w:ind w:left="720" w:hanging="720"/>
        <w:rPr>
          <w:rFonts w:cs="Times New Roman"/>
          <w:noProof/>
          <w:kern w:val="28"/>
          <w:szCs w:val="24"/>
          <w:lang w:val="en-GB"/>
        </w:rPr>
      </w:pPr>
    </w:p>
    <w:p w14:paraId="1BFD1FF0" w14:textId="77777777" w:rsidR="008D77E8" w:rsidRPr="00A27B79" w:rsidRDefault="008D77E8" w:rsidP="00E144BE">
      <w:pPr>
        <w:spacing w:line="240" w:lineRule="auto"/>
        <w:ind w:left="720" w:hanging="720"/>
      </w:pPr>
      <w:proofErr w:type="spellStart"/>
      <w:r w:rsidRPr="00A27B79">
        <w:t>Rokkan</w:t>
      </w:r>
      <w:proofErr w:type="spellEnd"/>
      <w:r w:rsidRPr="00A27B79">
        <w:t xml:space="preserve">, Stein. 1970. </w:t>
      </w:r>
      <w:r w:rsidRPr="00A27B79">
        <w:rPr>
          <w:i/>
        </w:rPr>
        <w:t>Citizens, Elections, Parties</w:t>
      </w:r>
      <w:r w:rsidRPr="00A27B79">
        <w:t xml:space="preserve">. Oslo: </w:t>
      </w:r>
      <w:proofErr w:type="spellStart"/>
      <w:r w:rsidRPr="00A27B79">
        <w:t>Universitetsforlaget</w:t>
      </w:r>
      <w:proofErr w:type="spellEnd"/>
      <w:r w:rsidRPr="00A27B79">
        <w:t>.</w:t>
      </w:r>
    </w:p>
    <w:p w14:paraId="58BF0DF5" w14:textId="77777777" w:rsidR="00B11039" w:rsidRPr="00A27B79" w:rsidRDefault="00B11039" w:rsidP="00E144BE">
      <w:pPr>
        <w:spacing w:line="240" w:lineRule="auto"/>
        <w:ind w:left="720" w:hanging="720"/>
      </w:pPr>
    </w:p>
    <w:p w14:paraId="4595F03A" w14:textId="414D3A60" w:rsidR="00B11039" w:rsidRPr="00A27B79" w:rsidRDefault="00B11039" w:rsidP="000A40B2">
      <w:pPr>
        <w:spacing w:line="240" w:lineRule="auto"/>
        <w:ind w:left="720" w:hanging="720"/>
      </w:pPr>
      <w:proofErr w:type="spellStart"/>
      <w:r w:rsidRPr="00A27B79">
        <w:t>Rommetvedt</w:t>
      </w:r>
      <w:proofErr w:type="spellEnd"/>
      <w:r w:rsidRPr="00A27B79">
        <w:t xml:space="preserve">, Hilmar. 2003. </w:t>
      </w:r>
      <w:r w:rsidRPr="00A27B79">
        <w:rPr>
          <w:i/>
        </w:rPr>
        <w:t>The Rise of the Norwegian Parliament</w:t>
      </w:r>
      <w:r w:rsidRPr="00A27B79">
        <w:t>. London: Frank Cass and Company.</w:t>
      </w:r>
    </w:p>
    <w:p w14:paraId="242DB751" w14:textId="77777777" w:rsidR="00B11039" w:rsidRPr="00A27B79" w:rsidRDefault="00B11039" w:rsidP="000A40B2">
      <w:pPr>
        <w:spacing w:line="240" w:lineRule="auto"/>
        <w:ind w:left="720" w:hanging="720"/>
      </w:pPr>
    </w:p>
    <w:p w14:paraId="545D7810" w14:textId="0FD991FD" w:rsidR="0067642E" w:rsidRPr="00A27B79" w:rsidRDefault="000B25A9" w:rsidP="000A40B2">
      <w:pPr>
        <w:spacing w:line="240" w:lineRule="auto"/>
        <w:ind w:left="720" w:hanging="720"/>
        <w:rPr>
          <w:rFonts w:cs="Times New Roman"/>
          <w:szCs w:val="24"/>
        </w:rPr>
      </w:pPr>
      <w:r w:rsidRPr="00A27B79">
        <w:rPr>
          <w:rFonts w:cs="Times New Roman"/>
          <w:noProof/>
          <w:kern w:val="28"/>
          <w:szCs w:val="24"/>
          <w:lang w:val="en-GB"/>
        </w:rPr>
        <w:t xml:space="preserve"> </w:t>
      </w:r>
      <w:r w:rsidR="0067642E" w:rsidRPr="00A27B79">
        <w:rPr>
          <w:rFonts w:cs="Times New Roman"/>
          <w:szCs w:val="24"/>
        </w:rPr>
        <w:t xml:space="preserve">Schaeffer, Merlin. 2013. </w:t>
      </w:r>
      <w:r w:rsidR="0067642E" w:rsidRPr="00A27B79">
        <w:rPr>
          <w:rFonts w:cs="Times New Roman"/>
          <w:i/>
          <w:szCs w:val="24"/>
        </w:rPr>
        <w:t>Ethnic Diversity and Social Cohesion</w:t>
      </w:r>
      <w:r w:rsidR="0067642E" w:rsidRPr="00A27B79">
        <w:rPr>
          <w:rFonts w:cs="Times New Roman"/>
          <w:szCs w:val="24"/>
        </w:rPr>
        <w:t>. Surrey, England: Ashgate Publishing Company.</w:t>
      </w:r>
    </w:p>
    <w:p w14:paraId="20D3E06C" w14:textId="77777777" w:rsidR="000B25A9" w:rsidRPr="00A27B79" w:rsidRDefault="000B25A9" w:rsidP="000A40B2">
      <w:pPr>
        <w:spacing w:line="240" w:lineRule="auto"/>
        <w:ind w:left="720" w:hanging="720"/>
        <w:rPr>
          <w:rFonts w:cs="Times New Roman"/>
          <w:noProof/>
          <w:kern w:val="28"/>
          <w:szCs w:val="24"/>
          <w:lang w:val="en-GB"/>
        </w:rPr>
      </w:pPr>
    </w:p>
    <w:p w14:paraId="7B554435" w14:textId="77777777" w:rsidR="0095367B" w:rsidRPr="00A27B79" w:rsidRDefault="0095367B" w:rsidP="00E144BE">
      <w:pPr>
        <w:spacing w:line="240" w:lineRule="auto"/>
        <w:ind w:left="720" w:hanging="720"/>
        <w:rPr>
          <w:rFonts w:cs="Times New Roman"/>
          <w:szCs w:val="24"/>
        </w:rPr>
      </w:pPr>
      <w:r w:rsidRPr="00A27B79">
        <w:rPr>
          <w:rFonts w:cs="Times New Roman"/>
          <w:noProof/>
          <w:kern w:val="28"/>
          <w:szCs w:val="24"/>
          <w:lang w:val="en-GB"/>
        </w:rPr>
        <w:t xml:space="preserve">Schei, Tore. 2014. </w:t>
      </w:r>
      <w:r w:rsidRPr="00A27B79">
        <w:rPr>
          <w:rFonts w:cs="Times New Roman"/>
          <w:szCs w:val="24"/>
        </w:rPr>
        <w:t xml:space="preserve">“The Independence of Courts and Judges and Their Relationship with the Other Branches of Government.” </w:t>
      </w:r>
      <w:r w:rsidR="00205228" w:rsidRPr="00A27B79">
        <w:rPr>
          <w:rFonts w:cs="Times New Roman"/>
          <w:szCs w:val="24"/>
        </w:rPr>
        <w:t>Pp. 3-18, i</w:t>
      </w:r>
      <w:r w:rsidRPr="00A27B79">
        <w:rPr>
          <w:rFonts w:cs="Times New Roman"/>
          <w:szCs w:val="24"/>
        </w:rPr>
        <w:t xml:space="preserve">n Nils A. </w:t>
      </w:r>
      <w:proofErr w:type="spellStart"/>
      <w:r w:rsidRPr="00A27B79">
        <w:rPr>
          <w:rFonts w:cs="Times New Roman"/>
          <w:szCs w:val="24"/>
        </w:rPr>
        <w:t>Engstad</w:t>
      </w:r>
      <w:proofErr w:type="spellEnd"/>
      <w:r w:rsidRPr="00A27B79">
        <w:rPr>
          <w:rFonts w:cs="Times New Roman"/>
          <w:szCs w:val="24"/>
        </w:rPr>
        <w:t xml:space="preserve">, Astrid </w:t>
      </w:r>
      <w:proofErr w:type="spellStart"/>
      <w:r w:rsidRPr="00A27B79">
        <w:rPr>
          <w:rFonts w:cs="Times New Roman"/>
          <w:szCs w:val="24"/>
        </w:rPr>
        <w:t>Lærdal</w:t>
      </w:r>
      <w:proofErr w:type="spellEnd"/>
      <w:r w:rsidRPr="00A27B79">
        <w:rPr>
          <w:rFonts w:cs="Times New Roman"/>
          <w:szCs w:val="24"/>
        </w:rPr>
        <w:t xml:space="preserve"> </w:t>
      </w:r>
      <w:proofErr w:type="spellStart"/>
      <w:r w:rsidRPr="00A27B79">
        <w:rPr>
          <w:rFonts w:cs="Times New Roman"/>
          <w:szCs w:val="24"/>
        </w:rPr>
        <w:t>Frøseth</w:t>
      </w:r>
      <w:proofErr w:type="spellEnd"/>
      <w:r w:rsidRPr="00A27B79">
        <w:rPr>
          <w:rFonts w:cs="Times New Roman"/>
          <w:szCs w:val="24"/>
        </w:rPr>
        <w:t xml:space="preserve"> and </w:t>
      </w:r>
      <w:proofErr w:type="spellStart"/>
      <w:r w:rsidRPr="00A27B79">
        <w:rPr>
          <w:rFonts w:cs="Times New Roman"/>
          <w:szCs w:val="24"/>
        </w:rPr>
        <w:t>Bård</w:t>
      </w:r>
      <w:proofErr w:type="spellEnd"/>
      <w:r w:rsidRPr="00A27B79">
        <w:rPr>
          <w:rFonts w:cs="Times New Roman"/>
          <w:szCs w:val="24"/>
        </w:rPr>
        <w:t xml:space="preserve"> </w:t>
      </w:r>
      <w:proofErr w:type="spellStart"/>
      <w:r w:rsidRPr="00A27B79">
        <w:rPr>
          <w:rFonts w:cs="Times New Roman"/>
          <w:szCs w:val="24"/>
        </w:rPr>
        <w:t>Tønder</w:t>
      </w:r>
      <w:proofErr w:type="spellEnd"/>
      <w:r w:rsidRPr="00A27B79">
        <w:rPr>
          <w:rFonts w:cs="Times New Roman"/>
          <w:szCs w:val="24"/>
        </w:rPr>
        <w:t xml:space="preserve">, eds. </w:t>
      </w:r>
      <w:r w:rsidRPr="00A27B79">
        <w:rPr>
          <w:rFonts w:cs="Times New Roman"/>
          <w:i/>
          <w:szCs w:val="24"/>
        </w:rPr>
        <w:t>The Independence of Judges</w:t>
      </w:r>
      <w:r w:rsidRPr="00A27B79">
        <w:rPr>
          <w:rFonts w:cs="Times New Roman"/>
          <w:szCs w:val="24"/>
        </w:rPr>
        <w:t>. The Hague, Netherlands: Eleven International Publishing.</w:t>
      </w:r>
    </w:p>
    <w:p w14:paraId="11268F35" w14:textId="77777777" w:rsidR="007C033A" w:rsidRPr="00A27B79" w:rsidRDefault="007C033A" w:rsidP="000A40B2">
      <w:pPr>
        <w:spacing w:line="240" w:lineRule="auto"/>
        <w:ind w:left="720" w:hanging="720"/>
        <w:rPr>
          <w:rFonts w:cs="Times New Roman"/>
          <w:noProof/>
          <w:kern w:val="28"/>
          <w:szCs w:val="24"/>
          <w:lang w:val="en-GB"/>
        </w:rPr>
      </w:pPr>
    </w:p>
    <w:p w14:paraId="20F3BCF4" w14:textId="73E38705" w:rsidR="006921A0" w:rsidRDefault="00B139CC" w:rsidP="000A40B2">
      <w:pPr>
        <w:spacing w:line="240" w:lineRule="auto"/>
        <w:ind w:left="720" w:hanging="720"/>
        <w:rPr>
          <w:rFonts w:cs="Times New Roman"/>
          <w:noProof/>
          <w:kern w:val="28"/>
          <w:szCs w:val="24"/>
          <w:lang w:val="en-GB"/>
        </w:rPr>
      </w:pPr>
      <w:r w:rsidRPr="00A27B79">
        <w:rPr>
          <w:rFonts w:cs="Times New Roman"/>
          <w:noProof/>
          <w:kern w:val="28"/>
          <w:szCs w:val="24"/>
          <w:lang w:val="en-GB"/>
        </w:rPr>
        <w:t xml:space="preserve">Schubert, Glendon. 1965. </w:t>
      </w:r>
      <w:r w:rsidR="007E5AE9">
        <w:rPr>
          <w:rFonts w:cs="Times New Roman"/>
          <w:i/>
          <w:noProof/>
          <w:kern w:val="28"/>
          <w:szCs w:val="24"/>
          <w:lang w:val="en-GB"/>
        </w:rPr>
        <w:t xml:space="preserve">The Judicial Mind: The Attitudes and Ideologies of Supreme Court Justices 1946-1963. </w:t>
      </w:r>
      <w:r w:rsidRPr="00A27B79">
        <w:rPr>
          <w:rFonts w:cs="Times New Roman"/>
          <w:noProof/>
          <w:kern w:val="28"/>
          <w:szCs w:val="24"/>
          <w:lang w:val="en-GB"/>
        </w:rPr>
        <w:t xml:space="preserve"> Evanston, IL: Northwestern Univers</w:t>
      </w:r>
      <w:r w:rsidR="004D3F85">
        <w:rPr>
          <w:rFonts w:cs="Times New Roman"/>
          <w:noProof/>
          <w:kern w:val="28"/>
          <w:szCs w:val="24"/>
          <w:lang w:val="en-GB"/>
        </w:rPr>
        <w:t>i</w:t>
      </w:r>
      <w:r w:rsidRPr="00A27B79">
        <w:rPr>
          <w:rFonts w:cs="Times New Roman"/>
          <w:noProof/>
          <w:kern w:val="28"/>
          <w:szCs w:val="24"/>
          <w:lang w:val="en-GB"/>
        </w:rPr>
        <w:t>ty Press</w:t>
      </w:r>
    </w:p>
    <w:p w14:paraId="7ABFBA15" w14:textId="77777777" w:rsidR="00AB071B" w:rsidRPr="00A27B79" w:rsidRDefault="00AB071B" w:rsidP="000A40B2">
      <w:pPr>
        <w:spacing w:line="240" w:lineRule="auto"/>
        <w:ind w:left="720" w:hanging="720"/>
        <w:rPr>
          <w:rFonts w:cs="Times New Roman"/>
          <w:noProof/>
          <w:kern w:val="28"/>
          <w:szCs w:val="24"/>
          <w:lang w:val="en-GB"/>
        </w:rPr>
      </w:pPr>
    </w:p>
    <w:p w14:paraId="41A4A672" w14:textId="77777777" w:rsidR="00C66D49" w:rsidRPr="00A27B79" w:rsidRDefault="00C66D49" w:rsidP="00E144BE">
      <w:pPr>
        <w:spacing w:line="240" w:lineRule="auto"/>
        <w:ind w:left="720" w:hanging="720"/>
        <w:rPr>
          <w:rFonts w:cs="Times New Roman"/>
          <w:noProof/>
          <w:kern w:val="28"/>
          <w:szCs w:val="24"/>
          <w:lang w:val="en-GB"/>
        </w:rPr>
      </w:pPr>
      <w:r w:rsidRPr="00A27B79">
        <w:rPr>
          <w:rFonts w:cs="Times New Roman"/>
          <w:szCs w:val="24"/>
          <w:lang w:val="en-GB"/>
        </w:rPr>
        <w:t xml:space="preserve">Segal, Jeffrey A. and Albert Cover. 1989. “Ideological Values and the Votes of U.S. Supreme Court Justices.” </w:t>
      </w:r>
      <w:r w:rsidRPr="00A27B79">
        <w:rPr>
          <w:rFonts w:cs="Times New Roman"/>
          <w:i/>
          <w:szCs w:val="24"/>
          <w:lang w:val="en-GB"/>
        </w:rPr>
        <w:t>American Political Science Review</w:t>
      </w:r>
      <w:r w:rsidRPr="00A27B79">
        <w:rPr>
          <w:rFonts w:cs="Times New Roman"/>
          <w:szCs w:val="24"/>
          <w:lang w:val="en-GB"/>
        </w:rPr>
        <w:t xml:space="preserve"> 83:557-565.</w:t>
      </w:r>
    </w:p>
    <w:p w14:paraId="64923A07" w14:textId="77777777" w:rsidR="00C66D49" w:rsidRPr="00A27B79" w:rsidRDefault="00C66D49" w:rsidP="000A40B2">
      <w:pPr>
        <w:spacing w:line="240" w:lineRule="auto"/>
        <w:ind w:left="720" w:hanging="720"/>
        <w:rPr>
          <w:rFonts w:cs="Times New Roman"/>
          <w:noProof/>
          <w:kern w:val="28"/>
          <w:szCs w:val="24"/>
          <w:lang w:val="en-GB"/>
        </w:rPr>
      </w:pPr>
    </w:p>
    <w:p w14:paraId="58C91DD8" w14:textId="17BA2B33" w:rsidR="00C66D49" w:rsidRPr="00A27B79" w:rsidRDefault="00C66D49" w:rsidP="00E144BE">
      <w:pPr>
        <w:spacing w:line="240" w:lineRule="auto"/>
        <w:ind w:left="720" w:hanging="720"/>
        <w:rPr>
          <w:rFonts w:cs="Times New Roman"/>
          <w:szCs w:val="24"/>
          <w:lang w:val="nb-NO"/>
        </w:rPr>
      </w:pPr>
      <w:r w:rsidRPr="00A27B79">
        <w:rPr>
          <w:rFonts w:cs="Times New Roman"/>
          <w:szCs w:val="24"/>
          <w:lang w:val="en-GB"/>
        </w:rPr>
        <w:t xml:space="preserve">Segal, Jeffrey A. and Harold J. </w:t>
      </w:r>
      <w:proofErr w:type="spellStart"/>
      <w:r w:rsidRPr="00A27B79">
        <w:rPr>
          <w:rFonts w:cs="Times New Roman"/>
          <w:szCs w:val="24"/>
          <w:lang w:val="en-GB"/>
        </w:rPr>
        <w:t>Spaeth</w:t>
      </w:r>
      <w:proofErr w:type="spellEnd"/>
      <w:r w:rsidRPr="00A27B79">
        <w:rPr>
          <w:rFonts w:cs="Times New Roman"/>
          <w:szCs w:val="24"/>
          <w:lang w:val="en-GB"/>
        </w:rPr>
        <w:t xml:space="preserve">. 2002. </w:t>
      </w:r>
      <w:r w:rsidRPr="00A27B79">
        <w:rPr>
          <w:rFonts w:cs="Times New Roman"/>
          <w:i/>
          <w:iCs/>
          <w:szCs w:val="24"/>
          <w:lang w:val="en-GB"/>
        </w:rPr>
        <w:t>The Supreme Court and the Attitudinal Model Revisited</w:t>
      </w:r>
      <w:r w:rsidRPr="00A27B79">
        <w:rPr>
          <w:rFonts w:cs="Times New Roman"/>
          <w:szCs w:val="24"/>
          <w:lang w:val="en-GB"/>
        </w:rPr>
        <w:t xml:space="preserve">. </w:t>
      </w:r>
      <w:r w:rsidRPr="00A27B79">
        <w:rPr>
          <w:rFonts w:cs="Times New Roman"/>
          <w:szCs w:val="24"/>
          <w:lang w:val="nb-NO"/>
        </w:rPr>
        <w:t>Cambridge: Cambridge University Press.</w:t>
      </w:r>
    </w:p>
    <w:p w14:paraId="368AD89D" w14:textId="77777777" w:rsidR="00C66D49" w:rsidRPr="00A27B79" w:rsidRDefault="00C66D49" w:rsidP="000A40B2">
      <w:pPr>
        <w:spacing w:line="240" w:lineRule="auto"/>
        <w:ind w:left="720" w:hanging="720"/>
        <w:rPr>
          <w:rFonts w:cs="Times New Roman"/>
          <w:noProof/>
          <w:kern w:val="28"/>
          <w:szCs w:val="24"/>
          <w:lang w:val="nb-NO"/>
        </w:rPr>
      </w:pPr>
    </w:p>
    <w:p w14:paraId="07A4BD28" w14:textId="77777777" w:rsidR="00C66D49" w:rsidRPr="00A27B79" w:rsidRDefault="00C66D49" w:rsidP="000A40B2">
      <w:pPr>
        <w:spacing w:line="240" w:lineRule="auto"/>
        <w:ind w:left="720" w:hanging="720"/>
        <w:rPr>
          <w:rFonts w:cs="Times New Roman"/>
          <w:noProof/>
          <w:kern w:val="28"/>
          <w:szCs w:val="24"/>
          <w:lang w:val="nb-NO"/>
        </w:rPr>
      </w:pPr>
      <w:r w:rsidRPr="00A27B79">
        <w:rPr>
          <w:rFonts w:eastAsia="Calibri" w:cs="Times New Roman"/>
          <w:szCs w:val="24"/>
          <w:lang w:val="nb-NO"/>
        </w:rPr>
        <w:t xml:space="preserve">Seip, Jens Arup. 1968. </w:t>
      </w:r>
      <w:r w:rsidRPr="00A27B79">
        <w:rPr>
          <w:rFonts w:eastAsia="Calibri" w:cs="Times New Roman"/>
          <w:i/>
          <w:iCs/>
          <w:szCs w:val="24"/>
          <w:lang w:val="nb-NO"/>
        </w:rPr>
        <w:t>Tanke og handling i norsk historie</w:t>
      </w:r>
      <w:r w:rsidRPr="00A27B79">
        <w:rPr>
          <w:rFonts w:eastAsia="Calibri" w:cs="Times New Roman"/>
          <w:szCs w:val="24"/>
          <w:lang w:val="nb-NO"/>
        </w:rPr>
        <w:t>, Oslo:</w:t>
      </w:r>
      <w:r w:rsidRPr="00A27B79">
        <w:rPr>
          <w:rFonts w:cs="Times New Roman"/>
          <w:szCs w:val="24"/>
          <w:lang w:val="nb-NO"/>
        </w:rPr>
        <w:t xml:space="preserve"> Gyldendal</w:t>
      </w:r>
      <w:r w:rsidRPr="00A27B79">
        <w:rPr>
          <w:rFonts w:eastAsia="Calibri" w:cs="Times New Roman"/>
          <w:szCs w:val="24"/>
          <w:lang w:val="nb-NO"/>
        </w:rPr>
        <w:t>.</w:t>
      </w:r>
    </w:p>
    <w:p w14:paraId="55F94AE5" w14:textId="77777777" w:rsidR="00C66D49" w:rsidRPr="00A27B79" w:rsidRDefault="00C66D49" w:rsidP="000A40B2">
      <w:pPr>
        <w:spacing w:line="240" w:lineRule="auto"/>
        <w:ind w:left="720" w:hanging="720"/>
        <w:rPr>
          <w:rFonts w:cs="Times New Roman"/>
          <w:noProof/>
          <w:kern w:val="28"/>
          <w:szCs w:val="24"/>
          <w:lang w:val="nb-NO"/>
        </w:rPr>
      </w:pPr>
    </w:p>
    <w:p w14:paraId="57BB2934" w14:textId="77777777" w:rsidR="00CA7969" w:rsidRPr="008578BD" w:rsidRDefault="00CA7969" w:rsidP="00E144BE">
      <w:pPr>
        <w:spacing w:line="240" w:lineRule="auto"/>
        <w:ind w:left="720" w:hanging="720"/>
        <w:rPr>
          <w:rFonts w:cs="Times New Roman"/>
          <w:szCs w:val="24"/>
        </w:rPr>
      </w:pPr>
      <w:r w:rsidRPr="00A27B79">
        <w:rPr>
          <w:rFonts w:cs="Times New Roman"/>
          <w:szCs w:val="24"/>
        </w:rPr>
        <w:t xml:space="preserve">Shaffer, William R., Gunnar </w:t>
      </w:r>
      <w:proofErr w:type="spellStart"/>
      <w:r w:rsidRPr="00A27B79">
        <w:rPr>
          <w:rFonts w:cs="Times New Roman"/>
          <w:szCs w:val="24"/>
        </w:rPr>
        <w:t>Grendstad</w:t>
      </w:r>
      <w:proofErr w:type="spellEnd"/>
      <w:r w:rsidRPr="00A27B79">
        <w:rPr>
          <w:rFonts w:cs="Times New Roman"/>
          <w:szCs w:val="24"/>
        </w:rPr>
        <w:t xml:space="preserve"> </w:t>
      </w:r>
      <w:r w:rsidR="000A21CB" w:rsidRPr="00A27B79">
        <w:rPr>
          <w:rFonts w:cs="Times New Roman"/>
          <w:szCs w:val="24"/>
        </w:rPr>
        <w:t xml:space="preserve">and Eric N. </w:t>
      </w:r>
      <w:proofErr w:type="spellStart"/>
      <w:r w:rsidR="000A21CB" w:rsidRPr="00A27B79">
        <w:rPr>
          <w:rFonts w:cs="Times New Roman"/>
          <w:szCs w:val="24"/>
        </w:rPr>
        <w:t>Waltenburg</w:t>
      </w:r>
      <w:proofErr w:type="spellEnd"/>
      <w:r w:rsidR="000A21CB" w:rsidRPr="00A27B79">
        <w:rPr>
          <w:rFonts w:cs="Times New Roman"/>
          <w:szCs w:val="24"/>
        </w:rPr>
        <w:t>. 2014.</w:t>
      </w:r>
      <w:r w:rsidR="00064399" w:rsidRPr="00A27B79">
        <w:rPr>
          <w:rFonts w:cs="Times New Roman"/>
          <w:szCs w:val="24"/>
        </w:rPr>
        <w:t xml:space="preserve"> </w:t>
      </w:r>
      <w:r w:rsidRPr="00A27B79">
        <w:rPr>
          <w:rFonts w:cs="Times New Roman"/>
          <w:szCs w:val="24"/>
        </w:rPr>
        <w:t xml:space="preserve">“Standards of Interpretation—Rejoinder to </w:t>
      </w:r>
      <w:proofErr w:type="spellStart"/>
      <w:r w:rsidRPr="00A27B79">
        <w:rPr>
          <w:rFonts w:cs="Times New Roman"/>
          <w:szCs w:val="24"/>
        </w:rPr>
        <w:t>Føllesdal</w:t>
      </w:r>
      <w:proofErr w:type="spellEnd"/>
      <w:r w:rsidRPr="00A27B79">
        <w:rPr>
          <w:rFonts w:cs="Times New Roman"/>
          <w:szCs w:val="24"/>
        </w:rPr>
        <w:t xml:space="preserve">.” </w:t>
      </w:r>
      <w:proofErr w:type="spellStart"/>
      <w:r w:rsidRPr="008578BD">
        <w:rPr>
          <w:rFonts w:cs="Times New Roman"/>
          <w:i/>
          <w:szCs w:val="24"/>
        </w:rPr>
        <w:t>Tidsskrift</w:t>
      </w:r>
      <w:proofErr w:type="spellEnd"/>
      <w:r w:rsidRPr="008578BD">
        <w:rPr>
          <w:rFonts w:cs="Times New Roman"/>
          <w:i/>
          <w:szCs w:val="24"/>
        </w:rPr>
        <w:t xml:space="preserve"> for </w:t>
      </w:r>
      <w:proofErr w:type="spellStart"/>
      <w:proofErr w:type="gramStart"/>
      <w:r w:rsidRPr="008578BD">
        <w:rPr>
          <w:rFonts w:cs="Times New Roman"/>
          <w:i/>
          <w:szCs w:val="24"/>
        </w:rPr>
        <w:t>Rettsvitenskap</w:t>
      </w:r>
      <w:proofErr w:type="spellEnd"/>
      <w:r w:rsidRPr="008578BD">
        <w:rPr>
          <w:rFonts w:cs="Times New Roman"/>
          <w:szCs w:val="24"/>
        </w:rPr>
        <w:t xml:space="preserve">  127</w:t>
      </w:r>
      <w:proofErr w:type="gramEnd"/>
      <w:r w:rsidR="00C7464B" w:rsidRPr="008578BD">
        <w:rPr>
          <w:rFonts w:cs="Times New Roman"/>
          <w:szCs w:val="24"/>
        </w:rPr>
        <w:t>(1)</w:t>
      </w:r>
      <w:r w:rsidRPr="008578BD">
        <w:rPr>
          <w:rFonts w:cs="Times New Roman"/>
          <w:szCs w:val="24"/>
        </w:rPr>
        <w:t>:77-89.</w:t>
      </w:r>
    </w:p>
    <w:p w14:paraId="42288CF4" w14:textId="77777777" w:rsidR="00CA7969" w:rsidRPr="008578BD" w:rsidRDefault="00CA7969" w:rsidP="000A40B2">
      <w:pPr>
        <w:spacing w:line="240" w:lineRule="auto"/>
        <w:ind w:left="720" w:hanging="720"/>
        <w:rPr>
          <w:rFonts w:cs="Times New Roman"/>
          <w:szCs w:val="24"/>
        </w:rPr>
      </w:pPr>
    </w:p>
    <w:p w14:paraId="2350081B" w14:textId="77777777" w:rsidR="009624A5" w:rsidRPr="00A27B79" w:rsidRDefault="009624A5" w:rsidP="00E144BE">
      <w:pPr>
        <w:spacing w:line="240" w:lineRule="auto"/>
        <w:ind w:left="720" w:hanging="720"/>
        <w:rPr>
          <w:rFonts w:cs="Times New Roman"/>
          <w:bCs/>
          <w:szCs w:val="24"/>
        </w:rPr>
      </w:pPr>
      <w:r w:rsidRPr="008578BD">
        <w:rPr>
          <w:rFonts w:cs="Times New Roman"/>
          <w:bCs/>
          <w:szCs w:val="24"/>
        </w:rPr>
        <w:t xml:space="preserve">Shaffer, William, Gunnar </w:t>
      </w:r>
      <w:proofErr w:type="spellStart"/>
      <w:r w:rsidRPr="008578BD">
        <w:rPr>
          <w:rFonts w:cs="Times New Roman"/>
          <w:bCs/>
          <w:szCs w:val="24"/>
        </w:rPr>
        <w:t>Grendstad</w:t>
      </w:r>
      <w:proofErr w:type="spellEnd"/>
      <w:r w:rsidRPr="008578BD">
        <w:rPr>
          <w:rFonts w:cs="Times New Roman"/>
          <w:bCs/>
          <w:szCs w:val="24"/>
        </w:rPr>
        <w:t xml:space="preserve"> and Eric N. </w:t>
      </w:r>
      <w:proofErr w:type="spellStart"/>
      <w:r w:rsidRPr="008578BD">
        <w:rPr>
          <w:rFonts w:cs="Times New Roman"/>
          <w:bCs/>
          <w:szCs w:val="24"/>
        </w:rPr>
        <w:t>Waltenburg</w:t>
      </w:r>
      <w:proofErr w:type="spellEnd"/>
      <w:r w:rsidRPr="008578BD">
        <w:rPr>
          <w:rFonts w:cs="Times New Roman"/>
          <w:bCs/>
          <w:szCs w:val="24"/>
        </w:rPr>
        <w:t xml:space="preserve">. </w:t>
      </w:r>
      <w:r w:rsidRPr="00A27B79">
        <w:rPr>
          <w:rFonts w:cs="Times New Roman"/>
          <w:bCs/>
          <w:szCs w:val="24"/>
        </w:rPr>
        <w:t xml:space="preserve">2015. “Is Diversity Just for Show? Diversity and Appointment to the Norwegian Supreme Court 1945-2011,” </w:t>
      </w:r>
      <w:proofErr w:type="spellStart"/>
      <w:r w:rsidRPr="00A27B79">
        <w:rPr>
          <w:rFonts w:cs="Times New Roman"/>
          <w:bCs/>
          <w:i/>
          <w:szCs w:val="24"/>
        </w:rPr>
        <w:t>Retfærd</w:t>
      </w:r>
      <w:proofErr w:type="spellEnd"/>
      <w:r w:rsidRPr="00A27B79">
        <w:rPr>
          <w:rFonts w:cs="Times New Roman"/>
          <w:bCs/>
          <w:szCs w:val="24"/>
        </w:rPr>
        <w:t>,</w:t>
      </w:r>
      <w:r w:rsidR="00B06577" w:rsidRPr="00A27B79">
        <w:rPr>
          <w:rFonts w:cs="Times New Roman"/>
          <w:bCs/>
          <w:szCs w:val="24"/>
        </w:rPr>
        <w:t xml:space="preserve"> 38(1): 18-42.</w:t>
      </w:r>
    </w:p>
    <w:p w14:paraId="5053B226" w14:textId="77777777" w:rsidR="00DD1866" w:rsidRPr="00A27B79" w:rsidRDefault="00DD1866" w:rsidP="000A40B2">
      <w:pPr>
        <w:spacing w:line="240" w:lineRule="auto"/>
        <w:ind w:left="720" w:hanging="720"/>
        <w:rPr>
          <w:rFonts w:cs="Times New Roman"/>
          <w:szCs w:val="24"/>
        </w:rPr>
      </w:pPr>
    </w:p>
    <w:p w14:paraId="5C5CC456" w14:textId="187A8255" w:rsidR="008D77E8" w:rsidRPr="00A27B79" w:rsidRDefault="008D77E8" w:rsidP="000A40B2">
      <w:pPr>
        <w:spacing w:line="240" w:lineRule="auto"/>
        <w:ind w:left="720" w:hanging="720"/>
      </w:pPr>
      <w:r w:rsidRPr="00A27B79">
        <w:t xml:space="preserve">Shamir, Michal. 1984. “Are Western Party Systems ‘Frozen’?” </w:t>
      </w:r>
      <w:r w:rsidRPr="00A27B79">
        <w:rPr>
          <w:i/>
        </w:rPr>
        <w:t>Comparative Political Studies</w:t>
      </w:r>
      <w:r w:rsidRPr="00A27B79">
        <w:t xml:space="preserve"> 17:35-79.</w:t>
      </w:r>
    </w:p>
    <w:p w14:paraId="6DE4F56D" w14:textId="77777777" w:rsidR="008D77E8" w:rsidRPr="00A27B79" w:rsidRDefault="008D77E8" w:rsidP="000A40B2">
      <w:pPr>
        <w:spacing w:line="240" w:lineRule="auto"/>
        <w:ind w:left="720" w:hanging="720"/>
        <w:rPr>
          <w:rFonts w:cs="Times New Roman"/>
          <w:szCs w:val="24"/>
        </w:rPr>
      </w:pPr>
    </w:p>
    <w:p w14:paraId="03A83CCE" w14:textId="77777777" w:rsidR="00676CA8" w:rsidRPr="00A27B79" w:rsidRDefault="00676CA8" w:rsidP="00E144BE">
      <w:pPr>
        <w:spacing w:line="240" w:lineRule="auto"/>
        <w:ind w:left="720" w:hanging="720"/>
        <w:rPr>
          <w:rFonts w:cs="Times New Roman"/>
          <w:szCs w:val="24"/>
        </w:rPr>
      </w:pPr>
      <w:proofErr w:type="spellStart"/>
      <w:r w:rsidRPr="00A27B79">
        <w:rPr>
          <w:rFonts w:cs="Times New Roman"/>
          <w:szCs w:val="24"/>
        </w:rPr>
        <w:t>Skiple</w:t>
      </w:r>
      <w:proofErr w:type="spellEnd"/>
      <w:r w:rsidRPr="00A27B79">
        <w:rPr>
          <w:rFonts w:cs="Times New Roman"/>
          <w:szCs w:val="24"/>
        </w:rPr>
        <w:t xml:space="preserve">, Jon </w:t>
      </w:r>
      <w:proofErr w:type="spellStart"/>
      <w:proofErr w:type="gramStart"/>
      <w:r w:rsidRPr="00A27B79">
        <w:rPr>
          <w:rFonts w:cs="Times New Roman"/>
          <w:szCs w:val="24"/>
        </w:rPr>
        <w:t>Kåre</w:t>
      </w:r>
      <w:proofErr w:type="spellEnd"/>
      <w:r w:rsidRPr="00A27B79">
        <w:rPr>
          <w:rFonts w:cs="Times New Roman"/>
          <w:szCs w:val="24"/>
        </w:rPr>
        <w:t xml:space="preserve"> ,</w:t>
      </w:r>
      <w:proofErr w:type="gramEnd"/>
      <w:r w:rsidRPr="00A27B79">
        <w:rPr>
          <w:rFonts w:cs="Times New Roman"/>
          <w:szCs w:val="24"/>
        </w:rPr>
        <w:t xml:space="preserve"> Gunnar </w:t>
      </w:r>
      <w:proofErr w:type="spellStart"/>
      <w:r w:rsidRPr="00A27B79">
        <w:rPr>
          <w:rFonts w:cs="Times New Roman"/>
          <w:szCs w:val="24"/>
        </w:rPr>
        <w:t>Grendstad</w:t>
      </w:r>
      <w:proofErr w:type="spellEnd"/>
      <w:r w:rsidRPr="00A27B79">
        <w:rPr>
          <w:rFonts w:cs="Times New Roman"/>
          <w:szCs w:val="24"/>
        </w:rPr>
        <w:t xml:space="preserve">, William R. Shaffer, and Eric N. </w:t>
      </w:r>
      <w:proofErr w:type="spellStart"/>
      <w:r w:rsidRPr="00A27B79">
        <w:rPr>
          <w:rFonts w:cs="Times New Roman"/>
          <w:szCs w:val="24"/>
        </w:rPr>
        <w:t>Waltenburg</w:t>
      </w:r>
      <w:proofErr w:type="spellEnd"/>
      <w:r w:rsidRPr="00A27B79">
        <w:rPr>
          <w:rFonts w:cs="Times New Roman"/>
          <w:szCs w:val="24"/>
          <w:vertAlign w:val="superscript"/>
        </w:rPr>
        <w:t xml:space="preserve">. </w:t>
      </w:r>
      <w:r w:rsidRPr="00A27B79">
        <w:rPr>
          <w:rFonts w:cs="Times New Roman"/>
          <w:szCs w:val="24"/>
        </w:rPr>
        <w:t>201</w:t>
      </w:r>
      <w:r w:rsidR="008D0EA7" w:rsidRPr="00A27B79">
        <w:rPr>
          <w:rFonts w:cs="Times New Roman"/>
          <w:szCs w:val="24"/>
        </w:rPr>
        <w:t>6</w:t>
      </w:r>
      <w:r w:rsidRPr="00A27B79">
        <w:rPr>
          <w:rFonts w:cs="Times New Roman"/>
          <w:szCs w:val="24"/>
        </w:rPr>
        <w:t>.</w:t>
      </w:r>
      <w:r w:rsidRPr="00A27B79">
        <w:rPr>
          <w:rFonts w:cs="Times New Roman"/>
          <w:b/>
          <w:szCs w:val="24"/>
        </w:rPr>
        <w:t xml:space="preserve"> </w:t>
      </w:r>
      <w:r w:rsidR="008D0EA7" w:rsidRPr="00A27B79">
        <w:rPr>
          <w:rFonts w:cs="Times New Roman"/>
          <w:szCs w:val="24"/>
        </w:rPr>
        <w:t xml:space="preserve">“Supreme Court Justices’ Economic </w:t>
      </w:r>
      <w:proofErr w:type="spellStart"/>
      <w:r w:rsidR="008D0EA7" w:rsidRPr="00A27B79">
        <w:rPr>
          <w:rFonts w:cs="Times New Roman"/>
          <w:szCs w:val="24"/>
        </w:rPr>
        <w:t>Behaviour</w:t>
      </w:r>
      <w:proofErr w:type="spellEnd"/>
      <w:r w:rsidR="008D0EA7" w:rsidRPr="00A27B79">
        <w:rPr>
          <w:rFonts w:cs="Times New Roman"/>
          <w:szCs w:val="24"/>
        </w:rPr>
        <w:t xml:space="preserve">: A Multilevel Model Analysis.” </w:t>
      </w:r>
      <w:r w:rsidR="008D0EA7" w:rsidRPr="00A27B79">
        <w:rPr>
          <w:rFonts w:cs="Times New Roman"/>
          <w:i/>
          <w:szCs w:val="24"/>
        </w:rPr>
        <w:t>Scandinavian Political Studies</w:t>
      </w:r>
      <w:r w:rsidR="008D0EA7" w:rsidRPr="00A27B79">
        <w:rPr>
          <w:rFonts w:cs="Times New Roman"/>
          <w:szCs w:val="24"/>
        </w:rPr>
        <w:t xml:space="preserve"> 39:73-94.</w:t>
      </w:r>
    </w:p>
    <w:p w14:paraId="68315505" w14:textId="77777777" w:rsidR="008D0EA7" w:rsidRPr="00A27B79" w:rsidRDefault="008D0EA7" w:rsidP="00E144BE">
      <w:pPr>
        <w:spacing w:line="240" w:lineRule="auto"/>
        <w:ind w:left="720" w:hanging="720"/>
        <w:rPr>
          <w:rFonts w:cs="Times New Roman"/>
          <w:szCs w:val="24"/>
        </w:rPr>
      </w:pPr>
    </w:p>
    <w:p w14:paraId="479784C5" w14:textId="77777777" w:rsidR="004803CC" w:rsidRPr="00A27B79" w:rsidRDefault="004803CC" w:rsidP="00E144BE">
      <w:pPr>
        <w:spacing w:line="240" w:lineRule="auto"/>
        <w:ind w:left="720" w:hanging="720"/>
        <w:rPr>
          <w:rFonts w:cs="Times New Roman"/>
          <w:szCs w:val="24"/>
        </w:rPr>
      </w:pPr>
      <w:r w:rsidRPr="00A27B79">
        <w:rPr>
          <w:rFonts w:cs="Times New Roman"/>
          <w:szCs w:val="24"/>
        </w:rPr>
        <w:t xml:space="preserve">Smith, Carsten. 1998. “The Supreme Court in Present-day Society.” In Stephan </w:t>
      </w:r>
      <w:proofErr w:type="spellStart"/>
      <w:r w:rsidRPr="00A27B79">
        <w:rPr>
          <w:rFonts w:cs="Times New Roman"/>
          <w:szCs w:val="24"/>
        </w:rPr>
        <w:t>Tschudi-</w:t>
      </w:r>
      <w:proofErr w:type="gramStart"/>
      <w:r w:rsidRPr="00A27B79">
        <w:rPr>
          <w:rFonts w:cs="Times New Roman"/>
          <w:szCs w:val="24"/>
        </w:rPr>
        <w:t>Madsen,ed</w:t>
      </w:r>
      <w:proofErr w:type="spellEnd"/>
      <w:r w:rsidRPr="00A27B79">
        <w:rPr>
          <w:rFonts w:cs="Times New Roman"/>
          <w:szCs w:val="24"/>
        </w:rPr>
        <w:t>.</w:t>
      </w:r>
      <w:proofErr w:type="gramEnd"/>
      <w:r w:rsidRPr="00A27B79">
        <w:rPr>
          <w:rFonts w:cs="Times New Roman"/>
          <w:szCs w:val="24"/>
        </w:rPr>
        <w:t xml:space="preserve">, </w:t>
      </w:r>
      <w:r w:rsidRPr="00A27B79">
        <w:rPr>
          <w:rFonts w:cs="Times New Roman"/>
          <w:i/>
          <w:szCs w:val="24"/>
        </w:rPr>
        <w:t>The Supreme Court of Norway</w:t>
      </w:r>
      <w:r w:rsidRPr="00A27B79">
        <w:rPr>
          <w:rFonts w:cs="Times New Roman"/>
          <w:szCs w:val="24"/>
        </w:rPr>
        <w:t xml:space="preserve">. Oslo: H. </w:t>
      </w:r>
      <w:proofErr w:type="spellStart"/>
      <w:r w:rsidRPr="00A27B79">
        <w:rPr>
          <w:rFonts w:cs="Times New Roman"/>
          <w:szCs w:val="24"/>
        </w:rPr>
        <w:t>Aschehoug</w:t>
      </w:r>
      <w:proofErr w:type="spellEnd"/>
      <w:r w:rsidRPr="00A27B79">
        <w:rPr>
          <w:rFonts w:cs="Times New Roman"/>
          <w:szCs w:val="24"/>
        </w:rPr>
        <w:t>, pp.95-140.</w:t>
      </w:r>
    </w:p>
    <w:p w14:paraId="1ACD5F3F" w14:textId="77777777" w:rsidR="002D2F01" w:rsidRPr="00A27B79" w:rsidRDefault="002D2F01" w:rsidP="000A40B2">
      <w:pPr>
        <w:spacing w:line="240" w:lineRule="auto"/>
        <w:ind w:left="720" w:hanging="720"/>
        <w:rPr>
          <w:rFonts w:cs="Times New Roman"/>
          <w:szCs w:val="24"/>
        </w:rPr>
      </w:pPr>
    </w:p>
    <w:p w14:paraId="53CBBA05" w14:textId="49B2F305" w:rsidR="00A532E3" w:rsidRPr="00A27B79" w:rsidRDefault="00A532E3" w:rsidP="00E144BE">
      <w:pPr>
        <w:spacing w:line="240" w:lineRule="auto"/>
        <w:ind w:left="720" w:hanging="720"/>
        <w:rPr>
          <w:rFonts w:cs="Times New Roman"/>
          <w:szCs w:val="24"/>
        </w:rPr>
      </w:pPr>
      <w:proofErr w:type="spellStart"/>
      <w:r w:rsidRPr="00A27B79">
        <w:rPr>
          <w:rFonts w:cs="Times New Roman"/>
          <w:szCs w:val="24"/>
        </w:rPr>
        <w:t>Voeten</w:t>
      </w:r>
      <w:proofErr w:type="spellEnd"/>
      <w:r w:rsidRPr="00A27B79">
        <w:rPr>
          <w:rFonts w:cs="Times New Roman"/>
          <w:szCs w:val="24"/>
        </w:rPr>
        <w:t>, Erik. 2007. “The politics of international judicial appointments: Evidence for the Court</w:t>
      </w:r>
      <w:r w:rsidR="00E144BE">
        <w:rPr>
          <w:rFonts w:cs="Times New Roman"/>
          <w:szCs w:val="24"/>
        </w:rPr>
        <w:t xml:space="preserve"> </w:t>
      </w:r>
      <w:r w:rsidRPr="00A27B79">
        <w:rPr>
          <w:rFonts w:cs="Times New Roman"/>
          <w:szCs w:val="24"/>
        </w:rPr>
        <w:t xml:space="preserve">of Human Rights.” </w:t>
      </w:r>
      <w:r w:rsidRPr="00A27B79">
        <w:rPr>
          <w:rFonts w:cs="Times New Roman"/>
          <w:i/>
          <w:szCs w:val="24"/>
        </w:rPr>
        <w:t>International Organization</w:t>
      </w:r>
      <w:r w:rsidRPr="00A27B79">
        <w:rPr>
          <w:rFonts w:cs="Times New Roman"/>
          <w:szCs w:val="24"/>
        </w:rPr>
        <w:t xml:space="preserve"> 61:669-701.</w:t>
      </w:r>
    </w:p>
    <w:p w14:paraId="49AC2C41" w14:textId="77777777" w:rsidR="00A532E3" w:rsidRPr="00A27B79" w:rsidRDefault="00A532E3" w:rsidP="000A40B2">
      <w:pPr>
        <w:spacing w:line="240" w:lineRule="auto"/>
        <w:ind w:left="720" w:hanging="720"/>
        <w:rPr>
          <w:rFonts w:cs="Times New Roman"/>
          <w:szCs w:val="24"/>
        </w:rPr>
      </w:pPr>
    </w:p>
    <w:p w14:paraId="6D2A9CAB" w14:textId="77777777" w:rsidR="002D2F01" w:rsidRPr="00A27B79" w:rsidRDefault="00A532E3" w:rsidP="00E144BE">
      <w:pPr>
        <w:spacing w:line="240" w:lineRule="auto"/>
        <w:ind w:left="720" w:hanging="720"/>
        <w:rPr>
          <w:rFonts w:cs="Times New Roman"/>
          <w:szCs w:val="24"/>
        </w:rPr>
      </w:pPr>
      <w:proofErr w:type="spellStart"/>
      <w:r w:rsidRPr="00A27B79">
        <w:rPr>
          <w:rFonts w:cs="Times New Roman"/>
          <w:szCs w:val="24"/>
        </w:rPr>
        <w:t>Voeten</w:t>
      </w:r>
      <w:proofErr w:type="spellEnd"/>
      <w:r w:rsidRPr="00A27B79">
        <w:rPr>
          <w:rFonts w:cs="Times New Roman"/>
          <w:szCs w:val="24"/>
        </w:rPr>
        <w:t>, Erik. 2008. “The Impartiality of International Judges: Evidence from the European Court of Human Rights.” American Political Science Review 102:417-433.</w:t>
      </w:r>
    </w:p>
    <w:p w14:paraId="16C92AE9" w14:textId="77777777" w:rsidR="002D2F01" w:rsidRPr="00A27B79" w:rsidRDefault="002D2F01" w:rsidP="000A40B2">
      <w:pPr>
        <w:spacing w:line="240" w:lineRule="auto"/>
        <w:ind w:left="720" w:hanging="720"/>
        <w:rPr>
          <w:rFonts w:cs="Times New Roman"/>
          <w:szCs w:val="24"/>
        </w:rPr>
      </w:pPr>
    </w:p>
    <w:p w14:paraId="3E7FD794" w14:textId="77777777" w:rsidR="00C46291" w:rsidRDefault="00C46291" w:rsidP="00E144BE">
      <w:pPr>
        <w:spacing w:line="240" w:lineRule="auto"/>
        <w:ind w:left="720" w:hanging="720"/>
        <w:rPr>
          <w:rFonts w:cs="Times New Roman"/>
          <w:szCs w:val="24"/>
        </w:rPr>
      </w:pPr>
      <w:proofErr w:type="spellStart"/>
      <w:r w:rsidRPr="00A27B79">
        <w:rPr>
          <w:rFonts w:cs="Times New Roman"/>
          <w:szCs w:val="24"/>
        </w:rPr>
        <w:t>Wahlbeck</w:t>
      </w:r>
      <w:proofErr w:type="spellEnd"/>
      <w:r w:rsidRPr="00A27B79">
        <w:rPr>
          <w:rFonts w:cs="Times New Roman"/>
          <w:szCs w:val="24"/>
        </w:rPr>
        <w:t xml:space="preserve">, Paul J., James F. </w:t>
      </w:r>
      <w:proofErr w:type="spellStart"/>
      <w:r w:rsidRPr="00A27B79">
        <w:rPr>
          <w:rFonts w:cs="Times New Roman"/>
          <w:szCs w:val="24"/>
        </w:rPr>
        <w:t>Sprigges</w:t>
      </w:r>
      <w:proofErr w:type="spellEnd"/>
      <w:r w:rsidRPr="00A27B79">
        <w:rPr>
          <w:rFonts w:cs="Times New Roman"/>
          <w:szCs w:val="24"/>
        </w:rPr>
        <w:t xml:space="preserve">, and Forest </w:t>
      </w:r>
      <w:proofErr w:type="spellStart"/>
      <w:r w:rsidRPr="00A27B79">
        <w:rPr>
          <w:rFonts w:cs="Times New Roman"/>
          <w:szCs w:val="24"/>
        </w:rPr>
        <w:t>Maltzman</w:t>
      </w:r>
      <w:proofErr w:type="spellEnd"/>
      <w:r w:rsidRPr="00A27B79">
        <w:rPr>
          <w:rFonts w:cs="Times New Roman"/>
          <w:szCs w:val="24"/>
        </w:rPr>
        <w:t xml:space="preserve">. 1998. “Marshalling the Court: Bargaining and Accommodation on the United States Supreme Court.” </w:t>
      </w:r>
      <w:r w:rsidRPr="00A27B79">
        <w:rPr>
          <w:rFonts w:cs="Times New Roman"/>
          <w:i/>
          <w:szCs w:val="24"/>
        </w:rPr>
        <w:t>American Journal of Political Science</w:t>
      </w:r>
      <w:r w:rsidRPr="00A27B79">
        <w:rPr>
          <w:rFonts w:cs="Times New Roman"/>
          <w:szCs w:val="24"/>
        </w:rPr>
        <w:t xml:space="preserve"> 42:294-315.</w:t>
      </w:r>
    </w:p>
    <w:p w14:paraId="497E25AD" w14:textId="77777777" w:rsidR="00E82A45" w:rsidRDefault="00E82A45" w:rsidP="00E82A45">
      <w:pPr>
        <w:spacing w:line="240" w:lineRule="auto"/>
        <w:ind w:left="720" w:hanging="720"/>
        <w:rPr>
          <w:rFonts w:cs="Times New Roman"/>
          <w:szCs w:val="24"/>
        </w:rPr>
      </w:pPr>
    </w:p>
    <w:p w14:paraId="077840AF" w14:textId="16FB7ACC" w:rsidR="00FD0FA9" w:rsidRDefault="00FD0FA9" w:rsidP="00C46291">
      <w:pPr>
        <w:spacing w:line="240" w:lineRule="auto"/>
        <w:rPr>
          <w:rFonts w:cs="Times New Roman"/>
          <w:szCs w:val="24"/>
        </w:rPr>
      </w:pPr>
    </w:p>
    <w:sectPr w:rsidR="00FD0FA9" w:rsidSect="007C033A">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08072" w14:textId="77777777" w:rsidR="006314AF" w:rsidRDefault="006314AF" w:rsidP="00676CA8">
      <w:pPr>
        <w:spacing w:line="240" w:lineRule="auto"/>
      </w:pPr>
      <w:r>
        <w:separator/>
      </w:r>
    </w:p>
  </w:endnote>
  <w:endnote w:type="continuationSeparator" w:id="0">
    <w:p w14:paraId="77E4D1BA" w14:textId="77777777" w:rsidR="006314AF" w:rsidRDefault="006314AF" w:rsidP="00676C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450675"/>
      <w:docPartObj>
        <w:docPartGallery w:val="Page Numbers (Bottom of Page)"/>
        <w:docPartUnique/>
      </w:docPartObj>
    </w:sdtPr>
    <w:sdtEndPr>
      <w:rPr>
        <w:noProof/>
      </w:rPr>
    </w:sdtEndPr>
    <w:sdtContent>
      <w:p w14:paraId="77A315AA" w14:textId="510B00D3" w:rsidR="00C10AD0" w:rsidRDefault="00C10AD0">
        <w:pPr>
          <w:pStyle w:val="Footer"/>
          <w:jc w:val="center"/>
        </w:pPr>
      </w:p>
    </w:sdtContent>
  </w:sdt>
  <w:p w14:paraId="2F14148B" w14:textId="77777777" w:rsidR="00C10AD0" w:rsidRDefault="00C10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2719837"/>
      <w:docPartObj>
        <w:docPartGallery w:val="Page Numbers (Bottom of Page)"/>
        <w:docPartUnique/>
      </w:docPartObj>
    </w:sdtPr>
    <w:sdtEndPr>
      <w:rPr>
        <w:noProof/>
      </w:rPr>
    </w:sdtEndPr>
    <w:sdtContent>
      <w:p w14:paraId="57613EF1" w14:textId="508FFF39" w:rsidR="00C10AD0" w:rsidRDefault="00C10AD0">
        <w:pPr>
          <w:pStyle w:val="Footer"/>
          <w:jc w:val="center"/>
        </w:pPr>
        <w:r>
          <w:fldChar w:fldCharType="begin"/>
        </w:r>
        <w:r>
          <w:instrText xml:space="preserve"> PAGE   \* MERGEFORMAT </w:instrText>
        </w:r>
        <w:r>
          <w:fldChar w:fldCharType="separate"/>
        </w:r>
        <w:r w:rsidR="00923588">
          <w:rPr>
            <w:noProof/>
          </w:rPr>
          <w:t>5</w:t>
        </w:r>
        <w:r>
          <w:rPr>
            <w:noProof/>
          </w:rPr>
          <w:fldChar w:fldCharType="end"/>
        </w:r>
      </w:p>
    </w:sdtContent>
  </w:sdt>
  <w:p w14:paraId="48B883C2" w14:textId="77777777" w:rsidR="00C10AD0" w:rsidRDefault="00C10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E7BB2" w14:textId="77777777" w:rsidR="006314AF" w:rsidRDefault="006314AF" w:rsidP="00676CA8">
      <w:pPr>
        <w:spacing w:line="240" w:lineRule="auto"/>
      </w:pPr>
      <w:r>
        <w:separator/>
      </w:r>
    </w:p>
  </w:footnote>
  <w:footnote w:type="continuationSeparator" w:id="0">
    <w:p w14:paraId="2B5219B7" w14:textId="77777777" w:rsidR="006314AF" w:rsidRDefault="006314AF" w:rsidP="00676CA8">
      <w:pPr>
        <w:spacing w:line="240" w:lineRule="auto"/>
      </w:pPr>
      <w:r>
        <w:continuationSeparator/>
      </w:r>
    </w:p>
  </w:footnote>
  <w:footnote w:id="1">
    <w:p w14:paraId="38E2A927" w14:textId="77777777" w:rsidR="00C10AD0" w:rsidRPr="002D712B" w:rsidRDefault="00C10AD0" w:rsidP="002D712B">
      <w:pPr>
        <w:pStyle w:val="FootnoteText"/>
        <w:spacing w:line="240" w:lineRule="auto"/>
        <w:rPr>
          <w:lang w:val="en-US"/>
        </w:rPr>
      </w:pPr>
      <w:r>
        <w:rPr>
          <w:rStyle w:val="FootnoteReference"/>
        </w:rPr>
        <w:footnoteRef/>
      </w:r>
      <w:r w:rsidRPr="001136F4">
        <w:rPr>
          <w:lang w:val="en-US"/>
        </w:rPr>
        <w:t xml:space="preserve"> </w:t>
      </w:r>
      <w:r>
        <w:rPr>
          <w:lang w:val="en-US"/>
        </w:rPr>
        <w:t>This manuscript is part of a larger project investigating the impact of Norwegian Supreme Court diversity on several aspects of judicial decisional behavior.</w:t>
      </w:r>
    </w:p>
  </w:footnote>
  <w:footnote w:id="2">
    <w:p w14:paraId="4CD6A507" w14:textId="763412BC" w:rsidR="00C10AD0" w:rsidRPr="00DA1B99" w:rsidRDefault="00C10AD0">
      <w:pPr>
        <w:pStyle w:val="FootnoteText"/>
        <w:rPr>
          <w:lang w:val="en-US"/>
        </w:rPr>
      </w:pPr>
      <w:r w:rsidRPr="00DA1B99">
        <w:rPr>
          <w:rStyle w:val="FootnoteReference"/>
        </w:rPr>
        <w:footnoteRef/>
      </w:r>
      <w:r w:rsidRPr="008578BD">
        <w:rPr>
          <w:lang w:val="en-US"/>
        </w:rPr>
        <w:t xml:space="preserve"> </w:t>
      </w:r>
      <w:r w:rsidRPr="00DA1B99">
        <w:rPr>
          <w:lang w:val="en-US"/>
        </w:rPr>
        <w:t>Of course, five-member panels and lower courts can address constitutional issues.</w:t>
      </w:r>
    </w:p>
  </w:footnote>
  <w:footnote w:id="3">
    <w:p w14:paraId="6A8005FF" w14:textId="66104977" w:rsidR="00C10AD0" w:rsidRPr="00B607D2" w:rsidRDefault="00C10AD0" w:rsidP="00654F7F">
      <w:pPr>
        <w:pStyle w:val="FootnoteText"/>
        <w:spacing w:line="240" w:lineRule="auto"/>
        <w:rPr>
          <w:lang w:val="en-US"/>
        </w:rPr>
      </w:pPr>
      <w:r>
        <w:rPr>
          <w:rStyle w:val="FootnoteReference"/>
        </w:rPr>
        <w:footnoteRef/>
      </w:r>
      <w:r w:rsidRPr="002B7FCE">
        <w:rPr>
          <w:lang w:val="en-US"/>
        </w:rPr>
        <w:t xml:space="preserve"> </w:t>
      </w:r>
      <w:r w:rsidRPr="00B607D2">
        <w:rPr>
          <w:lang w:val="en-US"/>
        </w:rPr>
        <w:t xml:space="preserve">Consider the perilous course the U.S. Supreme Court </w:t>
      </w:r>
      <w:r>
        <w:rPr>
          <w:lang w:val="en-US"/>
        </w:rPr>
        <w:t>has charted</w:t>
      </w:r>
      <w:r w:rsidRPr="00B607D2">
        <w:rPr>
          <w:lang w:val="en-US"/>
        </w:rPr>
        <w:t xml:space="preserve"> over what Congress meant by including “the State” in the ACA (</w:t>
      </w:r>
      <w:r w:rsidRPr="00B607D2">
        <w:rPr>
          <w:i/>
          <w:lang w:val="en-US"/>
        </w:rPr>
        <w:t>King v. Burwell</w:t>
      </w:r>
      <w:r w:rsidRPr="00B607D2">
        <w:rPr>
          <w:lang w:val="en-US"/>
        </w:rPr>
        <w:t xml:space="preserve"> [</w:t>
      </w:r>
      <w:r>
        <w:rPr>
          <w:lang w:val="en-US"/>
        </w:rPr>
        <w:t>576 U.S. ___ (2015)]</w:t>
      </w:r>
      <w:r w:rsidRPr="00B607D2">
        <w:rPr>
          <w:lang w:val="en-US"/>
        </w:rPr>
        <w:t>.</w:t>
      </w:r>
    </w:p>
  </w:footnote>
  <w:footnote w:id="4">
    <w:p w14:paraId="4C72F6C1" w14:textId="77777777" w:rsidR="00C10AD0" w:rsidRPr="00B607D2" w:rsidRDefault="00C10AD0" w:rsidP="00B607D2">
      <w:pPr>
        <w:pStyle w:val="FootnoteText"/>
        <w:spacing w:line="240" w:lineRule="auto"/>
        <w:rPr>
          <w:lang w:val="en-US"/>
        </w:rPr>
      </w:pPr>
      <w:r>
        <w:rPr>
          <w:rStyle w:val="FootnoteReference"/>
        </w:rPr>
        <w:footnoteRef/>
      </w:r>
      <w:r w:rsidRPr="002B7FCE">
        <w:rPr>
          <w:lang w:val="en-US"/>
        </w:rPr>
        <w:t xml:space="preserve"> </w:t>
      </w:r>
      <w:hyperlink r:id="rId1" w:history="1">
        <w:r w:rsidRPr="002D712B">
          <w:rPr>
            <w:rStyle w:val="Hyperlink"/>
            <w:lang w:val="en-US"/>
          </w:rPr>
          <w:t>http://www.domstol.no/en/Enkelt-domstol/-Norges-Hoyesterett/The-Supreme-Court-of-Norway-/Justices/</w:t>
        </w:r>
      </w:hyperlink>
      <w:r w:rsidRPr="002D712B">
        <w:rPr>
          <w:lang w:val="en-US"/>
        </w:rPr>
        <w:t xml:space="preserve"> (last </w:t>
      </w:r>
      <w:r w:rsidRPr="00B607D2">
        <w:rPr>
          <w:lang w:val="en-US"/>
        </w:rPr>
        <w:t>accessed March 12, 2015).</w:t>
      </w:r>
    </w:p>
  </w:footnote>
  <w:footnote w:id="5">
    <w:p w14:paraId="05E729C0" w14:textId="01D00904" w:rsidR="00C10AD0" w:rsidRPr="009F2B5D" w:rsidRDefault="00C10AD0" w:rsidP="00BE7C8C">
      <w:pPr>
        <w:pStyle w:val="FootnoteText"/>
        <w:spacing w:line="240" w:lineRule="auto"/>
        <w:rPr>
          <w:lang w:val="en-US"/>
        </w:rPr>
      </w:pPr>
      <w:r>
        <w:rPr>
          <w:rStyle w:val="FootnoteReference"/>
        </w:rPr>
        <w:footnoteRef/>
      </w:r>
      <w:r w:rsidRPr="008578BD">
        <w:rPr>
          <w:lang w:val="en-US"/>
        </w:rPr>
        <w:t xml:space="preserve"> </w:t>
      </w:r>
      <w:r w:rsidRPr="002E2FEC">
        <w:rPr>
          <w:lang w:val="en-US"/>
        </w:rPr>
        <w:t>Analysis of voting on five-member panels, a significant effect o</w:t>
      </w:r>
      <w:r>
        <w:rPr>
          <w:lang w:val="en-US"/>
        </w:rPr>
        <w:t>f</w:t>
      </w:r>
      <w:r w:rsidRPr="002E2FEC">
        <w:rPr>
          <w:lang w:val="en-US"/>
        </w:rPr>
        <w:t xml:space="preserve"> gender was demonstrated when a majority of the panel was composed of women</w:t>
      </w:r>
      <w:r>
        <w:rPr>
          <w:lang w:val="en-US"/>
        </w:rPr>
        <w:t xml:space="preserve">. </w:t>
      </w:r>
      <w:r w:rsidRPr="002E2FEC">
        <w:rPr>
          <w:lang w:val="en-US"/>
        </w:rPr>
        <w:t xml:space="preserve">In the plenary session cases analyzed here, there were no instances in which </w:t>
      </w:r>
      <w:proofErr w:type="gramStart"/>
      <w:r w:rsidRPr="002E2FEC">
        <w:rPr>
          <w:lang w:val="en-US"/>
        </w:rPr>
        <w:t>a majority of</w:t>
      </w:r>
      <w:proofErr w:type="gramEnd"/>
      <w:r w:rsidRPr="002E2FEC">
        <w:rPr>
          <w:lang w:val="en-US"/>
        </w:rPr>
        <w:t xml:space="preserve"> the justices were women.</w:t>
      </w:r>
    </w:p>
  </w:footnote>
  <w:footnote w:id="6">
    <w:p w14:paraId="798845F6" w14:textId="370CCA82" w:rsidR="00C10AD0" w:rsidRPr="00C679F5" w:rsidRDefault="00C10AD0" w:rsidP="00B607D2">
      <w:pPr>
        <w:pStyle w:val="FootnoteText"/>
        <w:spacing w:line="240" w:lineRule="auto"/>
        <w:rPr>
          <w:color w:val="FF0000"/>
          <w:lang w:val="en-US"/>
        </w:rPr>
      </w:pPr>
      <w:r>
        <w:rPr>
          <w:rStyle w:val="FootnoteReference"/>
        </w:rPr>
        <w:footnoteRef/>
      </w:r>
      <w:r w:rsidRPr="009B1FAD">
        <w:rPr>
          <w:lang w:val="en-US"/>
        </w:rPr>
        <w:t xml:space="preserve"> </w:t>
      </w:r>
      <w:r w:rsidRPr="00B607D2">
        <w:rPr>
          <w:lang w:val="en-US"/>
        </w:rPr>
        <w:t>For three of the 22 cases</w:t>
      </w:r>
      <w:r>
        <w:rPr>
          <w:lang w:val="en-US"/>
        </w:rPr>
        <w:t>,</w:t>
      </w:r>
      <w:r w:rsidRPr="00B607D2">
        <w:rPr>
          <w:lang w:val="en-US"/>
        </w:rPr>
        <w:t xml:space="preserve"> individual justice votes were not available</w:t>
      </w:r>
      <w:r>
        <w:rPr>
          <w:lang w:val="en-US"/>
        </w:rPr>
        <w:t>.</w:t>
      </w:r>
    </w:p>
  </w:footnote>
  <w:footnote w:id="7">
    <w:p w14:paraId="67B6901B" w14:textId="140EFABA" w:rsidR="00C10AD0" w:rsidRPr="00C31CE3" w:rsidRDefault="00C10AD0" w:rsidP="000A40B2">
      <w:pPr>
        <w:pStyle w:val="FootnoteText"/>
        <w:spacing w:line="240" w:lineRule="auto"/>
        <w:rPr>
          <w:lang w:val="en-US"/>
        </w:rPr>
      </w:pPr>
      <w:r>
        <w:rPr>
          <w:rStyle w:val="FootnoteReference"/>
        </w:rPr>
        <w:footnoteRef/>
      </w:r>
      <w:r w:rsidRPr="00C31CE3">
        <w:rPr>
          <w:lang w:val="en-US"/>
        </w:rPr>
        <w:t xml:space="preserve"> </w:t>
      </w:r>
      <w:r>
        <w:rPr>
          <w:lang w:val="en-US"/>
        </w:rPr>
        <w:t xml:space="preserve">As we noted above, a new nomination procedure was implemented in 2002 that removed the nomination process from the Ministry of Justice. </w:t>
      </w:r>
    </w:p>
  </w:footnote>
  <w:footnote w:id="8">
    <w:p w14:paraId="474ABA11" w14:textId="4C7B1358" w:rsidR="00C10AD0" w:rsidRPr="008578BD" w:rsidRDefault="00C10AD0" w:rsidP="008578BD">
      <w:pPr>
        <w:pStyle w:val="FootnoteText"/>
        <w:spacing w:line="240" w:lineRule="auto"/>
        <w:rPr>
          <w:lang w:val="en-US"/>
        </w:rPr>
      </w:pPr>
      <w:r w:rsidRPr="008578BD">
        <w:rPr>
          <w:rStyle w:val="FootnoteReference"/>
        </w:rPr>
        <w:footnoteRef/>
      </w:r>
      <w:r w:rsidRPr="008578BD">
        <w:rPr>
          <w:lang w:val="en-US"/>
        </w:rPr>
        <w:t xml:space="preserve"> We have not included all the constituent elements of the interaction term, primarily because the correlation between interaction term and economic issue is high (.65)</w:t>
      </w:r>
      <w:r>
        <w:rPr>
          <w:lang w:val="en-US"/>
        </w:rPr>
        <w:t>.  The economic issue variable is non-significant when the interaction term is not included in the model.</w:t>
      </w:r>
    </w:p>
  </w:footnote>
  <w:footnote w:id="9">
    <w:p w14:paraId="785E4F28" w14:textId="29FD0ECE" w:rsidR="00C10AD0" w:rsidRPr="008E02B8" w:rsidRDefault="00C10AD0" w:rsidP="000A40B2">
      <w:pPr>
        <w:pStyle w:val="FootnoteText"/>
        <w:spacing w:line="240" w:lineRule="auto"/>
        <w:rPr>
          <w:lang w:val="en-US"/>
        </w:rPr>
      </w:pPr>
      <w:r w:rsidRPr="008E02B8">
        <w:rPr>
          <w:rStyle w:val="FootnoteReference"/>
        </w:rPr>
        <w:footnoteRef/>
      </w:r>
      <w:r w:rsidRPr="008578BD">
        <w:rPr>
          <w:lang w:val="en-US"/>
        </w:rPr>
        <w:t xml:space="preserve"> </w:t>
      </w:r>
      <w:r w:rsidRPr="008E02B8">
        <w:rPr>
          <w:lang w:val="en-US"/>
        </w:rPr>
        <w:t xml:space="preserve">We note that the five elements of fractionalization and the fractionalization index were not </w:t>
      </w:r>
      <w:r>
        <w:rPr>
          <w:lang w:val="en-US"/>
        </w:rPr>
        <w:t>correlated.</w:t>
      </w:r>
    </w:p>
  </w:footnote>
  <w:footnote w:id="10">
    <w:p w14:paraId="7BF0EE44" w14:textId="77777777" w:rsidR="00C10AD0" w:rsidRPr="00F70EEB" w:rsidRDefault="00C10AD0" w:rsidP="002254CB">
      <w:pPr>
        <w:pStyle w:val="FootnoteText"/>
        <w:spacing w:line="240" w:lineRule="auto"/>
        <w:rPr>
          <w:lang w:val="en-US"/>
        </w:rPr>
      </w:pPr>
      <w:r>
        <w:rPr>
          <w:rStyle w:val="FootnoteReference"/>
        </w:rPr>
        <w:footnoteRef/>
      </w:r>
      <w:r w:rsidRPr="00F70EEB">
        <w:rPr>
          <w:lang w:val="en-US"/>
        </w:rPr>
        <w:t xml:space="preserve"> </w:t>
      </w:r>
      <w:r w:rsidRPr="002D712B">
        <w:rPr>
          <w:lang w:val="en-US"/>
        </w:rPr>
        <w:t xml:space="preserve">While beyond the scope of this study, Supreme Court decisions might track public opinion (McGuire and Stimson, 2004; </w:t>
      </w:r>
      <w:proofErr w:type="spellStart"/>
      <w:r w:rsidRPr="002D712B">
        <w:rPr>
          <w:lang w:val="en-US"/>
        </w:rPr>
        <w:t>Mishler</w:t>
      </w:r>
      <w:proofErr w:type="spellEnd"/>
      <w:r w:rsidRPr="002D712B">
        <w:rPr>
          <w:lang w:val="en-US"/>
        </w:rPr>
        <w:t xml:space="preserve"> and Sheehan, 1993; </w:t>
      </w:r>
      <w:proofErr w:type="spellStart"/>
      <w:r w:rsidRPr="002D712B">
        <w:rPr>
          <w:lang w:val="en-US"/>
        </w:rPr>
        <w:t>Flemming</w:t>
      </w:r>
      <w:proofErr w:type="spellEnd"/>
      <w:r w:rsidRPr="002D712B">
        <w:rPr>
          <w:lang w:val="en-US"/>
        </w:rPr>
        <w:t xml:space="preserve"> and Wood, 1997).</w:t>
      </w:r>
    </w:p>
  </w:footnote>
  <w:footnote w:id="11">
    <w:p w14:paraId="64F1A94D" w14:textId="5BBDCFFE" w:rsidR="00C10AD0" w:rsidRPr="002D712B" w:rsidRDefault="00C10AD0" w:rsidP="002D712B">
      <w:pPr>
        <w:pStyle w:val="FootnoteText"/>
        <w:spacing w:line="240" w:lineRule="auto"/>
        <w:rPr>
          <w:lang w:val="en-US"/>
        </w:rPr>
      </w:pPr>
      <w:r>
        <w:rPr>
          <w:szCs w:val="24"/>
          <w:vertAlign w:val="superscript"/>
          <w:lang w:val="en-US"/>
        </w:rPr>
        <w:t xml:space="preserve">12 </w:t>
      </w:r>
      <w:r w:rsidRPr="002D712B">
        <w:rPr>
          <w:lang w:val="en-US"/>
        </w:rPr>
        <w:t>Only 22 cases of the 26 are included, since the parliamentary ideological direction was not determined in 3 cases, and the overall Court ruling was not available in 1 case. The table is based on a cross tabulation reported in Kisen (2014:61).</w:t>
      </w:r>
    </w:p>
  </w:footnote>
  <w:footnote w:id="12">
    <w:p w14:paraId="1CF75A73" w14:textId="77777777" w:rsidR="00C10AD0" w:rsidRPr="000F7AB4" w:rsidRDefault="00C10AD0" w:rsidP="00A0398C">
      <w:pPr>
        <w:pStyle w:val="FootnoteText"/>
        <w:spacing w:line="240" w:lineRule="auto"/>
        <w:rPr>
          <w:vertAlign w:val="subscript"/>
          <w:lang w:val="en-US"/>
        </w:rPr>
      </w:pPr>
      <w:r>
        <w:rPr>
          <w:rStyle w:val="FootnoteReference"/>
        </w:rPr>
        <w:footnoteRef/>
      </w:r>
      <w:r w:rsidRPr="000F7AB4">
        <w:rPr>
          <w:lang w:val="en-US"/>
        </w:rPr>
        <w:t xml:space="preserve"> The lambda coefficient (</w:t>
      </w:r>
      <w:r w:rsidRPr="002D712B">
        <w:t>λ</w:t>
      </w:r>
      <w:r w:rsidRPr="000F7AB4">
        <w:rPr>
          <w:vertAlign w:val="subscript"/>
          <w:lang w:val="en-US"/>
        </w:rPr>
        <w:t>B</w:t>
      </w:r>
      <w:r w:rsidRPr="000F7AB4">
        <w:rPr>
          <w:lang w:val="en-US"/>
        </w:rPr>
        <w:t>) formula taken from Hays and Winkler (1970:211)</w:t>
      </w:r>
      <w:r w:rsidRPr="000F7AB4">
        <w:rPr>
          <w:vertAlign w:val="subscript"/>
          <w:lang w:val="en-US"/>
        </w:rPr>
        <w:t>:</w:t>
      </w:r>
    </w:p>
    <w:p w14:paraId="5855BB07" w14:textId="77777777" w:rsidR="00C10AD0" w:rsidRPr="000F7AB4" w:rsidRDefault="00C10AD0" w:rsidP="00A0398C">
      <w:pPr>
        <w:pStyle w:val="FootnoteText"/>
        <w:spacing w:line="240" w:lineRule="auto"/>
        <w:rPr>
          <w:vertAlign w:val="subscript"/>
          <w:lang w:val="en-US"/>
        </w:rPr>
      </w:pPr>
      <w:r w:rsidRPr="000F7AB4">
        <w:rPr>
          <w:vertAlign w:val="subscript"/>
          <w:lang w:val="en-US"/>
        </w:rPr>
        <w:tab/>
      </w:r>
      <w:r w:rsidRPr="000F7AB4">
        <w:rPr>
          <w:vertAlign w:val="subscript"/>
          <w:lang w:val="en-US"/>
        </w:rPr>
        <w:tab/>
      </w:r>
      <w:r w:rsidRPr="000F7AB4">
        <w:rPr>
          <w:lang w:val="en-US"/>
        </w:rPr>
        <w:t>“</w:t>
      </w:r>
      <w:r w:rsidRPr="002D712B">
        <w:t>λ</w:t>
      </w:r>
      <w:r w:rsidRPr="000F7AB4">
        <w:rPr>
          <w:vertAlign w:val="subscript"/>
          <w:lang w:val="en-US"/>
        </w:rPr>
        <w:t xml:space="preserve">B = </w:t>
      </w:r>
      <w:r w:rsidRPr="002D712B">
        <w:t>Σ</w:t>
      </w:r>
      <w:r w:rsidRPr="000F7AB4">
        <w:rPr>
          <w:lang w:val="en-US"/>
        </w:rPr>
        <w:t xml:space="preserve"> max. </w:t>
      </w:r>
      <w:proofErr w:type="spellStart"/>
      <w:r w:rsidRPr="000F7AB4">
        <w:rPr>
          <w:lang w:val="en-US"/>
        </w:rPr>
        <w:t>f</w:t>
      </w:r>
      <w:r w:rsidRPr="000F7AB4">
        <w:rPr>
          <w:vertAlign w:val="subscript"/>
          <w:lang w:val="en-US"/>
        </w:rPr>
        <w:t>jk</w:t>
      </w:r>
      <w:proofErr w:type="spellEnd"/>
      <w:r w:rsidRPr="000F7AB4">
        <w:rPr>
          <w:lang w:val="en-US"/>
        </w:rPr>
        <w:t xml:space="preserve"> – max </w:t>
      </w:r>
      <w:proofErr w:type="spellStart"/>
      <w:r w:rsidRPr="000F7AB4">
        <w:rPr>
          <w:lang w:val="en-US"/>
        </w:rPr>
        <w:t>f</w:t>
      </w:r>
      <w:r w:rsidRPr="000F7AB4">
        <w:rPr>
          <w:vertAlign w:val="subscript"/>
          <w:lang w:val="en-US"/>
        </w:rPr>
        <w:t>.k</w:t>
      </w:r>
      <w:proofErr w:type="spellEnd"/>
      <w:r w:rsidRPr="000F7AB4">
        <w:rPr>
          <w:lang w:val="en-US"/>
        </w:rPr>
        <w:t xml:space="preserve"> / N - max </w:t>
      </w:r>
      <w:proofErr w:type="spellStart"/>
      <w:r w:rsidRPr="000F7AB4">
        <w:rPr>
          <w:lang w:val="en-US"/>
        </w:rPr>
        <w:t>f</w:t>
      </w:r>
      <w:r w:rsidRPr="000F7AB4">
        <w:rPr>
          <w:vertAlign w:val="subscript"/>
          <w:lang w:val="en-US"/>
        </w:rPr>
        <w:t>.k</w:t>
      </w:r>
      <w:proofErr w:type="spellEnd"/>
    </w:p>
    <w:p w14:paraId="6BF4DFCB" w14:textId="77777777" w:rsidR="00C10AD0" w:rsidRPr="000F7AB4" w:rsidRDefault="00C10AD0" w:rsidP="00A0398C">
      <w:pPr>
        <w:pStyle w:val="FootnoteText"/>
        <w:spacing w:line="240" w:lineRule="auto"/>
        <w:rPr>
          <w:vertAlign w:val="superscript"/>
          <w:lang w:val="en-US"/>
        </w:rPr>
      </w:pPr>
      <w:r w:rsidRPr="000F7AB4">
        <w:rPr>
          <w:lang w:val="en-US"/>
        </w:rPr>
        <w:tab/>
      </w:r>
      <w:r w:rsidRPr="000F7AB4">
        <w:rPr>
          <w:lang w:val="en-US"/>
        </w:rPr>
        <w:tab/>
        <w:t xml:space="preserve">         </w:t>
      </w:r>
      <w:r w:rsidRPr="000F7AB4">
        <w:rPr>
          <w:vertAlign w:val="superscript"/>
          <w:lang w:val="en-US"/>
        </w:rPr>
        <w:t>j       k</w:t>
      </w:r>
      <w:r w:rsidRPr="000F7AB4">
        <w:rPr>
          <w:vertAlign w:val="superscript"/>
          <w:lang w:val="en-US"/>
        </w:rPr>
        <w:tab/>
        <w:t xml:space="preserve">        </w:t>
      </w:r>
      <w:proofErr w:type="spellStart"/>
      <w:r w:rsidRPr="000F7AB4">
        <w:rPr>
          <w:vertAlign w:val="superscript"/>
          <w:lang w:val="en-US"/>
        </w:rPr>
        <w:t>k</w:t>
      </w:r>
      <w:proofErr w:type="spellEnd"/>
      <w:r w:rsidRPr="000F7AB4">
        <w:rPr>
          <w:vertAlign w:val="superscript"/>
          <w:lang w:val="en-US"/>
        </w:rPr>
        <w:tab/>
      </w:r>
      <w:r w:rsidRPr="000F7AB4">
        <w:rPr>
          <w:vertAlign w:val="superscript"/>
          <w:lang w:val="en-US"/>
        </w:rPr>
        <w:tab/>
        <w:t xml:space="preserve">   </w:t>
      </w:r>
      <w:proofErr w:type="spellStart"/>
      <w:r w:rsidRPr="000F7AB4">
        <w:rPr>
          <w:vertAlign w:val="superscript"/>
          <w:lang w:val="en-US"/>
        </w:rPr>
        <w:t>k</w:t>
      </w:r>
      <w:proofErr w:type="spellEnd"/>
    </w:p>
    <w:p w14:paraId="2C3A704C" w14:textId="77777777" w:rsidR="00C10AD0" w:rsidRPr="000F7AB4" w:rsidRDefault="00C10AD0" w:rsidP="00A0398C">
      <w:pPr>
        <w:pStyle w:val="FootnoteText"/>
        <w:spacing w:line="240" w:lineRule="auto"/>
        <w:rPr>
          <w:lang w:val="en-US"/>
        </w:rPr>
      </w:pPr>
      <w:r w:rsidRPr="000F7AB4">
        <w:rPr>
          <w:lang w:val="en-US"/>
        </w:rPr>
        <w:tab/>
        <w:t>where,</w:t>
      </w:r>
    </w:p>
    <w:p w14:paraId="58F2EFB2" w14:textId="77777777" w:rsidR="00C10AD0" w:rsidRPr="000F7AB4" w:rsidRDefault="00C10AD0" w:rsidP="00A0398C">
      <w:pPr>
        <w:pStyle w:val="FootnoteText"/>
        <w:spacing w:line="240" w:lineRule="auto"/>
        <w:rPr>
          <w:lang w:val="en-US"/>
        </w:rPr>
      </w:pPr>
      <w:r w:rsidRPr="000F7AB4">
        <w:rPr>
          <w:lang w:val="en-US"/>
        </w:rPr>
        <w:tab/>
      </w:r>
      <w:r w:rsidRPr="000F7AB4">
        <w:rPr>
          <w:lang w:val="en-US"/>
        </w:rPr>
        <w:tab/>
      </w:r>
      <w:proofErr w:type="spellStart"/>
      <w:r w:rsidRPr="000F7AB4">
        <w:rPr>
          <w:lang w:val="en-US"/>
        </w:rPr>
        <w:t>f</w:t>
      </w:r>
      <w:r w:rsidRPr="000F7AB4">
        <w:rPr>
          <w:vertAlign w:val="subscript"/>
          <w:lang w:val="en-US"/>
        </w:rPr>
        <w:t>jk</w:t>
      </w:r>
      <w:proofErr w:type="spellEnd"/>
      <w:r w:rsidRPr="000F7AB4">
        <w:rPr>
          <w:lang w:val="en-US"/>
        </w:rPr>
        <w:t xml:space="preserve"> is the frequency observed in cell (</w:t>
      </w:r>
      <w:proofErr w:type="spellStart"/>
      <w:r w:rsidRPr="000F7AB4">
        <w:rPr>
          <w:lang w:val="en-US"/>
        </w:rPr>
        <w:t>A</w:t>
      </w:r>
      <w:r w:rsidRPr="000F7AB4">
        <w:rPr>
          <w:vertAlign w:val="subscript"/>
          <w:lang w:val="en-US"/>
        </w:rPr>
        <w:t>j</w:t>
      </w:r>
      <w:proofErr w:type="spellEnd"/>
      <w:r w:rsidRPr="000F7AB4">
        <w:rPr>
          <w:lang w:val="en-US"/>
        </w:rPr>
        <w:t>, B</w:t>
      </w:r>
      <w:r w:rsidRPr="000F7AB4">
        <w:rPr>
          <w:vertAlign w:val="subscript"/>
          <w:lang w:val="en-US"/>
        </w:rPr>
        <w:t>k</w:t>
      </w:r>
      <w:r w:rsidRPr="000F7AB4">
        <w:rPr>
          <w:lang w:val="en-US"/>
        </w:rPr>
        <w:t>),</w:t>
      </w:r>
    </w:p>
    <w:p w14:paraId="7AE26291" w14:textId="77777777" w:rsidR="00C10AD0" w:rsidRPr="000F7AB4" w:rsidRDefault="00C10AD0" w:rsidP="00A0398C">
      <w:pPr>
        <w:pStyle w:val="FootnoteText"/>
        <w:spacing w:line="240" w:lineRule="auto"/>
        <w:rPr>
          <w:lang w:val="en-US"/>
        </w:rPr>
      </w:pPr>
      <w:r w:rsidRPr="000F7AB4">
        <w:rPr>
          <w:lang w:val="en-US"/>
        </w:rPr>
        <w:tab/>
      </w:r>
      <w:r w:rsidRPr="000F7AB4">
        <w:rPr>
          <w:lang w:val="en-US"/>
        </w:rPr>
        <w:tab/>
        <w:t xml:space="preserve">max </w:t>
      </w:r>
      <w:proofErr w:type="spellStart"/>
      <w:r w:rsidRPr="000F7AB4">
        <w:rPr>
          <w:lang w:val="en-US"/>
        </w:rPr>
        <w:t>f</w:t>
      </w:r>
      <w:r w:rsidRPr="000F7AB4">
        <w:rPr>
          <w:vertAlign w:val="subscript"/>
          <w:lang w:val="en-US"/>
        </w:rPr>
        <w:t>jk</w:t>
      </w:r>
      <w:proofErr w:type="spellEnd"/>
      <w:r w:rsidRPr="000F7AB4">
        <w:rPr>
          <w:lang w:val="en-US"/>
        </w:rPr>
        <w:t xml:space="preserve"> is the largest frequency in column </w:t>
      </w:r>
      <w:proofErr w:type="spellStart"/>
      <w:r w:rsidRPr="000F7AB4">
        <w:rPr>
          <w:lang w:val="en-US"/>
        </w:rPr>
        <w:t>A</w:t>
      </w:r>
      <w:r w:rsidRPr="000F7AB4">
        <w:rPr>
          <w:vertAlign w:val="subscript"/>
          <w:lang w:val="en-US"/>
        </w:rPr>
        <w:t>j</w:t>
      </w:r>
      <w:proofErr w:type="spellEnd"/>
      <w:r w:rsidRPr="000F7AB4">
        <w:rPr>
          <w:lang w:val="en-US"/>
        </w:rPr>
        <w:t>, and</w:t>
      </w:r>
    </w:p>
    <w:p w14:paraId="59EC4BE3" w14:textId="77777777" w:rsidR="00C10AD0" w:rsidRPr="000F7AB4" w:rsidRDefault="00C10AD0" w:rsidP="00A0398C">
      <w:pPr>
        <w:pStyle w:val="FootnoteText"/>
        <w:spacing w:line="240" w:lineRule="auto"/>
        <w:rPr>
          <w:vertAlign w:val="superscript"/>
          <w:lang w:val="en-US"/>
        </w:rPr>
      </w:pPr>
      <w:r w:rsidRPr="000F7AB4">
        <w:rPr>
          <w:lang w:val="en-US"/>
        </w:rPr>
        <w:tab/>
      </w:r>
      <w:r w:rsidRPr="000F7AB4">
        <w:rPr>
          <w:lang w:val="en-US"/>
        </w:rPr>
        <w:tab/>
        <w:t xml:space="preserve">   </w:t>
      </w:r>
      <w:r w:rsidRPr="000F7AB4">
        <w:rPr>
          <w:vertAlign w:val="superscript"/>
          <w:lang w:val="en-US"/>
        </w:rPr>
        <w:t>k</w:t>
      </w:r>
    </w:p>
    <w:p w14:paraId="59281D01" w14:textId="23873B3C" w:rsidR="00C10AD0" w:rsidRPr="000F7AB4" w:rsidRDefault="00C10AD0" w:rsidP="00A0398C">
      <w:pPr>
        <w:pStyle w:val="FootnoteText"/>
        <w:spacing w:line="240" w:lineRule="auto"/>
        <w:rPr>
          <w:lang w:val="en-US"/>
        </w:rPr>
      </w:pPr>
      <w:r w:rsidRPr="000F7AB4">
        <w:rPr>
          <w:lang w:val="en-US"/>
        </w:rPr>
        <w:tab/>
      </w:r>
      <w:r w:rsidRPr="000F7AB4">
        <w:rPr>
          <w:lang w:val="en-US"/>
        </w:rPr>
        <w:tab/>
        <w:t xml:space="preserve">max </w:t>
      </w:r>
      <w:proofErr w:type="spellStart"/>
      <w:r w:rsidRPr="000F7AB4">
        <w:rPr>
          <w:lang w:val="en-US"/>
        </w:rPr>
        <w:t>f</w:t>
      </w:r>
      <w:r w:rsidRPr="000F7AB4">
        <w:rPr>
          <w:vertAlign w:val="subscript"/>
          <w:lang w:val="en-US"/>
        </w:rPr>
        <w:t>.k</w:t>
      </w:r>
      <w:proofErr w:type="spellEnd"/>
      <w:r w:rsidRPr="000F7AB4">
        <w:rPr>
          <w:lang w:val="en-US"/>
        </w:rPr>
        <w:t xml:space="preserve"> is the largest marginal frequency among </w:t>
      </w:r>
      <w:r>
        <w:rPr>
          <w:lang w:val="en-US"/>
        </w:rPr>
        <w:t>t</w:t>
      </w:r>
      <w:r w:rsidRPr="000F7AB4">
        <w:rPr>
          <w:lang w:val="en-US"/>
        </w:rPr>
        <w:t>he rows B</w:t>
      </w:r>
      <w:r w:rsidRPr="000F7AB4">
        <w:rPr>
          <w:vertAlign w:val="subscript"/>
          <w:lang w:val="en-US"/>
        </w:rPr>
        <w:t>k</w:t>
      </w:r>
      <w:r w:rsidRPr="000F7AB4">
        <w:rPr>
          <w:lang w:val="en-US"/>
        </w:rPr>
        <w:t>”</w:t>
      </w:r>
    </w:p>
    <w:p w14:paraId="72ED8B86" w14:textId="77777777" w:rsidR="00C10AD0" w:rsidRPr="000F7AB4" w:rsidRDefault="00C10AD0" w:rsidP="00A0398C">
      <w:pPr>
        <w:pStyle w:val="FootnoteText"/>
        <w:spacing w:line="240" w:lineRule="auto"/>
        <w:rPr>
          <w:vertAlign w:val="superscript"/>
          <w:lang w:val="en-US"/>
        </w:rPr>
      </w:pPr>
      <w:r w:rsidRPr="000F7AB4">
        <w:rPr>
          <w:lang w:val="en-US"/>
        </w:rPr>
        <w:tab/>
      </w:r>
      <w:r w:rsidRPr="000F7AB4">
        <w:rPr>
          <w:lang w:val="en-US"/>
        </w:rPr>
        <w:tab/>
        <w:t xml:space="preserve">   </w:t>
      </w:r>
      <w:r w:rsidRPr="000F7AB4">
        <w:rPr>
          <w:vertAlign w:val="superscript"/>
          <w:lang w:val="en-US"/>
        </w:rPr>
        <w:t>k</w:t>
      </w:r>
    </w:p>
    <w:p w14:paraId="1E0E7D8E" w14:textId="77777777" w:rsidR="00C10AD0" w:rsidRPr="00E371C9" w:rsidRDefault="00C10AD0" w:rsidP="00A0398C">
      <w:pPr>
        <w:pStyle w:val="FootnoteText"/>
        <w:spacing w:line="240" w:lineRule="auto"/>
        <w:rPr>
          <w:lang w:val="en-US"/>
        </w:rPr>
      </w:pPr>
    </w:p>
  </w:footnote>
  <w:footnote w:id="13">
    <w:p w14:paraId="215C272B" w14:textId="1BC36D54" w:rsidR="00C10AD0" w:rsidRPr="00D931D7" w:rsidRDefault="00C10AD0" w:rsidP="00D931D7">
      <w:pPr>
        <w:pStyle w:val="FootnoteText"/>
        <w:spacing w:line="240" w:lineRule="auto"/>
        <w:rPr>
          <w:lang w:val="en-US"/>
        </w:rPr>
      </w:pPr>
      <w:r w:rsidRPr="00D931D7">
        <w:rPr>
          <w:rStyle w:val="FootnoteReference"/>
        </w:rPr>
        <w:footnoteRef/>
      </w:r>
      <w:r w:rsidRPr="008578BD">
        <w:rPr>
          <w:lang w:val="en-US"/>
        </w:rPr>
        <w:t xml:space="preserve"> Given that three independent variables proved to have statistically significant effects on votes cast, we re-estimated the equation, which is rep</w:t>
      </w:r>
      <w:r>
        <w:rPr>
          <w:lang w:val="en-US"/>
        </w:rPr>
        <w:t>o</w:t>
      </w:r>
      <w:r w:rsidRPr="008578BD">
        <w:rPr>
          <w:lang w:val="en-US"/>
        </w:rPr>
        <w:t xml:space="preserve">rted in Table </w:t>
      </w:r>
      <w:r>
        <w:rPr>
          <w:lang w:val="en-US"/>
        </w:rPr>
        <w:t xml:space="preserve">6. </w:t>
      </w:r>
      <w:r w:rsidRPr="008578BD">
        <w:rPr>
          <w:lang w:val="en-US"/>
        </w:rPr>
        <w:t>Figures illustrating the changes in probabilities of casting a socialist vote are based on this estimation.</w:t>
      </w:r>
    </w:p>
  </w:footnote>
  <w:footnote w:id="14">
    <w:p w14:paraId="536AFB1C" w14:textId="0475EEE5" w:rsidR="00C10AD0" w:rsidRPr="00CD47CF" w:rsidRDefault="00C10AD0" w:rsidP="00CD47CF">
      <w:pPr>
        <w:pStyle w:val="FootnoteText"/>
        <w:spacing w:line="240" w:lineRule="auto"/>
        <w:rPr>
          <w:lang w:val="en-US"/>
        </w:rPr>
      </w:pPr>
      <w:r w:rsidRPr="00CD47CF">
        <w:rPr>
          <w:rStyle w:val="FootnoteReference"/>
        </w:rPr>
        <w:footnoteRef/>
      </w:r>
      <w:r w:rsidRPr="008578BD">
        <w:rPr>
          <w:lang w:val="en-US"/>
        </w:rPr>
        <w:t xml:space="preserve"> </w:t>
      </w:r>
      <w:r w:rsidRPr="00CD47CF">
        <w:rPr>
          <w:lang w:val="en-US"/>
        </w:rPr>
        <w:t xml:space="preserve">In any event, as apparent in the logit results, </w:t>
      </w:r>
      <w:proofErr w:type="gramStart"/>
      <w:r w:rsidRPr="00CD47CF">
        <w:rPr>
          <w:lang w:val="en-US"/>
        </w:rPr>
        <w:t>whether or not</w:t>
      </w:r>
      <w:proofErr w:type="gramEnd"/>
      <w:r w:rsidRPr="00CD47CF">
        <w:rPr>
          <w:lang w:val="en-US"/>
        </w:rPr>
        <w:t xml:space="preserve"> there was a public or private plaintiff had no bearing on the votes cast by justices.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35C4113A"/>
    <w:lvl w:ilvl="0">
      <w:start w:val="1"/>
      <w:numFmt w:val="decimal"/>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none"/>
      <w:pStyle w:val="Heading4"/>
      <w:suff w:val="nothing"/>
      <w:lvlText w:val=""/>
      <w:lvlJc w:val="left"/>
    </w:lvl>
    <w:lvl w:ilvl="4">
      <w:start w:val="1"/>
      <w:numFmt w:val="none"/>
      <w:suff w:val="nothing"/>
      <w:lvlText w:val=""/>
      <w:lvlJc w:val="left"/>
    </w:lvl>
    <w:lvl w:ilvl="5">
      <w:numFmt w:val="none"/>
      <w:lvlText w:val=""/>
      <w:lvlJc w:val="left"/>
    </w:lvl>
    <w:lvl w:ilvl="6">
      <w:start w:val="1"/>
      <w:numFmt w:val="none"/>
      <w:suff w:val="nothing"/>
      <w:lvlText w:val=""/>
      <w:lvlJc w:val="left"/>
    </w:lvl>
    <w:lvl w:ilvl="7">
      <w:numFmt w:val="none"/>
      <w:lvlText w:val=""/>
      <w:lvlJc w:val="left"/>
    </w:lvl>
    <w:lvl w:ilvl="8">
      <w:numFmt w:val="none"/>
      <w:lvlText w:val=""/>
      <w:lvlJc w:val="left"/>
    </w:lvl>
  </w:abstractNum>
  <w:abstractNum w:abstractNumId="1" w15:restartNumberingAfterBreak="0">
    <w:nsid w:val="05874ED3"/>
    <w:multiLevelType w:val="hybridMultilevel"/>
    <w:tmpl w:val="F1A6FDCA"/>
    <w:lvl w:ilvl="0" w:tplc="87A06EB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5169D"/>
    <w:multiLevelType w:val="hybridMultilevel"/>
    <w:tmpl w:val="61009F38"/>
    <w:lvl w:ilvl="0" w:tplc="BF92C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30A86"/>
    <w:multiLevelType w:val="hybridMultilevel"/>
    <w:tmpl w:val="42EE1FF4"/>
    <w:lvl w:ilvl="0" w:tplc="DFF8B318">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A963080"/>
    <w:multiLevelType w:val="hybridMultilevel"/>
    <w:tmpl w:val="5D08725C"/>
    <w:lvl w:ilvl="0" w:tplc="F0E8A00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B67799"/>
    <w:multiLevelType w:val="hybridMultilevel"/>
    <w:tmpl w:val="F8BE46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6B83613"/>
    <w:multiLevelType w:val="hybridMultilevel"/>
    <w:tmpl w:val="040E0E9A"/>
    <w:lvl w:ilvl="0" w:tplc="1600411A">
      <w:start w:val="197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D8F"/>
    <w:rsid w:val="000000D4"/>
    <w:rsid w:val="000001BF"/>
    <w:rsid w:val="000007B1"/>
    <w:rsid w:val="0000119D"/>
    <w:rsid w:val="0000161F"/>
    <w:rsid w:val="0000263A"/>
    <w:rsid w:val="000026F1"/>
    <w:rsid w:val="0000293C"/>
    <w:rsid w:val="00002DF8"/>
    <w:rsid w:val="00002E67"/>
    <w:rsid w:val="000033EC"/>
    <w:rsid w:val="000035BA"/>
    <w:rsid w:val="00003F51"/>
    <w:rsid w:val="00004406"/>
    <w:rsid w:val="00004E37"/>
    <w:rsid w:val="00004EAC"/>
    <w:rsid w:val="00005698"/>
    <w:rsid w:val="00005E8F"/>
    <w:rsid w:val="0000622B"/>
    <w:rsid w:val="000062CE"/>
    <w:rsid w:val="00006534"/>
    <w:rsid w:val="00006908"/>
    <w:rsid w:val="00007414"/>
    <w:rsid w:val="000079E9"/>
    <w:rsid w:val="00010393"/>
    <w:rsid w:val="00010AD6"/>
    <w:rsid w:val="00010BD2"/>
    <w:rsid w:val="00011C30"/>
    <w:rsid w:val="00011FAF"/>
    <w:rsid w:val="000120AE"/>
    <w:rsid w:val="0001269C"/>
    <w:rsid w:val="00012AF1"/>
    <w:rsid w:val="00013001"/>
    <w:rsid w:val="0001311A"/>
    <w:rsid w:val="00013241"/>
    <w:rsid w:val="00013451"/>
    <w:rsid w:val="00013A39"/>
    <w:rsid w:val="000142A9"/>
    <w:rsid w:val="00014527"/>
    <w:rsid w:val="00014D18"/>
    <w:rsid w:val="00014D9E"/>
    <w:rsid w:val="00015190"/>
    <w:rsid w:val="000152A3"/>
    <w:rsid w:val="00015409"/>
    <w:rsid w:val="00015D43"/>
    <w:rsid w:val="000160B3"/>
    <w:rsid w:val="00016A4B"/>
    <w:rsid w:val="00016D83"/>
    <w:rsid w:val="00020195"/>
    <w:rsid w:val="000208FD"/>
    <w:rsid w:val="000219BA"/>
    <w:rsid w:val="00021B0C"/>
    <w:rsid w:val="00021DF9"/>
    <w:rsid w:val="00021EA0"/>
    <w:rsid w:val="00022733"/>
    <w:rsid w:val="00022FFB"/>
    <w:rsid w:val="00023388"/>
    <w:rsid w:val="000233A1"/>
    <w:rsid w:val="00023BDF"/>
    <w:rsid w:val="000242A4"/>
    <w:rsid w:val="000243C4"/>
    <w:rsid w:val="00024B29"/>
    <w:rsid w:val="0002522E"/>
    <w:rsid w:val="00026336"/>
    <w:rsid w:val="000279A0"/>
    <w:rsid w:val="00027DEF"/>
    <w:rsid w:val="00027E37"/>
    <w:rsid w:val="0003035B"/>
    <w:rsid w:val="00030763"/>
    <w:rsid w:val="00030E30"/>
    <w:rsid w:val="00030E36"/>
    <w:rsid w:val="00031488"/>
    <w:rsid w:val="00031C79"/>
    <w:rsid w:val="00031FC0"/>
    <w:rsid w:val="000321E9"/>
    <w:rsid w:val="00032D64"/>
    <w:rsid w:val="00032E97"/>
    <w:rsid w:val="00033B28"/>
    <w:rsid w:val="0003427C"/>
    <w:rsid w:val="00034B67"/>
    <w:rsid w:val="00034C43"/>
    <w:rsid w:val="00034DD6"/>
    <w:rsid w:val="00034E7E"/>
    <w:rsid w:val="00035178"/>
    <w:rsid w:val="0003575C"/>
    <w:rsid w:val="0003607E"/>
    <w:rsid w:val="0003620E"/>
    <w:rsid w:val="0003694F"/>
    <w:rsid w:val="00036BBE"/>
    <w:rsid w:val="00036DAD"/>
    <w:rsid w:val="00037A63"/>
    <w:rsid w:val="00040762"/>
    <w:rsid w:val="00040823"/>
    <w:rsid w:val="000409EC"/>
    <w:rsid w:val="000417A2"/>
    <w:rsid w:val="00041889"/>
    <w:rsid w:val="00041C13"/>
    <w:rsid w:val="0004349E"/>
    <w:rsid w:val="00043D48"/>
    <w:rsid w:val="00044665"/>
    <w:rsid w:val="00044DE1"/>
    <w:rsid w:val="00044F76"/>
    <w:rsid w:val="0004534D"/>
    <w:rsid w:val="00045DFD"/>
    <w:rsid w:val="00045E91"/>
    <w:rsid w:val="000469B3"/>
    <w:rsid w:val="000469E8"/>
    <w:rsid w:val="0004718A"/>
    <w:rsid w:val="00047FAD"/>
    <w:rsid w:val="000501C8"/>
    <w:rsid w:val="0005029B"/>
    <w:rsid w:val="00050567"/>
    <w:rsid w:val="00050C91"/>
    <w:rsid w:val="00051187"/>
    <w:rsid w:val="0005158C"/>
    <w:rsid w:val="000515AC"/>
    <w:rsid w:val="0005170B"/>
    <w:rsid w:val="000517EE"/>
    <w:rsid w:val="00051E06"/>
    <w:rsid w:val="0005207A"/>
    <w:rsid w:val="00052BDB"/>
    <w:rsid w:val="000532F7"/>
    <w:rsid w:val="00053582"/>
    <w:rsid w:val="000538CD"/>
    <w:rsid w:val="00054B46"/>
    <w:rsid w:val="00054F8F"/>
    <w:rsid w:val="00055316"/>
    <w:rsid w:val="00055FD0"/>
    <w:rsid w:val="0005600F"/>
    <w:rsid w:val="000566AD"/>
    <w:rsid w:val="000567D0"/>
    <w:rsid w:val="00057058"/>
    <w:rsid w:val="00057570"/>
    <w:rsid w:val="000576D0"/>
    <w:rsid w:val="00057945"/>
    <w:rsid w:val="0006053A"/>
    <w:rsid w:val="000606A0"/>
    <w:rsid w:val="00060762"/>
    <w:rsid w:val="00060B63"/>
    <w:rsid w:val="000616D4"/>
    <w:rsid w:val="000621CD"/>
    <w:rsid w:val="000629D2"/>
    <w:rsid w:val="00062AD4"/>
    <w:rsid w:val="00062B6F"/>
    <w:rsid w:val="000634AF"/>
    <w:rsid w:val="00064060"/>
    <w:rsid w:val="00064399"/>
    <w:rsid w:val="0006485A"/>
    <w:rsid w:val="00064B0F"/>
    <w:rsid w:val="00064D9D"/>
    <w:rsid w:val="0006525F"/>
    <w:rsid w:val="00065539"/>
    <w:rsid w:val="00065C79"/>
    <w:rsid w:val="00066774"/>
    <w:rsid w:val="00066C35"/>
    <w:rsid w:val="00066E5B"/>
    <w:rsid w:val="000675D4"/>
    <w:rsid w:val="000702DA"/>
    <w:rsid w:val="0007077E"/>
    <w:rsid w:val="00070796"/>
    <w:rsid w:val="000709BF"/>
    <w:rsid w:val="00070E91"/>
    <w:rsid w:val="00070F27"/>
    <w:rsid w:val="0007109B"/>
    <w:rsid w:val="00071C44"/>
    <w:rsid w:val="00071CF3"/>
    <w:rsid w:val="0007265A"/>
    <w:rsid w:val="000728C1"/>
    <w:rsid w:val="00072E31"/>
    <w:rsid w:val="00072F7A"/>
    <w:rsid w:val="0007311C"/>
    <w:rsid w:val="00073771"/>
    <w:rsid w:val="00074AB5"/>
    <w:rsid w:val="00074E37"/>
    <w:rsid w:val="00074F6E"/>
    <w:rsid w:val="0007590D"/>
    <w:rsid w:val="00075AB2"/>
    <w:rsid w:val="00075D08"/>
    <w:rsid w:val="00075F99"/>
    <w:rsid w:val="00076352"/>
    <w:rsid w:val="000764B5"/>
    <w:rsid w:val="000766E9"/>
    <w:rsid w:val="0007686B"/>
    <w:rsid w:val="000769BF"/>
    <w:rsid w:val="00076E0D"/>
    <w:rsid w:val="000772B5"/>
    <w:rsid w:val="00077A6C"/>
    <w:rsid w:val="00077E5F"/>
    <w:rsid w:val="00080016"/>
    <w:rsid w:val="000802F0"/>
    <w:rsid w:val="000808BF"/>
    <w:rsid w:val="000811EA"/>
    <w:rsid w:val="0008129D"/>
    <w:rsid w:val="00081307"/>
    <w:rsid w:val="0008164A"/>
    <w:rsid w:val="00081FD2"/>
    <w:rsid w:val="000823C0"/>
    <w:rsid w:val="000823E1"/>
    <w:rsid w:val="00082713"/>
    <w:rsid w:val="0008325C"/>
    <w:rsid w:val="00083C11"/>
    <w:rsid w:val="000842D9"/>
    <w:rsid w:val="00084872"/>
    <w:rsid w:val="00084A91"/>
    <w:rsid w:val="00084DA9"/>
    <w:rsid w:val="00085F4C"/>
    <w:rsid w:val="00086AC4"/>
    <w:rsid w:val="00086C3C"/>
    <w:rsid w:val="00086D87"/>
    <w:rsid w:val="00086DBF"/>
    <w:rsid w:val="00086E66"/>
    <w:rsid w:val="000870C5"/>
    <w:rsid w:val="00087306"/>
    <w:rsid w:val="0008788A"/>
    <w:rsid w:val="00087C44"/>
    <w:rsid w:val="00090340"/>
    <w:rsid w:val="000904CC"/>
    <w:rsid w:val="00090552"/>
    <w:rsid w:val="00090598"/>
    <w:rsid w:val="00090A40"/>
    <w:rsid w:val="00090A54"/>
    <w:rsid w:val="00090E9E"/>
    <w:rsid w:val="00090F9F"/>
    <w:rsid w:val="0009120C"/>
    <w:rsid w:val="00091311"/>
    <w:rsid w:val="0009147D"/>
    <w:rsid w:val="0009181E"/>
    <w:rsid w:val="00092CB9"/>
    <w:rsid w:val="00092DE7"/>
    <w:rsid w:val="00093681"/>
    <w:rsid w:val="00093FA5"/>
    <w:rsid w:val="000942EA"/>
    <w:rsid w:val="0009455B"/>
    <w:rsid w:val="0009478F"/>
    <w:rsid w:val="000950E7"/>
    <w:rsid w:val="00095254"/>
    <w:rsid w:val="00096040"/>
    <w:rsid w:val="00096138"/>
    <w:rsid w:val="00096251"/>
    <w:rsid w:val="0009645A"/>
    <w:rsid w:val="000966DC"/>
    <w:rsid w:val="000968AB"/>
    <w:rsid w:val="000968B0"/>
    <w:rsid w:val="0009699C"/>
    <w:rsid w:val="000969FE"/>
    <w:rsid w:val="00096D67"/>
    <w:rsid w:val="00097358"/>
    <w:rsid w:val="00097598"/>
    <w:rsid w:val="0009759A"/>
    <w:rsid w:val="000A0028"/>
    <w:rsid w:val="000A03F7"/>
    <w:rsid w:val="000A0CED"/>
    <w:rsid w:val="000A21CB"/>
    <w:rsid w:val="000A225E"/>
    <w:rsid w:val="000A2717"/>
    <w:rsid w:val="000A2762"/>
    <w:rsid w:val="000A27C7"/>
    <w:rsid w:val="000A2BAF"/>
    <w:rsid w:val="000A2D16"/>
    <w:rsid w:val="000A35D8"/>
    <w:rsid w:val="000A3D22"/>
    <w:rsid w:val="000A3DC6"/>
    <w:rsid w:val="000A3E58"/>
    <w:rsid w:val="000A3EF2"/>
    <w:rsid w:val="000A403B"/>
    <w:rsid w:val="000A40B2"/>
    <w:rsid w:val="000A45F5"/>
    <w:rsid w:val="000A50ED"/>
    <w:rsid w:val="000A5873"/>
    <w:rsid w:val="000A6171"/>
    <w:rsid w:val="000A6567"/>
    <w:rsid w:val="000A696A"/>
    <w:rsid w:val="000A7EBE"/>
    <w:rsid w:val="000B0131"/>
    <w:rsid w:val="000B0215"/>
    <w:rsid w:val="000B07C1"/>
    <w:rsid w:val="000B0A23"/>
    <w:rsid w:val="000B1383"/>
    <w:rsid w:val="000B1776"/>
    <w:rsid w:val="000B22C9"/>
    <w:rsid w:val="000B235F"/>
    <w:rsid w:val="000B2456"/>
    <w:rsid w:val="000B25A9"/>
    <w:rsid w:val="000B3AE9"/>
    <w:rsid w:val="000B3C2D"/>
    <w:rsid w:val="000B4099"/>
    <w:rsid w:val="000B45C1"/>
    <w:rsid w:val="000B46CA"/>
    <w:rsid w:val="000B476D"/>
    <w:rsid w:val="000B504A"/>
    <w:rsid w:val="000B6A7D"/>
    <w:rsid w:val="000B6CA9"/>
    <w:rsid w:val="000B73BF"/>
    <w:rsid w:val="000B77ED"/>
    <w:rsid w:val="000B7969"/>
    <w:rsid w:val="000B7BC4"/>
    <w:rsid w:val="000C0557"/>
    <w:rsid w:val="000C0F63"/>
    <w:rsid w:val="000C19D8"/>
    <w:rsid w:val="000C1D55"/>
    <w:rsid w:val="000C2144"/>
    <w:rsid w:val="000C2245"/>
    <w:rsid w:val="000C25A5"/>
    <w:rsid w:val="000C35C9"/>
    <w:rsid w:val="000C35D5"/>
    <w:rsid w:val="000C3AD4"/>
    <w:rsid w:val="000C3D65"/>
    <w:rsid w:val="000C3EF0"/>
    <w:rsid w:val="000C3F58"/>
    <w:rsid w:val="000C407A"/>
    <w:rsid w:val="000C44E8"/>
    <w:rsid w:val="000C458E"/>
    <w:rsid w:val="000C472D"/>
    <w:rsid w:val="000C4F33"/>
    <w:rsid w:val="000C5A6D"/>
    <w:rsid w:val="000C6319"/>
    <w:rsid w:val="000C6A39"/>
    <w:rsid w:val="000C764E"/>
    <w:rsid w:val="000C7804"/>
    <w:rsid w:val="000C7B4C"/>
    <w:rsid w:val="000C7B89"/>
    <w:rsid w:val="000C7BB8"/>
    <w:rsid w:val="000C7D48"/>
    <w:rsid w:val="000D0136"/>
    <w:rsid w:val="000D02CD"/>
    <w:rsid w:val="000D0A97"/>
    <w:rsid w:val="000D0B9C"/>
    <w:rsid w:val="000D125B"/>
    <w:rsid w:val="000D1B1F"/>
    <w:rsid w:val="000D2213"/>
    <w:rsid w:val="000D25DD"/>
    <w:rsid w:val="000D2A1A"/>
    <w:rsid w:val="000D2FDF"/>
    <w:rsid w:val="000D35DE"/>
    <w:rsid w:val="000D3A5D"/>
    <w:rsid w:val="000D3ADC"/>
    <w:rsid w:val="000D4DEB"/>
    <w:rsid w:val="000D50B8"/>
    <w:rsid w:val="000D51A6"/>
    <w:rsid w:val="000D542E"/>
    <w:rsid w:val="000D5521"/>
    <w:rsid w:val="000D5613"/>
    <w:rsid w:val="000D57D2"/>
    <w:rsid w:val="000D57D4"/>
    <w:rsid w:val="000D6C20"/>
    <w:rsid w:val="000D737B"/>
    <w:rsid w:val="000D7724"/>
    <w:rsid w:val="000D78E7"/>
    <w:rsid w:val="000D7F29"/>
    <w:rsid w:val="000E083B"/>
    <w:rsid w:val="000E09F7"/>
    <w:rsid w:val="000E0A7F"/>
    <w:rsid w:val="000E0C67"/>
    <w:rsid w:val="000E0DDD"/>
    <w:rsid w:val="000E0F3D"/>
    <w:rsid w:val="000E100E"/>
    <w:rsid w:val="000E151B"/>
    <w:rsid w:val="000E196A"/>
    <w:rsid w:val="000E1E68"/>
    <w:rsid w:val="000E2278"/>
    <w:rsid w:val="000E23F3"/>
    <w:rsid w:val="000E260B"/>
    <w:rsid w:val="000E2688"/>
    <w:rsid w:val="000E2AC9"/>
    <w:rsid w:val="000E2DAF"/>
    <w:rsid w:val="000E395C"/>
    <w:rsid w:val="000E3991"/>
    <w:rsid w:val="000E3C2C"/>
    <w:rsid w:val="000E3D64"/>
    <w:rsid w:val="000E401E"/>
    <w:rsid w:val="000E40F1"/>
    <w:rsid w:val="000E4D7F"/>
    <w:rsid w:val="000E5621"/>
    <w:rsid w:val="000E5718"/>
    <w:rsid w:val="000E5BB0"/>
    <w:rsid w:val="000E5E3E"/>
    <w:rsid w:val="000E5EAF"/>
    <w:rsid w:val="000E6EF2"/>
    <w:rsid w:val="000F027F"/>
    <w:rsid w:val="000F10C5"/>
    <w:rsid w:val="000F14BC"/>
    <w:rsid w:val="000F2025"/>
    <w:rsid w:val="000F30D1"/>
    <w:rsid w:val="000F3A76"/>
    <w:rsid w:val="000F3B00"/>
    <w:rsid w:val="000F4F2C"/>
    <w:rsid w:val="000F51B9"/>
    <w:rsid w:val="000F51F4"/>
    <w:rsid w:val="000F5C4B"/>
    <w:rsid w:val="000F5EE2"/>
    <w:rsid w:val="000F63F2"/>
    <w:rsid w:val="000F6576"/>
    <w:rsid w:val="000F697A"/>
    <w:rsid w:val="000F6DC8"/>
    <w:rsid w:val="000F72CF"/>
    <w:rsid w:val="000F7449"/>
    <w:rsid w:val="000F74AD"/>
    <w:rsid w:val="000F7AB4"/>
    <w:rsid w:val="000F7EEA"/>
    <w:rsid w:val="00100447"/>
    <w:rsid w:val="0010051E"/>
    <w:rsid w:val="00100564"/>
    <w:rsid w:val="001007B5"/>
    <w:rsid w:val="0010080B"/>
    <w:rsid w:val="00100D0A"/>
    <w:rsid w:val="00101E9A"/>
    <w:rsid w:val="00101EF1"/>
    <w:rsid w:val="0010224F"/>
    <w:rsid w:val="00102AC9"/>
    <w:rsid w:val="00103A77"/>
    <w:rsid w:val="00104701"/>
    <w:rsid w:val="00105456"/>
    <w:rsid w:val="0010557A"/>
    <w:rsid w:val="00105BC7"/>
    <w:rsid w:val="00106692"/>
    <w:rsid w:val="001066BC"/>
    <w:rsid w:val="00106E84"/>
    <w:rsid w:val="001103C3"/>
    <w:rsid w:val="00110775"/>
    <w:rsid w:val="001109CD"/>
    <w:rsid w:val="00110C2D"/>
    <w:rsid w:val="00111143"/>
    <w:rsid w:val="00111E3F"/>
    <w:rsid w:val="00112054"/>
    <w:rsid w:val="00112836"/>
    <w:rsid w:val="001128DC"/>
    <w:rsid w:val="00112C44"/>
    <w:rsid w:val="00112CF3"/>
    <w:rsid w:val="00112F94"/>
    <w:rsid w:val="0011323E"/>
    <w:rsid w:val="001132C2"/>
    <w:rsid w:val="001133C2"/>
    <w:rsid w:val="0011357C"/>
    <w:rsid w:val="001139A4"/>
    <w:rsid w:val="00113CB1"/>
    <w:rsid w:val="00113FE5"/>
    <w:rsid w:val="00114069"/>
    <w:rsid w:val="001141EC"/>
    <w:rsid w:val="001145D3"/>
    <w:rsid w:val="0011488D"/>
    <w:rsid w:val="001158BE"/>
    <w:rsid w:val="00115BF9"/>
    <w:rsid w:val="001160B3"/>
    <w:rsid w:val="0011630D"/>
    <w:rsid w:val="00116672"/>
    <w:rsid w:val="00116D7E"/>
    <w:rsid w:val="0011718D"/>
    <w:rsid w:val="001172CF"/>
    <w:rsid w:val="001175D7"/>
    <w:rsid w:val="0011775D"/>
    <w:rsid w:val="00117788"/>
    <w:rsid w:val="00120CA7"/>
    <w:rsid w:val="00121297"/>
    <w:rsid w:val="00121B78"/>
    <w:rsid w:val="00121D2F"/>
    <w:rsid w:val="00121EDD"/>
    <w:rsid w:val="00122BA8"/>
    <w:rsid w:val="00122BE3"/>
    <w:rsid w:val="00123307"/>
    <w:rsid w:val="0012388D"/>
    <w:rsid w:val="00123D3F"/>
    <w:rsid w:val="00124310"/>
    <w:rsid w:val="0012477E"/>
    <w:rsid w:val="00124ACF"/>
    <w:rsid w:val="00125031"/>
    <w:rsid w:val="0012529C"/>
    <w:rsid w:val="00125601"/>
    <w:rsid w:val="001256AD"/>
    <w:rsid w:val="0012572D"/>
    <w:rsid w:val="00125854"/>
    <w:rsid w:val="00125B46"/>
    <w:rsid w:val="00125EEE"/>
    <w:rsid w:val="001264EA"/>
    <w:rsid w:val="001265CB"/>
    <w:rsid w:val="001265F4"/>
    <w:rsid w:val="001266B3"/>
    <w:rsid w:val="001268BD"/>
    <w:rsid w:val="00126AAA"/>
    <w:rsid w:val="00126B05"/>
    <w:rsid w:val="00126C94"/>
    <w:rsid w:val="00130764"/>
    <w:rsid w:val="00130888"/>
    <w:rsid w:val="00130971"/>
    <w:rsid w:val="00130A46"/>
    <w:rsid w:val="00131095"/>
    <w:rsid w:val="001311E3"/>
    <w:rsid w:val="0013138F"/>
    <w:rsid w:val="00131404"/>
    <w:rsid w:val="001316E9"/>
    <w:rsid w:val="00131A7E"/>
    <w:rsid w:val="00131C8D"/>
    <w:rsid w:val="00131E74"/>
    <w:rsid w:val="0013227F"/>
    <w:rsid w:val="001325F1"/>
    <w:rsid w:val="00132920"/>
    <w:rsid w:val="00132CCB"/>
    <w:rsid w:val="001338C9"/>
    <w:rsid w:val="00134030"/>
    <w:rsid w:val="001346A0"/>
    <w:rsid w:val="00134A72"/>
    <w:rsid w:val="00135470"/>
    <w:rsid w:val="001366C1"/>
    <w:rsid w:val="00136A6A"/>
    <w:rsid w:val="00136C8B"/>
    <w:rsid w:val="001370BB"/>
    <w:rsid w:val="001374AA"/>
    <w:rsid w:val="00137602"/>
    <w:rsid w:val="00137659"/>
    <w:rsid w:val="001376F4"/>
    <w:rsid w:val="001377FE"/>
    <w:rsid w:val="00137CE9"/>
    <w:rsid w:val="00137EA0"/>
    <w:rsid w:val="00140747"/>
    <w:rsid w:val="00141085"/>
    <w:rsid w:val="0014156F"/>
    <w:rsid w:val="00141577"/>
    <w:rsid w:val="00141E31"/>
    <w:rsid w:val="001421FF"/>
    <w:rsid w:val="00142537"/>
    <w:rsid w:val="00142D62"/>
    <w:rsid w:val="00143197"/>
    <w:rsid w:val="00143267"/>
    <w:rsid w:val="001435D8"/>
    <w:rsid w:val="00143E69"/>
    <w:rsid w:val="00144766"/>
    <w:rsid w:val="00144A70"/>
    <w:rsid w:val="00144A77"/>
    <w:rsid w:val="00144B99"/>
    <w:rsid w:val="00144CE5"/>
    <w:rsid w:val="001458A6"/>
    <w:rsid w:val="0014617D"/>
    <w:rsid w:val="00146F0C"/>
    <w:rsid w:val="0014713B"/>
    <w:rsid w:val="001475E8"/>
    <w:rsid w:val="00147B91"/>
    <w:rsid w:val="00147C82"/>
    <w:rsid w:val="0015080A"/>
    <w:rsid w:val="00151F95"/>
    <w:rsid w:val="0015253D"/>
    <w:rsid w:val="00153684"/>
    <w:rsid w:val="00153EBC"/>
    <w:rsid w:val="00153F60"/>
    <w:rsid w:val="001540A9"/>
    <w:rsid w:val="0015420E"/>
    <w:rsid w:val="0015428A"/>
    <w:rsid w:val="00154586"/>
    <w:rsid w:val="001547CE"/>
    <w:rsid w:val="001548BD"/>
    <w:rsid w:val="0015506F"/>
    <w:rsid w:val="0015582A"/>
    <w:rsid w:val="00155D76"/>
    <w:rsid w:val="00155FE0"/>
    <w:rsid w:val="001560F8"/>
    <w:rsid w:val="0015643C"/>
    <w:rsid w:val="00156948"/>
    <w:rsid w:val="00156A50"/>
    <w:rsid w:val="00156B93"/>
    <w:rsid w:val="001576D4"/>
    <w:rsid w:val="001578BD"/>
    <w:rsid w:val="00157ACE"/>
    <w:rsid w:val="00157E9D"/>
    <w:rsid w:val="00157F39"/>
    <w:rsid w:val="00160346"/>
    <w:rsid w:val="001605FF"/>
    <w:rsid w:val="00160745"/>
    <w:rsid w:val="00160A67"/>
    <w:rsid w:val="00160C23"/>
    <w:rsid w:val="00160FC7"/>
    <w:rsid w:val="00161B5E"/>
    <w:rsid w:val="00161D66"/>
    <w:rsid w:val="00162B44"/>
    <w:rsid w:val="001631EE"/>
    <w:rsid w:val="00163CBC"/>
    <w:rsid w:val="00163DCE"/>
    <w:rsid w:val="00163E30"/>
    <w:rsid w:val="0016409C"/>
    <w:rsid w:val="0016409D"/>
    <w:rsid w:val="0016420F"/>
    <w:rsid w:val="0016487E"/>
    <w:rsid w:val="00164C28"/>
    <w:rsid w:val="00165E66"/>
    <w:rsid w:val="00165F2A"/>
    <w:rsid w:val="001667CE"/>
    <w:rsid w:val="0016707B"/>
    <w:rsid w:val="0016766F"/>
    <w:rsid w:val="00167851"/>
    <w:rsid w:val="001678B4"/>
    <w:rsid w:val="001702C3"/>
    <w:rsid w:val="0017050B"/>
    <w:rsid w:val="00170866"/>
    <w:rsid w:val="00170AB1"/>
    <w:rsid w:val="00170BF5"/>
    <w:rsid w:val="00170CD8"/>
    <w:rsid w:val="00171149"/>
    <w:rsid w:val="0017212A"/>
    <w:rsid w:val="001723FD"/>
    <w:rsid w:val="00172441"/>
    <w:rsid w:val="00172CCC"/>
    <w:rsid w:val="001733D9"/>
    <w:rsid w:val="00173595"/>
    <w:rsid w:val="00174974"/>
    <w:rsid w:val="00174B64"/>
    <w:rsid w:val="00174FC3"/>
    <w:rsid w:val="001755A0"/>
    <w:rsid w:val="001764B8"/>
    <w:rsid w:val="00176B1E"/>
    <w:rsid w:val="00177110"/>
    <w:rsid w:val="0018066E"/>
    <w:rsid w:val="001807BF"/>
    <w:rsid w:val="00180A16"/>
    <w:rsid w:val="001811F5"/>
    <w:rsid w:val="001820F4"/>
    <w:rsid w:val="00182CDF"/>
    <w:rsid w:val="00183220"/>
    <w:rsid w:val="00183271"/>
    <w:rsid w:val="00183A77"/>
    <w:rsid w:val="00183B75"/>
    <w:rsid w:val="00183D7A"/>
    <w:rsid w:val="001842B6"/>
    <w:rsid w:val="00184353"/>
    <w:rsid w:val="0018437A"/>
    <w:rsid w:val="00185336"/>
    <w:rsid w:val="0018541E"/>
    <w:rsid w:val="0018554F"/>
    <w:rsid w:val="00185B56"/>
    <w:rsid w:val="0018681E"/>
    <w:rsid w:val="00186AA9"/>
    <w:rsid w:val="00186CD6"/>
    <w:rsid w:val="00186D9C"/>
    <w:rsid w:val="00186FE3"/>
    <w:rsid w:val="00187F6F"/>
    <w:rsid w:val="00190963"/>
    <w:rsid w:val="00191E52"/>
    <w:rsid w:val="0019251D"/>
    <w:rsid w:val="001927CE"/>
    <w:rsid w:val="00192B59"/>
    <w:rsid w:val="0019346D"/>
    <w:rsid w:val="00193651"/>
    <w:rsid w:val="00193C35"/>
    <w:rsid w:val="0019484C"/>
    <w:rsid w:val="00194AB3"/>
    <w:rsid w:val="00194BC2"/>
    <w:rsid w:val="00194D54"/>
    <w:rsid w:val="00195C25"/>
    <w:rsid w:val="00195C3E"/>
    <w:rsid w:val="00195E81"/>
    <w:rsid w:val="001964BD"/>
    <w:rsid w:val="00196503"/>
    <w:rsid w:val="00196A01"/>
    <w:rsid w:val="0019718E"/>
    <w:rsid w:val="00197292"/>
    <w:rsid w:val="00197686"/>
    <w:rsid w:val="001978FC"/>
    <w:rsid w:val="001A06A3"/>
    <w:rsid w:val="001A1976"/>
    <w:rsid w:val="001A1A64"/>
    <w:rsid w:val="001A274B"/>
    <w:rsid w:val="001A28EB"/>
    <w:rsid w:val="001A2C04"/>
    <w:rsid w:val="001A2D12"/>
    <w:rsid w:val="001A2EBE"/>
    <w:rsid w:val="001A3CB9"/>
    <w:rsid w:val="001A3D47"/>
    <w:rsid w:val="001A45AE"/>
    <w:rsid w:val="001A46AD"/>
    <w:rsid w:val="001A49B2"/>
    <w:rsid w:val="001A4E54"/>
    <w:rsid w:val="001A5E13"/>
    <w:rsid w:val="001A5EC8"/>
    <w:rsid w:val="001A63A6"/>
    <w:rsid w:val="001A6543"/>
    <w:rsid w:val="001A6863"/>
    <w:rsid w:val="001A7764"/>
    <w:rsid w:val="001A7EFE"/>
    <w:rsid w:val="001A7F80"/>
    <w:rsid w:val="001B02FF"/>
    <w:rsid w:val="001B03DD"/>
    <w:rsid w:val="001B16DF"/>
    <w:rsid w:val="001B1C2C"/>
    <w:rsid w:val="001B1ED2"/>
    <w:rsid w:val="001B2051"/>
    <w:rsid w:val="001B2DA2"/>
    <w:rsid w:val="001B336E"/>
    <w:rsid w:val="001B33B7"/>
    <w:rsid w:val="001B4067"/>
    <w:rsid w:val="001B40E0"/>
    <w:rsid w:val="001B5952"/>
    <w:rsid w:val="001B602B"/>
    <w:rsid w:val="001B6772"/>
    <w:rsid w:val="001B67C4"/>
    <w:rsid w:val="001B7EEB"/>
    <w:rsid w:val="001C06E7"/>
    <w:rsid w:val="001C0C2A"/>
    <w:rsid w:val="001C12AD"/>
    <w:rsid w:val="001C18B0"/>
    <w:rsid w:val="001C1F83"/>
    <w:rsid w:val="001C285D"/>
    <w:rsid w:val="001C31E9"/>
    <w:rsid w:val="001C36BF"/>
    <w:rsid w:val="001C39C6"/>
    <w:rsid w:val="001C3C53"/>
    <w:rsid w:val="001C3C6B"/>
    <w:rsid w:val="001C41C3"/>
    <w:rsid w:val="001C48E5"/>
    <w:rsid w:val="001C4F71"/>
    <w:rsid w:val="001C61EE"/>
    <w:rsid w:val="001C6F95"/>
    <w:rsid w:val="001C7422"/>
    <w:rsid w:val="001C7B08"/>
    <w:rsid w:val="001C7F4C"/>
    <w:rsid w:val="001D10B9"/>
    <w:rsid w:val="001D1144"/>
    <w:rsid w:val="001D1717"/>
    <w:rsid w:val="001D1CEA"/>
    <w:rsid w:val="001D1D08"/>
    <w:rsid w:val="001D2070"/>
    <w:rsid w:val="001D22F5"/>
    <w:rsid w:val="001D24DC"/>
    <w:rsid w:val="001D31F3"/>
    <w:rsid w:val="001D3A25"/>
    <w:rsid w:val="001D3DB7"/>
    <w:rsid w:val="001D3ED9"/>
    <w:rsid w:val="001D404D"/>
    <w:rsid w:val="001D51B8"/>
    <w:rsid w:val="001D61D4"/>
    <w:rsid w:val="001D68A7"/>
    <w:rsid w:val="001D68F8"/>
    <w:rsid w:val="001D6A76"/>
    <w:rsid w:val="001D6EA9"/>
    <w:rsid w:val="001D713E"/>
    <w:rsid w:val="001D7AB6"/>
    <w:rsid w:val="001D7E6E"/>
    <w:rsid w:val="001E02F3"/>
    <w:rsid w:val="001E0371"/>
    <w:rsid w:val="001E10AF"/>
    <w:rsid w:val="001E11BB"/>
    <w:rsid w:val="001E11BD"/>
    <w:rsid w:val="001E1C4D"/>
    <w:rsid w:val="001E23D6"/>
    <w:rsid w:val="001E2487"/>
    <w:rsid w:val="001E28C3"/>
    <w:rsid w:val="001E2924"/>
    <w:rsid w:val="001E354B"/>
    <w:rsid w:val="001E37F1"/>
    <w:rsid w:val="001E39BC"/>
    <w:rsid w:val="001E3ED1"/>
    <w:rsid w:val="001E5906"/>
    <w:rsid w:val="001E5A0A"/>
    <w:rsid w:val="001E5E18"/>
    <w:rsid w:val="001E5F45"/>
    <w:rsid w:val="001E5FDB"/>
    <w:rsid w:val="001E6268"/>
    <w:rsid w:val="001E62D7"/>
    <w:rsid w:val="001E6B77"/>
    <w:rsid w:val="001E70BA"/>
    <w:rsid w:val="001E7801"/>
    <w:rsid w:val="001E7952"/>
    <w:rsid w:val="001E7A08"/>
    <w:rsid w:val="001F0A53"/>
    <w:rsid w:val="001F0AD7"/>
    <w:rsid w:val="001F0D76"/>
    <w:rsid w:val="001F0D78"/>
    <w:rsid w:val="001F2308"/>
    <w:rsid w:val="001F27E6"/>
    <w:rsid w:val="001F3141"/>
    <w:rsid w:val="001F334F"/>
    <w:rsid w:val="001F3414"/>
    <w:rsid w:val="001F38F4"/>
    <w:rsid w:val="001F3E4F"/>
    <w:rsid w:val="001F4100"/>
    <w:rsid w:val="001F4196"/>
    <w:rsid w:val="001F46AB"/>
    <w:rsid w:val="001F4A2F"/>
    <w:rsid w:val="001F4A7D"/>
    <w:rsid w:val="001F4D37"/>
    <w:rsid w:val="001F4DEA"/>
    <w:rsid w:val="001F4F3F"/>
    <w:rsid w:val="001F5112"/>
    <w:rsid w:val="001F53E4"/>
    <w:rsid w:val="001F55FA"/>
    <w:rsid w:val="001F6421"/>
    <w:rsid w:val="001F6891"/>
    <w:rsid w:val="001F6940"/>
    <w:rsid w:val="001F6B4F"/>
    <w:rsid w:val="001F6C9D"/>
    <w:rsid w:val="001F6ED1"/>
    <w:rsid w:val="001F7C69"/>
    <w:rsid w:val="00200588"/>
    <w:rsid w:val="00200AD1"/>
    <w:rsid w:val="00201043"/>
    <w:rsid w:val="002010CF"/>
    <w:rsid w:val="0020134E"/>
    <w:rsid w:val="00201E77"/>
    <w:rsid w:val="00201EF4"/>
    <w:rsid w:val="00201F6C"/>
    <w:rsid w:val="0020253A"/>
    <w:rsid w:val="00202981"/>
    <w:rsid w:val="002035D7"/>
    <w:rsid w:val="00203771"/>
    <w:rsid w:val="00203BDD"/>
    <w:rsid w:val="002042B3"/>
    <w:rsid w:val="0020490F"/>
    <w:rsid w:val="00204A9D"/>
    <w:rsid w:val="00204C0F"/>
    <w:rsid w:val="00204C4D"/>
    <w:rsid w:val="00204D2B"/>
    <w:rsid w:val="00205214"/>
    <w:rsid w:val="00205228"/>
    <w:rsid w:val="002059EB"/>
    <w:rsid w:val="00205A36"/>
    <w:rsid w:val="00205C5A"/>
    <w:rsid w:val="002064AF"/>
    <w:rsid w:val="00206AF2"/>
    <w:rsid w:val="00206BA7"/>
    <w:rsid w:val="00207337"/>
    <w:rsid w:val="00207508"/>
    <w:rsid w:val="00207B83"/>
    <w:rsid w:val="00207E8D"/>
    <w:rsid w:val="00210063"/>
    <w:rsid w:val="00210751"/>
    <w:rsid w:val="00210A2A"/>
    <w:rsid w:val="002117D7"/>
    <w:rsid w:val="00211988"/>
    <w:rsid w:val="00211FD2"/>
    <w:rsid w:val="002124A8"/>
    <w:rsid w:val="00212939"/>
    <w:rsid w:val="00212B6C"/>
    <w:rsid w:val="002130F9"/>
    <w:rsid w:val="00213184"/>
    <w:rsid w:val="002133F5"/>
    <w:rsid w:val="0021352A"/>
    <w:rsid w:val="00213546"/>
    <w:rsid w:val="00213FC4"/>
    <w:rsid w:val="002146F4"/>
    <w:rsid w:val="00214A59"/>
    <w:rsid w:val="00214A97"/>
    <w:rsid w:val="00214BD3"/>
    <w:rsid w:val="00216460"/>
    <w:rsid w:val="00216BC4"/>
    <w:rsid w:val="00217B10"/>
    <w:rsid w:val="002201E4"/>
    <w:rsid w:val="002205FA"/>
    <w:rsid w:val="00220E68"/>
    <w:rsid w:val="00220EE1"/>
    <w:rsid w:val="00221470"/>
    <w:rsid w:val="002217AA"/>
    <w:rsid w:val="00221835"/>
    <w:rsid w:val="00221EA2"/>
    <w:rsid w:val="00222195"/>
    <w:rsid w:val="002224D5"/>
    <w:rsid w:val="00222A29"/>
    <w:rsid w:val="002231EA"/>
    <w:rsid w:val="00223407"/>
    <w:rsid w:val="00223756"/>
    <w:rsid w:val="0022376B"/>
    <w:rsid w:val="00223EE0"/>
    <w:rsid w:val="00224335"/>
    <w:rsid w:val="00224F0F"/>
    <w:rsid w:val="002254CB"/>
    <w:rsid w:val="0022558E"/>
    <w:rsid w:val="00225E4B"/>
    <w:rsid w:val="00226608"/>
    <w:rsid w:val="00226AE8"/>
    <w:rsid w:val="00226CA0"/>
    <w:rsid w:val="00227006"/>
    <w:rsid w:val="002270CB"/>
    <w:rsid w:val="002276AC"/>
    <w:rsid w:val="002278BD"/>
    <w:rsid w:val="00227FFD"/>
    <w:rsid w:val="00231A04"/>
    <w:rsid w:val="00231AD4"/>
    <w:rsid w:val="00231D78"/>
    <w:rsid w:val="00232334"/>
    <w:rsid w:val="00232620"/>
    <w:rsid w:val="00233B61"/>
    <w:rsid w:val="00234775"/>
    <w:rsid w:val="002348F1"/>
    <w:rsid w:val="00234CDF"/>
    <w:rsid w:val="002356F2"/>
    <w:rsid w:val="0023595E"/>
    <w:rsid w:val="00236A2B"/>
    <w:rsid w:val="00237336"/>
    <w:rsid w:val="00237507"/>
    <w:rsid w:val="0023767F"/>
    <w:rsid w:val="00237AFB"/>
    <w:rsid w:val="00240275"/>
    <w:rsid w:val="0024036D"/>
    <w:rsid w:val="002403F1"/>
    <w:rsid w:val="0024063A"/>
    <w:rsid w:val="00240EAF"/>
    <w:rsid w:val="002430EE"/>
    <w:rsid w:val="0024313D"/>
    <w:rsid w:val="0024339E"/>
    <w:rsid w:val="00243B61"/>
    <w:rsid w:val="00243E0E"/>
    <w:rsid w:val="0024411C"/>
    <w:rsid w:val="002445D8"/>
    <w:rsid w:val="00244A4C"/>
    <w:rsid w:val="00244CA4"/>
    <w:rsid w:val="00244E1B"/>
    <w:rsid w:val="002452ED"/>
    <w:rsid w:val="002454F1"/>
    <w:rsid w:val="002454FB"/>
    <w:rsid w:val="0024553F"/>
    <w:rsid w:val="00245A2D"/>
    <w:rsid w:val="00245A6F"/>
    <w:rsid w:val="00245EE8"/>
    <w:rsid w:val="0024715D"/>
    <w:rsid w:val="00247BEF"/>
    <w:rsid w:val="0025012B"/>
    <w:rsid w:val="0025068B"/>
    <w:rsid w:val="00250944"/>
    <w:rsid w:val="002529C1"/>
    <w:rsid w:val="00252A7E"/>
    <w:rsid w:val="00252D13"/>
    <w:rsid w:val="00252FF4"/>
    <w:rsid w:val="00253213"/>
    <w:rsid w:val="002534AD"/>
    <w:rsid w:val="002538BC"/>
    <w:rsid w:val="002540E2"/>
    <w:rsid w:val="002543A8"/>
    <w:rsid w:val="00254DC9"/>
    <w:rsid w:val="00254DF2"/>
    <w:rsid w:val="00255371"/>
    <w:rsid w:val="00255667"/>
    <w:rsid w:val="002557A1"/>
    <w:rsid w:val="002562E9"/>
    <w:rsid w:val="002565AF"/>
    <w:rsid w:val="002600D1"/>
    <w:rsid w:val="00260294"/>
    <w:rsid w:val="00260927"/>
    <w:rsid w:val="002610CC"/>
    <w:rsid w:val="00261474"/>
    <w:rsid w:val="0026186F"/>
    <w:rsid w:val="002622A0"/>
    <w:rsid w:val="00262D48"/>
    <w:rsid w:val="00263E62"/>
    <w:rsid w:val="002640D4"/>
    <w:rsid w:val="00264170"/>
    <w:rsid w:val="002641E6"/>
    <w:rsid w:val="00264334"/>
    <w:rsid w:val="00264E88"/>
    <w:rsid w:val="00265C0A"/>
    <w:rsid w:val="00265CE8"/>
    <w:rsid w:val="00265D7B"/>
    <w:rsid w:val="00266267"/>
    <w:rsid w:val="002665D0"/>
    <w:rsid w:val="0026683C"/>
    <w:rsid w:val="0026740D"/>
    <w:rsid w:val="0026769A"/>
    <w:rsid w:val="00267BB1"/>
    <w:rsid w:val="00270086"/>
    <w:rsid w:val="00270BCF"/>
    <w:rsid w:val="00270EEC"/>
    <w:rsid w:val="002713DD"/>
    <w:rsid w:val="002714F4"/>
    <w:rsid w:val="0027187E"/>
    <w:rsid w:val="002718D6"/>
    <w:rsid w:val="00271F6D"/>
    <w:rsid w:val="00272882"/>
    <w:rsid w:val="00272C6C"/>
    <w:rsid w:val="00273F6F"/>
    <w:rsid w:val="00273FCB"/>
    <w:rsid w:val="00274E68"/>
    <w:rsid w:val="00274FAD"/>
    <w:rsid w:val="00275994"/>
    <w:rsid w:val="00275A2A"/>
    <w:rsid w:val="00275EA8"/>
    <w:rsid w:val="00275F42"/>
    <w:rsid w:val="00275F71"/>
    <w:rsid w:val="00276593"/>
    <w:rsid w:val="00276C6B"/>
    <w:rsid w:val="00276F51"/>
    <w:rsid w:val="002770B5"/>
    <w:rsid w:val="002801F2"/>
    <w:rsid w:val="00280506"/>
    <w:rsid w:val="002810BC"/>
    <w:rsid w:val="0028150E"/>
    <w:rsid w:val="00281BB4"/>
    <w:rsid w:val="00283084"/>
    <w:rsid w:val="00283382"/>
    <w:rsid w:val="00283CAE"/>
    <w:rsid w:val="00283D83"/>
    <w:rsid w:val="00283EC7"/>
    <w:rsid w:val="00284111"/>
    <w:rsid w:val="00284393"/>
    <w:rsid w:val="0028545D"/>
    <w:rsid w:val="00285539"/>
    <w:rsid w:val="002857CE"/>
    <w:rsid w:val="00285F12"/>
    <w:rsid w:val="00286C0E"/>
    <w:rsid w:val="00287973"/>
    <w:rsid w:val="00287ABF"/>
    <w:rsid w:val="00287D74"/>
    <w:rsid w:val="00287EE6"/>
    <w:rsid w:val="00290A57"/>
    <w:rsid w:val="002920A1"/>
    <w:rsid w:val="00292B7A"/>
    <w:rsid w:val="00292CED"/>
    <w:rsid w:val="00292F57"/>
    <w:rsid w:val="00293000"/>
    <w:rsid w:val="00294EB5"/>
    <w:rsid w:val="00294EEE"/>
    <w:rsid w:val="00295775"/>
    <w:rsid w:val="002962CC"/>
    <w:rsid w:val="0029693C"/>
    <w:rsid w:val="00296B4D"/>
    <w:rsid w:val="002975F6"/>
    <w:rsid w:val="002978F9"/>
    <w:rsid w:val="002A04F4"/>
    <w:rsid w:val="002A242E"/>
    <w:rsid w:val="002A3556"/>
    <w:rsid w:val="002A35B3"/>
    <w:rsid w:val="002A35C9"/>
    <w:rsid w:val="002A3F71"/>
    <w:rsid w:val="002A3F78"/>
    <w:rsid w:val="002A40BD"/>
    <w:rsid w:val="002A4A83"/>
    <w:rsid w:val="002A4E1A"/>
    <w:rsid w:val="002A53F5"/>
    <w:rsid w:val="002A5D60"/>
    <w:rsid w:val="002A606A"/>
    <w:rsid w:val="002A63D5"/>
    <w:rsid w:val="002A6C6D"/>
    <w:rsid w:val="002A6CB8"/>
    <w:rsid w:val="002A6CD1"/>
    <w:rsid w:val="002A71E3"/>
    <w:rsid w:val="002A7586"/>
    <w:rsid w:val="002A75FE"/>
    <w:rsid w:val="002A77B0"/>
    <w:rsid w:val="002A78F3"/>
    <w:rsid w:val="002A7CDB"/>
    <w:rsid w:val="002A7D69"/>
    <w:rsid w:val="002B00E3"/>
    <w:rsid w:val="002B091F"/>
    <w:rsid w:val="002B0A68"/>
    <w:rsid w:val="002B0C0C"/>
    <w:rsid w:val="002B13B7"/>
    <w:rsid w:val="002B13F6"/>
    <w:rsid w:val="002B14FD"/>
    <w:rsid w:val="002B1B5A"/>
    <w:rsid w:val="002B1BFD"/>
    <w:rsid w:val="002B2333"/>
    <w:rsid w:val="002B27F1"/>
    <w:rsid w:val="002B4BBE"/>
    <w:rsid w:val="002B52FC"/>
    <w:rsid w:val="002B5B34"/>
    <w:rsid w:val="002B5EBF"/>
    <w:rsid w:val="002B6473"/>
    <w:rsid w:val="002B693E"/>
    <w:rsid w:val="002B6E85"/>
    <w:rsid w:val="002B79D8"/>
    <w:rsid w:val="002B7FCE"/>
    <w:rsid w:val="002C02CD"/>
    <w:rsid w:val="002C0B71"/>
    <w:rsid w:val="002C0DBE"/>
    <w:rsid w:val="002C1252"/>
    <w:rsid w:val="002C1D86"/>
    <w:rsid w:val="002C237C"/>
    <w:rsid w:val="002C2895"/>
    <w:rsid w:val="002C2F28"/>
    <w:rsid w:val="002C3383"/>
    <w:rsid w:val="002C35E4"/>
    <w:rsid w:val="002C36F2"/>
    <w:rsid w:val="002C41DD"/>
    <w:rsid w:val="002C4622"/>
    <w:rsid w:val="002C4ECB"/>
    <w:rsid w:val="002C5014"/>
    <w:rsid w:val="002C559A"/>
    <w:rsid w:val="002C57CF"/>
    <w:rsid w:val="002C5884"/>
    <w:rsid w:val="002C5A5B"/>
    <w:rsid w:val="002C5BDF"/>
    <w:rsid w:val="002C5F51"/>
    <w:rsid w:val="002C5F85"/>
    <w:rsid w:val="002C64BE"/>
    <w:rsid w:val="002C6512"/>
    <w:rsid w:val="002C684C"/>
    <w:rsid w:val="002C6A1F"/>
    <w:rsid w:val="002C7605"/>
    <w:rsid w:val="002C7BDC"/>
    <w:rsid w:val="002D00BD"/>
    <w:rsid w:val="002D03DF"/>
    <w:rsid w:val="002D045E"/>
    <w:rsid w:val="002D0A45"/>
    <w:rsid w:val="002D0E9C"/>
    <w:rsid w:val="002D1564"/>
    <w:rsid w:val="002D168B"/>
    <w:rsid w:val="002D1A62"/>
    <w:rsid w:val="002D204A"/>
    <w:rsid w:val="002D2454"/>
    <w:rsid w:val="002D2743"/>
    <w:rsid w:val="002D2A4B"/>
    <w:rsid w:val="002D2B7E"/>
    <w:rsid w:val="002D2EEE"/>
    <w:rsid w:val="002D2F01"/>
    <w:rsid w:val="002D37FB"/>
    <w:rsid w:val="002D411B"/>
    <w:rsid w:val="002D4730"/>
    <w:rsid w:val="002D48D9"/>
    <w:rsid w:val="002D54AF"/>
    <w:rsid w:val="002D57D8"/>
    <w:rsid w:val="002D5A40"/>
    <w:rsid w:val="002D5C97"/>
    <w:rsid w:val="002D63FF"/>
    <w:rsid w:val="002D712B"/>
    <w:rsid w:val="002E03D7"/>
    <w:rsid w:val="002E1027"/>
    <w:rsid w:val="002E190C"/>
    <w:rsid w:val="002E1FCF"/>
    <w:rsid w:val="002E2FEC"/>
    <w:rsid w:val="002E3F52"/>
    <w:rsid w:val="002E4677"/>
    <w:rsid w:val="002E514F"/>
    <w:rsid w:val="002E519E"/>
    <w:rsid w:val="002E54D5"/>
    <w:rsid w:val="002E55FD"/>
    <w:rsid w:val="002E671A"/>
    <w:rsid w:val="002E792E"/>
    <w:rsid w:val="002F039B"/>
    <w:rsid w:val="002F056D"/>
    <w:rsid w:val="002F087F"/>
    <w:rsid w:val="002F097E"/>
    <w:rsid w:val="002F09E7"/>
    <w:rsid w:val="002F0BF7"/>
    <w:rsid w:val="002F0C3C"/>
    <w:rsid w:val="002F0C87"/>
    <w:rsid w:val="002F0CD2"/>
    <w:rsid w:val="002F16D7"/>
    <w:rsid w:val="002F17B7"/>
    <w:rsid w:val="002F251F"/>
    <w:rsid w:val="002F266F"/>
    <w:rsid w:val="002F2A47"/>
    <w:rsid w:val="002F2E4A"/>
    <w:rsid w:val="002F37E4"/>
    <w:rsid w:val="002F3BE1"/>
    <w:rsid w:val="002F3DEC"/>
    <w:rsid w:val="002F4F97"/>
    <w:rsid w:val="002F5479"/>
    <w:rsid w:val="002F57A0"/>
    <w:rsid w:val="002F5D87"/>
    <w:rsid w:val="002F6155"/>
    <w:rsid w:val="002F632A"/>
    <w:rsid w:val="002F659A"/>
    <w:rsid w:val="002F65A2"/>
    <w:rsid w:val="002F6B28"/>
    <w:rsid w:val="002F719E"/>
    <w:rsid w:val="002F7E5B"/>
    <w:rsid w:val="002F7F8B"/>
    <w:rsid w:val="0030019F"/>
    <w:rsid w:val="0030048C"/>
    <w:rsid w:val="00300563"/>
    <w:rsid w:val="00301A85"/>
    <w:rsid w:val="00301D4B"/>
    <w:rsid w:val="0030213E"/>
    <w:rsid w:val="00302545"/>
    <w:rsid w:val="0030265E"/>
    <w:rsid w:val="003027A4"/>
    <w:rsid w:val="00302919"/>
    <w:rsid w:val="003029EF"/>
    <w:rsid w:val="003031A6"/>
    <w:rsid w:val="00303A6E"/>
    <w:rsid w:val="00303DAA"/>
    <w:rsid w:val="00304C3F"/>
    <w:rsid w:val="00304FF8"/>
    <w:rsid w:val="003050CF"/>
    <w:rsid w:val="00305AAD"/>
    <w:rsid w:val="00305FF8"/>
    <w:rsid w:val="003079B0"/>
    <w:rsid w:val="00307CD9"/>
    <w:rsid w:val="00310B32"/>
    <w:rsid w:val="00310D7E"/>
    <w:rsid w:val="00311047"/>
    <w:rsid w:val="0031153A"/>
    <w:rsid w:val="0031172E"/>
    <w:rsid w:val="00312071"/>
    <w:rsid w:val="00312589"/>
    <w:rsid w:val="00312681"/>
    <w:rsid w:val="0031274C"/>
    <w:rsid w:val="003145EF"/>
    <w:rsid w:val="00314E3E"/>
    <w:rsid w:val="00315144"/>
    <w:rsid w:val="00315691"/>
    <w:rsid w:val="0031582E"/>
    <w:rsid w:val="00315B24"/>
    <w:rsid w:val="00316061"/>
    <w:rsid w:val="00316311"/>
    <w:rsid w:val="003175BC"/>
    <w:rsid w:val="00320F35"/>
    <w:rsid w:val="003213AB"/>
    <w:rsid w:val="00322124"/>
    <w:rsid w:val="0032275C"/>
    <w:rsid w:val="003233B8"/>
    <w:rsid w:val="00324225"/>
    <w:rsid w:val="00324D85"/>
    <w:rsid w:val="003253FE"/>
    <w:rsid w:val="00325AAC"/>
    <w:rsid w:val="00326838"/>
    <w:rsid w:val="00326B58"/>
    <w:rsid w:val="00327350"/>
    <w:rsid w:val="003276FE"/>
    <w:rsid w:val="003303C3"/>
    <w:rsid w:val="00331328"/>
    <w:rsid w:val="003315B0"/>
    <w:rsid w:val="00331A87"/>
    <w:rsid w:val="00331B4C"/>
    <w:rsid w:val="00331E75"/>
    <w:rsid w:val="00332F58"/>
    <w:rsid w:val="0033326B"/>
    <w:rsid w:val="003333B9"/>
    <w:rsid w:val="0033372D"/>
    <w:rsid w:val="00333D67"/>
    <w:rsid w:val="00334A29"/>
    <w:rsid w:val="00334FEB"/>
    <w:rsid w:val="00335076"/>
    <w:rsid w:val="003352ED"/>
    <w:rsid w:val="00337F47"/>
    <w:rsid w:val="00340051"/>
    <w:rsid w:val="00340266"/>
    <w:rsid w:val="003409D5"/>
    <w:rsid w:val="00340BEE"/>
    <w:rsid w:val="003414FE"/>
    <w:rsid w:val="0034185F"/>
    <w:rsid w:val="00341C52"/>
    <w:rsid w:val="00341DF9"/>
    <w:rsid w:val="0034376B"/>
    <w:rsid w:val="003441B3"/>
    <w:rsid w:val="0034429E"/>
    <w:rsid w:val="003443BA"/>
    <w:rsid w:val="003451D4"/>
    <w:rsid w:val="00345850"/>
    <w:rsid w:val="00345F44"/>
    <w:rsid w:val="0034647E"/>
    <w:rsid w:val="003471F8"/>
    <w:rsid w:val="0034760C"/>
    <w:rsid w:val="003478F7"/>
    <w:rsid w:val="00347941"/>
    <w:rsid w:val="00347B44"/>
    <w:rsid w:val="0035007F"/>
    <w:rsid w:val="00350639"/>
    <w:rsid w:val="00350C5D"/>
    <w:rsid w:val="00350ED9"/>
    <w:rsid w:val="00351316"/>
    <w:rsid w:val="003513CF"/>
    <w:rsid w:val="0035203C"/>
    <w:rsid w:val="003521F1"/>
    <w:rsid w:val="0035418E"/>
    <w:rsid w:val="0035473C"/>
    <w:rsid w:val="003548B2"/>
    <w:rsid w:val="00354D6C"/>
    <w:rsid w:val="0035563F"/>
    <w:rsid w:val="00355F0F"/>
    <w:rsid w:val="00356239"/>
    <w:rsid w:val="00356521"/>
    <w:rsid w:val="00356F23"/>
    <w:rsid w:val="0035735A"/>
    <w:rsid w:val="003573F5"/>
    <w:rsid w:val="00357596"/>
    <w:rsid w:val="0035765F"/>
    <w:rsid w:val="003577CB"/>
    <w:rsid w:val="00357B77"/>
    <w:rsid w:val="00357EAE"/>
    <w:rsid w:val="0036002C"/>
    <w:rsid w:val="0036047F"/>
    <w:rsid w:val="00360B3B"/>
    <w:rsid w:val="00360E00"/>
    <w:rsid w:val="00361ED5"/>
    <w:rsid w:val="00361F81"/>
    <w:rsid w:val="0036217F"/>
    <w:rsid w:val="00362D49"/>
    <w:rsid w:val="00363186"/>
    <w:rsid w:val="00363240"/>
    <w:rsid w:val="00363667"/>
    <w:rsid w:val="0036437F"/>
    <w:rsid w:val="003644A6"/>
    <w:rsid w:val="0036460B"/>
    <w:rsid w:val="00364631"/>
    <w:rsid w:val="00364C4E"/>
    <w:rsid w:val="00364CCD"/>
    <w:rsid w:val="00364F6E"/>
    <w:rsid w:val="003654C1"/>
    <w:rsid w:val="003655DD"/>
    <w:rsid w:val="00365C3B"/>
    <w:rsid w:val="003662F0"/>
    <w:rsid w:val="003668CC"/>
    <w:rsid w:val="003669D7"/>
    <w:rsid w:val="00366D18"/>
    <w:rsid w:val="00366D2B"/>
    <w:rsid w:val="00366E06"/>
    <w:rsid w:val="00366EDB"/>
    <w:rsid w:val="003675F0"/>
    <w:rsid w:val="003703D2"/>
    <w:rsid w:val="0037050A"/>
    <w:rsid w:val="003707E2"/>
    <w:rsid w:val="003714B9"/>
    <w:rsid w:val="0037157D"/>
    <w:rsid w:val="0037164C"/>
    <w:rsid w:val="00371DF5"/>
    <w:rsid w:val="003728FB"/>
    <w:rsid w:val="003734D6"/>
    <w:rsid w:val="003735A9"/>
    <w:rsid w:val="003740B1"/>
    <w:rsid w:val="00374130"/>
    <w:rsid w:val="00374707"/>
    <w:rsid w:val="00375366"/>
    <w:rsid w:val="00375B93"/>
    <w:rsid w:val="00375BE1"/>
    <w:rsid w:val="00375D91"/>
    <w:rsid w:val="00375E6F"/>
    <w:rsid w:val="00375EB9"/>
    <w:rsid w:val="0037607B"/>
    <w:rsid w:val="003762C9"/>
    <w:rsid w:val="00376BEB"/>
    <w:rsid w:val="00377237"/>
    <w:rsid w:val="00377391"/>
    <w:rsid w:val="003773A9"/>
    <w:rsid w:val="00377476"/>
    <w:rsid w:val="003774B7"/>
    <w:rsid w:val="0037773C"/>
    <w:rsid w:val="00377759"/>
    <w:rsid w:val="0037781A"/>
    <w:rsid w:val="00377E45"/>
    <w:rsid w:val="0038031F"/>
    <w:rsid w:val="003803AF"/>
    <w:rsid w:val="003803EE"/>
    <w:rsid w:val="00380787"/>
    <w:rsid w:val="003809D6"/>
    <w:rsid w:val="0038146A"/>
    <w:rsid w:val="003827AD"/>
    <w:rsid w:val="003828BA"/>
    <w:rsid w:val="00382953"/>
    <w:rsid w:val="003829B1"/>
    <w:rsid w:val="003831D8"/>
    <w:rsid w:val="0038362D"/>
    <w:rsid w:val="00383757"/>
    <w:rsid w:val="00383820"/>
    <w:rsid w:val="0038383D"/>
    <w:rsid w:val="00383B2F"/>
    <w:rsid w:val="00383B6E"/>
    <w:rsid w:val="00383CB2"/>
    <w:rsid w:val="00384AA0"/>
    <w:rsid w:val="00384EAA"/>
    <w:rsid w:val="00384EB1"/>
    <w:rsid w:val="00384FA7"/>
    <w:rsid w:val="00385464"/>
    <w:rsid w:val="00385EE1"/>
    <w:rsid w:val="00386565"/>
    <w:rsid w:val="0038681B"/>
    <w:rsid w:val="003875AE"/>
    <w:rsid w:val="00387641"/>
    <w:rsid w:val="0038793E"/>
    <w:rsid w:val="00387C69"/>
    <w:rsid w:val="00391F9A"/>
    <w:rsid w:val="00392217"/>
    <w:rsid w:val="003925C3"/>
    <w:rsid w:val="003940EA"/>
    <w:rsid w:val="0039456F"/>
    <w:rsid w:val="003949C9"/>
    <w:rsid w:val="003957AB"/>
    <w:rsid w:val="003958E0"/>
    <w:rsid w:val="00395A8B"/>
    <w:rsid w:val="00395CFA"/>
    <w:rsid w:val="00396084"/>
    <w:rsid w:val="00396274"/>
    <w:rsid w:val="0039703C"/>
    <w:rsid w:val="003975FC"/>
    <w:rsid w:val="003A0AFE"/>
    <w:rsid w:val="003A1130"/>
    <w:rsid w:val="003A11C1"/>
    <w:rsid w:val="003A23D2"/>
    <w:rsid w:val="003A2647"/>
    <w:rsid w:val="003A2A00"/>
    <w:rsid w:val="003A2DE3"/>
    <w:rsid w:val="003A30C9"/>
    <w:rsid w:val="003A349C"/>
    <w:rsid w:val="003A3BE9"/>
    <w:rsid w:val="003A4735"/>
    <w:rsid w:val="003A4BDB"/>
    <w:rsid w:val="003A4D6A"/>
    <w:rsid w:val="003A6338"/>
    <w:rsid w:val="003A639A"/>
    <w:rsid w:val="003A63CD"/>
    <w:rsid w:val="003A6A62"/>
    <w:rsid w:val="003A6CB7"/>
    <w:rsid w:val="003A77FC"/>
    <w:rsid w:val="003B01CF"/>
    <w:rsid w:val="003B0346"/>
    <w:rsid w:val="003B0A49"/>
    <w:rsid w:val="003B0E02"/>
    <w:rsid w:val="003B0ECB"/>
    <w:rsid w:val="003B1162"/>
    <w:rsid w:val="003B20DD"/>
    <w:rsid w:val="003B2694"/>
    <w:rsid w:val="003B2CCA"/>
    <w:rsid w:val="003B3634"/>
    <w:rsid w:val="003B3D37"/>
    <w:rsid w:val="003B4036"/>
    <w:rsid w:val="003B408C"/>
    <w:rsid w:val="003B43CC"/>
    <w:rsid w:val="003B4407"/>
    <w:rsid w:val="003B4895"/>
    <w:rsid w:val="003B48D4"/>
    <w:rsid w:val="003B4A8F"/>
    <w:rsid w:val="003B4EAE"/>
    <w:rsid w:val="003B54EA"/>
    <w:rsid w:val="003B56D4"/>
    <w:rsid w:val="003B5AAC"/>
    <w:rsid w:val="003B5DCA"/>
    <w:rsid w:val="003B633B"/>
    <w:rsid w:val="003B6916"/>
    <w:rsid w:val="003B6A5E"/>
    <w:rsid w:val="003B6C66"/>
    <w:rsid w:val="003B6F1C"/>
    <w:rsid w:val="003B6F89"/>
    <w:rsid w:val="003B6F8B"/>
    <w:rsid w:val="003B7985"/>
    <w:rsid w:val="003B7BA6"/>
    <w:rsid w:val="003B7BB7"/>
    <w:rsid w:val="003B7F2F"/>
    <w:rsid w:val="003C0AA2"/>
    <w:rsid w:val="003C0E8E"/>
    <w:rsid w:val="003C10E8"/>
    <w:rsid w:val="003C1506"/>
    <w:rsid w:val="003C22D2"/>
    <w:rsid w:val="003C297F"/>
    <w:rsid w:val="003C2F8C"/>
    <w:rsid w:val="003C3218"/>
    <w:rsid w:val="003C3C7B"/>
    <w:rsid w:val="003C3E4E"/>
    <w:rsid w:val="003C3FA7"/>
    <w:rsid w:val="003C44DA"/>
    <w:rsid w:val="003C4842"/>
    <w:rsid w:val="003C4E87"/>
    <w:rsid w:val="003C55E3"/>
    <w:rsid w:val="003C6A45"/>
    <w:rsid w:val="003C6A86"/>
    <w:rsid w:val="003C6B9F"/>
    <w:rsid w:val="003C7623"/>
    <w:rsid w:val="003C7A18"/>
    <w:rsid w:val="003C7D08"/>
    <w:rsid w:val="003D020D"/>
    <w:rsid w:val="003D0373"/>
    <w:rsid w:val="003D0FCF"/>
    <w:rsid w:val="003D1629"/>
    <w:rsid w:val="003D1772"/>
    <w:rsid w:val="003D1BF5"/>
    <w:rsid w:val="003D2440"/>
    <w:rsid w:val="003D2991"/>
    <w:rsid w:val="003D47B1"/>
    <w:rsid w:val="003D481C"/>
    <w:rsid w:val="003D4C62"/>
    <w:rsid w:val="003D5935"/>
    <w:rsid w:val="003D5F60"/>
    <w:rsid w:val="003D69B7"/>
    <w:rsid w:val="003D69FD"/>
    <w:rsid w:val="003D7AEB"/>
    <w:rsid w:val="003E022F"/>
    <w:rsid w:val="003E0E9E"/>
    <w:rsid w:val="003E19CB"/>
    <w:rsid w:val="003E1EB1"/>
    <w:rsid w:val="003E2530"/>
    <w:rsid w:val="003E2721"/>
    <w:rsid w:val="003E43DB"/>
    <w:rsid w:val="003E44E6"/>
    <w:rsid w:val="003E513C"/>
    <w:rsid w:val="003E570D"/>
    <w:rsid w:val="003E5ABD"/>
    <w:rsid w:val="003E5AD1"/>
    <w:rsid w:val="003E5CE4"/>
    <w:rsid w:val="003E6019"/>
    <w:rsid w:val="003E68C5"/>
    <w:rsid w:val="003E6BC7"/>
    <w:rsid w:val="003E6ECC"/>
    <w:rsid w:val="003E74B6"/>
    <w:rsid w:val="003E77CC"/>
    <w:rsid w:val="003E7F28"/>
    <w:rsid w:val="003F0BC5"/>
    <w:rsid w:val="003F0FCA"/>
    <w:rsid w:val="003F11E3"/>
    <w:rsid w:val="003F153E"/>
    <w:rsid w:val="003F1E5F"/>
    <w:rsid w:val="003F2566"/>
    <w:rsid w:val="003F28AA"/>
    <w:rsid w:val="003F302B"/>
    <w:rsid w:val="003F3799"/>
    <w:rsid w:val="003F411A"/>
    <w:rsid w:val="003F443B"/>
    <w:rsid w:val="003F447A"/>
    <w:rsid w:val="003F4E67"/>
    <w:rsid w:val="003F5168"/>
    <w:rsid w:val="003F533A"/>
    <w:rsid w:val="003F534F"/>
    <w:rsid w:val="003F5459"/>
    <w:rsid w:val="003F5E11"/>
    <w:rsid w:val="003F60A1"/>
    <w:rsid w:val="003F6D69"/>
    <w:rsid w:val="003F7812"/>
    <w:rsid w:val="003F7921"/>
    <w:rsid w:val="00400315"/>
    <w:rsid w:val="00400CB7"/>
    <w:rsid w:val="00400E9D"/>
    <w:rsid w:val="004015FF"/>
    <w:rsid w:val="004016D2"/>
    <w:rsid w:val="004017AA"/>
    <w:rsid w:val="00401C93"/>
    <w:rsid w:val="004020A5"/>
    <w:rsid w:val="004021D7"/>
    <w:rsid w:val="00402673"/>
    <w:rsid w:val="00402CDA"/>
    <w:rsid w:val="00403E30"/>
    <w:rsid w:val="004042A9"/>
    <w:rsid w:val="00404D00"/>
    <w:rsid w:val="00405919"/>
    <w:rsid w:val="00405954"/>
    <w:rsid w:val="0040599B"/>
    <w:rsid w:val="00405B3F"/>
    <w:rsid w:val="00406565"/>
    <w:rsid w:val="004066AA"/>
    <w:rsid w:val="004068CF"/>
    <w:rsid w:val="00407004"/>
    <w:rsid w:val="00407177"/>
    <w:rsid w:val="0040726E"/>
    <w:rsid w:val="0040751E"/>
    <w:rsid w:val="004075C1"/>
    <w:rsid w:val="00407923"/>
    <w:rsid w:val="00407FA2"/>
    <w:rsid w:val="0041022A"/>
    <w:rsid w:val="00410238"/>
    <w:rsid w:val="0041035D"/>
    <w:rsid w:val="004107A1"/>
    <w:rsid w:val="00410886"/>
    <w:rsid w:val="00410A9F"/>
    <w:rsid w:val="00410D8C"/>
    <w:rsid w:val="004112A6"/>
    <w:rsid w:val="00411DBE"/>
    <w:rsid w:val="00412FA2"/>
    <w:rsid w:val="004132CB"/>
    <w:rsid w:val="00413312"/>
    <w:rsid w:val="00413EA5"/>
    <w:rsid w:val="00413FF2"/>
    <w:rsid w:val="00414012"/>
    <w:rsid w:val="00414325"/>
    <w:rsid w:val="00414C1B"/>
    <w:rsid w:val="00414C81"/>
    <w:rsid w:val="00414CFC"/>
    <w:rsid w:val="00414EA5"/>
    <w:rsid w:val="00415900"/>
    <w:rsid w:val="00415CA2"/>
    <w:rsid w:val="00415D58"/>
    <w:rsid w:val="00416748"/>
    <w:rsid w:val="00416CA9"/>
    <w:rsid w:val="00416ED7"/>
    <w:rsid w:val="004171E8"/>
    <w:rsid w:val="00417729"/>
    <w:rsid w:val="00417809"/>
    <w:rsid w:val="004205B3"/>
    <w:rsid w:val="00420A90"/>
    <w:rsid w:val="00420D5D"/>
    <w:rsid w:val="00420D95"/>
    <w:rsid w:val="00421BA6"/>
    <w:rsid w:val="00421BA8"/>
    <w:rsid w:val="004228EF"/>
    <w:rsid w:val="004239CD"/>
    <w:rsid w:val="00423EE7"/>
    <w:rsid w:val="00423F3D"/>
    <w:rsid w:val="004246E4"/>
    <w:rsid w:val="004247D1"/>
    <w:rsid w:val="00424FF6"/>
    <w:rsid w:val="0042522B"/>
    <w:rsid w:val="00425243"/>
    <w:rsid w:val="0042583A"/>
    <w:rsid w:val="0042583C"/>
    <w:rsid w:val="0042596D"/>
    <w:rsid w:val="00425B70"/>
    <w:rsid w:val="00426213"/>
    <w:rsid w:val="0042669F"/>
    <w:rsid w:val="00426C66"/>
    <w:rsid w:val="00426C7B"/>
    <w:rsid w:val="0042716B"/>
    <w:rsid w:val="00427691"/>
    <w:rsid w:val="004277EA"/>
    <w:rsid w:val="00427883"/>
    <w:rsid w:val="0043047F"/>
    <w:rsid w:val="00430C99"/>
    <w:rsid w:val="00430D4C"/>
    <w:rsid w:val="00431444"/>
    <w:rsid w:val="00432071"/>
    <w:rsid w:val="00433291"/>
    <w:rsid w:val="0043363A"/>
    <w:rsid w:val="00433922"/>
    <w:rsid w:val="0043399D"/>
    <w:rsid w:val="00433BF8"/>
    <w:rsid w:val="00433FB6"/>
    <w:rsid w:val="00434FDD"/>
    <w:rsid w:val="004359A2"/>
    <w:rsid w:val="004359BB"/>
    <w:rsid w:val="00435E20"/>
    <w:rsid w:val="0043602F"/>
    <w:rsid w:val="00436217"/>
    <w:rsid w:val="00436248"/>
    <w:rsid w:val="0043643D"/>
    <w:rsid w:val="0043654D"/>
    <w:rsid w:val="00436C44"/>
    <w:rsid w:val="00436FE1"/>
    <w:rsid w:val="0043717A"/>
    <w:rsid w:val="004373B7"/>
    <w:rsid w:val="00437E14"/>
    <w:rsid w:val="00437FD6"/>
    <w:rsid w:val="00440056"/>
    <w:rsid w:val="0044023B"/>
    <w:rsid w:val="00441219"/>
    <w:rsid w:val="004415B0"/>
    <w:rsid w:val="00443B75"/>
    <w:rsid w:val="00443D9F"/>
    <w:rsid w:val="00443EC3"/>
    <w:rsid w:val="004442D5"/>
    <w:rsid w:val="004444E4"/>
    <w:rsid w:val="004445A5"/>
    <w:rsid w:val="00444A33"/>
    <w:rsid w:val="00444C3F"/>
    <w:rsid w:val="00444E23"/>
    <w:rsid w:val="00445030"/>
    <w:rsid w:val="0044580D"/>
    <w:rsid w:val="004459A6"/>
    <w:rsid w:val="004459C8"/>
    <w:rsid w:val="00445F65"/>
    <w:rsid w:val="004462DC"/>
    <w:rsid w:val="004465FE"/>
    <w:rsid w:val="00446EB5"/>
    <w:rsid w:val="00446F26"/>
    <w:rsid w:val="0044744D"/>
    <w:rsid w:val="00450780"/>
    <w:rsid w:val="00450AE5"/>
    <w:rsid w:val="00450B61"/>
    <w:rsid w:val="00450CF4"/>
    <w:rsid w:val="00451598"/>
    <w:rsid w:val="0045207D"/>
    <w:rsid w:val="004524EA"/>
    <w:rsid w:val="00452C44"/>
    <w:rsid w:val="00452C59"/>
    <w:rsid w:val="004534D7"/>
    <w:rsid w:val="004540D8"/>
    <w:rsid w:val="0045435D"/>
    <w:rsid w:val="00454D28"/>
    <w:rsid w:val="00455144"/>
    <w:rsid w:val="00455246"/>
    <w:rsid w:val="0045530C"/>
    <w:rsid w:val="00456508"/>
    <w:rsid w:val="004568C1"/>
    <w:rsid w:val="00456D01"/>
    <w:rsid w:val="00456DD3"/>
    <w:rsid w:val="004609F8"/>
    <w:rsid w:val="00460B8B"/>
    <w:rsid w:val="00460F1D"/>
    <w:rsid w:val="00461FCA"/>
    <w:rsid w:val="00462628"/>
    <w:rsid w:val="00462733"/>
    <w:rsid w:val="004629BE"/>
    <w:rsid w:val="00462C5B"/>
    <w:rsid w:val="00462CB3"/>
    <w:rsid w:val="00463013"/>
    <w:rsid w:val="0046321F"/>
    <w:rsid w:val="00463589"/>
    <w:rsid w:val="00463E9E"/>
    <w:rsid w:val="00463EB7"/>
    <w:rsid w:val="00464E27"/>
    <w:rsid w:val="00465780"/>
    <w:rsid w:val="0046587F"/>
    <w:rsid w:val="00465BA0"/>
    <w:rsid w:val="0046647C"/>
    <w:rsid w:val="004667AA"/>
    <w:rsid w:val="00466E50"/>
    <w:rsid w:val="00467705"/>
    <w:rsid w:val="004701A6"/>
    <w:rsid w:val="00470416"/>
    <w:rsid w:val="004714A0"/>
    <w:rsid w:val="004717E1"/>
    <w:rsid w:val="00472461"/>
    <w:rsid w:val="004728F6"/>
    <w:rsid w:val="00472C9B"/>
    <w:rsid w:val="004732B5"/>
    <w:rsid w:val="004743F2"/>
    <w:rsid w:val="004747A4"/>
    <w:rsid w:val="00474BFF"/>
    <w:rsid w:val="00474D51"/>
    <w:rsid w:val="00475132"/>
    <w:rsid w:val="004759AA"/>
    <w:rsid w:val="0047623F"/>
    <w:rsid w:val="0047778C"/>
    <w:rsid w:val="004801E9"/>
    <w:rsid w:val="004803CC"/>
    <w:rsid w:val="004806D1"/>
    <w:rsid w:val="004808F6"/>
    <w:rsid w:val="00480CF6"/>
    <w:rsid w:val="00480EF1"/>
    <w:rsid w:val="004815EF"/>
    <w:rsid w:val="00481861"/>
    <w:rsid w:val="0048198C"/>
    <w:rsid w:val="004819D7"/>
    <w:rsid w:val="004819DE"/>
    <w:rsid w:val="00481FD5"/>
    <w:rsid w:val="004823BA"/>
    <w:rsid w:val="004823CB"/>
    <w:rsid w:val="004823F8"/>
    <w:rsid w:val="00482603"/>
    <w:rsid w:val="00483B82"/>
    <w:rsid w:val="00483EC1"/>
    <w:rsid w:val="0048403A"/>
    <w:rsid w:val="004842E2"/>
    <w:rsid w:val="004851A9"/>
    <w:rsid w:val="0048521B"/>
    <w:rsid w:val="0048597B"/>
    <w:rsid w:val="004863EB"/>
    <w:rsid w:val="0048671A"/>
    <w:rsid w:val="0048737F"/>
    <w:rsid w:val="004907F0"/>
    <w:rsid w:val="004911E5"/>
    <w:rsid w:val="0049178D"/>
    <w:rsid w:val="004918B2"/>
    <w:rsid w:val="00491A2E"/>
    <w:rsid w:val="00491CB4"/>
    <w:rsid w:val="00491DAF"/>
    <w:rsid w:val="00492375"/>
    <w:rsid w:val="004924D6"/>
    <w:rsid w:val="00492A15"/>
    <w:rsid w:val="004933B7"/>
    <w:rsid w:val="00493888"/>
    <w:rsid w:val="00494704"/>
    <w:rsid w:val="004959CA"/>
    <w:rsid w:val="004961AD"/>
    <w:rsid w:val="00497085"/>
    <w:rsid w:val="00497342"/>
    <w:rsid w:val="004A0EE9"/>
    <w:rsid w:val="004A1040"/>
    <w:rsid w:val="004A1686"/>
    <w:rsid w:val="004A1E20"/>
    <w:rsid w:val="004A1F22"/>
    <w:rsid w:val="004A236C"/>
    <w:rsid w:val="004A26B3"/>
    <w:rsid w:val="004A2830"/>
    <w:rsid w:val="004A332D"/>
    <w:rsid w:val="004A3E23"/>
    <w:rsid w:val="004A4347"/>
    <w:rsid w:val="004A45C7"/>
    <w:rsid w:val="004A4B0C"/>
    <w:rsid w:val="004A5A07"/>
    <w:rsid w:val="004A5ED2"/>
    <w:rsid w:val="004A5F4B"/>
    <w:rsid w:val="004A6950"/>
    <w:rsid w:val="004A72AE"/>
    <w:rsid w:val="004A74C0"/>
    <w:rsid w:val="004B043C"/>
    <w:rsid w:val="004B05FD"/>
    <w:rsid w:val="004B088F"/>
    <w:rsid w:val="004B0E19"/>
    <w:rsid w:val="004B17FC"/>
    <w:rsid w:val="004B2498"/>
    <w:rsid w:val="004B25CD"/>
    <w:rsid w:val="004B2623"/>
    <w:rsid w:val="004B3044"/>
    <w:rsid w:val="004B312E"/>
    <w:rsid w:val="004B3139"/>
    <w:rsid w:val="004B3FB5"/>
    <w:rsid w:val="004B4393"/>
    <w:rsid w:val="004B4438"/>
    <w:rsid w:val="004B49EA"/>
    <w:rsid w:val="004B4D29"/>
    <w:rsid w:val="004B4F50"/>
    <w:rsid w:val="004B521F"/>
    <w:rsid w:val="004B52CC"/>
    <w:rsid w:val="004B6012"/>
    <w:rsid w:val="004B6079"/>
    <w:rsid w:val="004B6548"/>
    <w:rsid w:val="004B6CFB"/>
    <w:rsid w:val="004B7BD9"/>
    <w:rsid w:val="004B7F83"/>
    <w:rsid w:val="004C1384"/>
    <w:rsid w:val="004C13FB"/>
    <w:rsid w:val="004C1473"/>
    <w:rsid w:val="004C1A62"/>
    <w:rsid w:val="004C2410"/>
    <w:rsid w:val="004C2F53"/>
    <w:rsid w:val="004C2FF6"/>
    <w:rsid w:val="004C335F"/>
    <w:rsid w:val="004C35A6"/>
    <w:rsid w:val="004C39AA"/>
    <w:rsid w:val="004C4251"/>
    <w:rsid w:val="004C4750"/>
    <w:rsid w:val="004C4ADA"/>
    <w:rsid w:val="004C4C13"/>
    <w:rsid w:val="004C4F76"/>
    <w:rsid w:val="004C5015"/>
    <w:rsid w:val="004C5C39"/>
    <w:rsid w:val="004C6404"/>
    <w:rsid w:val="004C6A1E"/>
    <w:rsid w:val="004C70DB"/>
    <w:rsid w:val="004C76F7"/>
    <w:rsid w:val="004C78DE"/>
    <w:rsid w:val="004C7A22"/>
    <w:rsid w:val="004C7B6A"/>
    <w:rsid w:val="004C7D2F"/>
    <w:rsid w:val="004C7F71"/>
    <w:rsid w:val="004D01C5"/>
    <w:rsid w:val="004D0A41"/>
    <w:rsid w:val="004D0FD9"/>
    <w:rsid w:val="004D1064"/>
    <w:rsid w:val="004D1316"/>
    <w:rsid w:val="004D145B"/>
    <w:rsid w:val="004D152C"/>
    <w:rsid w:val="004D1F49"/>
    <w:rsid w:val="004D221A"/>
    <w:rsid w:val="004D284D"/>
    <w:rsid w:val="004D390E"/>
    <w:rsid w:val="004D3AF8"/>
    <w:rsid w:val="004D3F85"/>
    <w:rsid w:val="004D4B18"/>
    <w:rsid w:val="004D4EDF"/>
    <w:rsid w:val="004D555A"/>
    <w:rsid w:val="004D574D"/>
    <w:rsid w:val="004D58FD"/>
    <w:rsid w:val="004D5DBF"/>
    <w:rsid w:val="004D65AC"/>
    <w:rsid w:val="004D6C86"/>
    <w:rsid w:val="004D6F30"/>
    <w:rsid w:val="004D7010"/>
    <w:rsid w:val="004E0017"/>
    <w:rsid w:val="004E06F5"/>
    <w:rsid w:val="004E0939"/>
    <w:rsid w:val="004E17A3"/>
    <w:rsid w:val="004E1C3C"/>
    <w:rsid w:val="004E226A"/>
    <w:rsid w:val="004E2428"/>
    <w:rsid w:val="004E24B2"/>
    <w:rsid w:val="004E25E9"/>
    <w:rsid w:val="004E327A"/>
    <w:rsid w:val="004E367B"/>
    <w:rsid w:val="004E36A1"/>
    <w:rsid w:val="004E3FBB"/>
    <w:rsid w:val="004E40E0"/>
    <w:rsid w:val="004E43A8"/>
    <w:rsid w:val="004E45D3"/>
    <w:rsid w:val="004E529F"/>
    <w:rsid w:val="004E617B"/>
    <w:rsid w:val="004E6C18"/>
    <w:rsid w:val="004E6CC8"/>
    <w:rsid w:val="004E6F3D"/>
    <w:rsid w:val="004E6FC6"/>
    <w:rsid w:val="004E721E"/>
    <w:rsid w:val="004E76F5"/>
    <w:rsid w:val="004E77B9"/>
    <w:rsid w:val="004F00DA"/>
    <w:rsid w:val="004F09D2"/>
    <w:rsid w:val="004F0BF2"/>
    <w:rsid w:val="004F0F98"/>
    <w:rsid w:val="004F0FB1"/>
    <w:rsid w:val="004F1661"/>
    <w:rsid w:val="004F1DE1"/>
    <w:rsid w:val="004F214A"/>
    <w:rsid w:val="004F248E"/>
    <w:rsid w:val="004F24CD"/>
    <w:rsid w:val="004F2FB1"/>
    <w:rsid w:val="004F441F"/>
    <w:rsid w:val="004F54F3"/>
    <w:rsid w:val="004F5A1F"/>
    <w:rsid w:val="004F6187"/>
    <w:rsid w:val="004F66D4"/>
    <w:rsid w:val="004F6DE0"/>
    <w:rsid w:val="004F7D67"/>
    <w:rsid w:val="0050040B"/>
    <w:rsid w:val="0050060A"/>
    <w:rsid w:val="00500C46"/>
    <w:rsid w:val="00500F59"/>
    <w:rsid w:val="0050116A"/>
    <w:rsid w:val="00501878"/>
    <w:rsid w:val="00501BA9"/>
    <w:rsid w:val="00502446"/>
    <w:rsid w:val="00502C86"/>
    <w:rsid w:val="00504555"/>
    <w:rsid w:val="005046BD"/>
    <w:rsid w:val="0050477C"/>
    <w:rsid w:val="0050549F"/>
    <w:rsid w:val="005064DA"/>
    <w:rsid w:val="0050654B"/>
    <w:rsid w:val="00506635"/>
    <w:rsid w:val="00506F15"/>
    <w:rsid w:val="005070E5"/>
    <w:rsid w:val="00507726"/>
    <w:rsid w:val="00510728"/>
    <w:rsid w:val="00510B1D"/>
    <w:rsid w:val="00510BBA"/>
    <w:rsid w:val="00510E75"/>
    <w:rsid w:val="00510FD7"/>
    <w:rsid w:val="005114D6"/>
    <w:rsid w:val="005116F8"/>
    <w:rsid w:val="00511AFA"/>
    <w:rsid w:val="00511BE9"/>
    <w:rsid w:val="0051250E"/>
    <w:rsid w:val="00512A69"/>
    <w:rsid w:val="00512E1B"/>
    <w:rsid w:val="0051321E"/>
    <w:rsid w:val="00513894"/>
    <w:rsid w:val="00514C3E"/>
    <w:rsid w:val="00514D28"/>
    <w:rsid w:val="00514F28"/>
    <w:rsid w:val="005159AF"/>
    <w:rsid w:val="00515ECD"/>
    <w:rsid w:val="00516824"/>
    <w:rsid w:val="005170CF"/>
    <w:rsid w:val="00517CDD"/>
    <w:rsid w:val="00517D9A"/>
    <w:rsid w:val="00521C0A"/>
    <w:rsid w:val="00522060"/>
    <w:rsid w:val="005221CB"/>
    <w:rsid w:val="005221DB"/>
    <w:rsid w:val="00522A0E"/>
    <w:rsid w:val="00522CF9"/>
    <w:rsid w:val="00522DA5"/>
    <w:rsid w:val="00523127"/>
    <w:rsid w:val="00523245"/>
    <w:rsid w:val="005236E7"/>
    <w:rsid w:val="00523A74"/>
    <w:rsid w:val="00523B74"/>
    <w:rsid w:val="00523C71"/>
    <w:rsid w:val="00524211"/>
    <w:rsid w:val="005249AB"/>
    <w:rsid w:val="005255F6"/>
    <w:rsid w:val="005266CE"/>
    <w:rsid w:val="005268BC"/>
    <w:rsid w:val="00526A68"/>
    <w:rsid w:val="00526B3A"/>
    <w:rsid w:val="00527DB7"/>
    <w:rsid w:val="00527FD8"/>
    <w:rsid w:val="00530381"/>
    <w:rsid w:val="00530AFF"/>
    <w:rsid w:val="00530B85"/>
    <w:rsid w:val="00530D5D"/>
    <w:rsid w:val="00531486"/>
    <w:rsid w:val="0053297B"/>
    <w:rsid w:val="005348B3"/>
    <w:rsid w:val="005353D1"/>
    <w:rsid w:val="0053618C"/>
    <w:rsid w:val="0053655F"/>
    <w:rsid w:val="00536D13"/>
    <w:rsid w:val="00536D53"/>
    <w:rsid w:val="0053737E"/>
    <w:rsid w:val="00537ADC"/>
    <w:rsid w:val="00537E1E"/>
    <w:rsid w:val="00540352"/>
    <w:rsid w:val="0054067C"/>
    <w:rsid w:val="00540696"/>
    <w:rsid w:val="00540908"/>
    <w:rsid w:val="00540D49"/>
    <w:rsid w:val="00540F6E"/>
    <w:rsid w:val="00541814"/>
    <w:rsid w:val="00541C7C"/>
    <w:rsid w:val="0054220C"/>
    <w:rsid w:val="00542337"/>
    <w:rsid w:val="0054265A"/>
    <w:rsid w:val="00542799"/>
    <w:rsid w:val="0054324E"/>
    <w:rsid w:val="0054439B"/>
    <w:rsid w:val="00544B2F"/>
    <w:rsid w:val="00544CBD"/>
    <w:rsid w:val="00545298"/>
    <w:rsid w:val="00545896"/>
    <w:rsid w:val="00545EE9"/>
    <w:rsid w:val="00546226"/>
    <w:rsid w:val="005469F2"/>
    <w:rsid w:val="00546E0E"/>
    <w:rsid w:val="0054780E"/>
    <w:rsid w:val="00547EB8"/>
    <w:rsid w:val="00550059"/>
    <w:rsid w:val="005500D8"/>
    <w:rsid w:val="0055033E"/>
    <w:rsid w:val="00550C19"/>
    <w:rsid w:val="00550CC0"/>
    <w:rsid w:val="00550E32"/>
    <w:rsid w:val="005510A6"/>
    <w:rsid w:val="005511F0"/>
    <w:rsid w:val="00551256"/>
    <w:rsid w:val="00551480"/>
    <w:rsid w:val="0055234F"/>
    <w:rsid w:val="005534BE"/>
    <w:rsid w:val="00554512"/>
    <w:rsid w:val="00554727"/>
    <w:rsid w:val="00554929"/>
    <w:rsid w:val="00555C5D"/>
    <w:rsid w:val="00556521"/>
    <w:rsid w:val="00556AAA"/>
    <w:rsid w:val="00556B9F"/>
    <w:rsid w:val="0055772A"/>
    <w:rsid w:val="005577CD"/>
    <w:rsid w:val="0056013F"/>
    <w:rsid w:val="00560281"/>
    <w:rsid w:val="0056086C"/>
    <w:rsid w:val="00560EE6"/>
    <w:rsid w:val="00560EE7"/>
    <w:rsid w:val="005612E4"/>
    <w:rsid w:val="00561683"/>
    <w:rsid w:val="00561FCB"/>
    <w:rsid w:val="0056305A"/>
    <w:rsid w:val="00563573"/>
    <w:rsid w:val="00563648"/>
    <w:rsid w:val="005636F9"/>
    <w:rsid w:val="005641E7"/>
    <w:rsid w:val="005648A9"/>
    <w:rsid w:val="0056589E"/>
    <w:rsid w:val="00565A95"/>
    <w:rsid w:val="00566317"/>
    <w:rsid w:val="005667BB"/>
    <w:rsid w:val="00566861"/>
    <w:rsid w:val="00567012"/>
    <w:rsid w:val="005674B4"/>
    <w:rsid w:val="00567AEC"/>
    <w:rsid w:val="00567C65"/>
    <w:rsid w:val="00570045"/>
    <w:rsid w:val="0057064E"/>
    <w:rsid w:val="00570650"/>
    <w:rsid w:val="00570B5F"/>
    <w:rsid w:val="00570BB6"/>
    <w:rsid w:val="00570E53"/>
    <w:rsid w:val="00571414"/>
    <w:rsid w:val="00571EAC"/>
    <w:rsid w:val="00572114"/>
    <w:rsid w:val="0057221A"/>
    <w:rsid w:val="00573020"/>
    <w:rsid w:val="005730E2"/>
    <w:rsid w:val="005733DA"/>
    <w:rsid w:val="00573722"/>
    <w:rsid w:val="00573935"/>
    <w:rsid w:val="00573C41"/>
    <w:rsid w:val="00573D6E"/>
    <w:rsid w:val="00574456"/>
    <w:rsid w:val="005745CD"/>
    <w:rsid w:val="0057479C"/>
    <w:rsid w:val="00574F39"/>
    <w:rsid w:val="00574F45"/>
    <w:rsid w:val="0057518A"/>
    <w:rsid w:val="005758F4"/>
    <w:rsid w:val="00575E35"/>
    <w:rsid w:val="00575FE9"/>
    <w:rsid w:val="00576759"/>
    <w:rsid w:val="005769B7"/>
    <w:rsid w:val="00577216"/>
    <w:rsid w:val="005773DF"/>
    <w:rsid w:val="00577940"/>
    <w:rsid w:val="00580352"/>
    <w:rsid w:val="0058049F"/>
    <w:rsid w:val="005805EF"/>
    <w:rsid w:val="0058158D"/>
    <w:rsid w:val="00581E27"/>
    <w:rsid w:val="00581F37"/>
    <w:rsid w:val="00582C24"/>
    <w:rsid w:val="00583436"/>
    <w:rsid w:val="00583542"/>
    <w:rsid w:val="00584455"/>
    <w:rsid w:val="00584711"/>
    <w:rsid w:val="00585117"/>
    <w:rsid w:val="00585341"/>
    <w:rsid w:val="005855B5"/>
    <w:rsid w:val="00585714"/>
    <w:rsid w:val="00585895"/>
    <w:rsid w:val="00585A33"/>
    <w:rsid w:val="00585A55"/>
    <w:rsid w:val="00585CE1"/>
    <w:rsid w:val="00585D83"/>
    <w:rsid w:val="00586C85"/>
    <w:rsid w:val="00586E3C"/>
    <w:rsid w:val="00587193"/>
    <w:rsid w:val="005879D6"/>
    <w:rsid w:val="00587CB7"/>
    <w:rsid w:val="00590578"/>
    <w:rsid w:val="005906F6"/>
    <w:rsid w:val="0059158F"/>
    <w:rsid w:val="0059180B"/>
    <w:rsid w:val="00591974"/>
    <w:rsid w:val="00591BDC"/>
    <w:rsid w:val="005922B5"/>
    <w:rsid w:val="005925CB"/>
    <w:rsid w:val="00592EC8"/>
    <w:rsid w:val="00593396"/>
    <w:rsid w:val="0059365D"/>
    <w:rsid w:val="00593844"/>
    <w:rsid w:val="00594224"/>
    <w:rsid w:val="005947B3"/>
    <w:rsid w:val="00594F42"/>
    <w:rsid w:val="00595EB2"/>
    <w:rsid w:val="00595F37"/>
    <w:rsid w:val="005961E1"/>
    <w:rsid w:val="0059740F"/>
    <w:rsid w:val="00597AA4"/>
    <w:rsid w:val="005A055C"/>
    <w:rsid w:val="005A1566"/>
    <w:rsid w:val="005A22B9"/>
    <w:rsid w:val="005A22F1"/>
    <w:rsid w:val="005A244A"/>
    <w:rsid w:val="005A2686"/>
    <w:rsid w:val="005A2A0C"/>
    <w:rsid w:val="005A2D56"/>
    <w:rsid w:val="005A2DEA"/>
    <w:rsid w:val="005A31E3"/>
    <w:rsid w:val="005A3223"/>
    <w:rsid w:val="005A3D72"/>
    <w:rsid w:val="005A3E48"/>
    <w:rsid w:val="005A3F75"/>
    <w:rsid w:val="005A42FC"/>
    <w:rsid w:val="005A443F"/>
    <w:rsid w:val="005A5065"/>
    <w:rsid w:val="005A513A"/>
    <w:rsid w:val="005A6A87"/>
    <w:rsid w:val="005B1514"/>
    <w:rsid w:val="005B18B7"/>
    <w:rsid w:val="005B1B20"/>
    <w:rsid w:val="005B246F"/>
    <w:rsid w:val="005B261A"/>
    <w:rsid w:val="005B26A0"/>
    <w:rsid w:val="005B29BF"/>
    <w:rsid w:val="005B29E9"/>
    <w:rsid w:val="005B2D54"/>
    <w:rsid w:val="005B3031"/>
    <w:rsid w:val="005B3208"/>
    <w:rsid w:val="005B33C4"/>
    <w:rsid w:val="005B4671"/>
    <w:rsid w:val="005B48DA"/>
    <w:rsid w:val="005B4FE3"/>
    <w:rsid w:val="005B5514"/>
    <w:rsid w:val="005B5EC7"/>
    <w:rsid w:val="005B64DA"/>
    <w:rsid w:val="005B7217"/>
    <w:rsid w:val="005B75EF"/>
    <w:rsid w:val="005B77A7"/>
    <w:rsid w:val="005B7BE2"/>
    <w:rsid w:val="005B7DAE"/>
    <w:rsid w:val="005C0C2C"/>
    <w:rsid w:val="005C0DDF"/>
    <w:rsid w:val="005C144D"/>
    <w:rsid w:val="005C1BB7"/>
    <w:rsid w:val="005C250C"/>
    <w:rsid w:val="005C25A9"/>
    <w:rsid w:val="005C2FDB"/>
    <w:rsid w:val="005C3C86"/>
    <w:rsid w:val="005C42AB"/>
    <w:rsid w:val="005C4413"/>
    <w:rsid w:val="005C444E"/>
    <w:rsid w:val="005C4667"/>
    <w:rsid w:val="005C59DA"/>
    <w:rsid w:val="005C5EE8"/>
    <w:rsid w:val="005C6234"/>
    <w:rsid w:val="005C630B"/>
    <w:rsid w:val="005C7250"/>
    <w:rsid w:val="005D0499"/>
    <w:rsid w:val="005D18A9"/>
    <w:rsid w:val="005D18F0"/>
    <w:rsid w:val="005D1A57"/>
    <w:rsid w:val="005D1C39"/>
    <w:rsid w:val="005D1FF9"/>
    <w:rsid w:val="005D2617"/>
    <w:rsid w:val="005D270F"/>
    <w:rsid w:val="005D2BB4"/>
    <w:rsid w:val="005D2CAF"/>
    <w:rsid w:val="005D337F"/>
    <w:rsid w:val="005D3794"/>
    <w:rsid w:val="005D3AAB"/>
    <w:rsid w:val="005D3D01"/>
    <w:rsid w:val="005D4835"/>
    <w:rsid w:val="005D58DB"/>
    <w:rsid w:val="005D5B66"/>
    <w:rsid w:val="005D5BEC"/>
    <w:rsid w:val="005D6511"/>
    <w:rsid w:val="005D6DE4"/>
    <w:rsid w:val="005D74C6"/>
    <w:rsid w:val="005D77AE"/>
    <w:rsid w:val="005D7EB2"/>
    <w:rsid w:val="005E07EE"/>
    <w:rsid w:val="005E0FC7"/>
    <w:rsid w:val="005E1354"/>
    <w:rsid w:val="005E140E"/>
    <w:rsid w:val="005E14AC"/>
    <w:rsid w:val="005E189C"/>
    <w:rsid w:val="005E1D29"/>
    <w:rsid w:val="005E2C21"/>
    <w:rsid w:val="005E3799"/>
    <w:rsid w:val="005E3C6F"/>
    <w:rsid w:val="005E4074"/>
    <w:rsid w:val="005E4524"/>
    <w:rsid w:val="005E4669"/>
    <w:rsid w:val="005E4EEB"/>
    <w:rsid w:val="005E52A6"/>
    <w:rsid w:val="005E5552"/>
    <w:rsid w:val="005E597F"/>
    <w:rsid w:val="005E5BF2"/>
    <w:rsid w:val="005E5F88"/>
    <w:rsid w:val="005E65A4"/>
    <w:rsid w:val="005E6C3B"/>
    <w:rsid w:val="005E7D79"/>
    <w:rsid w:val="005E7DB1"/>
    <w:rsid w:val="005F0476"/>
    <w:rsid w:val="005F0B6F"/>
    <w:rsid w:val="005F0F65"/>
    <w:rsid w:val="005F164B"/>
    <w:rsid w:val="005F2079"/>
    <w:rsid w:val="005F2464"/>
    <w:rsid w:val="005F261A"/>
    <w:rsid w:val="005F29D3"/>
    <w:rsid w:val="005F3438"/>
    <w:rsid w:val="005F3604"/>
    <w:rsid w:val="005F44EC"/>
    <w:rsid w:val="005F488A"/>
    <w:rsid w:val="005F49E4"/>
    <w:rsid w:val="005F4BBB"/>
    <w:rsid w:val="005F5282"/>
    <w:rsid w:val="005F52E5"/>
    <w:rsid w:val="005F5600"/>
    <w:rsid w:val="005F568D"/>
    <w:rsid w:val="005F5D35"/>
    <w:rsid w:val="005F64DF"/>
    <w:rsid w:val="005F6C36"/>
    <w:rsid w:val="005F6E0E"/>
    <w:rsid w:val="005F7685"/>
    <w:rsid w:val="00600AD3"/>
    <w:rsid w:val="00601113"/>
    <w:rsid w:val="0060131B"/>
    <w:rsid w:val="006016CC"/>
    <w:rsid w:val="00601732"/>
    <w:rsid w:val="00601A25"/>
    <w:rsid w:val="00601DC0"/>
    <w:rsid w:val="00602696"/>
    <w:rsid w:val="006026E8"/>
    <w:rsid w:val="00602B60"/>
    <w:rsid w:val="00603A29"/>
    <w:rsid w:val="00604A6D"/>
    <w:rsid w:val="00604A75"/>
    <w:rsid w:val="00604AE1"/>
    <w:rsid w:val="00605178"/>
    <w:rsid w:val="00605FDE"/>
    <w:rsid w:val="00606028"/>
    <w:rsid w:val="00607293"/>
    <w:rsid w:val="006073A3"/>
    <w:rsid w:val="00607740"/>
    <w:rsid w:val="00607B4F"/>
    <w:rsid w:val="0061038B"/>
    <w:rsid w:val="00610A35"/>
    <w:rsid w:val="0061101F"/>
    <w:rsid w:val="00611053"/>
    <w:rsid w:val="006114DB"/>
    <w:rsid w:val="00611BFB"/>
    <w:rsid w:val="00611C21"/>
    <w:rsid w:val="00611C51"/>
    <w:rsid w:val="0061233B"/>
    <w:rsid w:val="006128F1"/>
    <w:rsid w:val="006129EA"/>
    <w:rsid w:val="00612C67"/>
    <w:rsid w:val="00613016"/>
    <w:rsid w:val="006130BD"/>
    <w:rsid w:val="006143AF"/>
    <w:rsid w:val="00614B6B"/>
    <w:rsid w:val="00614DF6"/>
    <w:rsid w:val="00615E01"/>
    <w:rsid w:val="00615F6B"/>
    <w:rsid w:val="00615FD5"/>
    <w:rsid w:val="0061612F"/>
    <w:rsid w:val="006161BD"/>
    <w:rsid w:val="006161FC"/>
    <w:rsid w:val="00616B67"/>
    <w:rsid w:val="0061735A"/>
    <w:rsid w:val="006174B0"/>
    <w:rsid w:val="00617750"/>
    <w:rsid w:val="006179D6"/>
    <w:rsid w:val="00617A15"/>
    <w:rsid w:val="00617A63"/>
    <w:rsid w:val="00620051"/>
    <w:rsid w:val="006208B5"/>
    <w:rsid w:val="00620C18"/>
    <w:rsid w:val="00622E11"/>
    <w:rsid w:val="00623278"/>
    <w:rsid w:val="006232B2"/>
    <w:rsid w:val="00623301"/>
    <w:rsid w:val="006241B6"/>
    <w:rsid w:val="006243CE"/>
    <w:rsid w:val="0062461B"/>
    <w:rsid w:val="00624DC4"/>
    <w:rsid w:val="006256FD"/>
    <w:rsid w:val="00626173"/>
    <w:rsid w:val="00627367"/>
    <w:rsid w:val="00627459"/>
    <w:rsid w:val="00627AEC"/>
    <w:rsid w:val="0063035A"/>
    <w:rsid w:val="006314AF"/>
    <w:rsid w:val="00631581"/>
    <w:rsid w:val="00631A37"/>
    <w:rsid w:val="00631B25"/>
    <w:rsid w:val="00631C19"/>
    <w:rsid w:val="006322B8"/>
    <w:rsid w:val="00632DB7"/>
    <w:rsid w:val="00632E69"/>
    <w:rsid w:val="0063352F"/>
    <w:rsid w:val="00633851"/>
    <w:rsid w:val="00633973"/>
    <w:rsid w:val="00633C8A"/>
    <w:rsid w:val="00634B1F"/>
    <w:rsid w:val="006356B1"/>
    <w:rsid w:val="00635CDA"/>
    <w:rsid w:val="00635F35"/>
    <w:rsid w:val="00636061"/>
    <w:rsid w:val="006368E5"/>
    <w:rsid w:val="00636F9C"/>
    <w:rsid w:val="006376EE"/>
    <w:rsid w:val="00637DD3"/>
    <w:rsid w:val="00640869"/>
    <w:rsid w:val="00640B73"/>
    <w:rsid w:val="00641141"/>
    <w:rsid w:val="00641203"/>
    <w:rsid w:val="0064184A"/>
    <w:rsid w:val="00641BEA"/>
    <w:rsid w:val="00642A58"/>
    <w:rsid w:val="00642A6D"/>
    <w:rsid w:val="00642D88"/>
    <w:rsid w:val="00642EDB"/>
    <w:rsid w:val="0064328C"/>
    <w:rsid w:val="00643B7A"/>
    <w:rsid w:val="00644C64"/>
    <w:rsid w:val="006452BD"/>
    <w:rsid w:val="006454D3"/>
    <w:rsid w:val="00645596"/>
    <w:rsid w:val="00645AE9"/>
    <w:rsid w:val="006461AB"/>
    <w:rsid w:val="00646966"/>
    <w:rsid w:val="00646A06"/>
    <w:rsid w:val="00646B70"/>
    <w:rsid w:val="00647479"/>
    <w:rsid w:val="00647F77"/>
    <w:rsid w:val="00650EFA"/>
    <w:rsid w:val="006515D8"/>
    <w:rsid w:val="00651A11"/>
    <w:rsid w:val="0065289F"/>
    <w:rsid w:val="00652E21"/>
    <w:rsid w:val="006531F8"/>
    <w:rsid w:val="00654985"/>
    <w:rsid w:val="00654F7F"/>
    <w:rsid w:val="0065598D"/>
    <w:rsid w:val="006559EB"/>
    <w:rsid w:val="00656BA5"/>
    <w:rsid w:val="00656F9B"/>
    <w:rsid w:val="00657516"/>
    <w:rsid w:val="0066077A"/>
    <w:rsid w:val="0066090C"/>
    <w:rsid w:val="00660B73"/>
    <w:rsid w:val="00660DA4"/>
    <w:rsid w:val="006618A5"/>
    <w:rsid w:val="00661CD2"/>
    <w:rsid w:val="00661FE2"/>
    <w:rsid w:val="00662466"/>
    <w:rsid w:val="006624D3"/>
    <w:rsid w:val="00662B53"/>
    <w:rsid w:val="006631FA"/>
    <w:rsid w:val="0066388A"/>
    <w:rsid w:val="006639F9"/>
    <w:rsid w:val="00663B74"/>
    <w:rsid w:val="0066470A"/>
    <w:rsid w:val="00664BC5"/>
    <w:rsid w:val="00664DA1"/>
    <w:rsid w:val="00665DD3"/>
    <w:rsid w:val="006661D7"/>
    <w:rsid w:val="006663CB"/>
    <w:rsid w:val="00666FD6"/>
    <w:rsid w:val="006672D0"/>
    <w:rsid w:val="0067104F"/>
    <w:rsid w:val="00671831"/>
    <w:rsid w:val="006718BE"/>
    <w:rsid w:val="006718E4"/>
    <w:rsid w:val="00672678"/>
    <w:rsid w:val="006726CF"/>
    <w:rsid w:val="00672F54"/>
    <w:rsid w:val="0067370D"/>
    <w:rsid w:val="0067497F"/>
    <w:rsid w:val="006749DF"/>
    <w:rsid w:val="0067571D"/>
    <w:rsid w:val="006762DF"/>
    <w:rsid w:val="0067642E"/>
    <w:rsid w:val="006764D8"/>
    <w:rsid w:val="00676500"/>
    <w:rsid w:val="00676B91"/>
    <w:rsid w:val="00676CA8"/>
    <w:rsid w:val="006774BB"/>
    <w:rsid w:val="006800A8"/>
    <w:rsid w:val="00680637"/>
    <w:rsid w:val="006806C9"/>
    <w:rsid w:val="0068080A"/>
    <w:rsid w:val="006808B7"/>
    <w:rsid w:val="00680B39"/>
    <w:rsid w:val="00680B9D"/>
    <w:rsid w:val="00680C67"/>
    <w:rsid w:val="00680FD5"/>
    <w:rsid w:val="006829EF"/>
    <w:rsid w:val="00683045"/>
    <w:rsid w:val="00683907"/>
    <w:rsid w:val="00685123"/>
    <w:rsid w:val="00685499"/>
    <w:rsid w:val="00686846"/>
    <w:rsid w:val="00686CB0"/>
    <w:rsid w:val="00686D67"/>
    <w:rsid w:val="00687498"/>
    <w:rsid w:val="006875D3"/>
    <w:rsid w:val="006919E2"/>
    <w:rsid w:val="0069202B"/>
    <w:rsid w:val="006921A0"/>
    <w:rsid w:val="00692501"/>
    <w:rsid w:val="006929AF"/>
    <w:rsid w:val="00692BE2"/>
    <w:rsid w:val="006930B2"/>
    <w:rsid w:val="00693332"/>
    <w:rsid w:val="00693594"/>
    <w:rsid w:val="006937CC"/>
    <w:rsid w:val="0069386F"/>
    <w:rsid w:val="006938F5"/>
    <w:rsid w:val="00694318"/>
    <w:rsid w:val="00694CFB"/>
    <w:rsid w:val="00695C0A"/>
    <w:rsid w:val="00695D4C"/>
    <w:rsid w:val="006966E2"/>
    <w:rsid w:val="006968A1"/>
    <w:rsid w:val="00697674"/>
    <w:rsid w:val="006A00C1"/>
    <w:rsid w:val="006A0865"/>
    <w:rsid w:val="006A0AB7"/>
    <w:rsid w:val="006A10DA"/>
    <w:rsid w:val="006A16F9"/>
    <w:rsid w:val="006A1725"/>
    <w:rsid w:val="006A18AA"/>
    <w:rsid w:val="006A18EC"/>
    <w:rsid w:val="006A262D"/>
    <w:rsid w:val="006A2DB3"/>
    <w:rsid w:val="006A3928"/>
    <w:rsid w:val="006A3FB9"/>
    <w:rsid w:val="006A4132"/>
    <w:rsid w:val="006A44D4"/>
    <w:rsid w:val="006A5F62"/>
    <w:rsid w:val="006A6ADA"/>
    <w:rsid w:val="006A6DEB"/>
    <w:rsid w:val="006A72EF"/>
    <w:rsid w:val="006A7718"/>
    <w:rsid w:val="006A7B93"/>
    <w:rsid w:val="006B0B83"/>
    <w:rsid w:val="006B1BD7"/>
    <w:rsid w:val="006B1CA8"/>
    <w:rsid w:val="006B214F"/>
    <w:rsid w:val="006B2C30"/>
    <w:rsid w:val="006B30BA"/>
    <w:rsid w:val="006B3A05"/>
    <w:rsid w:val="006B46F1"/>
    <w:rsid w:val="006B50DA"/>
    <w:rsid w:val="006B5158"/>
    <w:rsid w:val="006B51D9"/>
    <w:rsid w:val="006B543B"/>
    <w:rsid w:val="006B6345"/>
    <w:rsid w:val="006B6436"/>
    <w:rsid w:val="006B6C16"/>
    <w:rsid w:val="006B6D33"/>
    <w:rsid w:val="006B6E9A"/>
    <w:rsid w:val="006B756D"/>
    <w:rsid w:val="006B798C"/>
    <w:rsid w:val="006B7A49"/>
    <w:rsid w:val="006C0375"/>
    <w:rsid w:val="006C06B3"/>
    <w:rsid w:val="006C06DE"/>
    <w:rsid w:val="006C07CB"/>
    <w:rsid w:val="006C09C4"/>
    <w:rsid w:val="006C0A7C"/>
    <w:rsid w:val="006C16CE"/>
    <w:rsid w:val="006C1C7A"/>
    <w:rsid w:val="006C320F"/>
    <w:rsid w:val="006C3890"/>
    <w:rsid w:val="006C3DA4"/>
    <w:rsid w:val="006C3F4B"/>
    <w:rsid w:val="006C4967"/>
    <w:rsid w:val="006C4997"/>
    <w:rsid w:val="006C49EC"/>
    <w:rsid w:val="006C50C8"/>
    <w:rsid w:val="006C5214"/>
    <w:rsid w:val="006C5264"/>
    <w:rsid w:val="006C5A7E"/>
    <w:rsid w:val="006C5FA3"/>
    <w:rsid w:val="006C6303"/>
    <w:rsid w:val="006C686F"/>
    <w:rsid w:val="006C7969"/>
    <w:rsid w:val="006C79C7"/>
    <w:rsid w:val="006D029A"/>
    <w:rsid w:val="006D029C"/>
    <w:rsid w:val="006D02C3"/>
    <w:rsid w:val="006D06DB"/>
    <w:rsid w:val="006D0F46"/>
    <w:rsid w:val="006D13B2"/>
    <w:rsid w:val="006D1665"/>
    <w:rsid w:val="006D2052"/>
    <w:rsid w:val="006D222F"/>
    <w:rsid w:val="006D2C6D"/>
    <w:rsid w:val="006D3066"/>
    <w:rsid w:val="006D333F"/>
    <w:rsid w:val="006D4B1E"/>
    <w:rsid w:val="006D4D17"/>
    <w:rsid w:val="006D4EA4"/>
    <w:rsid w:val="006D4F3A"/>
    <w:rsid w:val="006D547F"/>
    <w:rsid w:val="006D7077"/>
    <w:rsid w:val="006D7200"/>
    <w:rsid w:val="006D7678"/>
    <w:rsid w:val="006D7731"/>
    <w:rsid w:val="006D79E8"/>
    <w:rsid w:val="006D7C6C"/>
    <w:rsid w:val="006E0985"/>
    <w:rsid w:val="006E0BD0"/>
    <w:rsid w:val="006E19C4"/>
    <w:rsid w:val="006E22CA"/>
    <w:rsid w:val="006E2310"/>
    <w:rsid w:val="006E23AA"/>
    <w:rsid w:val="006E23F4"/>
    <w:rsid w:val="006E25AD"/>
    <w:rsid w:val="006E2804"/>
    <w:rsid w:val="006E392B"/>
    <w:rsid w:val="006E3A3F"/>
    <w:rsid w:val="006E3B25"/>
    <w:rsid w:val="006E3F23"/>
    <w:rsid w:val="006E43CB"/>
    <w:rsid w:val="006E469A"/>
    <w:rsid w:val="006E4979"/>
    <w:rsid w:val="006E4D7C"/>
    <w:rsid w:val="006E5568"/>
    <w:rsid w:val="006E564A"/>
    <w:rsid w:val="006E6803"/>
    <w:rsid w:val="006E75C1"/>
    <w:rsid w:val="006E7E13"/>
    <w:rsid w:val="006E7FE1"/>
    <w:rsid w:val="006F0134"/>
    <w:rsid w:val="006F0538"/>
    <w:rsid w:val="006F0A93"/>
    <w:rsid w:val="006F1675"/>
    <w:rsid w:val="006F1F8F"/>
    <w:rsid w:val="006F240E"/>
    <w:rsid w:val="006F269F"/>
    <w:rsid w:val="006F28C8"/>
    <w:rsid w:val="006F3673"/>
    <w:rsid w:val="006F3925"/>
    <w:rsid w:val="006F3B0F"/>
    <w:rsid w:val="006F4873"/>
    <w:rsid w:val="006F59B5"/>
    <w:rsid w:val="006F63D4"/>
    <w:rsid w:val="006F7734"/>
    <w:rsid w:val="006F77DD"/>
    <w:rsid w:val="00700378"/>
    <w:rsid w:val="00701BF1"/>
    <w:rsid w:val="00702221"/>
    <w:rsid w:val="00702BAD"/>
    <w:rsid w:val="007036C4"/>
    <w:rsid w:val="007050E8"/>
    <w:rsid w:val="0070635D"/>
    <w:rsid w:val="00706963"/>
    <w:rsid w:val="00707450"/>
    <w:rsid w:val="007077CD"/>
    <w:rsid w:val="0070795E"/>
    <w:rsid w:val="00707E44"/>
    <w:rsid w:val="007101BE"/>
    <w:rsid w:val="00711681"/>
    <w:rsid w:val="00711877"/>
    <w:rsid w:val="007118D6"/>
    <w:rsid w:val="00711C4B"/>
    <w:rsid w:val="00711E59"/>
    <w:rsid w:val="00711FC4"/>
    <w:rsid w:val="00711FEC"/>
    <w:rsid w:val="007124FD"/>
    <w:rsid w:val="0071261B"/>
    <w:rsid w:val="007126F1"/>
    <w:rsid w:val="007132D8"/>
    <w:rsid w:val="00713661"/>
    <w:rsid w:val="007137C2"/>
    <w:rsid w:val="00713972"/>
    <w:rsid w:val="00714AFB"/>
    <w:rsid w:val="00714C56"/>
    <w:rsid w:val="0071523F"/>
    <w:rsid w:val="00715EBE"/>
    <w:rsid w:val="00716094"/>
    <w:rsid w:val="00716CE9"/>
    <w:rsid w:val="0071714D"/>
    <w:rsid w:val="007173D2"/>
    <w:rsid w:val="00717F65"/>
    <w:rsid w:val="0072071A"/>
    <w:rsid w:val="0072088B"/>
    <w:rsid w:val="00721A1C"/>
    <w:rsid w:val="0072243B"/>
    <w:rsid w:val="00722E14"/>
    <w:rsid w:val="007239CF"/>
    <w:rsid w:val="00723CE7"/>
    <w:rsid w:val="00723EC8"/>
    <w:rsid w:val="00724670"/>
    <w:rsid w:val="0072483A"/>
    <w:rsid w:val="00724958"/>
    <w:rsid w:val="00724B3B"/>
    <w:rsid w:val="00724BD9"/>
    <w:rsid w:val="00725F47"/>
    <w:rsid w:val="0072603F"/>
    <w:rsid w:val="007260CA"/>
    <w:rsid w:val="00726282"/>
    <w:rsid w:val="007279FC"/>
    <w:rsid w:val="00730A6E"/>
    <w:rsid w:val="00730ABD"/>
    <w:rsid w:val="00731387"/>
    <w:rsid w:val="0073147B"/>
    <w:rsid w:val="007317D9"/>
    <w:rsid w:val="00731C73"/>
    <w:rsid w:val="00731FFC"/>
    <w:rsid w:val="00734B5A"/>
    <w:rsid w:val="00734B83"/>
    <w:rsid w:val="0073524B"/>
    <w:rsid w:val="00735B5E"/>
    <w:rsid w:val="00735CFA"/>
    <w:rsid w:val="007363E1"/>
    <w:rsid w:val="00737A05"/>
    <w:rsid w:val="00737A48"/>
    <w:rsid w:val="00737B9B"/>
    <w:rsid w:val="00737C77"/>
    <w:rsid w:val="00740200"/>
    <w:rsid w:val="0074031B"/>
    <w:rsid w:val="0074135C"/>
    <w:rsid w:val="0074138A"/>
    <w:rsid w:val="00741975"/>
    <w:rsid w:val="00741A97"/>
    <w:rsid w:val="00742F5B"/>
    <w:rsid w:val="00743134"/>
    <w:rsid w:val="0074372E"/>
    <w:rsid w:val="00743A65"/>
    <w:rsid w:val="00743EE2"/>
    <w:rsid w:val="0074464B"/>
    <w:rsid w:val="00744FE3"/>
    <w:rsid w:val="007462F6"/>
    <w:rsid w:val="007469DF"/>
    <w:rsid w:val="007472AC"/>
    <w:rsid w:val="00747ABF"/>
    <w:rsid w:val="00747EF8"/>
    <w:rsid w:val="0075009F"/>
    <w:rsid w:val="00750B00"/>
    <w:rsid w:val="00751226"/>
    <w:rsid w:val="00751C65"/>
    <w:rsid w:val="0075315F"/>
    <w:rsid w:val="007533B4"/>
    <w:rsid w:val="007541C1"/>
    <w:rsid w:val="0075426F"/>
    <w:rsid w:val="00754EA9"/>
    <w:rsid w:val="00754ED8"/>
    <w:rsid w:val="00755652"/>
    <w:rsid w:val="00755CF3"/>
    <w:rsid w:val="00755EE5"/>
    <w:rsid w:val="00756C1A"/>
    <w:rsid w:val="00756C31"/>
    <w:rsid w:val="00756DCF"/>
    <w:rsid w:val="00757F37"/>
    <w:rsid w:val="0076016F"/>
    <w:rsid w:val="00760B34"/>
    <w:rsid w:val="00760C49"/>
    <w:rsid w:val="00761052"/>
    <w:rsid w:val="00761C9B"/>
    <w:rsid w:val="00762115"/>
    <w:rsid w:val="00762734"/>
    <w:rsid w:val="00762C48"/>
    <w:rsid w:val="007634DF"/>
    <w:rsid w:val="007636A2"/>
    <w:rsid w:val="007636C8"/>
    <w:rsid w:val="00763AA0"/>
    <w:rsid w:val="00763D79"/>
    <w:rsid w:val="00765740"/>
    <w:rsid w:val="00765DCF"/>
    <w:rsid w:val="00765EFC"/>
    <w:rsid w:val="0076606C"/>
    <w:rsid w:val="00766961"/>
    <w:rsid w:val="00766BCD"/>
    <w:rsid w:val="00767CC7"/>
    <w:rsid w:val="00770480"/>
    <w:rsid w:val="0077075F"/>
    <w:rsid w:val="007708B6"/>
    <w:rsid w:val="007708FF"/>
    <w:rsid w:val="00770C93"/>
    <w:rsid w:val="0077115D"/>
    <w:rsid w:val="007711EC"/>
    <w:rsid w:val="007714A3"/>
    <w:rsid w:val="00771C7C"/>
    <w:rsid w:val="00771D9D"/>
    <w:rsid w:val="007732C7"/>
    <w:rsid w:val="007737B1"/>
    <w:rsid w:val="00774FBD"/>
    <w:rsid w:val="007754A2"/>
    <w:rsid w:val="00776021"/>
    <w:rsid w:val="0077651F"/>
    <w:rsid w:val="007766C4"/>
    <w:rsid w:val="007773F3"/>
    <w:rsid w:val="0077790E"/>
    <w:rsid w:val="00780162"/>
    <w:rsid w:val="0078093C"/>
    <w:rsid w:val="00780A59"/>
    <w:rsid w:val="00780FF7"/>
    <w:rsid w:val="0078108F"/>
    <w:rsid w:val="00781240"/>
    <w:rsid w:val="00781808"/>
    <w:rsid w:val="007826F3"/>
    <w:rsid w:val="00782A64"/>
    <w:rsid w:val="00782F96"/>
    <w:rsid w:val="00783082"/>
    <w:rsid w:val="00783191"/>
    <w:rsid w:val="00783197"/>
    <w:rsid w:val="007834DB"/>
    <w:rsid w:val="0078363E"/>
    <w:rsid w:val="00783C76"/>
    <w:rsid w:val="00783EE7"/>
    <w:rsid w:val="0078412C"/>
    <w:rsid w:val="00784EE0"/>
    <w:rsid w:val="00786502"/>
    <w:rsid w:val="00786D44"/>
    <w:rsid w:val="0078794C"/>
    <w:rsid w:val="00787DAF"/>
    <w:rsid w:val="00787DD4"/>
    <w:rsid w:val="00790326"/>
    <w:rsid w:val="00791115"/>
    <w:rsid w:val="0079112B"/>
    <w:rsid w:val="007919BE"/>
    <w:rsid w:val="007919D2"/>
    <w:rsid w:val="00791D3B"/>
    <w:rsid w:val="00791F2C"/>
    <w:rsid w:val="00791F64"/>
    <w:rsid w:val="00792334"/>
    <w:rsid w:val="0079262D"/>
    <w:rsid w:val="00792927"/>
    <w:rsid w:val="00792C3A"/>
    <w:rsid w:val="007931BA"/>
    <w:rsid w:val="00793381"/>
    <w:rsid w:val="00793E56"/>
    <w:rsid w:val="00794042"/>
    <w:rsid w:val="00794441"/>
    <w:rsid w:val="007949E9"/>
    <w:rsid w:val="00794C6A"/>
    <w:rsid w:val="00795F0B"/>
    <w:rsid w:val="007962C4"/>
    <w:rsid w:val="007962FC"/>
    <w:rsid w:val="0079641F"/>
    <w:rsid w:val="0079717B"/>
    <w:rsid w:val="00797369"/>
    <w:rsid w:val="00797FC5"/>
    <w:rsid w:val="007A0417"/>
    <w:rsid w:val="007A0BB2"/>
    <w:rsid w:val="007A1193"/>
    <w:rsid w:val="007A12D5"/>
    <w:rsid w:val="007A13D4"/>
    <w:rsid w:val="007A15A8"/>
    <w:rsid w:val="007A1659"/>
    <w:rsid w:val="007A1A39"/>
    <w:rsid w:val="007A29CF"/>
    <w:rsid w:val="007A3155"/>
    <w:rsid w:val="007A3C37"/>
    <w:rsid w:val="007A3CAF"/>
    <w:rsid w:val="007A417D"/>
    <w:rsid w:val="007A44AE"/>
    <w:rsid w:val="007A4965"/>
    <w:rsid w:val="007A4A60"/>
    <w:rsid w:val="007A52C5"/>
    <w:rsid w:val="007A5859"/>
    <w:rsid w:val="007A5A2A"/>
    <w:rsid w:val="007A5BB7"/>
    <w:rsid w:val="007A5BE9"/>
    <w:rsid w:val="007A5CF9"/>
    <w:rsid w:val="007A6271"/>
    <w:rsid w:val="007A6776"/>
    <w:rsid w:val="007A6DFD"/>
    <w:rsid w:val="007A739B"/>
    <w:rsid w:val="007A751B"/>
    <w:rsid w:val="007A7520"/>
    <w:rsid w:val="007B0325"/>
    <w:rsid w:val="007B06DF"/>
    <w:rsid w:val="007B11EF"/>
    <w:rsid w:val="007B20FD"/>
    <w:rsid w:val="007B25B6"/>
    <w:rsid w:val="007B354E"/>
    <w:rsid w:val="007B4878"/>
    <w:rsid w:val="007B4999"/>
    <w:rsid w:val="007B4DEC"/>
    <w:rsid w:val="007B5460"/>
    <w:rsid w:val="007B5A71"/>
    <w:rsid w:val="007B5BAC"/>
    <w:rsid w:val="007B5C8F"/>
    <w:rsid w:val="007B5E2E"/>
    <w:rsid w:val="007B5F68"/>
    <w:rsid w:val="007B6728"/>
    <w:rsid w:val="007B6AF8"/>
    <w:rsid w:val="007B7160"/>
    <w:rsid w:val="007C014A"/>
    <w:rsid w:val="007C033A"/>
    <w:rsid w:val="007C03D9"/>
    <w:rsid w:val="007C0DF3"/>
    <w:rsid w:val="007C0FEC"/>
    <w:rsid w:val="007C141D"/>
    <w:rsid w:val="007C1A6E"/>
    <w:rsid w:val="007C219A"/>
    <w:rsid w:val="007C2220"/>
    <w:rsid w:val="007C27AC"/>
    <w:rsid w:val="007C2935"/>
    <w:rsid w:val="007C2E1A"/>
    <w:rsid w:val="007C31DB"/>
    <w:rsid w:val="007C3EF0"/>
    <w:rsid w:val="007C4051"/>
    <w:rsid w:val="007C42F8"/>
    <w:rsid w:val="007C4503"/>
    <w:rsid w:val="007C4FD9"/>
    <w:rsid w:val="007C504F"/>
    <w:rsid w:val="007C518F"/>
    <w:rsid w:val="007C5745"/>
    <w:rsid w:val="007C686F"/>
    <w:rsid w:val="007D03A6"/>
    <w:rsid w:val="007D1769"/>
    <w:rsid w:val="007D1C91"/>
    <w:rsid w:val="007D1E48"/>
    <w:rsid w:val="007D1F78"/>
    <w:rsid w:val="007D2D1E"/>
    <w:rsid w:val="007D2F8C"/>
    <w:rsid w:val="007D2FCE"/>
    <w:rsid w:val="007D3667"/>
    <w:rsid w:val="007D36DF"/>
    <w:rsid w:val="007D3BB4"/>
    <w:rsid w:val="007D456E"/>
    <w:rsid w:val="007D464A"/>
    <w:rsid w:val="007D4B58"/>
    <w:rsid w:val="007D54D7"/>
    <w:rsid w:val="007D56D7"/>
    <w:rsid w:val="007D6163"/>
    <w:rsid w:val="007D6199"/>
    <w:rsid w:val="007D624E"/>
    <w:rsid w:val="007D6B35"/>
    <w:rsid w:val="007D77B0"/>
    <w:rsid w:val="007D7822"/>
    <w:rsid w:val="007E0AFB"/>
    <w:rsid w:val="007E0BDC"/>
    <w:rsid w:val="007E25F8"/>
    <w:rsid w:val="007E2666"/>
    <w:rsid w:val="007E2C21"/>
    <w:rsid w:val="007E338C"/>
    <w:rsid w:val="007E3638"/>
    <w:rsid w:val="007E3946"/>
    <w:rsid w:val="007E3EF8"/>
    <w:rsid w:val="007E4383"/>
    <w:rsid w:val="007E48C9"/>
    <w:rsid w:val="007E4CCE"/>
    <w:rsid w:val="007E54B0"/>
    <w:rsid w:val="007E5544"/>
    <w:rsid w:val="007E5722"/>
    <w:rsid w:val="007E5AE9"/>
    <w:rsid w:val="007E5B9E"/>
    <w:rsid w:val="007E6C16"/>
    <w:rsid w:val="007E7300"/>
    <w:rsid w:val="007E7792"/>
    <w:rsid w:val="007E792A"/>
    <w:rsid w:val="007E7C87"/>
    <w:rsid w:val="007F025D"/>
    <w:rsid w:val="007F0265"/>
    <w:rsid w:val="007F0F48"/>
    <w:rsid w:val="007F127B"/>
    <w:rsid w:val="007F168E"/>
    <w:rsid w:val="007F21D3"/>
    <w:rsid w:val="007F2D6A"/>
    <w:rsid w:val="007F35C9"/>
    <w:rsid w:val="007F3CB3"/>
    <w:rsid w:val="007F4476"/>
    <w:rsid w:val="007F4732"/>
    <w:rsid w:val="007F4D5A"/>
    <w:rsid w:val="007F5206"/>
    <w:rsid w:val="007F637C"/>
    <w:rsid w:val="007F753D"/>
    <w:rsid w:val="007F7EB9"/>
    <w:rsid w:val="00800272"/>
    <w:rsid w:val="00800EB8"/>
    <w:rsid w:val="00800F7B"/>
    <w:rsid w:val="008011F7"/>
    <w:rsid w:val="008015F3"/>
    <w:rsid w:val="00802220"/>
    <w:rsid w:val="008022AD"/>
    <w:rsid w:val="0080291F"/>
    <w:rsid w:val="00802CF8"/>
    <w:rsid w:val="008035C5"/>
    <w:rsid w:val="00803634"/>
    <w:rsid w:val="00804430"/>
    <w:rsid w:val="00804603"/>
    <w:rsid w:val="00804686"/>
    <w:rsid w:val="00804B82"/>
    <w:rsid w:val="008051C4"/>
    <w:rsid w:val="008054CC"/>
    <w:rsid w:val="00805786"/>
    <w:rsid w:val="00805A7E"/>
    <w:rsid w:val="00805E37"/>
    <w:rsid w:val="00806B5F"/>
    <w:rsid w:val="00806CA3"/>
    <w:rsid w:val="00807554"/>
    <w:rsid w:val="00807946"/>
    <w:rsid w:val="00807DFF"/>
    <w:rsid w:val="00810103"/>
    <w:rsid w:val="00811626"/>
    <w:rsid w:val="008125A1"/>
    <w:rsid w:val="00812767"/>
    <w:rsid w:val="008138B4"/>
    <w:rsid w:val="00813F6E"/>
    <w:rsid w:val="00814893"/>
    <w:rsid w:val="00814F2A"/>
    <w:rsid w:val="00815EC3"/>
    <w:rsid w:val="0081614A"/>
    <w:rsid w:val="00816342"/>
    <w:rsid w:val="008164A0"/>
    <w:rsid w:val="00816C6E"/>
    <w:rsid w:val="008177B4"/>
    <w:rsid w:val="00817B9C"/>
    <w:rsid w:val="008202CE"/>
    <w:rsid w:val="0082065D"/>
    <w:rsid w:val="00820CA6"/>
    <w:rsid w:val="00820FD3"/>
    <w:rsid w:val="008210AA"/>
    <w:rsid w:val="0082130E"/>
    <w:rsid w:val="0082166D"/>
    <w:rsid w:val="00822C63"/>
    <w:rsid w:val="00822CCB"/>
    <w:rsid w:val="00823290"/>
    <w:rsid w:val="00823FC5"/>
    <w:rsid w:val="00824133"/>
    <w:rsid w:val="008244AA"/>
    <w:rsid w:val="0082487D"/>
    <w:rsid w:val="0082590B"/>
    <w:rsid w:val="00826D37"/>
    <w:rsid w:val="008278CF"/>
    <w:rsid w:val="00830488"/>
    <w:rsid w:val="00830E82"/>
    <w:rsid w:val="00830F1C"/>
    <w:rsid w:val="00831164"/>
    <w:rsid w:val="00831AB7"/>
    <w:rsid w:val="00831D74"/>
    <w:rsid w:val="00831E56"/>
    <w:rsid w:val="00831EA6"/>
    <w:rsid w:val="00831EE1"/>
    <w:rsid w:val="0083206C"/>
    <w:rsid w:val="008320D8"/>
    <w:rsid w:val="008326CA"/>
    <w:rsid w:val="00832728"/>
    <w:rsid w:val="00832A27"/>
    <w:rsid w:val="00832B50"/>
    <w:rsid w:val="00833442"/>
    <w:rsid w:val="00833516"/>
    <w:rsid w:val="00833522"/>
    <w:rsid w:val="00833877"/>
    <w:rsid w:val="00833B2E"/>
    <w:rsid w:val="00833BAA"/>
    <w:rsid w:val="00833C8F"/>
    <w:rsid w:val="008342FC"/>
    <w:rsid w:val="00834606"/>
    <w:rsid w:val="00834EB1"/>
    <w:rsid w:val="008354C6"/>
    <w:rsid w:val="00835A0B"/>
    <w:rsid w:val="00835D02"/>
    <w:rsid w:val="008361CC"/>
    <w:rsid w:val="0083623F"/>
    <w:rsid w:val="0083644D"/>
    <w:rsid w:val="00836464"/>
    <w:rsid w:val="00836ACD"/>
    <w:rsid w:val="0083751A"/>
    <w:rsid w:val="0084005B"/>
    <w:rsid w:val="00840B6F"/>
    <w:rsid w:val="00840E44"/>
    <w:rsid w:val="00840F13"/>
    <w:rsid w:val="008414FA"/>
    <w:rsid w:val="008416DA"/>
    <w:rsid w:val="00841907"/>
    <w:rsid w:val="00841A99"/>
    <w:rsid w:val="00842B56"/>
    <w:rsid w:val="00842E9E"/>
    <w:rsid w:val="00843052"/>
    <w:rsid w:val="008431BE"/>
    <w:rsid w:val="008436AC"/>
    <w:rsid w:val="0084426C"/>
    <w:rsid w:val="00844D36"/>
    <w:rsid w:val="00844EBA"/>
    <w:rsid w:val="008459C6"/>
    <w:rsid w:val="00845D46"/>
    <w:rsid w:val="00845F70"/>
    <w:rsid w:val="00845FFF"/>
    <w:rsid w:val="008461A1"/>
    <w:rsid w:val="0084621F"/>
    <w:rsid w:val="008469FF"/>
    <w:rsid w:val="00846A6E"/>
    <w:rsid w:val="0084707A"/>
    <w:rsid w:val="00847910"/>
    <w:rsid w:val="008479E1"/>
    <w:rsid w:val="008514AD"/>
    <w:rsid w:val="00851731"/>
    <w:rsid w:val="00851849"/>
    <w:rsid w:val="00851CE7"/>
    <w:rsid w:val="00851D28"/>
    <w:rsid w:val="0085260F"/>
    <w:rsid w:val="008527FB"/>
    <w:rsid w:val="00852A28"/>
    <w:rsid w:val="00852C16"/>
    <w:rsid w:val="00852C85"/>
    <w:rsid w:val="008535AF"/>
    <w:rsid w:val="00853C72"/>
    <w:rsid w:val="008542FE"/>
    <w:rsid w:val="008545E2"/>
    <w:rsid w:val="00854721"/>
    <w:rsid w:val="00855220"/>
    <w:rsid w:val="008552FA"/>
    <w:rsid w:val="008554B9"/>
    <w:rsid w:val="0085582D"/>
    <w:rsid w:val="00855A3F"/>
    <w:rsid w:val="00855D20"/>
    <w:rsid w:val="00856729"/>
    <w:rsid w:val="008570D0"/>
    <w:rsid w:val="008578BD"/>
    <w:rsid w:val="00857CD0"/>
    <w:rsid w:val="00860292"/>
    <w:rsid w:val="00860BD1"/>
    <w:rsid w:val="00860FA7"/>
    <w:rsid w:val="008610BB"/>
    <w:rsid w:val="00861965"/>
    <w:rsid w:val="00862C3F"/>
    <w:rsid w:val="00862D35"/>
    <w:rsid w:val="008630C5"/>
    <w:rsid w:val="008632D9"/>
    <w:rsid w:val="008634E5"/>
    <w:rsid w:val="00863556"/>
    <w:rsid w:val="00864744"/>
    <w:rsid w:val="00864E0D"/>
    <w:rsid w:val="00864E16"/>
    <w:rsid w:val="00865AF5"/>
    <w:rsid w:val="008665F9"/>
    <w:rsid w:val="00866C75"/>
    <w:rsid w:val="00866CAB"/>
    <w:rsid w:val="00867144"/>
    <w:rsid w:val="00867607"/>
    <w:rsid w:val="00867B7A"/>
    <w:rsid w:val="00867D79"/>
    <w:rsid w:val="008710E3"/>
    <w:rsid w:val="00871386"/>
    <w:rsid w:val="008719FE"/>
    <w:rsid w:val="008721DA"/>
    <w:rsid w:val="008731AE"/>
    <w:rsid w:val="00874688"/>
    <w:rsid w:val="00874ED1"/>
    <w:rsid w:val="00877188"/>
    <w:rsid w:val="0088143D"/>
    <w:rsid w:val="00882256"/>
    <w:rsid w:val="008826AA"/>
    <w:rsid w:val="008834DF"/>
    <w:rsid w:val="00883570"/>
    <w:rsid w:val="008836C5"/>
    <w:rsid w:val="00884165"/>
    <w:rsid w:val="00884840"/>
    <w:rsid w:val="00884B7D"/>
    <w:rsid w:val="00884EFF"/>
    <w:rsid w:val="00884F98"/>
    <w:rsid w:val="00885219"/>
    <w:rsid w:val="008852F7"/>
    <w:rsid w:val="00885428"/>
    <w:rsid w:val="00886432"/>
    <w:rsid w:val="00886C52"/>
    <w:rsid w:val="00886D2A"/>
    <w:rsid w:val="00887316"/>
    <w:rsid w:val="00887455"/>
    <w:rsid w:val="00887685"/>
    <w:rsid w:val="00887B7E"/>
    <w:rsid w:val="00890026"/>
    <w:rsid w:val="00890766"/>
    <w:rsid w:val="00891F6B"/>
    <w:rsid w:val="00892819"/>
    <w:rsid w:val="00892A07"/>
    <w:rsid w:val="00892ACE"/>
    <w:rsid w:val="008930D0"/>
    <w:rsid w:val="008936CE"/>
    <w:rsid w:val="00893E5E"/>
    <w:rsid w:val="00893EAA"/>
    <w:rsid w:val="00893F75"/>
    <w:rsid w:val="0089426B"/>
    <w:rsid w:val="00894528"/>
    <w:rsid w:val="0089457C"/>
    <w:rsid w:val="0089458C"/>
    <w:rsid w:val="00894896"/>
    <w:rsid w:val="00894A13"/>
    <w:rsid w:val="00894BED"/>
    <w:rsid w:val="008964BB"/>
    <w:rsid w:val="0089665B"/>
    <w:rsid w:val="0089680C"/>
    <w:rsid w:val="00897252"/>
    <w:rsid w:val="008978A7"/>
    <w:rsid w:val="008978DA"/>
    <w:rsid w:val="008A0443"/>
    <w:rsid w:val="008A0593"/>
    <w:rsid w:val="008A067B"/>
    <w:rsid w:val="008A0F08"/>
    <w:rsid w:val="008A11E5"/>
    <w:rsid w:val="008A1379"/>
    <w:rsid w:val="008A183D"/>
    <w:rsid w:val="008A2743"/>
    <w:rsid w:val="008A2BBF"/>
    <w:rsid w:val="008A31CD"/>
    <w:rsid w:val="008A377A"/>
    <w:rsid w:val="008A3A8A"/>
    <w:rsid w:val="008A3BF2"/>
    <w:rsid w:val="008A4852"/>
    <w:rsid w:val="008A4C95"/>
    <w:rsid w:val="008A5737"/>
    <w:rsid w:val="008A5A23"/>
    <w:rsid w:val="008A5D79"/>
    <w:rsid w:val="008A69DA"/>
    <w:rsid w:val="008A6C5C"/>
    <w:rsid w:val="008A7691"/>
    <w:rsid w:val="008A7943"/>
    <w:rsid w:val="008B00DA"/>
    <w:rsid w:val="008B1192"/>
    <w:rsid w:val="008B26EC"/>
    <w:rsid w:val="008B2D11"/>
    <w:rsid w:val="008B2E4C"/>
    <w:rsid w:val="008B345B"/>
    <w:rsid w:val="008B3711"/>
    <w:rsid w:val="008B3796"/>
    <w:rsid w:val="008B39EE"/>
    <w:rsid w:val="008B4D35"/>
    <w:rsid w:val="008B4F76"/>
    <w:rsid w:val="008B4FB4"/>
    <w:rsid w:val="008B6035"/>
    <w:rsid w:val="008B6B30"/>
    <w:rsid w:val="008B6C2A"/>
    <w:rsid w:val="008B6DCD"/>
    <w:rsid w:val="008B6F6E"/>
    <w:rsid w:val="008B6FAE"/>
    <w:rsid w:val="008B70F6"/>
    <w:rsid w:val="008B758A"/>
    <w:rsid w:val="008B7A79"/>
    <w:rsid w:val="008B7E80"/>
    <w:rsid w:val="008C0122"/>
    <w:rsid w:val="008C02C9"/>
    <w:rsid w:val="008C0774"/>
    <w:rsid w:val="008C0923"/>
    <w:rsid w:val="008C160E"/>
    <w:rsid w:val="008C18D2"/>
    <w:rsid w:val="008C1AAE"/>
    <w:rsid w:val="008C1EA8"/>
    <w:rsid w:val="008C3268"/>
    <w:rsid w:val="008C37C8"/>
    <w:rsid w:val="008C407E"/>
    <w:rsid w:val="008C434A"/>
    <w:rsid w:val="008C4973"/>
    <w:rsid w:val="008C53B0"/>
    <w:rsid w:val="008C54E0"/>
    <w:rsid w:val="008C58B3"/>
    <w:rsid w:val="008C5A59"/>
    <w:rsid w:val="008C5AC0"/>
    <w:rsid w:val="008C6883"/>
    <w:rsid w:val="008C75C8"/>
    <w:rsid w:val="008C75EB"/>
    <w:rsid w:val="008C7809"/>
    <w:rsid w:val="008C7A71"/>
    <w:rsid w:val="008C7FCC"/>
    <w:rsid w:val="008D03F5"/>
    <w:rsid w:val="008D066F"/>
    <w:rsid w:val="008D0EA7"/>
    <w:rsid w:val="008D0FE8"/>
    <w:rsid w:val="008D18D2"/>
    <w:rsid w:val="008D269A"/>
    <w:rsid w:val="008D2986"/>
    <w:rsid w:val="008D2D8E"/>
    <w:rsid w:val="008D2EDD"/>
    <w:rsid w:val="008D3460"/>
    <w:rsid w:val="008D452A"/>
    <w:rsid w:val="008D49A9"/>
    <w:rsid w:val="008D4A08"/>
    <w:rsid w:val="008D4E6D"/>
    <w:rsid w:val="008D576D"/>
    <w:rsid w:val="008D57CA"/>
    <w:rsid w:val="008D5B07"/>
    <w:rsid w:val="008D6108"/>
    <w:rsid w:val="008D6C67"/>
    <w:rsid w:val="008D6D4E"/>
    <w:rsid w:val="008D7679"/>
    <w:rsid w:val="008D77BA"/>
    <w:rsid w:val="008D77E8"/>
    <w:rsid w:val="008D77EB"/>
    <w:rsid w:val="008D7B2E"/>
    <w:rsid w:val="008E02B8"/>
    <w:rsid w:val="008E0C60"/>
    <w:rsid w:val="008E0F71"/>
    <w:rsid w:val="008E1330"/>
    <w:rsid w:val="008E17ED"/>
    <w:rsid w:val="008E1A31"/>
    <w:rsid w:val="008E1B26"/>
    <w:rsid w:val="008E2766"/>
    <w:rsid w:val="008E2A38"/>
    <w:rsid w:val="008E32D4"/>
    <w:rsid w:val="008E39A3"/>
    <w:rsid w:val="008E3AA6"/>
    <w:rsid w:val="008E40F0"/>
    <w:rsid w:val="008E50E5"/>
    <w:rsid w:val="008E5314"/>
    <w:rsid w:val="008E532D"/>
    <w:rsid w:val="008E5C56"/>
    <w:rsid w:val="008E5D09"/>
    <w:rsid w:val="008E5EBE"/>
    <w:rsid w:val="008E5F97"/>
    <w:rsid w:val="008E652E"/>
    <w:rsid w:val="008E6A07"/>
    <w:rsid w:val="008E6DA5"/>
    <w:rsid w:val="008E720F"/>
    <w:rsid w:val="008E7B83"/>
    <w:rsid w:val="008E7D65"/>
    <w:rsid w:val="008E7DCA"/>
    <w:rsid w:val="008F130C"/>
    <w:rsid w:val="008F1BA2"/>
    <w:rsid w:val="008F1FD1"/>
    <w:rsid w:val="008F2A8E"/>
    <w:rsid w:val="008F3968"/>
    <w:rsid w:val="008F3A7F"/>
    <w:rsid w:val="008F3DD8"/>
    <w:rsid w:val="008F4F6E"/>
    <w:rsid w:val="008F4FAA"/>
    <w:rsid w:val="008F5262"/>
    <w:rsid w:val="008F58C5"/>
    <w:rsid w:val="008F7C36"/>
    <w:rsid w:val="00900E4E"/>
    <w:rsid w:val="00900F5A"/>
    <w:rsid w:val="00901071"/>
    <w:rsid w:val="0090126F"/>
    <w:rsid w:val="0090163D"/>
    <w:rsid w:val="00901D8F"/>
    <w:rsid w:val="009024CC"/>
    <w:rsid w:val="00902535"/>
    <w:rsid w:val="009030F9"/>
    <w:rsid w:val="009030FD"/>
    <w:rsid w:val="00903373"/>
    <w:rsid w:val="00903397"/>
    <w:rsid w:val="009038BC"/>
    <w:rsid w:val="00904B2C"/>
    <w:rsid w:val="00905319"/>
    <w:rsid w:val="009054DF"/>
    <w:rsid w:val="00905562"/>
    <w:rsid w:val="00905F64"/>
    <w:rsid w:val="00905FD2"/>
    <w:rsid w:val="00906588"/>
    <w:rsid w:val="00906A21"/>
    <w:rsid w:val="009071B0"/>
    <w:rsid w:val="00907545"/>
    <w:rsid w:val="00907E62"/>
    <w:rsid w:val="00910030"/>
    <w:rsid w:val="00910144"/>
    <w:rsid w:val="00910261"/>
    <w:rsid w:val="009103F3"/>
    <w:rsid w:val="00910AE2"/>
    <w:rsid w:val="009122B0"/>
    <w:rsid w:val="0091248B"/>
    <w:rsid w:val="00912B05"/>
    <w:rsid w:val="009146D9"/>
    <w:rsid w:val="009147AA"/>
    <w:rsid w:val="009147B4"/>
    <w:rsid w:val="00914970"/>
    <w:rsid w:val="0091524F"/>
    <w:rsid w:val="009157E0"/>
    <w:rsid w:val="00916534"/>
    <w:rsid w:val="00916739"/>
    <w:rsid w:val="0091679C"/>
    <w:rsid w:val="00920B55"/>
    <w:rsid w:val="0092128D"/>
    <w:rsid w:val="00922798"/>
    <w:rsid w:val="00922A26"/>
    <w:rsid w:val="00923233"/>
    <w:rsid w:val="00923588"/>
    <w:rsid w:val="00923942"/>
    <w:rsid w:val="00924039"/>
    <w:rsid w:val="00924208"/>
    <w:rsid w:val="009246A7"/>
    <w:rsid w:val="00924EEB"/>
    <w:rsid w:val="00924F83"/>
    <w:rsid w:val="00925E08"/>
    <w:rsid w:val="00927067"/>
    <w:rsid w:val="0092794B"/>
    <w:rsid w:val="00927BDE"/>
    <w:rsid w:val="00927CED"/>
    <w:rsid w:val="00930203"/>
    <w:rsid w:val="00930F03"/>
    <w:rsid w:val="009310E7"/>
    <w:rsid w:val="009311BF"/>
    <w:rsid w:val="00931ED1"/>
    <w:rsid w:val="0093203F"/>
    <w:rsid w:val="009329BF"/>
    <w:rsid w:val="00932B5B"/>
    <w:rsid w:val="009330EB"/>
    <w:rsid w:val="009346A3"/>
    <w:rsid w:val="009352CC"/>
    <w:rsid w:val="00935FE0"/>
    <w:rsid w:val="00936B1F"/>
    <w:rsid w:val="00936BA9"/>
    <w:rsid w:val="00936CC2"/>
    <w:rsid w:val="00937365"/>
    <w:rsid w:val="00937593"/>
    <w:rsid w:val="00937758"/>
    <w:rsid w:val="00940D8F"/>
    <w:rsid w:val="00940FA1"/>
    <w:rsid w:val="00941185"/>
    <w:rsid w:val="00941219"/>
    <w:rsid w:val="00941506"/>
    <w:rsid w:val="00941C3C"/>
    <w:rsid w:val="009427C8"/>
    <w:rsid w:val="00942E78"/>
    <w:rsid w:val="0094336E"/>
    <w:rsid w:val="0094480F"/>
    <w:rsid w:val="0094492A"/>
    <w:rsid w:val="009461ED"/>
    <w:rsid w:val="0094628A"/>
    <w:rsid w:val="00946FDE"/>
    <w:rsid w:val="009474B8"/>
    <w:rsid w:val="009474F7"/>
    <w:rsid w:val="00950207"/>
    <w:rsid w:val="00950EE6"/>
    <w:rsid w:val="0095143E"/>
    <w:rsid w:val="0095188C"/>
    <w:rsid w:val="00952A2B"/>
    <w:rsid w:val="00952A62"/>
    <w:rsid w:val="00952E82"/>
    <w:rsid w:val="0095301D"/>
    <w:rsid w:val="0095351A"/>
    <w:rsid w:val="0095353E"/>
    <w:rsid w:val="0095367B"/>
    <w:rsid w:val="009545D2"/>
    <w:rsid w:val="00954CCE"/>
    <w:rsid w:val="0095513B"/>
    <w:rsid w:val="009561B3"/>
    <w:rsid w:val="0095621B"/>
    <w:rsid w:val="00956BEA"/>
    <w:rsid w:val="00956E7C"/>
    <w:rsid w:val="0095710B"/>
    <w:rsid w:val="00957760"/>
    <w:rsid w:val="0096002A"/>
    <w:rsid w:val="00960183"/>
    <w:rsid w:val="00960AD0"/>
    <w:rsid w:val="00960C10"/>
    <w:rsid w:val="00960D50"/>
    <w:rsid w:val="009617F0"/>
    <w:rsid w:val="00961BE8"/>
    <w:rsid w:val="00961D6B"/>
    <w:rsid w:val="009624A5"/>
    <w:rsid w:val="009624E4"/>
    <w:rsid w:val="009628FD"/>
    <w:rsid w:val="00962BD1"/>
    <w:rsid w:val="0096302C"/>
    <w:rsid w:val="00963230"/>
    <w:rsid w:val="0096340D"/>
    <w:rsid w:val="00964441"/>
    <w:rsid w:val="0096481F"/>
    <w:rsid w:val="00964DF9"/>
    <w:rsid w:val="009657EE"/>
    <w:rsid w:val="00965FC2"/>
    <w:rsid w:val="009663A0"/>
    <w:rsid w:val="0096685B"/>
    <w:rsid w:val="00967871"/>
    <w:rsid w:val="00970733"/>
    <w:rsid w:val="009711AF"/>
    <w:rsid w:val="009711E4"/>
    <w:rsid w:val="00971550"/>
    <w:rsid w:val="00971862"/>
    <w:rsid w:val="00971D93"/>
    <w:rsid w:val="00972D2B"/>
    <w:rsid w:val="00973075"/>
    <w:rsid w:val="009733F2"/>
    <w:rsid w:val="00973931"/>
    <w:rsid w:val="00973D27"/>
    <w:rsid w:val="00973ED7"/>
    <w:rsid w:val="009744E0"/>
    <w:rsid w:val="009745D0"/>
    <w:rsid w:val="0097481C"/>
    <w:rsid w:val="00974AD7"/>
    <w:rsid w:val="009759B6"/>
    <w:rsid w:val="00975DA4"/>
    <w:rsid w:val="0097624A"/>
    <w:rsid w:val="00976D80"/>
    <w:rsid w:val="009770F4"/>
    <w:rsid w:val="00977863"/>
    <w:rsid w:val="00980362"/>
    <w:rsid w:val="009805FF"/>
    <w:rsid w:val="009806D6"/>
    <w:rsid w:val="00980CA4"/>
    <w:rsid w:val="0098117B"/>
    <w:rsid w:val="00981307"/>
    <w:rsid w:val="009817D3"/>
    <w:rsid w:val="00981826"/>
    <w:rsid w:val="00983510"/>
    <w:rsid w:val="00983A68"/>
    <w:rsid w:val="00984EAA"/>
    <w:rsid w:val="00985021"/>
    <w:rsid w:val="00986D96"/>
    <w:rsid w:val="00986DD6"/>
    <w:rsid w:val="00986E71"/>
    <w:rsid w:val="00987EE7"/>
    <w:rsid w:val="00987EF0"/>
    <w:rsid w:val="00990752"/>
    <w:rsid w:val="00990A85"/>
    <w:rsid w:val="009915B9"/>
    <w:rsid w:val="00991B62"/>
    <w:rsid w:val="00992381"/>
    <w:rsid w:val="0099247A"/>
    <w:rsid w:val="00992947"/>
    <w:rsid w:val="00992A53"/>
    <w:rsid w:val="00993B42"/>
    <w:rsid w:val="00993D7B"/>
    <w:rsid w:val="009944E2"/>
    <w:rsid w:val="00994F93"/>
    <w:rsid w:val="00995824"/>
    <w:rsid w:val="009958EF"/>
    <w:rsid w:val="00995D49"/>
    <w:rsid w:val="0099682B"/>
    <w:rsid w:val="00997636"/>
    <w:rsid w:val="009A054B"/>
    <w:rsid w:val="009A0587"/>
    <w:rsid w:val="009A05ED"/>
    <w:rsid w:val="009A06AD"/>
    <w:rsid w:val="009A09CB"/>
    <w:rsid w:val="009A0C1A"/>
    <w:rsid w:val="009A0E62"/>
    <w:rsid w:val="009A1D5A"/>
    <w:rsid w:val="009A25C2"/>
    <w:rsid w:val="009A2700"/>
    <w:rsid w:val="009A2E60"/>
    <w:rsid w:val="009A369A"/>
    <w:rsid w:val="009A3F72"/>
    <w:rsid w:val="009A44A0"/>
    <w:rsid w:val="009A466F"/>
    <w:rsid w:val="009A52BC"/>
    <w:rsid w:val="009A57C6"/>
    <w:rsid w:val="009A5D04"/>
    <w:rsid w:val="009A620B"/>
    <w:rsid w:val="009A621D"/>
    <w:rsid w:val="009A67B2"/>
    <w:rsid w:val="009A7363"/>
    <w:rsid w:val="009B0247"/>
    <w:rsid w:val="009B08CE"/>
    <w:rsid w:val="009B0DFB"/>
    <w:rsid w:val="009B1421"/>
    <w:rsid w:val="009B1535"/>
    <w:rsid w:val="009B188D"/>
    <w:rsid w:val="009B1923"/>
    <w:rsid w:val="009B1C25"/>
    <w:rsid w:val="009B1F23"/>
    <w:rsid w:val="009B2268"/>
    <w:rsid w:val="009B2554"/>
    <w:rsid w:val="009B2591"/>
    <w:rsid w:val="009B288A"/>
    <w:rsid w:val="009B2BBF"/>
    <w:rsid w:val="009B368A"/>
    <w:rsid w:val="009B3E97"/>
    <w:rsid w:val="009B3FD5"/>
    <w:rsid w:val="009B40C0"/>
    <w:rsid w:val="009B4228"/>
    <w:rsid w:val="009B4E6F"/>
    <w:rsid w:val="009B5109"/>
    <w:rsid w:val="009B5872"/>
    <w:rsid w:val="009B589D"/>
    <w:rsid w:val="009B5A72"/>
    <w:rsid w:val="009B5D7F"/>
    <w:rsid w:val="009B6EE8"/>
    <w:rsid w:val="009B6FE8"/>
    <w:rsid w:val="009B75FD"/>
    <w:rsid w:val="009B7E98"/>
    <w:rsid w:val="009C039B"/>
    <w:rsid w:val="009C04DE"/>
    <w:rsid w:val="009C0680"/>
    <w:rsid w:val="009C0806"/>
    <w:rsid w:val="009C0D7A"/>
    <w:rsid w:val="009C1518"/>
    <w:rsid w:val="009C1735"/>
    <w:rsid w:val="009C188B"/>
    <w:rsid w:val="009C2599"/>
    <w:rsid w:val="009C2E4D"/>
    <w:rsid w:val="009C33F5"/>
    <w:rsid w:val="009C34D0"/>
    <w:rsid w:val="009C3A02"/>
    <w:rsid w:val="009C3C49"/>
    <w:rsid w:val="009C4A44"/>
    <w:rsid w:val="009C4A6C"/>
    <w:rsid w:val="009C5365"/>
    <w:rsid w:val="009C5E56"/>
    <w:rsid w:val="009C6145"/>
    <w:rsid w:val="009C638E"/>
    <w:rsid w:val="009C6FA6"/>
    <w:rsid w:val="009C72C5"/>
    <w:rsid w:val="009C7F20"/>
    <w:rsid w:val="009D0B01"/>
    <w:rsid w:val="009D119A"/>
    <w:rsid w:val="009D11B1"/>
    <w:rsid w:val="009D140E"/>
    <w:rsid w:val="009D177B"/>
    <w:rsid w:val="009D22A8"/>
    <w:rsid w:val="009D3EB0"/>
    <w:rsid w:val="009D3EDD"/>
    <w:rsid w:val="009D4D65"/>
    <w:rsid w:val="009D5215"/>
    <w:rsid w:val="009D52C2"/>
    <w:rsid w:val="009D5DCD"/>
    <w:rsid w:val="009D5E02"/>
    <w:rsid w:val="009D613E"/>
    <w:rsid w:val="009D660A"/>
    <w:rsid w:val="009D77F0"/>
    <w:rsid w:val="009E018E"/>
    <w:rsid w:val="009E024F"/>
    <w:rsid w:val="009E0451"/>
    <w:rsid w:val="009E081B"/>
    <w:rsid w:val="009E0862"/>
    <w:rsid w:val="009E10DF"/>
    <w:rsid w:val="009E16EF"/>
    <w:rsid w:val="009E1976"/>
    <w:rsid w:val="009E2111"/>
    <w:rsid w:val="009E2335"/>
    <w:rsid w:val="009E27B6"/>
    <w:rsid w:val="009E3A51"/>
    <w:rsid w:val="009E42C0"/>
    <w:rsid w:val="009E4325"/>
    <w:rsid w:val="009E4C20"/>
    <w:rsid w:val="009E600F"/>
    <w:rsid w:val="009E6220"/>
    <w:rsid w:val="009E6509"/>
    <w:rsid w:val="009E6705"/>
    <w:rsid w:val="009E7292"/>
    <w:rsid w:val="009E7AB3"/>
    <w:rsid w:val="009E7C01"/>
    <w:rsid w:val="009E7D2B"/>
    <w:rsid w:val="009F00F4"/>
    <w:rsid w:val="009F06C5"/>
    <w:rsid w:val="009F0C07"/>
    <w:rsid w:val="009F1861"/>
    <w:rsid w:val="009F1FDF"/>
    <w:rsid w:val="009F228E"/>
    <w:rsid w:val="009F24E3"/>
    <w:rsid w:val="009F2B5D"/>
    <w:rsid w:val="009F2FFF"/>
    <w:rsid w:val="009F3579"/>
    <w:rsid w:val="009F3725"/>
    <w:rsid w:val="009F38F8"/>
    <w:rsid w:val="009F3A3C"/>
    <w:rsid w:val="009F47F5"/>
    <w:rsid w:val="009F482F"/>
    <w:rsid w:val="009F4DCD"/>
    <w:rsid w:val="009F4E5C"/>
    <w:rsid w:val="009F5A28"/>
    <w:rsid w:val="009F5EA0"/>
    <w:rsid w:val="009F773F"/>
    <w:rsid w:val="009F7939"/>
    <w:rsid w:val="009F7DD7"/>
    <w:rsid w:val="00A00272"/>
    <w:rsid w:val="00A00D1D"/>
    <w:rsid w:val="00A01FFB"/>
    <w:rsid w:val="00A023E4"/>
    <w:rsid w:val="00A0266B"/>
    <w:rsid w:val="00A02909"/>
    <w:rsid w:val="00A02FFA"/>
    <w:rsid w:val="00A03240"/>
    <w:rsid w:val="00A0398C"/>
    <w:rsid w:val="00A0489D"/>
    <w:rsid w:val="00A0491F"/>
    <w:rsid w:val="00A04F47"/>
    <w:rsid w:val="00A05405"/>
    <w:rsid w:val="00A0544D"/>
    <w:rsid w:val="00A05971"/>
    <w:rsid w:val="00A05E0E"/>
    <w:rsid w:val="00A06581"/>
    <w:rsid w:val="00A069F9"/>
    <w:rsid w:val="00A07089"/>
    <w:rsid w:val="00A072BD"/>
    <w:rsid w:val="00A07705"/>
    <w:rsid w:val="00A07C75"/>
    <w:rsid w:val="00A11438"/>
    <w:rsid w:val="00A1169A"/>
    <w:rsid w:val="00A11993"/>
    <w:rsid w:val="00A121E6"/>
    <w:rsid w:val="00A12238"/>
    <w:rsid w:val="00A12A34"/>
    <w:rsid w:val="00A1365B"/>
    <w:rsid w:val="00A13DF1"/>
    <w:rsid w:val="00A1409F"/>
    <w:rsid w:val="00A14242"/>
    <w:rsid w:val="00A14C22"/>
    <w:rsid w:val="00A14E0E"/>
    <w:rsid w:val="00A14E31"/>
    <w:rsid w:val="00A14EDA"/>
    <w:rsid w:val="00A15373"/>
    <w:rsid w:val="00A15ADD"/>
    <w:rsid w:val="00A15C96"/>
    <w:rsid w:val="00A1625E"/>
    <w:rsid w:val="00A16266"/>
    <w:rsid w:val="00A16694"/>
    <w:rsid w:val="00A17A2E"/>
    <w:rsid w:val="00A17DEE"/>
    <w:rsid w:val="00A2030F"/>
    <w:rsid w:val="00A20F9B"/>
    <w:rsid w:val="00A210D3"/>
    <w:rsid w:val="00A21286"/>
    <w:rsid w:val="00A21492"/>
    <w:rsid w:val="00A21A07"/>
    <w:rsid w:val="00A21CDA"/>
    <w:rsid w:val="00A222D8"/>
    <w:rsid w:val="00A22534"/>
    <w:rsid w:val="00A22542"/>
    <w:rsid w:val="00A229DB"/>
    <w:rsid w:val="00A22D5E"/>
    <w:rsid w:val="00A22FA0"/>
    <w:rsid w:val="00A2341F"/>
    <w:rsid w:val="00A235A2"/>
    <w:rsid w:val="00A2383E"/>
    <w:rsid w:val="00A23855"/>
    <w:rsid w:val="00A24A71"/>
    <w:rsid w:val="00A24D1D"/>
    <w:rsid w:val="00A24E58"/>
    <w:rsid w:val="00A25492"/>
    <w:rsid w:val="00A262AC"/>
    <w:rsid w:val="00A26B52"/>
    <w:rsid w:val="00A26DBF"/>
    <w:rsid w:val="00A270DF"/>
    <w:rsid w:val="00A274A9"/>
    <w:rsid w:val="00A2765A"/>
    <w:rsid w:val="00A27B79"/>
    <w:rsid w:val="00A27C1B"/>
    <w:rsid w:val="00A306E2"/>
    <w:rsid w:val="00A3082C"/>
    <w:rsid w:val="00A30E3E"/>
    <w:rsid w:val="00A30FC7"/>
    <w:rsid w:val="00A31454"/>
    <w:rsid w:val="00A31D87"/>
    <w:rsid w:val="00A322E8"/>
    <w:rsid w:val="00A32925"/>
    <w:rsid w:val="00A3349E"/>
    <w:rsid w:val="00A34251"/>
    <w:rsid w:val="00A34683"/>
    <w:rsid w:val="00A34B7A"/>
    <w:rsid w:val="00A34F03"/>
    <w:rsid w:val="00A35679"/>
    <w:rsid w:val="00A36DD3"/>
    <w:rsid w:val="00A36E2B"/>
    <w:rsid w:val="00A36FE7"/>
    <w:rsid w:val="00A404DB"/>
    <w:rsid w:val="00A40CE8"/>
    <w:rsid w:val="00A41020"/>
    <w:rsid w:val="00A41181"/>
    <w:rsid w:val="00A412A1"/>
    <w:rsid w:val="00A419FE"/>
    <w:rsid w:val="00A4208D"/>
    <w:rsid w:val="00A42269"/>
    <w:rsid w:val="00A42813"/>
    <w:rsid w:val="00A43D2A"/>
    <w:rsid w:val="00A43E82"/>
    <w:rsid w:val="00A44082"/>
    <w:rsid w:val="00A44E0C"/>
    <w:rsid w:val="00A45BFE"/>
    <w:rsid w:val="00A45C95"/>
    <w:rsid w:val="00A45D25"/>
    <w:rsid w:val="00A45DA0"/>
    <w:rsid w:val="00A45EAC"/>
    <w:rsid w:val="00A46419"/>
    <w:rsid w:val="00A4645E"/>
    <w:rsid w:val="00A46894"/>
    <w:rsid w:val="00A46DAE"/>
    <w:rsid w:val="00A46F82"/>
    <w:rsid w:val="00A4780D"/>
    <w:rsid w:val="00A47837"/>
    <w:rsid w:val="00A479C6"/>
    <w:rsid w:val="00A47B71"/>
    <w:rsid w:val="00A47C0E"/>
    <w:rsid w:val="00A501CC"/>
    <w:rsid w:val="00A502AC"/>
    <w:rsid w:val="00A50310"/>
    <w:rsid w:val="00A503A9"/>
    <w:rsid w:val="00A50477"/>
    <w:rsid w:val="00A50B01"/>
    <w:rsid w:val="00A50B2C"/>
    <w:rsid w:val="00A50BE5"/>
    <w:rsid w:val="00A51AFA"/>
    <w:rsid w:val="00A52381"/>
    <w:rsid w:val="00A52AD5"/>
    <w:rsid w:val="00A532E3"/>
    <w:rsid w:val="00A53522"/>
    <w:rsid w:val="00A54985"/>
    <w:rsid w:val="00A55852"/>
    <w:rsid w:val="00A55BDF"/>
    <w:rsid w:val="00A56219"/>
    <w:rsid w:val="00A56BCB"/>
    <w:rsid w:val="00A57C29"/>
    <w:rsid w:val="00A6018E"/>
    <w:rsid w:val="00A60C65"/>
    <w:rsid w:val="00A60D84"/>
    <w:rsid w:val="00A622BE"/>
    <w:rsid w:val="00A64555"/>
    <w:rsid w:val="00A64DF3"/>
    <w:rsid w:val="00A650DF"/>
    <w:rsid w:val="00A6555F"/>
    <w:rsid w:val="00A65560"/>
    <w:rsid w:val="00A65796"/>
    <w:rsid w:val="00A65D8C"/>
    <w:rsid w:val="00A65F34"/>
    <w:rsid w:val="00A66095"/>
    <w:rsid w:val="00A6626E"/>
    <w:rsid w:val="00A669D7"/>
    <w:rsid w:val="00A66A4A"/>
    <w:rsid w:val="00A66D38"/>
    <w:rsid w:val="00A67345"/>
    <w:rsid w:val="00A67903"/>
    <w:rsid w:val="00A67AB7"/>
    <w:rsid w:val="00A67F7D"/>
    <w:rsid w:val="00A7009B"/>
    <w:rsid w:val="00A70715"/>
    <w:rsid w:val="00A7072F"/>
    <w:rsid w:val="00A71897"/>
    <w:rsid w:val="00A729F6"/>
    <w:rsid w:val="00A73162"/>
    <w:rsid w:val="00A73DB4"/>
    <w:rsid w:val="00A73EEE"/>
    <w:rsid w:val="00A7592F"/>
    <w:rsid w:val="00A75B54"/>
    <w:rsid w:val="00A75B9F"/>
    <w:rsid w:val="00A75CB0"/>
    <w:rsid w:val="00A760A2"/>
    <w:rsid w:val="00A76866"/>
    <w:rsid w:val="00A776DC"/>
    <w:rsid w:val="00A7790B"/>
    <w:rsid w:val="00A80519"/>
    <w:rsid w:val="00A80563"/>
    <w:rsid w:val="00A8088C"/>
    <w:rsid w:val="00A808C9"/>
    <w:rsid w:val="00A8093E"/>
    <w:rsid w:val="00A80D34"/>
    <w:rsid w:val="00A81B58"/>
    <w:rsid w:val="00A81FDE"/>
    <w:rsid w:val="00A822BE"/>
    <w:rsid w:val="00A82A02"/>
    <w:rsid w:val="00A83268"/>
    <w:rsid w:val="00A83D0B"/>
    <w:rsid w:val="00A84915"/>
    <w:rsid w:val="00A84C13"/>
    <w:rsid w:val="00A856D4"/>
    <w:rsid w:val="00A85CDD"/>
    <w:rsid w:val="00A85F6E"/>
    <w:rsid w:val="00A86D7B"/>
    <w:rsid w:val="00A872BA"/>
    <w:rsid w:val="00A87F70"/>
    <w:rsid w:val="00A90068"/>
    <w:rsid w:val="00A90A6C"/>
    <w:rsid w:val="00A922C3"/>
    <w:rsid w:val="00A925C0"/>
    <w:rsid w:val="00A92C74"/>
    <w:rsid w:val="00A93656"/>
    <w:rsid w:val="00A93A9D"/>
    <w:rsid w:val="00A93B1B"/>
    <w:rsid w:val="00A93CE9"/>
    <w:rsid w:val="00A9443E"/>
    <w:rsid w:val="00A94BA3"/>
    <w:rsid w:val="00A94E9F"/>
    <w:rsid w:val="00A94F2A"/>
    <w:rsid w:val="00A95317"/>
    <w:rsid w:val="00A954E4"/>
    <w:rsid w:val="00A9552A"/>
    <w:rsid w:val="00A95A0C"/>
    <w:rsid w:val="00A9693F"/>
    <w:rsid w:val="00A96A01"/>
    <w:rsid w:val="00A971BA"/>
    <w:rsid w:val="00A97258"/>
    <w:rsid w:val="00A9787D"/>
    <w:rsid w:val="00A97E00"/>
    <w:rsid w:val="00A97E9B"/>
    <w:rsid w:val="00AA05EE"/>
    <w:rsid w:val="00AA07D2"/>
    <w:rsid w:val="00AA157E"/>
    <w:rsid w:val="00AA1F4F"/>
    <w:rsid w:val="00AA22B4"/>
    <w:rsid w:val="00AA2487"/>
    <w:rsid w:val="00AA2AAF"/>
    <w:rsid w:val="00AA2B10"/>
    <w:rsid w:val="00AA30C7"/>
    <w:rsid w:val="00AA3AAC"/>
    <w:rsid w:val="00AA4322"/>
    <w:rsid w:val="00AA4F29"/>
    <w:rsid w:val="00AA52E4"/>
    <w:rsid w:val="00AA5589"/>
    <w:rsid w:val="00AA5E17"/>
    <w:rsid w:val="00AA6022"/>
    <w:rsid w:val="00AA6526"/>
    <w:rsid w:val="00AA68DC"/>
    <w:rsid w:val="00AA7088"/>
    <w:rsid w:val="00AA7173"/>
    <w:rsid w:val="00AA7605"/>
    <w:rsid w:val="00AA783B"/>
    <w:rsid w:val="00AA7F49"/>
    <w:rsid w:val="00AB0082"/>
    <w:rsid w:val="00AB020F"/>
    <w:rsid w:val="00AB043B"/>
    <w:rsid w:val="00AB06A4"/>
    <w:rsid w:val="00AB071B"/>
    <w:rsid w:val="00AB0ED6"/>
    <w:rsid w:val="00AB1D2E"/>
    <w:rsid w:val="00AB20E1"/>
    <w:rsid w:val="00AB2362"/>
    <w:rsid w:val="00AB291A"/>
    <w:rsid w:val="00AB344B"/>
    <w:rsid w:val="00AB3594"/>
    <w:rsid w:val="00AB3BD4"/>
    <w:rsid w:val="00AB4202"/>
    <w:rsid w:val="00AB434C"/>
    <w:rsid w:val="00AB4869"/>
    <w:rsid w:val="00AB4A96"/>
    <w:rsid w:val="00AB4B44"/>
    <w:rsid w:val="00AB4D08"/>
    <w:rsid w:val="00AB4F1B"/>
    <w:rsid w:val="00AB511E"/>
    <w:rsid w:val="00AB5674"/>
    <w:rsid w:val="00AB5B0F"/>
    <w:rsid w:val="00AB5D87"/>
    <w:rsid w:val="00AB628A"/>
    <w:rsid w:val="00AB67D7"/>
    <w:rsid w:val="00AB6DCE"/>
    <w:rsid w:val="00AB7083"/>
    <w:rsid w:val="00AB7295"/>
    <w:rsid w:val="00AB7706"/>
    <w:rsid w:val="00AB7974"/>
    <w:rsid w:val="00AC020E"/>
    <w:rsid w:val="00AC04DE"/>
    <w:rsid w:val="00AC1503"/>
    <w:rsid w:val="00AC16A9"/>
    <w:rsid w:val="00AC187E"/>
    <w:rsid w:val="00AC1B39"/>
    <w:rsid w:val="00AC1CAA"/>
    <w:rsid w:val="00AC3617"/>
    <w:rsid w:val="00AC403E"/>
    <w:rsid w:val="00AC4075"/>
    <w:rsid w:val="00AC465A"/>
    <w:rsid w:val="00AC4DC9"/>
    <w:rsid w:val="00AC50D9"/>
    <w:rsid w:val="00AC5382"/>
    <w:rsid w:val="00AC58CB"/>
    <w:rsid w:val="00AC5A15"/>
    <w:rsid w:val="00AC5E80"/>
    <w:rsid w:val="00AC60C1"/>
    <w:rsid w:val="00AC63B8"/>
    <w:rsid w:val="00AC6500"/>
    <w:rsid w:val="00AC6C0D"/>
    <w:rsid w:val="00AC6C16"/>
    <w:rsid w:val="00AC765C"/>
    <w:rsid w:val="00AC79BC"/>
    <w:rsid w:val="00AC7DB9"/>
    <w:rsid w:val="00AD21AE"/>
    <w:rsid w:val="00AD2A2D"/>
    <w:rsid w:val="00AD2BEA"/>
    <w:rsid w:val="00AD2CAB"/>
    <w:rsid w:val="00AD30BC"/>
    <w:rsid w:val="00AD32D4"/>
    <w:rsid w:val="00AD3971"/>
    <w:rsid w:val="00AD4B27"/>
    <w:rsid w:val="00AD5648"/>
    <w:rsid w:val="00AD6D3E"/>
    <w:rsid w:val="00AD7137"/>
    <w:rsid w:val="00AD78D2"/>
    <w:rsid w:val="00AD7A63"/>
    <w:rsid w:val="00AE00C3"/>
    <w:rsid w:val="00AE02A1"/>
    <w:rsid w:val="00AE03D9"/>
    <w:rsid w:val="00AE0905"/>
    <w:rsid w:val="00AE0C80"/>
    <w:rsid w:val="00AE0CAA"/>
    <w:rsid w:val="00AE1166"/>
    <w:rsid w:val="00AE1462"/>
    <w:rsid w:val="00AE1752"/>
    <w:rsid w:val="00AE1AB1"/>
    <w:rsid w:val="00AE1C58"/>
    <w:rsid w:val="00AE1E9F"/>
    <w:rsid w:val="00AE25B3"/>
    <w:rsid w:val="00AE2CFC"/>
    <w:rsid w:val="00AE3D13"/>
    <w:rsid w:val="00AE41A0"/>
    <w:rsid w:val="00AE439F"/>
    <w:rsid w:val="00AE4477"/>
    <w:rsid w:val="00AE450C"/>
    <w:rsid w:val="00AE47B6"/>
    <w:rsid w:val="00AE4DCF"/>
    <w:rsid w:val="00AE4F0C"/>
    <w:rsid w:val="00AE5954"/>
    <w:rsid w:val="00AE5B5F"/>
    <w:rsid w:val="00AE6D3B"/>
    <w:rsid w:val="00AE6EED"/>
    <w:rsid w:val="00AE710F"/>
    <w:rsid w:val="00AE732B"/>
    <w:rsid w:val="00AE73A7"/>
    <w:rsid w:val="00AE74F1"/>
    <w:rsid w:val="00AE7702"/>
    <w:rsid w:val="00AE7F05"/>
    <w:rsid w:val="00AF0B99"/>
    <w:rsid w:val="00AF0BE2"/>
    <w:rsid w:val="00AF1D27"/>
    <w:rsid w:val="00AF1FEB"/>
    <w:rsid w:val="00AF22DE"/>
    <w:rsid w:val="00AF23D7"/>
    <w:rsid w:val="00AF2C74"/>
    <w:rsid w:val="00AF2F5D"/>
    <w:rsid w:val="00AF3A11"/>
    <w:rsid w:val="00AF4034"/>
    <w:rsid w:val="00AF40F5"/>
    <w:rsid w:val="00AF41C1"/>
    <w:rsid w:val="00AF456C"/>
    <w:rsid w:val="00AF460A"/>
    <w:rsid w:val="00AF53AF"/>
    <w:rsid w:val="00AF5568"/>
    <w:rsid w:val="00AF5854"/>
    <w:rsid w:val="00AF5962"/>
    <w:rsid w:val="00AF627B"/>
    <w:rsid w:val="00AF66E9"/>
    <w:rsid w:val="00AF6893"/>
    <w:rsid w:val="00AF6D8A"/>
    <w:rsid w:val="00AF7168"/>
    <w:rsid w:val="00AF72FE"/>
    <w:rsid w:val="00AF7DCC"/>
    <w:rsid w:val="00B008B1"/>
    <w:rsid w:val="00B00DE0"/>
    <w:rsid w:val="00B00E4F"/>
    <w:rsid w:val="00B010D6"/>
    <w:rsid w:val="00B019C2"/>
    <w:rsid w:val="00B01C30"/>
    <w:rsid w:val="00B01C90"/>
    <w:rsid w:val="00B0217D"/>
    <w:rsid w:val="00B02366"/>
    <w:rsid w:val="00B02851"/>
    <w:rsid w:val="00B02AE0"/>
    <w:rsid w:val="00B036E4"/>
    <w:rsid w:val="00B03753"/>
    <w:rsid w:val="00B03882"/>
    <w:rsid w:val="00B039BF"/>
    <w:rsid w:val="00B03C10"/>
    <w:rsid w:val="00B05071"/>
    <w:rsid w:val="00B051D9"/>
    <w:rsid w:val="00B05B04"/>
    <w:rsid w:val="00B05FF7"/>
    <w:rsid w:val="00B06577"/>
    <w:rsid w:val="00B0675A"/>
    <w:rsid w:val="00B06BCD"/>
    <w:rsid w:val="00B06CF9"/>
    <w:rsid w:val="00B06F73"/>
    <w:rsid w:val="00B0781A"/>
    <w:rsid w:val="00B079C2"/>
    <w:rsid w:val="00B07E28"/>
    <w:rsid w:val="00B10422"/>
    <w:rsid w:val="00B10CDB"/>
    <w:rsid w:val="00B10E26"/>
    <w:rsid w:val="00B1100A"/>
    <w:rsid w:val="00B11039"/>
    <w:rsid w:val="00B114DB"/>
    <w:rsid w:val="00B118C9"/>
    <w:rsid w:val="00B11923"/>
    <w:rsid w:val="00B120F5"/>
    <w:rsid w:val="00B124F7"/>
    <w:rsid w:val="00B132DE"/>
    <w:rsid w:val="00B13539"/>
    <w:rsid w:val="00B139CC"/>
    <w:rsid w:val="00B13A18"/>
    <w:rsid w:val="00B13AEA"/>
    <w:rsid w:val="00B14197"/>
    <w:rsid w:val="00B1549A"/>
    <w:rsid w:val="00B155D8"/>
    <w:rsid w:val="00B15722"/>
    <w:rsid w:val="00B15F98"/>
    <w:rsid w:val="00B1621D"/>
    <w:rsid w:val="00B16BEB"/>
    <w:rsid w:val="00B17893"/>
    <w:rsid w:val="00B179FF"/>
    <w:rsid w:val="00B200F4"/>
    <w:rsid w:val="00B20229"/>
    <w:rsid w:val="00B2113A"/>
    <w:rsid w:val="00B2149E"/>
    <w:rsid w:val="00B216DD"/>
    <w:rsid w:val="00B229D1"/>
    <w:rsid w:val="00B22BA3"/>
    <w:rsid w:val="00B2382F"/>
    <w:rsid w:val="00B23897"/>
    <w:rsid w:val="00B239CF"/>
    <w:rsid w:val="00B24041"/>
    <w:rsid w:val="00B24602"/>
    <w:rsid w:val="00B24FAE"/>
    <w:rsid w:val="00B2523C"/>
    <w:rsid w:val="00B2585D"/>
    <w:rsid w:val="00B25B51"/>
    <w:rsid w:val="00B25C4F"/>
    <w:rsid w:val="00B25C55"/>
    <w:rsid w:val="00B25EE9"/>
    <w:rsid w:val="00B264BC"/>
    <w:rsid w:val="00B26605"/>
    <w:rsid w:val="00B27588"/>
    <w:rsid w:val="00B277E8"/>
    <w:rsid w:val="00B27865"/>
    <w:rsid w:val="00B2794B"/>
    <w:rsid w:val="00B27D2F"/>
    <w:rsid w:val="00B30284"/>
    <w:rsid w:val="00B3121C"/>
    <w:rsid w:val="00B313A6"/>
    <w:rsid w:val="00B31678"/>
    <w:rsid w:val="00B32B6C"/>
    <w:rsid w:val="00B32FF1"/>
    <w:rsid w:val="00B33477"/>
    <w:rsid w:val="00B3470E"/>
    <w:rsid w:val="00B3495F"/>
    <w:rsid w:val="00B3558C"/>
    <w:rsid w:val="00B355A6"/>
    <w:rsid w:val="00B356E9"/>
    <w:rsid w:val="00B36CCC"/>
    <w:rsid w:val="00B36F5C"/>
    <w:rsid w:val="00B37551"/>
    <w:rsid w:val="00B37A6E"/>
    <w:rsid w:val="00B37AC4"/>
    <w:rsid w:val="00B40909"/>
    <w:rsid w:val="00B40A04"/>
    <w:rsid w:val="00B412CD"/>
    <w:rsid w:val="00B415D9"/>
    <w:rsid w:val="00B4182A"/>
    <w:rsid w:val="00B418E1"/>
    <w:rsid w:val="00B41EC7"/>
    <w:rsid w:val="00B422A0"/>
    <w:rsid w:val="00B42807"/>
    <w:rsid w:val="00B43E52"/>
    <w:rsid w:val="00B43E7A"/>
    <w:rsid w:val="00B4484C"/>
    <w:rsid w:val="00B44996"/>
    <w:rsid w:val="00B44B79"/>
    <w:rsid w:val="00B45A37"/>
    <w:rsid w:val="00B461F4"/>
    <w:rsid w:val="00B4689F"/>
    <w:rsid w:val="00B46AD0"/>
    <w:rsid w:val="00B46CFE"/>
    <w:rsid w:val="00B47330"/>
    <w:rsid w:val="00B47D5A"/>
    <w:rsid w:val="00B50643"/>
    <w:rsid w:val="00B50937"/>
    <w:rsid w:val="00B50DD9"/>
    <w:rsid w:val="00B5107F"/>
    <w:rsid w:val="00B511DB"/>
    <w:rsid w:val="00B511EC"/>
    <w:rsid w:val="00B516C9"/>
    <w:rsid w:val="00B519DA"/>
    <w:rsid w:val="00B52A17"/>
    <w:rsid w:val="00B52B77"/>
    <w:rsid w:val="00B53F69"/>
    <w:rsid w:val="00B543D3"/>
    <w:rsid w:val="00B54418"/>
    <w:rsid w:val="00B547D2"/>
    <w:rsid w:val="00B55A16"/>
    <w:rsid w:val="00B55C4D"/>
    <w:rsid w:val="00B56819"/>
    <w:rsid w:val="00B57FAE"/>
    <w:rsid w:val="00B607D2"/>
    <w:rsid w:val="00B609C2"/>
    <w:rsid w:val="00B60B69"/>
    <w:rsid w:val="00B60E1E"/>
    <w:rsid w:val="00B61500"/>
    <w:rsid w:val="00B61700"/>
    <w:rsid w:val="00B61873"/>
    <w:rsid w:val="00B61B87"/>
    <w:rsid w:val="00B61B9A"/>
    <w:rsid w:val="00B62033"/>
    <w:rsid w:val="00B631AD"/>
    <w:rsid w:val="00B63A4D"/>
    <w:rsid w:val="00B63E17"/>
    <w:rsid w:val="00B655C7"/>
    <w:rsid w:val="00B6591C"/>
    <w:rsid w:val="00B65F9A"/>
    <w:rsid w:val="00B66075"/>
    <w:rsid w:val="00B66318"/>
    <w:rsid w:val="00B6772A"/>
    <w:rsid w:val="00B67913"/>
    <w:rsid w:val="00B679A1"/>
    <w:rsid w:val="00B67DE6"/>
    <w:rsid w:val="00B700EA"/>
    <w:rsid w:val="00B70167"/>
    <w:rsid w:val="00B7052A"/>
    <w:rsid w:val="00B707D4"/>
    <w:rsid w:val="00B70C52"/>
    <w:rsid w:val="00B71109"/>
    <w:rsid w:val="00B71D3B"/>
    <w:rsid w:val="00B71F5D"/>
    <w:rsid w:val="00B721A9"/>
    <w:rsid w:val="00B72782"/>
    <w:rsid w:val="00B729BA"/>
    <w:rsid w:val="00B72EE9"/>
    <w:rsid w:val="00B734EE"/>
    <w:rsid w:val="00B73B40"/>
    <w:rsid w:val="00B7433E"/>
    <w:rsid w:val="00B7445D"/>
    <w:rsid w:val="00B74730"/>
    <w:rsid w:val="00B74863"/>
    <w:rsid w:val="00B74CA7"/>
    <w:rsid w:val="00B75000"/>
    <w:rsid w:val="00B7542B"/>
    <w:rsid w:val="00B75627"/>
    <w:rsid w:val="00B75AE0"/>
    <w:rsid w:val="00B75B1E"/>
    <w:rsid w:val="00B75C3E"/>
    <w:rsid w:val="00B75DB5"/>
    <w:rsid w:val="00B7607B"/>
    <w:rsid w:val="00B77179"/>
    <w:rsid w:val="00B7722F"/>
    <w:rsid w:val="00B777CA"/>
    <w:rsid w:val="00B778F0"/>
    <w:rsid w:val="00B77C22"/>
    <w:rsid w:val="00B80B91"/>
    <w:rsid w:val="00B80CE7"/>
    <w:rsid w:val="00B80D23"/>
    <w:rsid w:val="00B8130C"/>
    <w:rsid w:val="00B818AD"/>
    <w:rsid w:val="00B81B75"/>
    <w:rsid w:val="00B825FA"/>
    <w:rsid w:val="00B827AE"/>
    <w:rsid w:val="00B828AD"/>
    <w:rsid w:val="00B829E5"/>
    <w:rsid w:val="00B82CA7"/>
    <w:rsid w:val="00B830A5"/>
    <w:rsid w:val="00B8323F"/>
    <w:rsid w:val="00B8388A"/>
    <w:rsid w:val="00B8399D"/>
    <w:rsid w:val="00B84389"/>
    <w:rsid w:val="00B84476"/>
    <w:rsid w:val="00B8447C"/>
    <w:rsid w:val="00B84626"/>
    <w:rsid w:val="00B84F0A"/>
    <w:rsid w:val="00B85157"/>
    <w:rsid w:val="00B85524"/>
    <w:rsid w:val="00B85FD1"/>
    <w:rsid w:val="00B8646C"/>
    <w:rsid w:val="00B864FF"/>
    <w:rsid w:val="00B8680F"/>
    <w:rsid w:val="00B86A87"/>
    <w:rsid w:val="00B86FAD"/>
    <w:rsid w:val="00B87002"/>
    <w:rsid w:val="00B873EE"/>
    <w:rsid w:val="00B90380"/>
    <w:rsid w:val="00B90403"/>
    <w:rsid w:val="00B91C1E"/>
    <w:rsid w:val="00B91E3A"/>
    <w:rsid w:val="00B92342"/>
    <w:rsid w:val="00B92C44"/>
    <w:rsid w:val="00B9391A"/>
    <w:rsid w:val="00B93BC1"/>
    <w:rsid w:val="00B93C4C"/>
    <w:rsid w:val="00B9449B"/>
    <w:rsid w:val="00B9456D"/>
    <w:rsid w:val="00B94BD5"/>
    <w:rsid w:val="00B95670"/>
    <w:rsid w:val="00B95852"/>
    <w:rsid w:val="00B9595C"/>
    <w:rsid w:val="00B9596E"/>
    <w:rsid w:val="00B969BD"/>
    <w:rsid w:val="00B969CB"/>
    <w:rsid w:val="00B96E24"/>
    <w:rsid w:val="00B97618"/>
    <w:rsid w:val="00B976DD"/>
    <w:rsid w:val="00BA0062"/>
    <w:rsid w:val="00BA0B6A"/>
    <w:rsid w:val="00BA1C58"/>
    <w:rsid w:val="00BA1D0B"/>
    <w:rsid w:val="00BA2725"/>
    <w:rsid w:val="00BA32F5"/>
    <w:rsid w:val="00BA3466"/>
    <w:rsid w:val="00BA3547"/>
    <w:rsid w:val="00BA36FD"/>
    <w:rsid w:val="00BA3AD9"/>
    <w:rsid w:val="00BA3E5B"/>
    <w:rsid w:val="00BA3F13"/>
    <w:rsid w:val="00BA4526"/>
    <w:rsid w:val="00BA4CBD"/>
    <w:rsid w:val="00BA517F"/>
    <w:rsid w:val="00BA5756"/>
    <w:rsid w:val="00BA58F6"/>
    <w:rsid w:val="00BA5B33"/>
    <w:rsid w:val="00BA5DC1"/>
    <w:rsid w:val="00BA6061"/>
    <w:rsid w:val="00BA62A8"/>
    <w:rsid w:val="00BA657D"/>
    <w:rsid w:val="00BA66EB"/>
    <w:rsid w:val="00BA6DA9"/>
    <w:rsid w:val="00BA74CF"/>
    <w:rsid w:val="00BA7675"/>
    <w:rsid w:val="00BB0273"/>
    <w:rsid w:val="00BB0473"/>
    <w:rsid w:val="00BB0C3C"/>
    <w:rsid w:val="00BB0E0F"/>
    <w:rsid w:val="00BB19B1"/>
    <w:rsid w:val="00BB1AB7"/>
    <w:rsid w:val="00BB2551"/>
    <w:rsid w:val="00BB27E0"/>
    <w:rsid w:val="00BB2B6B"/>
    <w:rsid w:val="00BB2DC0"/>
    <w:rsid w:val="00BB2EAB"/>
    <w:rsid w:val="00BB3110"/>
    <w:rsid w:val="00BB3CA5"/>
    <w:rsid w:val="00BB4413"/>
    <w:rsid w:val="00BB455F"/>
    <w:rsid w:val="00BB490E"/>
    <w:rsid w:val="00BB4E38"/>
    <w:rsid w:val="00BB4EE9"/>
    <w:rsid w:val="00BB583F"/>
    <w:rsid w:val="00BB6031"/>
    <w:rsid w:val="00BB6785"/>
    <w:rsid w:val="00BB6B55"/>
    <w:rsid w:val="00BB6F96"/>
    <w:rsid w:val="00BB700E"/>
    <w:rsid w:val="00BB71ED"/>
    <w:rsid w:val="00BB73DF"/>
    <w:rsid w:val="00BB770E"/>
    <w:rsid w:val="00BB7FEE"/>
    <w:rsid w:val="00BC0884"/>
    <w:rsid w:val="00BC0C24"/>
    <w:rsid w:val="00BC0F2A"/>
    <w:rsid w:val="00BC1154"/>
    <w:rsid w:val="00BC131C"/>
    <w:rsid w:val="00BC1E0F"/>
    <w:rsid w:val="00BC1FBD"/>
    <w:rsid w:val="00BC2944"/>
    <w:rsid w:val="00BC29C9"/>
    <w:rsid w:val="00BC36AC"/>
    <w:rsid w:val="00BC3701"/>
    <w:rsid w:val="00BC38C7"/>
    <w:rsid w:val="00BC3D14"/>
    <w:rsid w:val="00BC449F"/>
    <w:rsid w:val="00BC45C6"/>
    <w:rsid w:val="00BC4779"/>
    <w:rsid w:val="00BC47D8"/>
    <w:rsid w:val="00BC4880"/>
    <w:rsid w:val="00BC539D"/>
    <w:rsid w:val="00BC572C"/>
    <w:rsid w:val="00BC5834"/>
    <w:rsid w:val="00BC68E7"/>
    <w:rsid w:val="00BC69B7"/>
    <w:rsid w:val="00BC6E7A"/>
    <w:rsid w:val="00BC6EC3"/>
    <w:rsid w:val="00BD0303"/>
    <w:rsid w:val="00BD0D32"/>
    <w:rsid w:val="00BD115D"/>
    <w:rsid w:val="00BD168B"/>
    <w:rsid w:val="00BD1A38"/>
    <w:rsid w:val="00BD1C86"/>
    <w:rsid w:val="00BD21B2"/>
    <w:rsid w:val="00BD2939"/>
    <w:rsid w:val="00BD2BD3"/>
    <w:rsid w:val="00BD2F37"/>
    <w:rsid w:val="00BD38D2"/>
    <w:rsid w:val="00BD3B1F"/>
    <w:rsid w:val="00BD3C4C"/>
    <w:rsid w:val="00BD3E8B"/>
    <w:rsid w:val="00BD463A"/>
    <w:rsid w:val="00BD46E7"/>
    <w:rsid w:val="00BD5425"/>
    <w:rsid w:val="00BD6927"/>
    <w:rsid w:val="00BD6991"/>
    <w:rsid w:val="00BD6D39"/>
    <w:rsid w:val="00BD6E1F"/>
    <w:rsid w:val="00BD6EBE"/>
    <w:rsid w:val="00BD7EE9"/>
    <w:rsid w:val="00BD7FE8"/>
    <w:rsid w:val="00BE0349"/>
    <w:rsid w:val="00BE0FC0"/>
    <w:rsid w:val="00BE128D"/>
    <w:rsid w:val="00BE1548"/>
    <w:rsid w:val="00BE1879"/>
    <w:rsid w:val="00BE1D96"/>
    <w:rsid w:val="00BE2524"/>
    <w:rsid w:val="00BE2643"/>
    <w:rsid w:val="00BE2A44"/>
    <w:rsid w:val="00BE2B20"/>
    <w:rsid w:val="00BE2C77"/>
    <w:rsid w:val="00BE37E3"/>
    <w:rsid w:val="00BE3801"/>
    <w:rsid w:val="00BE3833"/>
    <w:rsid w:val="00BE38CF"/>
    <w:rsid w:val="00BE41D4"/>
    <w:rsid w:val="00BE4EAD"/>
    <w:rsid w:val="00BE5106"/>
    <w:rsid w:val="00BE5E1B"/>
    <w:rsid w:val="00BE5E22"/>
    <w:rsid w:val="00BE5E39"/>
    <w:rsid w:val="00BE61EF"/>
    <w:rsid w:val="00BE6292"/>
    <w:rsid w:val="00BE62E8"/>
    <w:rsid w:val="00BE689F"/>
    <w:rsid w:val="00BE6D2E"/>
    <w:rsid w:val="00BE6F84"/>
    <w:rsid w:val="00BE728E"/>
    <w:rsid w:val="00BE7925"/>
    <w:rsid w:val="00BE79CB"/>
    <w:rsid w:val="00BE7C8C"/>
    <w:rsid w:val="00BF0113"/>
    <w:rsid w:val="00BF01C6"/>
    <w:rsid w:val="00BF0CF0"/>
    <w:rsid w:val="00BF1148"/>
    <w:rsid w:val="00BF14AA"/>
    <w:rsid w:val="00BF1B7F"/>
    <w:rsid w:val="00BF1EAD"/>
    <w:rsid w:val="00BF2417"/>
    <w:rsid w:val="00BF2458"/>
    <w:rsid w:val="00BF27B7"/>
    <w:rsid w:val="00BF2876"/>
    <w:rsid w:val="00BF28B0"/>
    <w:rsid w:val="00BF2C14"/>
    <w:rsid w:val="00BF3319"/>
    <w:rsid w:val="00BF3967"/>
    <w:rsid w:val="00BF3AF9"/>
    <w:rsid w:val="00BF40FE"/>
    <w:rsid w:val="00BF41CB"/>
    <w:rsid w:val="00BF4280"/>
    <w:rsid w:val="00BF449F"/>
    <w:rsid w:val="00BF4560"/>
    <w:rsid w:val="00BF49FB"/>
    <w:rsid w:val="00BF4BA3"/>
    <w:rsid w:val="00BF5502"/>
    <w:rsid w:val="00BF66B5"/>
    <w:rsid w:val="00BF6C27"/>
    <w:rsid w:val="00BF6FA6"/>
    <w:rsid w:val="00BF7BAB"/>
    <w:rsid w:val="00BF7DC7"/>
    <w:rsid w:val="00C00006"/>
    <w:rsid w:val="00C00402"/>
    <w:rsid w:val="00C00BF3"/>
    <w:rsid w:val="00C00F9D"/>
    <w:rsid w:val="00C01060"/>
    <w:rsid w:val="00C0192D"/>
    <w:rsid w:val="00C02654"/>
    <w:rsid w:val="00C02F3E"/>
    <w:rsid w:val="00C03171"/>
    <w:rsid w:val="00C0405C"/>
    <w:rsid w:val="00C040A2"/>
    <w:rsid w:val="00C050E1"/>
    <w:rsid w:val="00C05A8A"/>
    <w:rsid w:val="00C07715"/>
    <w:rsid w:val="00C07B42"/>
    <w:rsid w:val="00C07DB7"/>
    <w:rsid w:val="00C07FEF"/>
    <w:rsid w:val="00C100BE"/>
    <w:rsid w:val="00C1018B"/>
    <w:rsid w:val="00C106B8"/>
    <w:rsid w:val="00C10AD0"/>
    <w:rsid w:val="00C10C1D"/>
    <w:rsid w:val="00C10C84"/>
    <w:rsid w:val="00C1102D"/>
    <w:rsid w:val="00C110F7"/>
    <w:rsid w:val="00C112AF"/>
    <w:rsid w:val="00C112DB"/>
    <w:rsid w:val="00C11C19"/>
    <w:rsid w:val="00C1250A"/>
    <w:rsid w:val="00C1273C"/>
    <w:rsid w:val="00C1360E"/>
    <w:rsid w:val="00C14830"/>
    <w:rsid w:val="00C14960"/>
    <w:rsid w:val="00C14BD1"/>
    <w:rsid w:val="00C14D97"/>
    <w:rsid w:val="00C14E51"/>
    <w:rsid w:val="00C156BF"/>
    <w:rsid w:val="00C16C06"/>
    <w:rsid w:val="00C20519"/>
    <w:rsid w:val="00C21419"/>
    <w:rsid w:val="00C2155B"/>
    <w:rsid w:val="00C2197D"/>
    <w:rsid w:val="00C21B2D"/>
    <w:rsid w:val="00C21B93"/>
    <w:rsid w:val="00C22329"/>
    <w:rsid w:val="00C224EA"/>
    <w:rsid w:val="00C22DAF"/>
    <w:rsid w:val="00C2315B"/>
    <w:rsid w:val="00C24956"/>
    <w:rsid w:val="00C24B07"/>
    <w:rsid w:val="00C24C23"/>
    <w:rsid w:val="00C25068"/>
    <w:rsid w:val="00C2526B"/>
    <w:rsid w:val="00C25B24"/>
    <w:rsid w:val="00C267BA"/>
    <w:rsid w:val="00C26AB8"/>
    <w:rsid w:val="00C26FF1"/>
    <w:rsid w:val="00C27FA9"/>
    <w:rsid w:val="00C30124"/>
    <w:rsid w:val="00C3024D"/>
    <w:rsid w:val="00C30760"/>
    <w:rsid w:val="00C3097E"/>
    <w:rsid w:val="00C30C59"/>
    <w:rsid w:val="00C31CE3"/>
    <w:rsid w:val="00C31F2F"/>
    <w:rsid w:val="00C32781"/>
    <w:rsid w:val="00C32BFC"/>
    <w:rsid w:val="00C32C94"/>
    <w:rsid w:val="00C3304E"/>
    <w:rsid w:val="00C33278"/>
    <w:rsid w:val="00C339A1"/>
    <w:rsid w:val="00C33C3F"/>
    <w:rsid w:val="00C33F6D"/>
    <w:rsid w:val="00C34210"/>
    <w:rsid w:val="00C34DDF"/>
    <w:rsid w:val="00C35266"/>
    <w:rsid w:val="00C356FB"/>
    <w:rsid w:val="00C3586F"/>
    <w:rsid w:val="00C35AB8"/>
    <w:rsid w:val="00C35AE1"/>
    <w:rsid w:val="00C36BF6"/>
    <w:rsid w:val="00C3704C"/>
    <w:rsid w:val="00C378C1"/>
    <w:rsid w:val="00C378F3"/>
    <w:rsid w:val="00C3796A"/>
    <w:rsid w:val="00C40A1A"/>
    <w:rsid w:val="00C41D95"/>
    <w:rsid w:val="00C41F2F"/>
    <w:rsid w:val="00C42034"/>
    <w:rsid w:val="00C42331"/>
    <w:rsid w:val="00C4270A"/>
    <w:rsid w:val="00C427ED"/>
    <w:rsid w:val="00C42FF7"/>
    <w:rsid w:val="00C430F4"/>
    <w:rsid w:val="00C43696"/>
    <w:rsid w:val="00C43829"/>
    <w:rsid w:val="00C43D32"/>
    <w:rsid w:val="00C44270"/>
    <w:rsid w:val="00C4431E"/>
    <w:rsid w:val="00C4450A"/>
    <w:rsid w:val="00C44643"/>
    <w:rsid w:val="00C45617"/>
    <w:rsid w:val="00C45761"/>
    <w:rsid w:val="00C45F15"/>
    <w:rsid w:val="00C46291"/>
    <w:rsid w:val="00C46621"/>
    <w:rsid w:val="00C4694A"/>
    <w:rsid w:val="00C46B1D"/>
    <w:rsid w:val="00C46FC1"/>
    <w:rsid w:val="00C4766E"/>
    <w:rsid w:val="00C47898"/>
    <w:rsid w:val="00C47B5C"/>
    <w:rsid w:val="00C5010F"/>
    <w:rsid w:val="00C508E7"/>
    <w:rsid w:val="00C50955"/>
    <w:rsid w:val="00C50A2D"/>
    <w:rsid w:val="00C50B5E"/>
    <w:rsid w:val="00C50F56"/>
    <w:rsid w:val="00C50F6F"/>
    <w:rsid w:val="00C5181E"/>
    <w:rsid w:val="00C519B4"/>
    <w:rsid w:val="00C52C00"/>
    <w:rsid w:val="00C52C64"/>
    <w:rsid w:val="00C52E04"/>
    <w:rsid w:val="00C533EB"/>
    <w:rsid w:val="00C53852"/>
    <w:rsid w:val="00C53FCF"/>
    <w:rsid w:val="00C54570"/>
    <w:rsid w:val="00C54647"/>
    <w:rsid w:val="00C54A10"/>
    <w:rsid w:val="00C54F46"/>
    <w:rsid w:val="00C55263"/>
    <w:rsid w:val="00C562EA"/>
    <w:rsid w:val="00C565CE"/>
    <w:rsid w:val="00C60501"/>
    <w:rsid w:val="00C60A3B"/>
    <w:rsid w:val="00C6180A"/>
    <w:rsid w:val="00C6255C"/>
    <w:rsid w:val="00C63571"/>
    <w:rsid w:val="00C63E0E"/>
    <w:rsid w:val="00C6463E"/>
    <w:rsid w:val="00C64D33"/>
    <w:rsid w:val="00C64E3B"/>
    <w:rsid w:val="00C64EF6"/>
    <w:rsid w:val="00C6501A"/>
    <w:rsid w:val="00C65C88"/>
    <w:rsid w:val="00C65DD4"/>
    <w:rsid w:val="00C6609E"/>
    <w:rsid w:val="00C6638D"/>
    <w:rsid w:val="00C66C48"/>
    <w:rsid w:val="00C66D49"/>
    <w:rsid w:val="00C66FCA"/>
    <w:rsid w:val="00C679F5"/>
    <w:rsid w:val="00C70179"/>
    <w:rsid w:val="00C70D45"/>
    <w:rsid w:val="00C715B8"/>
    <w:rsid w:val="00C716D8"/>
    <w:rsid w:val="00C71C00"/>
    <w:rsid w:val="00C72766"/>
    <w:rsid w:val="00C730C6"/>
    <w:rsid w:val="00C733DF"/>
    <w:rsid w:val="00C738BD"/>
    <w:rsid w:val="00C73EDC"/>
    <w:rsid w:val="00C73F76"/>
    <w:rsid w:val="00C7457A"/>
    <w:rsid w:val="00C7464B"/>
    <w:rsid w:val="00C7487A"/>
    <w:rsid w:val="00C74E0B"/>
    <w:rsid w:val="00C7642A"/>
    <w:rsid w:val="00C76BAF"/>
    <w:rsid w:val="00C77629"/>
    <w:rsid w:val="00C77E86"/>
    <w:rsid w:val="00C80DAB"/>
    <w:rsid w:val="00C81B26"/>
    <w:rsid w:val="00C81BEB"/>
    <w:rsid w:val="00C81EEF"/>
    <w:rsid w:val="00C8276A"/>
    <w:rsid w:val="00C829C8"/>
    <w:rsid w:val="00C8323A"/>
    <w:rsid w:val="00C835E2"/>
    <w:rsid w:val="00C83874"/>
    <w:rsid w:val="00C841B1"/>
    <w:rsid w:val="00C84593"/>
    <w:rsid w:val="00C84A4C"/>
    <w:rsid w:val="00C851E7"/>
    <w:rsid w:val="00C853BF"/>
    <w:rsid w:val="00C854E4"/>
    <w:rsid w:val="00C85674"/>
    <w:rsid w:val="00C85B11"/>
    <w:rsid w:val="00C85C47"/>
    <w:rsid w:val="00C85D3C"/>
    <w:rsid w:val="00C85FD9"/>
    <w:rsid w:val="00C86033"/>
    <w:rsid w:val="00C86184"/>
    <w:rsid w:val="00C86349"/>
    <w:rsid w:val="00C864E3"/>
    <w:rsid w:val="00C8734B"/>
    <w:rsid w:val="00C87426"/>
    <w:rsid w:val="00C876D3"/>
    <w:rsid w:val="00C905FB"/>
    <w:rsid w:val="00C91D63"/>
    <w:rsid w:val="00C932C7"/>
    <w:rsid w:val="00C938B4"/>
    <w:rsid w:val="00C93A16"/>
    <w:rsid w:val="00C93E13"/>
    <w:rsid w:val="00C93EF9"/>
    <w:rsid w:val="00C946B9"/>
    <w:rsid w:val="00C95827"/>
    <w:rsid w:val="00C95BF3"/>
    <w:rsid w:val="00C95F79"/>
    <w:rsid w:val="00C9641E"/>
    <w:rsid w:val="00C96595"/>
    <w:rsid w:val="00C96C6C"/>
    <w:rsid w:val="00C9764A"/>
    <w:rsid w:val="00C97678"/>
    <w:rsid w:val="00C976FE"/>
    <w:rsid w:val="00C97E8A"/>
    <w:rsid w:val="00CA0368"/>
    <w:rsid w:val="00CA0796"/>
    <w:rsid w:val="00CA113C"/>
    <w:rsid w:val="00CA1812"/>
    <w:rsid w:val="00CA24A7"/>
    <w:rsid w:val="00CA35CA"/>
    <w:rsid w:val="00CA4A19"/>
    <w:rsid w:val="00CA4B53"/>
    <w:rsid w:val="00CA4C8C"/>
    <w:rsid w:val="00CA5E7A"/>
    <w:rsid w:val="00CA60A6"/>
    <w:rsid w:val="00CA6689"/>
    <w:rsid w:val="00CA66A8"/>
    <w:rsid w:val="00CA6FF1"/>
    <w:rsid w:val="00CA73DE"/>
    <w:rsid w:val="00CA7969"/>
    <w:rsid w:val="00CB0574"/>
    <w:rsid w:val="00CB05C8"/>
    <w:rsid w:val="00CB060C"/>
    <w:rsid w:val="00CB1247"/>
    <w:rsid w:val="00CB138E"/>
    <w:rsid w:val="00CB1A1F"/>
    <w:rsid w:val="00CB1C81"/>
    <w:rsid w:val="00CB1DAE"/>
    <w:rsid w:val="00CB1FCA"/>
    <w:rsid w:val="00CB2BEE"/>
    <w:rsid w:val="00CB341C"/>
    <w:rsid w:val="00CB3880"/>
    <w:rsid w:val="00CB3B06"/>
    <w:rsid w:val="00CB3DBC"/>
    <w:rsid w:val="00CB41EC"/>
    <w:rsid w:val="00CB479A"/>
    <w:rsid w:val="00CB57F5"/>
    <w:rsid w:val="00CB60A0"/>
    <w:rsid w:val="00CB6510"/>
    <w:rsid w:val="00CB723B"/>
    <w:rsid w:val="00CB7649"/>
    <w:rsid w:val="00CC04B3"/>
    <w:rsid w:val="00CC079E"/>
    <w:rsid w:val="00CC1328"/>
    <w:rsid w:val="00CC15CF"/>
    <w:rsid w:val="00CC1B35"/>
    <w:rsid w:val="00CC1CD7"/>
    <w:rsid w:val="00CC2037"/>
    <w:rsid w:val="00CC2CE7"/>
    <w:rsid w:val="00CC320D"/>
    <w:rsid w:val="00CC38AB"/>
    <w:rsid w:val="00CC3B1F"/>
    <w:rsid w:val="00CC40B5"/>
    <w:rsid w:val="00CC42D4"/>
    <w:rsid w:val="00CC493C"/>
    <w:rsid w:val="00CC4CDA"/>
    <w:rsid w:val="00CC4E35"/>
    <w:rsid w:val="00CC5419"/>
    <w:rsid w:val="00CC5B19"/>
    <w:rsid w:val="00CC6228"/>
    <w:rsid w:val="00CC668B"/>
    <w:rsid w:val="00CC66FA"/>
    <w:rsid w:val="00CC7236"/>
    <w:rsid w:val="00CD0097"/>
    <w:rsid w:val="00CD0268"/>
    <w:rsid w:val="00CD06D1"/>
    <w:rsid w:val="00CD089D"/>
    <w:rsid w:val="00CD12CA"/>
    <w:rsid w:val="00CD1B62"/>
    <w:rsid w:val="00CD1B7E"/>
    <w:rsid w:val="00CD1F7F"/>
    <w:rsid w:val="00CD27A0"/>
    <w:rsid w:val="00CD2931"/>
    <w:rsid w:val="00CD3345"/>
    <w:rsid w:val="00CD3D37"/>
    <w:rsid w:val="00CD4529"/>
    <w:rsid w:val="00CD454C"/>
    <w:rsid w:val="00CD47CF"/>
    <w:rsid w:val="00CD54A7"/>
    <w:rsid w:val="00CD5503"/>
    <w:rsid w:val="00CD6242"/>
    <w:rsid w:val="00CD6BA1"/>
    <w:rsid w:val="00CD6D2A"/>
    <w:rsid w:val="00CD7558"/>
    <w:rsid w:val="00CD76D7"/>
    <w:rsid w:val="00CD7EA4"/>
    <w:rsid w:val="00CE0A13"/>
    <w:rsid w:val="00CE0AB8"/>
    <w:rsid w:val="00CE1066"/>
    <w:rsid w:val="00CE2CC1"/>
    <w:rsid w:val="00CE33C0"/>
    <w:rsid w:val="00CE3645"/>
    <w:rsid w:val="00CE3F96"/>
    <w:rsid w:val="00CE4493"/>
    <w:rsid w:val="00CE4832"/>
    <w:rsid w:val="00CE4AF7"/>
    <w:rsid w:val="00CE4EFA"/>
    <w:rsid w:val="00CE7C14"/>
    <w:rsid w:val="00CF004B"/>
    <w:rsid w:val="00CF0246"/>
    <w:rsid w:val="00CF0607"/>
    <w:rsid w:val="00CF0937"/>
    <w:rsid w:val="00CF09ED"/>
    <w:rsid w:val="00CF0B95"/>
    <w:rsid w:val="00CF0DC9"/>
    <w:rsid w:val="00CF0FC6"/>
    <w:rsid w:val="00CF107B"/>
    <w:rsid w:val="00CF189B"/>
    <w:rsid w:val="00CF1A92"/>
    <w:rsid w:val="00CF20A7"/>
    <w:rsid w:val="00CF21DD"/>
    <w:rsid w:val="00CF238B"/>
    <w:rsid w:val="00CF257D"/>
    <w:rsid w:val="00CF2A4D"/>
    <w:rsid w:val="00CF31D6"/>
    <w:rsid w:val="00CF3A50"/>
    <w:rsid w:val="00CF3C24"/>
    <w:rsid w:val="00CF3F93"/>
    <w:rsid w:val="00CF4494"/>
    <w:rsid w:val="00CF4D0E"/>
    <w:rsid w:val="00CF5292"/>
    <w:rsid w:val="00CF540C"/>
    <w:rsid w:val="00CF59EB"/>
    <w:rsid w:val="00CF5AB5"/>
    <w:rsid w:val="00CF5B39"/>
    <w:rsid w:val="00CF6520"/>
    <w:rsid w:val="00CF701D"/>
    <w:rsid w:val="00CF714D"/>
    <w:rsid w:val="00CF7322"/>
    <w:rsid w:val="00D00CA5"/>
    <w:rsid w:val="00D01618"/>
    <w:rsid w:val="00D0187F"/>
    <w:rsid w:val="00D01EA2"/>
    <w:rsid w:val="00D01FA6"/>
    <w:rsid w:val="00D02E3C"/>
    <w:rsid w:val="00D0315E"/>
    <w:rsid w:val="00D03256"/>
    <w:rsid w:val="00D0379D"/>
    <w:rsid w:val="00D038C6"/>
    <w:rsid w:val="00D04AD3"/>
    <w:rsid w:val="00D051CF"/>
    <w:rsid w:val="00D05226"/>
    <w:rsid w:val="00D05705"/>
    <w:rsid w:val="00D05879"/>
    <w:rsid w:val="00D05973"/>
    <w:rsid w:val="00D06FB7"/>
    <w:rsid w:val="00D0708C"/>
    <w:rsid w:val="00D07B50"/>
    <w:rsid w:val="00D07F22"/>
    <w:rsid w:val="00D102CE"/>
    <w:rsid w:val="00D10551"/>
    <w:rsid w:val="00D10713"/>
    <w:rsid w:val="00D10E94"/>
    <w:rsid w:val="00D11149"/>
    <w:rsid w:val="00D11D8A"/>
    <w:rsid w:val="00D11FD8"/>
    <w:rsid w:val="00D12BF0"/>
    <w:rsid w:val="00D13F8F"/>
    <w:rsid w:val="00D14172"/>
    <w:rsid w:val="00D1468A"/>
    <w:rsid w:val="00D14F5D"/>
    <w:rsid w:val="00D15EE2"/>
    <w:rsid w:val="00D16588"/>
    <w:rsid w:val="00D17356"/>
    <w:rsid w:val="00D17604"/>
    <w:rsid w:val="00D179AC"/>
    <w:rsid w:val="00D17C90"/>
    <w:rsid w:val="00D2027F"/>
    <w:rsid w:val="00D202FE"/>
    <w:rsid w:val="00D206EF"/>
    <w:rsid w:val="00D21139"/>
    <w:rsid w:val="00D211D3"/>
    <w:rsid w:val="00D213B4"/>
    <w:rsid w:val="00D2167B"/>
    <w:rsid w:val="00D21F6D"/>
    <w:rsid w:val="00D22B31"/>
    <w:rsid w:val="00D235D8"/>
    <w:rsid w:val="00D236C6"/>
    <w:rsid w:val="00D23775"/>
    <w:rsid w:val="00D23D12"/>
    <w:rsid w:val="00D23E53"/>
    <w:rsid w:val="00D2489B"/>
    <w:rsid w:val="00D249FB"/>
    <w:rsid w:val="00D24B54"/>
    <w:rsid w:val="00D24D2E"/>
    <w:rsid w:val="00D25115"/>
    <w:rsid w:val="00D25E24"/>
    <w:rsid w:val="00D262C2"/>
    <w:rsid w:val="00D26AD7"/>
    <w:rsid w:val="00D26AE4"/>
    <w:rsid w:val="00D26E4D"/>
    <w:rsid w:val="00D26E7B"/>
    <w:rsid w:val="00D275F6"/>
    <w:rsid w:val="00D27D5A"/>
    <w:rsid w:val="00D27F81"/>
    <w:rsid w:val="00D3136C"/>
    <w:rsid w:val="00D3137C"/>
    <w:rsid w:val="00D31698"/>
    <w:rsid w:val="00D320E0"/>
    <w:rsid w:val="00D32B71"/>
    <w:rsid w:val="00D32D2D"/>
    <w:rsid w:val="00D331E6"/>
    <w:rsid w:val="00D3345C"/>
    <w:rsid w:val="00D334A7"/>
    <w:rsid w:val="00D33F86"/>
    <w:rsid w:val="00D33FCE"/>
    <w:rsid w:val="00D34769"/>
    <w:rsid w:val="00D34A25"/>
    <w:rsid w:val="00D34C20"/>
    <w:rsid w:val="00D34CAB"/>
    <w:rsid w:val="00D3519F"/>
    <w:rsid w:val="00D3528B"/>
    <w:rsid w:val="00D35338"/>
    <w:rsid w:val="00D35AD9"/>
    <w:rsid w:val="00D35B43"/>
    <w:rsid w:val="00D361A2"/>
    <w:rsid w:val="00D36D78"/>
    <w:rsid w:val="00D37029"/>
    <w:rsid w:val="00D4063B"/>
    <w:rsid w:val="00D40A03"/>
    <w:rsid w:val="00D40B1B"/>
    <w:rsid w:val="00D40B7B"/>
    <w:rsid w:val="00D40D5D"/>
    <w:rsid w:val="00D41951"/>
    <w:rsid w:val="00D41D66"/>
    <w:rsid w:val="00D42AC0"/>
    <w:rsid w:val="00D42D80"/>
    <w:rsid w:val="00D43005"/>
    <w:rsid w:val="00D44949"/>
    <w:rsid w:val="00D44FE7"/>
    <w:rsid w:val="00D454E5"/>
    <w:rsid w:val="00D45CB0"/>
    <w:rsid w:val="00D465F8"/>
    <w:rsid w:val="00D4705A"/>
    <w:rsid w:val="00D47178"/>
    <w:rsid w:val="00D47C99"/>
    <w:rsid w:val="00D47DD7"/>
    <w:rsid w:val="00D47FE0"/>
    <w:rsid w:val="00D50043"/>
    <w:rsid w:val="00D50106"/>
    <w:rsid w:val="00D501AE"/>
    <w:rsid w:val="00D50E3E"/>
    <w:rsid w:val="00D51369"/>
    <w:rsid w:val="00D5201E"/>
    <w:rsid w:val="00D5259F"/>
    <w:rsid w:val="00D52778"/>
    <w:rsid w:val="00D5297A"/>
    <w:rsid w:val="00D52DE7"/>
    <w:rsid w:val="00D5361F"/>
    <w:rsid w:val="00D5409E"/>
    <w:rsid w:val="00D543DD"/>
    <w:rsid w:val="00D55376"/>
    <w:rsid w:val="00D5564E"/>
    <w:rsid w:val="00D55A2A"/>
    <w:rsid w:val="00D55EC4"/>
    <w:rsid w:val="00D5654A"/>
    <w:rsid w:val="00D569BE"/>
    <w:rsid w:val="00D56D9C"/>
    <w:rsid w:val="00D57024"/>
    <w:rsid w:val="00D57842"/>
    <w:rsid w:val="00D57FA4"/>
    <w:rsid w:val="00D57FBB"/>
    <w:rsid w:val="00D600B0"/>
    <w:rsid w:val="00D60438"/>
    <w:rsid w:val="00D61336"/>
    <w:rsid w:val="00D61934"/>
    <w:rsid w:val="00D623F4"/>
    <w:rsid w:val="00D623F9"/>
    <w:rsid w:val="00D62F9D"/>
    <w:rsid w:val="00D6447A"/>
    <w:rsid w:val="00D64726"/>
    <w:rsid w:val="00D65046"/>
    <w:rsid w:val="00D6550F"/>
    <w:rsid w:val="00D659CE"/>
    <w:rsid w:val="00D65BFB"/>
    <w:rsid w:val="00D65D7D"/>
    <w:rsid w:val="00D6670C"/>
    <w:rsid w:val="00D6774F"/>
    <w:rsid w:val="00D71321"/>
    <w:rsid w:val="00D717A2"/>
    <w:rsid w:val="00D71DB4"/>
    <w:rsid w:val="00D71DD6"/>
    <w:rsid w:val="00D73628"/>
    <w:rsid w:val="00D73919"/>
    <w:rsid w:val="00D74425"/>
    <w:rsid w:val="00D74742"/>
    <w:rsid w:val="00D7484C"/>
    <w:rsid w:val="00D74F2E"/>
    <w:rsid w:val="00D75283"/>
    <w:rsid w:val="00D75340"/>
    <w:rsid w:val="00D76112"/>
    <w:rsid w:val="00D76AF0"/>
    <w:rsid w:val="00D77DC6"/>
    <w:rsid w:val="00D807D2"/>
    <w:rsid w:val="00D81A39"/>
    <w:rsid w:val="00D824DB"/>
    <w:rsid w:val="00D8267A"/>
    <w:rsid w:val="00D82A47"/>
    <w:rsid w:val="00D82AC7"/>
    <w:rsid w:val="00D833A2"/>
    <w:rsid w:val="00D83415"/>
    <w:rsid w:val="00D8370B"/>
    <w:rsid w:val="00D83DFE"/>
    <w:rsid w:val="00D83E95"/>
    <w:rsid w:val="00D8457F"/>
    <w:rsid w:val="00D8490D"/>
    <w:rsid w:val="00D84A59"/>
    <w:rsid w:val="00D85130"/>
    <w:rsid w:val="00D85297"/>
    <w:rsid w:val="00D85C0C"/>
    <w:rsid w:val="00D85CC3"/>
    <w:rsid w:val="00D865CE"/>
    <w:rsid w:val="00D86714"/>
    <w:rsid w:val="00D86864"/>
    <w:rsid w:val="00D86E31"/>
    <w:rsid w:val="00D8709C"/>
    <w:rsid w:val="00D871DA"/>
    <w:rsid w:val="00D87521"/>
    <w:rsid w:val="00D87EB6"/>
    <w:rsid w:val="00D87EBB"/>
    <w:rsid w:val="00D9043E"/>
    <w:rsid w:val="00D90F24"/>
    <w:rsid w:val="00D9115E"/>
    <w:rsid w:val="00D91B42"/>
    <w:rsid w:val="00D91F5E"/>
    <w:rsid w:val="00D9218D"/>
    <w:rsid w:val="00D92793"/>
    <w:rsid w:val="00D92F0A"/>
    <w:rsid w:val="00D93162"/>
    <w:rsid w:val="00D931D7"/>
    <w:rsid w:val="00D93282"/>
    <w:rsid w:val="00D93AA1"/>
    <w:rsid w:val="00D9460A"/>
    <w:rsid w:val="00D94661"/>
    <w:rsid w:val="00D946B7"/>
    <w:rsid w:val="00D95ED3"/>
    <w:rsid w:val="00D96C05"/>
    <w:rsid w:val="00D97808"/>
    <w:rsid w:val="00D97B74"/>
    <w:rsid w:val="00D97B8F"/>
    <w:rsid w:val="00D97BE2"/>
    <w:rsid w:val="00DA02A4"/>
    <w:rsid w:val="00DA04FE"/>
    <w:rsid w:val="00DA0DA4"/>
    <w:rsid w:val="00DA10C1"/>
    <w:rsid w:val="00DA14A4"/>
    <w:rsid w:val="00DA1B4E"/>
    <w:rsid w:val="00DA1B99"/>
    <w:rsid w:val="00DA22E8"/>
    <w:rsid w:val="00DA27A2"/>
    <w:rsid w:val="00DA2EB9"/>
    <w:rsid w:val="00DA5319"/>
    <w:rsid w:val="00DA5693"/>
    <w:rsid w:val="00DA571E"/>
    <w:rsid w:val="00DA5809"/>
    <w:rsid w:val="00DA5983"/>
    <w:rsid w:val="00DA6066"/>
    <w:rsid w:val="00DA61E7"/>
    <w:rsid w:val="00DA6805"/>
    <w:rsid w:val="00DA774E"/>
    <w:rsid w:val="00DA7CA6"/>
    <w:rsid w:val="00DB0283"/>
    <w:rsid w:val="00DB030F"/>
    <w:rsid w:val="00DB0E3A"/>
    <w:rsid w:val="00DB1CDD"/>
    <w:rsid w:val="00DB2155"/>
    <w:rsid w:val="00DB22BF"/>
    <w:rsid w:val="00DB2891"/>
    <w:rsid w:val="00DB2FBA"/>
    <w:rsid w:val="00DB4201"/>
    <w:rsid w:val="00DB426C"/>
    <w:rsid w:val="00DB4791"/>
    <w:rsid w:val="00DB4920"/>
    <w:rsid w:val="00DB4E22"/>
    <w:rsid w:val="00DB5CD8"/>
    <w:rsid w:val="00DB619D"/>
    <w:rsid w:val="00DB6997"/>
    <w:rsid w:val="00DB78BC"/>
    <w:rsid w:val="00DC049C"/>
    <w:rsid w:val="00DC08F7"/>
    <w:rsid w:val="00DC12EA"/>
    <w:rsid w:val="00DC2287"/>
    <w:rsid w:val="00DC243F"/>
    <w:rsid w:val="00DC2490"/>
    <w:rsid w:val="00DC2F54"/>
    <w:rsid w:val="00DC302E"/>
    <w:rsid w:val="00DC3E1C"/>
    <w:rsid w:val="00DC43D5"/>
    <w:rsid w:val="00DC443B"/>
    <w:rsid w:val="00DC443F"/>
    <w:rsid w:val="00DC4526"/>
    <w:rsid w:val="00DC4568"/>
    <w:rsid w:val="00DC555D"/>
    <w:rsid w:val="00DC5BFE"/>
    <w:rsid w:val="00DC6279"/>
    <w:rsid w:val="00DC62D7"/>
    <w:rsid w:val="00DC6757"/>
    <w:rsid w:val="00DC67B9"/>
    <w:rsid w:val="00DC738C"/>
    <w:rsid w:val="00DD0E72"/>
    <w:rsid w:val="00DD15CA"/>
    <w:rsid w:val="00DD1866"/>
    <w:rsid w:val="00DD1A1E"/>
    <w:rsid w:val="00DD1AD4"/>
    <w:rsid w:val="00DD2014"/>
    <w:rsid w:val="00DD2D5C"/>
    <w:rsid w:val="00DD2D9B"/>
    <w:rsid w:val="00DD2DE3"/>
    <w:rsid w:val="00DD400B"/>
    <w:rsid w:val="00DD4210"/>
    <w:rsid w:val="00DD4518"/>
    <w:rsid w:val="00DD471D"/>
    <w:rsid w:val="00DD4866"/>
    <w:rsid w:val="00DD4E88"/>
    <w:rsid w:val="00DD5360"/>
    <w:rsid w:val="00DD54E1"/>
    <w:rsid w:val="00DD5534"/>
    <w:rsid w:val="00DD57F3"/>
    <w:rsid w:val="00DD5845"/>
    <w:rsid w:val="00DD5F89"/>
    <w:rsid w:val="00DD6669"/>
    <w:rsid w:val="00DD689D"/>
    <w:rsid w:val="00DD68D4"/>
    <w:rsid w:val="00DD713E"/>
    <w:rsid w:val="00DD76BE"/>
    <w:rsid w:val="00DD7BAA"/>
    <w:rsid w:val="00DE0C5A"/>
    <w:rsid w:val="00DE1372"/>
    <w:rsid w:val="00DE1916"/>
    <w:rsid w:val="00DE23D4"/>
    <w:rsid w:val="00DE31DC"/>
    <w:rsid w:val="00DE39F9"/>
    <w:rsid w:val="00DE421B"/>
    <w:rsid w:val="00DE42BC"/>
    <w:rsid w:val="00DE469E"/>
    <w:rsid w:val="00DE474C"/>
    <w:rsid w:val="00DE4CBA"/>
    <w:rsid w:val="00DE554B"/>
    <w:rsid w:val="00DE5B44"/>
    <w:rsid w:val="00DE603D"/>
    <w:rsid w:val="00DE61B6"/>
    <w:rsid w:val="00DE642F"/>
    <w:rsid w:val="00DE64AD"/>
    <w:rsid w:val="00DE6B49"/>
    <w:rsid w:val="00DE6F8D"/>
    <w:rsid w:val="00DE739E"/>
    <w:rsid w:val="00DE79C2"/>
    <w:rsid w:val="00DE7C1A"/>
    <w:rsid w:val="00DE7C2A"/>
    <w:rsid w:val="00DE7C8C"/>
    <w:rsid w:val="00DF0987"/>
    <w:rsid w:val="00DF0CA5"/>
    <w:rsid w:val="00DF0FA6"/>
    <w:rsid w:val="00DF14E1"/>
    <w:rsid w:val="00DF1B9F"/>
    <w:rsid w:val="00DF222C"/>
    <w:rsid w:val="00DF246D"/>
    <w:rsid w:val="00DF3626"/>
    <w:rsid w:val="00DF3A5F"/>
    <w:rsid w:val="00DF4413"/>
    <w:rsid w:val="00DF46E5"/>
    <w:rsid w:val="00DF4BBC"/>
    <w:rsid w:val="00DF4EB8"/>
    <w:rsid w:val="00DF571C"/>
    <w:rsid w:val="00DF58E7"/>
    <w:rsid w:val="00DF636E"/>
    <w:rsid w:val="00DF6BD0"/>
    <w:rsid w:val="00DF7993"/>
    <w:rsid w:val="00DF7A6B"/>
    <w:rsid w:val="00E00316"/>
    <w:rsid w:val="00E00D1A"/>
    <w:rsid w:val="00E01081"/>
    <w:rsid w:val="00E01455"/>
    <w:rsid w:val="00E01CA6"/>
    <w:rsid w:val="00E01E74"/>
    <w:rsid w:val="00E0217B"/>
    <w:rsid w:val="00E02A23"/>
    <w:rsid w:val="00E038B7"/>
    <w:rsid w:val="00E03D60"/>
    <w:rsid w:val="00E04610"/>
    <w:rsid w:val="00E04C4F"/>
    <w:rsid w:val="00E05486"/>
    <w:rsid w:val="00E057B8"/>
    <w:rsid w:val="00E05972"/>
    <w:rsid w:val="00E05BC3"/>
    <w:rsid w:val="00E0609D"/>
    <w:rsid w:val="00E065DC"/>
    <w:rsid w:val="00E06AC3"/>
    <w:rsid w:val="00E06ED4"/>
    <w:rsid w:val="00E07242"/>
    <w:rsid w:val="00E07310"/>
    <w:rsid w:val="00E07CA6"/>
    <w:rsid w:val="00E07CB9"/>
    <w:rsid w:val="00E10855"/>
    <w:rsid w:val="00E11906"/>
    <w:rsid w:val="00E11BEC"/>
    <w:rsid w:val="00E130A0"/>
    <w:rsid w:val="00E13554"/>
    <w:rsid w:val="00E13B07"/>
    <w:rsid w:val="00E13CF4"/>
    <w:rsid w:val="00E14480"/>
    <w:rsid w:val="00E144BE"/>
    <w:rsid w:val="00E145DF"/>
    <w:rsid w:val="00E14651"/>
    <w:rsid w:val="00E14BDC"/>
    <w:rsid w:val="00E1592F"/>
    <w:rsid w:val="00E15A57"/>
    <w:rsid w:val="00E16AEC"/>
    <w:rsid w:val="00E171B6"/>
    <w:rsid w:val="00E200DD"/>
    <w:rsid w:val="00E2076B"/>
    <w:rsid w:val="00E20A66"/>
    <w:rsid w:val="00E21199"/>
    <w:rsid w:val="00E216F7"/>
    <w:rsid w:val="00E21D2D"/>
    <w:rsid w:val="00E22302"/>
    <w:rsid w:val="00E22616"/>
    <w:rsid w:val="00E22ABC"/>
    <w:rsid w:val="00E22BA5"/>
    <w:rsid w:val="00E22DCB"/>
    <w:rsid w:val="00E24A64"/>
    <w:rsid w:val="00E24D1A"/>
    <w:rsid w:val="00E25428"/>
    <w:rsid w:val="00E25608"/>
    <w:rsid w:val="00E25E3B"/>
    <w:rsid w:val="00E2736E"/>
    <w:rsid w:val="00E27B9C"/>
    <w:rsid w:val="00E27CA8"/>
    <w:rsid w:val="00E27D6D"/>
    <w:rsid w:val="00E27F72"/>
    <w:rsid w:val="00E303FB"/>
    <w:rsid w:val="00E30CD1"/>
    <w:rsid w:val="00E30EA2"/>
    <w:rsid w:val="00E30EB8"/>
    <w:rsid w:val="00E3176F"/>
    <w:rsid w:val="00E323C7"/>
    <w:rsid w:val="00E32721"/>
    <w:rsid w:val="00E332BA"/>
    <w:rsid w:val="00E337CD"/>
    <w:rsid w:val="00E33A76"/>
    <w:rsid w:val="00E33B65"/>
    <w:rsid w:val="00E33D41"/>
    <w:rsid w:val="00E34A6F"/>
    <w:rsid w:val="00E34D13"/>
    <w:rsid w:val="00E34DCA"/>
    <w:rsid w:val="00E35D02"/>
    <w:rsid w:val="00E36307"/>
    <w:rsid w:val="00E36BB7"/>
    <w:rsid w:val="00E36DE9"/>
    <w:rsid w:val="00E37DFA"/>
    <w:rsid w:val="00E40094"/>
    <w:rsid w:val="00E40BDA"/>
    <w:rsid w:val="00E40C5C"/>
    <w:rsid w:val="00E40F65"/>
    <w:rsid w:val="00E41053"/>
    <w:rsid w:val="00E4108D"/>
    <w:rsid w:val="00E4175D"/>
    <w:rsid w:val="00E41A87"/>
    <w:rsid w:val="00E41A9D"/>
    <w:rsid w:val="00E42137"/>
    <w:rsid w:val="00E421A1"/>
    <w:rsid w:val="00E42B0C"/>
    <w:rsid w:val="00E42E14"/>
    <w:rsid w:val="00E437FB"/>
    <w:rsid w:val="00E43BCB"/>
    <w:rsid w:val="00E43D4C"/>
    <w:rsid w:val="00E43D8E"/>
    <w:rsid w:val="00E447D3"/>
    <w:rsid w:val="00E44942"/>
    <w:rsid w:val="00E44ECD"/>
    <w:rsid w:val="00E44FA4"/>
    <w:rsid w:val="00E453E8"/>
    <w:rsid w:val="00E45A51"/>
    <w:rsid w:val="00E45EB6"/>
    <w:rsid w:val="00E46C95"/>
    <w:rsid w:val="00E471C7"/>
    <w:rsid w:val="00E47544"/>
    <w:rsid w:val="00E50A61"/>
    <w:rsid w:val="00E50E4E"/>
    <w:rsid w:val="00E511BA"/>
    <w:rsid w:val="00E521B3"/>
    <w:rsid w:val="00E522DD"/>
    <w:rsid w:val="00E525DF"/>
    <w:rsid w:val="00E5276E"/>
    <w:rsid w:val="00E528B5"/>
    <w:rsid w:val="00E52983"/>
    <w:rsid w:val="00E52FED"/>
    <w:rsid w:val="00E532AC"/>
    <w:rsid w:val="00E53351"/>
    <w:rsid w:val="00E5366B"/>
    <w:rsid w:val="00E54132"/>
    <w:rsid w:val="00E54478"/>
    <w:rsid w:val="00E548A6"/>
    <w:rsid w:val="00E554E0"/>
    <w:rsid w:val="00E55734"/>
    <w:rsid w:val="00E55D9A"/>
    <w:rsid w:val="00E56210"/>
    <w:rsid w:val="00E56757"/>
    <w:rsid w:val="00E56F7E"/>
    <w:rsid w:val="00E57006"/>
    <w:rsid w:val="00E57A88"/>
    <w:rsid w:val="00E6024C"/>
    <w:rsid w:val="00E60D70"/>
    <w:rsid w:val="00E61D31"/>
    <w:rsid w:val="00E625BC"/>
    <w:rsid w:val="00E6278E"/>
    <w:rsid w:val="00E62B01"/>
    <w:rsid w:val="00E62C9C"/>
    <w:rsid w:val="00E631FE"/>
    <w:rsid w:val="00E63449"/>
    <w:rsid w:val="00E635DE"/>
    <w:rsid w:val="00E6403B"/>
    <w:rsid w:val="00E6427A"/>
    <w:rsid w:val="00E65034"/>
    <w:rsid w:val="00E65D33"/>
    <w:rsid w:val="00E66545"/>
    <w:rsid w:val="00E666D9"/>
    <w:rsid w:val="00E6670A"/>
    <w:rsid w:val="00E66DE1"/>
    <w:rsid w:val="00E6747B"/>
    <w:rsid w:val="00E676D3"/>
    <w:rsid w:val="00E67EF4"/>
    <w:rsid w:val="00E71763"/>
    <w:rsid w:val="00E71952"/>
    <w:rsid w:val="00E71CA7"/>
    <w:rsid w:val="00E720C3"/>
    <w:rsid w:val="00E7247A"/>
    <w:rsid w:val="00E72682"/>
    <w:rsid w:val="00E7327C"/>
    <w:rsid w:val="00E73B40"/>
    <w:rsid w:val="00E73B89"/>
    <w:rsid w:val="00E73D23"/>
    <w:rsid w:val="00E74964"/>
    <w:rsid w:val="00E749DA"/>
    <w:rsid w:val="00E74A3F"/>
    <w:rsid w:val="00E74B59"/>
    <w:rsid w:val="00E7503E"/>
    <w:rsid w:val="00E756C5"/>
    <w:rsid w:val="00E758D7"/>
    <w:rsid w:val="00E76354"/>
    <w:rsid w:val="00E7675F"/>
    <w:rsid w:val="00E7698D"/>
    <w:rsid w:val="00E76C55"/>
    <w:rsid w:val="00E76E0F"/>
    <w:rsid w:val="00E76E83"/>
    <w:rsid w:val="00E800BF"/>
    <w:rsid w:val="00E809A0"/>
    <w:rsid w:val="00E80D05"/>
    <w:rsid w:val="00E80EA5"/>
    <w:rsid w:val="00E810C7"/>
    <w:rsid w:val="00E81C5C"/>
    <w:rsid w:val="00E822D9"/>
    <w:rsid w:val="00E82A45"/>
    <w:rsid w:val="00E83204"/>
    <w:rsid w:val="00E83297"/>
    <w:rsid w:val="00E832F5"/>
    <w:rsid w:val="00E83532"/>
    <w:rsid w:val="00E848F8"/>
    <w:rsid w:val="00E8525D"/>
    <w:rsid w:val="00E852E7"/>
    <w:rsid w:val="00E85975"/>
    <w:rsid w:val="00E859D5"/>
    <w:rsid w:val="00E86ECE"/>
    <w:rsid w:val="00E86F60"/>
    <w:rsid w:val="00E87373"/>
    <w:rsid w:val="00E875DF"/>
    <w:rsid w:val="00E900E0"/>
    <w:rsid w:val="00E901F9"/>
    <w:rsid w:val="00E90545"/>
    <w:rsid w:val="00E90AB2"/>
    <w:rsid w:val="00E91855"/>
    <w:rsid w:val="00E92502"/>
    <w:rsid w:val="00E9271F"/>
    <w:rsid w:val="00E92989"/>
    <w:rsid w:val="00E937CF"/>
    <w:rsid w:val="00E94054"/>
    <w:rsid w:val="00E94265"/>
    <w:rsid w:val="00E948D2"/>
    <w:rsid w:val="00E94E17"/>
    <w:rsid w:val="00E94E9D"/>
    <w:rsid w:val="00E95873"/>
    <w:rsid w:val="00E95B97"/>
    <w:rsid w:val="00E95E2C"/>
    <w:rsid w:val="00E9651E"/>
    <w:rsid w:val="00E9686C"/>
    <w:rsid w:val="00E96A51"/>
    <w:rsid w:val="00E96C6C"/>
    <w:rsid w:val="00E97311"/>
    <w:rsid w:val="00E97813"/>
    <w:rsid w:val="00E97B48"/>
    <w:rsid w:val="00E97EDB"/>
    <w:rsid w:val="00EA1824"/>
    <w:rsid w:val="00EA1F1C"/>
    <w:rsid w:val="00EA286A"/>
    <w:rsid w:val="00EA3DE9"/>
    <w:rsid w:val="00EA407A"/>
    <w:rsid w:val="00EA484E"/>
    <w:rsid w:val="00EA5083"/>
    <w:rsid w:val="00EA517B"/>
    <w:rsid w:val="00EA63E4"/>
    <w:rsid w:val="00EA6535"/>
    <w:rsid w:val="00EA7073"/>
    <w:rsid w:val="00EA71B6"/>
    <w:rsid w:val="00EA7674"/>
    <w:rsid w:val="00EA7E0A"/>
    <w:rsid w:val="00EA7E7E"/>
    <w:rsid w:val="00EB00EC"/>
    <w:rsid w:val="00EB0B34"/>
    <w:rsid w:val="00EB0E85"/>
    <w:rsid w:val="00EB14B3"/>
    <w:rsid w:val="00EB1781"/>
    <w:rsid w:val="00EB1BE6"/>
    <w:rsid w:val="00EB224D"/>
    <w:rsid w:val="00EB2256"/>
    <w:rsid w:val="00EB243D"/>
    <w:rsid w:val="00EB2495"/>
    <w:rsid w:val="00EB3023"/>
    <w:rsid w:val="00EB305D"/>
    <w:rsid w:val="00EB3181"/>
    <w:rsid w:val="00EB331C"/>
    <w:rsid w:val="00EB33EC"/>
    <w:rsid w:val="00EB3BE2"/>
    <w:rsid w:val="00EB3C39"/>
    <w:rsid w:val="00EB48F6"/>
    <w:rsid w:val="00EB4990"/>
    <w:rsid w:val="00EB533E"/>
    <w:rsid w:val="00EB545F"/>
    <w:rsid w:val="00EB5E8A"/>
    <w:rsid w:val="00EB643A"/>
    <w:rsid w:val="00EB654F"/>
    <w:rsid w:val="00EB693C"/>
    <w:rsid w:val="00EB695B"/>
    <w:rsid w:val="00EB6B58"/>
    <w:rsid w:val="00EB7011"/>
    <w:rsid w:val="00EB76A2"/>
    <w:rsid w:val="00EB770E"/>
    <w:rsid w:val="00EC00BC"/>
    <w:rsid w:val="00EC01D1"/>
    <w:rsid w:val="00EC0949"/>
    <w:rsid w:val="00EC0FB9"/>
    <w:rsid w:val="00EC1290"/>
    <w:rsid w:val="00EC1AEC"/>
    <w:rsid w:val="00EC1BA2"/>
    <w:rsid w:val="00EC27C5"/>
    <w:rsid w:val="00EC2B79"/>
    <w:rsid w:val="00EC38BA"/>
    <w:rsid w:val="00EC418E"/>
    <w:rsid w:val="00EC4534"/>
    <w:rsid w:val="00EC4ABA"/>
    <w:rsid w:val="00EC50C2"/>
    <w:rsid w:val="00EC528A"/>
    <w:rsid w:val="00EC559A"/>
    <w:rsid w:val="00EC59E1"/>
    <w:rsid w:val="00EC5BB2"/>
    <w:rsid w:val="00EC652B"/>
    <w:rsid w:val="00EC6CC0"/>
    <w:rsid w:val="00EC7502"/>
    <w:rsid w:val="00EC7851"/>
    <w:rsid w:val="00EC7C12"/>
    <w:rsid w:val="00EC7E06"/>
    <w:rsid w:val="00EC7F21"/>
    <w:rsid w:val="00EC7FE0"/>
    <w:rsid w:val="00ED031E"/>
    <w:rsid w:val="00ED1CCB"/>
    <w:rsid w:val="00ED2D4D"/>
    <w:rsid w:val="00ED2D52"/>
    <w:rsid w:val="00ED2F76"/>
    <w:rsid w:val="00ED303E"/>
    <w:rsid w:val="00ED4340"/>
    <w:rsid w:val="00ED4481"/>
    <w:rsid w:val="00ED46F5"/>
    <w:rsid w:val="00ED4FFA"/>
    <w:rsid w:val="00ED51E9"/>
    <w:rsid w:val="00ED553C"/>
    <w:rsid w:val="00ED5787"/>
    <w:rsid w:val="00ED58FD"/>
    <w:rsid w:val="00ED5920"/>
    <w:rsid w:val="00ED78D8"/>
    <w:rsid w:val="00ED7E49"/>
    <w:rsid w:val="00ED7FAD"/>
    <w:rsid w:val="00EE0071"/>
    <w:rsid w:val="00EE1AE4"/>
    <w:rsid w:val="00EE1FBC"/>
    <w:rsid w:val="00EE2594"/>
    <w:rsid w:val="00EE2948"/>
    <w:rsid w:val="00EE2C8B"/>
    <w:rsid w:val="00EE2E2B"/>
    <w:rsid w:val="00EE33ED"/>
    <w:rsid w:val="00EE3FC8"/>
    <w:rsid w:val="00EE420F"/>
    <w:rsid w:val="00EE45A4"/>
    <w:rsid w:val="00EE54C9"/>
    <w:rsid w:val="00EE567B"/>
    <w:rsid w:val="00EE571F"/>
    <w:rsid w:val="00EE5770"/>
    <w:rsid w:val="00EE5D26"/>
    <w:rsid w:val="00EE6475"/>
    <w:rsid w:val="00EE683C"/>
    <w:rsid w:val="00EE6A03"/>
    <w:rsid w:val="00EE6CFC"/>
    <w:rsid w:val="00EE73B3"/>
    <w:rsid w:val="00EE750E"/>
    <w:rsid w:val="00EE75DB"/>
    <w:rsid w:val="00EF04DA"/>
    <w:rsid w:val="00EF07F6"/>
    <w:rsid w:val="00EF0D94"/>
    <w:rsid w:val="00EF139A"/>
    <w:rsid w:val="00EF1D94"/>
    <w:rsid w:val="00EF1EC3"/>
    <w:rsid w:val="00EF282B"/>
    <w:rsid w:val="00EF46D4"/>
    <w:rsid w:val="00EF4D08"/>
    <w:rsid w:val="00EF5267"/>
    <w:rsid w:val="00EF54B2"/>
    <w:rsid w:val="00EF595D"/>
    <w:rsid w:val="00EF630F"/>
    <w:rsid w:val="00EF66FE"/>
    <w:rsid w:val="00EF69B9"/>
    <w:rsid w:val="00EF71E0"/>
    <w:rsid w:val="00EF7345"/>
    <w:rsid w:val="00EF7561"/>
    <w:rsid w:val="00F024A0"/>
    <w:rsid w:val="00F02725"/>
    <w:rsid w:val="00F02A20"/>
    <w:rsid w:val="00F02EEB"/>
    <w:rsid w:val="00F031D2"/>
    <w:rsid w:val="00F0329C"/>
    <w:rsid w:val="00F03BE0"/>
    <w:rsid w:val="00F03E77"/>
    <w:rsid w:val="00F05239"/>
    <w:rsid w:val="00F05766"/>
    <w:rsid w:val="00F05C2B"/>
    <w:rsid w:val="00F063E3"/>
    <w:rsid w:val="00F07E03"/>
    <w:rsid w:val="00F1047F"/>
    <w:rsid w:val="00F10D4F"/>
    <w:rsid w:val="00F10EEF"/>
    <w:rsid w:val="00F11719"/>
    <w:rsid w:val="00F117E1"/>
    <w:rsid w:val="00F1225E"/>
    <w:rsid w:val="00F12834"/>
    <w:rsid w:val="00F13125"/>
    <w:rsid w:val="00F13A8A"/>
    <w:rsid w:val="00F13CE9"/>
    <w:rsid w:val="00F13D07"/>
    <w:rsid w:val="00F13EE4"/>
    <w:rsid w:val="00F13FB5"/>
    <w:rsid w:val="00F14076"/>
    <w:rsid w:val="00F1446F"/>
    <w:rsid w:val="00F14538"/>
    <w:rsid w:val="00F148F8"/>
    <w:rsid w:val="00F1492D"/>
    <w:rsid w:val="00F14E0E"/>
    <w:rsid w:val="00F1530D"/>
    <w:rsid w:val="00F163C0"/>
    <w:rsid w:val="00F16EE1"/>
    <w:rsid w:val="00F16F33"/>
    <w:rsid w:val="00F17BAB"/>
    <w:rsid w:val="00F17D31"/>
    <w:rsid w:val="00F17FDE"/>
    <w:rsid w:val="00F20810"/>
    <w:rsid w:val="00F20E4F"/>
    <w:rsid w:val="00F217D0"/>
    <w:rsid w:val="00F21B6F"/>
    <w:rsid w:val="00F2224A"/>
    <w:rsid w:val="00F227EA"/>
    <w:rsid w:val="00F2345D"/>
    <w:rsid w:val="00F23F3F"/>
    <w:rsid w:val="00F24851"/>
    <w:rsid w:val="00F2567C"/>
    <w:rsid w:val="00F25910"/>
    <w:rsid w:val="00F25FA9"/>
    <w:rsid w:val="00F26283"/>
    <w:rsid w:val="00F26294"/>
    <w:rsid w:val="00F26F2E"/>
    <w:rsid w:val="00F27095"/>
    <w:rsid w:val="00F273EB"/>
    <w:rsid w:val="00F2742E"/>
    <w:rsid w:val="00F2758D"/>
    <w:rsid w:val="00F275B5"/>
    <w:rsid w:val="00F277BB"/>
    <w:rsid w:val="00F30110"/>
    <w:rsid w:val="00F30FBE"/>
    <w:rsid w:val="00F313B5"/>
    <w:rsid w:val="00F31408"/>
    <w:rsid w:val="00F31C4C"/>
    <w:rsid w:val="00F32B6A"/>
    <w:rsid w:val="00F32FF5"/>
    <w:rsid w:val="00F342CD"/>
    <w:rsid w:val="00F344CF"/>
    <w:rsid w:val="00F347E1"/>
    <w:rsid w:val="00F35D3B"/>
    <w:rsid w:val="00F36847"/>
    <w:rsid w:val="00F36FCC"/>
    <w:rsid w:val="00F36FF5"/>
    <w:rsid w:val="00F378BC"/>
    <w:rsid w:val="00F37EB7"/>
    <w:rsid w:val="00F402DA"/>
    <w:rsid w:val="00F404A7"/>
    <w:rsid w:val="00F40693"/>
    <w:rsid w:val="00F40B49"/>
    <w:rsid w:val="00F414C5"/>
    <w:rsid w:val="00F416F2"/>
    <w:rsid w:val="00F41966"/>
    <w:rsid w:val="00F4229E"/>
    <w:rsid w:val="00F424EE"/>
    <w:rsid w:val="00F4259E"/>
    <w:rsid w:val="00F42A69"/>
    <w:rsid w:val="00F43CC0"/>
    <w:rsid w:val="00F44650"/>
    <w:rsid w:val="00F4472B"/>
    <w:rsid w:val="00F44832"/>
    <w:rsid w:val="00F45478"/>
    <w:rsid w:val="00F45AAD"/>
    <w:rsid w:val="00F45FD9"/>
    <w:rsid w:val="00F46440"/>
    <w:rsid w:val="00F46730"/>
    <w:rsid w:val="00F46901"/>
    <w:rsid w:val="00F4712E"/>
    <w:rsid w:val="00F47304"/>
    <w:rsid w:val="00F47573"/>
    <w:rsid w:val="00F479E9"/>
    <w:rsid w:val="00F502FE"/>
    <w:rsid w:val="00F506FB"/>
    <w:rsid w:val="00F50FF7"/>
    <w:rsid w:val="00F52E4B"/>
    <w:rsid w:val="00F54053"/>
    <w:rsid w:val="00F54CF4"/>
    <w:rsid w:val="00F552FC"/>
    <w:rsid w:val="00F55770"/>
    <w:rsid w:val="00F55CAA"/>
    <w:rsid w:val="00F5642C"/>
    <w:rsid w:val="00F56592"/>
    <w:rsid w:val="00F56E73"/>
    <w:rsid w:val="00F56EE7"/>
    <w:rsid w:val="00F57948"/>
    <w:rsid w:val="00F57BA7"/>
    <w:rsid w:val="00F60012"/>
    <w:rsid w:val="00F61883"/>
    <w:rsid w:val="00F619B1"/>
    <w:rsid w:val="00F61D06"/>
    <w:rsid w:val="00F62A41"/>
    <w:rsid w:val="00F6310C"/>
    <w:rsid w:val="00F636B5"/>
    <w:rsid w:val="00F63707"/>
    <w:rsid w:val="00F64469"/>
    <w:rsid w:val="00F6479E"/>
    <w:rsid w:val="00F6490A"/>
    <w:rsid w:val="00F649B4"/>
    <w:rsid w:val="00F64A16"/>
    <w:rsid w:val="00F662C4"/>
    <w:rsid w:val="00F663E4"/>
    <w:rsid w:val="00F6695B"/>
    <w:rsid w:val="00F67155"/>
    <w:rsid w:val="00F6724A"/>
    <w:rsid w:val="00F67668"/>
    <w:rsid w:val="00F67EFA"/>
    <w:rsid w:val="00F67F37"/>
    <w:rsid w:val="00F70B4F"/>
    <w:rsid w:val="00F70D61"/>
    <w:rsid w:val="00F70F0A"/>
    <w:rsid w:val="00F71791"/>
    <w:rsid w:val="00F7199A"/>
    <w:rsid w:val="00F7298C"/>
    <w:rsid w:val="00F72A49"/>
    <w:rsid w:val="00F7430D"/>
    <w:rsid w:val="00F745AB"/>
    <w:rsid w:val="00F74A68"/>
    <w:rsid w:val="00F74C81"/>
    <w:rsid w:val="00F74D2E"/>
    <w:rsid w:val="00F74D3E"/>
    <w:rsid w:val="00F74F86"/>
    <w:rsid w:val="00F75068"/>
    <w:rsid w:val="00F7530A"/>
    <w:rsid w:val="00F75655"/>
    <w:rsid w:val="00F75CDA"/>
    <w:rsid w:val="00F75E59"/>
    <w:rsid w:val="00F76C8E"/>
    <w:rsid w:val="00F76CB7"/>
    <w:rsid w:val="00F76F0A"/>
    <w:rsid w:val="00F76FCD"/>
    <w:rsid w:val="00F77B40"/>
    <w:rsid w:val="00F77C79"/>
    <w:rsid w:val="00F77EC3"/>
    <w:rsid w:val="00F77FEB"/>
    <w:rsid w:val="00F80035"/>
    <w:rsid w:val="00F801E0"/>
    <w:rsid w:val="00F80443"/>
    <w:rsid w:val="00F811A8"/>
    <w:rsid w:val="00F817FE"/>
    <w:rsid w:val="00F822DA"/>
    <w:rsid w:val="00F82CB3"/>
    <w:rsid w:val="00F83180"/>
    <w:rsid w:val="00F83A2D"/>
    <w:rsid w:val="00F83C1F"/>
    <w:rsid w:val="00F83C8D"/>
    <w:rsid w:val="00F84093"/>
    <w:rsid w:val="00F843D7"/>
    <w:rsid w:val="00F84959"/>
    <w:rsid w:val="00F849F8"/>
    <w:rsid w:val="00F84A26"/>
    <w:rsid w:val="00F85440"/>
    <w:rsid w:val="00F858E3"/>
    <w:rsid w:val="00F85C82"/>
    <w:rsid w:val="00F85EE6"/>
    <w:rsid w:val="00F85F3E"/>
    <w:rsid w:val="00F863AD"/>
    <w:rsid w:val="00F86B27"/>
    <w:rsid w:val="00F8739E"/>
    <w:rsid w:val="00F90005"/>
    <w:rsid w:val="00F90BB8"/>
    <w:rsid w:val="00F90E9A"/>
    <w:rsid w:val="00F91177"/>
    <w:rsid w:val="00F919C7"/>
    <w:rsid w:val="00F91AC0"/>
    <w:rsid w:val="00F92070"/>
    <w:rsid w:val="00F92160"/>
    <w:rsid w:val="00F92D65"/>
    <w:rsid w:val="00F93263"/>
    <w:rsid w:val="00F939C6"/>
    <w:rsid w:val="00F93A86"/>
    <w:rsid w:val="00F93AA7"/>
    <w:rsid w:val="00F940FE"/>
    <w:rsid w:val="00F94389"/>
    <w:rsid w:val="00F94522"/>
    <w:rsid w:val="00F956A0"/>
    <w:rsid w:val="00F95EAF"/>
    <w:rsid w:val="00F960F5"/>
    <w:rsid w:val="00F96182"/>
    <w:rsid w:val="00F96AF5"/>
    <w:rsid w:val="00F971DE"/>
    <w:rsid w:val="00F97498"/>
    <w:rsid w:val="00F97594"/>
    <w:rsid w:val="00F97639"/>
    <w:rsid w:val="00F97E03"/>
    <w:rsid w:val="00FA1159"/>
    <w:rsid w:val="00FA136D"/>
    <w:rsid w:val="00FA1440"/>
    <w:rsid w:val="00FA165B"/>
    <w:rsid w:val="00FA1820"/>
    <w:rsid w:val="00FA1BE0"/>
    <w:rsid w:val="00FA1E90"/>
    <w:rsid w:val="00FA2318"/>
    <w:rsid w:val="00FA2A4D"/>
    <w:rsid w:val="00FA37D6"/>
    <w:rsid w:val="00FA3C8E"/>
    <w:rsid w:val="00FA42B4"/>
    <w:rsid w:val="00FA4630"/>
    <w:rsid w:val="00FA4F59"/>
    <w:rsid w:val="00FA57F0"/>
    <w:rsid w:val="00FA58E9"/>
    <w:rsid w:val="00FA643E"/>
    <w:rsid w:val="00FA6622"/>
    <w:rsid w:val="00FA7336"/>
    <w:rsid w:val="00FA7FD7"/>
    <w:rsid w:val="00FB01E8"/>
    <w:rsid w:val="00FB02D0"/>
    <w:rsid w:val="00FB038F"/>
    <w:rsid w:val="00FB0552"/>
    <w:rsid w:val="00FB10FC"/>
    <w:rsid w:val="00FB1382"/>
    <w:rsid w:val="00FB15CB"/>
    <w:rsid w:val="00FB256D"/>
    <w:rsid w:val="00FB2744"/>
    <w:rsid w:val="00FB2A57"/>
    <w:rsid w:val="00FB2CCD"/>
    <w:rsid w:val="00FB3537"/>
    <w:rsid w:val="00FB3A27"/>
    <w:rsid w:val="00FB41C1"/>
    <w:rsid w:val="00FB4603"/>
    <w:rsid w:val="00FB4866"/>
    <w:rsid w:val="00FB492A"/>
    <w:rsid w:val="00FB4A22"/>
    <w:rsid w:val="00FB4C59"/>
    <w:rsid w:val="00FB5F60"/>
    <w:rsid w:val="00FB6560"/>
    <w:rsid w:val="00FB70C9"/>
    <w:rsid w:val="00FB714F"/>
    <w:rsid w:val="00FB72A6"/>
    <w:rsid w:val="00FB7360"/>
    <w:rsid w:val="00FB74C8"/>
    <w:rsid w:val="00FB776C"/>
    <w:rsid w:val="00FB7CF0"/>
    <w:rsid w:val="00FC0900"/>
    <w:rsid w:val="00FC09F3"/>
    <w:rsid w:val="00FC0B14"/>
    <w:rsid w:val="00FC11E3"/>
    <w:rsid w:val="00FC1711"/>
    <w:rsid w:val="00FC1D4F"/>
    <w:rsid w:val="00FC1EAC"/>
    <w:rsid w:val="00FC2465"/>
    <w:rsid w:val="00FC26CC"/>
    <w:rsid w:val="00FC2722"/>
    <w:rsid w:val="00FC2798"/>
    <w:rsid w:val="00FC2F32"/>
    <w:rsid w:val="00FC341B"/>
    <w:rsid w:val="00FC3703"/>
    <w:rsid w:val="00FC3B12"/>
    <w:rsid w:val="00FC407C"/>
    <w:rsid w:val="00FC4212"/>
    <w:rsid w:val="00FC477E"/>
    <w:rsid w:val="00FC47AC"/>
    <w:rsid w:val="00FC4BA9"/>
    <w:rsid w:val="00FC4F69"/>
    <w:rsid w:val="00FC5176"/>
    <w:rsid w:val="00FC5179"/>
    <w:rsid w:val="00FC5188"/>
    <w:rsid w:val="00FC5280"/>
    <w:rsid w:val="00FC59B9"/>
    <w:rsid w:val="00FC59F5"/>
    <w:rsid w:val="00FC5C13"/>
    <w:rsid w:val="00FC5E02"/>
    <w:rsid w:val="00FC6B17"/>
    <w:rsid w:val="00FC6C43"/>
    <w:rsid w:val="00FC6C9B"/>
    <w:rsid w:val="00FC6DAC"/>
    <w:rsid w:val="00FC6DDD"/>
    <w:rsid w:val="00FC6F6D"/>
    <w:rsid w:val="00FC726C"/>
    <w:rsid w:val="00FC7EA7"/>
    <w:rsid w:val="00FD0238"/>
    <w:rsid w:val="00FD02B2"/>
    <w:rsid w:val="00FD0745"/>
    <w:rsid w:val="00FD07E1"/>
    <w:rsid w:val="00FD089E"/>
    <w:rsid w:val="00FD0FA9"/>
    <w:rsid w:val="00FD116D"/>
    <w:rsid w:val="00FD1254"/>
    <w:rsid w:val="00FD16F4"/>
    <w:rsid w:val="00FD18F1"/>
    <w:rsid w:val="00FD1B57"/>
    <w:rsid w:val="00FD2125"/>
    <w:rsid w:val="00FD277C"/>
    <w:rsid w:val="00FD2986"/>
    <w:rsid w:val="00FD3060"/>
    <w:rsid w:val="00FD32C4"/>
    <w:rsid w:val="00FD359A"/>
    <w:rsid w:val="00FD3B38"/>
    <w:rsid w:val="00FD4411"/>
    <w:rsid w:val="00FD5039"/>
    <w:rsid w:val="00FD50D6"/>
    <w:rsid w:val="00FD59FE"/>
    <w:rsid w:val="00FD6DDF"/>
    <w:rsid w:val="00FD6EAA"/>
    <w:rsid w:val="00FD752F"/>
    <w:rsid w:val="00FD7F61"/>
    <w:rsid w:val="00FE02B1"/>
    <w:rsid w:val="00FE02EF"/>
    <w:rsid w:val="00FE0C70"/>
    <w:rsid w:val="00FE0D7D"/>
    <w:rsid w:val="00FE0E9C"/>
    <w:rsid w:val="00FE11E9"/>
    <w:rsid w:val="00FE1A8E"/>
    <w:rsid w:val="00FE1F7C"/>
    <w:rsid w:val="00FE3095"/>
    <w:rsid w:val="00FE3991"/>
    <w:rsid w:val="00FE45A4"/>
    <w:rsid w:val="00FE45D5"/>
    <w:rsid w:val="00FE48F7"/>
    <w:rsid w:val="00FE4AAE"/>
    <w:rsid w:val="00FE5E97"/>
    <w:rsid w:val="00FE61F7"/>
    <w:rsid w:val="00FE656D"/>
    <w:rsid w:val="00FE689C"/>
    <w:rsid w:val="00FE72FF"/>
    <w:rsid w:val="00FE7EAB"/>
    <w:rsid w:val="00FE7FB0"/>
    <w:rsid w:val="00FF0A60"/>
    <w:rsid w:val="00FF10D7"/>
    <w:rsid w:val="00FF154B"/>
    <w:rsid w:val="00FF1A57"/>
    <w:rsid w:val="00FF226C"/>
    <w:rsid w:val="00FF29A0"/>
    <w:rsid w:val="00FF2E05"/>
    <w:rsid w:val="00FF32D2"/>
    <w:rsid w:val="00FF3522"/>
    <w:rsid w:val="00FF375E"/>
    <w:rsid w:val="00FF3FDE"/>
    <w:rsid w:val="00FF5018"/>
    <w:rsid w:val="00FF55A7"/>
    <w:rsid w:val="00FF5616"/>
    <w:rsid w:val="00FF59C4"/>
    <w:rsid w:val="00FF666A"/>
    <w:rsid w:val="00FF6AAE"/>
    <w:rsid w:val="00FF6E39"/>
    <w:rsid w:val="00FF7210"/>
    <w:rsid w:val="00FF73A2"/>
    <w:rsid w:val="00FF789E"/>
    <w:rsid w:val="00FF797B"/>
    <w:rsid w:val="00FF7A35"/>
    <w:rsid w:val="00FF7BE7"/>
    <w:rsid w:val="00FF7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A02B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2DE3"/>
    <w:pPr>
      <w:spacing w:after="0" w:line="480" w:lineRule="auto"/>
    </w:pPr>
    <w:rPr>
      <w:rFonts w:ascii="Times New Roman" w:hAnsi="Times New Roman"/>
      <w:sz w:val="24"/>
    </w:rPr>
  </w:style>
  <w:style w:type="paragraph" w:styleId="Heading1">
    <w:name w:val="heading 1"/>
    <w:basedOn w:val="Normal"/>
    <w:next w:val="Normal"/>
    <w:link w:val="Heading1Char"/>
    <w:qFormat/>
    <w:rsid w:val="00D82AC7"/>
    <w:pPr>
      <w:widowControl w:val="0"/>
      <w:overflowPunct w:val="0"/>
      <w:autoSpaceDE w:val="0"/>
      <w:autoSpaceDN w:val="0"/>
      <w:adjustRightInd w:val="0"/>
      <w:textAlignment w:val="baseline"/>
      <w:outlineLvl w:val="0"/>
    </w:pPr>
    <w:rPr>
      <w:rFonts w:eastAsia="Times New Roman" w:cs="Times New Roman"/>
      <w:b/>
      <w:noProof/>
      <w:kern w:val="28"/>
      <w:szCs w:val="20"/>
      <w:lang w:val="en-GB"/>
    </w:rPr>
  </w:style>
  <w:style w:type="paragraph" w:styleId="Heading2">
    <w:name w:val="heading 2"/>
    <w:basedOn w:val="Normal"/>
    <w:next w:val="Normal"/>
    <w:link w:val="Heading2Char"/>
    <w:qFormat/>
    <w:rsid w:val="002D2F01"/>
    <w:pPr>
      <w:keepNext/>
      <w:keepLines/>
      <w:numPr>
        <w:ilvl w:val="1"/>
        <w:numId w:val="1"/>
      </w:numPr>
      <w:suppressAutoHyphens/>
      <w:overflowPunct w:val="0"/>
      <w:autoSpaceDE w:val="0"/>
      <w:autoSpaceDN w:val="0"/>
      <w:adjustRightInd w:val="0"/>
      <w:spacing w:line="240" w:lineRule="auto"/>
      <w:textAlignment w:val="baseline"/>
      <w:outlineLvl w:val="1"/>
    </w:pPr>
    <w:rPr>
      <w:rFonts w:eastAsia="Times New Roman" w:cs="Times New Roman"/>
      <w:b/>
      <w:szCs w:val="20"/>
      <w:lang w:val="nb-NO"/>
    </w:rPr>
  </w:style>
  <w:style w:type="paragraph" w:styleId="Heading3">
    <w:name w:val="heading 3"/>
    <w:basedOn w:val="Heading2"/>
    <w:next w:val="Normal"/>
    <w:link w:val="Heading3Char"/>
    <w:qFormat/>
    <w:rsid w:val="002D2F01"/>
    <w:pPr>
      <w:numPr>
        <w:ilvl w:val="2"/>
      </w:numPr>
      <w:outlineLvl w:val="2"/>
    </w:pPr>
    <w:rPr>
      <w:b w:val="0"/>
      <w:i/>
    </w:rPr>
  </w:style>
  <w:style w:type="paragraph" w:styleId="Heading4">
    <w:name w:val="heading 4"/>
    <w:basedOn w:val="Heading2"/>
    <w:next w:val="Normal"/>
    <w:link w:val="Heading4Char"/>
    <w:qFormat/>
    <w:rsid w:val="002D2F01"/>
    <w:pPr>
      <w:numPr>
        <w:ilvl w:val="3"/>
      </w:numPr>
      <w:spacing w:before="240" w:after="120"/>
      <w:outlineLvl w:val="3"/>
    </w:pPr>
    <w:rPr>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2AC7"/>
    <w:rPr>
      <w:rFonts w:ascii="Times New Roman" w:eastAsia="Times New Roman" w:hAnsi="Times New Roman" w:cs="Times New Roman"/>
      <w:b/>
      <w:noProof/>
      <w:kern w:val="28"/>
      <w:sz w:val="24"/>
      <w:szCs w:val="20"/>
      <w:lang w:val="en-GB"/>
    </w:rPr>
  </w:style>
  <w:style w:type="character" w:customStyle="1" w:styleId="Heading2Char">
    <w:name w:val="Heading 2 Char"/>
    <w:basedOn w:val="DefaultParagraphFont"/>
    <w:link w:val="Heading2"/>
    <w:rsid w:val="002D2F01"/>
    <w:rPr>
      <w:rFonts w:ascii="Times New Roman" w:eastAsia="Times New Roman" w:hAnsi="Times New Roman" w:cs="Times New Roman"/>
      <w:b/>
      <w:sz w:val="24"/>
      <w:szCs w:val="20"/>
      <w:lang w:val="nb-NO"/>
    </w:rPr>
  </w:style>
  <w:style w:type="character" w:customStyle="1" w:styleId="Heading3Char">
    <w:name w:val="Heading 3 Char"/>
    <w:basedOn w:val="DefaultParagraphFont"/>
    <w:link w:val="Heading3"/>
    <w:rsid w:val="002D2F01"/>
    <w:rPr>
      <w:rFonts w:ascii="Times New Roman" w:eastAsia="Times New Roman" w:hAnsi="Times New Roman" w:cs="Times New Roman"/>
      <w:i/>
      <w:sz w:val="24"/>
      <w:szCs w:val="20"/>
      <w:lang w:val="nb-NO"/>
    </w:rPr>
  </w:style>
  <w:style w:type="character" w:customStyle="1" w:styleId="Heading4Char">
    <w:name w:val="Heading 4 Char"/>
    <w:basedOn w:val="DefaultParagraphFont"/>
    <w:link w:val="Heading4"/>
    <w:rsid w:val="002D2F01"/>
    <w:rPr>
      <w:rFonts w:ascii="Times New Roman" w:eastAsia="Times New Roman" w:hAnsi="Times New Roman" w:cs="Times New Roman"/>
      <w:b/>
      <w:i/>
      <w:sz w:val="28"/>
      <w:szCs w:val="20"/>
      <w:lang w:val="nb-NO"/>
    </w:rPr>
  </w:style>
  <w:style w:type="character" w:styleId="Strong">
    <w:name w:val="Strong"/>
    <w:basedOn w:val="DefaultParagraphFont"/>
    <w:uiPriority w:val="22"/>
    <w:qFormat/>
    <w:rsid w:val="002D2F01"/>
    <w:rPr>
      <w:b/>
      <w:bCs/>
    </w:rPr>
  </w:style>
  <w:style w:type="character" w:styleId="Hyperlink">
    <w:name w:val="Hyperlink"/>
    <w:basedOn w:val="DefaultParagraphFont"/>
    <w:unhideWhenUsed/>
    <w:rsid w:val="002D2F01"/>
    <w:rPr>
      <w:color w:val="0000FF"/>
      <w:u w:val="single"/>
    </w:rPr>
  </w:style>
  <w:style w:type="paragraph" w:customStyle="1" w:styleId="Default">
    <w:name w:val="Default"/>
    <w:rsid w:val="00717F6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0D2FDF"/>
    <w:pPr>
      <w:ind w:left="720"/>
      <w:contextualSpacing/>
    </w:pPr>
  </w:style>
  <w:style w:type="paragraph" w:styleId="BalloonText">
    <w:name w:val="Balloon Text"/>
    <w:basedOn w:val="Normal"/>
    <w:link w:val="BalloonTextChar"/>
    <w:uiPriority w:val="99"/>
    <w:semiHidden/>
    <w:unhideWhenUsed/>
    <w:rsid w:val="001C3C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C53"/>
    <w:rPr>
      <w:rFonts w:ascii="Tahoma" w:hAnsi="Tahoma" w:cs="Tahoma"/>
      <w:sz w:val="16"/>
      <w:szCs w:val="16"/>
    </w:rPr>
  </w:style>
  <w:style w:type="paragraph" w:styleId="NoSpacing">
    <w:name w:val="No Spacing"/>
    <w:uiPriority w:val="1"/>
    <w:rsid w:val="009D177B"/>
    <w:pPr>
      <w:spacing w:after="0" w:line="240" w:lineRule="auto"/>
    </w:pPr>
    <w:rPr>
      <w:rFonts w:ascii="Times New Roman" w:hAnsi="Times New Roman"/>
      <w:sz w:val="24"/>
    </w:rPr>
  </w:style>
  <w:style w:type="character" w:styleId="PlaceholderText">
    <w:name w:val="Placeholder Text"/>
    <w:basedOn w:val="DefaultParagraphFont"/>
    <w:uiPriority w:val="99"/>
    <w:semiHidden/>
    <w:rsid w:val="00507726"/>
    <w:rPr>
      <w:color w:val="808080"/>
    </w:rPr>
  </w:style>
  <w:style w:type="paragraph" w:styleId="FootnoteText">
    <w:name w:val="footnote text"/>
    <w:basedOn w:val="Normal"/>
    <w:link w:val="FootnoteTextChar"/>
    <w:qFormat/>
    <w:rsid w:val="00AC5382"/>
    <w:pPr>
      <w:spacing w:line="360" w:lineRule="auto"/>
    </w:pPr>
    <w:rPr>
      <w:rFonts w:eastAsia="Times New Roman" w:cs="Times New Roman"/>
      <w:szCs w:val="20"/>
      <w:lang w:val="nb-NO" w:eastAsia="nb-NO"/>
    </w:rPr>
  </w:style>
  <w:style w:type="character" w:customStyle="1" w:styleId="FootnoteTextChar">
    <w:name w:val="Footnote Text Char"/>
    <w:basedOn w:val="DefaultParagraphFont"/>
    <w:link w:val="FootnoteText"/>
    <w:rsid w:val="00AC5382"/>
    <w:rPr>
      <w:rFonts w:ascii="Times New Roman" w:eastAsia="Times New Roman" w:hAnsi="Times New Roman" w:cs="Times New Roman"/>
      <w:sz w:val="24"/>
      <w:szCs w:val="20"/>
      <w:lang w:val="nb-NO" w:eastAsia="nb-NO"/>
    </w:rPr>
  </w:style>
  <w:style w:type="character" w:styleId="FootnoteReference">
    <w:name w:val="footnote reference"/>
    <w:rsid w:val="00676CA8"/>
    <w:rPr>
      <w:vertAlign w:val="superscript"/>
    </w:rPr>
  </w:style>
  <w:style w:type="paragraph" w:styleId="Header">
    <w:name w:val="header"/>
    <w:basedOn w:val="Normal"/>
    <w:link w:val="HeaderChar"/>
    <w:uiPriority w:val="99"/>
    <w:unhideWhenUsed/>
    <w:rsid w:val="003A30C9"/>
    <w:pPr>
      <w:tabs>
        <w:tab w:val="center" w:pos="4680"/>
        <w:tab w:val="right" w:pos="9360"/>
      </w:tabs>
      <w:spacing w:line="240" w:lineRule="auto"/>
    </w:pPr>
  </w:style>
  <w:style w:type="character" w:customStyle="1" w:styleId="HeaderChar">
    <w:name w:val="Header Char"/>
    <w:basedOn w:val="DefaultParagraphFont"/>
    <w:link w:val="Header"/>
    <w:uiPriority w:val="99"/>
    <w:rsid w:val="003A30C9"/>
  </w:style>
  <w:style w:type="paragraph" w:styleId="Footer">
    <w:name w:val="footer"/>
    <w:basedOn w:val="Normal"/>
    <w:link w:val="FooterChar"/>
    <w:uiPriority w:val="99"/>
    <w:unhideWhenUsed/>
    <w:rsid w:val="003A30C9"/>
    <w:pPr>
      <w:tabs>
        <w:tab w:val="center" w:pos="4680"/>
        <w:tab w:val="right" w:pos="9360"/>
      </w:tabs>
      <w:spacing w:line="240" w:lineRule="auto"/>
    </w:pPr>
  </w:style>
  <w:style w:type="character" w:customStyle="1" w:styleId="FooterChar">
    <w:name w:val="Footer Char"/>
    <w:basedOn w:val="DefaultParagraphFont"/>
    <w:link w:val="Footer"/>
    <w:uiPriority w:val="99"/>
    <w:rsid w:val="003A30C9"/>
  </w:style>
  <w:style w:type="character" w:styleId="CommentReference">
    <w:name w:val="annotation reference"/>
    <w:basedOn w:val="DefaultParagraphFont"/>
    <w:uiPriority w:val="99"/>
    <w:semiHidden/>
    <w:unhideWhenUsed/>
    <w:rsid w:val="002B7FCE"/>
    <w:rPr>
      <w:sz w:val="16"/>
      <w:szCs w:val="16"/>
    </w:rPr>
  </w:style>
  <w:style w:type="paragraph" w:styleId="CommentText">
    <w:name w:val="annotation text"/>
    <w:basedOn w:val="Normal"/>
    <w:link w:val="CommentTextChar"/>
    <w:uiPriority w:val="99"/>
    <w:semiHidden/>
    <w:unhideWhenUsed/>
    <w:rsid w:val="002B7FCE"/>
    <w:pPr>
      <w:spacing w:line="240" w:lineRule="auto"/>
    </w:pPr>
    <w:rPr>
      <w:sz w:val="20"/>
      <w:szCs w:val="20"/>
    </w:rPr>
  </w:style>
  <w:style w:type="character" w:customStyle="1" w:styleId="CommentTextChar">
    <w:name w:val="Comment Text Char"/>
    <w:basedOn w:val="DefaultParagraphFont"/>
    <w:link w:val="CommentText"/>
    <w:uiPriority w:val="99"/>
    <w:semiHidden/>
    <w:rsid w:val="002B7FC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5080A"/>
    <w:rPr>
      <w:b/>
      <w:bCs/>
    </w:rPr>
  </w:style>
  <w:style w:type="character" w:customStyle="1" w:styleId="CommentSubjectChar">
    <w:name w:val="Comment Subject Char"/>
    <w:basedOn w:val="CommentTextChar"/>
    <w:link w:val="CommentSubject"/>
    <w:uiPriority w:val="99"/>
    <w:semiHidden/>
    <w:rsid w:val="0015080A"/>
    <w:rPr>
      <w:rFonts w:ascii="Times New Roman" w:hAnsi="Times New Roman"/>
      <w:b/>
      <w:bCs/>
      <w:sz w:val="20"/>
      <w:szCs w:val="20"/>
    </w:rPr>
  </w:style>
  <w:style w:type="table" w:styleId="TableGrid">
    <w:name w:val="Table Grid"/>
    <w:basedOn w:val="TableNormal"/>
    <w:uiPriority w:val="59"/>
    <w:rsid w:val="001B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2D65"/>
    <w:pPr>
      <w:spacing w:after="0" w:line="240" w:lineRule="auto"/>
    </w:pPr>
    <w:rPr>
      <w:rFonts w:ascii="Times New Roman" w:hAnsi="Times New Roman"/>
      <w:sz w:val="24"/>
    </w:rPr>
  </w:style>
  <w:style w:type="paragraph" w:styleId="EndnoteText">
    <w:name w:val="endnote text"/>
    <w:basedOn w:val="Normal"/>
    <w:link w:val="EndnoteTextChar"/>
    <w:uiPriority w:val="99"/>
    <w:semiHidden/>
    <w:unhideWhenUsed/>
    <w:rsid w:val="007A1A39"/>
    <w:pPr>
      <w:spacing w:line="240" w:lineRule="auto"/>
    </w:pPr>
    <w:rPr>
      <w:sz w:val="20"/>
      <w:szCs w:val="20"/>
    </w:rPr>
  </w:style>
  <w:style w:type="character" w:customStyle="1" w:styleId="EndnoteTextChar">
    <w:name w:val="Endnote Text Char"/>
    <w:basedOn w:val="DefaultParagraphFont"/>
    <w:link w:val="EndnoteText"/>
    <w:uiPriority w:val="99"/>
    <w:semiHidden/>
    <w:rsid w:val="007A1A39"/>
    <w:rPr>
      <w:rFonts w:ascii="Times New Roman" w:hAnsi="Times New Roman"/>
      <w:sz w:val="20"/>
      <w:szCs w:val="20"/>
    </w:rPr>
  </w:style>
  <w:style w:type="character" w:styleId="EndnoteReference">
    <w:name w:val="endnote reference"/>
    <w:basedOn w:val="DefaultParagraphFont"/>
    <w:uiPriority w:val="99"/>
    <w:semiHidden/>
    <w:unhideWhenUsed/>
    <w:rsid w:val="007A1A39"/>
    <w:rPr>
      <w:vertAlign w:val="superscript"/>
    </w:rPr>
  </w:style>
  <w:style w:type="character" w:styleId="FollowedHyperlink">
    <w:name w:val="FollowedHyperlink"/>
    <w:basedOn w:val="DefaultParagraphFont"/>
    <w:uiPriority w:val="99"/>
    <w:semiHidden/>
    <w:unhideWhenUsed/>
    <w:rsid w:val="004D3F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domstol.no/no/Enkelt-domstol/-Norges-Hoyesterett/Om-Hoyesterett/Personal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domstol.no/upload/DA/Internett/Innstillingsr%C3%A5det/Dokumenter/PP-notat_jan_2011.pdf" TargetMode="Externa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1" Type="http://schemas.openxmlformats.org/officeDocument/2006/relationships/hyperlink" Target="http://www.domstol.no/en/Enkelt-domstol/-Norges-Hoyesterett/The-Supreme-Court-of-Norway-/Jus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680A7-8991-4B60-8D6D-F4A5EA66F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8769</Words>
  <Characters>49984</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2</cp:revision>
  <cp:lastPrinted>2018-03-01T23:15:00Z</cp:lastPrinted>
  <dcterms:created xsi:type="dcterms:W3CDTF">2018-03-02T17:21:00Z</dcterms:created>
  <dcterms:modified xsi:type="dcterms:W3CDTF">2018-03-02T17:21:00Z</dcterms:modified>
</cp:coreProperties>
</file>