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D4A" w:rsidRDefault="00676D4A" w:rsidP="00676D4A">
      <w:pPr>
        <w:pStyle w:val="Heading1"/>
        <w:ind w:firstLine="0"/>
        <w:rPr>
          <w:rFonts w:asciiTheme="minorHAnsi" w:hAnsiTheme="minorHAnsi"/>
          <w:szCs w:val="24"/>
        </w:rPr>
      </w:pPr>
    </w:p>
    <w:p w:rsidR="00676D4A" w:rsidRDefault="00676D4A" w:rsidP="00676D4A">
      <w:pPr>
        <w:pStyle w:val="Heading1"/>
        <w:ind w:firstLine="0"/>
        <w:rPr>
          <w:rFonts w:asciiTheme="minorHAnsi" w:hAnsiTheme="minorHAnsi"/>
          <w:szCs w:val="24"/>
        </w:rPr>
      </w:pPr>
    </w:p>
    <w:p w:rsidR="00676D4A" w:rsidRDefault="00676D4A" w:rsidP="00676D4A">
      <w:pPr>
        <w:pStyle w:val="Heading1"/>
        <w:ind w:firstLine="0"/>
        <w:rPr>
          <w:rFonts w:asciiTheme="minorHAnsi" w:hAnsiTheme="minorHAnsi"/>
          <w:szCs w:val="24"/>
        </w:rPr>
      </w:pPr>
    </w:p>
    <w:p w:rsidR="00676D4A" w:rsidRDefault="00083CEC" w:rsidP="00676D4A">
      <w:pPr>
        <w:pStyle w:val="Heading1"/>
        <w:ind w:firstLine="0"/>
        <w:rPr>
          <w:rFonts w:asciiTheme="minorHAnsi" w:hAnsiTheme="minorHAnsi"/>
          <w:szCs w:val="24"/>
        </w:rPr>
      </w:pPr>
      <w:r w:rsidRPr="00355AA2">
        <w:rPr>
          <w:rFonts w:asciiTheme="minorHAnsi" w:hAnsiTheme="minorHAnsi"/>
          <w:szCs w:val="24"/>
        </w:rPr>
        <w:t>Homes, Household Practices, and the Domain</w:t>
      </w:r>
      <w:r w:rsidR="00D7739F">
        <w:rPr>
          <w:rFonts w:asciiTheme="minorHAnsi" w:hAnsiTheme="minorHAnsi"/>
          <w:szCs w:val="24"/>
        </w:rPr>
        <w:t>(s)</w:t>
      </w:r>
      <w:r w:rsidR="00676D4A">
        <w:rPr>
          <w:rFonts w:asciiTheme="minorHAnsi" w:hAnsiTheme="minorHAnsi"/>
          <w:szCs w:val="24"/>
        </w:rPr>
        <w:t xml:space="preserve"> of Citizenship</w:t>
      </w:r>
    </w:p>
    <w:p w:rsidR="00676D4A" w:rsidRPr="00676D4A" w:rsidRDefault="00676D4A" w:rsidP="00676D4A"/>
    <w:p w:rsidR="00676D4A" w:rsidRDefault="00676D4A" w:rsidP="00676D4A">
      <w:pPr>
        <w:pStyle w:val="Heading1"/>
        <w:spacing w:before="0"/>
        <w:ind w:firstLine="0"/>
        <w:rPr>
          <w:rFonts w:asciiTheme="minorHAnsi" w:hAnsiTheme="minorHAnsi"/>
          <w:b w:val="0"/>
          <w:szCs w:val="24"/>
        </w:rPr>
      </w:pPr>
      <w:proofErr w:type="gramStart"/>
      <w:r w:rsidRPr="00676D4A">
        <w:rPr>
          <w:rFonts w:asciiTheme="minorHAnsi" w:hAnsiTheme="minorHAnsi"/>
          <w:b w:val="0"/>
          <w:szCs w:val="24"/>
        </w:rPr>
        <w:t>by</w:t>
      </w:r>
      <w:proofErr w:type="gramEnd"/>
      <w:r w:rsidRPr="00676D4A">
        <w:rPr>
          <w:rFonts w:asciiTheme="minorHAnsi" w:hAnsiTheme="minorHAnsi"/>
          <w:b w:val="0"/>
          <w:szCs w:val="24"/>
        </w:rPr>
        <w:t xml:space="preserve"> </w:t>
      </w:r>
      <w:r w:rsidR="00083CEC" w:rsidRPr="00676D4A">
        <w:rPr>
          <w:rFonts w:asciiTheme="minorHAnsi" w:hAnsiTheme="minorHAnsi"/>
          <w:b w:val="0"/>
          <w:szCs w:val="24"/>
        </w:rPr>
        <w:t xml:space="preserve"> </w:t>
      </w:r>
    </w:p>
    <w:p w:rsidR="00676D4A" w:rsidRPr="00676D4A" w:rsidRDefault="00676D4A" w:rsidP="00676D4A"/>
    <w:p w:rsidR="00676D4A" w:rsidRPr="00676D4A" w:rsidRDefault="00676D4A" w:rsidP="00676D4A">
      <w:pPr>
        <w:pStyle w:val="Heading1"/>
        <w:spacing w:before="0"/>
        <w:ind w:firstLine="0"/>
        <w:rPr>
          <w:rFonts w:asciiTheme="minorHAnsi" w:hAnsiTheme="minorHAnsi"/>
          <w:b w:val="0"/>
          <w:szCs w:val="24"/>
        </w:rPr>
      </w:pPr>
      <w:r w:rsidRPr="00676D4A">
        <w:rPr>
          <w:rFonts w:asciiTheme="minorHAnsi" w:hAnsiTheme="minorHAnsi"/>
          <w:b w:val="0"/>
          <w:szCs w:val="24"/>
        </w:rPr>
        <w:t>John M. Meyer</w:t>
      </w:r>
    </w:p>
    <w:p w:rsidR="00676D4A" w:rsidRPr="00676D4A" w:rsidRDefault="00676D4A" w:rsidP="00676D4A">
      <w:pPr>
        <w:pStyle w:val="Heading1"/>
        <w:spacing w:before="0"/>
        <w:ind w:firstLine="0"/>
        <w:rPr>
          <w:rFonts w:asciiTheme="minorHAnsi" w:hAnsiTheme="minorHAnsi"/>
          <w:b w:val="0"/>
          <w:szCs w:val="24"/>
        </w:rPr>
      </w:pPr>
      <w:r w:rsidRPr="00676D4A">
        <w:rPr>
          <w:rFonts w:asciiTheme="minorHAnsi" w:hAnsiTheme="minorHAnsi"/>
          <w:b w:val="0"/>
          <w:szCs w:val="24"/>
        </w:rPr>
        <w:t>Department of Politics</w:t>
      </w:r>
    </w:p>
    <w:p w:rsidR="00676D4A" w:rsidRPr="00676D4A" w:rsidRDefault="00676D4A" w:rsidP="00676D4A">
      <w:pPr>
        <w:pStyle w:val="Heading1"/>
        <w:spacing w:before="0"/>
        <w:ind w:firstLine="0"/>
        <w:rPr>
          <w:rFonts w:asciiTheme="minorHAnsi" w:hAnsiTheme="minorHAnsi"/>
          <w:b w:val="0"/>
          <w:szCs w:val="24"/>
        </w:rPr>
      </w:pPr>
      <w:r w:rsidRPr="00676D4A">
        <w:rPr>
          <w:rFonts w:asciiTheme="minorHAnsi" w:hAnsiTheme="minorHAnsi"/>
          <w:b w:val="0"/>
          <w:szCs w:val="24"/>
        </w:rPr>
        <w:t xml:space="preserve">Humboldt State University </w:t>
      </w:r>
    </w:p>
    <w:p w:rsidR="00676D4A" w:rsidRDefault="00676D4A" w:rsidP="00A13285">
      <w:pPr>
        <w:pStyle w:val="Heading1"/>
        <w:spacing w:before="0"/>
        <w:ind w:firstLine="0"/>
        <w:rPr>
          <w:rFonts w:asciiTheme="minorHAnsi" w:hAnsiTheme="minorHAnsi"/>
          <w:b w:val="0"/>
          <w:szCs w:val="24"/>
        </w:rPr>
      </w:pPr>
      <w:r w:rsidRPr="00676D4A">
        <w:rPr>
          <w:rFonts w:asciiTheme="minorHAnsi" w:hAnsiTheme="minorHAnsi"/>
          <w:b w:val="0"/>
          <w:szCs w:val="24"/>
        </w:rPr>
        <w:t>Arcata, CA 95521</w:t>
      </w:r>
    </w:p>
    <w:p w:rsidR="00A13285" w:rsidRPr="00A13285" w:rsidRDefault="00A13285" w:rsidP="00A13285"/>
    <w:p w:rsidR="00676D4A" w:rsidRDefault="00676D4A" w:rsidP="00676D4A">
      <w:pPr>
        <w:pStyle w:val="Heading1"/>
        <w:spacing w:before="0"/>
        <w:ind w:firstLine="0"/>
        <w:rPr>
          <w:rFonts w:asciiTheme="minorHAnsi" w:hAnsiTheme="minorHAnsi"/>
          <w:b w:val="0"/>
          <w:szCs w:val="24"/>
        </w:rPr>
      </w:pPr>
      <w:hyperlink r:id="rId9" w:history="1">
        <w:r w:rsidRPr="00C15F8B">
          <w:rPr>
            <w:rStyle w:val="Hyperlink"/>
            <w:rFonts w:asciiTheme="minorHAnsi" w:hAnsiTheme="minorHAnsi"/>
            <w:b w:val="0"/>
            <w:szCs w:val="24"/>
          </w:rPr>
          <w:t>john.meyer@humboldt.edu</w:t>
        </w:r>
      </w:hyperlink>
      <w:r>
        <w:rPr>
          <w:rFonts w:asciiTheme="minorHAnsi" w:hAnsiTheme="minorHAnsi"/>
          <w:b w:val="0"/>
          <w:szCs w:val="24"/>
        </w:rPr>
        <w:t xml:space="preserve"> </w:t>
      </w:r>
    </w:p>
    <w:p w:rsidR="00676D4A" w:rsidRDefault="00676D4A" w:rsidP="00676D4A">
      <w:pPr>
        <w:ind w:firstLine="0"/>
      </w:pPr>
    </w:p>
    <w:p w:rsidR="00676D4A" w:rsidRDefault="00676D4A" w:rsidP="00676D4A">
      <w:pPr>
        <w:ind w:firstLine="0"/>
      </w:pPr>
    </w:p>
    <w:p w:rsidR="00A13285" w:rsidRDefault="00A13285" w:rsidP="00676D4A">
      <w:pPr>
        <w:ind w:firstLine="0"/>
      </w:pPr>
    </w:p>
    <w:p w:rsidR="00A13285" w:rsidRDefault="00A13285" w:rsidP="00676D4A">
      <w:pPr>
        <w:ind w:firstLine="0"/>
      </w:pPr>
    </w:p>
    <w:p w:rsidR="00A13285" w:rsidRDefault="00A13285" w:rsidP="00676D4A">
      <w:pPr>
        <w:ind w:firstLine="0"/>
      </w:pPr>
    </w:p>
    <w:p w:rsidR="00676D4A" w:rsidRPr="00676D4A" w:rsidRDefault="00A13285" w:rsidP="00676D4A">
      <w:pPr>
        <w:spacing w:line="240" w:lineRule="auto"/>
        <w:ind w:firstLine="0"/>
      </w:pPr>
      <w:r>
        <w:t>Draft p</w:t>
      </w:r>
      <w:r w:rsidR="00676D4A">
        <w:t>repared for presentation at the Western Political Science Association Conference</w:t>
      </w:r>
      <w:r>
        <w:t xml:space="preserve">, Seattle, Washington, </w:t>
      </w:r>
      <w:proofErr w:type="gramStart"/>
      <w:r>
        <w:t>April</w:t>
      </w:r>
      <w:proofErr w:type="gramEnd"/>
      <w:r>
        <w:t xml:space="preserve"> 16-19, 2014.  Comments welcome.  Please d</w:t>
      </w:r>
      <w:r w:rsidR="00676D4A">
        <w:t>o not quote without author’s permission.</w:t>
      </w:r>
    </w:p>
    <w:p w:rsidR="00676D4A" w:rsidRDefault="00676D4A" w:rsidP="00676D4A">
      <w:pPr>
        <w:rPr>
          <w:rFonts w:eastAsiaTheme="majorEastAsia" w:cstheme="majorBidi"/>
          <w:sz w:val="24"/>
        </w:rPr>
      </w:pPr>
      <w:r>
        <w:br w:type="page"/>
      </w:r>
    </w:p>
    <w:p w:rsidR="00083CEC" w:rsidRPr="00355AA2" w:rsidRDefault="00083CEC" w:rsidP="00676D4A">
      <w:pPr>
        <w:pStyle w:val="Heading1"/>
        <w:ind w:firstLine="0"/>
        <w:rPr>
          <w:rFonts w:asciiTheme="minorHAnsi" w:hAnsiTheme="minorHAnsi"/>
          <w:szCs w:val="24"/>
        </w:rPr>
      </w:pPr>
    </w:p>
    <w:p w:rsidR="00AF01AA" w:rsidRPr="004B29FF" w:rsidRDefault="00AF01AA" w:rsidP="00676D4A">
      <w:pPr>
        <w:pStyle w:val="blockquote"/>
        <w:ind w:firstLine="0"/>
        <w:rPr>
          <w:sz w:val="24"/>
          <w:szCs w:val="24"/>
        </w:rPr>
      </w:pPr>
      <w:r w:rsidRPr="004B29FF">
        <w:rPr>
          <w:i/>
          <w:sz w:val="24"/>
          <w:szCs w:val="24"/>
        </w:rPr>
        <w:t>If the core problem of wilderness is that it distances us too much from the very things it teaches us to value, then the question we must ask is what it can tell us about home, the place where we actually live.  How can we take the positive values we associate with wilderness and bring them closer to home? ...we need to discover a common middle ground in which all of these things, from the city to the wilderness, can somehow be encompassed in the word “home.”  Home, after all, is the place where finally we make our living.  It is the place for which we take responsibility, the place we try to sustain so we can pass on what is best in it (and in ourselves) to our children.</w:t>
      </w:r>
      <w:r w:rsidR="00F904BA" w:rsidRPr="00355AA2">
        <w:rPr>
          <w:sz w:val="24"/>
          <w:szCs w:val="24"/>
        </w:rPr>
        <w:t xml:space="preserve"> </w:t>
      </w:r>
      <w:r w:rsidR="00F904BA" w:rsidRPr="004B29FF">
        <w:rPr>
          <w:sz w:val="24"/>
          <w:szCs w:val="24"/>
        </w:rPr>
        <w:t>William Cronon</w:t>
      </w:r>
      <w:r w:rsidR="007D7160" w:rsidRPr="004B29FF">
        <w:rPr>
          <w:sz w:val="24"/>
          <w:szCs w:val="24"/>
        </w:rPr>
        <w:t xml:space="preserve">, “The Trouble </w:t>
      </w:r>
      <w:proofErr w:type="gramStart"/>
      <w:r w:rsidR="007D7160" w:rsidRPr="004B29FF">
        <w:rPr>
          <w:sz w:val="24"/>
          <w:szCs w:val="24"/>
        </w:rPr>
        <w:t>With</w:t>
      </w:r>
      <w:proofErr w:type="gramEnd"/>
      <w:r w:rsidR="007D7160" w:rsidRPr="004B29FF">
        <w:rPr>
          <w:sz w:val="24"/>
          <w:szCs w:val="24"/>
        </w:rPr>
        <w:t xml:space="preserve"> Wilderness”</w:t>
      </w:r>
      <w:r w:rsidRPr="00A06000">
        <w:rPr>
          <w:rStyle w:val="FootnoteReference"/>
        </w:rPr>
        <w:footnoteReference w:id="1"/>
      </w:r>
    </w:p>
    <w:p w:rsidR="00B067A7" w:rsidRPr="004B29FF" w:rsidRDefault="006B0BC3" w:rsidP="00676D4A">
      <w:pPr>
        <w:pStyle w:val="blockquote"/>
        <w:ind w:firstLine="0"/>
        <w:rPr>
          <w:i/>
          <w:sz w:val="24"/>
          <w:szCs w:val="24"/>
        </w:rPr>
      </w:pPr>
      <w:r w:rsidRPr="004B29FF">
        <w:rPr>
          <w:i/>
          <w:sz w:val="24"/>
          <w:szCs w:val="24"/>
        </w:rPr>
        <w:t>[T]he point is that all green actions in the home have a public impact, in the specific sense of the creation of an ecological footprint.  This, in turn, potentially generates the kinds of obligations I have said we should associate with ecological citizenship.</w:t>
      </w:r>
      <w:r w:rsidR="00F904BA" w:rsidRPr="004B29FF">
        <w:rPr>
          <w:i/>
          <w:sz w:val="24"/>
          <w:szCs w:val="24"/>
        </w:rPr>
        <w:t xml:space="preserve"> </w:t>
      </w:r>
      <w:r w:rsidR="00F904BA" w:rsidRPr="004B29FF">
        <w:rPr>
          <w:sz w:val="24"/>
          <w:szCs w:val="24"/>
        </w:rPr>
        <w:t>Andrew Dobson</w:t>
      </w:r>
      <w:r w:rsidR="007D7160" w:rsidRPr="004B29FF">
        <w:rPr>
          <w:sz w:val="24"/>
          <w:szCs w:val="24"/>
        </w:rPr>
        <w:t xml:space="preserve">, </w:t>
      </w:r>
      <w:r w:rsidR="007D7160" w:rsidRPr="00067165">
        <w:rPr>
          <w:i/>
          <w:sz w:val="24"/>
          <w:szCs w:val="24"/>
        </w:rPr>
        <w:t>Citizenship and the Environment</w:t>
      </w:r>
      <w:r w:rsidRPr="00A06000">
        <w:rPr>
          <w:rStyle w:val="FootnoteReference"/>
        </w:rPr>
        <w:footnoteReference w:id="2"/>
      </w:r>
    </w:p>
    <w:p w:rsidR="00880FD2" w:rsidRDefault="00063525" w:rsidP="00676D4A">
      <w:pPr>
        <w:pStyle w:val="blockquote"/>
        <w:ind w:firstLine="0"/>
      </w:pPr>
      <w:r w:rsidRPr="004B29FF">
        <w:rPr>
          <w:i/>
          <w:sz w:val="24"/>
          <w:szCs w:val="24"/>
        </w:rPr>
        <w:t>“</w:t>
      </w:r>
      <w:r w:rsidR="00880FD2" w:rsidRPr="004B29FF">
        <w:rPr>
          <w:i/>
          <w:sz w:val="24"/>
          <w:szCs w:val="24"/>
        </w:rPr>
        <w:t xml:space="preserve">We become fighters when something threatens our home.” </w:t>
      </w:r>
      <w:r w:rsidR="00880FD2" w:rsidRPr="004B29FF">
        <w:rPr>
          <w:sz w:val="24"/>
          <w:szCs w:val="24"/>
        </w:rPr>
        <w:t>Cora Tucker</w:t>
      </w:r>
      <w:r w:rsidR="00902399" w:rsidRPr="004B29FF">
        <w:rPr>
          <w:sz w:val="24"/>
          <w:szCs w:val="24"/>
        </w:rPr>
        <w:t xml:space="preserve">, Environmental Justice </w:t>
      </w:r>
      <w:r w:rsidR="0038486A" w:rsidRPr="004B29FF">
        <w:rPr>
          <w:sz w:val="24"/>
          <w:szCs w:val="24"/>
        </w:rPr>
        <w:t>leader</w:t>
      </w:r>
      <w:r w:rsidR="00902399" w:rsidRPr="004B29FF">
        <w:rPr>
          <w:rStyle w:val="FootnoteReference"/>
        </w:rPr>
        <w:t xml:space="preserve"> </w:t>
      </w:r>
      <w:r w:rsidR="00880FD2" w:rsidRPr="00A06000">
        <w:rPr>
          <w:rStyle w:val="FootnoteReference"/>
        </w:rPr>
        <w:footnoteReference w:id="3"/>
      </w:r>
    </w:p>
    <w:p w:rsidR="008A61D1" w:rsidRDefault="00F904BA" w:rsidP="00A13285">
      <w:pPr>
        <w:spacing w:after="120" w:line="240" w:lineRule="auto"/>
        <w:rPr>
          <w:sz w:val="24"/>
          <w:szCs w:val="24"/>
        </w:rPr>
      </w:pPr>
      <w:r w:rsidRPr="00355AA2">
        <w:rPr>
          <w:sz w:val="24"/>
          <w:szCs w:val="24"/>
        </w:rPr>
        <w:t>As the</w:t>
      </w:r>
      <w:r w:rsidR="00063525" w:rsidRPr="00355AA2">
        <w:rPr>
          <w:sz w:val="24"/>
          <w:szCs w:val="24"/>
        </w:rPr>
        <w:t>se epigraphs</w:t>
      </w:r>
      <w:r w:rsidRPr="00355AA2">
        <w:rPr>
          <w:sz w:val="24"/>
          <w:szCs w:val="24"/>
        </w:rPr>
        <w:t xml:space="preserve"> indicate, “home” has become a normatively </w:t>
      </w:r>
      <w:r w:rsidR="004B50AA" w:rsidRPr="00355AA2">
        <w:rPr>
          <w:sz w:val="24"/>
          <w:szCs w:val="24"/>
        </w:rPr>
        <w:t>appealing</w:t>
      </w:r>
      <w:r w:rsidRPr="00355AA2">
        <w:rPr>
          <w:sz w:val="24"/>
          <w:szCs w:val="24"/>
        </w:rPr>
        <w:t xml:space="preserve"> foundation for environmental arguments in </w:t>
      </w:r>
      <w:r w:rsidR="00902399">
        <w:rPr>
          <w:sz w:val="24"/>
          <w:szCs w:val="24"/>
        </w:rPr>
        <w:t>the past couple decades</w:t>
      </w:r>
      <w:r w:rsidRPr="00355AA2">
        <w:rPr>
          <w:sz w:val="24"/>
          <w:szCs w:val="24"/>
        </w:rPr>
        <w:t xml:space="preserve">.  </w:t>
      </w:r>
      <w:r w:rsidR="00971E7D" w:rsidRPr="00355AA2">
        <w:rPr>
          <w:sz w:val="24"/>
          <w:szCs w:val="24"/>
        </w:rPr>
        <w:t>Indeed, as many have noted, the etymology of “</w:t>
      </w:r>
      <w:r w:rsidR="00B5527D" w:rsidRPr="00355AA2">
        <w:rPr>
          <w:sz w:val="24"/>
          <w:szCs w:val="24"/>
        </w:rPr>
        <w:t>ecology” conne</w:t>
      </w:r>
      <w:r w:rsidR="004B50AA" w:rsidRPr="00355AA2">
        <w:rPr>
          <w:sz w:val="24"/>
          <w:szCs w:val="24"/>
        </w:rPr>
        <w:t>ct</w:t>
      </w:r>
      <w:r w:rsidR="00B5527D" w:rsidRPr="00355AA2">
        <w:rPr>
          <w:sz w:val="24"/>
          <w:szCs w:val="24"/>
        </w:rPr>
        <w:t>s</w:t>
      </w:r>
      <w:r w:rsidR="004B50AA" w:rsidRPr="00355AA2">
        <w:rPr>
          <w:sz w:val="24"/>
          <w:szCs w:val="24"/>
        </w:rPr>
        <w:t xml:space="preserve"> it with </w:t>
      </w:r>
      <w:r w:rsidR="00971E7D" w:rsidRPr="00355AA2">
        <w:rPr>
          <w:sz w:val="24"/>
          <w:szCs w:val="24"/>
        </w:rPr>
        <w:t>the ancient Greek “</w:t>
      </w:r>
      <w:proofErr w:type="spellStart"/>
      <w:r w:rsidR="00822199" w:rsidRPr="00355AA2">
        <w:rPr>
          <w:i/>
          <w:iCs/>
          <w:sz w:val="24"/>
          <w:szCs w:val="24"/>
        </w:rPr>
        <w:t>oikos</w:t>
      </w:r>
      <w:proofErr w:type="spellEnd"/>
      <w:r w:rsidR="00971E7D" w:rsidRPr="00355AA2">
        <w:rPr>
          <w:sz w:val="24"/>
          <w:szCs w:val="24"/>
        </w:rPr>
        <w:t>,” the home or household.</w:t>
      </w:r>
      <w:r w:rsidR="004B50AA" w:rsidRPr="00A06000">
        <w:rPr>
          <w:rStyle w:val="FootnoteReference"/>
        </w:rPr>
        <w:footnoteReference w:id="4"/>
      </w:r>
      <w:r w:rsidR="00971E7D" w:rsidRPr="00355AA2">
        <w:rPr>
          <w:sz w:val="24"/>
          <w:szCs w:val="24"/>
        </w:rPr>
        <w:t xml:space="preserve">  Yet a</w:t>
      </w:r>
      <w:r w:rsidRPr="00355AA2">
        <w:rPr>
          <w:sz w:val="24"/>
          <w:szCs w:val="24"/>
        </w:rPr>
        <w:t xml:space="preserve">s </w:t>
      </w:r>
      <w:r w:rsidR="00D9667B" w:rsidRPr="00355AA2">
        <w:rPr>
          <w:sz w:val="24"/>
          <w:szCs w:val="24"/>
        </w:rPr>
        <w:t xml:space="preserve">the context of </w:t>
      </w:r>
      <w:r w:rsidRPr="00355AA2">
        <w:rPr>
          <w:sz w:val="24"/>
          <w:szCs w:val="24"/>
        </w:rPr>
        <w:t>each of the</w:t>
      </w:r>
      <w:r w:rsidR="00971E7D" w:rsidRPr="00355AA2">
        <w:rPr>
          <w:sz w:val="24"/>
          <w:szCs w:val="24"/>
        </w:rPr>
        <w:t xml:space="preserve"> quotations</w:t>
      </w:r>
      <w:r w:rsidRPr="00355AA2">
        <w:rPr>
          <w:sz w:val="24"/>
          <w:szCs w:val="24"/>
        </w:rPr>
        <w:t xml:space="preserve"> suggests, home </w:t>
      </w:r>
      <w:r w:rsidR="00067165">
        <w:rPr>
          <w:sz w:val="24"/>
          <w:szCs w:val="24"/>
        </w:rPr>
        <w:t>also</w:t>
      </w:r>
      <w:r w:rsidR="00674FDA">
        <w:rPr>
          <w:sz w:val="24"/>
          <w:szCs w:val="24"/>
        </w:rPr>
        <w:t xml:space="preserve"> stand</w:t>
      </w:r>
      <w:r w:rsidR="00067165">
        <w:rPr>
          <w:sz w:val="24"/>
          <w:szCs w:val="24"/>
        </w:rPr>
        <w:t>s</w:t>
      </w:r>
      <w:r w:rsidRPr="00355AA2">
        <w:rPr>
          <w:sz w:val="24"/>
          <w:szCs w:val="24"/>
        </w:rPr>
        <w:t xml:space="preserve"> in contrast to </w:t>
      </w:r>
      <w:r w:rsidR="00C63AED">
        <w:rPr>
          <w:sz w:val="24"/>
          <w:szCs w:val="24"/>
        </w:rPr>
        <w:t xml:space="preserve">other </w:t>
      </w:r>
      <w:r w:rsidRPr="00355AA2">
        <w:rPr>
          <w:sz w:val="24"/>
          <w:szCs w:val="24"/>
        </w:rPr>
        <w:t xml:space="preserve">more </w:t>
      </w:r>
      <w:r w:rsidR="00D9667B" w:rsidRPr="00355AA2">
        <w:rPr>
          <w:sz w:val="24"/>
          <w:szCs w:val="24"/>
        </w:rPr>
        <w:t>conventional</w:t>
      </w:r>
      <w:r w:rsidRPr="00355AA2">
        <w:rPr>
          <w:sz w:val="24"/>
          <w:szCs w:val="24"/>
        </w:rPr>
        <w:t xml:space="preserve"> ways of conceptualizing </w:t>
      </w:r>
      <w:r w:rsidR="00971E7D" w:rsidRPr="00355AA2">
        <w:rPr>
          <w:sz w:val="24"/>
          <w:szCs w:val="24"/>
        </w:rPr>
        <w:t>ecological</w:t>
      </w:r>
      <w:r w:rsidRPr="00355AA2">
        <w:rPr>
          <w:sz w:val="24"/>
          <w:szCs w:val="24"/>
        </w:rPr>
        <w:t xml:space="preserve"> concern</w:t>
      </w:r>
      <w:r w:rsidR="00C63AED">
        <w:rPr>
          <w:sz w:val="24"/>
          <w:szCs w:val="24"/>
        </w:rPr>
        <w:t xml:space="preserve"> and action</w:t>
      </w:r>
      <w:r w:rsidRPr="00355AA2">
        <w:rPr>
          <w:sz w:val="24"/>
          <w:szCs w:val="24"/>
        </w:rPr>
        <w:t xml:space="preserve">.  For Cronon, it is a contrast to the “trouble” with “wilderness,” conceptualized as </w:t>
      </w:r>
      <w:r w:rsidR="00B5527D" w:rsidRPr="00355AA2">
        <w:rPr>
          <w:sz w:val="24"/>
          <w:szCs w:val="24"/>
        </w:rPr>
        <w:t xml:space="preserve">a </w:t>
      </w:r>
      <w:r w:rsidRPr="00355AA2">
        <w:rPr>
          <w:sz w:val="24"/>
          <w:szCs w:val="24"/>
        </w:rPr>
        <w:t xml:space="preserve">place distant – both conceptually and spatially – from </w:t>
      </w:r>
      <w:r w:rsidR="00455720" w:rsidRPr="00355AA2">
        <w:rPr>
          <w:sz w:val="24"/>
          <w:szCs w:val="24"/>
        </w:rPr>
        <w:t>where we live</w:t>
      </w:r>
      <w:r w:rsidRPr="00355AA2">
        <w:rPr>
          <w:sz w:val="24"/>
          <w:szCs w:val="24"/>
        </w:rPr>
        <w:t xml:space="preserve">.  For Dobson, </w:t>
      </w:r>
      <w:r w:rsidR="00B5527D" w:rsidRPr="00355AA2">
        <w:rPr>
          <w:sz w:val="24"/>
          <w:szCs w:val="24"/>
        </w:rPr>
        <w:t>argu</w:t>
      </w:r>
      <w:r w:rsidR="002242F6" w:rsidRPr="00355AA2">
        <w:rPr>
          <w:sz w:val="24"/>
          <w:szCs w:val="24"/>
        </w:rPr>
        <w:t>ing</w:t>
      </w:r>
      <w:r w:rsidR="009D57EF" w:rsidRPr="00355AA2">
        <w:rPr>
          <w:sz w:val="24"/>
          <w:szCs w:val="24"/>
        </w:rPr>
        <w:t xml:space="preserve"> that the obligations of citizenship begin at home is at odds with </w:t>
      </w:r>
      <w:r w:rsidR="00E055ED">
        <w:rPr>
          <w:sz w:val="24"/>
          <w:szCs w:val="24"/>
        </w:rPr>
        <w:t>dominant</w:t>
      </w:r>
      <w:r w:rsidR="0038486A">
        <w:rPr>
          <w:sz w:val="24"/>
          <w:szCs w:val="24"/>
        </w:rPr>
        <w:t xml:space="preserve"> </w:t>
      </w:r>
      <w:r w:rsidR="00110186">
        <w:rPr>
          <w:sz w:val="24"/>
          <w:szCs w:val="24"/>
        </w:rPr>
        <w:t>conceptions</w:t>
      </w:r>
      <w:r w:rsidR="009D57EF" w:rsidRPr="00355AA2">
        <w:rPr>
          <w:sz w:val="24"/>
          <w:szCs w:val="24"/>
        </w:rPr>
        <w:t xml:space="preserve"> of citizenship as action circumscribed within the public sphere.  </w:t>
      </w:r>
      <w:r w:rsidR="007D459B">
        <w:rPr>
          <w:sz w:val="24"/>
          <w:szCs w:val="24"/>
        </w:rPr>
        <w:t>F</w:t>
      </w:r>
      <w:r w:rsidR="009D57EF" w:rsidRPr="00355AA2">
        <w:rPr>
          <w:sz w:val="24"/>
          <w:szCs w:val="24"/>
        </w:rPr>
        <w:t xml:space="preserve">or Tucker, </w:t>
      </w:r>
      <w:r w:rsidR="00DB39FF">
        <w:rPr>
          <w:sz w:val="24"/>
          <w:szCs w:val="24"/>
        </w:rPr>
        <w:t>organizing</w:t>
      </w:r>
      <w:r w:rsidR="009D57EF" w:rsidRPr="00355AA2">
        <w:rPr>
          <w:sz w:val="24"/>
          <w:szCs w:val="24"/>
        </w:rPr>
        <w:t xml:space="preserve"> motivated by</w:t>
      </w:r>
      <w:r w:rsidR="00455720" w:rsidRPr="00355AA2">
        <w:rPr>
          <w:sz w:val="24"/>
          <w:szCs w:val="24"/>
        </w:rPr>
        <w:t xml:space="preserve"> threats to </w:t>
      </w:r>
      <w:r w:rsidR="001E57AA" w:rsidRPr="00355AA2">
        <w:rPr>
          <w:sz w:val="24"/>
          <w:szCs w:val="24"/>
        </w:rPr>
        <w:t>home –</w:t>
      </w:r>
      <w:r w:rsidR="008B7BD6" w:rsidRPr="00355AA2">
        <w:rPr>
          <w:sz w:val="24"/>
          <w:szCs w:val="24"/>
        </w:rPr>
        <w:t xml:space="preserve"> </w:t>
      </w:r>
      <w:r w:rsidR="009D57EF" w:rsidRPr="00355AA2">
        <w:rPr>
          <w:sz w:val="24"/>
          <w:szCs w:val="24"/>
        </w:rPr>
        <w:t xml:space="preserve">where we “live, work, and play” – </w:t>
      </w:r>
      <w:r w:rsidRPr="00355AA2">
        <w:rPr>
          <w:sz w:val="24"/>
          <w:szCs w:val="24"/>
        </w:rPr>
        <w:t xml:space="preserve">  </w:t>
      </w:r>
      <w:r w:rsidR="00455720" w:rsidRPr="00355AA2">
        <w:rPr>
          <w:sz w:val="24"/>
          <w:szCs w:val="24"/>
        </w:rPr>
        <w:t>set the environmental justice movement apart</w:t>
      </w:r>
      <w:r w:rsidR="00785C22" w:rsidRPr="00355AA2">
        <w:rPr>
          <w:sz w:val="24"/>
          <w:szCs w:val="24"/>
        </w:rPr>
        <w:t>,</w:t>
      </w:r>
      <w:r w:rsidR="00455720" w:rsidRPr="00355AA2">
        <w:rPr>
          <w:sz w:val="24"/>
          <w:szCs w:val="24"/>
        </w:rPr>
        <w:t xml:space="preserve"> </w:t>
      </w:r>
      <w:r w:rsidR="00785C22" w:rsidRPr="00355AA2">
        <w:rPr>
          <w:sz w:val="24"/>
          <w:szCs w:val="24"/>
        </w:rPr>
        <w:t xml:space="preserve">in both style and substance, </w:t>
      </w:r>
      <w:r w:rsidR="00455720" w:rsidRPr="00355AA2">
        <w:rPr>
          <w:sz w:val="24"/>
          <w:szCs w:val="24"/>
        </w:rPr>
        <w:t>from other manifestations of environmental activism</w:t>
      </w:r>
      <w:r w:rsidR="001E57AA" w:rsidRPr="00355AA2">
        <w:rPr>
          <w:sz w:val="24"/>
          <w:szCs w:val="24"/>
        </w:rPr>
        <w:t xml:space="preserve">.  </w:t>
      </w:r>
    </w:p>
    <w:p w:rsidR="00D769D0" w:rsidRDefault="00CF4686" w:rsidP="00A13285">
      <w:pPr>
        <w:spacing w:after="120" w:line="240" w:lineRule="auto"/>
        <w:rPr>
          <w:sz w:val="24"/>
          <w:szCs w:val="24"/>
        </w:rPr>
      </w:pPr>
      <w:r>
        <w:rPr>
          <w:sz w:val="24"/>
          <w:szCs w:val="24"/>
        </w:rPr>
        <w:t>I applaud this emergent recognition of home</w:t>
      </w:r>
      <w:r w:rsidR="00DB55A3">
        <w:rPr>
          <w:sz w:val="24"/>
          <w:szCs w:val="24"/>
        </w:rPr>
        <w:t xml:space="preserve"> and household</w:t>
      </w:r>
      <w:r>
        <w:rPr>
          <w:sz w:val="24"/>
          <w:szCs w:val="24"/>
        </w:rPr>
        <w:t xml:space="preserve"> as an integral concern that environmental critics must engage</w:t>
      </w:r>
      <w:r w:rsidR="00C63AED">
        <w:rPr>
          <w:sz w:val="24"/>
          <w:szCs w:val="24"/>
        </w:rPr>
        <w:t xml:space="preserve">, </w:t>
      </w:r>
      <w:r w:rsidR="00A53D6B">
        <w:rPr>
          <w:sz w:val="24"/>
          <w:szCs w:val="24"/>
        </w:rPr>
        <w:t>since</w:t>
      </w:r>
      <w:r w:rsidR="00C63AED">
        <w:rPr>
          <w:sz w:val="24"/>
          <w:szCs w:val="24"/>
        </w:rPr>
        <w:t xml:space="preserve"> </w:t>
      </w:r>
      <w:r w:rsidR="00DB55A3">
        <w:rPr>
          <w:sz w:val="24"/>
          <w:szCs w:val="24"/>
        </w:rPr>
        <w:t>this</w:t>
      </w:r>
      <w:r w:rsidR="00C63AED">
        <w:rPr>
          <w:sz w:val="24"/>
          <w:szCs w:val="24"/>
        </w:rPr>
        <w:t xml:space="preserve"> is </w:t>
      </w:r>
      <w:r w:rsidR="00FB307D">
        <w:rPr>
          <w:sz w:val="24"/>
          <w:szCs w:val="24"/>
        </w:rPr>
        <w:t xml:space="preserve">perhaps </w:t>
      </w:r>
      <w:r w:rsidR="00C63AED">
        <w:rPr>
          <w:sz w:val="24"/>
          <w:szCs w:val="24"/>
        </w:rPr>
        <w:t>the</w:t>
      </w:r>
      <w:r w:rsidR="00FB307D">
        <w:rPr>
          <w:sz w:val="24"/>
          <w:szCs w:val="24"/>
        </w:rPr>
        <w:t xml:space="preserve"> premier</w:t>
      </w:r>
      <w:r w:rsidR="00C63AED">
        <w:rPr>
          <w:sz w:val="24"/>
          <w:szCs w:val="24"/>
        </w:rPr>
        <w:t xml:space="preserve"> location of material pra</w:t>
      </w:r>
      <w:r w:rsidR="00540399">
        <w:rPr>
          <w:sz w:val="24"/>
          <w:szCs w:val="24"/>
        </w:rPr>
        <w:t>ctices central to everyday life.</w:t>
      </w:r>
      <w:r w:rsidR="00C63AED">
        <w:rPr>
          <w:sz w:val="24"/>
          <w:szCs w:val="24"/>
        </w:rPr>
        <w:t xml:space="preserve"> </w:t>
      </w:r>
      <w:r w:rsidR="00A53D6B">
        <w:rPr>
          <w:sz w:val="24"/>
          <w:szCs w:val="24"/>
        </w:rPr>
        <w:t xml:space="preserve">In postindustrial societies, </w:t>
      </w:r>
      <w:r w:rsidR="00D769D0">
        <w:rPr>
          <w:sz w:val="24"/>
          <w:szCs w:val="24"/>
        </w:rPr>
        <w:t xml:space="preserve">one study has recently noted, </w:t>
      </w:r>
    </w:p>
    <w:p w:rsidR="00D769D0" w:rsidRDefault="00D769D0" w:rsidP="00A13285">
      <w:pPr>
        <w:pStyle w:val="blockquote"/>
        <w:spacing w:before="0"/>
        <w:ind w:firstLine="0"/>
        <w:rPr>
          <w:sz w:val="24"/>
          <w:szCs w:val="24"/>
        </w:rPr>
      </w:pPr>
      <w:r w:rsidRPr="00B8018F">
        <w:rPr>
          <w:sz w:val="24"/>
          <w:szCs w:val="24"/>
        </w:rPr>
        <w:t>Households serve as a reservoir into which resources are sunk, as a center where purchasing d</w:t>
      </w:r>
      <w:r w:rsidR="00A53D6B">
        <w:rPr>
          <w:sz w:val="24"/>
          <w:szCs w:val="24"/>
        </w:rPr>
        <w:t>ecisions are made, as a nexus fo</w:t>
      </w:r>
      <w:r w:rsidRPr="00B8018F">
        <w:rPr>
          <w:sz w:val="24"/>
          <w:szCs w:val="24"/>
        </w:rPr>
        <w:t xml:space="preserve">r energy used in transportation and heating… The typical infrastructure associated with houses sucks in resources </w:t>
      </w:r>
      <w:r w:rsidRPr="00B8018F">
        <w:rPr>
          <w:sz w:val="24"/>
          <w:szCs w:val="24"/>
        </w:rPr>
        <w:lastRenderedPageBreak/>
        <w:t>through roads, water lines, gas lines, power lines, internet cables, and phone lines.  Homes also come equipped with the means to excrete wastes, through sewer systems and trash-collection networks.  This system makes households the nexus for resource consumption.</w:t>
      </w:r>
      <w:r w:rsidRPr="00B8018F">
        <w:rPr>
          <w:rStyle w:val="FootnoteReference"/>
          <w:sz w:val="24"/>
          <w:szCs w:val="24"/>
        </w:rPr>
        <w:footnoteReference w:id="5"/>
      </w:r>
    </w:p>
    <w:p w:rsidR="008A61D1" w:rsidRDefault="00582354" w:rsidP="00A13285">
      <w:pPr>
        <w:spacing w:after="120" w:line="240" w:lineRule="auto"/>
        <w:ind w:firstLine="0"/>
        <w:rPr>
          <w:sz w:val="24"/>
          <w:szCs w:val="24"/>
        </w:rPr>
      </w:pPr>
      <w:r>
        <w:rPr>
          <w:sz w:val="24"/>
          <w:szCs w:val="24"/>
        </w:rPr>
        <w:t>T</w:t>
      </w:r>
      <w:r w:rsidR="00713201" w:rsidRPr="00713201">
        <w:rPr>
          <w:sz w:val="24"/>
          <w:szCs w:val="24"/>
        </w:rPr>
        <w:t>he number of such househ</w:t>
      </w:r>
      <w:r w:rsidR="00B732DE">
        <w:rPr>
          <w:sz w:val="24"/>
          <w:szCs w:val="24"/>
        </w:rPr>
        <w:t xml:space="preserve">olds is </w:t>
      </w:r>
      <w:r>
        <w:rPr>
          <w:sz w:val="24"/>
          <w:szCs w:val="24"/>
        </w:rPr>
        <w:t xml:space="preserve">also </w:t>
      </w:r>
      <w:r w:rsidR="00B732DE">
        <w:rPr>
          <w:sz w:val="24"/>
          <w:szCs w:val="24"/>
        </w:rPr>
        <w:t>on the rise – independent of population growth – due to declines in the average number of people per household.</w:t>
      </w:r>
      <w:r w:rsidR="00B732DE">
        <w:rPr>
          <w:rStyle w:val="FootnoteReference"/>
          <w:sz w:val="24"/>
          <w:szCs w:val="24"/>
        </w:rPr>
        <w:footnoteReference w:id="6"/>
      </w:r>
      <w:r w:rsidR="008A61D1">
        <w:rPr>
          <w:sz w:val="24"/>
          <w:szCs w:val="24"/>
        </w:rPr>
        <w:t xml:space="preserve"> </w:t>
      </w:r>
    </w:p>
    <w:p w:rsidR="00B8018F" w:rsidRPr="00713201" w:rsidRDefault="008A61D1" w:rsidP="00A13285">
      <w:pPr>
        <w:spacing w:after="120" w:line="240" w:lineRule="auto"/>
        <w:rPr>
          <w:sz w:val="24"/>
          <w:szCs w:val="24"/>
        </w:rPr>
      </w:pPr>
      <w:r>
        <w:rPr>
          <w:sz w:val="24"/>
          <w:szCs w:val="24"/>
        </w:rPr>
        <w:t>The</w:t>
      </w:r>
      <w:r w:rsidR="00E14768">
        <w:rPr>
          <w:sz w:val="24"/>
          <w:szCs w:val="24"/>
        </w:rPr>
        <w:t xml:space="preserve"> centrality of home and household to environmental concern is reflected in </w:t>
      </w:r>
      <w:r w:rsidR="00540399">
        <w:rPr>
          <w:sz w:val="24"/>
          <w:szCs w:val="24"/>
        </w:rPr>
        <w:t xml:space="preserve">other broad </w:t>
      </w:r>
      <w:r w:rsidR="00E14768">
        <w:rPr>
          <w:sz w:val="24"/>
          <w:szCs w:val="24"/>
        </w:rPr>
        <w:t>cultural trends</w:t>
      </w:r>
      <w:r>
        <w:rPr>
          <w:sz w:val="24"/>
          <w:szCs w:val="24"/>
        </w:rPr>
        <w:t xml:space="preserve">.  </w:t>
      </w:r>
      <w:r w:rsidRPr="00DB55A3">
        <w:rPr>
          <w:sz w:val="24"/>
          <w:szCs w:val="24"/>
        </w:rPr>
        <w:t xml:space="preserve">Indeed it seems fair to say, with </w:t>
      </w:r>
      <w:proofErr w:type="spellStart"/>
      <w:r w:rsidRPr="00DB55A3">
        <w:rPr>
          <w:sz w:val="24"/>
          <w:szCs w:val="24"/>
        </w:rPr>
        <w:t>Kersty</w:t>
      </w:r>
      <w:proofErr w:type="spellEnd"/>
      <w:r w:rsidRPr="00DB55A3">
        <w:rPr>
          <w:sz w:val="24"/>
          <w:szCs w:val="24"/>
        </w:rPr>
        <w:t xml:space="preserve"> Hobson, that "there is now a general tendency of individuals in countries such as the United Kingdom to demarcate the home as the main space where pro-environmental action takes place.”</w:t>
      </w:r>
      <w:r w:rsidRPr="00DB55A3">
        <w:rPr>
          <w:sz w:val="24"/>
          <w:szCs w:val="24"/>
          <w:vertAlign w:val="superscript"/>
        </w:rPr>
        <w:footnoteReference w:id="7"/>
      </w:r>
      <w:r w:rsidRPr="00DB55A3">
        <w:rPr>
          <w:sz w:val="24"/>
          <w:szCs w:val="24"/>
        </w:rPr>
        <w:t xml:space="preserve">  </w:t>
      </w:r>
      <w:r>
        <w:rPr>
          <w:sz w:val="24"/>
          <w:szCs w:val="24"/>
        </w:rPr>
        <w:t>Yet identifying the home as “the main space” for “pro-environmental action” invites crucial questions about what sorts of action are included and excluded here, as well as questions about the broader implications of situating action here.</w:t>
      </w:r>
    </w:p>
    <w:p w:rsidR="00DB55A3" w:rsidRDefault="00BF1E7F" w:rsidP="00A13285">
      <w:pPr>
        <w:spacing w:after="120" w:line="240" w:lineRule="auto"/>
        <w:rPr>
          <w:sz w:val="24"/>
          <w:szCs w:val="24"/>
        </w:rPr>
      </w:pPr>
      <w:r>
        <w:rPr>
          <w:sz w:val="24"/>
          <w:szCs w:val="24"/>
        </w:rPr>
        <w:t>One of</w:t>
      </w:r>
      <w:r w:rsidR="009C41B4">
        <w:rPr>
          <w:sz w:val="24"/>
          <w:szCs w:val="24"/>
        </w:rPr>
        <w:t xml:space="preserve"> the most familiar response</w:t>
      </w:r>
      <w:r>
        <w:rPr>
          <w:sz w:val="24"/>
          <w:szCs w:val="24"/>
        </w:rPr>
        <w:t>s</w:t>
      </w:r>
      <w:r w:rsidR="009C41B4">
        <w:rPr>
          <w:sz w:val="24"/>
          <w:szCs w:val="24"/>
        </w:rPr>
        <w:t xml:space="preserve"> to this </w:t>
      </w:r>
      <w:r w:rsidR="00485877">
        <w:rPr>
          <w:sz w:val="24"/>
          <w:szCs w:val="24"/>
        </w:rPr>
        <w:t xml:space="preserve">newfound </w:t>
      </w:r>
      <w:r w:rsidR="009C41B4">
        <w:rPr>
          <w:sz w:val="24"/>
          <w:szCs w:val="24"/>
        </w:rPr>
        <w:t xml:space="preserve">attention has been the rise of </w:t>
      </w:r>
      <w:r w:rsidR="009C41B4" w:rsidRPr="00DB55A3">
        <w:rPr>
          <w:sz w:val="24"/>
          <w:szCs w:val="24"/>
        </w:rPr>
        <w:t>“ethical-” or “green-</w:t>
      </w:r>
      <w:r w:rsidR="009C41B4">
        <w:rPr>
          <w:sz w:val="24"/>
          <w:szCs w:val="24"/>
        </w:rPr>
        <w:t>consumerism.</w:t>
      </w:r>
      <w:r w:rsidR="009C41B4" w:rsidRPr="00DB55A3">
        <w:rPr>
          <w:sz w:val="24"/>
          <w:szCs w:val="24"/>
        </w:rPr>
        <w:t xml:space="preserve">”  </w:t>
      </w:r>
      <w:r w:rsidR="009C41B4">
        <w:rPr>
          <w:sz w:val="24"/>
          <w:szCs w:val="24"/>
        </w:rPr>
        <w:t xml:space="preserve">Here, we find a </w:t>
      </w:r>
      <w:r w:rsidR="00DB55A3" w:rsidRPr="00DB55A3">
        <w:rPr>
          <w:sz w:val="24"/>
          <w:szCs w:val="24"/>
        </w:rPr>
        <w:t xml:space="preserve">diverse and growing array of products, services, and practices – as well as </w:t>
      </w:r>
      <w:r w:rsidR="005F4DC4">
        <w:rPr>
          <w:sz w:val="24"/>
          <w:szCs w:val="24"/>
        </w:rPr>
        <w:t xml:space="preserve">advice and examples on </w:t>
      </w:r>
      <w:r w:rsidR="00DB55A3" w:rsidRPr="00DB55A3">
        <w:rPr>
          <w:sz w:val="24"/>
          <w:szCs w:val="24"/>
        </w:rPr>
        <w:t>websites, blogs, magazines, and books –</w:t>
      </w:r>
      <w:r w:rsidR="009C41B4">
        <w:rPr>
          <w:sz w:val="24"/>
          <w:szCs w:val="24"/>
        </w:rPr>
        <w:t xml:space="preserve"> that</w:t>
      </w:r>
      <w:r w:rsidR="00DB55A3" w:rsidRPr="00DB55A3">
        <w:rPr>
          <w:sz w:val="24"/>
          <w:szCs w:val="24"/>
        </w:rPr>
        <w:t xml:space="preserve"> have emerged in a proclaimed effort to make homes, houses, and household activities more environmentally </w:t>
      </w:r>
      <w:r w:rsidR="000E6582">
        <w:rPr>
          <w:sz w:val="24"/>
          <w:szCs w:val="24"/>
        </w:rPr>
        <w:t>responsible</w:t>
      </w:r>
      <w:r w:rsidR="00DB55A3" w:rsidRPr="00DB55A3">
        <w:rPr>
          <w:sz w:val="24"/>
          <w:szCs w:val="24"/>
        </w:rPr>
        <w:t>.  No doubt familiar to most readers, exampl</w:t>
      </w:r>
      <w:r w:rsidR="005F4DC4">
        <w:rPr>
          <w:sz w:val="24"/>
          <w:szCs w:val="24"/>
        </w:rPr>
        <w:t>es</w:t>
      </w:r>
      <w:r w:rsidR="00DB55A3" w:rsidRPr="00DB55A3">
        <w:rPr>
          <w:sz w:val="24"/>
          <w:szCs w:val="24"/>
        </w:rPr>
        <w:t xml:space="preserve"> include lower-impact building materials and design, solar panels and waste reduction practices, recycled products, non-toxic household cleaners, energy efficient appliances, local and organic foods, reusable bags and bottles.  </w:t>
      </w:r>
    </w:p>
    <w:p w:rsidR="004F6CD3" w:rsidRDefault="008E5756" w:rsidP="00A13285">
      <w:pPr>
        <w:spacing w:after="120" w:line="240" w:lineRule="auto"/>
        <w:rPr>
          <w:sz w:val="24"/>
          <w:szCs w:val="24"/>
        </w:rPr>
      </w:pPr>
      <w:r>
        <w:rPr>
          <w:sz w:val="24"/>
          <w:szCs w:val="24"/>
        </w:rPr>
        <w:t>Many</w:t>
      </w:r>
      <w:r w:rsidR="00540399">
        <w:rPr>
          <w:sz w:val="24"/>
          <w:szCs w:val="24"/>
        </w:rPr>
        <w:t xml:space="preserve"> </w:t>
      </w:r>
      <w:r w:rsidR="00172CB0">
        <w:rPr>
          <w:sz w:val="24"/>
          <w:szCs w:val="24"/>
        </w:rPr>
        <w:t>have rightly charged that</w:t>
      </w:r>
      <w:r w:rsidR="005F4DC4">
        <w:rPr>
          <w:sz w:val="24"/>
          <w:szCs w:val="24"/>
        </w:rPr>
        <w:t xml:space="preserve"> </w:t>
      </w:r>
      <w:r w:rsidR="00172CB0">
        <w:rPr>
          <w:sz w:val="24"/>
          <w:szCs w:val="24"/>
        </w:rPr>
        <w:t>such a</w:t>
      </w:r>
      <w:r w:rsidR="00540399">
        <w:rPr>
          <w:sz w:val="24"/>
          <w:szCs w:val="24"/>
        </w:rPr>
        <w:t xml:space="preserve"> consumerist approach </w:t>
      </w:r>
      <w:r w:rsidR="00113510">
        <w:rPr>
          <w:sz w:val="24"/>
          <w:szCs w:val="24"/>
        </w:rPr>
        <w:t>narrows our imagination of feasible alternatives</w:t>
      </w:r>
      <w:r w:rsidR="00134F35">
        <w:rPr>
          <w:sz w:val="24"/>
          <w:szCs w:val="24"/>
        </w:rPr>
        <w:t xml:space="preserve"> by privatizing and individualizing responsibility</w:t>
      </w:r>
      <w:r w:rsidR="00113510">
        <w:rPr>
          <w:sz w:val="24"/>
          <w:szCs w:val="24"/>
        </w:rPr>
        <w:t>.</w:t>
      </w:r>
      <w:r w:rsidR="00540399">
        <w:rPr>
          <w:sz w:val="24"/>
          <w:szCs w:val="24"/>
        </w:rPr>
        <w:t xml:space="preserve">  </w:t>
      </w:r>
      <w:r w:rsidR="00172CB0">
        <w:rPr>
          <w:sz w:val="24"/>
          <w:szCs w:val="24"/>
        </w:rPr>
        <w:t>Some</w:t>
      </w:r>
      <w:r w:rsidR="00134F35">
        <w:rPr>
          <w:sz w:val="24"/>
          <w:szCs w:val="24"/>
        </w:rPr>
        <w:t xml:space="preserve"> also draw attention to the exclusivity and privilege reflected in an approach that </w:t>
      </w:r>
      <w:r w:rsidR="002F00B4">
        <w:rPr>
          <w:sz w:val="24"/>
          <w:szCs w:val="24"/>
        </w:rPr>
        <w:t xml:space="preserve">often depends upon a combination of money, time, </w:t>
      </w:r>
      <w:r w:rsidR="00517251">
        <w:rPr>
          <w:sz w:val="24"/>
          <w:szCs w:val="24"/>
        </w:rPr>
        <w:t xml:space="preserve">access, </w:t>
      </w:r>
      <w:r w:rsidR="002F00B4">
        <w:rPr>
          <w:sz w:val="24"/>
          <w:szCs w:val="24"/>
        </w:rPr>
        <w:t xml:space="preserve">and </w:t>
      </w:r>
      <w:r w:rsidR="00517251">
        <w:rPr>
          <w:sz w:val="24"/>
          <w:szCs w:val="24"/>
        </w:rPr>
        <w:t xml:space="preserve">sometimes </w:t>
      </w:r>
      <w:r w:rsidR="002F00B4">
        <w:rPr>
          <w:sz w:val="24"/>
          <w:szCs w:val="24"/>
        </w:rPr>
        <w:t>specialized knowledge</w:t>
      </w:r>
      <w:r w:rsidR="00517251">
        <w:rPr>
          <w:sz w:val="24"/>
          <w:szCs w:val="24"/>
        </w:rPr>
        <w:t>,</w:t>
      </w:r>
      <w:r w:rsidR="00172CB0">
        <w:rPr>
          <w:sz w:val="24"/>
          <w:szCs w:val="24"/>
        </w:rPr>
        <w:t xml:space="preserve"> for action – a combination most likely possessed by </w:t>
      </w:r>
      <w:r w:rsidR="00807687">
        <w:rPr>
          <w:sz w:val="24"/>
          <w:szCs w:val="24"/>
        </w:rPr>
        <w:t xml:space="preserve">those identified as “post-materialists.” Those seeking an alternative to privatized green consumerism are often drawn to a notion of public citizenship.  </w:t>
      </w:r>
      <w:r w:rsidR="004F6CD3">
        <w:rPr>
          <w:sz w:val="24"/>
          <w:szCs w:val="24"/>
        </w:rPr>
        <w:t>I argue</w:t>
      </w:r>
      <w:r w:rsidR="00D216AA">
        <w:rPr>
          <w:sz w:val="24"/>
          <w:szCs w:val="24"/>
        </w:rPr>
        <w:t xml:space="preserve">, however, that </w:t>
      </w:r>
      <w:r w:rsidR="00517251">
        <w:rPr>
          <w:sz w:val="24"/>
          <w:szCs w:val="24"/>
        </w:rPr>
        <w:t>a</w:t>
      </w:r>
      <w:r w:rsidR="00D216AA">
        <w:rPr>
          <w:sz w:val="24"/>
          <w:szCs w:val="24"/>
        </w:rPr>
        <w:t xml:space="preserve"> </w:t>
      </w:r>
      <w:r w:rsidR="003A66DC">
        <w:rPr>
          <w:sz w:val="24"/>
          <w:szCs w:val="24"/>
        </w:rPr>
        <w:t xml:space="preserve">contrast between private consumerism and public citizenship </w:t>
      </w:r>
      <w:r w:rsidR="00FD0467">
        <w:rPr>
          <w:sz w:val="24"/>
          <w:szCs w:val="24"/>
        </w:rPr>
        <w:t>overlook</w:t>
      </w:r>
      <w:r w:rsidR="003A66DC">
        <w:rPr>
          <w:sz w:val="24"/>
          <w:szCs w:val="24"/>
        </w:rPr>
        <w:t xml:space="preserve"> much that might be promising</w:t>
      </w:r>
      <w:r w:rsidR="00FD0467">
        <w:rPr>
          <w:sz w:val="24"/>
          <w:szCs w:val="24"/>
        </w:rPr>
        <w:t xml:space="preserve"> in attention to home and household practices.  As the</w:t>
      </w:r>
      <w:r w:rsidR="008A5F52">
        <w:rPr>
          <w:sz w:val="24"/>
          <w:szCs w:val="24"/>
        </w:rPr>
        <w:t xml:space="preserve"> nexus for</w:t>
      </w:r>
      <w:r w:rsidR="00517251">
        <w:rPr>
          <w:sz w:val="24"/>
          <w:szCs w:val="24"/>
        </w:rPr>
        <w:t xml:space="preserve"> a vast array of infrastructure, </w:t>
      </w:r>
      <w:r w:rsidR="008A5F52">
        <w:rPr>
          <w:sz w:val="24"/>
          <w:szCs w:val="24"/>
        </w:rPr>
        <w:t>resources,</w:t>
      </w:r>
      <w:r w:rsidR="00F936DE">
        <w:rPr>
          <w:sz w:val="24"/>
          <w:szCs w:val="24"/>
        </w:rPr>
        <w:t xml:space="preserve"> </w:t>
      </w:r>
      <w:r w:rsidR="00517251">
        <w:rPr>
          <w:sz w:val="24"/>
          <w:szCs w:val="24"/>
        </w:rPr>
        <w:t>and practices</w:t>
      </w:r>
      <w:r w:rsidR="00F936DE">
        <w:rPr>
          <w:sz w:val="24"/>
          <w:szCs w:val="24"/>
        </w:rPr>
        <w:t xml:space="preserve">, </w:t>
      </w:r>
      <w:r w:rsidR="00517251">
        <w:rPr>
          <w:sz w:val="24"/>
          <w:szCs w:val="24"/>
        </w:rPr>
        <w:t>home and household</w:t>
      </w:r>
      <w:r w:rsidR="00FD0467">
        <w:rPr>
          <w:sz w:val="24"/>
          <w:szCs w:val="24"/>
        </w:rPr>
        <w:t xml:space="preserve"> are integral to</w:t>
      </w:r>
      <w:r w:rsidR="00F936DE">
        <w:rPr>
          <w:sz w:val="24"/>
          <w:szCs w:val="24"/>
        </w:rPr>
        <w:t xml:space="preserve"> </w:t>
      </w:r>
      <w:r w:rsidR="00B751C3">
        <w:rPr>
          <w:sz w:val="24"/>
          <w:szCs w:val="24"/>
        </w:rPr>
        <w:t>th</w:t>
      </w:r>
      <w:r w:rsidR="00BD6433">
        <w:rPr>
          <w:sz w:val="24"/>
          <w:szCs w:val="24"/>
        </w:rPr>
        <w:t xml:space="preserve">e </w:t>
      </w:r>
      <w:r w:rsidR="00B53B6E">
        <w:rPr>
          <w:sz w:val="24"/>
          <w:szCs w:val="24"/>
        </w:rPr>
        <w:t>material/</w:t>
      </w:r>
      <w:r w:rsidR="009B6FE3">
        <w:rPr>
          <w:sz w:val="24"/>
          <w:szCs w:val="24"/>
        </w:rPr>
        <w:t xml:space="preserve">social </w:t>
      </w:r>
      <w:r w:rsidR="00BD6433">
        <w:rPr>
          <w:sz w:val="24"/>
          <w:szCs w:val="24"/>
        </w:rPr>
        <w:t>reproduction of everyday lif</w:t>
      </w:r>
      <w:r w:rsidR="001F18A1">
        <w:rPr>
          <w:sz w:val="24"/>
          <w:szCs w:val="24"/>
        </w:rPr>
        <w:t xml:space="preserve">e.  </w:t>
      </w:r>
      <w:r w:rsidR="00B53B6E">
        <w:rPr>
          <w:sz w:val="24"/>
          <w:szCs w:val="24"/>
        </w:rPr>
        <w:t>S</w:t>
      </w:r>
      <w:r w:rsidR="00B53B6E">
        <w:rPr>
          <w:sz w:val="24"/>
          <w:szCs w:val="24"/>
        </w:rPr>
        <w:t xml:space="preserve">heltering, </w:t>
      </w:r>
      <w:r w:rsidR="00B53B6E">
        <w:rPr>
          <w:sz w:val="24"/>
          <w:szCs w:val="24"/>
        </w:rPr>
        <w:t>c</w:t>
      </w:r>
      <w:r w:rsidR="001F18A1">
        <w:rPr>
          <w:sz w:val="24"/>
          <w:szCs w:val="24"/>
        </w:rPr>
        <w:t xml:space="preserve">aring, cooking, cleaning, </w:t>
      </w:r>
      <w:r w:rsidR="00107744">
        <w:rPr>
          <w:sz w:val="24"/>
          <w:szCs w:val="24"/>
        </w:rPr>
        <w:t xml:space="preserve">making, </w:t>
      </w:r>
      <w:r w:rsidR="001F18A1">
        <w:rPr>
          <w:sz w:val="24"/>
          <w:szCs w:val="24"/>
        </w:rPr>
        <w:t xml:space="preserve">provisioning, nurturing, teaching, welcoming, excluding, fighting, living and dying – </w:t>
      </w:r>
      <w:r w:rsidR="001F18A1" w:rsidRPr="001F18A1">
        <w:rPr>
          <w:i/>
          <w:sz w:val="24"/>
          <w:szCs w:val="24"/>
        </w:rPr>
        <w:t>home-making</w:t>
      </w:r>
      <w:r w:rsidR="001F18A1">
        <w:rPr>
          <w:sz w:val="24"/>
          <w:szCs w:val="24"/>
        </w:rPr>
        <w:t xml:space="preserve"> – is quite simply a far broader terrain </w:t>
      </w:r>
      <w:r w:rsidR="00B53B6E">
        <w:rPr>
          <w:sz w:val="24"/>
          <w:szCs w:val="24"/>
        </w:rPr>
        <w:t xml:space="preserve">and crucible </w:t>
      </w:r>
      <w:r w:rsidR="00FD0467">
        <w:rPr>
          <w:sz w:val="24"/>
          <w:szCs w:val="24"/>
        </w:rPr>
        <w:t>than a discussion of private consumer choices would lead us to believe</w:t>
      </w:r>
      <w:r w:rsidR="00BC7E4D">
        <w:rPr>
          <w:sz w:val="24"/>
          <w:szCs w:val="24"/>
        </w:rPr>
        <w:t xml:space="preserve">.  I argue that </w:t>
      </w:r>
      <w:r w:rsidR="00B53B6E">
        <w:rPr>
          <w:sz w:val="24"/>
          <w:szCs w:val="24"/>
        </w:rPr>
        <w:t>reflection upon home-making</w:t>
      </w:r>
      <w:r w:rsidR="00FD0467">
        <w:rPr>
          <w:sz w:val="24"/>
          <w:szCs w:val="24"/>
        </w:rPr>
        <w:t xml:space="preserve"> </w:t>
      </w:r>
      <w:r w:rsidR="00BC7E4D">
        <w:rPr>
          <w:sz w:val="24"/>
          <w:szCs w:val="24"/>
        </w:rPr>
        <w:t xml:space="preserve">can </w:t>
      </w:r>
      <w:r w:rsidR="00BC7E4D">
        <w:rPr>
          <w:sz w:val="24"/>
          <w:szCs w:val="24"/>
        </w:rPr>
        <w:lastRenderedPageBreak/>
        <w:t>prompt us to think in fruitful new ways</w:t>
      </w:r>
      <w:r w:rsidR="004F6CD3">
        <w:rPr>
          <w:sz w:val="24"/>
          <w:szCs w:val="24"/>
        </w:rPr>
        <w:t xml:space="preserve"> about </w:t>
      </w:r>
      <w:r w:rsidR="003B052C">
        <w:rPr>
          <w:sz w:val="24"/>
          <w:szCs w:val="24"/>
        </w:rPr>
        <w:t>citizenship</w:t>
      </w:r>
      <w:r w:rsidR="004F6CD3">
        <w:rPr>
          <w:sz w:val="24"/>
          <w:szCs w:val="24"/>
        </w:rPr>
        <w:t xml:space="preserve"> </w:t>
      </w:r>
      <w:r w:rsidR="003B052C">
        <w:rPr>
          <w:sz w:val="24"/>
          <w:szCs w:val="24"/>
        </w:rPr>
        <w:t>and thereby the</w:t>
      </w:r>
      <w:r w:rsidR="004F6CD3">
        <w:rPr>
          <w:sz w:val="24"/>
          <w:szCs w:val="24"/>
        </w:rPr>
        <w:t xml:space="preserve"> possibilities for environmental criticism and change.</w:t>
      </w:r>
    </w:p>
    <w:p w:rsidR="00CF4686" w:rsidRDefault="002D3AE5" w:rsidP="00A13285">
      <w:pPr>
        <w:spacing w:after="120" w:line="240" w:lineRule="auto"/>
        <w:rPr>
          <w:sz w:val="24"/>
          <w:szCs w:val="24"/>
        </w:rPr>
      </w:pPr>
      <w:r>
        <w:rPr>
          <w:sz w:val="24"/>
          <w:szCs w:val="24"/>
        </w:rPr>
        <w:t xml:space="preserve">I begin by reflecting upon </w:t>
      </w:r>
      <w:r w:rsidR="009F461E">
        <w:rPr>
          <w:sz w:val="24"/>
          <w:szCs w:val="24"/>
        </w:rPr>
        <w:t xml:space="preserve">a decidedly unconventional home. </w:t>
      </w:r>
      <w:r>
        <w:rPr>
          <w:sz w:val="24"/>
          <w:szCs w:val="24"/>
        </w:rPr>
        <w:t xml:space="preserve">My experiences here challenged </w:t>
      </w:r>
      <w:r w:rsidR="004F6CD3">
        <w:rPr>
          <w:sz w:val="24"/>
          <w:szCs w:val="24"/>
        </w:rPr>
        <w:t xml:space="preserve">me to revisit </w:t>
      </w:r>
      <w:r w:rsidR="00E90B6D">
        <w:rPr>
          <w:sz w:val="24"/>
          <w:szCs w:val="24"/>
        </w:rPr>
        <w:t xml:space="preserve">some of </w:t>
      </w:r>
      <w:r>
        <w:rPr>
          <w:sz w:val="24"/>
          <w:szCs w:val="24"/>
        </w:rPr>
        <w:t xml:space="preserve">my own </w:t>
      </w:r>
      <w:r w:rsidR="009F2ED5">
        <w:rPr>
          <w:sz w:val="24"/>
          <w:szCs w:val="24"/>
        </w:rPr>
        <w:t>pre</w:t>
      </w:r>
      <w:r>
        <w:rPr>
          <w:sz w:val="24"/>
          <w:szCs w:val="24"/>
        </w:rPr>
        <w:t>conceptions</w:t>
      </w:r>
      <w:r w:rsidR="009F2ED5">
        <w:rPr>
          <w:sz w:val="24"/>
          <w:szCs w:val="24"/>
        </w:rPr>
        <w:t xml:space="preserve"> by highlighting</w:t>
      </w:r>
      <w:r w:rsidR="004F6CD3">
        <w:rPr>
          <w:sz w:val="24"/>
          <w:szCs w:val="24"/>
        </w:rPr>
        <w:t xml:space="preserve"> </w:t>
      </w:r>
      <w:r>
        <w:rPr>
          <w:sz w:val="24"/>
          <w:szCs w:val="24"/>
        </w:rPr>
        <w:t>tensions</w:t>
      </w:r>
      <w:r w:rsidR="004F6CD3">
        <w:rPr>
          <w:sz w:val="24"/>
          <w:szCs w:val="24"/>
        </w:rPr>
        <w:t>, questions, and possibilities</w:t>
      </w:r>
      <w:r>
        <w:rPr>
          <w:sz w:val="24"/>
          <w:szCs w:val="24"/>
        </w:rPr>
        <w:t xml:space="preserve"> </w:t>
      </w:r>
      <w:r w:rsidR="00E80211">
        <w:rPr>
          <w:sz w:val="24"/>
          <w:szCs w:val="24"/>
        </w:rPr>
        <w:t xml:space="preserve">that point toward the sort of citizenship that I develop later in the chapter.  </w:t>
      </w:r>
    </w:p>
    <w:p w:rsidR="00F9147F" w:rsidRPr="0022148B" w:rsidRDefault="00F9147F" w:rsidP="00A13285">
      <w:pPr>
        <w:pStyle w:val="ListParagraph"/>
        <w:keepNext/>
        <w:numPr>
          <w:ilvl w:val="0"/>
          <w:numId w:val="1"/>
        </w:numPr>
        <w:spacing w:after="120" w:line="240" w:lineRule="auto"/>
        <w:rPr>
          <w:b/>
          <w:sz w:val="24"/>
          <w:szCs w:val="24"/>
        </w:rPr>
      </w:pPr>
      <w:r w:rsidRPr="0022148B">
        <w:rPr>
          <w:b/>
          <w:sz w:val="24"/>
          <w:szCs w:val="24"/>
        </w:rPr>
        <w:t>An Interlude and Illustration: CCAT</w:t>
      </w:r>
    </w:p>
    <w:p w:rsidR="00F9147F" w:rsidRPr="00355AA2" w:rsidRDefault="00F9147F" w:rsidP="00A13285">
      <w:pPr>
        <w:spacing w:after="120" w:line="240" w:lineRule="auto"/>
        <w:rPr>
          <w:sz w:val="24"/>
          <w:szCs w:val="24"/>
        </w:rPr>
      </w:pPr>
      <w:r w:rsidRPr="00355AA2">
        <w:rPr>
          <w:sz w:val="24"/>
          <w:szCs w:val="24"/>
        </w:rPr>
        <w:t>Shortly after my arrival as an assistant professor at my university</w:t>
      </w:r>
      <w:r>
        <w:rPr>
          <w:sz w:val="24"/>
          <w:szCs w:val="24"/>
        </w:rPr>
        <w:t xml:space="preserve"> in the late 1990s</w:t>
      </w:r>
      <w:r w:rsidRPr="00355AA2">
        <w:rPr>
          <w:sz w:val="24"/>
          <w:szCs w:val="24"/>
        </w:rPr>
        <w:t xml:space="preserve">, I was invited to give a presentation at a student-run organization affectionately known on campus as “see-cat” – the Campus Center for Appropriate Technology (CCAT).  </w:t>
      </w:r>
      <w:r w:rsidR="009A7D7C">
        <w:rPr>
          <w:sz w:val="24"/>
          <w:szCs w:val="24"/>
        </w:rPr>
        <w:t xml:space="preserve">Although I had a previous background in student activism, </w:t>
      </w:r>
      <w:r w:rsidRPr="00355AA2">
        <w:rPr>
          <w:sz w:val="24"/>
          <w:szCs w:val="24"/>
        </w:rPr>
        <w:t xml:space="preserve">CCAT stood out among </w:t>
      </w:r>
      <w:r>
        <w:rPr>
          <w:sz w:val="24"/>
          <w:szCs w:val="24"/>
        </w:rPr>
        <w:t xml:space="preserve">the many </w:t>
      </w:r>
      <w:r w:rsidRPr="00355AA2">
        <w:rPr>
          <w:sz w:val="24"/>
          <w:szCs w:val="24"/>
        </w:rPr>
        <w:t xml:space="preserve">student organizations </w:t>
      </w:r>
      <w:r w:rsidR="00B77827">
        <w:rPr>
          <w:sz w:val="24"/>
          <w:szCs w:val="24"/>
        </w:rPr>
        <w:t>with which</w:t>
      </w:r>
      <w:r>
        <w:rPr>
          <w:sz w:val="24"/>
          <w:szCs w:val="24"/>
        </w:rPr>
        <w:t xml:space="preserve"> I was familiar</w:t>
      </w:r>
      <w:r w:rsidR="00B77827">
        <w:rPr>
          <w:sz w:val="24"/>
          <w:szCs w:val="24"/>
        </w:rPr>
        <w:t xml:space="preserve"> </w:t>
      </w:r>
      <w:r w:rsidRPr="00355AA2">
        <w:rPr>
          <w:sz w:val="24"/>
          <w:szCs w:val="24"/>
        </w:rPr>
        <w:t xml:space="preserve">– for one thing, it was a rough-around-the-edges house with a constant hum of activity surrounding it.  </w:t>
      </w:r>
      <w:r w:rsidR="00B77827">
        <w:rPr>
          <w:sz w:val="24"/>
          <w:szCs w:val="24"/>
        </w:rPr>
        <w:t xml:space="preserve">It </w:t>
      </w:r>
      <w:r w:rsidRPr="00355AA2">
        <w:rPr>
          <w:sz w:val="24"/>
          <w:szCs w:val="24"/>
        </w:rPr>
        <w:t xml:space="preserve">was </w:t>
      </w:r>
      <w:r>
        <w:rPr>
          <w:sz w:val="24"/>
          <w:szCs w:val="24"/>
        </w:rPr>
        <w:t xml:space="preserve">the residence </w:t>
      </w:r>
      <w:r w:rsidR="003904A9">
        <w:rPr>
          <w:sz w:val="24"/>
          <w:szCs w:val="24"/>
        </w:rPr>
        <w:t>for</w:t>
      </w:r>
      <w:r>
        <w:rPr>
          <w:sz w:val="24"/>
          <w:szCs w:val="24"/>
        </w:rPr>
        <w:t xml:space="preserve"> </w:t>
      </w:r>
      <w:r w:rsidRPr="00355AA2">
        <w:rPr>
          <w:sz w:val="24"/>
          <w:szCs w:val="24"/>
        </w:rPr>
        <w:t>three student</w:t>
      </w:r>
      <w:r w:rsidR="001372B5">
        <w:rPr>
          <w:sz w:val="24"/>
          <w:szCs w:val="24"/>
        </w:rPr>
        <w:t>s,</w:t>
      </w:r>
      <w:r w:rsidRPr="00355AA2">
        <w:rPr>
          <w:sz w:val="24"/>
          <w:szCs w:val="24"/>
        </w:rPr>
        <w:t xml:space="preserve"> </w:t>
      </w:r>
      <w:r w:rsidR="003B052C">
        <w:rPr>
          <w:sz w:val="24"/>
          <w:szCs w:val="24"/>
        </w:rPr>
        <w:t>selected annually</w:t>
      </w:r>
      <w:r w:rsidRPr="00355AA2">
        <w:rPr>
          <w:sz w:val="24"/>
          <w:szCs w:val="24"/>
        </w:rPr>
        <w:t xml:space="preserve"> </w:t>
      </w:r>
      <w:r w:rsidR="001372B5">
        <w:rPr>
          <w:sz w:val="24"/>
          <w:szCs w:val="24"/>
        </w:rPr>
        <w:t xml:space="preserve">to co-direct its programs, </w:t>
      </w:r>
      <w:r w:rsidRPr="00355AA2">
        <w:rPr>
          <w:sz w:val="24"/>
          <w:szCs w:val="24"/>
        </w:rPr>
        <w:t xml:space="preserve">and a home-away-from-home to a great many other members of the campus community. </w:t>
      </w:r>
      <w:r w:rsidR="0019038A">
        <w:rPr>
          <w:sz w:val="24"/>
          <w:szCs w:val="24"/>
        </w:rPr>
        <w:t>O</w:t>
      </w:r>
      <w:r w:rsidR="0040725A">
        <w:rPr>
          <w:sz w:val="24"/>
          <w:szCs w:val="24"/>
        </w:rPr>
        <w:t>ver the years</w:t>
      </w:r>
      <w:r w:rsidR="008269D4">
        <w:rPr>
          <w:sz w:val="24"/>
          <w:szCs w:val="24"/>
        </w:rPr>
        <w:t>,</w:t>
      </w:r>
      <w:r w:rsidR="0019038A">
        <w:rPr>
          <w:sz w:val="24"/>
          <w:szCs w:val="24"/>
        </w:rPr>
        <w:t xml:space="preserve"> CCAT</w:t>
      </w:r>
      <w:r w:rsidR="0040725A">
        <w:rPr>
          <w:sz w:val="24"/>
          <w:szCs w:val="24"/>
        </w:rPr>
        <w:t xml:space="preserve"> has </w:t>
      </w:r>
      <w:r w:rsidR="008269D4">
        <w:rPr>
          <w:sz w:val="24"/>
          <w:szCs w:val="24"/>
        </w:rPr>
        <w:t>developed and implemented</w:t>
      </w:r>
      <w:r w:rsidR="0040725A">
        <w:rPr>
          <w:sz w:val="24"/>
          <w:szCs w:val="24"/>
        </w:rPr>
        <w:t xml:space="preserve"> a wide array of</w:t>
      </w:r>
      <w:r w:rsidRPr="00355AA2">
        <w:rPr>
          <w:sz w:val="24"/>
          <w:szCs w:val="24"/>
        </w:rPr>
        <w:t xml:space="preserve"> renewable energy technologies, energy and water conservation strategies, low-impact building techniques, material</w:t>
      </w:r>
      <w:r w:rsidR="0040725A">
        <w:rPr>
          <w:sz w:val="24"/>
          <w:szCs w:val="24"/>
        </w:rPr>
        <w:t>s reuse, and organic gardens</w:t>
      </w:r>
      <w:r w:rsidRPr="00355AA2">
        <w:rPr>
          <w:sz w:val="24"/>
          <w:szCs w:val="24"/>
        </w:rPr>
        <w:t xml:space="preserve">.  It </w:t>
      </w:r>
      <w:r w:rsidR="008269D4">
        <w:rPr>
          <w:sz w:val="24"/>
          <w:szCs w:val="24"/>
        </w:rPr>
        <w:t xml:space="preserve">has also </w:t>
      </w:r>
      <w:r>
        <w:rPr>
          <w:sz w:val="24"/>
          <w:szCs w:val="24"/>
        </w:rPr>
        <w:t>cultivated</w:t>
      </w:r>
      <w:r w:rsidRPr="00355AA2">
        <w:rPr>
          <w:sz w:val="24"/>
          <w:szCs w:val="24"/>
        </w:rPr>
        <w:t xml:space="preserve"> lots of </w:t>
      </w:r>
      <w:r>
        <w:rPr>
          <w:sz w:val="24"/>
          <w:szCs w:val="24"/>
        </w:rPr>
        <w:t>pragmatic</w:t>
      </w:r>
      <w:r w:rsidRPr="00355AA2">
        <w:rPr>
          <w:sz w:val="24"/>
          <w:szCs w:val="24"/>
        </w:rPr>
        <w:t xml:space="preserve">, knowledgeable, and hard-working </w:t>
      </w:r>
      <w:r w:rsidR="008269D4">
        <w:rPr>
          <w:sz w:val="24"/>
          <w:szCs w:val="24"/>
        </w:rPr>
        <w:t>student activists and leaders.</w:t>
      </w:r>
    </w:p>
    <w:p w:rsidR="00B77827" w:rsidRDefault="00F9147F" w:rsidP="00A13285">
      <w:pPr>
        <w:spacing w:after="120" w:line="240" w:lineRule="auto"/>
        <w:rPr>
          <w:sz w:val="24"/>
          <w:szCs w:val="24"/>
        </w:rPr>
      </w:pPr>
      <w:r w:rsidRPr="00355AA2">
        <w:rPr>
          <w:sz w:val="24"/>
          <w:szCs w:val="24"/>
        </w:rPr>
        <w:t xml:space="preserve">Founded </w:t>
      </w:r>
      <w:r>
        <w:rPr>
          <w:sz w:val="24"/>
          <w:szCs w:val="24"/>
        </w:rPr>
        <w:t xml:space="preserve">twenty years earlier, </w:t>
      </w:r>
      <w:r w:rsidRPr="00355AA2">
        <w:rPr>
          <w:sz w:val="24"/>
          <w:szCs w:val="24"/>
        </w:rPr>
        <w:t>in the late-1970s, CCA</w:t>
      </w:r>
      <w:r w:rsidR="00C41E34">
        <w:rPr>
          <w:sz w:val="24"/>
          <w:szCs w:val="24"/>
        </w:rPr>
        <w:t>T’s name hearkens back to its emergence in the</w:t>
      </w:r>
      <w:r w:rsidRPr="00355AA2">
        <w:rPr>
          <w:sz w:val="24"/>
          <w:szCs w:val="24"/>
        </w:rPr>
        <w:t xml:space="preserve"> heyday of the </w:t>
      </w:r>
      <w:r w:rsidR="00C41E34">
        <w:rPr>
          <w:sz w:val="24"/>
          <w:szCs w:val="24"/>
        </w:rPr>
        <w:t xml:space="preserve">so-called </w:t>
      </w:r>
      <w:r w:rsidRPr="00355AA2">
        <w:rPr>
          <w:sz w:val="24"/>
          <w:szCs w:val="24"/>
        </w:rPr>
        <w:t>“appropriate technology” movement and</w:t>
      </w:r>
      <w:r w:rsidR="00C41E34">
        <w:rPr>
          <w:sz w:val="24"/>
          <w:szCs w:val="24"/>
        </w:rPr>
        <w:t xml:space="preserve"> </w:t>
      </w:r>
      <w:r w:rsidRPr="00355AA2">
        <w:rPr>
          <w:sz w:val="24"/>
          <w:szCs w:val="24"/>
        </w:rPr>
        <w:t xml:space="preserve">was modeled after the “Integral Urban House” in Berkeley, California – an effort to apply some of the self-reliant “back to the land” ethos of the era </w:t>
      </w:r>
      <w:r w:rsidR="00085706">
        <w:rPr>
          <w:sz w:val="24"/>
          <w:szCs w:val="24"/>
        </w:rPr>
        <w:t>in</w:t>
      </w:r>
      <w:r w:rsidRPr="00355AA2">
        <w:rPr>
          <w:sz w:val="24"/>
          <w:szCs w:val="24"/>
        </w:rPr>
        <w:t xml:space="preserve"> a more urban setting.</w:t>
      </w:r>
      <w:r w:rsidRPr="00A06000">
        <w:rPr>
          <w:rStyle w:val="FootnoteReference"/>
        </w:rPr>
        <w:footnoteReference w:id="8"/>
      </w:r>
      <w:r w:rsidRPr="00355AA2">
        <w:rPr>
          <w:sz w:val="24"/>
          <w:szCs w:val="24"/>
        </w:rPr>
        <w:t xml:space="preserve">  Appropriate technology as a whole was inspired by the economic and cultural analysis of works such as E.F. Schumacher’s </w:t>
      </w:r>
      <w:r w:rsidRPr="00355AA2">
        <w:rPr>
          <w:i/>
          <w:sz w:val="24"/>
          <w:szCs w:val="24"/>
        </w:rPr>
        <w:t>Small is Beautiful</w:t>
      </w:r>
      <w:r w:rsidRPr="00355AA2">
        <w:rPr>
          <w:sz w:val="24"/>
          <w:szCs w:val="24"/>
        </w:rPr>
        <w:t>.</w:t>
      </w:r>
      <w:r w:rsidRPr="00A06000">
        <w:rPr>
          <w:rStyle w:val="FootnoteReference"/>
        </w:rPr>
        <w:footnoteReference w:id="9"/>
      </w:r>
      <w:r w:rsidRPr="00355AA2">
        <w:rPr>
          <w:sz w:val="24"/>
          <w:szCs w:val="24"/>
        </w:rPr>
        <w:t xml:space="preserve">  </w:t>
      </w:r>
    </w:p>
    <w:p w:rsidR="00F9147F" w:rsidRPr="00355AA2" w:rsidRDefault="00B973F1" w:rsidP="00A13285">
      <w:pPr>
        <w:spacing w:after="120" w:line="240" w:lineRule="auto"/>
        <w:rPr>
          <w:sz w:val="24"/>
          <w:szCs w:val="24"/>
        </w:rPr>
      </w:pPr>
      <w:r>
        <w:rPr>
          <w:sz w:val="24"/>
          <w:szCs w:val="24"/>
        </w:rPr>
        <w:t xml:space="preserve">Critics </w:t>
      </w:r>
      <w:r w:rsidR="00085706">
        <w:rPr>
          <w:sz w:val="24"/>
          <w:szCs w:val="24"/>
        </w:rPr>
        <w:t xml:space="preserve">have long </w:t>
      </w:r>
      <w:r w:rsidR="00781271">
        <w:rPr>
          <w:sz w:val="24"/>
          <w:szCs w:val="24"/>
        </w:rPr>
        <w:t>contended</w:t>
      </w:r>
      <w:r>
        <w:rPr>
          <w:sz w:val="24"/>
          <w:szCs w:val="24"/>
        </w:rPr>
        <w:t xml:space="preserve"> t</w:t>
      </w:r>
      <w:r w:rsidR="00F9147F" w:rsidRPr="00355AA2">
        <w:rPr>
          <w:sz w:val="24"/>
          <w:szCs w:val="24"/>
        </w:rPr>
        <w:t xml:space="preserve">hat </w:t>
      </w:r>
      <w:r>
        <w:rPr>
          <w:sz w:val="24"/>
          <w:szCs w:val="24"/>
        </w:rPr>
        <w:t xml:space="preserve">what </w:t>
      </w:r>
      <w:r w:rsidR="00F9147F" w:rsidRPr="00355AA2">
        <w:rPr>
          <w:sz w:val="24"/>
          <w:szCs w:val="24"/>
        </w:rPr>
        <w:t xml:space="preserve">the movement lacked, however, was an explicit </w:t>
      </w:r>
      <w:r>
        <w:rPr>
          <w:sz w:val="24"/>
          <w:szCs w:val="24"/>
        </w:rPr>
        <w:t>conception</w:t>
      </w:r>
      <w:r w:rsidR="00F9147F" w:rsidRPr="00355AA2">
        <w:rPr>
          <w:sz w:val="24"/>
          <w:szCs w:val="24"/>
        </w:rPr>
        <w:t xml:space="preserve"> of how </w:t>
      </w:r>
      <w:r>
        <w:rPr>
          <w:sz w:val="24"/>
          <w:szCs w:val="24"/>
        </w:rPr>
        <w:t xml:space="preserve">their envisioned </w:t>
      </w:r>
      <w:r w:rsidR="00F9147F" w:rsidRPr="00355AA2">
        <w:rPr>
          <w:sz w:val="24"/>
          <w:szCs w:val="24"/>
        </w:rPr>
        <w:t xml:space="preserve">social </w:t>
      </w:r>
      <w:r>
        <w:rPr>
          <w:sz w:val="24"/>
          <w:szCs w:val="24"/>
        </w:rPr>
        <w:t>model</w:t>
      </w:r>
      <w:r w:rsidR="00F9147F" w:rsidRPr="00355AA2">
        <w:rPr>
          <w:sz w:val="24"/>
          <w:szCs w:val="24"/>
        </w:rPr>
        <w:t xml:space="preserve"> was to be achieved; </w:t>
      </w:r>
      <w:r>
        <w:rPr>
          <w:sz w:val="24"/>
          <w:szCs w:val="24"/>
        </w:rPr>
        <w:t xml:space="preserve">that is, </w:t>
      </w:r>
      <w:r w:rsidR="00F9147F" w:rsidRPr="00355AA2">
        <w:rPr>
          <w:sz w:val="24"/>
          <w:szCs w:val="24"/>
        </w:rPr>
        <w:t>how “appropriate” forms of technology might become integral to society as a whole</w:t>
      </w:r>
      <w:r w:rsidR="00B77827">
        <w:rPr>
          <w:sz w:val="24"/>
          <w:szCs w:val="24"/>
        </w:rPr>
        <w:t xml:space="preserve"> rather than an “alternative” attractive only to those on the margins</w:t>
      </w:r>
      <w:r w:rsidR="00F9147F" w:rsidRPr="00355AA2">
        <w:rPr>
          <w:sz w:val="24"/>
          <w:szCs w:val="24"/>
        </w:rPr>
        <w:t xml:space="preserve">.  </w:t>
      </w:r>
      <w:r w:rsidR="00781271">
        <w:rPr>
          <w:sz w:val="24"/>
          <w:szCs w:val="24"/>
        </w:rPr>
        <w:t xml:space="preserve">For example, </w:t>
      </w:r>
      <w:r w:rsidR="00F9147F" w:rsidRPr="00355AA2">
        <w:rPr>
          <w:sz w:val="24"/>
          <w:szCs w:val="24"/>
        </w:rPr>
        <w:t xml:space="preserve">Langdon Winner argued that the movement implicitly </w:t>
      </w:r>
      <w:r w:rsidR="003B052C">
        <w:rPr>
          <w:sz w:val="24"/>
          <w:szCs w:val="24"/>
        </w:rPr>
        <w:t>embraced</w:t>
      </w:r>
      <w:r w:rsidR="00F9147F" w:rsidRPr="00355AA2">
        <w:rPr>
          <w:sz w:val="24"/>
          <w:szCs w:val="24"/>
        </w:rPr>
        <w:t xml:space="preserve"> what he </w:t>
      </w:r>
      <w:r w:rsidR="00085706">
        <w:rPr>
          <w:sz w:val="24"/>
          <w:szCs w:val="24"/>
        </w:rPr>
        <w:t>labeled</w:t>
      </w:r>
      <w:r w:rsidR="00F9147F" w:rsidRPr="00355AA2">
        <w:rPr>
          <w:sz w:val="24"/>
          <w:szCs w:val="24"/>
        </w:rPr>
        <w:t xml:space="preserve"> the “build a better mousetrap” approach to social change</w:t>
      </w:r>
      <w:r w:rsidR="000D3710">
        <w:rPr>
          <w:sz w:val="24"/>
          <w:szCs w:val="24"/>
        </w:rPr>
        <w:t>.</w:t>
      </w:r>
      <w:r w:rsidR="00452893">
        <w:rPr>
          <w:sz w:val="24"/>
          <w:szCs w:val="24"/>
        </w:rPr>
        <w:t xml:space="preserve"> This approach</w:t>
      </w:r>
      <w:r w:rsidR="00F9147F" w:rsidRPr="00355AA2">
        <w:rPr>
          <w:sz w:val="24"/>
          <w:szCs w:val="24"/>
        </w:rPr>
        <w:t xml:space="preserve"> </w:t>
      </w:r>
      <w:r>
        <w:rPr>
          <w:sz w:val="24"/>
          <w:szCs w:val="24"/>
        </w:rPr>
        <w:t>relied upon an unsubstantiated faith</w:t>
      </w:r>
      <w:r w:rsidR="00F9147F" w:rsidRPr="00355AA2">
        <w:rPr>
          <w:sz w:val="24"/>
          <w:szCs w:val="24"/>
        </w:rPr>
        <w:t xml:space="preserve"> that the creation and development of new </w:t>
      </w:r>
      <w:r w:rsidR="00BE199B">
        <w:rPr>
          <w:sz w:val="24"/>
          <w:szCs w:val="24"/>
        </w:rPr>
        <w:t xml:space="preserve">forms of </w:t>
      </w:r>
      <w:r w:rsidR="00F9147F" w:rsidRPr="00355AA2">
        <w:rPr>
          <w:sz w:val="24"/>
          <w:szCs w:val="24"/>
        </w:rPr>
        <w:t>renewable energy</w:t>
      </w:r>
      <w:r w:rsidR="00BE199B">
        <w:rPr>
          <w:sz w:val="24"/>
          <w:szCs w:val="24"/>
        </w:rPr>
        <w:t xml:space="preserve">, </w:t>
      </w:r>
      <w:r w:rsidR="00F9147F" w:rsidRPr="00355AA2">
        <w:rPr>
          <w:sz w:val="24"/>
          <w:szCs w:val="24"/>
        </w:rPr>
        <w:t>smaller-scale technologies</w:t>
      </w:r>
      <w:r w:rsidR="00BE199B">
        <w:rPr>
          <w:sz w:val="24"/>
          <w:szCs w:val="24"/>
        </w:rPr>
        <w:t>, and other practices</w:t>
      </w:r>
      <w:r w:rsidR="00F9147F" w:rsidRPr="00355AA2">
        <w:rPr>
          <w:sz w:val="24"/>
          <w:szCs w:val="24"/>
        </w:rPr>
        <w:t xml:space="preserve"> could</w:t>
      </w:r>
      <w:r w:rsidR="000D3710">
        <w:rPr>
          <w:sz w:val="24"/>
          <w:szCs w:val="24"/>
        </w:rPr>
        <w:t xml:space="preserve"> become widespread simply through the inherent power of a better idea, and thereby </w:t>
      </w:r>
      <w:r w:rsidR="00F9147F" w:rsidRPr="00355AA2">
        <w:rPr>
          <w:sz w:val="24"/>
          <w:szCs w:val="24"/>
        </w:rPr>
        <w:t>bring about a social revolution.</w:t>
      </w:r>
      <w:r w:rsidR="004B3B6D">
        <w:rPr>
          <w:sz w:val="24"/>
          <w:szCs w:val="24"/>
        </w:rPr>
        <w:t xml:space="preserve"> </w:t>
      </w:r>
      <w:r w:rsidR="00B77827">
        <w:rPr>
          <w:sz w:val="24"/>
          <w:szCs w:val="24"/>
        </w:rPr>
        <w:t xml:space="preserve">Because </w:t>
      </w:r>
      <w:r w:rsidR="00085706">
        <w:rPr>
          <w:sz w:val="24"/>
          <w:szCs w:val="24"/>
        </w:rPr>
        <w:t>the advocates of appropriate technology</w:t>
      </w:r>
      <w:r w:rsidR="00B77827">
        <w:rPr>
          <w:sz w:val="24"/>
          <w:szCs w:val="24"/>
        </w:rPr>
        <w:t xml:space="preserve"> were i</w:t>
      </w:r>
      <w:r w:rsidR="004B3B6D">
        <w:rPr>
          <w:sz w:val="24"/>
          <w:szCs w:val="24"/>
        </w:rPr>
        <w:t xml:space="preserve">nattentive </w:t>
      </w:r>
      <w:r w:rsidR="00B77827">
        <w:rPr>
          <w:sz w:val="24"/>
          <w:szCs w:val="24"/>
        </w:rPr>
        <w:t xml:space="preserve">to </w:t>
      </w:r>
      <w:r w:rsidR="00781271">
        <w:rPr>
          <w:sz w:val="24"/>
          <w:szCs w:val="24"/>
        </w:rPr>
        <w:t>or dismissive of</w:t>
      </w:r>
      <w:r w:rsidR="004B3B6D">
        <w:rPr>
          <w:sz w:val="24"/>
          <w:szCs w:val="24"/>
        </w:rPr>
        <w:t xml:space="preserve"> the role of social </w:t>
      </w:r>
      <w:r w:rsidR="00781271">
        <w:rPr>
          <w:sz w:val="24"/>
          <w:szCs w:val="24"/>
        </w:rPr>
        <w:t xml:space="preserve">and political </w:t>
      </w:r>
      <w:r w:rsidR="004B3B6D">
        <w:rPr>
          <w:sz w:val="24"/>
          <w:szCs w:val="24"/>
        </w:rPr>
        <w:t xml:space="preserve">institutions and power, Winner </w:t>
      </w:r>
      <w:r w:rsidR="00781271">
        <w:rPr>
          <w:sz w:val="24"/>
          <w:szCs w:val="24"/>
        </w:rPr>
        <w:t>writes elegiacally</w:t>
      </w:r>
      <w:r w:rsidR="004B3B6D">
        <w:rPr>
          <w:sz w:val="24"/>
          <w:szCs w:val="24"/>
        </w:rPr>
        <w:t xml:space="preserve"> that </w:t>
      </w:r>
      <w:r w:rsidR="00085706">
        <w:rPr>
          <w:sz w:val="24"/>
          <w:szCs w:val="24"/>
        </w:rPr>
        <w:t>they</w:t>
      </w:r>
      <w:r w:rsidR="00781271">
        <w:rPr>
          <w:sz w:val="24"/>
          <w:szCs w:val="24"/>
        </w:rPr>
        <w:t xml:space="preserve"> were “lovely visionaries, naïve about the forces that confronted them.”</w:t>
      </w:r>
      <w:r w:rsidR="00F9147F" w:rsidRPr="00A06000">
        <w:rPr>
          <w:rStyle w:val="FootnoteReference"/>
        </w:rPr>
        <w:footnoteReference w:id="10"/>
      </w:r>
      <w:r w:rsidR="00F9147F" w:rsidRPr="00355AA2">
        <w:rPr>
          <w:sz w:val="24"/>
          <w:szCs w:val="24"/>
        </w:rPr>
        <w:t xml:space="preserve">   </w:t>
      </w:r>
      <w:r w:rsidR="00B77827">
        <w:rPr>
          <w:sz w:val="24"/>
          <w:szCs w:val="24"/>
        </w:rPr>
        <w:t xml:space="preserve">With this </w:t>
      </w:r>
      <w:r w:rsidR="00DE33D3">
        <w:rPr>
          <w:sz w:val="24"/>
          <w:szCs w:val="24"/>
        </w:rPr>
        <w:t xml:space="preserve">context </w:t>
      </w:r>
      <w:r w:rsidR="00B77827">
        <w:rPr>
          <w:sz w:val="24"/>
          <w:szCs w:val="24"/>
        </w:rPr>
        <w:t xml:space="preserve">in mind, </w:t>
      </w:r>
      <w:r w:rsidR="00F9147F" w:rsidRPr="00355AA2">
        <w:rPr>
          <w:sz w:val="24"/>
          <w:szCs w:val="24"/>
        </w:rPr>
        <w:t xml:space="preserve">it is not surprising that the center of gravity </w:t>
      </w:r>
      <w:r w:rsidR="00C71988">
        <w:rPr>
          <w:sz w:val="24"/>
          <w:szCs w:val="24"/>
        </w:rPr>
        <w:t>at</w:t>
      </w:r>
      <w:r w:rsidR="00F9147F" w:rsidRPr="00355AA2">
        <w:rPr>
          <w:sz w:val="24"/>
          <w:szCs w:val="24"/>
        </w:rPr>
        <w:t xml:space="preserve"> </w:t>
      </w:r>
      <w:r w:rsidR="00B77827" w:rsidRPr="00355AA2">
        <w:rPr>
          <w:sz w:val="24"/>
          <w:szCs w:val="24"/>
        </w:rPr>
        <w:t>CCAT</w:t>
      </w:r>
      <w:r w:rsidR="00B77827">
        <w:rPr>
          <w:sz w:val="24"/>
          <w:szCs w:val="24"/>
        </w:rPr>
        <w:t>’s</w:t>
      </w:r>
      <w:r w:rsidR="00B77827" w:rsidRPr="00355AA2">
        <w:rPr>
          <w:sz w:val="24"/>
          <w:szCs w:val="24"/>
        </w:rPr>
        <w:t xml:space="preserve"> </w:t>
      </w:r>
      <w:r w:rsidR="00C71988">
        <w:rPr>
          <w:sz w:val="24"/>
          <w:szCs w:val="24"/>
        </w:rPr>
        <w:lastRenderedPageBreak/>
        <w:t>founding</w:t>
      </w:r>
      <w:r w:rsidR="00F9147F" w:rsidRPr="00355AA2">
        <w:rPr>
          <w:sz w:val="24"/>
          <w:szCs w:val="24"/>
        </w:rPr>
        <w:t xml:space="preserve"> was among students </w:t>
      </w:r>
      <w:r w:rsidR="00F9147F">
        <w:rPr>
          <w:sz w:val="24"/>
          <w:szCs w:val="24"/>
        </w:rPr>
        <w:t>learning</w:t>
      </w:r>
      <w:r w:rsidR="00F9147F" w:rsidRPr="00355AA2">
        <w:rPr>
          <w:sz w:val="24"/>
          <w:szCs w:val="24"/>
        </w:rPr>
        <w:t xml:space="preserve"> to build better mousetraps</w:t>
      </w:r>
      <w:r w:rsidR="000D3710">
        <w:rPr>
          <w:sz w:val="24"/>
          <w:szCs w:val="24"/>
        </w:rPr>
        <w:t>, while focusing relatively little on social and political power</w:t>
      </w:r>
      <w:r w:rsidR="00B77827">
        <w:rPr>
          <w:sz w:val="24"/>
          <w:szCs w:val="24"/>
        </w:rPr>
        <w:t>:</w:t>
      </w:r>
      <w:r w:rsidR="00F9147F" w:rsidRPr="00355AA2">
        <w:rPr>
          <w:sz w:val="24"/>
          <w:szCs w:val="24"/>
        </w:rPr>
        <w:t xml:space="preserve"> those majoring in environmental engineering.   </w:t>
      </w:r>
    </w:p>
    <w:p w:rsidR="001D537D" w:rsidRDefault="00F9147F" w:rsidP="00A13285">
      <w:pPr>
        <w:spacing w:after="120" w:line="240" w:lineRule="auto"/>
        <w:rPr>
          <w:sz w:val="24"/>
          <w:szCs w:val="24"/>
        </w:rPr>
      </w:pPr>
      <w:r w:rsidRPr="00355AA2">
        <w:rPr>
          <w:sz w:val="24"/>
          <w:szCs w:val="24"/>
        </w:rPr>
        <w:t>By the time of my arrival</w:t>
      </w:r>
      <w:r w:rsidR="0040725A">
        <w:rPr>
          <w:sz w:val="24"/>
          <w:szCs w:val="24"/>
        </w:rPr>
        <w:t xml:space="preserve"> in the 90s</w:t>
      </w:r>
      <w:r w:rsidRPr="00355AA2">
        <w:rPr>
          <w:sz w:val="24"/>
          <w:szCs w:val="24"/>
        </w:rPr>
        <w:t>, the very lang</w:t>
      </w:r>
      <w:r w:rsidR="00B25DD9">
        <w:rPr>
          <w:sz w:val="24"/>
          <w:szCs w:val="24"/>
        </w:rPr>
        <w:t>uage of “appropriate technology</w:t>
      </w:r>
      <w:r w:rsidRPr="00355AA2">
        <w:rPr>
          <w:sz w:val="24"/>
          <w:szCs w:val="24"/>
        </w:rPr>
        <w:t xml:space="preserve">” as well as the “mousetrap” approach seemed to me anachronistic, of a piece with the aging hippies and back-to-the-landers that could still be found strolling the plaza of our small Northern California town.  Sympathetic as I was, being </w:t>
      </w:r>
      <w:r w:rsidR="003B052C">
        <w:rPr>
          <w:sz w:val="24"/>
          <w:szCs w:val="24"/>
        </w:rPr>
        <w:t>invited</w:t>
      </w:r>
      <w:r w:rsidRPr="00355AA2">
        <w:rPr>
          <w:sz w:val="24"/>
          <w:szCs w:val="24"/>
        </w:rPr>
        <w:t xml:space="preserve"> to talk about the future of appropriate technology was a challenge, because it wasn’t </w:t>
      </w:r>
      <w:r w:rsidR="0040725A">
        <w:rPr>
          <w:sz w:val="24"/>
          <w:szCs w:val="24"/>
        </w:rPr>
        <w:t xml:space="preserve">immediately </w:t>
      </w:r>
      <w:r w:rsidRPr="00355AA2">
        <w:rPr>
          <w:sz w:val="24"/>
          <w:szCs w:val="24"/>
        </w:rPr>
        <w:t xml:space="preserve">apparent to me that there was such a future, or </w:t>
      </w:r>
      <w:r w:rsidR="00EB0A53">
        <w:rPr>
          <w:sz w:val="24"/>
          <w:szCs w:val="24"/>
        </w:rPr>
        <w:t>what constructive role</w:t>
      </w:r>
      <w:r w:rsidRPr="00355AA2">
        <w:rPr>
          <w:sz w:val="24"/>
          <w:szCs w:val="24"/>
        </w:rPr>
        <w:t xml:space="preserve"> this organization and the ideas that inspired it fit into contemporary efforts on behalf of environmental sustainability.  Nonetheless, I accepted the invitation in large part because of the infectious energy, conviction, and talent that seemed to emanate from the students involved at the house.  </w:t>
      </w:r>
      <w:r w:rsidR="00D546FE">
        <w:rPr>
          <w:sz w:val="24"/>
          <w:szCs w:val="24"/>
        </w:rPr>
        <w:t>It</w:t>
      </w:r>
      <w:r w:rsidRPr="00355AA2">
        <w:rPr>
          <w:sz w:val="24"/>
          <w:szCs w:val="24"/>
        </w:rPr>
        <w:t xml:space="preserve"> </w:t>
      </w:r>
      <w:r w:rsidR="001D537D">
        <w:rPr>
          <w:sz w:val="24"/>
          <w:szCs w:val="24"/>
        </w:rPr>
        <w:t>was</w:t>
      </w:r>
      <w:r w:rsidRPr="00355AA2">
        <w:rPr>
          <w:sz w:val="24"/>
          <w:szCs w:val="24"/>
        </w:rPr>
        <w:t xml:space="preserve"> evident that while the language of “appropriate technology” had faded from the wider</w:t>
      </w:r>
      <w:r w:rsidR="00B25DD9">
        <w:rPr>
          <w:sz w:val="24"/>
          <w:szCs w:val="24"/>
        </w:rPr>
        <w:t xml:space="preserve"> public</w:t>
      </w:r>
      <w:r w:rsidRPr="00355AA2">
        <w:rPr>
          <w:sz w:val="24"/>
          <w:szCs w:val="24"/>
        </w:rPr>
        <w:t xml:space="preserve"> discourse, the appeal of CCAT’s vision was strong.  </w:t>
      </w:r>
      <w:r w:rsidR="001D537D">
        <w:rPr>
          <w:sz w:val="24"/>
          <w:szCs w:val="24"/>
        </w:rPr>
        <w:t>Wrestling with these tensions has been central to my involveme</w:t>
      </w:r>
      <w:r w:rsidR="00BC4F0D">
        <w:rPr>
          <w:sz w:val="24"/>
          <w:szCs w:val="24"/>
        </w:rPr>
        <w:t xml:space="preserve">nt with CCAT over the years.  Here I want to suggest ways in which </w:t>
      </w:r>
      <w:r w:rsidR="001D537D">
        <w:rPr>
          <w:sz w:val="24"/>
          <w:szCs w:val="24"/>
        </w:rPr>
        <w:t xml:space="preserve">the possibilities that emerge from these tensions have broader implications for thinking about home, citizenship, and environmental criticism. </w:t>
      </w:r>
    </w:p>
    <w:p w:rsidR="00F9147F" w:rsidRPr="00355AA2" w:rsidRDefault="00DE4DAA" w:rsidP="00A13285">
      <w:pPr>
        <w:spacing w:after="120" w:line="240" w:lineRule="auto"/>
        <w:rPr>
          <w:sz w:val="24"/>
          <w:szCs w:val="24"/>
        </w:rPr>
      </w:pPr>
      <w:r>
        <w:rPr>
          <w:sz w:val="24"/>
          <w:szCs w:val="24"/>
        </w:rPr>
        <w:t>CCAT</w:t>
      </w:r>
      <w:r w:rsidR="00F9147F" w:rsidRPr="00355AA2">
        <w:rPr>
          <w:sz w:val="24"/>
          <w:szCs w:val="24"/>
        </w:rPr>
        <w:t xml:space="preserve"> </w:t>
      </w:r>
      <w:r w:rsidR="006C2451">
        <w:rPr>
          <w:sz w:val="24"/>
          <w:szCs w:val="24"/>
        </w:rPr>
        <w:t xml:space="preserve">recently celebrated </w:t>
      </w:r>
      <w:r w:rsidR="00F9147F" w:rsidRPr="00355AA2">
        <w:rPr>
          <w:sz w:val="24"/>
          <w:szCs w:val="24"/>
        </w:rPr>
        <w:t xml:space="preserve">its thirty-fifth anniversary; an impressive achievement for any </w:t>
      </w:r>
      <w:r>
        <w:rPr>
          <w:sz w:val="24"/>
          <w:szCs w:val="24"/>
        </w:rPr>
        <w:t>group</w:t>
      </w:r>
      <w:r w:rsidR="00F9147F" w:rsidRPr="00355AA2">
        <w:rPr>
          <w:sz w:val="24"/>
          <w:szCs w:val="24"/>
        </w:rPr>
        <w:t xml:space="preserve"> and a rather remarkable one for such an ambitious and student-run endeavor.  Yet what Winner characterized as the technological exuberance and individualism of the mousetrap theory of social change has long resonated with me.  I have come to conclude that one secret to </w:t>
      </w:r>
      <w:r w:rsidR="005C4A7D">
        <w:rPr>
          <w:sz w:val="24"/>
          <w:szCs w:val="24"/>
        </w:rPr>
        <w:t>CCAT’s success</w:t>
      </w:r>
      <w:r w:rsidR="00F9147F" w:rsidRPr="00355AA2">
        <w:rPr>
          <w:sz w:val="24"/>
          <w:szCs w:val="24"/>
        </w:rPr>
        <w:t xml:space="preserve"> is that their vision </w:t>
      </w:r>
      <w:r w:rsidR="002877FA">
        <w:rPr>
          <w:sz w:val="24"/>
          <w:szCs w:val="24"/>
        </w:rPr>
        <w:t>is</w:t>
      </w:r>
      <w:r w:rsidR="00F9147F" w:rsidRPr="00355AA2">
        <w:rPr>
          <w:sz w:val="24"/>
          <w:szCs w:val="24"/>
        </w:rPr>
        <w:t xml:space="preserve"> no longer – if it ever </w:t>
      </w:r>
      <w:r w:rsidR="00D546FE">
        <w:rPr>
          <w:sz w:val="24"/>
          <w:szCs w:val="24"/>
        </w:rPr>
        <w:t xml:space="preserve">really </w:t>
      </w:r>
      <w:r w:rsidR="00F9147F" w:rsidRPr="00355AA2">
        <w:rPr>
          <w:sz w:val="24"/>
          <w:szCs w:val="24"/>
        </w:rPr>
        <w:t xml:space="preserve">was – driven by the mousetrap theory.  </w:t>
      </w:r>
    </w:p>
    <w:p w:rsidR="00F9147F" w:rsidRPr="00355AA2" w:rsidRDefault="00F9147F" w:rsidP="00A13285">
      <w:pPr>
        <w:spacing w:after="120" w:line="240" w:lineRule="auto"/>
        <w:rPr>
          <w:sz w:val="24"/>
          <w:szCs w:val="24"/>
        </w:rPr>
      </w:pPr>
      <w:r w:rsidRPr="00355AA2">
        <w:rPr>
          <w:sz w:val="24"/>
          <w:szCs w:val="24"/>
        </w:rPr>
        <w:t xml:space="preserve">Indeed, the vision and mission statement of CCAT are more reflective of its context as a </w:t>
      </w:r>
      <w:r w:rsidRPr="00045C7D">
        <w:rPr>
          <w:sz w:val="24"/>
          <w:szCs w:val="24"/>
        </w:rPr>
        <w:t>home</w:t>
      </w:r>
      <w:r w:rsidRPr="00355AA2">
        <w:rPr>
          <w:sz w:val="24"/>
          <w:szCs w:val="24"/>
        </w:rPr>
        <w:t xml:space="preserve"> </w:t>
      </w:r>
      <w:r w:rsidR="00045C7D">
        <w:rPr>
          <w:sz w:val="24"/>
          <w:szCs w:val="24"/>
        </w:rPr>
        <w:t xml:space="preserve">and household </w:t>
      </w:r>
      <w:r w:rsidRPr="00355AA2">
        <w:rPr>
          <w:sz w:val="24"/>
          <w:szCs w:val="24"/>
        </w:rPr>
        <w:t xml:space="preserve">than the mousetrap theory would lead one to expect.  Here CCAT is characterized as committed to demonstrating </w:t>
      </w:r>
      <w:r>
        <w:rPr>
          <w:sz w:val="24"/>
          <w:szCs w:val="24"/>
        </w:rPr>
        <w:t>a way of living that is “</w:t>
      </w:r>
      <w:r w:rsidRPr="00355AA2">
        <w:rPr>
          <w:sz w:val="24"/>
          <w:szCs w:val="24"/>
        </w:rPr>
        <w:t xml:space="preserve">both practical and rewarding.” </w:t>
      </w:r>
      <w:proofErr w:type="gramStart"/>
      <w:r w:rsidRPr="00355AA2">
        <w:rPr>
          <w:sz w:val="24"/>
          <w:szCs w:val="24"/>
        </w:rPr>
        <w:t xml:space="preserve">Language of community building, bringing together diverse viewpoints, </w:t>
      </w:r>
      <w:r>
        <w:rPr>
          <w:sz w:val="24"/>
          <w:szCs w:val="24"/>
        </w:rPr>
        <w:t xml:space="preserve">and </w:t>
      </w:r>
      <w:r w:rsidR="00DE4DAA">
        <w:rPr>
          <w:sz w:val="24"/>
          <w:szCs w:val="24"/>
        </w:rPr>
        <w:t xml:space="preserve">learning </w:t>
      </w:r>
      <w:r w:rsidR="002877FA">
        <w:rPr>
          <w:sz w:val="24"/>
          <w:szCs w:val="24"/>
        </w:rPr>
        <w:t>by</w:t>
      </w:r>
      <w:r w:rsidR="00DE4DAA">
        <w:rPr>
          <w:sz w:val="24"/>
          <w:szCs w:val="24"/>
        </w:rPr>
        <w:t xml:space="preserve"> doing</w:t>
      </w:r>
      <w:r w:rsidRPr="00355AA2">
        <w:rPr>
          <w:sz w:val="24"/>
          <w:szCs w:val="24"/>
        </w:rPr>
        <w:t xml:space="preserve"> are</w:t>
      </w:r>
      <w:proofErr w:type="gramEnd"/>
      <w:r w:rsidRPr="00355AA2">
        <w:rPr>
          <w:sz w:val="24"/>
          <w:szCs w:val="24"/>
        </w:rPr>
        <w:t xml:space="preserve"> deeply entwined with the more expected references to </w:t>
      </w:r>
      <w:r>
        <w:rPr>
          <w:sz w:val="24"/>
          <w:szCs w:val="24"/>
        </w:rPr>
        <w:t xml:space="preserve">sustainable </w:t>
      </w:r>
      <w:r w:rsidRPr="00355AA2">
        <w:rPr>
          <w:sz w:val="24"/>
          <w:szCs w:val="24"/>
        </w:rPr>
        <w:t>technological systems themselves.</w:t>
      </w:r>
      <w:r w:rsidRPr="00A06000">
        <w:rPr>
          <w:rStyle w:val="FootnoteReference"/>
        </w:rPr>
        <w:footnoteReference w:id="11"/>
      </w:r>
      <w:r w:rsidRPr="00355AA2">
        <w:rPr>
          <w:sz w:val="24"/>
          <w:szCs w:val="24"/>
        </w:rPr>
        <w:t xml:space="preserve">  First and foremost, </w:t>
      </w:r>
      <w:r>
        <w:rPr>
          <w:sz w:val="24"/>
          <w:szCs w:val="24"/>
        </w:rPr>
        <w:t xml:space="preserve">I have come to see, </w:t>
      </w:r>
      <w:r w:rsidRPr="00355AA2">
        <w:rPr>
          <w:sz w:val="24"/>
          <w:szCs w:val="24"/>
        </w:rPr>
        <w:t xml:space="preserve">CCAT is an experiment in living, and </w:t>
      </w:r>
      <w:r w:rsidR="002877FA">
        <w:rPr>
          <w:sz w:val="24"/>
          <w:szCs w:val="24"/>
        </w:rPr>
        <w:t xml:space="preserve">its projects and activities are the embodiment of </w:t>
      </w:r>
      <w:r w:rsidRPr="00355AA2">
        <w:rPr>
          <w:sz w:val="24"/>
          <w:szCs w:val="24"/>
        </w:rPr>
        <w:t xml:space="preserve">an ongoing dialogue about what sort of life it is good to live and what sort of </w:t>
      </w:r>
      <w:r w:rsidR="00045C7D">
        <w:rPr>
          <w:sz w:val="24"/>
          <w:szCs w:val="24"/>
        </w:rPr>
        <w:t>household</w:t>
      </w:r>
      <w:r w:rsidRPr="00355AA2">
        <w:rPr>
          <w:sz w:val="24"/>
          <w:szCs w:val="24"/>
        </w:rPr>
        <w:t xml:space="preserve"> </w:t>
      </w:r>
      <w:r w:rsidR="00812287">
        <w:rPr>
          <w:sz w:val="24"/>
          <w:szCs w:val="24"/>
        </w:rPr>
        <w:t xml:space="preserve">practices </w:t>
      </w:r>
      <w:r w:rsidRPr="00355AA2">
        <w:rPr>
          <w:sz w:val="24"/>
          <w:szCs w:val="24"/>
        </w:rPr>
        <w:t xml:space="preserve">might help facilitate that life.  </w:t>
      </w:r>
      <w:r>
        <w:rPr>
          <w:sz w:val="24"/>
          <w:szCs w:val="24"/>
        </w:rPr>
        <w:t xml:space="preserve">The </w:t>
      </w:r>
      <w:r w:rsidR="00812287">
        <w:rPr>
          <w:sz w:val="24"/>
          <w:szCs w:val="24"/>
        </w:rPr>
        <w:t>interests</w:t>
      </w:r>
      <w:r>
        <w:rPr>
          <w:sz w:val="24"/>
          <w:szCs w:val="24"/>
        </w:rPr>
        <w:t xml:space="preserve"> of the program directors is also suggestive here – while </w:t>
      </w:r>
      <w:r w:rsidR="00D47078">
        <w:rPr>
          <w:sz w:val="24"/>
          <w:szCs w:val="24"/>
        </w:rPr>
        <w:t xml:space="preserve">I have noted that </w:t>
      </w:r>
      <w:r>
        <w:rPr>
          <w:sz w:val="24"/>
          <w:szCs w:val="24"/>
        </w:rPr>
        <w:t xml:space="preserve">the early leaders were drawn predominantly from engineering, a far higher number now come from majors in the humanities and </w:t>
      </w:r>
      <w:r w:rsidR="00D47078">
        <w:rPr>
          <w:sz w:val="24"/>
          <w:szCs w:val="24"/>
        </w:rPr>
        <w:t xml:space="preserve">social sciences, where dialogue, </w:t>
      </w:r>
      <w:r>
        <w:rPr>
          <w:sz w:val="24"/>
          <w:szCs w:val="24"/>
        </w:rPr>
        <w:t>critical thinking</w:t>
      </w:r>
      <w:r w:rsidR="00D47078">
        <w:rPr>
          <w:sz w:val="24"/>
          <w:szCs w:val="24"/>
        </w:rPr>
        <w:t>, and attention to questions of power and institutions</w:t>
      </w:r>
      <w:r>
        <w:rPr>
          <w:sz w:val="24"/>
          <w:szCs w:val="24"/>
        </w:rPr>
        <w:t xml:space="preserve"> are central to the endeavor.</w:t>
      </w:r>
    </w:p>
    <w:p w:rsidR="005B7C20" w:rsidRPr="005B7C20" w:rsidRDefault="0043057B" w:rsidP="00A13285">
      <w:pPr>
        <w:spacing w:after="120" w:line="240" w:lineRule="auto"/>
        <w:rPr>
          <w:sz w:val="24"/>
          <w:szCs w:val="24"/>
        </w:rPr>
      </w:pPr>
      <w:r w:rsidRPr="00355AA2">
        <w:rPr>
          <w:sz w:val="24"/>
          <w:szCs w:val="24"/>
        </w:rPr>
        <w:t>To discuss home</w:t>
      </w:r>
      <w:r>
        <w:rPr>
          <w:sz w:val="24"/>
          <w:szCs w:val="24"/>
        </w:rPr>
        <w:t xml:space="preserve"> – CCAT or other – </w:t>
      </w:r>
      <w:r w:rsidRPr="00355AA2">
        <w:rPr>
          <w:sz w:val="24"/>
          <w:szCs w:val="24"/>
        </w:rPr>
        <w:t xml:space="preserve">requires that we </w:t>
      </w:r>
      <w:r w:rsidR="00812287">
        <w:rPr>
          <w:sz w:val="24"/>
          <w:szCs w:val="24"/>
        </w:rPr>
        <w:t>recognize the significance of</w:t>
      </w:r>
      <w:r w:rsidRPr="00355AA2">
        <w:rPr>
          <w:sz w:val="24"/>
          <w:szCs w:val="24"/>
        </w:rPr>
        <w:t xml:space="preserve"> two relevant aspects.  Heidegger characterize</w:t>
      </w:r>
      <w:r w:rsidR="00812287">
        <w:rPr>
          <w:sz w:val="24"/>
          <w:szCs w:val="24"/>
        </w:rPr>
        <w:t>d</w:t>
      </w:r>
      <w:r w:rsidRPr="00355AA2">
        <w:rPr>
          <w:sz w:val="24"/>
          <w:szCs w:val="24"/>
        </w:rPr>
        <w:t xml:space="preserve"> these as “building” and “dwelling,” while going on to </w:t>
      </w:r>
      <w:r w:rsidRPr="00355AA2">
        <w:rPr>
          <w:sz w:val="24"/>
          <w:szCs w:val="24"/>
        </w:rPr>
        <w:lastRenderedPageBreak/>
        <w:t xml:space="preserve">argue that “to build is in </w:t>
      </w:r>
      <w:proofErr w:type="gramStart"/>
      <w:r w:rsidRPr="00355AA2">
        <w:rPr>
          <w:sz w:val="24"/>
          <w:szCs w:val="24"/>
        </w:rPr>
        <w:t>itself</w:t>
      </w:r>
      <w:proofErr w:type="gramEnd"/>
      <w:r w:rsidRPr="00355AA2">
        <w:rPr>
          <w:sz w:val="24"/>
          <w:szCs w:val="24"/>
        </w:rPr>
        <w:t xml:space="preserve"> already to dwell.”</w:t>
      </w:r>
      <w:r w:rsidRPr="00A06000">
        <w:rPr>
          <w:rStyle w:val="FootnoteReference"/>
        </w:rPr>
        <w:footnoteReference w:id="12"/>
      </w:r>
      <w:r w:rsidRPr="00355AA2">
        <w:rPr>
          <w:sz w:val="24"/>
          <w:szCs w:val="24"/>
        </w:rPr>
        <w:t xml:space="preserve">  The first of these – “building” – results in the physical structure of shelter, or</w:t>
      </w:r>
      <w:r w:rsidRPr="00355AA2">
        <w:rPr>
          <w:i/>
          <w:sz w:val="24"/>
          <w:szCs w:val="24"/>
        </w:rPr>
        <w:t xml:space="preserve"> housing</w:t>
      </w:r>
      <w:r w:rsidRPr="00355AA2">
        <w:rPr>
          <w:sz w:val="24"/>
          <w:szCs w:val="24"/>
        </w:rPr>
        <w:t>.  The second</w:t>
      </w:r>
      <w:r w:rsidR="00454BEC">
        <w:rPr>
          <w:sz w:val="24"/>
          <w:szCs w:val="24"/>
        </w:rPr>
        <w:t xml:space="preserve"> –</w:t>
      </w:r>
      <w:r>
        <w:rPr>
          <w:sz w:val="24"/>
          <w:szCs w:val="24"/>
        </w:rPr>
        <w:t xml:space="preserve"> </w:t>
      </w:r>
      <w:r w:rsidRPr="00355AA2">
        <w:rPr>
          <w:sz w:val="24"/>
          <w:szCs w:val="24"/>
        </w:rPr>
        <w:t>dwelling</w:t>
      </w:r>
      <w:r w:rsidR="00454BEC">
        <w:rPr>
          <w:sz w:val="24"/>
          <w:szCs w:val="24"/>
        </w:rPr>
        <w:t xml:space="preserve"> –</w:t>
      </w:r>
      <w:r w:rsidRPr="00355AA2">
        <w:rPr>
          <w:sz w:val="24"/>
          <w:szCs w:val="24"/>
        </w:rPr>
        <w:t xml:space="preserve"> </w:t>
      </w:r>
      <w:r>
        <w:rPr>
          <w:sz w:val="24"/>
          <w:szCs w:val="24"/>
        </w:rPr>
        <w:t>entail</w:t>
      </w:r>
      <w:r w:rsidR="00454BEC">
        <w:rPr>
          <w:sz w:val="24"/>
          <w:szCs w:val="24"/>
        </w:rPr>
        <w:t>s</w:t>
      </w:r>
      <w:r w:rsidRPr="00355AA2">
        <w:rPr>
          <w:sz w:val="24"/>
          <w:szCs w:val="24"/>
        </w:rPr>
        <w:t xml:space="preserve"> </w:t>
      </w:r>
      <w:r>
        <w:rPr>
          <w:sz w:val="24"/>
          <w:szCs w:val="24"/>
        </w:rPr>
        <w:t>a wide diversity of household practices.</w:t>
      </w:r>
      <w:r w:rsidR="005B7C20">
        <w:rPr>
          <w:sz w:val="24"/>
          <w:szCs w:val="24"/>
        </w:rPr>
        <w:t xml:space="preserve"> </w:t>
      </w:r>
      <w:r w:rsidR="005B7C20" w:rsidRPr="005B7C20">
        <w:rPr>
          <w:sz w:val="24"/>
          <w:szCs w:val="24"/>
        </w:rPr>
        <w:t>These two sides of home are integral and exist in dynamic relation to each other.  To insist upon the centrality of both is important because, as Iris Marion Young has shown, even Heidegger – who begins by positing this relation – goes on to privilege the work of building, while neglecting the work entailed in dwelling.</w:t>
      </w:r>
      <w:r w:rsidR="005B7C20" w:rsidRPr="00A06000">
        <w:rPr>
          <w:rStyle w:val="FootnoteReference"/>
        </w:rPr>
        <w:footnoteReference w:id="13"/>
      </w:r>
      <w:r w:rsidR="005B7C20" w:rsidRPr="005B7C20">
        <w:rPr>
          <w:sz w:val="24"/>
          <w:szCs w:val="24"/>
        </w:rPr>
        <w:t xml:space="preserve"> </w:t>
      </w:r>
    </w:p>
    <w:p w:rsidR="00F9147F" w:rsidRPr="00355AA2" w:rsidRDefault="00F9147F" w:rsidP="00A13285">
      <w:pPr>
        <w:spacing w:after="120" w:line="240" w:lineRule="auto"/>
        <w:rPr>
          <w:sz w:val="24"/>
          <w:szCs w:val="24"/>
        </w:rPr>
      </w:pPr>
      <w:r w:rsidRPr="00355AA2">
        <w:rPr>
          <w:sz w:val="24"/>
          <w:szCs w:val="24"/>
        </w:rPr>
        <w:t xml:space="preserve">Young critiques </w:t>
      </w:r>
      <w:r w:rsidR="005B7C20">
        <w:rPr>
          <w:sz w:val="24"/>
          <w:szCs w:val="24"/>
        </w:rPr>
        <w:t>Heidegger’s attribution of creativity distinct</w:t>
      </w:r>
      <w:r w:rsidR="00812287">
        <w:rPr>
          <w:sz w:val="24"/>
          <w:szCs w:val="24"/>
        </w:rPr>
        <w:t>ly</w:t>
      </w:r>
      <w:r w:rsidR="005B7C20">
        <w:rPr>
          <w:sz w:val="24"/>
          <w:szCs w:val="24"/>
        </w:rPr>
        <w:t xml:space="preserve"> to</w:t>
      </w:r>
      <w:r w:rsidRPr="00355AA2">
        <w:rPr>
          <w:sz w:val="24"/>
          <w:szCs w:val="24"/>
        </w:rPr>
        <w:t xml:space="preserve"> building as a male bias, only conceivable by presuming that women occupy a fixed and essentialized role as those who cultivate and preserve the dwelling space once built.  Stabilized in this way, it would appear that there is far less to say about the aspects of dwelling that aren’t focused upon building itself.  The rest </w:t>
      </w:r>
      <w:r>
        <w:rPr>
          <w:sz w:val="24"/>
          <w:szCs w:val="24"/>
        </w:rPr>
        <w:t>can seem</w:t>
      </w:r>
      <w:r w:rsidRPr="00355AA2">
        <w:rPr>
          <w:sz w:val="24"/>
          <w:szCs w:val="24"/>
        </w:rPr>
        <w:t xml:space="preserve"> to be mere “housework” – the endless, repetitive, gendered and instrumental labor of cleaning, cooking, and maintaining.  Young exposes and rejects this presumption that “all homemaking is housework,” however, thereby allowing us to recognize cultivation and preservation of dwelling as active processes of engaged subjects, which can only exist in dynamic relation to building.</w:t>
      </w:r>
      <w:r w:rsidRPr="00A06000">
        <w:rPr>
          <w:rStyle w:val="FootnoteReference"/>
        </w:rPr>
        <w:footnoteReference w:id="14"/>
      </w:r>
      <w:r w:rsidRPr="00355AA2">
        <w:rPr>
          <w:sz w:val="24"/>
          <w:szCs w:val="24"/>
        </w:rPr>
        <w:t xml:space="preserve">  </w:t>
      </w:r>
    </w:p>
    <w:p w:rsidR="002F5D4A" w:rsidRDefault="00F9147F" w:rsidP="00A13285">
      <w:pPr>
        <w:spacing w:after="120" w:line="240" w:lineRule="auto"/>
        <w:rPr>
          <w:sz w:val="24"/>
          <w:szCs w:val="24"/>
        </w:rPr>
      </w:pPr>
      <w:r w:rsidRPr="00355AA2">
        <w:rPr>
          <w:sz w:val="24"/>
          <w:szCs w:val="24"/>
        </w:rPr>
        <w:t xml:space="preserve">The engineering students who founded CCAT were necessarily focused upon building – or, in fact, re-building.  The house that they occupied and renovated was a vacant </w:t>
      </w:r>
      <w:r w:rsidR="00454BEC">
        <w:rPr>
          <w:sz w:val="24"/>
          <w:szCs w:val="24"/>
        </w:rPr>
        <w:t>and dilapidated</w:t>
      </w:r>
      <w:r w:rsidR="00454BEC" w:rsidRPr="00355AA2">
        <w:rPr>
          <w:sz w:val="24"/>
          <w:szCs w:val="24"/>
        </w:rPr>
        <w:t xml:space="preserve"> </w:t>
      </w:r>
      <w:r w:rsidRPr="00355AA2">
        <w:rPr>
          <w:sz w:val="24"/>
          <w:szCs w:val="24"/>
        </w:rPr>
        <w:t xml:space="preserve">residential structure in a neglected </w:t>
      </w:r>
      <w:r w:rsidR="00454BEC">
        <w:rPr>
          <w:sz w:val="24"/>
          <w:szCs w:val="24"/>
        </w:rPr>
        <w:t>corner</w:t>
      </w:r>
      <w:r w:rsidRPr="00355AA2">
        <w:rPr>
          <w:sz w:val="24"/>
          <w:szCs w:val="24"/>
        </w:rPr>
        <w:t xml:space="preserve"> of the university campus, slated to be set alight as training for firefighters.  In </w:t>
      </w:r>
      <w:r w:rsidR="002F5D4A">
        <w:rPr>
          <w:sz w:val="24"/>
          <w:szCs w:val="24"/>
        </w:rPr>
        <w:t xml:space="preserve">relatively </w:t>
      </w:r>
      <w:r w:rsidRPr="00355AA2">
        <w:rPr>
          <w:sz w:val="24"/>
          <w:szCs w:val="24"/>
        </w:rPr>
        <w:t>short order,</w:t>
      </w:r>
      <w:r w:rsidR="00812287">
        <w:rPr>
          <w:sz w:val="24"/>
          <w:szCs w:val="24"/>
        </w:rPr>
        <w:t xml:space="preserve"> and with the university’s tacit permission,</w:t>
      </w:r>
      <w:r w:rsidRPr="00355AA2">
        <w:rPr>
          <w:sz w:val="24"/>
          <w:szCs w:val="24"/>
        </w:rPr>
        <w:t xml:space="preserve"> they </w:t>
      </w:r>
      <w:r w:rsidR="002F5D4A">
        <w:rPr>
          <w:sz w:val="24"/>
          <w:szCs w:val="24"/>
        </w:rPr>
        <w:t xml:space="preserve">garnered extensive donations of money and materials, </w:t>
      </w:r>
      <w:r w:rsidRPr="00355AA2">
        <w:rPr>
          <w:sz w:val="24"/>
          <w:szCs w:val="24"/>
        </w:rPr>
        <w:t xml:space="preserve">renovated the interior, </w:t>
      </w:r>
      <w:r w:rsidR="002877FA">
        <w:rPr>
          <w:sz w:val="24"/>
          <w:szCs w:val="24"/>
        </w:rPr>
        <w:t xml:space="preserve">rewired the electricity, </w:t>
      </w:r>
      <w:r w:rsidRPr="00355AA2">
        <w:rPr>
          <w:sz w:val="24"/>
          <w:szCs w:val="24"/>
        </w:rPr>
        <w:t xml:space="preserve">poured insulation into the walls and ceiling, installed active solar technology, and began a longer process of developing and installing rainwater catchment, grey-water treatment, </w:t>
      </w:r>
      <w:r w:rsidR="002877FA">
        <w:rPr>
          <w:sz w:val="24"/>
          <w:szCs w:val="24"/>
        </w:rPr>
        <w:t xml:space="preserve">a </w:t>
      </w:r>
      <w:r w:rsidRPr="00355AA2">
        <w:rPr>
          <w:sz w:val="24"/>
          <w:szCs w:val="24"/>
        </w:rPr>
        <w:t>composting toilet, a greenhouse</w:t>
      </w:r>
      <w:r w:rsidR="002F5D4A">
        <w:rPr>
          <w:sz w:val="24"/>
          <w:szCs w:val="24"/>
        </w:rPr>
        <w:t xml:space="preserve"> that also provided passive solar heating</w:t>
      </w:r>
      <w:r w:rsidRPr="00355AA2">
        <w:rPr>
          <w:sz w:val="24"/>
          <w:szCs w:val="24"/>
        </w:rPr>
        <w:t>, and recla</w:t>
      </w:r>
      <w:r w:rsidR="002877FA">
        <w:rPr>
          <w:sz w:val="24"/>
          <w:szCs w:val="24"/>
        </w:rPr>
        <w:t>iming</w:t>
      </w:r>
      <w:r w:rsidRPr="00355AA2">
        <w:rPr>
          <w:sz w:val="24"/>
          <w:szCs w:val="24"/>
        </w:rPr>
        <w:t xml:space="preserve"> the surrounding </w:t>
      </w:r>
      <w:r>
        <w:rPr>
          <w:sz w:val="24"/>
          <w:szCs w:val="24"/>
        </w:rPr>
        <w:t>land</w:t>
      </w:r>
      <w:r w:rsidRPr="00355AA2">
        <w:rPr>
          <w:sz w:val="24"/>
          <w:szCs w:val="24"/>
        </w:rPr>
        <w:t xml:space="preserve"> for</w:t>
      </w:r>
      <w:r>
        <w:rPr>
          <w:sz w:val="24"/>
          <w:szCs w:val="24"/>
        </w:rPr>
        <w:t xml:space="preserve"> vegetable and herb</w:t>
      </w:r>
      <w:r w:rsidRPr="00355AA2">
        <w:rPr>
          <w:sz w:val="24"/>
          <w:szCs w:val="24"/>
        </w:rPr>
        <w:t xml:space="preserve"> gardens.</w:t>
      </w:r>
      <w:r w:rsidR="00CA6975" w:rsidRPr="00A06000">
        <w:rPr>
          <w:rStyle w:val="FootnoteReference"/>
        </w:rPr>
        <w:footnoteReference w:id="15"/>
      </w:r>
      <w:r w:rsidRPr="00355AA2">
        <w:rPr>
          <w:sz w:val="24"/>
          <w:szCs w:val="24"/>
        </w:rPr>
        <w:t xml:space="preserve">  </w:t>
      </w:r>
    </w:p>
    <w:p w:rsidR="00F9147F" w:rsidRPr="00355AA2" w:rsidRDefault="00F9147F" w:rsidP="00A13285">
      <w:pPr>
        <w:spacing w:after="120" w:line="240" w:lineRule="auto"/>
        <w:rPr>
          <w:sz w:val="24"/>
          <w:szCs w:val="24"/>
        </w:rPr>
      </w:pPr>
      <w:r w:rsidRPr="00355AA2">
        <w:rPr>
          <w:sz w:val="24"/>
          <w:szCs w:val="24"/>
        </w:rPr>
        <w:t xml:space="preserve">While hardly immune to gendered norms and stereotypes, as a residential student-run program rather than a nuclear family unit they could not presume that the household practices of cultivation and dwelling would be fixed based upon gender and made largely invisible.  That’s not to say that such matters always went smoothly.  In fact, many interpersonal conflicts and negotiations, some of them gendered, centered upon such matters as </w:t>
      </w:r>
      <w:r w:rsidR="00E90805">
        <w:rPr>
          <w:sz w:val="24"/>
          <w:szCs w:val="24"/>
        </w:rPr>
        <w:t>cleaning</w:t>
      </w:r>
      <w:r w:rsidRPr="00355AA2">
        <w:rPr>
          <w:sz w:val="24"/>
          <w:szCs w:val="24"/>
        </w:rPr>
        <w:t xml:space="preserve">, caring for the house’s (very) public spaces, and other essential household practices. </w:t>
      </w:r>
      <w:r w:rsidR="002F5D4A">
        <w:rPr>
          <w:sz w:val="24"/>
          <w:szCs w:val="24"/>
        </w:rPr>
        <w:t xml:space="preserve"> As the technologies and systems of the house have expanded, so </w:t>
      </w:r>
      <w:r w:rsidR="00E90805">
        <w:rPr>
          <w:sz w:val="24"/>
          <w:szCs w:val="24"/>
        </w:rPr>
        <w:t>have</w:t>
      </w:r>
      <w:r w:rsidR="002F5D4A">
        <w:rPr>
          <w:sz w:val="24"/>
          <w:szCs w:val="24"/>
        </w:rPr>
        <w:t xml:space="preserve"> the diversity of practices integral to dwelling within it.  </w:t>
      </w:r>
      <w:r w:rsidR="00515962">
        <w:rPr>
          <w:sz w:val="24"/>
          <w:szCs w:val="24"/>
        </w:rPr>
        <w:t xml:space="preserve">Building – especially for a house like CCAT – is an ongoing endeavor.  Nonetheless, for substantial periods in CCAT’s history, these projects have receded in importance while the focus on dwelling became primary. </w:t>
      </w:r>
      <w:r w:rsidR="00773E4D">
        <w:rPr>
          <w:sz w:val="24"/>
          <w:szCs w:val="24"/>
        </w:rPr>
        <w:t xml:space="preserve">Here the question is how to live with – and within – the building, </w:t>
      </w:r>
      <w:r w:rsidR="00AC6329">
        <w:rPr>
          <w:sz w:val="24"/>
          <w:szCs w:val="24"/>
        </w:rPr>
        <w:t xml:space="preserve">a dynamic and </w:t>
      </w:r>
      <w:r w:rsidR="001D5B0A">
        <w:rPr>
          <w:sz w:val="24"/>
          <w:szCs w:val="24"/>
        </w:rPr>
        <w:t>contested</w:t>
      </w:r>
      <w:r w:rsidR="00AC6329">
        <w:rPr>
          <w:sz w:val="24"/>
          <w:szCs w:val="24"/>
        </w:rPr>
        <w:t xml:space="preserve"> process that can never be determined by the systems or technologies </w:t>
      </w:r>
      <w:r w:rsidR="00AC6329">
        <w:rPr>
          <w:sz w:val="24"/>
          <w:szCs w:val="24"/>
        </w:rPr>
        <w:lastRenderedPageBreak/>
        <w:t xml:space="preserve">themselves.  </w:t>
      </w:r>
      <w:r w:rsidR="002F5D4A">
        <w:rPr>
          <w:sz w:val="24"/>
          <w:szCs w:val="24"/>
        </w:rPr>
        <w:t>I</w:t>
      </w:r>
      <w:r w:rsidRPr="00355AA2">
        <w:rPr>
          <w:sz w:val="24"/>
          <w:szCs w:val="24"/>
        </w:rPr>
        <w:t xml:space="preserve">t is </w:t>
      </w:r>
      <w:r w:rsidR="002F5D4A">
        <w:rPr>
          <w:sz w:val="24"/>
          <w:szCs w:val="24"/>
        </w:rPr>
        <w:t xml:space="preserve">in relation to these </w:t>
      </w:r>
      <w:r w:rsidR="00AC6329">
        <w:rPr>
          <w:sz w:val="24"/>
          <w:szCs w:val="24"/>
        </w:rPr>
        <w:t xml:space="preserve">household </w:t>
      </w:r>
      <w:r w:rsidR="002F5D4A">
        <w:rPr>
          <w:sz w:val="24"/>
          <w:szCs w:val="24"/>
        </w:rPr>
        <w:t>roles and responsibilities</w:t>
      </w:r>
      <w:r w:rsidRPr="00355AA2">
        <w:rPr>
          <w:sz w:val="24"/>
          <w:szCs w:val="24"/>
        </w:rPr>
        <w:t xml:space="preserve"> that it becomes clear that as an experiment in living, CCAT is necessarily about dwelling in the broadest sense, not just building, and that practices of dwelling are inescapably political.  </w:t>
      </w:r>
    </w:p>
    <w:p w:rsidR="00F9147F" w:rsidRPr="00355AA2" w:rsidRDefault="00F9147F" w:rsidP="00A13285">
      <w:pPr>
        <w:spacing w:after="120" w:line="240" w:lineRule="auto"/>
        <w:rPr>
          <w:sz w:val="24"/>
          <w:szCs w:val="24"/>
        </w:rPr>
      </w:pPr>
      <w:r w:rsidRPr="00355AA2">
        <w:rPr>
          <w:sz w:val="24"/>
          <w:szCs w:val="24"/>
        </w:rPr>
        <w:t xml:space="preserve">While the 1970s language of appropriate technology has not made a widespread comeback, the notion of a more environmentally sustainable home, and attention to household practices as central to sustainability, certainly has.  Moreover, the notion of a model or demonstration house has become widespread in recent years.   It’s not just </w:t>
      </w:r>
      <w:r w:rsidR="00E90805">
        <w:rPr>
          <w:sz w:val="24"/>
          <w:szCs w:val="24"/>
        </w:rPr>
        <w:t>LEED-</w:t>
      </w:r>
      <w:r w:rsidR="00515962">
        <w:rPr>
          <w:sz w:val="24"/>
          <w:szCs w:val="24"/>
        </w:rPr>
        <w:t xml:space="preserve">certified or other so-called </w:t>
      </w:r>
      <w:r w:rsidRPr="00355AA2">
        <w:rPr>
          <w:sz w:val="24"/>
          <w:szCs w:val="24"/>
        </w:rPr>
        <w:t xml:space="preserve">sustainable buildings and systems that have garnered attention; public accounts – often in the form of blogs, books, and other narratives – of </w:t>
      </w:r>
      <w:r>
        <w:rPr>
          <w:sz w:val="24"/>
          <w:szCs w:val="24"/>
        </w:rPr>
        <w:t>a</w:t>
      </w:r>
      <w:r w:rsidRPr="00355AA2">
        <w:rPr>
          <w:sz w:val="24"/>
          <w:szCs w:val="24"/>
        </w:rPr>
        <w:t xml:space="preserve"> household’s practices, have also become widespread in recent years.</w:t>
      </w:r>
      <w:r w:rsidRPr="00A06000">
        <w:rPr>
          <w:rStyle w:val="FootnoteReference"/>
        </w:rPr>
        <w:footnoteReference w:id="16"/>
      </w:r>
      <w:r w:rsidRPr="00355AA2">
        <w:rPr>
          <w:sz w:val="24"/>
          <w:szCs w:val="24"/>
        </w:rPr>
        <w:t xml:space="preserve">  CCAT anticipated much of this recent growth of model homes and sustainable living experiments by several decades.   As </w:t>
      </w:r>
      <w:proofErr w:type="spellStart"/>
      <w:r w:rsidR="007E0251">
        <w:rPr>
          <w:sz w:val="24"/>
          <w:szCs w:val="24"/>
        </w:rPr>
        <w:t>Noortje</w:t>
      </w:r>
      <w:proofErr w:type="spellEnd"/>
      <w:r w:rsidR="007E0251">
        <w:rPr>
          <w:sz w:val="24"/>
          <w:szCs w:val="24"/>
        </w:rPr>
        <w:t xml:space="preserve"> </w:t>
      </w:r>
      <w:proofErr w:type="spellStart"/>
      <w:r w:rsidRPr="00355AA2">
        <w:rPr>
          <w:sz w:val="24"/>
          <w:szCs w:val="24"/>
        </w:rPr>
        <w:t>Marres</w:t>
      </w:r>
      <w:proofErr w:type="spellEnd"/>
      <w:r w:rsidRPr="00355AA2">
        <w:rPr>
          <w:sz w:val="24"/>
          <w:szCs w:val="24"/>
        </w:rPr>
        <w:t xml:space="preserve"> shows, the structures and systems of these homes, as well as technologies designed to monitor, document, and display their energy use and other sustainability-related features, invest these things with normative meaning that make them a public basis for political contestation.</w:t>
      </w:r>
      <w:r w:rsidRPr="00A06000">
        <w:rPr>
          <w:rStyle w:val="FootnoteReference"/>
        </w:rPr>
        <w:footnoteReference w:id="17"/>
      </w:r>
      <w:r w:rsidRPr="00355AA2">
        <w:rPr>
          <w:sz w:val="24"/>
          <w:szCs w:val="24"/>
        </w:rPr>
        <w:t xml:space="preserve">   </w:t>
      </w:r>
    </w:p>
    <w:p w:rsidR="00F9147F" w:rsidRPr="00355AA2" w:rsidRDefault="00F9147F" w:rsidP="00A13285">
      <w:pPr>
        <w:spacing w:after="120" w:line="240" w:lineRule="auto"/>
        <w:rPr>
          <w:sz w:val="24"/>
          <w:szCs w:val="24"/>
        </w:rPr>
      </w:pPr>
      <w:r w:rsidRPr="00355AA2">
        <w:rPr>
          <w:sz w:val="24"/>
          <w:szCs w:val="24"/>
        </w:rPr>
        <w:t>I’ve served as a member of CCAT’s advisory committee</w:t>
      </w:r>
      <w:r w:rsidR="00777138">
        <w:rPr>
          <w:sz w:val="24"/>
          <w:szCs w:val="24"/>
        </w:rPr>
        <w:t xml:space="preserve"> for many years now</w:t>
      </w:r>
      <w:r w:rsidRPr="00355AA2">
        <w:rPr>
          <w:sz w:val="24"/>
          <w:szCs w:val="24"/>
        </w:rPr>
        <w:t xml:space="preserve">.  Composed of present and former student leaders as well as other university and community representatives, this group has provided one of several spaces for regular discussion, debate, and evaluation of current and proposed projects, </w:t>
      </w:r>
      <w:r w:rsidR="007E0251">
        <w:rPr>
          <w:sz w:val="24"/>
          <w:szCs w:val="24"/>
        </w:rPr>
        <w:t>plans</w:t>
      </w:r>
      <w:r w:rsidRPr="00355AA2">
        <w:rPr>
          <w:sz w:val="24"/>
          <w:szCs w:val="24"/>
        </w:rPr>
        <w:t xml:space="preserve">, and systems at CCAT.  Meetings provide an opportunity for the more technically knowledgeable members to contribute their expertise in evaluating rapidly changing technologies and building techniques.  Yet far more </w:t>
      </w:r>
      <w:r w:rsidR="007E0251" w:rsidRPr="00355AA2">
        <w:rPr>
          <w:sz w:val="24"/>
          <w:szCs w:val="24"/>
        </w:rPr>
        <w:t>fundamental</w:t>
      </w:r>
      <w:r w:rsidRPr="00355AA2">
        <w:rPr>
          <w:sz w:val="24"/>
          <w:szCs w:val="24"/>
        </w:rPr>
        <w:t xml:space="preserve"> is an ongoing conversation about the ends and goals the group ought to be pursuing and the particular interpretations and values that members bring to bear on </w:t>
      </w:r>
      <w:r w:rsidR="007E0251">
        <w:rPr>
          <w:sz w:val="24"/>
          <w:szCs w:val="24"/>
        </w:rPr>
        <w:t>the inescapable</w:t>
      </w:r>
      <w:r w:rsidRPr="00355AA2">
        <w:rPr>
          <w:sz w:val="24"/>
          <w:szCs w:val="24"/>
        </w:rPr>
        <w:t xml:space="preserve"> </w:t>
      </w:r>
      <w:r w:rsidR="007E0251">
        <w:rPr>
          <w:sz w:val="24"/>
          <w:szCs w:val="24"/>
        </w:rPr>
        <w:t xml:space="preserve">and never-finally-settled </w:t>
      </w:r>
      <w:r w:rsidRPr="00355AA2">
        <w:rPr>
          <w:sz w:val="24"/>
          <w:szCs w:val="24"/>
        </w:rPr>
        <w:t>questions of what counts a</w:t>
      </w:r>
      <w:r w:rsidR="00290B9D">
        <w:rPr>
          <w:sz w:val="24"/>
          <w:szCs w:val="24"/>
        </w:rPr>
        <w:t>s “sustainable” or “appropriate</w:t>
      </w:r>
      <w:r w:rsidRPr="00355AA2">
        <w:rPr>
          <w:sz w:val="24"/>
          <w:szCs w:val="24"/>
        </w:rPr>
        <w:t xml:space="preserve">” </w:t>
      </w:r>
      <w:r w:rsidR="00290B9D">
        <w:rPr>
          <w:sz w:val="24"/>
          <w:szCs w:val="24"/>
        </w:rPr>
        <w:t xml:space="preserve">– not in the abstract, but in the concrete lived reality of CCAT’s residents and many other participants and visitors. </w:t>
      </w:r>
      <w:r w:rsidRPr="00355AA2">
        <w:rPr>
          <w:sz w:val="24"/>
          <w:szCs w:val="24"/>
        </w:rPr>
        <w:t xml:space="preserve">In this sense, the material practices of the household and systems of the house are best understood in </w:t>
      </w:r>
      <w:proofErr w:type="spellStart"/>
      <w:r w:rsidRPr="00355AA2">
        <w:rPr>
          <w:sz w:val="24"/>
          <w:szCs w:val="24"/>
        </w:rPr>
        <w:t>Latour’s</w:t>
      </w:r>
      <w:proofErr w:type="spellEnd"/>
      <w:r w:rsidRPr="00355AA2">
        <w:rPr>
          <w:sz w:val="24"/>
          <w:szCs w:val="24"/>
        </w:rPr>
        <w:t xml:space="preserve"> terms as </w:t>
      </w:r>
      <w:r w:rsidR="007A6EBA">
        <w:rPr>
          <w:sz w:val="24"/>
          <w:szCs w:val="24"/>
        </w:rPr>
        <w:t xml:space="preserve">conversations about </w:t>
      </w:r>
      <w:r w:rsidRPr="00355AA2">
        <w:rPr>
          <w:sz w:val="24"/>
          <w:szCs w:val="24"/>
        </w:rPr>
        <w:t>“matters of concern,” rather than fixed, uncontested “matters of fact.”</w:t>
      </w:r>
      <w:r w:rsidRPr="00A06000">
        <w:rPr>
          <w:rStyle w:val="FootnoteReference"/>
        </w:rPr>
        <w:footnoteReference w:id="18"/>
      </w:r>
    </w:p>
    <w:p w:rsidR="00F9147F" w:rsidRPr="00355AA2" w:rsidRDefault="00F9147F" w:rsidP="00A13285">
      <w:pPr>
        <w:spacing w:after="120" w:line="240" w:lineRule="auto"/>
        <w:rPr>
          <w:sz w:val="24"/>
          <w:szCs w:val="24"/>
        </w:rPr>
      </w:pPr>
      <w:r w:rsidRPr="00355AA2">
        <w:rPr>
          <w:sz w:val="24"/>
          <w:szCs w:val="24"/>
        </w:rPr>
        <w:t xml:space="preserve">I’ll offer two illustrations of this conversation here.  It was a point of pride and publicity </w:t>
      </w:r>
      <w:r w:rsidR="002E2124">
        <w:rPr>
          <w:sz w:val="24"/>
          <w:szCs w:val="24"/>
        </w:rPr>
        <w:t xml:space="preserve">years ago </w:t>
      </w:r>
      <w:r w:rsidRPr="00355AA2">
        <w:rPr>
          <w:sz w:val="24"/>
          <w:szCs w:val="24"/>
        </w:rPr>
        <w:t xml:space="preserve">when </w:t>
      </w:r>
      <w:r w:rsidR="007E0251">
        <w:rPr>
          <w:sz w:val="24"/>
          <w:szCs w:val="24"/>
        </w:rPr>
        <w:t xml:space="preserve">the group </w:t>
      </w:r>
      <w:r w:rsidRPr="00355AA2">
        <w:rPr>
          <w:sz w:val="24"/>
          <w:szCs w:val="24"/>
        </w:rPr>
        <w:t xml:space="preserve">cut the </w:t>
      </w:r>
      <w:r w:rsidR="00C613F9">
        <w:rPr>
          <w:sz w:val="24"/>
          <w:szCs w:val="24"/>
        </w:rPr>
        <w:t>cables</w:t>
      </w:r>
      <w:r w:rsidRPr="00355AA2">
        <w:rPr>
          <w:sz w:val="24"/>
          <w:szCs w:val="24"/>
        </w:rPr>
        <w:t xml:space="preserve"> tying the house to the </w:t>
      </w:r>
      <w:r w:rsidR="00C613F9" w:rsidRPr="00355AA2">
        <w:rPr>
          <w:sz w:val="24"/>
          <w:szCs w:val="24"/>
        </w:rPr>
        <w:t xml:space="preserve">electrical </w:t>
      </w:r>
      <w:r w:rsidR="00C613F9">
        <w:rPr>
          <w:sz w:val="24"/>
          <w:szCs w:val="24"/>
        </w:rPr>
        <w:t xml:space="preserve">utility’s </w:t>
      </w:r>
      <w:r w:rsidRPr="00355AA2">
        <w:rPr>
          <w:sz w:val="24"/>
          <w:szCs w:val="24"/>
        </w:rPr>
        <w:t xml:space="preserve">grid.  CCAT </w:t>
      </w:r>
      <w:r w:rsidR="00C613F9">
        <w:rPr>
          <w:sz w:val="24"/>
          <w:szCs w:val="24"/>
        </w:rPr>
        <w:t>assembled</w:t>
      </w:r>
      <w:r w:rsidRPr="00355AA2">
        <w:rPr>
          <w:sz w:val="24"/>
          <w:szCs w:val="24"/>
        </w:rPr>
        <w:t xml:space="preserve"> an extensive roof-top solar </w:t>
      </w:r>
      <w:r w:rsidR="002E2124">
        <w:rPr>
          <w:sz w:val="24"/>
          <w:szCs w:val="24"/>
        </w:rPr>
        <w:t xml:space="preserve">panel </w:t>
      </w:r>
      <w:r w:rsidRPr="00355AA2">
        <w:rPr>
          <w:sz w:val="24"/>
          <w:szCs w:val="24"/>
        </w:rPr>
        <w:t>array</w:t>
      </w:r>
      <w:r w:rsidR="002E2124">
        <w:rPr>
          <w:sz w:val="24"/>
          <w:szCs w:val="24"/>
        </w:rPr>
        <w:t xml:space="preserve"> early in their history</w:t>
      </w:r>
      <w:r w:rsidRPr="00355AA2">
        <w:rPr>
          <w:sz w:val="24"/>
          <w:szCs w:val="24"/>
        </w:rPr>
        <w:t>, and maintained a basement battery bank that</w:t>
      </w:r>
      <w:r w:rsidR="007E0251">
        <w:rPr>
          <w:sz w:val="24"/>
          <w:szCs w:val="24"/>
        </w:rPr>
        <w:t xml:space="preserve"> (when properly managed)</w:t>
      </w:r>
      <w:r w:rsidRPr="00355AA2">
        <w:rPr>
          <w:sz w:val="24"/>
          <w:szCs w:val="24"/>
        </w:rPr>
        <w:t xml:space="preserve"> supplied the house with a </w:t>
      </w:r>
      <w:r w:rsidR="00777F2C">
        <w:rPr>
          <w:sz w:val="24"/>
          <w:szCs w:val="24"/>
        </w:rPr>
        <w:t>steady</w:t>
      </w:r>
      <w:r w:rsidRPr="00355AA2">
        <w:rPr>
          <w:sz w:val="24"/>
          <w:szCs w:val="24"/>
        </w:rPr>
        <w:t xml:space="preserve"> supply of electricity even in </w:t>
      </w:r>
      <w:r w:rsidR="00C613F9">
        <w:rPr>
          <w:sz w:val="24"/>
          <w:szCs w:val="24"/>
        </w:rPr>
        <w:t>our</w:t>
      </w:r>
      <w:r w:rsidRPr="00355AA2">
        <w:rPr>
          <w:sz w:val="24"/>
          <w:szCs w:val="24"/>
        </w:rPr>
        <w:t xml:space="preserve"> foggy coastal climate.  Indeed, during statewide energy shortages and rolling blackouts that struck California in 2001, this independence from the grid became a </w:t>
      </w:r>
      <w:r w:rsidRPr="00355AA2">
        <w:rPr>
          <w:sz w:val="24"/>
          <w:szCs w:val="24"/>
        </w:rPr>
        <w:lastRenderedPageBreak/>
        <w:t>source of substantial media interest, generating state-wide and national news coverage.</w:t>
      </w:r>
      <w:r w:rsidRPr="00A06000">
        <w:rPr>
          <w:rStyle w:val="FootnoteReference"/>
        </w:rPr>
        <w:footnoteReference w:id="19"/>
      </w:r>
      <w:r w:rsidRPr="00355AA2">
        <w:rPr>
          <w:sz w:val="24"/>
          <w:szCs w:val="24"/>
        </w:rPr>
        <w:t xml:space="preserve"> Yet not long afterward, some were arguing that </w:t>
      </w:r>
      <w:r w:rsidR="002E2124">
        <w:rPr>
          <w:sz w:val="24"/>
          <w:szCs w:val="24"/>
        </w:rPr>
        <w:t xml:space="preserve">a newly </w:t>
      </w:r>
      <w:r w:rsidR="00C613F9">
        <w:rPr>
          <w:sz w:val="24"/>
          <w:szCs w:val="24"/>
        </w:rPr>
        <w:t>feasible</w:t>
      </w:r>
      <w:r w:rsidR="002E2124">
        <w:rPr>
          <w:sz w:val="24"/>
          <w:szCs w:val="24"/>
        </w:rPr>
        <w:t xml:space="preserve"> </w:t>
      </w:r>
      <w:r w:rsidRPr="00355AA2">
        <w:rPr>
          <w:sz w:val="24"/>
          <w:szCs w:val="24"/>
        </w:rPr>
        <w:t xml:space="preserve">“grid intertie,” whereby the rooftop solar </w:t>
      </w:r>
      <w:r w:rsidR="00CA6975">
        <w:rPr>
          <w:sz w:val="24"/>
          <w:szCs w:val="24"/>
        </w:rPr>
        <w:t xml:space="preserve">energy </w:t>
      </w:r>
      <w:r w:rsidRPr="00355AA2">
        <w:rPr>
          <w:sz w:val="24"/>
          <w:szCs w:val="24"/>
        </w:rPr>
        <w:t xml:space="preserve">system put power back into the electrical grid while the house </w:t>
      </w:r>
      <w:r w:rsidR="0002516B">
        <w:rPr>
          <w:sz w:val="24"/>
          <w:szCs w:val="24"/>
        </w:rPr>
        <w:t>simultaneously</w:t>
      </w:r>
      <w:r w:rsidRPr="00355AA2">
        <w:rPr>
          <w:sz w:val="24"/>
          <w:szCs w:val="24"/>
        </w:rPr>
        <w:t xml:space="preserve"> drew its electricity from the grid, was a more </w:t>
      </w:r>
      <w:r w:rsidR="00777F2C">
        <w:rPr>
          <w:sz w:val="24"/>
          <w:szCs w:val="24"/>
        </w:rPr>
        <w:t>“</w:t>
      </w:r>
      <w:r w:rsidRPr="00355AA2">
        <w:rPr>
          <w:sz w:val="24"/>
          <w:szCs w:val="24"/>
        </w:rPr>
        <w:t>appropriate</w:t>
      </w:r>
      <w:r w:rsidR="00777F2C">
        <w:rPr>
          <w:sz w:val="24"/>
          <w:szCs w:val="24"/>
        </w:rPr>
        <w:t>”</w:t>
      </w:r>
      <w:r w:rsidRPr="00355AA2">
        <w:rPr>
          <w:sz w:val="24"/>
          <w:szCs w:val="24"/>
        </w:rPr>
        <w:t xml:space="preserve"> system.  </w:t>
      </w:r>
      <w:r w:rsidR="0002516B">
        <w:rPr>
          <w:sz w:val="24"/>
          <w:szCs w:val="24"/>
        </w:rPr>
        <w:t>In</w:t>
      </w:r>
      <w:r w:rsidRPr="00355AA2">
        <w:rPr>
          <w:sz w:val="24"/>
          <w:szCs w:val="24"/>
        </w:rPr>
        <w:t xml:space="preserve"> part</w:t>
      </w:r>
      <w:r w:rsidR="0002516B">
        <w:rPr>
          <w:sz w:val="24"/>
          <w:szCs w:val="24"/>
        </w:rPr>
        <w:t>,</w:t>
      </w:r>
      <w:r w:rsidRPr="00355AA2">
        <w:rPr>
          <w:sz w:val="24"/>
          <w:szCs w:val="24"/>
        </w:rPr>
        <w:t xml:space="preserve"> this discussion revolved around the comparative technical strengths of battery systems and grid reliance</w:t>
      </w:r>
      <w:r w:rsidR="00CA6975">
        <w:rPr>
          <w:sz w:val="24"/>
          <w:szCs w:val="24"/>
        </w:rPr>
        <w:t xml:space="preserve">.  </w:t>
      </w:r>
      <w:r w:rsidR="002E2124">
        <w:rPr>
          <w:sz w:val="24"/>
          <w:szCs w:val="24"/>
        </w:rPr>
        <w:t>P</w:t>
      </w:r>
      <w:r w:rsidR="00CA6975">
        <w:rPr>
          <w:sz w:val="24"/>
          <w:szCs w:val="24"/>
        </w:rPr>
        <w:t xml:space="preserve">art of the </w:t>
      </w:r>
      <w:r w:rsidR="002E2124">
        <w:rPr>
          <w:sz w:val="24"/>
          <w:szCs w:val="24"/>
        </w:rPr>
        <w:t xml:space="preserve">assessment </w:t>
      </w:r>
      <w:r w:rsidR="00C613F9">
        <w:rPr>
          <w:sz w:val="24"/>
          <w:szCs w:val="24"/>
        </w:rPr>
        <w:t xml:space="preserve">also </w:t>
      </w:r>
      <w:r w:rsidR="002E2124">
        <w:rPr>
          <w:sz w:val="24"/>
          <w:szCs w:val="24"/>
        </w:rPr>
        <w:t>entailed</w:t>
      </w:r>
      <w:r w:rsidR="00CA6975">
        <w:rPr>
          <w:sz w:val="24"/>
          <w:szCs w:val="24"/>
        </w:rPr>
        <w:t xml:space="preserve"> an evaluation of the embedded energy and toxicity of the batteries</w:t>
      </w:r>
      <w:r w:rsidRPr="00355AA2">
        <w:rPr>
          <w:sz w:val="24"/>
          <w:szCs w:val="24"/>
        </w:rPr>
        <w:t xml:space="preserve">.  But </w:t>
      </w:r>
      <w:r w:rsidR="00C613F9">
        <w:rPr>
          <w:sz w:val="24"/>
          <w:szCs w:val="24"/>
        </w:rPr>
        <w:t>perhaps more</w:t>
      </w:r>
      <w:r w:rsidR="00CA6975">
        <w:rPr>
          <w:sz w:val="24"/>
          <w:szCs w:val="24"/>
        </w:rPr>
        <w:t xml:space="preserve"> vital </w:t>
      </w:r>
      <w:r w:rsidRPr="00355AA2">
        <w:rPr>
          <w:sz w:val="24"/>
          <w:szCs w:val="24"/>
        </w:rPr>
        <w:t xml:space="preserve">was the question of just what sort of values these </w:t>
      </w:r>
      <w:r w:rsidR="002E2124">
        <w:rPr>
          <w:sz w:val="24"/>
          <w:szCs w:val="24"/>
        </w:rPr>
        <w:t xml:space="preserve">differing </w:t>
      </w:r>
      <w:r w:rsidRPr="00355AA2">
        <w:rPr>
          <w:sz w:val="24"/>
          <w:szCs w:val="24"/>
        </w:rPr>
        <w:t>systems reflected.  Among the most persuasive arguments</w:t>
      </w:r>
      <w:r>
        <w:rPr>
          <w:sz w:val="24"/>
          <w:szCs w:val="24"/>
        </w:rPr>
        <w:t xml:space="preserve"> to many</w:t>
      </w:r>
      <w:r w:rsidRPr="00355AA2">
        <w:rPr>
          <w:sz w:val="24"/>
          <w:szCs w:val="24"/>
        </w:rPr>
        <w:t xml:space="preserve"> was one that associated the batteries with </w:t>
      </w:r>
      <w:r w:rsidRPr="00C613F9">
        <w:rPr>
          <w:i/>
          <w:sz w:val="24"/>
          <w:szCs w:val="24"/>
        </w:rPr>
        <w:t>in</w:t>
      </w:r>
      <w:r w:rsidRPr="00355AA2">
        <w:rPr>
          <w:sz w:val="24"/>
          <w:szCs w:val="24"/>
        </w:rPr>
        <w:t xml:space="preserve">dependence and the grid with </w:t>
      </w:r>
      <w:r w:rsidRPr="00C613F9">
        <w:rPr>
          <w:i/>
          <w:sz w:val="24"/>
          <w:szCs w:val="24"/>
        </w:rPr>
        <w:t>inter</w:t>
      </w:r>
      <w:r w:rsidRPr="00355AA2">
        <w:rPr>
          <w:sz w:val="24"/>
          <w:szCs w:val="24"/>
        </w:rPr>
        <w:t xml:space="preserve">dependence.  Framed in this manner, what had been a divided group coalesced around the </w:t>
      </w:r>
      <w:r w:rsidR="002E2124">
        <w:rPr>
          <w:sz w:val="24"/>
          <w:szCs w:val="24"/>
        </w:rPr>
        <w:t>“appropriateness”</w:t>
      </w:r>
      <w:r w:rsidRPr="00355AA2">
        <w:rPr>
          <w:sz w:val="24"/>
          <w:szCs w:val="24"/>
        </w:rPr>
        <w:t xml:space="preserve"> of acknowledging and modeling interdependence.  </w:t>
      </w:r>
    </w:p>
    <w:p w:rsidR="00310FF2" w:rsidRDefault="00F9147F" w:rsidP="00A13285">
      <w:pPr>
        <w:spacing w:after="120" w:line="240" w:lineRule="auto"/>
        <w:rPr>
          <w:sz w:val="24"/>
          <w:szCs w:val="24"/>
        </w:rPr>
      </w:pPr>
      <w:r w:rsidRPr="00355AA2">
        <w:rPr>
          <w:sz w:val="24"/>
          <w:szCs w:val="24"/>
        </w:rPr>
        <w:t xml:space="preserve">In roughly this same period, the organization confronted one of the most existential questions in its history.  The house that was CCAT was within the </w:t>
      </w:r>
      <w:r w:rsidR="00C613F9">
        <w:rPr>
          <w:sz w:val="24"/>
          <w:szCs w:val="24"/>
        </w:rPr>
        <w:t xml:space="preserve">planned </w:t>
      </w:r>
      <w:r w:rsidRPr="00355AA2">
        <w:rPr>
          <w:sz w:val="24"/>
          <w:szCs w:val="24"/>
        </w:rPr>
        <w:t>footprint of a large new academic building slated for construction</w:t>
      </w:r>
      <w:r w:rsidR="00FA57DF">
        <w:rPr>
          <w:sz w:val="24"/>
          <w:szCs w:val="24"/>
        </w:rPr>
        <w:t>, a development the organization was powerless to prevent</w:t>
      </w:r>
      <w:r w:rsidRPr="00355AA2">
        <w:rPr>
          <w:sz w:val="24"/>
          <w:szCs w:val="24"/>
        </w:rPr>
        <w:t xml:space="preserve">.  As part of this building project, </w:t>
      </w:r>
      <w:r>
        <w:rPr>
          <w:sz w:val="24"/>
          <w:szCs w:val="24"/>
        </w:rPr>
        <w:t>u</w:t>
      </w:r>
      <w:r w:rsidRPr="00355AA2">
        <w:rPr>
          <w:sz w:val="24"/>
          <w:szCs w:val="24"/>
        </w:rPr>
        <w:t xml:space="preserve">niversity officials proposed to move the organization to a house to be newly, and professionally, built for this purpose.  After extensive consultation, discussion, and debate -- and to the surprise of many -- the organization turned down the offer of new construction.  Instead, they chose to move the aging, existing house – with </w:t>
      </w:r>
      <w:r w:rsidR="00C613F9">
        <w:rPr>
          <w:sz w:val="24"/>
          <w:szCs w:val="24"/>
        </w:rPr>
        <w:t xml:space="preserve">all </w:t>
      </w:r>
      <w:r w:rsidRPr="00355AA2">
        <w:rPr>
          <w:sz w:val="24"/>
          <w:szCs w:val="24"/>
        </w:rPr>
        <w:t xml:space="preserve">its </w:t>
      </w:r>
      <w:r w:rsidR="00C613F9">
        <w:rPr>
          <w:sz w:val="24"/>
          <w:szCs w:val="24"/>
        </w:rPr>
        <w:t xml:space="preserve">quirks, </w:t>
      </w:r>
      <w:r w:rsidRPr="00355AA2">
        <w:rPr>
          <w:sz w:val="24"/>
          <w:szCs w:val="24"/>
        </w:rPr>
        <w:t>many student renovations</w:t>
      </w:r>
      <w:r w:rsidR="00C613F9">
        <w:rPr>
          <w:sz w:val="24"/>
          <w:szCs w:val="24"/>
        </w:rPr>
        <w:t>,</w:t>
      </w:r>
      <w:r w:rsidRPr="00355AA2">
        <w:rPr>
          <w:sz w:val="24"/>
          <w:szCs w:val="24"/>
        </w:rPr>
        <w:t xml:space="preserve"> and extensive history – onto a new and </w:t>
      </w:r>
      <w:r w:rsidR="00C613F9">
        <w:rPr>
          <w:sz w:val="24"/>
          <w:szCs w:val="24"/>
        </w:rPr>
        <w:t xml:space="preserve">more </w:t>
      </w:r>
      <w:r w:rsidRPr="00355AA2">
        <w:rPr>
          <w:sz w:val="24"/>
          <w:szCs w:val="24"/>
        </w:rPr>
        <w:t>expan</w:t>
      </w:r>
      <w:r w:rsidR="00C613F9">
        <w:rPr>
          <w:sz w:val="24"/>
          <w:szCs w:val="24"/>
        </w:rPr>
        <w:t>sive</w:t>
      </w:r>
      <w:r w:rsidRPr="00355AA2">
        <w:rPr>
          <w:sz w:val="24"/>
          <w:szCs w:val="24"/>
        </w:rPr>
        <w:t xml:space="preserve"> foundation a short distance away.  For those outside </w:t>
      </w:r>
      <w:r w:rsidR="00C613F9">
        <w:rPr>
          <w:sz w:val="24"/>
          <w:szCs w:val="24"/>
        </w:rPr>
        <w:t xml:space="preserve">the organization </w:t>
      </w:r>
      <w:r w:rsidRPr="00355AA2">
        <w:rPr>
          <w:sz w:val="24"/>
          <w:szCs w:val="24"/>
        </w:rPr>
        <w:t xml:space="preserve">(and some on the inside) who regarded </w:t>
      </w:r>
      <w:r w:rsidR="00772C8F">
        <w:rPr>
          <w:sz w:val="24"/>
          <w:szCs w:val="24"/>
        </w:rPr>
        <w:t>CCAT</w:t>
      </w:r>
      <w:r w:rsidR="00777F2C">
        <w:rPr>
          <w:sz w:val="24"/>
          <w:szCs w:val="24"/>
        </w:rPr>
        <w:t xml:space="preserve"> </w:t>
      </w:r>
      <w:r w:rsidR="00772C8F">
        <w:rPr>
          <w:sz w:val="24"/>
          <w:szCs w:val="24"/>
        </w:rPr>
        <w:t xml:space="preserve">first and foremost </w:t>
      </w:r>
      <w:r w:rsidRPr="00355AA2">
        <w:rPr>
          <w:sz w:val="24"/>
          <w:szCs w:val="24"/>
        </w:rPr>
        <w:t xml:space="preserve">as a demonstration site for cutting-edge sustainable technologies, this decision was hard to fathom.  </w:t>
      </w:r>
    </w:p>
    <w:p w:rsidR="00F9147F" w:rsidRPr="00355AA2" w:rsidRDefault="00F9147F" w:rsidP="00A13285">
      <w:pPr>
        <w:spacing w:after="120" w:line="240" w:lineRule="auto"/>
        <w:rPr>
          <w:sz w:val="24"/>
          <w:szCs w:val="24"/>
        </w:rPr>
      </w:pPr>
      <w:r w:rsidRPr="00355AA2">
        <w:rPr>
          <w:sz w:val="24"/>
          <w:szCs w:val="24"/>
        </w:rPr>
        <w:t>Yet as should already be clear, the organization’s primary identity</w:t>
      </w:r>
      <w:r w:rsidR="00310FF2">
        <w:rPr>
          <w:sz w:val="24"/>
          <w:szCs w:val="24"/>
        </w:rPr>
        <w:t xml:space="preserve"> was never rooted in this model</w:t>
      </w:r>
      <w:r w:rsidRPr="00355AA2">
        <w:rPr>
          <w:sz w:val="24"/>
          <w:szCs w:val="24"/>
        </w:rPr>
        <w:t xml:space="preserve">.  Instead, students, past and present, saw in the existing house </w:t>
      </w:r>
      <w:r w:rsidRPr="00355AA2">
        <w:rPr>
          <w:i/>
          <w:sz w:val="24"/>
          <w:szCs w:val="24"/>
        </w:rPr>
        <w:t>their</w:t>
      </w:r>
      <w:r w:rsidRPr="00355AA2">
        <w:rPr>
          <w:sz w:val="24"/>
          <w:szCs w:val="24"/>
        </w:rPr>
        <w:t xml:space="preserve"> house, which reflected a deep attachment as well as a demonstration of the</w:t>
      </w:r>
      <w:r w:rsidR="00112B50">
        <w:rPr>
          <w:sz w:val="24"/>
          <w:szCs w:val="24"/>
        </w:rPr>
        <w:t>ir</w:t>
      </w:r>
      <w:r w:rsidRPr="00355AA2">
        <w:rPr>
          <w:sz w:val="24"/>
          <w:szCs w:val="24"/>
        </w:rPr>
        <w:t xml:space="preserve"> success in creat</w:t>
      </w:r>
      <w:r w:rsidR="00CC583E">
        <w:rPr>
          <w:sz w:val="24"/>
          <w:szCs w:val="24"/>
        </w:rPr>
        <w:t>ing a sustainable household</w:t>
      </w:r>
      <w:r w:rsidRPr="00355AA2">
        <w:rPr>
          <w:sz w:val="24"/>
          <w:szCs w:val="24"/>
        </w:rPr>
        <w:t xml:space="preserve"> by </w:t>
      </w:r>
      <w:r w:rsidR="00CC583E">
        <w:rPr>
          <w:sz w:val="24"/>
          <w:szCs w:val="24"/>
        </w:rPr>
        <w:t xml:space="preserve">building upon, and </w:t>
      </w:r>
      <w:r w:rsidRPr="00355AA2">
        <w:rPr>
          <w:sz w:val="24"/>
          <w:szCs w:val="24"/>
        </w:rPr>
        <w:t>working with</w:t>
      </w:r>
      <w:r w:rsidR="00CC583E">
        <w:rPr>
          <w:sz w:val="24"/>
          <w:szCs w:val="24"/>
        </w:rPr>
        <w:t>,</w:t>
      </w:r>
      <w:r w:rsidRPr="00355AA2">
        <w:rPr>
          <w:sz w:val="24"/>
          <w:szCs w:val="24"/>
        </w:rPr>
        <w:t xml:space="preserve"> what </w:t>
      </w:r>
      <w:proofErr w:type="gramStart"/>
      <w:r w:rsidRPr="00355AA2">
        <w:rPr>
          <w:sz w:val="24"/>
          <w:szCs w:val="24"/>
        </w:rPr>
        <w:t>already</w:t>
      </w:r>
      <w:proofErr w:type="gramEnd"/>
      <w:r w:rsidRPr="00355AA2">
        <w:rPr>
          <w:sz w:val="24"/>
          <w:szCs w:val="24"/>
        </w:rPr>
        <w:t xml:space="preserve"> exists rather than starting from scratch.  </w:t>
      </w:r>
      <w:r w:rsidR="00FA57DF">
        <w:rPr>
          <w:sz w:val="24"/>
          <w:szCs w:val="24"/>
        </w:rPr>
        <w:t xml:space="preserve">Living in a home embedded with the labor and creativity of previous generations of students was not only valued by those from the past, but also by the then-current generation of students.  </w:t>
      </w:r>
      <w:r w:rsidRPr="00355AA2">
        <w:rPr>
          <w:sz w:val="24"/>
          <w:szCs w:val="24"/>
        </w:rPr>
        <w:t>Here, the decision reflects the understanding of home articulated by cultural geographers such as Alison Blunt and Robyn Dowling, who argue that, “[h]</w:t>
      </w:r>
      <w:proofErr w:type="spellStart"/>
      <w:r w:rsidRPr="00355AA2">
        <w:rPr>
          <w:sz w:val="24"/>
          <w:szCs w:val="24"/>
        </w:rPr>
        <w:t>ome</w:t>
      </w:r>
      <w:proofErr w:type="spellEnd"/>
      <w:r w:rsidRPr="00355AA2">
        <w:rPr>
          <w:sz w:val="24"/>
          <w:szCs w:val="24"/>
        </w:rPr>
        <w:t xml:space="preserve">… is a </w:t>
      </w:r>
      <w:r w:rsidRPr="00355AA2">
        <w:rPr>
          <w:i/>
          <w:iCs/>
          <w:sz w:val="24"/>
          <w:szCs w:val="24"/>
        </w:rPr>
        <w:t>place</w:t>
      </w:r>
      <w:r w:rsidRPr="00355AA2">
        <w:rPr>
          <w:sz w:val="24"/>
          <w:szCs w:val="24"/>
        </w:rPr>
        <w:t>, a site in which we live.  But, more than this, home is also an idea and an imaginary that is imbued with feelings” and that ultimately it is “neither the dwelling nor the feeling, but the relation between the two.”</w:t>
      </w:r>
      <w:r w:rsidRPr="00A06000">
        <w:rPr>
          <w:rStyle w:val="FootnoteReference"/>
        </w:rPr>
        <w:footnoteReference w:id="20"/>
      </w:r>
      <w:r w:rsidRPr="00355AA2">
        <w:rPr>
          <w:sz w:val="24"/>
          <w:szCs w:val="24"/>
        </w:rPr>
        <w:t xml:space="preserve">  Moreover, by working </w:t>
      </w:r>
      <w:r w:rsidR="00FA57DF">
        <w:rPr>
          <w:sz w:val="24"/>
          <w:szCs w:val="24"/>
        </w:rPr>
        <w:t>to improve</w:t>
      </w:r>
      <w:r w:rsidRPr="00355AA2">
        <w:rPr>
          <w:sz w:val="24"/>
          <w:szCs w:val="24"/>
        </w:rPr>
        <w:t xml:space="preserve"> what they had rather than building from scratch, CCAT </w:t>
      </w:r>
      <w:r w:rsidR="00F567C2">
        <w:rPr>
          <w:sz w:val="24"/>
          <w:szCs w:val="24"/>
        </w:rPr>
        <w:t xml:space="preserve">actively </w:t>
      </w:r>
      <w:r w:rsidRPr="00355AA2">
        <w:rPr>
          <w:sz w:val="24"/>
          <w:szCs w:val="24"/>
        </w:rPr>
        <w:t>cho</w:t>
      </w:r>
      <w:r w:rsidR="00112B50">
        <w:rPr>
          <w:sz w:val="24"/>
          <w:szCs w:val="24"/>
        </w:rPr>
        <w:t>se</w:t>
      </w:r>
      <w:r w:rsidRPr="00355AA2">
        <w:rPr>
          <w:sz w:val="24"/>
          <w:szCs w:val="24"/>
        </w:rPr>
        <w:t xml:space="preserve"> to model the challenges involved promoting sustainability in existing homes and communities elsewhere, rather than modeling the technological possibilities available when designing upon a blank slate.  </w:t>
      </w:r>
    </w:p>
    <w:p w:rsidR="00F9147F" w:rsidRPr="00355AA2" w:rsidRDefault="00F9147F" w:rsidP="00A13285">
      <w:pPr>
        <w:spacing w:after="120" w:line="240" w:lineRule="auto"/>
        <w:rPr>
          <w:sz w:val="24"/>
          <w:szCs w:val="24"/>
        </w:rPr>
      </w:pPr>
      <w:r w:rsidRPr="00355AA2">
        <w:rPr>
          <w:sz w:val="24"/>
          <w:szCs w:val="24"/>
        </w:rPr>
        <w:lastRenderedPageBreak/>
        <w:t xml:space="preserve">“Sure,” one might </w:t>
      </w:r>
      <w:r w:rsidR="00112B50">
        <w:rPr>
          <w:sz w:val="24"/>
          <w:szCs w:val="24"/>
        </w:rPr>
        <w:t>observe</w:t>
      </w:r>
      <w:r w:rsidRPr="00355AA2">
        <w:rPr>
          <w:sz w:val="24"/>
          <w:szCs w:val="24"/>
        </w:rPr>
        <w:t xml:space="preserve">, “CCAT might be a home, of sorts, but it is hardly typical of the dynamics or challenges of many other homes and households.”  </w:t>
      </w:r>
      <w:r>
        <w:rPr>
          <w:sz w:val="24"/>
          <w:szCs w:val="24"/>
        </w:rPr>
        <w:t>A</w:t>
      </w:r>
      <w:r w:rsidRPr="00355AA2">
        <w:rPr>
          <w:sz w:val="24"/>
          <w:szCs w:val="24"/>
        </w:rPr>
        <w:t xml:space="preserve"> </w:t>
      </w:r>
      <w:r w:rsidR="00ED2D42">
        <w:rPr>
          <w:sz w:val="24"/>
          <w:szCs w:val="24"/>
        </w:rPr>
        <w:t>reasonable</w:t>
      </w:r>
      <w:r w:rsidRPr="00355AA2">
        <w:rPr>
          <w:sz w:val="24"/>
          <w:szCs w:val="24"/>
        </w:rPr>
        <w:t xml:space="preserve"> point, but </w:t>
      </w:r>
      <w:r>
        <w:rPr>
          <w:sz w:val="24"/>
          <w:szCs w:val="24"/>
        </w:rPr>
        <w:t xml:space="preserve">this </w:t>
      </w:r>
      <w:r w:rsidRPr="00355AA2">
        <w:rPr>
          <w:sz w:val="24"/>
          <w:szCs w:val="24"/>
        </w:rPr>
        <w:t>doesn’t cut as deeply as it might seem at first.  First, like CCAT, many households are composed of unrelated members: 2010 census statistics in the U.S. identified nearly 34% as “nonfamily households,” including people living alone or nonrelatives living together.</w:t>
      </w:r>
      <w:r w:rsidRPr="00A06000">
        <w:rPr>
          <w:rStyle w:val="FootnoteReference"/>
        </w:rPr>
        <w:footnoteReference w:id="21"/>
      </w:r>
      <w:r w:rsidRPr="00355AA2">
        <w:rPr>
          <w:sz w:val="24"/>
          <w:szCs w:val="24"/>
        </w:rPr>
        <w:t xml:space="preserve">  Second, like many other households, CCAT members return frequently, maintain ongoing connections, and remain invested in the preservation of its past, the vitality of its present, and promise of its future.  In the end, it is to a large degree these familiar elements of home, more than the specific technologies operationalized on the site that make the organization lasting and significant.  </w:t>
      </w:r>
    </w:p>
    <w:p w:rsidR="00F9147F" w:rsidRPr="00355AA2" w:rsidRDefault="00F9147F" w:rsidP="00A13285">
      <w:pPr>
        <w:spacing w:after="120" w:line="240" w:lineRule="auto"/>
        <w:rPr>
          <w:sz w:val="24"/>
          <w:szCs w:val="24"/>
        </w:rPr>
      </w:pPr>
      <w:r w:rsidRPr="00355AA2">
        <w:rPr>
          <w:sz w:val="24"/>
          <w:szCs w:val="24"/>
        </w:rPr>
        <w:t xml:space="preserve">When Langdon Winner critiqued the 1970s appropriate technology movement by </w:t>
      </w:r>
      <w:r w:rsidR="00B56956">
        <w:rPr>
          <w:sz w:val="24"/>
          <w:szCs w:val="24"/>
        </w:rPr>
        <w:t>describing</w:t>
      </w:r>
      <w:r w:rsidRPr="00355AA2">
        <w:rPr>
          <w:sz w:val="24"/>
          <w:szCs w:val="24"/>
        </w:rPr>
        <w:t xml:space="preserve"> the limits of its “mousetrap” theory of social change, he was only focusing in part upon the movement’s </w:t>
      </w:r>
      <w:r w:rsidR="00112B50">
        <w:rPr>
          <w:sz w:val="24"/>
          <w:szCs w:val="24"/>
        </w:rPr>
        <w:t>technological orientation</w:t>
      </w:r>
      <w:r w:rsidRPr="00355AA2">
        <w:rPr>
          <w:sz w:val="24"/>
          <w:szCs w:val="24"/>
        </w:rPr>
        <w:t xml:space="preserve"> itself.  </w:t>
      </w:r>
      <w:r>
        <w:rPr>
          <w:sz w:val="24"/>
          <w:szCs w:val="24"/>
        </w:rPr>
        <w:t>More urgently, he</w:t>
      </w:r>
      <w:r w:rsidRPr="00355AA2">
        <w:rPr>
          <w:sz w:val="24"/>
          <w:szCs w:val="24"/>
        </w:rPr>
        <w:t xml:space="preserve"> worried that it reflected a retreat into the private sphere and so an avoidance of difficult public challenges of power and politics.  Appropriate technologists “…dropped out of political activity and began a certain kind of sociotechnical tinkering: roof gardens, solar collectors, and windmills.”</w:t>
      </w:r>
      <w:r w:rsidRPr="00A06000">
        <w:rPr>
          <w:rStyle w:val="FootnoteReference"/>
        </w:rPr>
        <w:footnoteReference w:id="22"/>
      </w:r>
      <w:r w:rsidRPr="00355AA2">
        <w:rPr>
          <w:sz w:val="24"/>
          <w:szCs w:val="24"/>
        </w:rPr>
        <w:t xml:space="preserve">  This location in the private sphere led to an implicit faith in consumer choice – and </w:t>
      </w:r>
      <w:r w:rsidR="00112B50">
        <w:rPr>
          <w:sz w:val="24"/>
          <w:szCs w:val="24"/>
        </w:rPr>
        <w:t xml:space="preserve">the </w:t>
      </w:r>
      <w:r w:rsidR="0003349E">
        <w:rPr>
          <w:sz w:val="24"/>
          <w:szCs w:val="24"/>
        </w:rPr>
        <w:t xml:space="preserve">supposedly invisible hand of the </w:t>
      </w:r>
      <w:r w:rsidR="00112B50">
        <w:rPr>
          <w:sz w:val="24"/>
          <w:szCs w:val="24"/>
        </w:rPr>
        <w:t>marketplace</w:t>
      </w:r>
      <w:r w:rsidRPr="00355AA2">
        <w:rPr>
          <w:sz w:val="24"/>
          <w:szCs w:val="24"/>
        </w:rPr>
        <w:t xml:space="preserve"> – as the driver of change.  As he put it: </w:t>
      </w:r>
    </w:p>
    <w:p w:rsidR="00F9147F" w:rsidRPr="00355AA2" w:rsidRDefault="00F9147F" w:rsidP="00A13285">
      <w:pPr>
        <w:pStyle w:val="blockquote"/>
        <w:ind w:firstLine="0"/>
        <w:rPr>
          <w:sz w:val="24"/>
          <w:szCs w:val="24"/>
        </w:rPr>
      </w:pPr>
      <w:r w:rsidRPr="00355AA2">
        <w:rPr>
          <w:sz w:val="24"/>
          <w:szCs w:val="24"/>
        </w:rPr>
        <w:t>People would, in effect, vote on the shape of the future through their consumer/builder choices. This notion of social change provided the underlying rationale for the amazing emphasis on do-it-yourself manuals, catalogues, demonstration sites, information sharing, and "networking" that characterized appropriate technology during its heyday.</w:t>
      </w:r>
      <w:r w:rsidRPr="00A06000">
        <w:rPr>
          <w:rStyle w:val="FootnoteReference"/>
        </w:rPr>
        <w:footnoteReference w:id="23"/>
      </w:r>
    </w:p>
    <w:p w:rsidR="00F9147F" w:rsidRPr="00355AA2" w:rsidRDefault="00F9147F" w:rsidP="00A13285">
      <w:pPr>
        <w:spacing w:after="120" w:line="240" w:lineRule="auto"/>
        <w:ind w:firstLine="0"/>
        <w:rPr>
          <w:sz w:val="24"/>
          <w:szCs w:val="24"/>
        </w:rPr>
      </w:pPr>
      <w:r w:rsidRPr="00355AA2">
        <w:rPr>
          <w:sz w:val="24"/>
          <w:szCs w:val="24"/>
        </w:rPr>
        <w:t>CCAT is not immune to this sort of notion.  Yet a</w:t>
      </w:r>
      <w:r w:rsidR="00112B50">
        <w:rPr>
          <w:sz w:val="24"/>
          <w:szCs w:val="24"/>
        </w:rPr>
        <w:t>n apolitical</w:t>
      </w:r>
      <w:r w:rsidRPr="00355AA2">
        <w:rPr>
          <w:sz w:val="24"/>
          <w:szCs w:val="24"/>
        </w:rPr>
        <w:t xml:space="preserve"> retreat into the private is not consistent with the actual practice of the organization</w:t>
      </w:r>
      <w:r w:rsidR="00B56956">
        <w:rPr>
          <w:sz w:val="24"/>
          <w:szCs w:val="24"/>
        </w:rPr>
        <w:t xml:space="preserve"> or those drawn to it</w:t>
      </w:r>
      <w:r w:rsidRPr="00355AA2">
        <w:rPr>
          <w:sz w:val="24"/>
          <w:szCs w:val="24"/>
        </w:rPr>
        <w:t xml:space="preserve">, which intimates a different approach to change.  </w:t>
      </w:r>
      <w:r w:rsidR="00E94D8B">
        <w:rPr>
          <w:sz w:val="24"/>
          <w:szCs w:val="24"/>
        </w:rPr>
        <w:t>Developing these contrasting approaches here will prove useful.</w:t>
      </w:r>
    </w:p>
    <w:p w:rsidR="00112B50" w:rsidRDefault="00F9147F" w:rsidP="00A13285">
      <w:pPr>
        <w:spacing w:after="120" w:line="240" w:lineRule="auto"/>
        <w:rPr>
          <w:sz w:val="24"/>
          <w:szCs w:val="24"/>
        </w:rPr>
      </w:pPr>
      <w:r w:rsidRPr="00355AA2">
        <w:rPr>
          <w:sz w:val="24"/>
          <w:szCs w:val="24"/>
        </w:rPr>
        <w:t>I have already suggested why this organization and its home cannot be properly understood as a mere display of technologies</w:t>
      </w:r>
      <w:r w:rsidR="00754ECB">
        <w:rPr>
          <w:sz w:val="24"/>
          <w:szCs w:val="24"/>
        </w:rPr>
        <w:t>.</w:t>
      </w:r>
      <w:r w:rsidRPr="00355AA2">
        <w:rPr>
          <w:sz w:val="24"/>
          <w:szCs w:val="24"/>
        </w:rPr>
        <w:t xml:space="preserve">  Such a display would be largely static (or, </w:t>
      </w:r>
      <w:r w:rsidR="0089505C">
        <w:rPr>
          <w:sz w:val="24"/>
          <w:szCs w:val="24"/>
        </w:rPr>
        <w:t>would</w:t>
      </w:r>
      <w:r w:rsidRPr="00355AA2">
        <w:rPr>
          <w:sz w:val="24"/>
          <w:szCs w:val="24"/>
        </w:rPr>
        <w:t xml:space="preserve"> be upgraded at set intervals to incorporate advances in technology) and its builders would be largely invisible or irrelevant to its purpose</w:t>
      </w:r>
      <w:r w:rsidR="00E94D8B">
        <w:rPr>
          <w:sz w:val="24"/>
          <w:szCs w:val="24"/>
        </w:rPr>
        <w:t xml:space="preserve"> – hence the question of whether students or professionals did the work would be unimportant, </w:t>
      </w:r>
      <w:r w:rsidR="00E6317A">
        <w:rPr>
          <w:sz w:val="24"/>
          <w:szCs w:val="24"/>
        </w:rPr>
        <w:t>apart from questions of</w:t>
      </w:r>
      <w:r w:rsidR="00E94D8B">
        <w:rPr>
          <w:sz w:val="24"/>
          <w:szCs w:val="24"/>
        </w:rPr>
        <w:t xml:space="preserve"> overall quality and aesthetics.</w:t>
      </w:r>
      <w:r w:rsidRPr="00355AA2">
        <w:rPr>
          <w:sz w:val="24"/>
          <w:szCs w:val="24"/>
        </w:rPr>
        <w:t xml:space="preserve"> </w:t>
      </w:r>
      <w:r w:rsidR="0089505C">
        <w:rPr>
          <w:sz w:val="24"/>
          <w:szCs w:val="24"/>
        </w:rPr>
        <w:t xml:space="preserve"> </w:t>
      </w:r>
      <w:r w:rsidR="00E6317A">
        <w:rPr>
          <w:sz w:val="24"/>
          <w:szCs w:val="24"/>
        </w:rPr>
        <w:t>In such a display home</w:t>
      </w:r>
      <w:r w:rsidR="0089505C">
        <w:rPr>
          <w:sz w:val="24"/>
          <w:szCs w:val="24"/>
        </w:rPr>
        <w:t xml:space="preserve">, visitors would be cast primarily as prospective consumers, exposed to </w:t>
      </w:r>
      <w:r w:rsidR="00E6317A">
        <w:rPr>
          <w:sz w:val="24"/>
          <w:szCs w:val="24"/>
        </w:rPr>
        <w:t xml:space="preserve">staged </w:t>
      </w:r>
      <w:r w:rsidR="0089505C">
        <w:rPr>
          <w:sz w:val="24"/>
          <w:szCs w:val="24"/>
        </w:rPr>
        <w:t xml:space="preserve">demonstrations of </w:t>
      </w:r>
      <w:r w:rsidR="00112B50">
        <w:rPr>
          <w:sz w:val="24"/>
          <w:szCs w:val="24"/>
        </w:rPr>
        <w:t>gadgets and systems</w:t>
      </w:r>
      <w:r w:rsidR="0089505C">
        <w:rPr>
          <w:sz w:val="24"/>
          <w:szCs w:val="24"/>
        </w:rPr>
        <w:t xml:space="preserve"> that they might later purchase </w:t>
      </w:r>
      <w:r w:rsidR="00E94D8B">
        <w:rPr>
          <w:sz w:val="24"/>
          <w:szCs w:val="24"/>
        </w:rPr>
        <w:t xml:space="preserve">or adopt </w:t>
      </w:r>
      <w:r w:rsidR="0089505C">
        <w:rPr>
          <w:sz w:val="24"/>
          <w:szCs w:val="24"/>
        </w:rPr>
        <w:t xml:space="preserve">for their own home.  </w:t>
      </w:r>
      <w:r w:rsidR="00E94D8B">
        <w:rPr>
          <w:sz w:val="24"/>
          <w:szCs w:val="24"/>
        </w:rPr>
        <w:t xml:space="preserve">Interestingly, such a model </w:t>
      </w:r>
      <w:r w:rsidR="004D11A8">
        <w:rPr>
          <w:sz w:val="24"/>
          <w:szCs w:val="24"/>
        </w:rPr>
        <w:t xml:space="preserve">would </w:t>
      </w:r>
      <w:r w:rsidR="000358BD">
        <w:rPr>
          <w:sz w:val="24"/>
          <w:szCs w:val="24"/>
        </w:rPr>
        <w:t xml:space="preserve">also </w:t>
      </w:r>
      <w:r w:rsidR="00E94D8B">
        <w:rPr>
          <w:sz w:val="24"/>
          <w:szCs w:val="24"/>
        </w:rPr>
        <w:t>encourage invisibility for the very te</w:t>
      </w:r>
      <w:r w:rsidR="000358BD">
        <w:rPr>
          <w:sz w:val="24"/>
          <w:szCs w:val="24"/>
        </w:rPr>
        <w:t xml:space="preserve">chnologies being demonstrated, just as these are invisible in conventional homes in postindustrial societies.  The demonstration is most effective if solar electricity powers lights at the flip of a switch just as in “regular” houses.  </w:t>
      </w:r>
      <w:r w:rsidR="00E6317A">
        <w:rPr>
          <w:sz w:val="24"/>
          <w:szCs w:val="24"/>
        </w:rPr>
        <w:t>T</w:t>
      </w:r>
      <w:r w:rsidR="000358BD">
        <w:rPr>
          <w:sz w:val="24"/>
          <w:szCs w:val="24"/>
        </w:rPr>
        <w:t xml:space="preserve">he kitchen sink </w:t>
      </w:r>
      <w:r w:rsidR="00E6317A">
        <w:rPr>
          <w:sz w:val="24"/>
          <w:szCs w:val="24"/>
        </w:rPr>
        <w:t>could be</w:t>
      </w:r>
      <w:r w:rsidR="000358BD">
        <w:rPr>
          <w:sz w:val="24"/>
          <w:szCs w:val="24"/>
        </w:rPr>
        <w:t xml:space="preserve"> connected to a grey-water marsh, </w:t>
      </w:r>
      <w:r w:rsidR="00E6317A">
        <w:rPr>
          <w:sz w:val="24"/>
          <w:szCs w:val="24"/>
        </w:rPr>
        <w:t>but it would</w:t>
      </w:r>
      <w:r w:rsidR="000358BD">
        <w:rPr>
          <w:sz w:val="24"/>
          <w:szCs w:val="24"/>
        </w:rPr>
        <w:t xml:space="preserve"> still drain water in the “usual” way. </w:t>
      </w:r>
      <w:r w:rsidR="00641353">
        <w:rPr>
          <w:sz w:val="24"/>
          <w:szCs w:val="24"/>
        </w:rPr>
        <w:t xml:space="preserve"> Here, green or appropriate </w:t>
      </w:r>
      <w:r w:rsidR="00641353">
        <w:rPr>
          <w:sz w:val="24"/>
          <w:szCs w:val="24"/>
        </w:rPr>
        <w:lastRenderedPageBreak/>
        <w:t xml:space="preserve">technologies reduce resource usage for a given task, but </w:t>
      </w:r>
      <w:r w:rsidR="00C95D44">
        <w:rPr>
          <w:sz w:val="24"/>
          <w:szCs w:val="24"/>
        </w:rPr>
        <w:t xml:space="preserve">are regarded as fixed goods to be consumed </w:t>
      </w:r>
      <w:r w:rsidR="00F9325E">
        <w:rPr>
          <w:sz w:val="24"/>
          <w:szCs w:val="24"/>
        </w:rPr>
        <w:t xml:space="preserve">in a manner that </w:t>
      </w:r>
      <w:r w:rsidR="00C95D44">
        <w:rPr>
          <w:sz w:val="24"/>
          <w:szCs w:val="24"/>
        </w:rPr>
        <w:t>minim</w:t>
      </w:r>
      <w:r w:rsidR="00F9325E">
        <w:rPr>
          <w:sz w:val="24"/>
          <w:szCs w:val="24"/>
        </w:rPr>
        <w:t>izes</w:t>
      </w:r>
      <w:r w:rsidR="00641353">
        <w:rPr>
          <w:sz w:val="24"/>
          <w:szCs w:val="24"/>
        </w:rPr>
        <w:t xml:space="preserve"> visibility and impact upon household practices.</w:t>
      </w:r>
    </w:p>
    <w:p w:rsidR="00F9147F" w:rsidRPr="00355AA2" w:rsidRDefault="0089505C" w:rsidP="00A13285">
      <w:pPr>
        <w:spacing w:after="120" w:line="240" w:lineRule="auto"/>
        <w:rPr>
          <w:sz w:val="24"/>
          <w:szCs w:val="24"/>
        </w:rPr>
      </w:pPr>
      <w:r>
        <w:rPr>
          <w:sz w:val="24"/>
          <w:szCs w:val="24"/>
        </w:rPr>
        <w:t>B</w:t>
      </w:r>
      <w:r w:rsidR="00F9147F" w:rsidRPr="00355AA2">
        <w:rPr>
          <w:sz w:val="24"/>
          <w:szCs w:val="24"/>
        </w:rPr>
        <w:t xml:space="preserve">y contrast, I have argued here that CCAT is better understood as an experiment in living and an ongoing conversation.  </w:t>
      </w:r>
      <w:r>
        <w:rPr>
          <w:sz w:val="24"/>
          <w:szCs w:val="24"/>
        </w:rPr>
        <w:t xml:space="preserve">The “appropriateness” of the technologies and systems are not presented as fixed properties of ‘off-the-shelf’ products or designs, but are tentative assessments of the particular fit between particular strategies or systems, the character, location, and </w:t>
      </w:r>
      <w:r w:rsidR="00B05CF5">
        <w:rPr>
          <w:sz w:val="24"/>
          <w:szCs w:val="24"/>
        </w:rPr>
        <w:t>practices of those using</w:t>
      </w:r>
      <w:r>
        <w:rPr>
          <w:sz w:val="24"/>
          <w:szCs w:val="24"/>
        </w:rPr>
        <w:t xml:space="preserve"> the house itself, and the values embraced by the current </w:t>
      </w:r>
      <w:r w:rsidR="00027CDB">
        <w:rPr>
          <w:sz w:val="24"/>
          <w:szCs w:val="24"/>
        </w:rPr>
        <w:t xml:space="preserve">generation of student leaders. </w:t>
      </w:r>
      <w:r>
        <w:rPr>
          <w:sz w:val="24"/>
          <w:szCs w:val="24"/>
        </w:rPr>
        <w:t xml:space="preserve"> </w:t>
      </w:r>
      <w:r w:rsidR="00B04D5C">
        <w:rPr>
          <w:sz w:val="24"/>
          <w:szCs w:val="24"/>
        </w:rPr>
        <w:t>T</w:t>
      </w:r>
      <w:r w:rsidR="00F9147F" w:rsidRPr="00355AA2">
        <w:rPr>
          <w:sz w:val="24"/>
          <w:szCs w:val="24"/>
        </w:rPr>
        <w:t xml:space="preserve">hese elements can be encompassed in a form of democratic citizenship, in which the conversation is always embedded in the experiment; that is, the material practices are always at the core of the reflective discussions, judgments, and decisions made.  </w:t>
      </w:r>
    </w:p>
    <w:p w:rsidR="008D66E8" w:rsidRDefault="00F9147F" w:rsidP="00A13285">
      <w:pPr>
        <w:spacing w:after="120" w:line="240" w:lineRule="auto"/>
        <w:rPr>
          <w:sz w:val="24"/>
          <w:szCs w:val="24"/>
        </w:rPr>
      </w:pPr>
      <w:r w:rsidRPr="00355AA2">
        <w:rPr>
          <w:sz w:val="24"/>
          <w:szCs w:val="24"/>
        </w:rPr>
        <w:t xml:space="preserve">Conversation </w:t>
      </w:r>
      <w:r w:rsidR="00FF0C06">
        <w:rPr>
          <w:sz w:val="24"/>
          <w:szCs w:val="24"/>
        </w:rPr>
        <w:t>and action emanate from student residents</w:t>
      </w:r>
      <w:r w:rsidRPr="00355AA2">
        <w:rPr>
          <w:sz w:val="24"/>
          <w:szCs w:val="24"/>
        </w:rPr>
        <w:t xml:space="preserve">’ </w:t>
      </w:r>
      <w:r w:rsidR="004E388F">
        <w:rPr>
          <w:sz w:val="24"/>
          <w:szCs w:val="24"/>
        </w:rPr>
        <w:t xml:space="preserve">intimate </w:t>
      </w:r>
      <w:r w:rsidRPr="00355AA2">
        <w:rPr>
          <w:sz w:val="24"/>
          <w:szCs w:val="24"/>
        </w:rPr>
        <w:t xml:space="preserve">participation in the complex assemblage of material systems and practices that encompass the household and home – including its surrounding gardens and other facilities.  The spaces within and around the house are a hub for countless hands-on workshops, meetings, speakers, and other educational events, as well as volunteer workdays, concerts, and other performances.  The line between “private” living space and “public” gathering spaces are subject to </w:t>
      </w:r>
      <w:r w:rsidR="002118C6">
        <w:rPr>
          <w:sz w:val="24"/>
          <w:szCs w:val="24"/>
        </w:rPr>
        <w:t xml:space="preserve">ongoing </w:t>
      </w:r>
      <w:r w:rsidRPr="00355AA2">
        <w:rPr>
          <w:sz w:val="24"/>
          <w:szCs w:val="24"/>
        </w:rPr>
        <w:t>negotiation</w:t>
      </w:r>
      <w:r w:rsidR="002118C6">
        <w:rPr>
          <w:sz w:val="24"/>
          <w:szCs w:val="24"/>
        </w:rPr>
        <w:t xml:space="preserve"> and change</w:t>
      </w:r>
      <w:r w:rsidRPr="00355AA2">
        <w:rPr>
          <w:sz w:val="24"/>
          <w:szCs w:val="24"/>
        </w:rPr>
        <w:t xml:space="preserve">, but it is evident that both physically and metaphorically that line is fuzzy.  Moreover, those who make the house their home do not simply maintain the house and program, nor even lead the organization.  </w:t>
      </w:r>
    </w:p>
    <w:p w:rsidR="00F9147F" w:rsidRPr="00355AA2" w:rsidRDefault="00F9147F" w:rsidP="00A13285">
      <w:pPr>
        <w:spacing w:after="120" w:line="240" w:lineRule="auto"/>
        <w:rPr>
          <w:sz w:val="24"/>
          <w:szCs w:val="24"/>
        </w:rPr>
      </w:pPr>
      <w:r w:rsidRPr="00355AA2">
        <w:rPr>
          <w:sz w:val="24"/>
          <w:szCs w:val="24"/>
        </w:rPr>
        <w:t>The experience both of living with such a rich array of technologies, gardens, and other systems and of negotiating their preservation and development with fellow students is transformative for virtually all of them. With real-time monitors of their energy consumption, they become much more</w:t>
      </w:r>
      <w:r w:rsidR="004D11A8">
        <w:rPr>
          <w:sz w:val="24"/>
          <w:szCs w:val="24"/>
        </w:rPr>
        <w:t xml:space="preserve"> aware and</w:t>
      </w:r>
      <w:r w:rsidRPr="00355AA2">
        <w:rPr>
          <w:sz w:val="24"/>
          <w:szCs w:val="24"/>
        </w:rPr>
        <w:t xml:space="preserve"> knowledgeable about the sources and magnitudes of impact by various activities of daily life.  By actually living comfortably with systems that allow them to minimize their ecological footprint, they are able to challenge narratives that equate such living with deprivation or loss.  Yet – perhaps surprisingly – by living amidst technologies that remain outside the mainstream experience of many, they also become acutely aware that </w:t>
      </w:r>
      <w:r w:rsidR="008D66E8">
        <w:rPr>
          <w:sz w:val="24"/>
          <w:szCs w:val="24"/>
        </w:rPr>
        <w:t xml:space="preserve">these </w:t>
      </w:r>
      <w:r w:rsidRPr="00355AA2">
        <w:rPr>
          <w:sz w:val="24"/>
          <w:szCs w:val="24"/>
        </w:rPr>
        <w:t>are necessarily entwined with decisions and priorities about how to live well</w:t>
      </w:r>
      <w:r w:rsidR="008D66E8">
        <w:rPr>
          <w:sz w:val="24"/>
          <w:szCs w:val="24"/>
        </w:rPr>
        <w:t xml:space="preserve"> – a broad and apt definition of politics itself</w:t>
      </w:r>
      <w:r w:rsidRPr="00355AA2">
        <w:rPr>
          <w:sz w:val="24"/>
          <w:szCs w:val="24"/>
        </w:rPr>
        <w:t xml:space="preserve">.  The consequence of these experiences is that they not only act as organizational leaders, but become far more grounded, knowledgeable, and engaged citizens in the course of doing so.  </w:t>
      </w:r>
    </w:p>
    <w:p w:rsidR="00F9147F" w:rsidRPr="00355AA2" w:rsidRDefault="00F9147F" w:rsidP="00A13285">
      <w:pPr>
        <w:spacing w:after="120" w:line="240" w:lineRule="auto"/>
        <w:rPr>
          <w:sz w:val="24"/>
          <w:szCs w:val="24"/>
        </w:rPr>
      </w:pPr>
      <w:r>
        <w:rPr>
          <w:sz w:val="24"/>
          <w:szCs w:val="24"/>
        </w:rPr>
        <w:t>As noted previously,</w:t>
      </w:r>
      <w:r w:rsidRPr="00355AA2">
        <w:rPr>
          <w:sz w:val="24"/>
          <w:szCs w:val="24"/>
        </w:rPr>
        <w:t xml:space="preserve"> </w:t>
      </w:r>
      <w:proofErr w:type="spellStart"/>
      <w:r w:rsidR="00CA070F" w:rsidRPr="00355AA2">
        <w:rPr>
          <w:sz w:val="24"/>
          <w:szCs w:val="24"/>
        </w:rPr>
        <w:t>Sherilyn</w:t>
      </w:r>
      <w:proofErr w:type="spellEnd"/>
      <w:r w:rsidR="00CA070F" w:rsidRPr="00355AA2">
        <w:rPr>
          <w:sz w:val="24"/>
          <w:szCs w:val="24"/>
        </w:rPr>
        <w:t xml:space="preserve"> </w:t>
      </w:r>
      <w:proofErr w:type="spellStart"/>
      <w:r w:rsidR="00CA070F" w:rsidRPr="00355AA2">
        <w:rPr>
          <w:sz w:val="24"/>
          <w:szCs w:val="24"/>
        </w:rPr>
        <w:t>MacGregor</w:t>
      </w:r>
      <w:proofErr w:type="spellEnd"/>
      <w:r w:rsidR="00CA070F" w:rsidRPr="00355AA2">
        <w:rPr>
          <w:sz w:val="24"/>
          <w:szCs w:val="24"/>
        </w:rPr>
        <w:t xml:space="preserve"> </w:t>
      </w:r>
      <w:r w:rsidRPr="00355AA2">
        <w:rPr>
          <w:sz w:val="24"/>
          <w:szCs w:val="24"/>
        </w:rPr>
        <w:t xml:space="preserve">argues persuasively that much of women’s environmental activism </w:t>
      </w:r>
      <w:r w:rsidR="007210AF">
        <w:rPr>
          <w:sz w:val="24"/>
          <w:szCs w:val="24"/>
        </w:rPr>
        <w:t>is best</w:t>
      </w:r>
      <w:r w:rsidRPr="00355AA2">
        <w:rPr>
          <w:sz w:val="24"/>
          <w:szCs w:val="24"/>
        </w:rPr>
        <w:t xml:space="preserve"> conceptualized in the public language of citizenship rather than the private language of care.  </w:t>
      </w:r>
      <w:proofErr w:type="spellStart"/>
      <w:r w:rsidRPr="00355AA2">
        <w:rPr>
          <w:sz w:val="24"/>
          <w:szCs w:val="24"/>
        </w:rPr>
        <w:t>MacGregor</w:t>
      </w:r>
      <w:proofErr w:type="spellEnd"/>
      <w:r w:rsidRPr="00355AA2">
        <w:rPr>
          <w:sz w:val="24"/>
          <w:szCs w:val="24"/>
        </w:rPr>
        <w:t xml:space="preserve"> argues</w:t>
      </w:r>
      <w:r>
        <w:rPr>
          <w:sz w:val="24"/>
          <w:szCs w:val="24"/>
        </w:rPr>
        <w:t xml:space="preserve"> that</w:t>
      </w:r>
      <w:r w:rsidRPr="00355AA2">
        <w:rPr>
          <w:sz w:val="24"/>
          <w:szCs w:val="24"/>
        </w:rPr>
        <w:t xml:space="preserve"> while the private roles of mother and care-giver are often deployed</w:t>
      </w:r>
      <w:r w:rsidR="007210AF">
        <w:rPr>
          <w:sz w:val="24"/>
          <w:szCs w:val="24"/>
        </w:rPr>
        <w:t xml:space="preserve"> strategically</w:t>
      </w:r>
      <w:r w:rsidRPr="00355AA2">
        <w:rPr>
          <w:sz w:val="24"/>
          <w:szCs w:val="24"/>
        </w:rPr>
        <w:t xml:space="preserve"> by</w:t>
      </w:r>
      <w:r w:rsidR="007210AF">
        <w:rPr>
          <w:sz w:val="24"/>
          <w:szCs w:val="24"/>
        </w:rPr>
        <w:t xml:space="preserve"> activists in this context, their </w:t>
      </w:r>
      <w:r w:rsidR="007210AF" w:rsidRPr="00355AA2">
        <w:rPr>
          <w:sz w:val="24"/>
          <w:szCs w:val="24"/>
        </w:rPr>
        <w:t>engagement</w:t>
      </w:r>
      <w:r w:rsidRPr="00355AA2">
        <w:rPr>
          <w:sz w:val="24"/>
          <w:szCs w:val="24"/>
        </w:rPr>
        <w:t xml:space="preserve"> is rarely </w:t>
      </w:r>
      <w:r w:rsidR="007210AF">
        <w:rPr>
          <w:sz w:val="24"/>
          <w:szCs w:val="24"/>
        </w:rPr>
        <w:t xml:space="preserve">a straightforward reflection of these roles.  Like the CCAT students, </w:t>
      </w:r>
      <w:r w:rsidRPr="00355AA2">
        <w:rPr>
          <w:sz w:val="24"/>
          <w:szCs w:val="24"/>
        </w:rPr>
        <w:t>typically those drawn to the cause</w:t>
      </w:r>
      <w:r w:rsidR="00C92235">
        <w:rPr>
          <w:sz w:val="24"/>
          <w:szCs w:val="24"/>
        </w:rPr>
        <w:t xml:space="preserve"> are transformed as they</w:t>
      </w:r>
      <w:r w:rsidRPr="00355AA2">
        <w:rPr>
          <w:sz w:val="24"/>
          <w:szCs w:val="24"/>
        </w:rPr>
        <w:t xml:space="preserve"> become active, public leaders.  As Robert Gottlieb described,</w:t>
      </w:r>
    </w:p>
    <w:p w:rsidR="00F9147F" w:rsidRPr="00355AA2" w:rsidRDefault="00F9147F" w:rsidP="00A13285">
      <w:pPr>
        <w:pStyle w:val="blockquote"/>
        <w:ind w:firstLine="0"/>
        <w:rPr>
          <w:sz w:val="24"/>
          <w:szCs w:val="24"/>
        </w:rPr>
      </w:pPr>
      <w:r w:rsidRPr="00355AA2">
        <w:rPr>
          <w:sz w:val="24"/>
          <w:szCs w:val="24"/>
        </w:rPr>
        <w:t xml:space="preserve">Engagement in the movement… has often transformed how [these women] perceive their own identities as well.  As organizers and leaders who become </w:t>
      </w:r>
      <w:r w:rsidRPr="00355AA2">
        <w:rPr>
          <w:sz w:val="24"/>
          <w:szCs w:val="24"/>
        </w:rPr>
        <w:lastRenderedPageBreak/>
        <w:t xml:space="preserve">capable of questioning and challenging various sources of institutional power, many of the women in the </w:t>
      </w:r>
      <w:proofErr w:type="spellStart"/>
      <w:r w:rsidRPr="00355AA2">
        <w:rPr>
          <w:sz w:val="24"/>
          <w:szCs w:val="24"/>
        </w:rPr>
        <w:t>antitoxics</w:t>
      </w:r>
      <w:proofErr w:type="spellEnd"/>
      <w:r w:rsidRPr="00355AA2">
        <w:rPr>
          <w:sz w:val="24"/>
          <w:szCs w:val="24"/>
        </w:rPr>
        <w:t xml:space="preserve"> groups are transformed, in the eyes of others, into different people…</w:t>
      </w:r>
      <w:r w:rsidRPr="00A06000">
        <w:rPr>
          <w:rStyle w:val="FootnoteReference"/>
        </w:rPr>
        <w:footnoteReference w:id="24"/>
      </w:r>
    </w:p>
    <w:p w:rsidR="00CF4686" w:rsidRDefault="00CA070F" w:rsidP="00A13285">
      <w:pPr>
        <w:spacing w:after="120" w:line="240" w:lineRule="auto"/>
        <w:ind w:firstLine="0"/>
        <w:rPr>
          <w:sz w:val="24"/>
          <w:szCs w:val="24"/>
        </w:rPr>
      </w:pPr>
      <w:r>
        <w:rPr>
          <w:sz w:val="24"/>
          <w:szCs w:val="24"/>
        </w:rPr>
        <w:t>T</w:t>
      </w:r>
      <w:r w:rsidR="00F9147F" w:rsidRPr="00355AA2">
        <w:rPr>
          <w:sz w:val="24"/>
          <w:szCs w:val="24"/>
        </w:rPr>
        <w:t xml:space="preserve">he fit between CCAT’s decidedly public character and both </w:t>
      </w:r>
      <w:proofErr w:type="spellStart"/>
      <w:r w:rsidR="00F9147F" w:rsidRPr="00355AA2">
        <w:rPr>
          <w:sz w:val="24"/>
          <w:szCs w:val="24"/>
        </w:rPr>
        <w:t>MacGregor</w:t>
      </w:r>
      <w:proofErr w:type="spellEnd"/>
      <w:r w:rsidR="00F9147F" w:rsidRPr="00355AA2">
        <w:rPr>
          <w:sz w:val="24"/>
          <w:szCs w:val="24"/>
        </w:rPr>
        <w:t xml:space="preserve"> and Gottlieb’s accounts </w:t>
      </w:r>
      <w:r w:rsidR="007210AF">
        <w:rPr>
          <w:sz w:val="24"/>
          <w:szCs w:val="24"/>
        </w:rPr>
        <w:t>is a good one</w:t>
      </w:r>
      <w:r w:rsidR="00F9147F" w:rsidRPr="00355AA2">
        <w:rPr>
          <w:sz w:val="24"/>
          <w:szCs w:val="24"/>
        </w:rPr>
        <w:t xml:space="preserve">.  </w:t>
      </w:r>
      <w:r w:rsidR="00C92235">
        <w:rPr>
          <w:sz w:val="24"/>
          <w:szCs w:val="24"/>
        </w:rPr>
        <w:t xml:space="preserve">Those who have lived in the house have gone on to become planning directors and teachers, activists, community-supported farmers, </w:t>
      </w:r>
      <w:r w:rsidR="00AF2EB0">
        <w:rPr>
          <w:sz w:val="24"/>
          <w:szCs w:val="24"/>
        </w:rPr>
        <w:t xml:space="preserve">NGO leaders, and </w:t>
      </w:r>
      <w:r w:rsidR="00C92235">
        <w:rPr>
          <w:sz w:val="24"/>
          <w:szCs w:val="24"/>
        </w:rPr>
        <w:t>policymakers. The home became a base for lives as active citizens rather than a retreat into private household practices</w:t>
      </w:r>
      <w:r w:rsidR="00F5133B">
        <w:rPr>
          <w:sz w:val="24"/>
          <w:szCs w:val="24"/>
        </w:rPr>
        <w:t xml:space="preserve"> or technological tinkering</w:t>
      </w:r>
      <w:r w:rsidR="00C92235">
        <w:rPr>
          <w:sz w:val="24"/>
          <w:szCs w:val="24"/>
        </w:rPr>
        <w:t xml:space="preserve">.  </w:t>
      </w:r>
      <w:r w:rsidR="00B519DB">
        <w:rPr>
          <w:sz w:val="24"/>
          <w:szCs w:val="24"/>
        </w:rPr>
        <w:t>In this sense, once again, and despite its many atypical characteristics, CCAT is</w:t>
      </w:r>
      <w:r w:rsidR="006760EE">
        <w:rPr>
          <w:sz w:val="24"/>
          <w:szCs w:val="24"/>
        </w:rPr>
        <w:t xml:space="preserve"> </w:t>
      </w:r>
      <w:r w:rsidR="00A40C67">
        <w:rPr>
          <w:sz w:val="24"/>
          <w:szCs w:val="24"/>
        </w:rPr>
        <w:t>suggestive</w:t>
      </w:r>
      <w:r w:rsidR="00F9147F" w:rsidRPr="00355AA2">
        <w:rPr>
          <w:sz w:val="24"/>
          <w:szCs w:val="24"/>
        </w:rPr>
        <w:t xml:space="preserve"> </w:t>
      </w:r>
      <w:r w:rsidR="00B519DB">
        <w:rPr>
          <w:sz w:val="24"/>
          <w:szCs w:val="24"/>
        </w:rPr>
        <w:t>of</w:t>
      </w:r>
      <w:r w:rsidR="00F9147F" w:rsidRPr="00355AA2">
        <w:rPr>
          <w:sz w:val="24"/>
          <w:szCs w:val="24"/>
        </w:rPr>
        <w:t xml:space="preserve"> the </w:t>
      </w:r>
      <w:r w:rsidR="00F670D9">
        <w:rPr>
          <w:sz w:val="24"/>
          <w:szCs w:val="24"/>
        </w:rPr>
        <w:t xml:space="preserve">never-purely-private </w:t>
      </w:r>
      <w:r w:rsidR="00F9147F" w:rsidRPr="00355AA2">
        <w:rPr>
          <w:sz w:val="24"/>
          <w:szCs w:val="24"/>
        </w:rPr>
        <w:t xml:space="preserve">character of home.  </w:t>
      </w:r>
    </w:p>
    <w:p w:rsidR="001A6301" w:rsidRPr="00FA1835" w:rsidRDefault="00A06000" w:rsidP="00A13285">
      <w:pPr>
        <w:pStyle w:val="Heading1"/>
        <w:numPr>
          <w:ilvl w:val="0"/>
          <w:numId w:val="1"/>
        </w:numPr>
        <w:spacing w:before="120" w:after="120"/>
        <w:rPr>
          <w:rFonts w:asciiTheme="minorHAnsi" w:hAnsiTheme="minorHAnsi"/>
        </w:rPr>
      </w:pPr>
      <w:r>
        <w:rPr>
          <w:rFonts w:asciiTheme="minorHAnsi" w:hAnsiTheme="minorHAnsi"/>
        </w:rPr>
        <w:t>C</w:t>
      </w:r>
      <w:r w:rsidR="001A6301">
        <w:rPr>
          <w:rFonts w:asciiTheme="minorHAnsi" w:hAnsiTheme="minorHAnsi"/>
        </w:rPr>
        <w:t xml:space="preserve">hanging </w:t>
      </w:r>
      <w:r>
        <w:rPr>
          <w:rFonts w:asciiTheme="minorHAnsi" w:hAnsiTheme="minorHAnsi"/>
        </w:rPr>
        <w:t xml:space="preserve">perceptions of the </w:t>
      </w:r>
      <w:r w:rsidR="001A6301">
        <w:rPr>
          <w:rFonts w:asciiTheme="minorHAnsi" w:hAnsiTheme="minorHAnsi"/>
        </w:rPr>
        <w:t>relationship between citizenship and consumption</w:t>
      </w:r>
    </w:p>
    <w:p w:rsidR="00BD7461" w:rsidRDefault="00310FF2" w:rsidP="00A13285">
      <w:pPr>
        <w:spacing w:after="120" w:line="240" w:lineRule="auto"/>
        <w:rPr>
          <w:sz w:val="24"/>
          <w:szCs w:val="24"/>
        </w:rPr>
      </w:pPr>
      <w:r>
        <w:rPr>
          <w:sz w:val="24"/>
          <w:szCs w:val="24"/>
        </w:rPr>
        <w:t xml:space="preserve">The practical connection between </w:t>
      </w:r>
      <w:r w:rsidR="00205AEF">
        <w:rPr>
          <w:sz w:val="24"/>
          <w:szCs w:val="24"/>
        </w:rPr>
        <w:t>household</w:t>
      </w:r>
      <w:r>
        <w:rPr>
          <w:sz w:val="24"/>
          <w:szCs w:val="24"/>
        </w:rPr>
        <w:t xml:space="preserve"> and citizen action found at CCAT is, I argue, broadly </w:t>
      </w:r>
      <w:r w:rsidR="006760EE">
        <w:rPr>
          <w:sz w:val="24"/>
          <w:szCs w:val="24"/>
        </w:rPr>
        <w:t>relevant</w:t>
      </w:r>
      <w:r>
        <w:rPr>
          <w:sz w:val="24"/>
          <w:szCs w:val="24"/>
        </w:rPr>
        <w:t>.  Yet much existing thinking and writing abo</w:t>
      </w:r>
      <w:r w:rsidR="00205AEF">
        <w:rPr>
          <w:sz w:val="24"/>
          <w:szCs w:val="24"/>
        </w:rPr>
        <w:t>ut citizens and consumers</w:t>
      </w:r>
      <w:r>
        <w:rPr>
          <w:sz w:val="24"/>
          <w:szCs w:val="24"/>
        </w:rPr>
        <w:t xml:space="preserve"> hampers our ability to conceive of and develop this connection.  </w:t>
      </w:r>
      <w:r w:rsidR="00A04636">
        <w:rPr>
          <w:sz w:val="24"/>
          <w:szCs w:val="24"/>
        </w:rPr>
        <w:t xml:space="preserve">On the one hand, much theorizing about citizenship in general and environmental citizenship in particular posits a dichotomy between this and </w:t>
      </w:r>
      <w:r w:rsidR="0033233F">
        <w:rPr>
          <w:sz w:val="24"/>
          <w:szCs w:val="24"/>
        </w:rPr>
        <w:t>a</w:t>
      </w:r>
      <w:r w:rsidR="00A04636">
        <w:rPr>
          <w:sz w:val="24"/>
          <w:szCs w:val="24"/>
        </w:rPr>
        <w:t xml:space="preserve"> private real</w:t>
      </w:r>
      <w:r w:rsidR="00D05A2F">
        <w:rPr>
          <w:sz w:val="24"/>
          <w:szCs w:val="24"/>
        </w:rPr>
        <w:t>m</w:t>
      </w:r>
      <w:r w:rsidR="00A04636">
        <w:rPr>
          <w:sz w:val="24"/>
          <w:szCs w:val="24"/>
        </w:rPr>
        <w:t xml:space="preserve"> of consumption and the home.  On the other hand, </w:t>
      </w:r>
      <w:r w:rsidR="0033233F">
        <w:rPr>
          <w:sz w:val="24"/>
          <w:szCs w:val="24"/>
        </w:rPr>
        <w:t>a fair amount of</w:t>
      </w:r>
      <w:r w:rsidR="00A04636">
        <w:rPr>
          <w:sz w:val="24"/>
          <w:szCs w:val="24"/>
        </w:rPr>
        <w:t xml:space="preserve"> recent thinking and rhetoric seemingly </w:t>
      </w:r>
      <w:r w:rsidR="006F2917">
        <w:rPr>
          <w:sz w:val="24"/>
          <w:szCs w:val="24"/>
        </w:rPr>
        <w:t xml:space="preserve">conflates </w:t>
      </w:r>
      <w:r w:rsidR="00A04636">
        <w:rPr>
          <w:sz w:val="24"/>
          <w:szCs w:val="24"/>
        </w:rPr>
        <w:t xml:space="preserve">the roles of </w:t>
      </w:r>
      <w:r w:rsidR="00537DDD">
        <w:rPr>
          <w:sz w:val="24"/>
          <w:szCs w:val="24"/>
        </w:rPr>
        <w:t xml:space="preserve">household </w:t>
      </w:r>
      <w:r w:rsidR="00A04636">
        <w:rPr>
          <w:sz w:val="24"/>
          <w:szCs w:val="24"/>
        </w:rPr>
        <w:t>consumer and citizen.  I analyze both approaches here, in order to set the stage for the next section in which I sketch an alternative that takes the distinctively political qualities of citizenship seriously, while recognizing the ways these qualities can and have emerged from the material practices of the home.</w:t>
      </w:r>
    </w:p>
    <w:p w:rsidR="001A6301" w:rsidRPr="00355AA2" w:rsidRDefault="001A6301" w:rsidP="00A13285">
      <w:pPr>
        <w:spacing w:after="120" w:line="240" w:lineRule="auto"/>
        <w:rPr>
          <w:sz w:val="24"/>
          <w:szCs w:val="24"/>
        </w:rPr>
      </w:pPr>
      <w:r w:rsidRPr="00355AA2">
        <w:rPr>
          <w:sz w:val="24"/>
          <w:szCs w:val="24"/>
        </w:rPr>
        <w:t xml:space="preserve">Mark </w:t>
      </w:r>
      <w:proofErr w:type="spellStart"/>
      <w:r w:rsidRPr="00355AA2">
        <w:rPr>
          <w:sz w:val="24"/>
          <w:szCs w:val="24"/>
        </w:rPr>
        <w:t>Sagoff</w:t>
      </w:r>
      <w:proofErr w:type="spellEnd"/>
      <w:r w:rsidRPr="00355AA2">
        <w:rPr>
          <w:sz w:val="24"/>
          <w:szCs w:val="24"/>
        </w:rPr>
        <w:t xml:space="preserve"> </w:t>
      </w:r>
      <w:r w:rsidR="006F2917">
        <w:rPr>
          <w:sz w:val="24"/>
          <w:szCs w:val="24"/>
        </w:rPr>
        <w:t xml:space="preserve">has </w:t>
      </w:r>
      <w:r w:rsidRPr="00355AA2">
        <w:rPr>
          <w:sz w:val="24"/>
          <w:szCs w:val="24"/>
        </w:rPr>
        <w:t xml:space="preserve">argued eloquently that most people think and act differently depending upon the role they conceive themselves playing.  The result is that environmental challenges will be addressed very differently if we begin from the values we hold as </w:t>
      </w:r>
      <w:r>
        <w:rPr>
          <w:sz w:val="24"/>
          <w:szCs w:val="24"/>
        </w:rPr>
        <w:t xml:space="preserve">public </w:t>
      </w:r>
      <w:r w:rsidRPr="00355AA2">
        <w:rPr>
          <w:sz w:val="24"/>
          <w:szCs w:val="24"/>
        </w:rPr>
        <w:t xml:space="preserve">citizens than if we begin from the self-interested preferences we express as </w:t>
      </w:r>
      <w:r>
        <w:rPr>
          <w:sz w:val="24"/>
          <w:szCs w:val="24"/>
        </w:rPr>
        <w:t xml:space="preserve">private </w:t>
      </w:r>
      <w:r w:rsidRPr="00355AA2">
        <w:rPr>
          <w:sz w:val="24"/>
          <w:szCs w:val="24"/>
        </w:rPr>
        <w:t xml:space="preserve">consumers – either through our actual purchases in a marketplace or when queried by economists or pollsters about our willingness to pay for our preferences. </w:t>
      </w:r>
      <w:proofErr w:type="spellStart"/>
      <w:r w:rsidRPr="00355AA2">
        <w:rPr>
          <w:sz w:val="24"/>
          <w:szCs w:val="24"/>
        </w:rPr>
        <w:t>Sagoff</w:t>
      </w:r>
      <w:proofErr w:type="spellEnd"/>
      <w:r w:rsidRPr="00355AA2">
        <w:rPr>
          <w:sz w:val="24"/>
          <w:szCs w:val="24"/>
        </w:rPr>
        <w:t xml:space="preserve"> illustrates this claim, in one </w:t>
      </w:r>
      <w:r>
        <w:rPr>
          <w:sz w:val="24"/>
          <w:szCs w:val="24"/>
        </w:rPr>
        <w:t xml:space="preserve">prominent </w:t>
      </w:r>
      <w:r w:rsidRPr="00355AA2">
        <w:rPr>
          <w:sz w:val="24"/>
          <w:szCs w:val="24"/>
        </w:rPr>
        <w:t xml:space="preserve">example, by contrasting his university students’ opposition to developing a picturesque valley into a </w:t>
      </w:r>
      <w:r w:rsidR="006F2917">
        <w:rPr>
          <w:sz w:val="24"/>
          <w:szCs w:val="24"/>
        </w:rPr>
        <w:t>grand</w:t>
      </w:r>
      <w:r w:rsidRPr="00355AA2">
        <w:rPr>
          <w:sz w:val="24"/>
          <w:szCs w:val="24"/>
        </w:rPr>
        <w:t xml:space="preserve"> ski resort with their apparent eagerness to patronize the resort if it </w:t>
      </w:r>
      <w:r w:rsidR="006F2917">
        <w:rPr>
          <w:sz w:val="24"/>
          <w:szCs w:val="24"/>
        </w:rPr>
        <w:t>were nonetheless to be</w:t>
      </w:r>
      <w:r w:rsidRPr="00355AA2">
        <w:rPr>
          <w:sz w:val="24"/>
          <w:szCs w:val="24"/>
        </w:rPr>
        <w:t xml:space="preserve"> built.</w:t>
      </w:r>
      <w:r w:rsidRPr="00A06000">
        <w:rPr>
          <w:rStyle w:val="FootnoteReference"/>
        </w:rPr>
        <w:footnoteReference w:id="25"/>
      </w:r>
      <w:r w:rsidRPr="00355AA2">
        <w:rPr>
          <w:sz w:val="24"/>
          <w:szCs w:val="24"/>
        </w:rPr>
        <w:t xml:space="preserve">  Rather than decrying his students’ hypocrisy or </w:t>
      </w:r>
      <w:r w:rsidR="006F2917">
        <w:rPr>
          <w:sz w:val="24"/>
          <w:szCs w:val="24"/>
        </w:rPr>
        <w:t>the incoherence of their positions</w:t>
      </w:r>
      <w:r w:rsidRPr="00355AA2">
        <w:rPr>
          <w:sz w:val="24"/>
          <w:szCs w:val="24"/>
        </w:rPr>
        <w:t xml:space="preserve">, he argues that their likely consumer preference – to ski the valley if a resort is available – is simply not a measure of the same thing as their citizen valuation of the undeveloped valley.  This is commonplace, </w:t>
      </w:r>
      <w:proofErr w:type="spellStart"/>
      <w:r w:rsidRPr="00355AA2">
        <w:rPr>
          <w:sz w:val="24"/>
          <w:szCs w:val="24"/>
        </w:rPr>
        <w:t>Sagoff</w:t>
      </w:r>
      <w:proofErr w:type="spellEnd"/>
      <w:r w:rsidRPr="00355AA2">
        <w:rPr>
          <w:sz w:val="24"/>
          <w:szCs w:val="24"/>
        </w:rPr>
        <w:t xml:space="preserve"> argues: citizens “may themselves condemn the likely consequences of their own consumer interests on cultural or ethical grounds.”</w:t>
      </w:r>
      <w:r w:rsidRPr="00A06000">
        <w:rPr>
          <w:rStyle w:val="FootnoteReference"/>
        </w:rPr>
        <w:footnoteReference w:id="26"/>
      </w:r>
      <w:r w:rsidRPr="00355AA2">
        <w:rPr>
          <w:sz w:val="24"/>
          <w:szCs w:val="24"/>
        </w:rPr>
        <w:t xml:space="preserve">  </w:t>
      </w:r>
      <w:r w:rsidR="00621DC2">
        <w:rPr>
          <w:sz w:val="24"/>
          <w:szCs w:val="24"/>
        </w:rPr>
        <w:t xml:space="preserve">He goes further, personalizing the argument by </w:t>
      </w:r>
      <w:r w:rsidRPr="00355AA2">
        <w:rPr>
          <w:sz w:val="24"/>
          <w:szCs w:val="24"/>
        </w:rPr>
        <w:t xml:space="preserve">asserting that: </w:t>
      </w:r>
    </w:p>
    <w:p w:rsidR="001A6301" w:rsidRPr="00355AA2" w:rsidRDefault="001A6301" w:rsidP="00A13285">
      <w:pPr>
        <w:pStyle w:val="blockquote"/>
        <w:ind w:firstLine="0"/>
        <w:rPr>
          <w:sz w:val="24"/>
          <w:szCs w:val="24"/>
        </w:rPr>
      </w:pPr>
      <w:r w:rsidRPr="00355AA2">
        <w:rPr>
          <w:sz w:val="24"/>
          <w:szCs w:val="24"/>
        </w:rPr>
        <w:t xml:space="preserve">I love my car; I hate the bus. Yet I vote for candidates who promise to tax gasoline to pay for public transportation. I send my dues to the Sierra Club to </w:t>
      </w:r>
      <w:r w:rsidRPr="00355AA2">
        <w:rPr>
          <w:sz w:val="24"/>
          <w:szCs w:val="24"/>
        </w:rPr>
        <w:lastRenderedPageBreak/>
        <w:t>protect areas in Alaska I shall never visit. And I support the work of the American League to Abolish Capital Punishment although, personally, I have nothing to gain one way or the other. (If I hang, I will hang myself.) And of course, I applaud the Endangered Species Act, although I have no earthly use for the Colorado squawfish or the Indiana bat. The political causes I support seem to have little or no basis in my interests as a consumer, because I take different points of view when I vote and when I shop. I have an "Ecology Now" sticker on a car that drips oil everywhere it's parked.</w:t>
      </w:r>
      <w:r w:rsidRPr="00A06000">
        <w:rPr>
          <w:rStyle w:val="FootnoteReference"/>
        </w:rPr>
        <w:footnoteReference w:id="27"/>
      </w:r>
    </w:p>
    <w:p w:rsidR="001A6301" w:rsidRPr="00355AA2" w:rsidRDefault="001A6301" w:rsidP="00A13285">
      <w:pPr>
        <w:spacing w:after="120" w:line="240" w:lineRule="auto"/>
        <w:ind w:firstLine="0"/>
        <w:rPr>
          <w:sz w:val="24"/>
          <w:szCs w:val="24"/>
        </w:rPr>
      </w:pPr>
      <w:r w:rsidRPr="00355AA2">
        <w:rPr>
          <w:sz w:val="24"/>
          <w:szCs w:val="24"/>
        </w:rPr>
        <w:t>The point of this is (presumably</w:t>
      </w:r>
      <w:r>
        <w:rPr>
          <w:sz w:val="24"/>
          <w:szCs w:val="24"/>
        </w:rPr>
        <w:t>!</w:t>
      </w:r>
      <w:r w:rsidRPr="00355AA2">
        <w:rPr>
          <w:sz w:val="24"/>
          <w:szCs w:val="24"/>
        </w:rPr>
        <w:t xml:space="preserve">) not to encourage us to ignore oil leaks from our cars or – as </w:t>
      </w:r>
      <w:proofErr w:type="spellStart"/>
      <w:r w:rsidRPr="00355AA2">
        <w:rPr>
          <w:sz w:val="24"/>
          <w:szCs w:val="24"/>
        </w:rPr>
        <w:t>Sagoff</w:t>
      </w:r>
      <w:proofErr w:type="spellEnd"/>
      <w:r w:rsidRPr="00355AA2">
        <w:rPr>
          <w:sz w:val="24"/>
          <w:szCs w:val="24"/>
        </w:rPr>
        <w:t xml:space="preserve"> also claims to have done – to bribe a government official to fix traffic tickets.</w:t>
      </w:r>
      <w:r w:rsidRPr="00A06000">
        <w:rPr>
          <w:rStyle w:val="FootnoteReference"/>
        </w:rPr>
        <w:footnoteReference w:id="28"/>
      </w:r>
      <w:r w:rsidRPr="00355AA2">
        <w:rPr>
          <w:sz w:val="24"/>
          <w:szCs w:val="24"/>
        </w:rPr>
        <w:t xml:space="preserve">  It is, instead, to argue that laws and regulations that express our citizen values are both legitimate and important precisely because they don’t reflect what we would otherwise choose as individual consumers.  Written </w:t>
      </w:r>
      <w:r w:rsidR="00BC053A">
        <w:rPr>
          <w:sz w:val="24"/>
          <w:szCs w:val="24"/>
        </w:rPr>
        <w:t>in the 1980s</w:t>
      </w:r>
      <w:r w:rsidR="008D4147">
        <w:rPr>
          <w:sz w:val="24"/>
          <w:szCs w:val="24"/>
        </w:rPr>
        <w:t>,</w:t>
      </w:r>
      <w:r w:rsidRPr="00355AA2">
        <w:rPr>
          <w:sz w:val="24"/>
          <w:szCs w:val="24"/>
        </w:rPr>
        <w:t xml:space="preserve"> when </w:t>
      </w:r>
      <w:r>
        <w:rPr>
          <w:sz w:val="24"/>
          <w:szCs w:val="24"/>
        </w:rPr>
        <w:t xml:space="preserve">memory of the </w:t>
      </w:r>
      <w:r w:rsidRPr="00355AA2">
        <w:rPr>
          <w:sz w:val="24"/>
          <w:szCs w:val="24"/>
        </w:rPr>
        <w:t>passage of the sweeping environmental legislation of the early 1970s was still relatively fresh</w:t>
      </w:r>
      <w:r>
        <w:rPr>
          <w:sz w:val="24"/>
          <w:szCs w:val="24"/>
        </w:rPr>
        <w:t xml:space="preserve"> –</w:t>
      </w:r>
      <w:r w:rsidRPr="00355AA2">
        <w:rPr>
          <w:sz w:val="24"/>
          <w:szCs w:val="24"/>
        </w:rPr>
        <w:t xml:space="preserve"> yet under attack</w:t>
      </w:r>
      <w:r>
        <w:rPr>
          <w:sz w:val="24"/>
          <w:szCs w:val="24"/>
        </w:rPr>
        <w:t xml:space="preserve"> –</w:t>
      </w:r>
      <w:r w:rsidRPr="00355AA2">
        <w:rPr>
          <w:sz w:val="24"/>
          <w:szCs w:val="24"/>
        </w:rPr>
        <w:t xml:space="preserve"> such an approach </w:t>
      </w:r>
      <w:r w:rsidR="00621DC2">
        <w:rPr>
          <w:sz w:val="24"/>
          <w:szCs w:val="24"/>
        </w:rPr>
        <w:t>offered a powerful justification for such laws</w:t>
      </w:r>
      <w:r w:rsidRPr="00355AA2">
        <w:rPr>
          <w:sz w:val="24"/>
          <w:szCs w:val="24"/>
        </w:rPr>
        <w:t xml:space="preserve">.  </w:t>
      </w:r>
      <w:r w:rsidR="008D4147">
        <w:rPr>
          <w:sz w:val="24"/>
          <w:szCs w:val="24"/>
        </w:rPr>
        <w:t>Today</w:t>
      </w:r>
      <w:r w:rsidRPr="00355AA2">
        <w:rPr>
          <w:sz w:val="24"/>
          <w:szCs w:val="24"/>
        </w:rPr>
        <w:t xml:space="preserve">, when my own students read </w:t>
      </w:r>
      <w:proofErr w:type="spellStart"/>
      <w:r w:rsidRPr="00355AA2">
        <w:rPr>
          <w:sz w:val="24"/>
          <w:szCs w:val="24"/>
        </w:rPr>
        <w:t>Sagoff’s</w:t>
      </w:r>
      <w:proofErr w:type="spellEnd"/>
      <w:r w:rsidRPr="00355AA2">
        <w:rPr>
          <w:sz w:val="24"/>
          <w:szCs w:val="24"/>
        </w:rPr>
        <w:t xml:space="preserve"> account, they – like me – still find his conceptual distinction between consumer and citizen </w:t>
      </w:r>
      <w:r w:rsidR="003D798A">
        <w:rPr>
          <w:sz w:val="24"/>
          <w:szCs w:val="24"/>
        </w:rPr>
        <w:t>roles</w:t>
      </w:r>
      <w:r w:rsidRPr="00355AA2">
        <w:rPr>
          <w:sz w:val="24"/>
          <w:szCs w:val="24"/>
        </w:rPr>
        <w:t xml:space="preserve"> illuminating.  Yet at the same time</w:t>
      </w:r>
      <w:r>
        <w:rPr>
          <w:sz w:val="24"/>
          <w:szCs w:val="24"/>
        </w:rPr>
        <w:t xml:space="preserve"> many are both surprised and troubled by</w:t>
      </w:r>
      <w:r w:rsidRPr="00355AA2">
        <w:rPr>
          <w:sz w:val="24"/>
          <w:szCs w:val="24"/>
        </w:rPr>
        <w:t xml:space="preserve"> his account of the disparity in these expressed view</w:t>
      </w:r>
      <w:r>
        <w:rPr>
          <w:sz w:val="24"/>
          <w:szCs w:val="24"/>
        </w:rPr>
        <w:t>s – by his students and by him</w:t>
      </w:r>
      <w:r w:rsidRPr="00355AA2">
        <w:rPr>
          <w:sz w:val="24"/>
          <w:szCs w:val="24"/>
        </w:rPr>
        <w:t xml:space="preserve">.  </w:t>
      </w:r>
    </w:p>
    <w:p w:rsidR="001A6301" w:rsidRPr="00355AA2" w:rsidRDefault="001A6301" w:rsidP="00A13285">
      <w:pPr>
        <w:spacing w:after="120" w:line="240" w:lineRule="auto"/>
        <w:rPr>
          <w:sz w:val="24"/>
          <w:szCs w:val="24"/>
        </w:rPr>
      </w:pPr>
      <w:r w:rsidRPr="00355AA2">
        <w:rPr>
          <w:sz w:val="24"/>
          <w:szCs w:val="24"/>
        </w:rPr>
        <w:t xml:space="preserve">Two related changes may help explain their perception.  First, the notion that far-reaching environmental legislation could be adopted despite explicitly conflicting with self-interested consumer preferences strikes many of my students as unlikely if not implausible.  Why wouldn’t it?  Few if any examples of </w:t>
      </w:r>
      <w:r>
        <w:rPr>
          <w:sz w:val="24"/>
          <w:szCs w:val="24"/>
        </w:rPr>
        <w:t>ambitious</w:t>
      </w:r>
      <w:r w:rsidRPr="00355AA2">
        <w:rPr>
          <w:sz w:val="24"/>
          <w:szCs w:val="24"/>
        </w:rPr>
        <w:t xml:space="preserve"> legislation </w:t>
      </w:r>
      <w:r>
        <w:rPr>
          <w:sz w:val="24"/>
          <w:szCs w:val="24"/>
        </w:rPr>
        <w:t xml:space="preserve">of this sort </w:t>
      </w:r>
      <w:r w:rsidRPr="00355AA2">
        <w:rPr>
          <w:sz w:val="24"/>
          <w:szCs w:val="24"/>
        </w:rPr>
        <w:t>have been adopted in their lifetime in the U</w:t>
      </w:r>
      <w:r>
        <w:rPr>
          <w:sz w:val="24"/>
          <w:szCs w:val="24"/>
        </w:rPr>
        <w:t>.</w:t>
      </w:r>
      <w:r w:rsidRPr="00355AA2">
        <w:rPr>
          <w:sz w:val="24"/>
          <w:szCs w:val="24"/>
        </w:rPr>
        <w:t>S.</w:t>
      </w:r>
      <w:r w:rsidR="00621DC2">
        <w:rPr>
          <w:sz w:val="24"/>
          <w:szCs w:val="24"/>
        </w:rPr>
        <w:t xml:space="preserve"> and popular explanations for the more recent failures of legislation on climate change often explicitly </w:t>
      </w:r>
      <w:r w:rsidR="0046077E">
        <w:rPr>
          <w:sz w:val="24"/>
          <w:szCs w:val="24"/>
        </w:rPr>
        <w:t>point to opposition based upon consumer preferences.</w:t>
      </w:r>
      <w:r w:rsidRPr="00A06000">
        <w:rPr>
          <w:rStyle w:val="FootnoteReference"/>
        </w:rPr>
        <w:footnoteReference w:id="29"/>
      </w:r>
      <w:r w:rsidRPr="00355AA2">
        <w:rPr>
          <w:sz w:val="24"/>
          <w:szCs w:val="24"/>
        </w:rPr>
        <w:t xml:space="preserve">  Second, the idea that a concerned environmentalist would or even could ignore the manifold opportunities and consumer products designed to allow for the individual exercise of their values – from energy-efficient light bulbs and reusable bags to recycling, solar panels, </w:t>
      </w:r>
      <w:r>
        <w:rPr>
          <w:sz w:val="24"/>
          <w:szCs w:val="24"/>
        </w:rPr>
        <w:t xml:space="preserve">fair- trade </w:t>
      </w:r>
      <w:r w:rsidRPr="00355AA2">
        <w:rPr>
          <w:sz w:val="24"/>
          <w:szCs w:val="24"/>
        </w:rPr>
        <w:t>or locally grown foods – seems to them to require willful avoidance.  None of us are</w:t>
      </w:r>
      <w:r w:rsidR="0046077E">
        <w:rPr>
          <w:sz w:val="24"/>
          <w:szCs w:val="24"/>
        </w:rPr>
        <w:t xml:space="preserve"> saints, </w:t>
      </w:r>
      <w:r w:rsidRPr="00355AA2">
        <w:rPr>
          <w:sz w:val="24"/>
          <w:szCs w:val="24"/>
        </w:rPr>
        <w:t xml:space="preserve">my students </w:t>
      </w:r>
      <w:r>
        <w:rPr>
          <w:sz w:val="24"/>
          <w:szCs w:val="24"/>
        </w:rPr>
        <w:t>declare</w:t>
      </w:r>
      <w:r w:rsidRPr="00355AA2">
        <w:rPr>
          <w:sz w:val="24"/>
          <w:szCs w:val="24"/>
        </w:rPr>
        <w:t xml:space="preserve">, but the litany of personal behaviors that </w:t>
      </w:r>
      <w:proofErr w:type="spellStart"/>
      <w:r w:rsidRPr="00355AA2">
        <w:rPr>
          <w:sz w:val="24"/>
          <w:szCs w:val="24"/>
        </w:rPr>
        <w:t>Sagoff</w:t>
      </w:r>
      <w:proofErr w:type="spellEnd"/>
      <w:r w:rsidRPr="00355AA2">
        <w:rPr>
          <w:sz w:val="24"/>
          <w:szCs w:val="24"/>
        </w:rPr>
        <w:t xml:space="preserve"> presents strikes </w:t>
      </w:r>
      <w:r w:rsidR="0046077E">
        <w:rPr>
          <w:sz w:val="24"/>
          <w:szCs w:val="24"/>
        </w:rPr>
        <w:t xml:space="preserve">many of </w:t>
      </w:r>
      <w:r w:rsidRPr="00355AA2">
        <w:rPr>
          <w:sz w:val="24"/>
          <w:szCs w:val="24"/>
        </w:rPr>
        <w:t xml:space="preserve">them not only as hypocritical but arrogant.   </w:t>
      </w:r>
    </w:p>
    <w:p w:rsidR="001A6301" w:rsidRDefault="001A6301" w:rsidP="00A13285">
      <w:pPr>
        <w:spacing w:after="120" w:line="240" w:lineRule="auto"/>
        <w:rPr>
          <w:sz w:val="24"/>
          <w:szCs w:val="24"/>
        </w:rPr>
      </w:pPr>
      <w:r w:rsidRPr="00355AA2">
        <w:rPr>
          <w:sz w:val="24"/>
          <w:szCs w:val="24"/>
        </w:rPr>
        <w:t xml:space="preserve">Writing </w:t>
      </w:r>
      <w:r>
        <w:rPr>
          <w:sz w:val="24"/>
          <w:szCs w:val="24"/>
        </w:rPr>
        <w:t>more recently than</w:t>
      </w:r>
      <w:r w:rsidRPr="00355AA2">
        <w:rPr>
          <w:sz w:val="24"/>
          <w:szCs w:val="24"/>
        </w:rPr>
        <w:t xml:space="preserve"> </w:t>
      </w:r>
      <w:proofErr w:type="spellStart"/>
      <w:r w:rsidRPr="00355AA2">
        <w:rPr>
          <w:sz w:val="24"/>
          <w:szCs w:val="24"/>
        </w:rPr>
        <w:t>Sagoff</w:t>
      </w:r>
      <w:proofErr w:type="spellEnd"/>
      <w:r w:rsidRPr="00355AA2">
        <w:rPr>
          <w:sz w:val="24"/>
          <w:szCs w:val="24"/>
        </w:rPr>
        <w:t xml:space="preserve">, Michael </w:t>
      </w:r>
      <w:proofErr w:type="spellStart"/>
      <w:r w:rsidRPr="00355AA2">
        <w:rPr>
          <w:sz w:val="24"/>
          <w:szCs w:val="24"/>
        </w:rPr>
        <w:t>Maniates</w:t>
      </w:r>
      <w:proofErr w:type="spellEnd"/>
      <w:r w:rsidRPr="00355AA2">
        <w:rPr>
          <w:sz w:val="24"/>
          <w:szCs w:val="24"/>
        </w:rPr>
        <w:t xml:space="preserve"> noticed the shift that I’m describing here.  Maniates diagnoses the evident growth of green consumer products and services in </w:t>
      </w:r>
      <w:r>
        <w:rPr>
          <w:sz w:val="24"/>
          <w:szCs w:val="24"/>
        </w:rPr>
        <w:t>the 1990s</w:t>
      </w:r>
      <w:r w:rsidRPr="00355AA2">
        <w:rPr>
          <w:sz w:val="24"/>
          <w:szCs w:val="24"/>
        </w:rPr>
        <w:t xml:space="preserve"> </w:t>
      </w:r>
      <w:r w:rsidR="00941B10">
        <w:rPr>
          <w:sz w:val="24"/>
          <w:szCs w:val="24"/>
        </w:rPr>
        <w:t xml:space="preserve">and beyond </w:t>
      </w:r>
      <w:r w:rsidRPr="00355AA2">
        <w:rPr>
          <w:sz w:val="24"/>
          <w:szCs w:val="24"/>
        </w:rPr>
        <w:t xml:space="preserve">as a reflection of </w:t>
      </w:r>
      <w:r w:rsidR="008D4147">
        <w:rPr>
          <w:sz w:val="24"/>
          <w:szCs w:val="24"/>
        </w:rPr>
        <w:t>an</w:t>
      </w:r>
      <w:r w:rsidRPr="00355AA2">
        <w:rPr>
          <w:sz w:val="24"/>
          <w:szCs w:val="24"/>
        </w:rPr>
        <w:t xml:space="preserve"> “individualization of responsibility” that both narrows the </w:t>
      </w:r>
      <w:r>
        <w:rPr>
          <w:sz w:val="24"/>
          <w:szCs w:val="24"/>
        </w:rPr>
        <w:t>“</w:t>
      </w:r>
      <w:r w:rsidRPr="00355AA2">
        <w:rPr>
          <w:sz w:val="24"/>
          <w:szCs w:val="24"/>
        </w:rPr>
        <w:t>environmental imagination</w:t>
      </w:r>
      <w:r>
        <w:rPr>
          <w:sz w:val="24"/>
          <w:szCs w:val="24"/>
        </w:rPr>
        <w:t>”</w:t>
      </w:r>
      <w:r w:rsidRPr="00355AA2">
        <w:rPr>
          <w:sz w:val="24"/>
          <w:szCs w:val="24"/>
        </w:rPr>
        <w:t xml:space="preserve"> and displaces the possibilities for public, citizen </w:t>
      </w:r>
      <w:r w:rsidRPr="00355AA2">
        <w:rPr>
          <w:sz w:val="24"/>
          <w:szCs w:val="24"/>
        </w:rPr>
        <w:lastRenderedPageBreak/>
        <w:t>action.</w:t>
      </w:r>
      <w:r w:rsidRPr="00A06000">
        <w:rPr>
          <w:rStyle w:val="FootnoteReference"/>
        </w:rPr>
        <w:footnoteReference w:id="30"/>
      </w:r>
      <w:r w:rsidRPr="00355AA2">
        <w:rPr>
          <w:sz w:val="24"/>
          <w:szCs w:val="24"/>
        </w:rPr>
        <w:t xml:space="preserve"> It narrows our imagination, Maniates argues, by excluding all those possibilities that require laws or collective action for their realization. </w:t>
      </w:r>
      <w:r>
        <w:rPr>
          <w:sz w:val="24"/>
          <w:szCs w:val="24"/>
        </w:rPr>
        <w:t>Individual consumers might chose to purchase a hybrid car, for example, but they cannot create adequate bicycle or public transit infrastructure through market choice alone.  A singular focus on consumer choices</w:t>
      </w:r>
      <w:r w:rsidRPr="00355AA2">
        <w:rPr>
          <w:sz w:val="24"/>
          <w:szCs w:val="24"/>
        </w:rPr>
        <w:t xml:space="preserve"> displaces the difficult and uncertain work of citizen action to achieve such possibilities by offering the false promise of an easy way to “make a difference</w:t>
      </w:r>
      <w:r>
        <w:rPr>
          <w:sz w:val="24"/>
          <w:szCs w:val="24"/>
        </w:rPr>
        <w:t>.”</w:t>
      </w:r>
      <w:r w:rsidRPr="00A06000">
        <w:rPr>
          <w:rStyle w:val="FootnoteReference"/>
        </w:rPr>
        <w:footnoteReference w:id="31"/>
      </w:r>
      <w:r>
        <w:rPr>
          <w:sz w:val="24"/>
          <w:szCs w:val="24"/>
        </w:rPr>
        <w:t xml:space="preserve"> Despite these differences, the sense that public citizenship stands in contrast to private consumerism is shared by both authors; both also point to the </w:t>
      </w:r>
      <w:r w:rsidR="00B16DE2">
        <w:rPr>
          <w:sz w:val="24"/>
          <w:szCs w:val="24"/>
        </w:rPr>
        <w:t xml:space="preserve">promise of the </w:t>
      </w:r>
      <w:r>
        <w:rPr>
          <w:sz w:val="24"/>
          <w:szCs w:val="24"/>
        </w:rPr>
        <w:t xml:space="preserve">former </w:t>
      </w:r>
      <w:r w:rsidR="00B16DE2">
        <w:rPr>
          <w:sz w:val="24"/>
          <w:szCs w:val="24"/>
        </w:rPr>
        <w:t>over</w:t>
      </w:r>
      <w:r>
        <w:rPr>
          <w:sz w:val="24"/>
          <w:szCs w:val="24"/>
        </w:rPr>
        <w:t xml:space="preserve"> the latter</w:t>
      </w:r>
      <w:r w:rsidR="00B16DE2">
        <w:rPr>
          <w:sz w:val="24"/>
          <w:szCs w:val="24"/>
        </w:rPr>
        <w:t>. Yet t</w:t>
      </w:r>
      <w:r>
        <w:rPr>
          <w:sz w:val="24"/>
          <w:szCs w:val="24"/>
        </w:rPr>
        <w:t>hese shared perspectives have been called into question within the growing discussion of “green,” “ecological,” or “environmental” citizenship over the past decade.</w:t>
      </w:r>
    </w:p>
    <w:p w:rsidR="001A6301" w:rsidRDefault="001A6301" w:rsidP="00A13285">
      <w:pPr>
        <w:spacing w:after="120" w:line="240" w:lineRule="auto"/>
        <w:rPr>
          <w:sz w:val="24"/>
          <w:szCs w:val="24"/>
        </w:rPr>
      </w:pPr>
      <w:r>
        <w:rPr>
          <w:sz w:val="24"/>
          <w:szCs w:val="24"/>
        </w:rPr>
        <w:t xml:space="preserve">As noted at the outset of this chapter, Andrew Dobson has sought to radically re-conceptualize citizenship by bringing it “home,” arguing that meaningful environmental action requires drawing the private sphere of the household </w:t>
      </w:r>
      <w:r w:rsidR="0072127F">
        <w:rPr>
          <w:sz w:val="24"/>
          <w:szCs w:val="24"/>
        </w:rPr>
        <w:t>into</w:t>
      </w:r>
      <w:r>
        <w:rPr>
          <w:sz w:val="24"/>
          <w:szCs w:val="24"/>
        </w:rPr>
        <w:t xml:space="preserve"> the ostensibly public sphere of citizenship. For Dobson, this “ecological citizenship” was an inclusive move that entails a radical departure from dominant liberal and republican conceptions of citizenship.</w:t>
      </w:r>
      <w:r w:rsidRPr="00A06000">
        <w:rPr>
          <w:rStyle w:val="FootnoteReference"/>
        </w:rPr>
        <w:footnoteReference w:id="32"/>
      </w:r>
      <w:r>
        <w:rPr>
          <w:sz w:val="24"/>
          <w:szCs w:val="24"/>
        </w:rPr>
        <w:t xml:space="preserve"> </w:t>
      </w:r>
      <w:r w:rsidR="003D798A">
        <w:rPr>
          <w:sz w:val="24"/>
          <w:szCs w:val="24"/>
        </w:rPr>
        <w:t xml:space="preserve"> </w:t>
      </w:r>
      <w:r w:rsidR="00C05616">
        <w:rPr>
          <w:sz w:val="24"/>
          <w:szCs w:val="24"/>
        </w:rPr>
        <w:t xml:space="preserve">While Dobson’s incorporation of home within a conception of citizenship </w:t>
      </w:r>
      <w:r w:rsidR="00D94724">
        <w:rPr>
          <w:sz w:val="24"/>
          <w:szCs w:val="24"/>
        </w:rPr>
        <w:t>remains</w:t>
      </w:r>
      <w:r w:rsidR="00C05616">
        <w:rPr>
          <w:sz w:val="24"/>
          <w:szCs w:val="24"/>
        </w:rPr>
        <w:t xml:space="preserve"> promising, </w:t>
      </w:r>
      <w:r>
        <w:rPr>
          <w:sz w:val="24"/>
          <w:szCs w:val="24"/>
        </w:rPr>
        <w:t>in the hands of many subsequent scholars</w:t>
      </w:r>
      <w:r w:rsidR="00C05616">
        <w:rPr>
          <w:sz w:val="24"/>
          <w:szCs w:val="24"/>
        </w:rPr>
        <w:t xml:space="preserve"> and (especially) practitioners</w:t>
      </w:r>
      <w:r>
        <w:rPr>
          <w:sz w:val="24"/>
          <w:szCs w:val="24"/>
        </w:rPr>
        <w:t xml:space="preserve"> </w:t>
      </w:r>
      <w:r w:rsidR="00C05616">
        <w:rPr>
          <w:sz w:val="24"/>
          <w:szCs w:val="24"/>
        </w:rPr>
        <w:t>it</w:t>
      </w:r>
      <w:r w:rsidRPr="00BA2A4F">
        <w:rPr>
          <w:sz w:val="24"/>
          <w:szCs w:val="24"/>
        </w:rPr>
        <w:t xml:space="preserve"> appears to have morphed into a presumption that </w:t>
      </w:r>
      <w:r>
        <w:rPr>
          <w:sz w:val="24"/>
          <w:szCs w:val="24"/>
        </w:rPr>
        <w:t xml:space="preserve">private individualism and </w:t>
      </w:r>
      <w:r w:rsidRPr="00BA2A4F">
        <w:rPr>
          <w:sz w:val="24"/>
          <w:szCs w:val="24"/>
        </w:rPr>
        <w:t xml:space="preserve">green consumerism is a </w:t>
      </w:r>
      <w:r>
        <w:rPr>
          <w:sz w:val="24"/>
          <w:szCs w:val="24"/>
        </w:rPr>
        <w:t xml:space="preserve">– perhaps </w:t>
      </w:r>
      <w:r w:rsidRPr="00980F4C">
        <w:rPr>
          <w:i/>
          <w:sz w:val="24"/>
          <w:szCs w:val="24"/>
        </w:rPr>
        <w:t>the</w:t>
      </w:r>
      <w:r>
        <w:rPr>
          <w:sz w:val="24"/>
          <w:szCs w:val="24"/>
        </w:rPr>
        <w:t xml:space="preserve"> – </w:t>
      </w:r>
      <w:r w:rsidRPr="00BA2A4F">
        <w:rPr>
          <w:sz w:val="24"/>
          <w:szCs w:val="24"/>
        </w:rPr>
        <w:t xml:space="preserve">primary manifestation of citizenship itself.  </w:t>
      </w:r>
      <w:r>
        <w:rPr>
          <w:sz w:val="24"/>
          <w:szCs w:val="24"/>
        </w:rPr>
        <w:t xml:space="preserve">Rather than publicizing private household practices, this appears as </w:t>
      </w:r>
      <w:r w:rsidR="0072127F">
        <w:rPr>
          <w:sz w:val="24"/>
          <w:szCs w:val="24"/>
        </w:rPr>
        <w:t>the</w:t>
      </w:r>
      <w:r>
        <w:rPr>
          <w:sz w:val="24"/>
          <w:szCs w:val="24"/>
        </w:rPr>
        <w:t xml:space="preserve"> privatization and individualization of the concept of citizenship.  In this sense, environmental citizenship has come to “represent growing interest among scholars, policy practitioners and NGOs in the roles that </w:t>
      </w:r>
      <w:r w:rsidRPr="00C24811">
        <w:rPr>
          <w:i/>
          <w:sz w:val="24"/>
          <w:szCs w:val="24"/>
        </w:rPr>
        <w:t>individuals</w:t>
      </w:r>
      <w:r>
        <w:rPr>
          <w:sz w:val="24"/>
          <w:szCs w:val="24"/>
        </w:rPr>
        <w:t xml:space="preserve"> can, do and should play,”</w:t>
      </w:r>
      <w:r w:rsidRPr="00A06000">
        <w:rPr>
          <w:rStyle w:val="FootnoteReference"/>
        </w:rPr>
        <w:footnoteReference w:id="33"/>
      </w:r>
      <w:r>
        <w:rPr>
          <w:sz w:val="24"/>
          <w:szCs w:val="24"/>
        </w:rPr>
        <w:t xml:space="preserve"> and reflects a growing equivalence between citizenship and consumption</w:t>
      </w:r>
      <w:r w:rsidR="00C05616">
        <w:rPr>
          <w:sz w:val="24"/>
          <w:szCs w:val="24"/>
        </w:rPr>
        <w:t xml:space="preserve">.  This has become so commonplace that </w:t>
      </w:r>
      <w:proofErr w:type="spellStart"/>
      <w:r>
        <w:rPr>
          <w:sz w:val="24"/>
          <w:szCs w:val="24"/>
        </w:rPr>
        <w:t>Sherilyn</w:t>
      </w:r>
      <w:proofErr w:type="spellEnd"/>
      <w:r>
        <w:rPr>
          <w:sz w:val="24"/>
          <w:szCs w:val="24"/>
        </w:rPr>
        <w:t xml:space="preserve"> </w:t>
      </w:r>
      <w:proofErr w:type="spellStart"/>
      <w:r>
        <w:rPr>
          <w:sz w:val="24"/>
          <w:szCs w:val="24"/>
        </w:rPr>
        <w:t>MacGregor</w:t>
      </w:r>
      <w:proofErr w:type="spellEnd"/>
      <w:r>
        <w:rPr>
          <w:sz w:val="24"/>
          <w:szCs w:val="24"/>
        </w:rPr>
        <w:t xml:space="preserve"> </w:t>
      </w:r>
      <w:r w:rsidR="008B1323">
        <w:rPr>
          <w:sz w:val="24"/>
          <w:szCs w:val="24"/>
        </w:rPr>
        <w:t>is able to conclude</w:t>
      </w:r>
      <w:r>
        <w:rPr>
          <w:sz w:val="24"/>
          <w:szCs w:val="24"/>
        </w:rPr>
        <w:t xml:space="preserve"> that </w:t>
      </w:r>
      <w:r w:rsidRPr="00BA2A4F">
        <w:rPr>
          <w:sz w:val="24"/>
          <w:szCs w:val="24"/>
        </w:rPr>
        <w:t>“consumption… is now central to visions of environmental citizenship</w:t>
      </w:r>
      <w:r>
        <w:rPr>
          <w:sz w:val="24"/>
          <w:szCs w:val="24"/>
        </w:rPr>
        <w:t>.”</w:t>
      </w:r>
      <w:r w:rsidRPr="00A06000">
        <w:rPr>
          <w:rStyle w:val="FootnoteReference"/>
        </w:rPr>
        <w:footnoteReference w:id="34"/>
      </w:r>
      <w:r>
        <w:rPr>
          <w:sz w:val="24"/>
          <w:szCs w:val="24"/>
        </w:rPr>
        <w:t xml:space="preserve"> From the analytical perspective of </w:t>
      </w:r>
      <w:proofErr w:type="spellStart"/>
      <w:r>
        <w:rPr>
          <w:sz w:val="24"/>
          <w:szCs w:val="24"/>
        </w:rPr>
        <w:t>Sagoff</w:t>
      </w:r>
      <w:proofErr w:type="spellEnd"/>
      <w:r>
        <w:rPr>
          <w:sz w:val="24"/>
          <w:szCs w:val="24"/>
        </w:rPr>
        <w:t xml:space="preserve"> and </w:t>
      </w:r>
      <w:proofErr w:type="spellStart"/>
      <w:r>
        <w:rPr>
          <w:sz w:val="24"/>
          <w:szCs w:val="24"/>
        </w:rPr>
        <w:t>Maniates</w:t>
      </w:r>
      <w:proofErr w:type="spellEnd"/>
      <w:r>
        <w:rPr>
          <w:sz w:val="24"/>
          <w:szCs w:val="24"/>
        </w:rPr>
        <w:t xml:space="preserve">, there is a ‘through the looking glass’ quality to this new equivalence, highlighted by another recent critic who is able to characterize contemporary notions of environmental </w:t>
      </w:r>
      <w:r w:rsidRPr="008B1323">
        <w:rPr>
          <w:i/>
          <w:sz w:val="24"/>
          <w:szCs w:val="24"/>
        </w:rPr>
        <w:t>citizenship</w:t>
      </w:r>
      <w:r>
        <w:rPr>
          <w:sz w:val="24"/>
          <w:szCs w:val="24"/>
        </w:rPr>
        <w:t xml:space="preserve"> as “</w:t>
      </w:r>
      <w:proofErr w:type="spellStart"/>
      <w:r>
        <w:rPr>
          <w:sz w:val="24"/>
          <w:szCs w:val="24"/>
        </w:rPr>
        <w:t>individualising</w:t>
      </w:r>
      <w:proofErr w:type="spellEnd"/>
      <w:r>
        <w:rPr>
          <w:sz w:val="24"/>
          <w:szCs w:val="24"/>
        </w:rPr>
        <w:t xml:space="preserve"> environmental responsibility” -- precisely the language that Maniates had </w:t>
      </w:r>
      <w:r w:rsidR="00476EBA">
        <w:rPr>
          <w:sz w:val="24"/>
          <w:szCs w:val="24"/>
        </w:rPr>
        <w:t xml:space="preserve">earlier </w:t>
      </w:r>
      <w:r>
        <w:rPr>
          <w:sz w:val="24"/>
          <w:szCs w:val="24"/>
        </w:rPr>
        <w:t xml:space="preserve">used to critique  green </w:t>
      </w:r>
      <w:r w:rsidRPr="00292597">
        <w:rPr>
          <w:i/>
          <w:sz w:val="24"/>
          <w:szCs w:val="24"/>
        </w:rPr>
        <w:t>consumption</w:t>
      </w:r>
      <w:r>
        <w:rPr>
          <w:sz w:val="24"/>
          <w:szCs w:val="24"/>
        </w:rPr>
        <w:t>.</w:t>
      </w:r>
      <w:r w:rsidRPr="00A06000">
        <w:rPr>
          <w:rStyle w:val="FootnoteReference"/>
        </w:rPr>
        <w:footnoteReference w:id="35"/>
      </w:r>
    </w:p>
    <w:p w:rsidR="001A6301" w:rsidRPr="00355AA2" w:rsidRDefault="001A6301" w:rsidP="00A13285">
      <w:pPr>
        <w:spacing w:after="120" w:line="240" w:lineRule="auto"/>
        <w:rPr>
          <w:sz w:val="24"/>
          <w:szCs w:val="24"/>
        </w:rPr>
      </w:pPr>
      <w:r>
        <w:rPr>
          <w:sz w:val="24"/>
          <w:szCs w:val="24"/>
        </w:rPr>
        <w:lastRenderedPageBreak/>
        <w:t xml:space="preserve">There is thus </w:t>
      </w:r>
      <w:r w:rsidR="00C4143B">
        <w:rPr>
          <w:sz w:val="24"/>
          <w:szCs w:val="24"/>
        </w:rPr>
        <w:t xml:space="preserve">good </w:t>
      </w:r>
      <w:r>
        <w:rPr>
          <w:sz w:val="24"/>
          <w:szCs w:val="24"/>
        </w:rPr>
        <w:t xml:space="preserve">reason to </w:t>
      </w:r>
      <w:r w:rsidR="00526B59">
        <w:rPr>
          <w:sz w:val="24"/>
          <w:szCs w:val="24"/>
        </w:rPr>
        <w:t>worry</w:t>
      </w:r>
      <w:r>
        <w:rPr>
          <w:sz w:val="24"/>
          <w:szCs w:val="24"/>
        </w:rPr>
        <w:t xml:space="preserve"> that attention to </w:t>
      </w:r>
      <w:r w:rsidR="00F743E7">
        <w:rPr>
          <w:sz w:val="24"/>
          <w:szCs w:val="24"/>
        </w:rPr>
        <w:t>the role of</w:t>
      </w:r>
      <w:r w:rsidRPr="00355AA2">
        <w:rPr>
          <w:sz w:val="24"/>
          <w:szCs w:val="24"/>
        </w:rPr>
        <w:t xml:space="preserve"> home-making </w:t>
      </w:r>
      <w:r>
        <w:rPr>
          <w:sz w:val="24"/>
          <w:szCs w:val="24"/>
        </w:rPr>
        <w:t>is</w:t>
      </w:r>
      <w:r w:rsidRPr="00355AA2">
        <w:rPr>
          <w:sz w:val="24"/>
          <w:szCs w:val="24"/>
        </w:rPr>
        <w:t xml:space="preserve"> one that exacerbates the tendency toward an individualization of responsibility.  </w:t>
      </w:r>
      <w:r w:rsidR="007B6450" w:rsidRPr="00355AA2">
        <w:rPr>
          <w:sz w:val="24"/>
          <w:szCs w:val="24"/>
        </w:rPr>
        <w:t xml:space="preserve">The limitations of micro-level, individualized consumer actions as leading to macro-level, social </w:t>
      </w:r>
      <w:r w:rsidR="00F743E7" w:rsidRPr="00355AA2">
        <w:rPr>
          <w:sz w:val="24"/>
          <w:szCs w:val="24"/>
        </w:rPr>
        <w:t>change needs</w:t>
      </w:r>
      <w:r w:rsidR="007B6450" w:rsidRPr="00355AA2">
        <w:rPr>
          <w:sz w:val="24"/>
          <w:szCs w:val="24"/>
        </w:rPr>
        <w:t xml:space="preserve"> to be taken very seriously.  </w:t>
      </w:r>
      <w:r w:rsidR="00526B59">
        <w:rPr>
          <w:sz w:val="24"/>
          <w:szCs w:val="24"/>
        </w:rPr>
        <w:t xml:space="preserve">Yet </w:t>
      </w:r>
      <w:r w:rsidR="00231673">
        <w:rPr>
          <w:sz w:val="24"/>
          <w:szCs w:val="24"/>
        </w:rPr>
        <w:t>my</w:t>
      </w:r>
      <w:r>
        <w:rPr>
          <w:sz w:val="24"/>
          <w:szCs w:val="24"/>
        </w:rPr>
        <w:t xml:space="preserve"> argument builds upon the distinction drawn </w:t>
      </w:r>
      <w:r w:rsidR="007B6450">
        <w:rPr>
          <w:sz w:val="24"/>
          <w:szCs w:val="24"/>
        </w:rPr>
        <w:t>from</w:t>
      </w:r>
      <w:r>
        <w:rPr>
          <w:sz w:val="24"/>
          <w:szCs w:val="24"/>
        </w:rPr>
        <w:t xml:space="preserve"> the discussion of CCAT</w:t>
      </w:r>
      <w:r w:rsidR="00F5403B">
        <w:rPr>
          <w:sz w:val="24"/>
          <w:szCs w:val="24"/>
        </w:rPr>
        <w:t>:</w:t>
      </w:r>
      <w:r>
        <w:rPr>
          <w:sz w:val="24"/>
          <w:szCs w:val="24"/>
        </w:rPr>
        <w:t xml:space="preserve"> between home as a private, apolitical site for the consumption of new technologies </w:t>
      </w:r>
      <w:r w:rsidR="001A0F89">
        <w:rPr>
          <w:sz w:val="24"/>
          <w:szCs w:val="24"/>
        </w:rPr>
        <w:t xml:space="preserve">(“mousetraps”) </w:t>
      </w:r>
      <w:r w:rsidR="00526B59">
        <w:rPr>
          <w:sz w:val="24"/>
          <w:szCs w:val="24"/>
        </w:rPr>
        <w:t>versus</w:t>
      </w:r>
      <w:r>
        <w:rPr>
          <w:sz w:val="24"/>
          <w:szCs w:val="24"/>
        </w:rPr>
        <w:t xml:space="preserve"> home as a negotiated site in which such technologies and their adoption </w:t>
      </w:r>
      <w:r w:rsidR="00F743E7">
        <w:rPr>
          <w:sz w:val="24"/>
          <w:szCs w:val="24"/>
        </w:rPr>
        <w:t xml:space="preserve">facilitate </w:t>
      </w:r>
      <w:r w:rsidR="00CE5F7E">
        <w:rPr>
          <w:sz w:val="24"/>
          <w:szCs w:val="24"/>
        </w:rPr>
        <w:t>conversation and experiment</w:t>
      </w:r>
      <w:r>
        <w:rPr>
          <w:sz w:val="24"/>
          <w:szCs w:val="24"/>
        </w:rPr>
        <w:t xml:space="preserve">.  </w:t>
      </w:r>
      <w:r w:rsidR="007B6450">
        <w:rPr>
          <w:sz w:val="24"/>
          <w:szCs w:val="24"/>
        </w:rPr>
        <w:t>T</w:t>
      </w:r>
      <w:r w:rsidRPr="00355AA2">
        <w:rPr>
          <w:sz w:val="24"/>
          <w:szCs w:val="24"/>
        </w:rPr>
        <w:t>he centrality of home to everyday</w:t>
      </w:r>
      <w:r w:rsidR="00CE5F7E">
        <w:rPr>
          <w:sz w:val="24"/>
          <w:szCs w:val="24"/>
        </w:rPr>
        <w:t xml:space="preserve"> life invites </w:t>
      </w:r>
      <w:r w:rsidRPr="00355AA2">
        <w:rPr>
          <w:sz w:val="24"/>
          <w:szCs w:val="24"/>
        </w:rPr>
        <w:t xml:space="preserve">a more nuanced consideration of </w:t>
      </w:r>
      <w:r w:rsidR="00CE5F7E">
        <w:rPr>
          <w:sz w:val="24"/>
          <w:szCs w:val="24"/>
        </w:rPr>
        <w:t>its</w:t>
      </w:r>
      <w:r w:rsidRPr="00355AA2">
        <w:rPr>
          <w:sz w:val="24"/>
          <w:szCs w:val="24"/>
        </w:rPr>
        <w:t xml:space="preserve"> potential</w:t>
      </w:r>
      <w:r w:rsidR="00CE5F7E">
        <w:rPr>
          <w:sz w:val="24"/>
          <w:szCs w:val="24"/>
        </w:rPr>
        <w:t xml:space="preserve"> to generate broader forms of political action</w:t>
      </w:r>
      <w:r w:rsidRPr="00355AA2">
        <w:rPr>
          <w:sz w:val="24"/>
          <w:szCs w:val="24"/>
        </w:rPr>
        <w:t>.</w:t>
      </w:r>
      <w:r>
        <w:rPr>
          <w:sz w:val="24"/>
          <w:szCs w:val="24"/>
        </w:rPr>
        <w:t xml:space="preserve">  </w:t>
      </w:r>
    </w:p>
    <w:p w:rsidR="00773A95" w:rsidRPr="00355AA2" w:rsidRDefault="005401D1" w:rsidP="00A13285">
      <w:pPr>
        <w:pStyle w:val="Heading1"/>
        <w:numPr>
          <w:ilvl w:val="0"/>
          <w:numId w:val="1"/>
        </w:numPr>
        <w:spacing w:before="120" w:after="120"/>
        <w:rPr>
          <w:rFonts w:asciiTheme="minorHAnsi" w:hAnsiTheme="minorHAnsi"/>
          <w:szCs w:val="24"/>
        </w:rPr>
      </w:pPr>
      <w:r>
        <w:rPr>
          <w:rFonts w:asciiTheme="minorHAnsi" w:hAnsiTheme="minorHAnsi"/>
          <w:szCs w:val="24"/>
        </w:rPr>
        <w:t>Politicizing Material Practices</w:t>
      </w:r>
      <w:r w:rsidR="009C5FF2">
        <w:rPr>
          <w:rFonts w:asciiTheme="minorHAnsi" w:hAnsiTheme="minorHAnsi"/>
          <w:szCs w:val="24"/>
        </w:rPr>
        <w:t xml:space="preserve"> of Home</w:t>
      </w:r>
    </w:p>
    <w:p w:rsidR="005401D1" w:rsidRPr="005401D1" w:rsidRDefault="005401D1" w:rsidP="00A13285">
      <w:pPr>
        <w:pStyle w:val="ListParagraph"/>
        <w:keepNext/>
        <w:numPr>
          <w:ilvl w:val="0"/>
          <w:numId w:val="3"/>
        </w:numPr>
        <w:spacing w:after="120" w:line="240" w:lineRule="auto"/>
        <w:rPr>
          <w:b/>
          <w:sz w:val="24"/>
          <w:szCs w:val="24"/>
        </w:rPr>
      </w:pPr>
      <w:r w:rsidRPr="005401D1">
        <w:rPr>
          <w:b/>
          <w:sz w:val="24"/>
          <w:szCs w:val="24"/>
        </w:rPr>
        <w:t>Home as haven</w:t>
      </w:r>
    </w:p>
    <w:p w:rsidR="00784CB3" w:rsidRPr="00355AA2" w:rsidRDefault="00773A95" w:rsidP="00A13285">
      <w:pPr>
        <w:spacing w:after="120" w:line="240" w:lineRule="auto"/>
        <w:rPr>
          <w:sz w:val="24"/>
          <w:szCs w:val="24"/>
        </w:rPr>
      </w:pPr>
      <w:r w:rsidRPr="00355AA2">
        <w:rPr>
          <w:sz w:val="24"/>
          <w:szCs w:val="24"/>
        </w:rPr>
        <w:t>The dominant conception of home today -- in the US and many other post-industrial</w:t>
      </w:r>
      <w:r w:rsidRPr="00773A95">
        <w:rPr>
          <w:sz w:val="24"/>
          <w:szCs w:val="24"/>
        </w:rPr>
        <w:t xml:space="preserve"> </w:t>
      </w:r>
      <w:r w:rsidRPr="00355AA2">
        <w:rPr>
          <w:sz w:val="24"/>
          <w:szCs w:val="24"/>
        </w:rPr>
        <w:t xml:space="preserve">societies – </w:t>
      </w:r>
      <w:r w:rsidR="00E77063">
        <w:rPr>
          <w:sz w:val="24"/>
          <w:szCs w:val="24"/>
        </w:rPr>
        <w:t>approximates</w:t>
      </w:r>
      <w:r w:rsidRPr="00355AA2">
        <w:rPr>
          <w:sz w:val="24"/>
          <w:szCs w:val="24"/>
        </w:rPr>
        <w:t xml:space="preserve"> what Dolores Hayden has termed the “home as haven.”</w:t>
      </w:r>
      <w:r w:rsidRPr="00A06000">
        <w:rPr>
          <w:rStyle w:val="FootnoteReference"/>
        </w:rPr>
        <w:footnoteReference w:id="36"/>
      </w:r>
      <w:r w:rsidRPr="00355AA2">
        <w:rPr>
          <w:sz w:val="24"/>
          <w:szCs w:val="24"/>
        </w:rPr>
        <w:t xml:space="preserve">  Envisioned in the</w:t>
      </w:r>
      <w:r w:rsidRPr="00773A95">
        <w:rPr>
          <w:sz w:val="24"/>
          <w:szCs w:val="24"/>
        </w:rPr>
        <w:t xml:space="preserve"> </w:t>
      </w:r>
      <w:r w:rsidRPr="00355AA2">
        <w:rPr>
          <w:sz w:val="24"/>
          <w:szCs w:val="24"/>
        </w:rPr>
        <w:t xml:space="preserve">nineteenth century as a self-contained </w:t>
      </w:r>
      <w:r w:rsidR="00AF2EB0">
        <w:rPr>
          <w:sz w:val="24"/>
          <w:szCs w:val="24"/>
        </w:rPr>
        <w:t xml:space="preserve">private </w:t>
      </w:r>
      <w:r w:rsidRPr="00355AA2">
        <w:rPr>
          <w:sz w:val="24"/>
          <w:szCs w:val="24"/>
        </w:rPr>
        <w:t>refuge for a nuclear family nurtured by the wife and</w:t>
      </w:r>
      <w:r w:rsidRPr="00773A95">
        <w:rPr>
          <w:sz w:val="24"/>
          <w:szCs w:val="24"/>
        </w:rPr>
        <w:t xml:space="preserve"> </w:t>
      </w:r>
      <w:r w:rsidRPr="00355AA2">
        <w:rPr>
          <w:sz w:val="24"/>
          <w:szCs w:val="24"/>
        </w:rPr>
        <w:t>mother, “the spatial envelope for all of this exclusive nurturing was a little cottage in a</w:t>
      </w:r>
      <w:r w:rsidRPr="00773A95">
        <w:rPr>
          <w:sz w:val="24"/>
          <w:szCs w:val="24"/>
        </w:rPr>
        <w:t xml:space="preserve"> </w:t>
      </w:r>
      <w:r w:rsidRPr="00355AA2">
        <w:rPr>
          <w:sz w:val="24"/>
          <w:szCs w:val="24"/>
        </w:rPr>
        <w:t>garden.”</w:t>
      </w:r>
      <w:r w:rsidRPr="00A06000">
        <w:rPr>
          <w:rStyle w:val="FootnoteReference"/>
        </w:rPr>
        <w:footnoteReference w:id="37"/>
      </w:r>
      <w:r w:rsidRPr="00355AA2">
        <w:rPr>
          <w:sz w:val="24"/>
          <w:szCs w:val="24"/>
        </w:rPr>
        <w:t xml:space="preserve">  It is really since the mid-twentieth century that this conception – often manifest as</w:t>
      </w:r>
      <w:r w:rsidRPr="00773A95">
        <w:rPr>
          <w:sz w:val="24"/>
          <w:szCs w:val="24"/>
        </w:rPr>
        <w:t xml:space="preserve"> </w:t>
      </w:r>
      <w:r w:rsidRPr="00355AA2">
        <w:rPr>
          <w:sz w:val="24"/>
          <w:szCs w:val="24"/>
        </w:rPr>
        <w:t xml:space="preserve">the suburban house built as a part of a </w:t>
      </w:r>
      <w:r w:rsidR="00B364C6" w:rsidRPr="00355AA2">
        <w:rPr>
          <w:sz w:val="24"/>
          <w:szCs w:val="24"/>
        </w:rPr>
        <w:t>large-scale</w:t>
      </w:r>
      <w:r w:rsidR="00B364C6">
        <w:rPr>
          <w:sz w:val="24"/>
          <w:szCs w:val="24"/>
        </w:rPr>
        <w:t>,</w:t>
      </w:r>
      <w:r w:rsidR="00B364C6" w:rsidRPr="00355AA2">
        <w:rPr>
          <w:sz w:val="24"/>
          <w:szCs w:val="24"/>
        </w:rPr>
        <w:t xml:space="preserve"> </w:t>
      </w:r>
      <w:r w:rsidR="00B364C6">
        <w:rPr>
          <w:sz w:val="24"/>
          <w:szCs w:val="24"/>
        </w:rPr>
        <w:t xml:space="preserve">sprawling </w:t>
      </w:r>
      <w:r w:rsidRPr="00355AA2">
        <w:rPr>
          <w:sz w:val="24"/>
          <w:szCs w:val="24"/>
        </w:rPr>
        <w:t>development of similar houses in a</w:t>
      </w:r>
      <w:r w:rsidRPr="00773A95">
        <w:rPr>
          <w:sz w:val="24"/>
          <w:szCs w:val="24"/>
        </w:rPr>
        <w:t xml:space="preserve"> </w:t>
      </w:r>
      <w:r w:rsidRPr="00355AA2">
        <w:rPr>
          <w:sz w:val="24"/>
          <w:szCs w:val="24"/>
        </w:rPr>
        <w:t>community depende</w:t>
      </w:r>
      <w:r w:rsidR="00D94724">
        <w:rPr>
          <w:sz w:val="24"/>
          <w:szCs w:val="24"/>
        </w:rPr>
        <w:t>nt upon automobility – became fully manifest</w:t>
      </w:r>
      <w:r w:rsidRPr="00355AA2">
        <w:rPr>
          <w:sz w:val="24"/>
          <w:szCs w:val="24"/>
        </w:rPr>
        <w:t xml:space="preserve">.  </w:t>
      </w:r>
      <w:r w:rsidR="00C73D9A">
        <w:rPr>
          <w:sz w:val="24"/>
          <w:szCs w:val="24"/>
        </w:rPr>
        <w:t>Although this form of development</w:t>
      </w:r>
      <w:r w:rsidR="00B364C6" w:rsidRPr="00B364C6">
        <w:rPr>
          <w:sz w:val="24"/>
          <w:szCs w:val="24"/>
        </w:rPr>
        <w:t xml:space="preserve"> is particularly associated with the U.S. and Australia</w:t>
      </w:r>
      <w:r w:rsidR="00F30DA7">
        <w:rPr>
          <w:sz w:val="24"/>
          <w:szCs w:val="24"/>
        </w:rPr>
        <w:t xml:space="preserve"> – where over half the population now lives in suburbs –</w:t>
      </w:r>
      <w:r w:rsidR="00B364C6" w:rsidRPr="00B364C6">
        <w:rPr>
          <w:sz w:val="24"/>
          <w:szCs w:val="24"/>
        </w:rPr>
        <w:t xml:space="preserve"> manifestations can also be found throughout North America, Europe, and increasingly around the world.</w:t>
      </w:r>
      <w:r w:rsidR="00F30DA7" w:rsidRPr="00A06000">
        <w:rPr>
          <w:rStyle w:val="FootnoteReference"/>
        </w:rPr>
        <w:footnoteReference w:id="38"/>
      </w:r>
    </w:p>
    <w:p w:rsidR="005A0501" w:rsidRDefault="001F236F" w:rsidP="00A13285">
      <w:pPr>
        <w:spacing w:after="120" w:line="240" w:lineRule="auto"/>
        <w:rPr>
          <w:sz w:val="24"/>
          <w:szCs w:val="24"/>
        </w:rPr>
      </w:pPr>
      <w:r w:rsidRPr="00355AA2">
        <w:rPr>
          <w:sz w:val="24"/>
          <w:szCs w:val="24"/>
        </w:rPr>
        <w:t xml:space="preserve">There have been many critics of </w:t>
      </w:r>
      <w:r w:rsidR="0076276C" w:rsidRPr="00355AA2">
        <w:rPr>
          <w:sz w:val="24"/>
          <w:szCs w:val="24"/>
        </w:rPr>
        <w:t xml:space="preserve">the sprawling landscape of </w:t>
      </w:r>
      <w:r w:rsidR="00AD5AE5" w:rsidRPr="00355AA2">
        <w:rPr>
          <w:sz w:val="24"/>
          <w:szCs w:val="24"/>
        </w:rPr>
        <w:t>so-called “</w:t>
      </w:r>
      <w:r w:rsidR="0076276C" w:rsidRPr="00355AA2">
        <w:rPr>
          <w:sz w:val="24"/>
          <w:szCs w:val="24"/>
        </w:rPr>
        <w:t>greenfield</w:t>
      </w:r>
      <w:r w:rsidR="00AD5AE5" w:rsidRPr="00355AA2">
        <w:rPr>
          <w:sz w:val="24"/>
          <w:szCs w:val="24"/>
        </w:rPr>
        <w:t>” development (that is, building houses</w:t>
      </w:r>
      <w:r w:rsidR="00725047" w:rsidRPr="00355AA2">
        <w:rPr>
          <w:sz w:val="24"/>
          <w:szCs w:val="24"/>
        </w:rPr>
        <w:t xml:space="preserve"> on </w:t>
      </w:r>
      <w:r w:rsidR="00D31AB7" w:rsidRPr="00355AA2">
        <w:rPr>
          <w:sz w:val="24"/>
          <w:szCs w:val="24"/>
        </w:rPr>
        <w:t xml:space="preserve">the </w:t>
      </w:r>
      <w:r w:rsidR="00725047" w:rsidRPr="00355AA2">
        <w:rPr>
          <w:sz w:val="24"/>
          <w:szCs w:val="24"/>
        </w:rPr>
        <w:t xml:space="preserve">farmland, fields, or forests </w:t>
      </w:r>
      <w:r w:rsidR="00D31AB7" w:rsidRPr="00355AA2">
        <w:rPr>
          <w:sz w:val="24"/>
          <w:szCs w:val="24"/>
        </w:rPr>
        <w:t>at</w:t>
      </w:r>
      <w:r w:rsidR="00AD5AE5" w:rsidRPr="00355AA2">
        <w:rPr>
          <w:sz w:val="24"/>
          <w:szCs w:val="24"/>
        </w:rPr>
        <w:t xml:space="preserve"> the periphery of existing </w:t>
      </w:r>
      <w:r w:rsidR="00D31AB7" w:rsidRPr="00355AA2">
        <w:rPr>
          <w:sz w:val="24"/>
          <w:szCs w:val="24"/>
        </w:rPr>
        <w:t>cities and towns</w:t>
      </w:r>
      <w:r w:rsidR="00AD5AE5" w:rsidRPr="00355AA2">
        <w:rPr>
          <w:sz w:val="24"/>
          <w:szCs w:val="24"/>
        </w:rPr>
        <w:t xml:space="preserve">) </w:t>
      </w:r>
      <w:r w:rsidR="00D31AB7" w:rsidRPr="00355AA2">
        <w:rPr>
          <w:sz w:val="24"/>
          <w:szCs w:val="24"/>
        </w:rPr>
        <w:t>in recent decades</w:t>
      </w:r>
      <w:r w:rsidR="001966F6" w:rsidRPr="00355AA2">
        <w:rPr>
          <w:sz w:val="24"/>
          <w:szCs w:val="24"/>
        </w:rPr>
        <w:t xml:space="preserve">.  </w:t>
      </w:r>
      <w:r w:rsidR="0076276C" w:rsidRPr="00355AA2">
        <w:rPr>
          <w:sz w:val="24"/>
          <w:szCs w:val="24"/>
        </w:rPr>
        <w:t xml:space="preserve">Critics </w:t>
      </w:r>
      <w:r w:rsidR="00C76828">
        <w:rPr>
          <w:sz w:val="24"/>
          <w:szCs w:val="24"/>
        </w:rPr>
        <w:t xml:space="preserve">have </w:t>
      </w:r>
      <w:r w:rsidR="0076276C" w:rsidRPr="00355AA2">
        <w:rPr>
          <w:sz w:val="24"/>
          <w:szCs w:val="24"/>
        </w:rPr>
        <w:t>charge</w:t>
      </w:r>
      <w:r w:rsidR="00C76828">
        <w:rPr>
          <w:sz w:val="24"/>
          <w:szCs w:val="24"/>
        </w:rPr>
        <w:t>d</w:t>
      </w:r>
      <w:r w:rsidR="0076276C" w:rsidRPr="00355AA2">
        <w:rPr>
          <w:sz w:val="24"/>
          <w:szCs w:val="24"/>
        </w:rPr>
        <w:t xml:space="preserve"> suburban sprawl with </w:t>
      </w:r>
      <w:r w:rsidR="0039082D" w:rsidRPr="00355AA2">
        <w:rPr>
          <w:sz w:val="24"/>
          <w:szCs w:val="24"/>
        </w:rPr>
        <w:t xml:space="preserve">fostering a sense of </w:t>
      </w:r>
      <w:proofErr w:type="spellStart"/>
      <w:r w:rsidR="0039082D" w:rsidRPr="00355AA2">
        <w:rPr>
          <w:sz w:val="24"/>
          <w:szCs w:val="24"/>
        </w:rPr>
        <w:t>placelessness</w:t>
      </w:r>
      <w:proofErr w:type="spellEnd"/>
      <w:r w:rsidR="0039082D" w:rsidRPr="00355AA2">
        <w:rPr>
          <w:sz w:val="24"/>
          <w:szCs w:val="24"/>
        </w:rPr>
        <w:t>, aesthetic violence, and anomie.</w:t>
      </w:r>
      <w:r w:rsidR="0039082D" w:rsidRPr="00A06000">
        <w:rPr>
          <w:rStyle w:val="FootnoteReference"/>
        </w:rPr>
        <w:footnoteReference w:id="39"/>
      </w:r>
      <w:r w:rsidR="0039082D" w:rsidRPr="00355AA2">
        <w:rPr>
          <w:sz w:val="24"/>
          <w:szCs w:val="24"/>
        </w:rPr>
        <w:t xml:space="preserve"> They </w:t>
      </w:r>
      <w:r w:rsidR="00C76828">
        <w:rPr>
          <w:sz w:val="24"/>
          <w:szCs w:val="24"/>
        </w:rPr>
        <w:t xml:space="preserve">have </w:t>
      </w:r>
      <w:r w:rsidR="0039082D" w:rsidRPr="00355AA2">
        <w:rPr>
          <w:sz w:val="24"/>
          <w:szCs w:val="24"/>
        </w:rPr>
        <w:t>also highlight</w:t>
      </w:r>
      <w:r w:rsidR="00C76828">
        <w:rPr>
          <w:sz w:val="24"/>
          <w:szCs w:val="24"/>
        </w:rPr>
        <w:t>ed</w:t>
      </w:r>
      <w:r w:rsidR="0039082D" w:rsidRPr="00355AA2">
        <w:rPr>
          <w:sz w:val="24"/>
          <w:szCs w:val="24"/>
        </w:rPr>
        <w:t xml:space="preserve"> concerns about growing commuting times, lack of public facilities and services, destruction of agricultural and </w:t>
      </w:r>
      <w:proofErr w:type="spellStart"/>
      <w:r w:rsidR="0039082D" w:rsidRPr="00355AA2">
        <w:rPr>
          <w:sz w:val="24"/>
          <w:szCs w:val="24"/>
        </w:rPr>
        <w:t>wildlands</w:t>
      </w:r>
      <w:proofErr w:type="spellEnd"/>
      <w:r w:rsidR="0039082D" w:rsidRPr="00355AA2">
        <w:rPr>
          <w:sz w:val="24"/>
          <w:szCs w:val="24"/>
        </w:rPr>
        <w:t xml:space="preserve">, and </w:t>
      </w:r>
      <w:r w:rsidR="00EB30B2" w:rsidRPr="00355AA2">
        <w:rPr>
          <w:sz w:val="24"/>
          <w:szCs w:val="24"/>
        </w:rPr>
        <w:t>dramatically expanded</w:t>
      </w:r>
      <w:r w:rsidR="0039082D" w:rsidRPr="00355AA2">
        <w:rPr>
          <w:sz w:val="24"/>
          <w:szCs w:val="24"/>
        </w:rPr>
        <w:t xml:space="preserve"> energy consumption and environmental impact.</w:t>
      </w:r>
      <w:r w:rsidR="00785D30" w:rsidRPr="00A06000">
        <w:rPr>
          <w:rStyle w:val="FootnoteReference"/>
        </w:rPr>
        <w:footnoteReference w:id="40"/>
      </w:r>
      <w:r w:rsidR="00785D30" w:rsidRPr="00355AA2">
        <w:rPr>
          <w:sz w:val="24"/>
          <w:szCs w:val="24"/>
        </w:rPr>
        <w:t xml:space="preserve">  </w:t>
      </w:r>
      <w:r w:rsidR="001966F6" w:rsidRPr="00355AA2">
        <w:rPr>
          <w:sz w:val="24"/>
          <w:szCs w:val="24"/>
        </w:rPr>
        <w:t xml:space="preserve">These criticisms have also led to </w:t>
      </w:r>
      <w:r w:rsidR="00557C9B">
        <w:rPr>
          <w:sz w:val="24"/>
          <w:szCs w:val="24"/>
        </w:rPr>
        <w:t>counter-</w:t>
      </w:r>
      <w:r w:rsidR="00F27DBC">
        <w:rPr>
          <w:sz w:val="24"/>
          <w:szCs w:val="24"/>
        </w:rPr>
        <w:t>movements</w:t>
      </w:r>
      <w:r w:rsidR="001966F6" w:rsidRPr="00355AA2">
        <w:rPr>
          <w:sz w:val="24"/>
          <w:szCs w:val="24"/>
        </w:rPr>
        <w:t xml:space="preserve"> </w:t>
      </w:r>
      <w:r w:rsidR="00784811">
        <w:rPr>
          <w:sz w:val="24"/>
          <w:szCs w:val="24"/>
        </w:rPr>
        <w:t>that emphasize design</w:t>
      </w:r>
      <w:r w:rsidR="00186163">
        <w:rPr>
          <w:sz w:val="24"/>
          <w:szCs w:val="24"/>
        </w:rPr>
        <w:t>s that</w:t>
      </w:r>
      <w:r w:rsidR="00784811">
        <w:rPr>
          <w:sz w:val="24"/>
          <w:szCs w:val="24"/>
        </w:rPr>
        <w:t xml:space="preserve"> </w:t>
      </w:r>
      <w:r w:rsidR="00784811">
        <w:rPr>
          <w:sz w:val="24"/>
          <w:szCs w:val="24"/>
        </w:rPr>
        <w:lastRenderedPageBreak/>
        <w:t xml:space="preserve">foster walkability and integration of business and residential uses, as well as in-fill and transit-oriented development.  In the US, these efforts are </w:t>
      </w:r>
      <w:r w:rsidR="00186163">
        <w:rPr>
          <w:sz w:val="24"/>
          <w:szCs w:val="24"/>
        </w:rPr>
        <w:t xml:space="preserve">often </w:t>
      </w:r>
      <w:r w:rsidR="00784811">
        <w:rPr>
          <w:sz w:val="24"/>
          <w:szCs w:val="24"/>
        </w:rPr>
        <w:t>captured under the labels</w:t>
      </w:r>
      <w:r w:rsidR="00784811" w:rsidRPr="00355AA2">
        <w:rPr>
          <w:sz w:val="24"/>
          <w:szCs w:val="24"/>
        </w:rPr>
        <w:t xml:space="preserve"> “</w:t>
      </w:r>
      <w:r w:rsidR="00533496">
        <w:rPr>
          <w:sz w:val="24"/>
          <w:szCs w:val="24"/>
        </w:rPr>
        <w:t>new urbanism” and “smart growth.</w:t>
      </w:r>
      <w:r w:rsidR="00186163" w:rsidRPr="00355AA2">
        <w:rPr>
          <w:sz w:val="24"/>
          <w:szCs w:val="24"/>
        </w:rPr>
        <w:t>”</w:t>
      </w:r>
      <w:r w:rsidR="00784811" w:rsidRPr="00A06000">
        <w:rPr>
          <w:rStyle w:val="FootnoteReference"/>
        </w:rPr>
        <w:footnoteReference w:id="41"/>
      </w:r>
      <w:r w:rsidR="00784811" w:rsidRPr="00355AA2">
        <w:rPr>
          <w:sz w:val="24"/>
          <w:szCs w:val="24"/>
        </w:rPr>
        <w:t xml:space="preserve">  </w:t>
      </w:r>
      <w:r w:rsidR="001966F6" w:rsidRPr="00355AA2">
        <w:rPr>
          <w:sz w:val="24"/>
          <w:szCs w:val="24"/>
        </w:rPr>
        <w:t xml:space="preserve"> </w:t>
      </w:r>
      <w:r w:rsidR="00A02B1C" w:rsidRPr="00355AA2">
        <w:rPr>
          <w:sz w:val="24"/>
          <w:szCs w:val="24"/>
        </w:rPr>
        <w:t xml:space="preserve">While </w:t>
      </w:r>
      <w:r w:rsidR="004F6CF0">
        <w:rPr>
          <w:sz w:val="24"/>
          <w:szCs w:val="24"/>
        </w:rPr>
        <w:t>these efforts</w:t>
      </w:r>
      <w:r w:rsidR="00A02B1C" w:rsidRPr="00355AA2">
        <w:rPr>
          <w:sz w:val="24"/>
          <w:szCs w:val="24"/>
        </w:rPr>
        <w:t xml:space="preserve"> have gained some purchase</w:t>
      </w:r>
      <w:r w:rsidR="00C76828">
        <w:rPr>
          <w:sz w:val="24"/>
          <w:szCs w:val="24"/>
        </w:rPr>
        <w:t xml:space="preserve"> in the US</w:t>
      </w:r>
      <w:r w:rsidR="00186163">
        <w:rPr>
          <w:sz w:val="24"/>
          <w:szCs w:val="24"/>
        </w:rPr>
        <w:t xml:space="preserve"> and</w:t>
      </w:r>
      <w:r w:rsidR="00186163" w:rsidRPr="00186163">
        <w:rPr>
          <w:sz w:val="24"/>
          <w:szCs w:val="24"/>
        </w:rPr>
        <w:t xml:space="preserve"> </w:t>
      </w:r>
      <w:r w:rsidR="00186163">
        <w:rPr>
          <w:sz w:val="24"/>
          <w:szCs w:val="24"/>
        </w:rPr>
        <w:t>both reflect and have encouraged a renewed attraction of urban living</w:t>
      </w:r>
      <w:r w:rsidR="00A02B1C" w:rsidRPr="00355AA2">
        <w:rPr>
          <w:sz w:val="24"/>
          <w:szCs w:val="24"/>
        </w:rPr>
        <w:t xml:space="preserve">, </w:t>
      </w:r>
      <w:r w:rsidRPr="00355AA2">
        <w:rPr>
          <w:sz w:val="24"/>
          <w:szCs w:val="24"/>
        </w:rPr>
        <w:t xml:space="preserve">the juggernaut of </w:t>
      </w:r>
      <w:r w:rsidR="00186163">
        <w:rPr>
          <w:sz w:val="24"/>
          <w:szCs w:val="24"/>
        </w:rPr>
        <w:t xml:space="preserve">low-density, </w:t>
      </w:r>
      <w:proofErr w:type="spellStart"/>
      <w:r w:rsidR="00AE02D1" w:rsidRPr="00355AA2">
        <w:rPr>
          <w:sz w:val="24"/>
          <w:szCs w:val="24"/>
        </w:rPr>
        <w:t>monocultural</w:t>
      </w:r>
      <w:proofErr w:type="spellEnd"/>
      <w:r w:rsidR="00186163">
        <w:rPr>
          <w:sz w:val="24"/>
          <w:szCs w:val="24"/>
        </w:rPr>
        <w:t>,</w:t>
      </w:r>
      <w:r w:rsidR="00AE02D1" w:rsidRPr="00355AA2">
        <w:rPr>
          <w:sz w:val="24"/>
          <w:szCs w:val="24"/>
        </w:rPr>
        <w:t xml:space="preserve"> </w:t>
      </w:r>
      <w:r w:rsidR="00186163">
        <w:rPr>
          <w:sz w:val="24"/>
          <w:szCs w:val="24"/>
        </w:rPr>
        <w:t xml:space="preserve">sprawling </w:t>
      </w:r>
      <w:r w:rsidRPr="00355AA2">
        <w:rPr>
          <w:sz w:val="24"/>
          <w:szCs w:val="24"/>
        </w:rPr>
        <w:t>development has continued to expand</w:t>
      </w:r>
      <w:r w:rsidR="00AE02D1" w:rsidRPr="00355AA2">
        <w:rPr>
          <w:sz w:val="24"/>
          <w:szCs w:val="24"/>
        </w:rPr>
        <w:t xml:space="preserve"> its footprint.</w:t>
      </w:r>
      <w:r w:rsidR="00A02B1C" w:rsidRPr="00A06000">
        <w:rPr>
          <w:rStyle w:val="FootnoteReference"/>
        </w:rPr>
        <w:footnoteReference w:id="42"/>
      </w:r>
      <w:r w:rsidR="00AE02D1" w:rsidRPr="00355AA2">
        <w:rPr>
          <w:sz w:val="24"/>
          <w:szCs w:val="24"/>
        </w:rPr>
        <w:t xml:space="preserve">  </w:t>
      </w:r>
      <w:r w:rsidR="00E8256F" w:rsidRPr="00355AA2">
        <w:rPr>
          <w:sz w:val="24"/>
          <w:szCs w:val="24"/>
        </w:rPr>
        <w:t>Fueled by</w:t>
      </w:r>
      <w:r w:rsidR="005D633A" w:rsidRPr="00355AA2">
        <w:rPr>
          <w:sz w:val="24"/>
          <w:szCs w:val="24"/>
        </w:rPr>
        <w:t xml:space="preserve"> subprime mortgages and other “</w:t>
      </w:r>
      <w:r w:rsidR="00E8256F" w:rsidRPr="00355AA2">
        <w:rPr>
          <w:sz w:val="24"/>
          <w:szCs w:val="24"/>
        </w:rPr>
        <w:t xml:space="preserve">creative” financing instruments in the years leading up to </w:t>
      </w:r>
      <w:r w:rsidR="005D633A" w:rsidRPr="00355AA2">
        <w:rPr>
          <w:sz w:val="24"/>
          <w:szCs w:val="24"/>
        </w:rPr>
        <w:t xml:space="preserve">the 2008 economic crash, little seems changed as home building has revived </w:t>
      </w:r>
      <w:r w:rsidR="00E8256F" w:rsidRPr="00355AA2">
        <w:rPr>
          <w:sz w:val="24"/>
          <w:szCs w:val="24"/>
        </w:rPr>
        <w:t>more recently</w:t>
      </w:r>
      <w:r w:rsidR="005D633A" w:rsidRPr="00355AA2">
        <w:rPr>
          <w:sz w:val="24"/>
          <w:szCs w:val="24"/>
        </w:rPr>
        <w:t>.</w:t>
      </w:r>
      <w:r w:rsidR="00745D66" w:rsidRPr="00355AA2">
        <w:rPr>
          <w:sz w:val="24"/>
          <w:szCs w:val="24"/>
        </w:rPr>
        <w:t xml:space="preserve"> </w:t>
      </w:r>
      <w:r w:rsidR="00E8256F" w:rsidRPr="00355AA2">
        <w:rPr>
          <w:sz w:val="24"/>
          <w:szCs w:val="24"/>
        </w:rPr>
        <w:t xml:space="preserve"> </w:t>
      </w:r>
    </w:p>
    <w:p w:rsidR="00BD5D7C" w:rsidRPr="00355AA2" w:rsidRDefault="005A0501" w:rsidP="00A13285">
      <w:pPr>
        <w:spacing w:after="120" w:line="240" w:lineRule="auto"/>
        <w:rPr>
          <w:sz w:val="24"/>
          <w:szCs w:val="24"/>
        </w:rPr>
      </w:pPr>
      <w:r>
        <w:rPr>
          <w:sz w:val="24"/>
          <w:szCs w:val="24"/>
        </w:rPr>
        <w:t>A similar</w:t>
      </w:r>
      <w:r w:rsidR="00E8256F" w:rsidRPr="00355AA2">
        <w:rPr>
          <w:sz w:val="24"/>
          <w:szCs w:val="24"/>
        </w:rPr>
        <w:t xml:space="preserve"> </w:t>
      </w:r>
      <w:r w:rsidR="00C76828">
        <w:rPr>
          <w:sz w:val="24"/>
          <w:szCs w:val="24"/>
        </w:rPr>
        <w:t>double movement characterizes</w:t>
      </w:r>
      <w:r w:rsidR="00E8256F" w:rsidRPr="00355AA2">
        <w:rPr>
          <w:sz w:val="24"/>
          <w:szCs w:val="24"/>
        </w:rPr>
        <w:t xml:space="preserve"> the practices taking place within these homes.  On the one hand, we can identify much evidence of household practices that seek to reduce its ecological impact.  On the oth</w:t>
      </w:r>
      <w:r w:rsidR="008F6070" w:rsidRPr="00355AA2">
        <w:rPr>
          <w:sz w:val="24"/>
          <w:szCs w:val="24"/>
        </w:rPr>
        <w:t xml:space="preserve">er, the cultural and economic preoccupation with home improvement </w:t>
      </w:r>
      <w:r w:rsidR="00C76828">
        <w:rPr>
          <w:sz w:val="24"/>
          <w:szCs w:val="24"/>
        </w:rPr>
        <w:t xml:space="preserve">and consumption </w:t>
      </w:r>
      <w:r w:rsidR="008F6070" w:rsidRPr="00355AA2">
        <w:rPr>
          <w:sz w:val="24"/>
          <w:szCs w:val="24"/>
        </w:rPr>
        <w:t>– fueled by the growing sector of stores, products, services and media cultivating an expan</w:t>
      </w:r>
      <w:r w:rsidR="0052062B">
        <w:rPr>
          <w:sz w:val="24"/>
          <w:szCs w:val="24"/>
        </w:rPr>
        <w:t>ded</w:t>
      </w:r>
      <w:r w:rsidR="008F6070" w:rsidRPr="00355AA2">
        <w:rPr>
          <w:sz w:val="24"/>
          <w:szCs w:val="24"/>
        </w:rPr>
        <w:t xml:space="preserve"> </w:t>
      </w:r>
      <w:r w:rsidR="0052062B">
        <w:rPr>
          <w:sz w:val="24"/>
          <w:szCs w:val="24"/>
        </w:rPr>
        <w:t>conception</w:t>
      </w:r>
      <w:r w:rsidR="008F6070" w:rsidRPr="00355AA2">
        <w:rPr>
          <w:sz w:val="24"/>
          <w:szCs w:val="24"/>
        </w:rPr>
        <w:t xml:space="preserve"> of the ideal home – has also grown considerably in recent years.</w:t>
      </w:r>
      <w:r w:rsidR="008F6070" w:rsidRPr="00A06000">
        <w:rPr>
          <w:rStyle w:val="FootnoteReference"/>
        </w:rPr>
        <w:footnoteReference w:id="43"/>
      </w:r>
      <w:r w:rsidR="008F6070" w:rsidRPr="00355AA2">
        <w:rPr>
          <w:sz w:val="24"/>
          <w:szCs w:val="24"/>
        </w:rPr>
        <w:t xml:space="preserve">  </w:t>
      </w:r>
    </w:p>
    <w:p w:rsidR="008F0A37" w:rsidRPr="00355AA2" w:rsidRDefault="00AE5D61" w:rsidP="00A13285">
      <w:pPr>
        <w:spacing w:after="120" w:line="240" w:lineRule="auto"/>
        <w:rPr>
          <w:sz w:val="24"/>
          <w:szCs w:val="24"/>
        </w:rPr>
      </w:pPr>
      <w:r w:rsidRPr="00355AA2">
        <w:rPr>
          <w:sz w:val="24"/>
          <w:szCs w:val="24"/>
        </w:rPr>
        <w:t>E</w:t>
      </w:r>
      <w:r w:rsidR="00AD12F0" w:rsidRPr="00355AA2">
        <w:rPr>
          <w:sz w:val="24"/>
          <w:szCs w:val="24"/>
        </w:rPr>
        <w:t xml:space="preserve">nvisioning meaningful alternatives that would cut </w:t>
      </w:r>
      <w:r w:rsidR="004101D6">
        <w:rPr>
          <w:sz w:val="24"/>
          <w:szCs w:val="24"/>
        </w:rPr>
        <w:t xml:space="preserve">more </w:t>
      </w:r>
      <w:r w:rsidR="00AD12F0" w:rsidRPr="00355AA2">
        <w:rPr>
          <w:sz w:val="24"/>
          <w:szCs w:val="24"/>
        </w:rPr>
        <w:t>deeply into this juggernaut</w:t>
      </w:r>
      <w:r w:rsidR="00916864" w:rsidRPr="00355AA2">
        <w:rPr>
          <w:sz w:val="24"/>
          <w:szCs w:val="24"/>
        </w:rPr>
        <w:t xml:space="preserve"> first</w:t>
      </w:r>
      <w:r w:rsidR="00AD12F0" w:rsidRPr="00355AA2">
        <w:rPr>
          <w:sz w:val="24"/>
          <w:szCs w:val="24"/>
        </w:rPr>
        <w:t xml:space="preserve"> requires that we </w:t>
      </w:r>
      <w:r w:rsidR="00C76828">
        <w:rPr>
          <w:sz w:val="24"/>
          <w:szCs w:val="24"/>
        </w:rPr>
        <w:t>recognize</w:t>
      </w:r>
      <w:r w:rsidR="00AD12F0" w:rsidRPr="00355AA2">
        <w:rPr>
          <w:sz w:val="24"/>
          <w:szCs w:val="24"/>
        </w:rPr>
        <w:t xml:space="preserve"> some of the attractions – both for those who live in these homes and those who aspire to do so.</w:t>
      </w:r>
      <w:r w:rsidR="00C76828" w:rsidRPr="00A06000">
        <w:rPr>
          <w:rStyle w:val="FootnoteReference"/>
        </w:rPr>
        <w:footnoteReference w:id="44"/>
      </w:r>
      <w:r w:rsidR="00D31AB7" w:rsidRPr="00355AA2">
        <w:rPr>
          <w:sz w:val="24"/>
          <w:szCs w:val="24"/>
        </w:rPr>
        <w:t xml:space="preserve">  These </w:t>
      </w:r>
      <w:r w:rsidR="00C8665E" w:rsidRPr="00355AA2">
        <w:rPr>
          <w:sz w:val="24"/>
          <w:szCs w:val="24"/>
        </w:rPr>
        <w:t xml:space="preserve">can </w:t>
      </w:r>
      <w:r w:rsidR="00D31AB7" w:rsidRPr="00355AA2">
        <w:rPr>
          <w:sz w:val="24"/>
          <w:szCs w:val="24"/>
        </w:rPr>
        <w:t xml:space="preserve">entail </w:t>
      </w:r>
      <w:r w:rsidR="00017D03" w:rsidRPr="00355AA2">
        <w:rPr>
          <w:sz w:val="24"/>
          <w:szCs w:val="24"/>
        </w:rPr>
        <w:t>a sense</w:t>
      </w:r>
      <w:r w:rsidR="007A1033" w:rsidRPr="00355AA2">
        <w:rPr>
          <w:sz w:val="24"/>
          <w:szCs w:val="24"/>
        </w:rPr>
        <w:t xml:space="preserve"> of </w:t>
      </w:r>
      <w:r w:rsidR="00FE469D" w:rsidRPr="00355AA2">
        <w:rPr>
          <w:sz w:val="24"/>
          <w:szCs w:val="24"/>
        </w:rPr>
        <w:t xml:space="preserve">safety and </w:t>
      </w:r>
      <w:r w:rsidR="00916864" w:rsidRPr="00355AA2">
        <w:rPr>
          <w:sz w:val="24"/>
          <w:szCs w:val="24"/>
        </w:rPr>
        <w:t>security</w:t>
      </w:r>
      <w:r w:rsidR="005D633A" w:rsidRPr="00355AA2">
        <w:rPr>
          <w:sz w:val="24"/>
          <w:szCs w:val="24"/>
        </w:rPr>
        <w:t xml:space="preserve">, </w:t>
      </w:r>
      <w:r w:rsidR="00795ADD">
        <w:rPr>
          <w:sz w:val="24"/>
          <w:szCs w:val="24"/>
        </w:rPr>
        <w:t>privacy</w:t>
      </w:r>
      <w:r w:rsidR="00F74FB7">
        <w:rPr>
          <w:sz w:val="24"/>
          <w:szCs w:val="24"/>
        </w:rPr>
        <w:t xml:space="preserve">, </w:t>
      </w:r>
      <w:r w:rsidR="00017D03" w:rsidRPr="00355AA2">
        <w:rPr>
          <w:sz w:val="24"/>
          <w:szCs w:val="24"/>
        </w:rPr>
        <w:t>control</w:t>
      </w:r>
      <w:r w:rsidR="005D633A" w:rsidRPr="00355AA2">
        <w:rPr>
          <w:sz w:val="24"/>
          <w:szCs w:val="24"/>
        </w:rPr>
        <w:t>, and equit</w:t>
      </w:r>
      <w:r w:rsidR="00916864" w:rsidRPr="00355AA2">
        <w:rPr>
          <w:sz w:val="24"/>
          <w:szCs w:val="24"/>
        </w:rPr>
        <w:t xml:space="preserve">y </w:t>
      </w:r>
      <w:r w:rsidR="0052062B">
        <w:rPr>
          <w:sz w:val="24"/>
          <w:szCs w:val="24"/>
        </w:rPr>
        <w:t xml:space="preserve">that </w:t>
      </w:r>
      <w:r w:rsidR="0094182C">
        <w:rPr>
          <w:sz w:val="24"/>
          <w:szCs w:val="24"/>
        </w:rPr>
        <w:t>might</w:t>
      </w:r>
      <w:r w:rsidR="0052062B">
        <w:rPr>
          <w:sz w:val="24"/>
          <w:szCs w:val="24"/>
        </w:rPr>
        <w:t xml:space="preserve"> be </w:t>
      </w:r>
      <w:r w:rsidR="00916864" w:rsidRPr="00355AA2">
        <w:rPr>
          <w:sz w:val="24"/>
          <w:szCs w:val="24"/>
        </w:rPr>
        <w:t xml:space="preserve">facilitated by </w:t>
      </w:r>
      <w:r w:rsidR="006723D2" w:rsidRPr="00355AA2">
        <w:rPr>
          <w:sz w:val="24"/>
          <w:szCs w:val="24"/>
        </w:rPr>
        <w:t xml:space="preserve">choosing </w:t>
      </w:r>
      <w:r w:rsidR="00916864" w:rsidRPr="00355AA2">
        <w:rPr>
          <w:sz w:val="24"/>
          <w:szCs w:val="24"/>
        </w:rPr>
        <w:t>the private home</w:t>
      </w:r>
      <w:r w:rsidR="00875C66" w:rsidRPr="00355AA2">
        <w:rPr>
          <w:sz w:val="24"/>
          <w:szCs w:val="24"/>
        </w:rPr>
        <w:t xml:space="preserve"> as a consumer commodity</w:t>
      </w:r>
      <w:r w:rsidR="00916864" w:rsidRPr="00355AA2">
        <w:rPr>
          <w:sz w:val="24"/>
          <w:szCs w:val="24"/>
        </w:rPr>
        <w:t>.</w:t>
      </w:r>
      <w:r w:rsidR="00C76828" w:rsidRPr="00A06000">
        <w:rPr>
          <w:rStyle w:val="FootnoteReference"/>
        </w:rPr>
        <w:footnoteReference w:id="45"/>
      </w:r>
      <w:r w:rsidR="0052062B">
        <w:rPr>
          <w:sz w:val="24"/>
          <w:szCs w:val="24"/>
        </w:rPr>
        <w:t xml:space="preserve"> </w:t>
      </w:r>
      <w:r w:rsidR="00F4027B">
        <w:rPr>
          <w:sz w:val="24"/>
          <w:szCs w:val="24"/>
        </w:rPr>
        <w:t xml:space="preserve">Yet the closer we look at the practices of home and household, the less they fit the conception of an autonomous private haven that many imagine.  Once we move beyond this conception, we can </w:t>
      </w:r>
      <w:r w:rsidR="00FD328F">
        <w:rPr>
          <w:sz w:val="24"/>
          <w:szCs w:val="24"/>
        </w:rPr>
        <w:t xml:space="preserve">imagine new possibilities that draw together </w:t>
      </w:r>
      <w:r w:rsidR="007D5E1A">
        <w:rPr>
          <w:sz w:val="24"/>
          <w:szCs w:val="24"/>
        </w:rPr>
        <w:t xml:space="preserve">practices in </w:t>
      </w:r>
      <w:r w:rsidR="00FD328F">
        <w:rPr>
          <w:sz w:val="24"/>
          <w:szCs w:val="24"/>
        </w:rPr>
        <w:t>the home and citizenship.</w:t>
      </w:r>
      <w:r w:rsidR="00F4027B">
        <w:rPr>
          <w:sz w:val="24"/>
          <w:szCs w:val="24"/>
        </w:rPr>
        <w:t xml:space="preserve"> </w:t>
      </w:r>
    </w:p>
    <w:p w:rsidR="005401D1" w:rsidRPr="005401D1" w:rsidRDefault="005401D1" w:rsidP="00A13285">
      <w:pPr>
        <w:pStyle w:val="ListParagraph"/>
        <w:numPr>
          <w:ilvl w:val="0"/>
          <w:numId w:val="3"/>
        </w:numPr>
        <w:spacing w:after="120" w:line="240" w:lineRule="auto"/>
        <w:rPr>
          <w:b/>
          <w:sz w:val="24"/>
          <w:szCs w:val="24"/>
        </w:rPr>
      </w:pPr>
      <w:r w:rsidRPr="005401D1">
        <w:rPr>
          <w:b/>
          <w:sz w:val="24"/>
          <w:szCs w:val="24"/>
        </w:rPr>
        <w:t>Citizenship and the Home</w:t>
      </w:r>
      <w:r w:rsidR="00170A53">
        <w:rPr>
          <w:b/>
          <w:sz w:val="24"/>
          <w:szCs w:val="24"/>
        </w:rPr>
        <w:t>: 3 Aspects</w:t>
      </w:r>
    </w:p>
    <w:p w:rsidR="0024652E" w:rsidRPr="0024652E" w:rsidRDefault="0024652E" w:rsidP="00A13285">
      <w:pPr>
        <w:spacing w:after="120" w:line="240" w:lineRule="auto"/>
        <w:rPr>
          <w:sz w:val="24"/>
          <w:szCs w:val="24"/>
        </w:rPr>
      </w:pPr>
      <w:r>
        <w:rPr>
          <w:sz w:val="24"/>
          <w:szCs w:val="24"/>
        </w:rPr>
        <w:t>H</w:t>
      </w:r>
      <w:r w:rsidR="001D2BE3" w:rsidRPr="00355AA2">
        <w:rPr>
          <w:sz w:val="24"/>
          <w:szCs w:val="24"/>
        </w:rPr>
        <w:t xml:space="preserve">ome </w:t>
      </w:r>
      <w:r w:rsidR="0060501F">
        <w:rPr>
          <w:sz w:val="24"/>
          <w:szCs w:val="24"/>
        </w:rPr>
        <w:t xml:space="preserve">is not </w:t>
      </w:r>
      <w:r w:rsidR="00725047" w:rsidRPr="00355AA2">
        <w:rPr>
          <w:sz w:val="24"/>
          <w:szCs w:val="24"/>
        </w:rPr>
        <w:t xml:space="preserve">a </w:t>
      </w:r>
      <w:r w:rsidR="001D2BE3" w:rsidRPr="00355AA2">
        <w:rPr>
          <w:sz w:val="24"/>
          <w:szCs w:val="24"/>
        </w:rPr>
        <w:t>wholly private realm</w:t>
      </w:r>
      <w:r w:rsidR="007F0F3C">
        <w:rPr>
          <w:sz w:val="24"/>
          <w:szCs w:val="24"/>
        </w:rPr>
        <w:t xml:space="preserve"> disconnected from the public.  </w:t>
      </w:r>
      <w:r w:rsidR="0060501F">
        <w:rPr>
          <w:sz w:val="24"/>
          <w:szCs w:val="24"/>
        </w:rPr>
        <w:t xml:space="preserve">Both materially and conceptually, it is embedded in a web </w:t>
      </w:r>
      <w:r w:rsidR="00014AFF">
        <w:rPr>
          <w:sz w:val="24"/>
          <w:szCs w:val="24"/>
        </w:rPr>
        <w:t xml:space="preserve">of connections </w:t>
      </w:r>
      <w:r w:rsidR="0060501F">
        <w:rPr>
          <w:sz w:val="24"/>
          <w:szCs w:val="24"/>
        </w:rPr>
        <w:t xml:space="preserve">with the outside.  </w:t>
      </w:r>
      <w:r w:rsidRPr="0024652E">
        <w:rPr>
          <w:sz w:val="24"/>
          <w:szCs w:val="24"/>
        </w:rPr>
        <w:t xml:space="preserve">I focus here on the way that our material experiences as home dwellers are an important subject of citizenship in general and of citizen action to promote sustainability in particular.  </w:t>
      </w:r>
      <w:r w:rsidR="00122647">
        <w:rPr>
          <w:sz w:val="24"/>
          <w:szCs w:val="24"/>
        </w:rPr>
        <w:t>We must recognize that t</w:t>
      </w:r>
      <w:r w:rsidR="0060501F">
        <w:rPr>
          <w:sz w:val="24"/>
          <w:szCs w:val="24"/>
        </w:rPr>
        <w:t>he public and c</w:t>
      </w:r>
      <w:r w:rsidR="001D2BE3" w:rsidRPr="00355AA2">
        <w:rPr>
          <w:sz w:val="24"/>
          <w:szCs w:val="24"/>
        </w:rPr>
        <w:t>itizenship</w:t>
      </w:r>
      <w:r w:rsidR="00725047" w:rsidRPr="00355AA2">
        <w:rPr>
          <w:sz w:val="24"/>
          <w:szCs w:val="24"/>
        </w:rPr>
        <w:t xml:space="preserve"> already has </w:t>
      </w:r>
      <w:r w:rsidR="001D2BE3" w:rsidRPr="00355AA2">
        <w:rPr>
          <w:sz w:val="24"/>
          <w:szCs w:val="24"/>
        </w:rPr>
        <w:t>a place here.</w:t>
      </w:r>
      <w:r w:rsidR="008E04D3" w:rsidRPr="00355AA2">
        <w:rPr>
          <w:sz w:val="24"/>
          <w:szCs w:val="24"/>
        </w:rPr>
        <w:t xml:space="preserve"> </w:t>
      </w:r>
      <w:r w:rsidR="00505C1F">
        <w:rPr>
          <w:sz w:val="24"/>
          <w:szCs w:val="24"/>
        </w:rPr>
        <w:t xml:space="preserve"> </w:t>
      </w:r>
      <w:r w:rsidR="00D11513">
        <w:rPr>
          <w:sz w:val="24"/>
          <w:szCs w:val="24"/>
        </w:rPr>
        <w:t>A</w:t>
      </w:r>
      <w:r w:rsidR="00F56E19">
        <w:rPr>
          <w:sz w:val="24"/>
          <w:szCs w:val="24"/>
        </w:rPr>
        <w:t xml:space="preserve">dvancing </w:t>
      </w:r>
      <w:r w:rsidR="00BD6FC8">
        <w:rPr>
          <w:sz w:val="24"/>
          <w:szCs w:val="24"/>
        </w:rPr>
        <w:t>t</w:t>
      </w:r>
      <w:r w:rsidRPr="0024652E">
        <w:rPr>
          <w:sz w:val="24"/>
          <w:szCs w:val="24"/>
        </w:rPr>
        <w:t xml:space="preserve">his claim </w:t>
      </w:r>
      <w:r w:rsidR="00F56E19">
        <w:rPr>
          <w:sz w:val="24"/>
          <w:szCs w:val="24"/>
        </w:rPr>
        <w:t xml:space="preserve">requires </w:t>
      </w:r>
      <w:r w:rsidR="001050FE">
        <w:rPr>
          <w:sz w:val="24"/>
          <w:szCs w:val="24"/>
        </w:rPr>
        <w:t>being clear about</w:t>
      </w:r>
      <w:r w:rsidR="00F56E19">
        <w:rPr>
          <w:sz w:val="24"/>
          <w:szCs w:val="24"/>
        </w:rPr>
        <w:t xml:space="preserve"> </w:t>
      </w:r>
      <w:r w:rsidR="00D11513">
        <w:rPr>
          <w:sz w:val="24"/>
          <w:szCs w:val="24"/>
        </w:rPr>
        <w:t>its distance from</w:t>
      </w:r>
      <w:r w:rsidRPr="0024652E">
        <w:rPr>
          <w:sz w:val="24"/>
          <w:szCs w:val="24"/>
        </w:rPr>
        <w:t xml:space="preserve"> familiar notions of green lifestyle consumerism</w:t>
      </w:r>
      <w:r w:rsidR="00D11513">
        <w:rPr>
          <w:sz w:val="24"/>
          <w:szCs w:val="24"/>
        </w:rPr>
        <w:t>.  These</w:t>
      </w:r>
      <w:r w:rsidRPr="0024652E">
        <w:rPr>
          <w:sz w:val="24"/>
          <w:szCs w:val="24"/>
        </w:rPr>
        <w:t xml:space="preserve"> are imbued with privilege, often appealing </w:t>
      </w:r>
      <w:r w:rsidR="00BD6FC8">
        <w:rPr>
          <w:sz w:val="24"/>
          <w:szCs w:val="24"/>
        </w:rPr>
        <w:t xml:space="preserve">primarily </w:t>
      </w:r>
      <w:r w:rsidRPr="0024652E">
        <w:rPr>
          <w:sz w:val="24"/>
          <w:szCs w:val="24"/>
        </w:rPr>
        <w:t xml:space="preserve">to </w:t>
      </w:r>
      <w:proofErr w:type="gramStart"/>
      <w:r w:rsidR="005322AC">
        <w:rPr>
          <w:sz w:val="24"/>
          <w:szCs w:val="24"/>
        </w:rPr>
        <w:t>that</w:t>
      </w:r>
      <w:r w:rsidR="00BD6FC8">
        <w:rPr>
          <w:sz w:val="24"/>
          <w:szCs w:val="24"/>
        </w:rPr>
        <w:t xml:space="preserve"> so-called post-materialist </w:t>
      </w:r>
      <w:r w:rsidRPr="0024652E">
        <w:rPr>
          <w:sz w:val="24"/>
          <w:szCs w:val="24"/>
        </w:rPr>
        <w:t>population who have</w:t>
      </w:r>
      <w:proofErr w:type="gramEnd"/>
      <w:r w:rsidRPr="0024652E">
        <w:rPr>
          <w:sz w:val="24"/>
          <w:szCs w:val="24"/>
        </w:rPr>
        <w:t xml:space="preserve"> the </w:t>
      </w:r>
      <w:r w:rsidRPr="0024652E">
        <w:rPr>
          <w:sz w:val="24"/>
          <w:szCs w:val="24"/>
        </w:rPr>
        <w:lastRenderedPageBreak/>
        <w:t>financial resources, time, and inclination to seek out these products and services.</w:t>
      </w:r>
      <w:r w:rsidRPr="00A06000">
        <w:rPr>
          <w:rStyle w:val="FootnoteReference"/>
        </w:rPr>
        <w:footnoteReference w:id="46"/>
      </w:r>
      <w:r w:rsidRPr="0024652E">
        <w:rPr>
          <w:sz w:val="24"/>
          <w:szCs w:val="24"/>
        </w:rPr>
        <w:t xml:space="preserve">  </w:t>
      </w:r>
      <w:r w:rsidR="00D11513">
        <w:rPr>
          <w:sz w:val="24"/>
          <w:szCs w:val="24"/>
        </w:rPr>
        <w:t xml:space="preserve">Moreover, </w:t>
      </w:r>
      <w:r w:rsidRPr="0024652E">
        <w:rPr>
          <w:sz w:val="24"/>
          <w:szCs w:val="24"/>
        </w:rPr>
        <w:t xml:space="preserve">conceiving </w:t>
      </w:r>
      <w:r w:rsidR="005322AC">
        <w:rPr>
          <w:sz w:val="24"/>
          <w:szCs w:val="24"/>
        </w:rPr>
        <w:t xml:space="preserve">of </w:t>
      </w:r>
      <w:r w:rsidRPr="0024652E">
        <w:rPr>
          <w:sz w:val="24"/>
          <w:szCs w:val="24"/>
        </w:rPr>
        <w:t>environmental action in terms of household purchases shifts the onus</w:t>
      </w:r>
      <w:r w:rsidR="00F26264">
        <w:rPr>
          <w:sz w:val="24"/>
          <w:szCs w:val="24"/>
        </w:rPr>
        <w:t xml:space="preserve"> </w:t>
      </w:r>
      <w:r w:rsidRPr="0024652E">
        <w:rPr>
          <w:sz w:val="24"/>
          <w:szCs w:val="24"/>
        </w:rPr>
        <w:t>to individuals</w:t>
      </w:r>
      <w:r w:rsidR="00DC28D5">
        <w:rPr>
          <w:sz w:val="24"/>
          <w:szCs w:val="24"/>
        </w:rPr>
        <w:t xml:space="preserve"> – and most often to women</w:t>
      </w:r>
      <w:r w:rsidRPr="0024652E">
        <w:rPr>
          <w:sz w:val="24"/>
          <w:szCs w:val="24"/>
        </w:rPr>
        <w:t>.</w:t>
      </w:r>
      <w:r w:rsidRPr="00A06000">
        <w:rPr>
          <w:rStyle w:val="FootnoteReference"/>
        </w:rPr>
        <w:footnoteReference w:id="47"/>
      </w:r>
      <w:r w:rsidRPr="0024652E">
        <w:rPr>
          <w:sz w:val="24"/>
          <w:szCs w:val="24"/>
        </w:rPr>
        <w:t xml:space="preserve"> Unlike those who </w:t>
      </w:r>
      <w:r w:rsidR="00D11513">
        <w:rPr>
          <w:sz w:val="24"/>
          <w:szCs w:val="24"/>
        </w:rPr>
        <w:t>equate</w:t>
      </w:r>
      <w:r w:rsidRPr="0024652E">
        <w:rPr>
          <w:sz w:val="24"/>
          <w:szCs w:val="24"/>
        </w:rPr>
        <w:t xml:space="preserve"> environment</w:t>
      </w:r>
      <w:r w:rsidR="00D11513">
        <w:rPr>
          <w:sz w:val="24"/>
          <w:szCs w:val="24"/>
        </w:rPr>
        <w:t>al citizenship and consumption,</w:t>
      </w:r>
      <w:r w:rsidR="00F26264">
        <w:rPr>
          <w:sz w:val="24"/>
          <w:szCs w:val="24"/>
        </w:rPr>
        <w:t xml:space="preserve"> </w:t>
      </w:r>
      <w:r w:rsidRPr="0024652E">
        <w:rPr>
          <w:sz w:val="24"/>
          <w:szCs w:val="24"/>
        </w:rPr>
        <w:t xml:space="preserve">I aim to </w:t>
      </w:r>
      <w:r w:rsidR="0090307B">
        <w:rPr>
          <w:sz w:val="24"/>
          <w:szCs w:val="24"/>
        </w:rPr>
        <w:t>reinforce</w:t>
      </w:r>
      <w:r w:rsidRPr="0024652E">
        <w:rPr>
          <w:sz w:val="24"/>
          <w:szCs w:val="24"/>
        </w:rPr>
        <w:t xml:space="preserve"> the distinctiveness of citizenship in a society where it</w:t>
      </w:r>
      <w:r w:rsidR="00D11513">
        <w:rPr>
          <w:sz w:val="24"/>
          <w:szCs w:val="24"/>
        </w:rPr>
        <w:t xml:space="preserve"> i</w:t>
      </w:r>
      <w:r w:rsidRPr="0024652E">
        <w:rPr>
          <w:sz w:val="24"/>
          <w:szCs w:val="24"/>
        </w:rPr>
        <w:t xml:space="preserve">s </w:t>
      </w:r>
      <w:r w:rsidR="00D11513">
        <w:rPr>
          <w:sz w:val="24"/>
          <w:szCs w:val="24"/>
        </w:rPr>
        <w:t>already often devalue</w:t>
      </w:r>
      <w:r w:rsidR="0090307B">
        <w:rPr>
          <w:sz w:val="24"/>
          <w:szCs w:val="24"/>
        </w:rPr>
        <w:t>d</w:t>
      </w:r>
      <w:r w:rsidRPr="0024652E">
        <w:rPr>
          <w:sz w:val="24"/>
          <w:szCs w:val="24"/>
        </w:rPr>
        <w:t xml:space="preserve">.  </w:t>
      </w:r>
      <w:r>
        <w:rPr>
          <w:sz w:val="24"/>
          <w:szCs w:val="24"/>
        </w:rPr>
        <w:t>There are</w:t>
      </w:r>
      <w:r w:rsidRPr="00355AA2">
        <w:rPr>
          <w:sz w:val="24"/>
          <w:szCs w:val="24"/>
        </w:rPr>
        <w:t xml:space="preserve"> at least three distinct senses</w:t>
      </w:r>
      <w:r>
        <w:rPr>
          <w:sz w:val="24"/>
          <w:szCs w:val="24"/>
        </w:rPr>
        <w:t xml:space="preserve"> in which citizenship emerges in relation to home</w:t>
      </w:r>
      <w:r w:rsidRPr="00355AA2">
        <w:rPr>
          <w:sz w:val="24"/>
          <w:szCs w:val="24"/>
        </w:rPr>
        <w:t xml:space="preserve">.  </w:t>
      </w:r>
    </w:p>
    <w:p w:rsidR="00073A12" w:rsidRPr="00355AA2" w:rsidRDefault="008E04D3" w:rsidP="00A13285">
      <w:pPr>
        <w:spacing w:after="120" w:line="240" w:lineRule="auto"/>
        <w:rPr>
          <w:sz w:val="24"/>
          <w:szCs w:val="24"/>
        </w:rPr>
      </w:pPr>
      <w:r w:rsidRPr="00AF7500">
        <w:rPr>
          <w:sz w:val="24"/>
          <w:szCs w:val="24"/>
        </w:rPr>
        <w:t>First</w:t>
      </w:r>
      <w:r w:rsidRPr="00355AA2">
        <w:rPr>
          <w:sz w:val="24"/>
          <w:szCs w:val="24"/>
        </w:rPr>
        <w:t>,</w:t>
      </w:r>
      <w:r w:rsidR="00447B4A" w:rsidRPr="00355AA2">
        <w:rPr>
          <w:sz w:val="24"/>
          <w:szCs w:val="24"/>
        </w:rPr>
        <w:t xml:space="preserve"> </w:t>
      </w:r>
      <w:r w:rsidR="00FD2C27" w:rsidRPr="00355AA2">
        <w:rPr>
          <w:sz w:val="24"/>
          <w:szCs w:val="24"/>
        </w:rPr>
        <w:t xml:space="preserve">familiar </w:t>
      </w:r>
      <w:r w:rsidR="00447B4A" w:rsidRPr="00355AA2">
        <w:rPr>
          <w:sz w:val="24"/>
          <w:szCs w:val="24"/>
        </w:rPr>
        <w:t xml:space="preserve">public notions of citizenship have </w:t>
      </w:r>
      <w:r w:rsidR="00FD2C27" w:rsidRPr="00355AA2">
        <w:rPr>
          <w:sz w:val="24"/>
          <w:szCs w:val="24"/>
        </w:rPr>
        <w:t>long</w:t>
      </w:r>
      <w:r w:rsidR="00447B4A" w:rsidRPr="00355AA2">
        <w:rPr>
          <w:sz w:val="24"/>
          <w:szCs w:val="24"/>
        </w:rPr>
        <w:t xml:space="preserve"> been connected with the home.  Fiona </w:t>
      </w:r>
      <w:proofErr w:type="spellStart"/>
      <w:r w:rsidR="00447B4A" w:rsidRPr="00355AA2">
        <w:rPr>
          <w:sz w:val="24"/>
          <w:szCs w:val="24"/>
        </w:rPr>
        <w:t>Allon</w:t>
      </w:r>
      <w:proofErr w:type="spellEnd"/>
      <w:r w:rsidR="00447B4A" w:rsidRPr="00355AA2">
        <w:rPr>
          <w:sz w:val="24"/>
          <w:szCs w:val="24"/>
        </w:rPr>
        <w:t xml:space="preserve"> is quite correct that “home and home ownership in particular have long existed as powerful forces for individual and collective identity formation and self-definition, playing a crucial role in constructions of citizenship and national identity…"</w:t>
      </w:r>
      <w:r w:rsidR="00447B4A" w:rsidRPr="00A06000">
        <w:rPr>
          <w:rStyle w:val="FootnoteReference"/>
        </w:rPr>
        <w:footnoteReference w:id="48"/>
      </w:r>
      <w:r w:rsidR="00447B4A" w:rsidRPr="00355AA2">
        <w:rPr>
          <w:sz w:val="24"/>
          <w:szCs w:val="24"/>
        </w:rPr>
        <w:t xml:space="preserve">  </w:t>
      </w:r>
      <w:r w:rsidR="00B15C5F">
        <w:rPr>
          <w:sz w:val="24"/>
          <w:szCs w:val="24"/>
        </w:rPr>
        <w:t>N</w:t>
      </w:r>
      <w:r w:rsidR="00F41193" w:rsidRPr="00355AA2">
        <w:rPr>
          <w:sz w:val="24"/>
          <w:szCs w:val="24"/>
        </w:rPr>
        <w:t>ormative weight</w:t>
      </w:r>
      <w:r w:rsidR="00073A12" w:rsidRPr="00355AA2">
        <w:rPr>
          <w:sz w:val="24"/>
          <w:szCs w:val="24"/>
        </w:rPr>
        <w:t xml:space="preserve"> </w:t>
      </w:r>
      <w:r w:rsidR="00B15C5F">
        <w:rPr>
          <w:sz w:val="24"/>
          <w:szCs w:val="24"/>
        </w:rPr>
        <w:t xml:space="preserve">has often been attributed </w:t>
      </w:r>
      <w:r w:rsidR="00073A12" w:rsidRPr="00355AA2">
        <w:rPr>
          <w:sz w:val="24"/>
          <w:szCs w:val="24"/>
        </w:rPr>
        <w:t>to this point</w:t>
      </w:r>
      <w:r w:rsidR="00F41193" w:rsidRPr="00355AA2">
        <w:rPr>
          <w:sz w:val="24"/>
          <w:szCs w:val="24"/>
        </w:rPr>
        <w:t xml:space="preserve">, </w:t>
      </w:r>
      <w:r w:rsidR="0081791A">
        <w:rPr>
          <w:sz w:val="24"/>
          <w:szCs w:val="24"/>
        </w:rPr>
        <w:t>asserting</w:t>
      </w:r>
      <w:r w:rsidR="00F41193" w:rsidRPr="00355AA2">
        <w:rPr>
          <w:sz w:val="24"/>
          <w:szCs w:val="24"/>
        </w:rPr>
        <w:t xml:space="preserve"> that stable home dwellers </w:t>
      </w:r>
      <w:r w:rsidR="00BE05ED" w:rsidRPr="00355AA2">
        <w:rPr>
          <w:sz w:val="24"/>
          <w:szCs w:val="24"/>
        </w:rPr>
        <w:t>and especially</w:t>
      </w:r>
      <w:r w:rsidR="00F41193" w:rsidRPr="00355AA2">
        <w:rPr>
          <w:sz w:val="24"/>
          <w:szCs w:val="24"/>
        </w:rPr>
        <w:t xml:space="preserve"> owners </w:t>
      </w:r>
      <w:r w:rsidR="00AF7500">
        <w:rPr>
          <w:sz w:val="24"/>
          <w:szCs w:val="24"/>
        </w:rPr>
        <w:t>possess</w:t>
      </w:r>
      <w:r w:rsidR="00073A12" w:rsidRPr="00355AA2">
        <w:rPr>
          <w:sz w:val="24"/>
          <w:szCs w:val="24"/>
        </w:rPr>
        <w:t xml:space="preserve"> the deep ties to the fate of the polity that make them good citizens.  Historically, of course, claims of this sort have been the basis for excluding non-owners from rights of citizenship</w:t>
      </w:r>
      <w:r w:rsidR="00120D55">
        <w:rPr>
          <w:sz w:val="24"/>
          <w:szCs w:val="24"/>
        </w:rPr>
        <w:t>, such as voting</w:t>
      </w:r>
      <w:r w:rsidR="00073A12" w:rsidRPr="00355AA2">
        <w:rPr>
          <w:sz w:val="24"/>
          <w:szCs w:val="24"/>
        </w:rPr>
        <w:t xml:space="preserve">.  Yet the point is equally salient for critics such as David Harvey, who characterize home ownership </w:t>
      </w:r>
      <w:r w:rsidR="00E54AC8" w:rsidRPr="00355AA2">
        <w:rPr>
          <w:sz w:val="24"/>
          <w:szCs w:val="24"/>
        </w:rPr>
        <w:t xml:space="preserve">– and especially mortgage-holding – </w:t>
      </w:r>
      <w:r w:rsidR="00073A12" w:rsidRPr="00355AA2">
        <w:rPr>
          <w:sz w:val="24"/>
          <w:szCs w:val="24"/>
        </w:rPr>
        <w:t xml:space="preserve">as a </w:t>
      </w:r>
      <w:r w:rsidR="00F44201" w:rsidRPr="00355AA2">
        <w:rPr>
          <w:sz w:val="24"/>
          <w:szCs w:val="24"/>
        </w:rPr>
        <w:t xml:space="preserve">means to </w:t>
      </w:r>
      <w:r w:rsidR="00AF7500">
        <w:rPr>
          <w:sz w:val="24"/>
          <w:szCs w:val="24"/>
        </w:rPr>
        <w:t>pacify</w:t>
      </w:r>
      <w:r w:rsidR="00073A12" w:rsidRPr="00355AA2">
        <w:rPr>
          <w:sz w:val="24"/>
          <w:szCs w:val="24"/>
        </w:rPr>
        <w:t xml:space="preserve"> </w:t>
      </w:r>
      <w:r w:rsidR="00C51240" w:rsidRPr="00355AA2">
        <w:rPr>
          <w:sz w:val="24"/>
          <w:szCs w:val="24"/>
        </w:rPr>
        <w:t xml:space="preserve">the </w:t>
      </w:r>
      <w:r w:rsidR="00073A12" w:rsidRPr="00355AA2">
        <w:rPr>
          <w:sz w:val="24"/>
          <w:szCs w:val="24"/>
        </w:rPr>
        <w:t>citizen</w:t>
      </w:r>
      <w:r w:rsidR="00C51240" w:rsidRPr="00355AA2">
        <w:rPr>
          <w:sz w:val="24"/>
          <w:szCs w:val="24"/>
        </w:rPr>
        <w:t>ry</w:t>
      </w:r>
      <w:r w:rsidR="00073A12" w:rsidRPr="00355AA2">
        <w:rPr>
          <w:sz w:val="24"/>
          <w:szCs w:val="24"/>
        </w:rPr>
        <w:t xml:space="preserve">: </w:t>
      </w:r>
    </w:p>
    <w:p w:rsidR="00073A12" w:rsidRPr="00355AA2" w:rsidRDefault="00073A12" w:rsidP="00A13285">
      <w:pPr>
        <w:pStyle w:val="blockquote"/>
        <w:ind w:firstLine="0"/>
        <w:rPr>
          <w:sz w:val="24"/>
          <w:szCs w:val="24"/>
        </w:rPr>
      </w:pPr>
      <w:r w:rsidRPr="00355AA2">
        <w:rPr>
          <w:sz w:val="24"/>
          <w:szCs w:val="24"/>
        </w:rPr>
        <w:t xml:space="preserve">The suburbanization of the United States was not merely a matter of new infrastructures… It also altered the political landscape, as subsidized home-ownership for the middle classes changed the focus of community action towards the </w:t>
      </w:r>
      <w:proofErr w:type="spellStart"/>
      <w:r w:rsidRPr="00355AA2">
        <w:rPr>
          <w:sz w:val="24"/>
          <w:szCs w:val="24"/>
        </w:rPr>
        <w:t>defence</w:t>
      </w:r>
      <w:proofErr w:type="spellEnd"/>
      <w:r w:rsidRPr="00355AA2">
        <w:rPr>
          <w:sz w:val="24"/>
          <w:szCs w:val="24"/>
        </w:rPr>
        <w:t xml:space="preserve"> of property values and indi</w:t>
      </w:r>
      <w:r w:rsidRPr="00355AA2">
        <w:rPr>
          <w:sz w:val="24"/>
          <w:szCs w:val="24"/>
        </w:rPr>
        <w:softHyphen/>
        <w:t>vidualized identities, turning the suburban vote towards conservative republicanism. Debt-encumbered homeowners, it was argued, were less likely to go on strike.</w:t>
      </w:r>
      <w:r w:rsidRPr="00A06000">
        <w:rPr>
          <w:rStyle w:val="FootnoteReference"/>
        </w:rPr>
        <w:footnoteReference w:id="49"/>
      </w:r>
    </w:p>
    <w:p w:rsidR="004E497F" w:rsidRPr="00355AA2" w:rsidRDefault="00447B4A" w:rsidP="00A13285">
      <w:pPr>
        <w:spacing w:after="120" w:line="240" w:lineRule="auto"/>
        <w:rPr>
          <w:sz w:val="24"/>
          <w:szCs w:val="24"/>
        </w:rPr>
      </w:pPr>
      <w:r w:rsidRPr="00355AA2">
        <w:rPr>
          <w:sz w:val="24"/>
          <w:szCs w:val="24"/>
        </w:rPr>
        <w:t xml:space="preserve">With regard to </w:t>
      </w:r>
      <w:r w:rsidR="0080149C" w:rsidRPr="00355AA2">
        <w:rPr>
          <w:sz w:val="24"/>
          <w:szCs w:val="24"/>
        </w:rPr>
        <w:t xml:space="preserve">practices </w:t>
      </w:r>
      <w:r w:rsidR="0080149C">
        <w:rPr>
          <w:sz w:val="24"/>
          <w:szCs w:val="24"/>
        </w:rPr>
        <w:t xml:space="preserve">within the </w:t>
      </w:r>
      <w:r w:rsidRPr="00355AA2">
        <w:rPr>
          <w:sz w:val="24"/>
          <w:szCs w:val="24"/>
        </w:rPr>
        <w:t xml:space="preserve">household, </w:t>
      </w:r>
      <w:r w:rsidR="00A11184" w:rsidRPr="00355AA2">
        <w:rPr>
          <w:sz w:val="24"/>
          <w:szCs w:val="24"/>
        </w:rPr>
        <w:t xml:space="preserve">feminist theorists </w:t>
      </w:r>
      <w:r w:rsidR="001B0334" w:rsidRPr="00355AA2">
        <w:rPr>
          <w:sz w:val="24"/>
          <w:szCs w:val="24"/>
        </w:rPr>
        <w:t xml:space="preserve">have long </w:t>
      </w:r>
      <w:r w:rsidR="00AA4509">
        <w:rPr>
          <w:sz w:val="24"/>
          <w:szCs w:val="24"/>
        </w:rPr>
        <w:t xml:space="preserve">and rightly </w:t>
      </w:r>
      <w:r w:rsidR="001B0334" w:rsidRPr="00355AA2">
        <w:rPr>
          <w:sz w:val="24"/>
          <w:szCs w:val="24"/>
        </w:rPr>
        <w:t xml:space="preserve">insisted upon </w:t>
      </w:r>
      <w:r w:rsidR="00085110">
        <w:rPr>
          <w:sz w:val="24"/>
          <w:szCs w:val="24"/>
        </w:rPr>
        <w:t xml:space="preserve">their integral connection to citizenship.  </w:t>
      </w:r>
      <w:r w:rsidR="00A56126">
        <w:rPr>
          <w:sz w:val="24"/>
          <w:szCs w:val="24"/>
        </w:rPr>
        <w:t>T</w:t>
      </w:r>
      <w:r w:rsidR="00A11184" w:rsidRPr="00355AA2">
        <w:rPr>
          <w:sz w:val="24"/>
          <w:szCs w:val="24"/>
        </w:rPr>
        <w:t xml:space="preserve">he distribution of roles played by adults within the household have a substantial effect upon the ability of these adults to </w:t>
      </w:r>
      <w:r w:rsidR="0045161E" w:rsidRPr="00355AA2">
        <w:rPr>
          <w:sz w:val="24"/>
          <w:szCs w:val="24"/>
        </w:rPr>
        <w:t xml:space="preserve">attend, </w:t>
      </w:r>
      <w:r w:rsidR="00A11184" w:rsidRPr="00355AA2">
        <w:rPr>
          <w:sz w:val="24"/>
          <w:szCs w:val="24"/>
        </w:rPr>
        <w:t xml:space="preserve">participate in, and contribute to </w:t>
      </w:r>
      <w:r w:rsidR="00EE6CAB" w:rsidRPr="00355AA2">
        <w:rPr>
          <w:sz w:val="24"/>
          <w:szCs w:val="24"/>
        </w:rPr>
        <w:t xml:space="preserve">governmental </w:t>
      </w:r>
      <w:r w:rsidR="00A11184" w:rsidRPr="00355AA2">
        <w:rPr>
          <w:sz w:val="24"/>
          <w:szCs w:val="24"/>
        </w:rPr>
        <w:t>meetings</w:t>
      </w:r>
      <w:r w:rsidR="0045161E" w:rsidRPr="00355AA2">
        <w:rPr>
          <w:sz w:val="24"/>
          <w:szCs w:val="24"/>
        </w:rPr>
        <w:t>;</w:t>
      </w:r>
      <w:r w:rsidR="00A11184" w:rsidRPr="00355AA2">
        <w:rPr>
          <w:sz w:val="24"/>
          <w:szCs w:val="24"/>
        </w:rPr>
        <w:t xml:space="preserve"> </w:t>
      </w:r>
      <w:r w:rsidR="0045161E" w:rsidRPr="00355AA2">
        <w:rPr>
          <w:sz w:val="24"/>
          <w:szCs w:val="24"/>
        </w:rPr>
        <w:t>to lodge complaints</w:t>
      </w:r>
      <w:r w:rsidR="00EE6CAB" w:rsidRPr="00355AA2">
        <w:rPr>
          <w:sz w:val="24"/>
          <w:szCs w:val="24"/>
        </w:rPr>
        <w:t xml:space="preserve"> against</w:t>
      </w:r>
      <w:r w:rsidR="00A11184" w:rsidRPr="00355AA2">
        <w:rPr>
          <w:sz w:val="24"/>
          <w:szCs w:val="24"/>
        </w:rPr>
        <w:t xml:space="preserve"> public officials</w:t>
      </w:r>
      <w:r w:rsidR="0045161E" w:rsidRPr="00355AA2">
        <w:rPr>
          <w:sz w:val="24"/>
          <w:szCs w:val="24"/>
        </w:rPr>
        <w:t>;</w:t>
      </w:r>
      <w:r w:rsidR="00A11184" w:rsidRPr="00355AA2">
        <w:rPr>
          <w:sz w:val="24"/>
          <w:szCs w:val="24"/>
        </w:rPr>
        <w:t xml:space="preserve"> </w:t>
      </w:r>
      <w:r w:rsidR="0045161E" w:rsidRPr="00355AA2">
        <w:rPr>
          <w:sz w:val="24"/>
          <w:szCs w:val="24"/>
        </w:rPr>
        <w:t>to participate</w:t>
      </w:r>
      <w:r w:rsidR="00EE6CAB" w:rsidRPr="00355AA2">
        <w:rPr>
          <w:sz w:val="24"/>
          <w:szCs w:val="24"/>
        </w:rPr>
        <w:t xml:space="preserve"> in community organizations or protests</w:t>
      </w:r>
      <w:r w:rsidR="0045161E" w:rsidRPr="00355AA2">
        <w:rPr>
          <w:sz w:val="24"/>
          <w:szCs w:val="24"/>
        </w:rPr>
        <w:t>;</w:t>
      </w:r>
      <w:r w:rsidR="00EE6CAB" w:rsidRPr="00355AA2">
        <w:rPr>
          <w:sz w:val="24"/>
          <w:szCs w:val="24"/>
        </w:rPr>
        <w:t xml:space="preserve"> and </w:t>
      </w:r>
      <w:r w:rsidR="0045161E" w:rsidRPr="00355AA2">
        <w:rPr>
          <w:sz w:val="24"/>
          <w:szCs w:val="24"/>
        </w:rPr>
        <w:t xml:space="preserve">to become involved in </w:t>
      </w:r>
      <w:r w:rsidR="00EE6CAB" w:rsidRPr="00355AA2">
        <w:rPr>
          <w:sz w:val="24"/>
          <w:szCs w:val="24"/>
        </w:rPr>
        <w:t xml:space="preserve">other conventionally recognized forms of public </w:t>
      </w:r>
      <w:r w:rsidR="00BE1450" w:rsidRPr="00355AA2">
        <w:rPr>
          <w:sz w:val="24"/>
          <w:szCs w:val="24"/>
        </w:rPr>
        <w:t xml:space="preserve">discourse and </w:t>
      </w:r>
      <w:r w:rsidR="00EE6CAB" w:rsidRPr="00355AA2">
        <w:rPr>
          <w:sz w:val="24"/>
          <w:szCs w:val="24"/>
        </w:rPr>
        <w:t>citizenship</w:t>
      </w:r>
      <w:r w:rsidR="00A11184" w:rsidRPr="00355AA2">
        <w:rPr>
          <w:sz w:val="24"/>
          <w:szCs w:val="24"/>
        </w:rPr>
        <w:t xml:space="preserve">. </w:t>
      </w:r>
      <w:r w:rsidR="001D2BE3" w:rsidRPr="00355AA2">
        <w:rPr>
          <w:sz w:val="24"/>
          <w:szCs w:val="24"/>
        </w:rPr>
        <w:t xml:space="preserve"> </w:t>
      </w:r>
      <w:r w:rsidR="00A11184" w:rsidRPr="00355AA2">
        <w:rPr>
          <w:sz w:val="24"/>
          <w:szCs w:val="24"/>
        </w:rPr>
        <w:t xml:space="preserve">To the extent that women working outside the home are frequently assumed to be primarily responsible for a </w:t>
      </w:r>
      <w:r w:rsidR="00EE6CAB" w:rsidRPr="00355AA2">
        <w:rPr>
          <w:sz w:val="24"/>
          <w:szCs w:val="24"/>
        </w:rPr>
        <w:t>“</w:t>
      </w:r>
      <w:r w:rsidR="00A11184" w:rsidRPr="00355AA2">
        <w:rPr>
          <w:sz w:val="24"/>
          <w:szCs w:val="24"/>
        </w:rPr>
        <w:t>second shift</w:t>
      </w:r>
      <w:r w:rsidR="00EE6CAB" w:rsidRPr="00355AA2">
        <w:rPr>
          <w:sz w:val="24"/>
          <w:szCs w:val="24"/>
        </w:rPr>
        <w:t>”</w:t>
      </w:r>
      <w:r w:rsidR="00A11184" w:rsidRPr="00355AA2">
        <w:rPr>
          <w:sz w:val="24"/>
          <w:szCs w:val="24"/>
        </w:rPr>
        <w:t xml:space="preserve"> as primary caregivers and housekeepers within the home, </w:t>
      </w:r>
      <w:r w:rsidR="00F44201" w:rsidRPr="00355AA2">
        <w:rPr>
          <w:sz w:val="24"/>
          <w:szCs w:val="24"/>
        </w:rPr>
        <w:t xml:space="preserve">either because of a gendered division of responsibility within the household or because they lead a single-parent household, </w:t>
      </w:r>
      <w:r w:rsidR="00A11184" w:rsidRPr="00355AA2">
        <w:rPr>
          <w:sz w:val="24"/>
          <w:szCs w:val="24"/>
        </w:rPr>
        <w:t xml:space="preserve">their participation in these forms of citizenship will be more constrained than </w:t>
      </w:r>
      <w:r w:rsidR="00F44201" w:rsidRPr="00355AA2">
        <w:rPr>
          <w:sz w:val="24"/>
          <w:szCs w:val="24"/>
        </w:rPr>
        <w:t xml:space="preserve">many </w:t>
      </w:r>
      <w:r w:rsidR="00A11184" w:rsidRPr="00355AA2">
        <w:rPr>
          <w:sz w:val="24"/>
          <w:szCs w:val="24"/>
        </w:rPr>
        <w:lastRenderedPageBreak/>
        <w:t>men’s.</w:t>
      </w:r>
      <w:r w:rsidR="00A56126">
        <w:rPr>
          <w:sz w:val="24"/>
          <w:szCs w:val="24"/>
        </w:rPr>
        <w:t xml:space="preserve"> Moreover, </w:t>
      </w:r>
      <w:r w:rsidR="00A56126" w:rsidRPr="00A56126">
        <w:rPr>
          <w:sz w:val="24"/>
          <w:szCs w:val="24"/>
        </w:rPr>
        <w:t>the relationships and practices within the home are a vital crucible for the cultivation o</w:t>
      </w:r>
      <w:r w:rsidR="00A56126">
        <w:rPr>
          <w:sz w:val="24"/>
          <w:szCs w:val="24"/>
        </w:rPr>
        <w:t>f future citizens – children.</w:t>
      </w:r>
      <w:r w:rsidR="008B2FE5" w:rsidRPr="00A06000">
        <w:rPr>
          <w:rStyle w:val="FootnoteReference"/>
        </w:rPr>
        <w:footnoteReference w:id="50"/>
      </w:r>
      <w:r w:rsidR="00A11184" w:rsidRPr="00355AA2">
        <w:rPr>
          <w:sz w:val="24"/>
          <w:szCs w:val="24"/>
        </w:rPr>
        <w:t xml:space="preserve">  </w:t>
      </w:r>
    </w:p>
    <w:p w:rsidR="00AF55E0" w:rsidRDefault="00A11184" w:rsidP="00A13285">
      <w:pPr>
        <w:spacing w:after="120" w:line="240" w:lineRule="auto"/>
        <w:rPr>
          <w:sz w:val="24"/>
          <w:szCs w:val="24"/>
        </w:rPr>
      </w:pPr>
      <w:r w:rsidRPr="00AF7500">
        <w:rPr>
          <w:sz w:val="24"/>
          <w:szCs w:val="24"/>
        </w:rPr>
        <w:t>Second</w:t>
      </w:r>
      <w:r w:rsidRPr="00355AA2">
        <w:rPr>
          <w:sz w:val="24"/>
          <w:szCs w:val="24"/>
        </w:rPr>
        <w:t xml:space="preserve">, </w:t>
      </w:r>
      <w:r w:rsidR="008B2FE5" w:rsidRPr="00355AA2">
        <w:rPr>
          <w:sz w:val="24"/>
          <w:szCs w:val="24"/>
        </w:rPr>
        <w:t>there is a</w:t>
      </w:r>
      <w:r w:rsidR="00D12991">
        <w:rPr>
          <w:sz w:val="24"/>
          <w:szCs w:val="24"/>
        </w:rPr>
        <w:t xml:space="preserve"> critical </w:t>
      </w:r>
      <w:r w:rsidR="00F44201" w:rsidRPr="00355AA2">
        <w:rPr>
          <w:sz w:val="24"/>
          <w:szCs w:val="24"/>
        </w:rPr>
        <w:t>and often unrecognized</w:t>
      </w:r>
      <w:r w:rsidR="008B2FE5" w:rsidRPr="00355AA2">
        <w:rPr>
          <w:sz w:val="24"/>
          <w:szCs w:val="24"/>
        </w:rPr>
        <w:t xml:space="preserve"> sense in which the </w:t>
      </w:r>
      <w:r w:rsidR="00104C36">
        <w:rPr>
          <w:sz w:val="24"/>
          <w:szCs w:val="24"/>
        </w:rPr>
        <w:t xml:space="preserve">material </w:t>
      </w:r>
      <w:r w:rsidR="00104C36" w:rsidRPr="00355AA2">
        <w:rPr>
          <w:sz w:val="24"/>
          <w:szCs w:val="24"/>
        </w:rPr>
        <w:t>environment</w:t>
      </w:r>
      <w:r w:rsidR="008B2FE5" w:rsidRPr="00355AA2">
        <w:rPr>
          <w:sz w:val="24"/>
          <w:szCs w:val="24"/>
        </w:rPr>
        <w:t xml:space="preserve"> of our homes </w:t>
      </w:r>
      <w:r w:rsidR="00FA32AB">
        <w:rPr>
          <w:sz w:val="24"/>
          <w:szCs w:val="24"/>
        </w:rPr>
        <w:t xml:space="preserve">and neighborhoods </w:t>
      </w:r>
      <w:r w:rsidR="008B2FE5" w:rsidRPr="00355AA2">
        <w:rPr>
          <w:sz w:val="24"/>
          <w:szCs w:val="24"/>
        </w:rPr>
        <w:t xml:space="preserve">shapes, enables, and constrains participation in public life as citizens.  </w:t>
      </w:r>
      <w:r w:rsidR="00535929" w:rsidRPr="00535929">
        <w:rPr>
          <w:sz w:val="24"/>
          <w:szCs w:val="24"/>
        </w:rPr>
        <w:t xml:space="preserve">Thad Williamson has drawn upon substantial empirical data to show how low-density sprawling communities – despite what he </w:t>
      </w:r>
      <w:r w:rsidR="00535929">
        <w:rPr>
          <w:sz w:val="24"/>
          <w:szCs w:val="24"/>
        </w:rPr>
        <w:t>acknowledges</w:t>
      </w:r>
      <w:r w:rsidR="00535929" w:rsidRPr="00535929">
        <w:rPr>
          <w:sz w:val="24"/>
          <w:szCs w:val="24"/>
        </w:rPr>
        <w:t xml:space="preserve"> as their considerable attractions and benefits </w:t>
      </w:r>
      <w:r w:rsidR="00535929">
        <w:rPr>
          <w:sz w:val="24"/>
          <w:szCs w:val="24"/>
        </w:rPr>
        <w:t>for</w:t>
      </w:r>
      <w:r w:rsidR="00535929" w:rsidRPr="00535929">
        <w:rPr>
          <w:sz w:val="24"/>
          <w:szCs w:val="24"/>
        </w:rPr>
        <w:t xml:space="preserve"> many – are “also constituent of a way of life that prioritizes </w:t>
      </w:r>
      <w:proofErr w:type="spellStart"/>
      <w:r w:rsidR="00535929" w:rsidRPr="00535929">
        <w:rPr>
          <w:sz w:val="24"/>
          <w:szCs w:val="24"/>
        </w:rPr>
        <w:t>privatism</w:t>
      </w:r>
      <w:proofErr w:type="spellEnd"/>
      <w:r w:rsidR="00535929" w:rsidRPr="00535929">
        <w:rPr>
          <w:sz w:val="24"/>
          <w:szCs w:val="24"/>
        </w:rPr>
        <w:t xml:space="preserve"> and consumerism over engaged political participation and ecological sustainability.”</w:t>
      </w:r>
      <w:r w:rsidR="00535929" w:rsidRPr="00535929">
        <w:rPr>
          <w:sz w:val="24"/>
          <w:szCs w:val="24"/>
          <w:vertAlign w:val="superscript"/>
        </w:rPr>
        <w:footnoteReference w:id="51"/>
      </w:r>
      <w:r w:rsidR="00535929" w:rsidRPr="00535929">
        <w:rPr>
          <w:sz w:val="24"/>
          <w:szCs w:val="24"/>
        </w:rPr>
        <w:t xml:space="preserve">  Higher density residential development, by contrast, can encourage a different set of priorities.  In a complementary fashion, </w:t>
      </w:r>
      <w:r w:rsidR="008B2FE5" w:rsidRPr="00355AA2">
        <w:rPr>
          <w:sz w:val="24"/>
          <w:szCs w:val="24"/>
        </w:rPr>
        <w:t xml:space="preserve">Dolores Hayden </w:t>
      </w:r>
      <w:r w:rsidR="00535929">
        <w:rPr>
          <w:sz w:val="24"/>
          <w:szCs w:val="24"/>
        </w:rPr>
        <w:t>highlights</w:t>
      </w:r>
      <w:r w:rsidR="008B2FE5" w:rsidRPr="00355AA2">
        <w:rPr>
          <w:sz w:val="24"/>
          <w:szCs w:val="24"/>
        </w:rPr>
        <w:t xml:space="preserve"> the many ways in which the home </w:t>
      </w:r>
      <w:r w:rsidR="00EE6CAB" w:rsidRPr="00355AA2">
        <w:rPr>
          <w:sz w:val="24"/>
          <w:szCs w:val="24"/>
        </w:rPr>
        <w:t xml:space="preserve">designed </w:t>
      </w:r>
      <w:r w:rsidR="008B2FE5" w:rsidRPr="00355AA2">
        <w:rPr>
          <w:sz w:val="24"/>
          <w:szCs w:val="24"/>
        </w:rPr>
        <w:t>as</w:t>
      </w:r>
      <w:r w:rsidR="00EE6CAB" w:rsidRPr="00355AA2">
        <w:rPr>
          <w:sz w:val="24"/>
          <w:szCs w:val="24"/>
        </w:rPr>
        <w:t xml:space="preserve"> a</w:t>
      </w:r>
      <w:r w:rsidR="008B2FE5" w:rsidRPr="00355AA2">
        <w:rPr>
          <w:sz w:val="24"/>
          <w:szCs w:val="24"/>
        </w:rPr>
        <w:t xml:space="preserve"> </w:t>
      </w:r>
      <w:r w:rsidR="00F44201" w:rsidRPr="00355AA2">
        <w:rPr>
          <w:sz w:val="24"/>
          <w:szCs w:val="24"/>
        </w:rPr>
        <w:t>haven</w:t>
      </w:r>
      <w:r w:rsidR="008B2FE5" w:rsidRPr="00355AA2">
        <w:rPr>
          <w:sz w:val="24"/>
          <w:szCs w:val="24"/>
        </w:rPr>
        <w:t xml:space="preserve"> has required a tremendous – yet n</w:t>
      </w:r>
      <w:r w:rsidR="004A78ED" w:rsidRPr="00355AA2">
        <w:rPr>
          <w:sz w:val="24"/>
          <w:szCs w:val="24"/>
        </w:rPr>
        <w:t>either</w:t>
      </w:r>
      <w:r w:rsidR="008B2FE5" w:rsidRPr="00355AA2">
        <w:rPr>
          <w:sz w:val="24"/>
          <w:szCs w:val="24"/>
        </w:rPr>
        <w:t xml:space="preserve"> inevitable </w:t>
      </w:r>
      <w:r w:rsidR="004A78ED" w:rsidRPr="00355AA2">
        <w:rPr>
          <w:sz w:val="24"/>
          <w:szCs w:val="24"/>
        </w:rPr>
        <w:t>n</w:t>
      </w:r>
      <w:r w:rsidR="008B2FE5" w:rsidRPr="00355AA2">
        <w:rPr>
          <w:sz w:val="24"/>
          <w:szCs w:val="24"/>
        </w:rPr>
        <w:t xml:space="preserve">or unavoidable – amount of time devoted to household </w:t>
      </w:r>
      <w:r w:rsidR="004E497F" w:rsidRPr="00355AA2">
        <w:rPr>
          <w:sz w:val="24"/>
          <w:szCs w:val="24"/>
        </w:rPr>
        <w:t xml:space="preserve">and caring </w:t>
      </w:r>
      <w:r w:rsidR="008B2FE5" w:rsidRPr="00355AA2">
        <w:rPr>
          <w:sz w:val="24"/>
          <w:szCs w:val="24"/>
        </w:rPr>
        <w:t xml:space="preserve">practices, </w:t>
      </w:r>
      <w:r w:rsidR="004A78ED" w:rsidRPr="00355AA2">
        <w:rPr>
          <w:sz w:val="24"/>
          <w:szCs w:val="24"/>
        </w:rPr>
        <w:t>primarily</w:t>
      </w:r>
      <w:r w:rsidR="008B2FE5" w:rsidRPr="00355AA2">
        <w:rPr>
          <w:sz w:val="24"/>
          <w:szCs w:val="24"/>
        </w:rPr>
        <w:t xml:space="preserve"> by women.  </w:t>
      </w:r>
      <w:r w:rsidR="00FB7022" w:rsidRPr="00355AA2">
        <w:rPr>
          <w:sz w:val="24"/>
          <w:szCs w:val="24"/>
        </w:rPr>
        <w:t xml:space="preserve">Only by recognizing this can we begin to envision alternative conceptions of home that result in a more widely shared responsibility for these practices.  </w:t>
      </w:r>
      <w:r w:rsidR="004A78ED" w:rsidRPr="00355AA2">
        <w:rPr>
          <w:sz w:val="24"/>
          <w:szCs w:val="24"/>
        </w:rPr>
        <w:t>Far from being the singular or natural formation for everyday practices including cooking, cleaning, and dependent-care, Hayden demonstrates that both th</w:t>
      </w:r>
      <w:r w:rsidR="00535929">
        <w:rPr>
          <w:sz w:val="24"/>
          <w:szCs w:val="24"/>
        </w:rPr>
        <w:t xml:space="preserve">is formation </w:t>
      </w:r>
      <w:r w:rsidR="00AF7500">
        <w:rPr>
          <w:sz w:val="24"/>
          <w:szCs w:val="24"/>
        </w:rPr>
        <w:t xml:space="preserve">and </w:t>
      </w:r>
      <w:r w:rsidR="0080149C">
        <w:rPr>
          <w:sz w:val="24"/>
          <w:szCs w:val="24"/>
        </w:rPr>
        <w:t>alternatives have a particular history that</w:t>
      </w:r>
      <w:r w:rsidR="00AF7500">
        <w:rPr>
          <w:sz w:val="24"/>
          <w:szCs w:val="24"/>
        </w:rPr>
        <w:t xml:space="preserve"> </w:t>
      </w:r>
      <w:r w:rsidR="004A78ED" w:rsidRPr="00355AA2">
        <w:rPr>
          <w:sz w:val="24"/>
          <w:szCs w:val="24"/>
        </w:rPr>
        <w:t xml:space="preserve">can be traced </w:t>
      </w:r>
      <w:r w:rsidR="00AF55E0">
        <w:rPr>
          <w:sz w:val="24"/>
          <w:szCs w:val="24"/>
        </w:rPr>
        <w:t>back to the nineteenth century.</w:t>
      </w:r>
    </w:p>
    <w:p w:rsidR="00535929" w:rsidRDefault="004A78ED" w:rsidP="00A13285">
      <w:pPr>
        <w:spacing w:after="120" w:line="240" w:lineRule="auto"/>
        <w:rPr>
          <w:sz w:val="24"/>
          <w:szCs w:val="24"/>
        </w:rPr>
      </w:pPr>
      <w:r w:rsidRPr="00355AA2">
        <w:rPr>
          <w:sz w:val="24"/>
          <w:szCs w:val="24"/>
        </w:rPr>
        <w:t>Alternatives</w:t>
      </w:r>
      <w:r w:rsidR="008B2FE5" w:rsidRPr="00355AA2">
        <w:rPr>
          <w:sz w:val="24"/>
          <w:szCs w:val="24"/>
        </w:rPr>
        <w:t xml:space="preserve"> that Hayden describes as </w:t>
      </w:r>
      <w:r w:rsidR="00AF7500">
        <w:rPr>
          <w:sz w:val="24"/>
          <w:szCs w:val="24"/>
        </w:rPr>
        <w:t xml:space="preserve">embodying </w:t>
      </w:r>
      <w:r w:rsidR="008B2FE5" w:rsidRPr="00355AA2">
        <w:rPr>
          <w:sz w:val="24"/>
          <w:szCs w:val="24"/>
        </w:rPr>
        <w:t xml:space="preserve">a “neighborhood strategy” </w:t>
      </w:r>
      <w:r w:rsidRPr="00355AA2">
        <w:rPr>
          <w:sz w:val="24"/>
          <w:szCs w:val="24"/>
        </w:rPr>
        <w:t>are those</w:t>
      </w:r>
      <w:r w:rsidR="008B2FE5" w:rsidRPr="00355AA2">
        <w:rPr>
          <w:sz w:val="24"/>
          <w:szCs w:val="24"/>
        </w:rPr>
        <w:t xml:space="preserve"> in which </w:t>
      </w:r>
      <w:r w:rsidR="00DC7F6E">
        <w:rPr>
          <w:sz w:val="24"/>
          <w:szCs w:val="24"/>
        </w:rPr>
        <w:t>household</w:t>
      </w:r>
      <w:r w:rsidR="008B2FE5" w:rsidRPr="00355AA2">
        <w:rPr>
          <w:sz w:val="24"/>
          <w:szCs w:val="24"/>
        </w:rPr>
        <w:t xml:space="preserve"> practices</w:t>
      </w:r>
      <w:r w:rsidR="00572618">
        <w:rPr>
          <w:sz w:val="24"/>
          <w:szCs w:val="24"/>
        </w:rPr>
        <w:t>, as well as appliances for cooking, cleaning, and maintenance, can be</w:t>
      </w:r>
      <w:r w:rsidR="008B2FE5" w:rsidRPr="00355AA2">
        <w:rPr>
          <w:sz w:val="24"/>
          <w:szCs w:val="24"/>
        </w:rPr>
        <w:t xml:space="preserve"> shared collectively, thus lessening the </w:t>
      </w:r>
      <w:r w:rsidR="00572618">
        <w:rPr>
          <w:sz w:val="24"/>
          <w:szCs w:val="24"/>
        </w:rPr>
        <w:t xml:space="preserve">time and financial </w:t>
      </w:r>
      <w:r w:rsidR="008B2FE5" w:rsidRPr="00355AA2">
        <w:rPr>
          <w:sz w:val="24"/>
          <w:szCs w:val="24"/>
        </w:rPr>
        <w:t>burden on any single individual or household.</w:t>
      </w:r>
      <w:r w:rsidR="00AD67FF" w:rsidRPr="00A06000">
        <w:rPr>
          <w:rStyle w:val="FootnoteReference"/>
        </w:rPr>
        <w:footnoteReference w:id="52"/>
      </w:r>
      <w:r w:rsidR="00AD67FF" w:rsidRPr="00355AA2">
        <w:rPr>
          <w:sz w:val="24"/>
          <w:szCs w:val="24"/>
        </w:rPr>
        <w:t xml:space="preserve">  In the twenty-first century, this strategy finds expression in alternative models of home </w:t>
      </w:r>
      <w:r w:rsidR="0078228F" w:rsidRPr="00355AA2">
        <w:rPr>
          <w:sz w:val="24"/>
          <w:szCs w:val="24"/>
        </w:rPr>
        <w:t xml:space="preserve">and neighborhood </w:t>
      </w:r>
      <w:r w:rsidR="00AD67FF" w:rsidRPr="00355AA2">
        <w:rPr>
          <w:sz w:val="24"/>
          <w:szCs w:val="24"/>
        </w:rPr>
        <w:t xml:space="preserve">design, including co-housing projects, where private living space is conjoined with </w:t>
      </w:r>
      <w:r w:rsidR="003739FB" w:rsidRPr="00355AA2">
        <w:rPr>
          <w:sz w:val="24"/>
          <w:szCs w:val="24"/>
        </w:rPr>
        <w:t xml:space="preserve">a </w:t>
      </w:r>
      <w:r w:rsidR="00AD67FF" w:rsidRPr="00355AA2">
        <w:rPr>
          <w:sz w:val="24"/>
          <w:szCs w:val="24"/>
        </w:rPr>
        <w:t>kitchen and other facilities to be used collectively -- for shared meals several times weekly, shared child-care, garden, or recreational facilities, and shared bedrooms available for guests.</w:t>
      </w:r>
      <w:r w:rsidR="00AD67FF" w:rsidRPr="00A06000">
        <w:rPr>
          <w:rStyle w:val="FootnoteReference"/>
        </w:rPr>
        <w:footnoteReference w:id="53"/>
      </w:r>
      <w:r w:rsidR="00AD67FF" w:rsidRPr="00355AA2">
        <w:rPr>
          <w:sz w:val="24"/>
          <w:szCs w:val="24"/>
        </w:rPr>
        <w:t xml:space="preserve"> </w:t>
      </w:r>
      <w:r w:rsidR="00A11184" w:rsidRPr="00355AA2">
        <w:rPr>
          <w:sz w:val="24"/>
          <w:szCs w:val="24"/>
        </w:rPr>
        <w:t xml:space="preserve"> </w:t>
      </w:r>
      <w:r w:rsidR="00F44201" w:rsidRPr="00355AA2">
        <w:rPr>
          <w:sz w:val="24"/>
          <w:szCs w:val="24"/>
        </w:rPr>
        <w:t>Hayden</w:t>
      </w:r>
      <w:r w:rsidR="000770B4" w:rsidRPr="00355AA2">
        <w:rPr>
          <w:sz w:val="24"/>
          <w:szCs w:val="24"/>
        </w:rPr>
        <w:t>,</w:t>
      </w:r>
      <w:r w:rsidR="00F44201" w:rsidRPr="00355AA2">
        <w:rPr>
          <w:sz w:val="24"/>
          <w:szCs w:val="24"/>
        </w:rPr>
        <w:t xml:space="preserve"> along with other architects, planners, and developers, </w:t>
      </w:r>
      <w:r w:rsidR="000770B4" w:rsidRPr="00355AA2">
        <w:rPr>
          <w:sz w:val="24"/>
          <w:szCs w:val="24"/>
        </w:rPr>
        <w:t>has</w:t>
      </w:r>
      <w:r w:rsidR="00F44201" w:rsidRPr="00355AA2">
        <w:rPr>
          <w:sz w:val="24"/>
          <w:szCs w:val="24"/>
        </w:rPr>
        <w:t xml:space="preserve"> also envisioned practical ways in which the </w:t>
      </w:r>
      <w:r w:rsidR="00573389" w:rsidRPr="00355AA2">
        <w:rPr>
          <w:sz w:val="24"/>
          <w:szCs w:val="24"/>
        </w:rPr>
        <w:t>widespread</w:t>
      </w:r>
      <w:r w:rsidR="00F44201" w:rsidRPr="00355AA2">
        <w:rPr>
          <w:sz w:val="24"/>
          <w:szCs w:val="24"/>
        </w:rPr>
        <w:t xml:space="preserve">, existing low-density suburban housing block </w:t>
      </w:r>
      <w:r w:rsidR="00AF55E0">
        <w:rPr>
          <w:sz w:val="24"/>
          <w:szCs w:val="24"/>
        </w:rPr>
        <w:t>can</w:t>
      </w:r>
      <w:r w:rsidR="00F44201" w:rsidRPr="00355AA2">
        <w:rPr>
          <w:sz w:val="24"/>
          <w:szCs w:val="24"/>
        </w:rPr>
        <w:t xml:space="preserve"> be </w:t>
      </w:r>
      <w:r w:rsidR="000770B4" w:rsidRPr="00355AA2">
        <w:rPr>
          <w:sz w:val="24"/>
          <w:szCs w:val="24"/>
        </w:rPr>
        <w:t>(</w:t>
      </w:r>
      <w:r w:rsidR="00F44201" w:rsidRPr="00355AA2">
        <w:rPr>
          <w:sz w:val="24"/>
          <w:szCs w:val="24"/>
        </w:rPr>
        <w:t>and ha</w:t>
      </w:r>
      <w:r w:rsidR="006B0ED1">
        <w:rPr>
          <w:sz w:val="24"/>
          <w:szCs w:val="24"/>
        </w:rPr>
        <w:t>s</w:t>
      </w:r>
      <w:r w:rsidR="00F44201" w:rsidRPr="00355AA2">
        <w:rPr>
          <w:sz w:val="24"/>
          <w:szCs w:val="24"/>
        </w:rPr>
        <w:t xml:space="preserve"> been</w:t>
      </w:r>
      <w:r w:rsidR="000770B4" w:rsidRPr="00355AA2">
        <w:rPr>
          <w:sz w:val="24"/>
          <w:szCs w:val="24"/>
        </w:rPr>
        <w:t>)</w:t>
      </w:r>
      <w:r w:rsidR="00F44201" w:rsidRPr="00355AA2">
        <w:rPr>
          <w:sz w:val="24"/>
          <w:szCs w:val="24"/>
        </w:rPr>
        <w:t xml:space="preserve"> re-imagined and re-structured</w:t>
      </w:r>
      <w:r w:rsidR="00A11184" w:rsidRPr="00355AA2">
        <w:rPr>
          <w:sz w:val="24"/>
          <w:szCs w:val="24"/>
        </w:rPr>
        <w:t xml:space="preserve"> </w:t>
      </w:r>
      <w:r w:rsidR="00F44201" w:rsidRPr="00355AA2">
        <w:rPr>
          <w:sz w:val="24"/>
          <w:szCs w:val="24"/>
        </w:rPr>
        <w:t xml:space="preserve">to meet the needs of a more diverse population, by carving out </w:t>
      </w:r>
      <w:r w:rsidR="00573389" w:rsidRPr="00355AA2">
        <w:rPr>
          <w:sz w:val="24"/>
          <w:szCs w:val="24"/>
        </w:rPr>
        <w:t xml:space="preserve">existing, privately owned, yard space </w:t>
      </w:r>
      <w:r w:rsidR="00F44201" w:rsidRPr="00355AA2">
        <w:rPr>
          <w:sz w:val="24"/>
          <w:szCs w:val="24"/>
        </w:rPr>
        <w:t xml:space="preserve">for common activities such as child- or elder-care, laundry, </w:t>
      </w:r>
      <w:r w:rsidR="00AF55E0">
        <w:rPr>
          <w:sz w:val="24"/>
          <w:szCs w:val="24"/>
        </w:rPr>
        <w:t xml:space="preserve">food </w:t>
      </w:r>
      <w:r w:rsidR="00F44201" w:rsidRPr="00355AA2">
        <w:rPr>
          <w:sz w:val="24"/>
          <w:szCs w:val="24"/>
        </w:rPr>
        <w:t xml:space="preserve">gardens, or </w:t>
      </w:r>
      <w:r w:rsidR="006B0ED1">
        <w:rPr>
          <w:sz w:val="24"/>
          <w:szCs w:val="24"/>
        </w:rPr>
        <w:t xml:space="preserve">shared </w:t>
      </w:r>
      <w:r w:rsidR="00F44201" w:rsidRPr="00355AA2">
        <w:rPr>
          <w:sz w:val="24"/>
          <w:szCs w:val="24"/>
        </w:rPr>
        <w:t xml:space="preserve">kitchens, as well as options for </w:t>
      </w:r>
      <w:r w:rsidR="00573389" w:rsidRPr="00355AA2">
        <w:rPr>
          <w:sz w:val="24"/>
          <w:szCs w:val="24"/>
        </w:rPr>
        <w:t xml:space="preserve">small </w:t>
      </w:r>
      <w:r w:rsidR="00F44201" w:rsidRPr="00355AA2">
        <w:rPr>
          <w:sz w:val="24"/>
          <w:szCs w:val="24"/>
        </w:rPr>
        <w:t>accessory apartments for single residents</w:t>
      </w:r>
      <w:r w:rsidR="00573389" w:rsidRPr="00355AA2">
        <w:rPr>
          <w:sz w:val="24"/>
          <w:szCs w:val="24"/>
        </w:rPr>
        <w:t xml:space="preserve"> or couples</w:t>
      </w:r>
      <w:r w:rsidR="006B0ED1">
        <w:rPr>
          <w:sz w:val="24"/>
          <w:szCs w:val="24"/>
        </w:rPr>
        <w:t xml:space="preserve"> --</w:t>
      </w:r>
      <w:r w:rsidR="00F44201" w:rsidRPr="00355AA2">
        <w:rPr>
          <w:sz w:val="24"/>
          <w:szCs w:val="24"/>
        </w:rPr>
        <w:t xml:space="preserve"> adult children, elders, or tenants.</w:t>
      </w:r>
      <w:r w:rsidR="00F44201" w:rsidRPr="00A06000">
        <w:rPr>
          <w:rStyle w:val="FootnoteReference"/>
        </w:rPr>
        <w:footnoteReference w:id="54"/>
      </w:r>
      <w:r w:rsidR="00AF55E0">
        <w:rPr>
          <w:sz w:val="24"/>
          <w:szCs w:val="24"/>
        </w:rPr>
        <w:t xml:space="preserve">  </w:t>
      </w:r>
      <w:r w:rsidR="0069253D">
        <w:rPr>
          <w:sz w:val="24"/>
          <w:szCs w:val="24"/>
        </w:rPr>
        <w:t>It also finds growing expression in the so-called “sharing economy” – a rapidly growing array of (often internet-mediated</w:t>
      </w:r>
      <w:r w:rsidR="00FC1C24">
        <w:rPr>
          <w:sz w:val="24"/>
          <w:szCs w:val="24"/>
        </w:rPr>
        <w:t>)</w:t>
      </w:r>
      <w:r w:rsidR="0069253D">
        <w:rPr>
          <w:sz w:val="24"/>
          <w:szCs w:val="24"/>
        </w:rPr>
        <w:t xml:space="preserve"> networks for </w:t>
      </w:r>
      <w:r w:rsidR="00FC2D54">
        <w:rPr>
          <w:sz w:val="24"/>
          <w:szCs w:val="24"/>
        </w:rPr>
        <w:t xml:space="preserve">sharing </w:t>
      </w:r>
      <w:r w:rsidR="005540A9">
        <w:rPr>
          <w:sz w:val="24"/>
          <w:szCs w:val="24"/>
        </w:rPr>
        <w:t xml:space="preserve">bicycles, cars, and – increasingly – </w:t>
      </w:r>
      <w:r w:rsidR="001E2400">
        <w:rPr>
          <w:sz w:val="24"/>
          <w:szCs w:val="24"/>
        </w:rPr>
        <w:t xml:space="preserve">housing, </w:t>
      </w:r>
      <w:r w:rsidR="005540A9">
        <w:rPr>
          <w:sz w:val="24"/>
          <w:szCs w:val="24"/>
        </w:rPr>
        <w:lastRenderedPageBreak/>
        <w:t>home appliances</w:t>
      </w:r>
      <w:r w:rsidR="001E2400">
        <w:rPr>
          <w:sz w:val="24"/>
          <w:szCs w:val="24"/>
        </w:rPr>
        <w:t>,</w:t>
      </w:r>
      <w:r w:rsidR="00780A2A">
        <w:rPr>
          <w:sz w:val="24"/>
          <w:szCs w:val="24"/>
        </w:rPr>
        <w:t xml:space="preserve"> cooking,</w:t>
      </w:r>
      <w:r w:rsidR="00974C8C">
        <w:rPr>
          <w:sz w:val="24"/>
          <w:szCs w:val="24"/>
        </w:rPr>
        <w:t xml:space="preserve"> errands, and other </w:t>
      </w:r>
      <w:r w:rsidR="001E2400">
        <w:rPr>
          <w:sz w:val="24"/>
          <w:szCs w:val="24"/>
        </w:rPr>
        <w:t xml:space="preserve">household </w:t>
      </w:r>
      <w:r w:rsidR="00974C8C">
        <w:rPr>
          <w:sz w:val="24"/>
          <w:szCs w:val="24"/>
        </w:rPr>
        <w:t>tasks</w:t>
      </w:r>
      <w:r w:rsidR="00D47829">
        <w:rPr>
          <w:sz w:val="24"/>
          <w:szCs w:val="24"/>
        </w:rPr>
        <w:t>.</w:t>
      </w:r>
      <w:r w:rsidR="0094660F">
        <w:rPr>
          <w:rStyle w:val="FootnoteReference"/>
          <w:sz w:val="24"/>
          <w:szCs w:val="24"/>
        </w:rPr>
        <w:footnoteReference w:id="55"/>
      </w:r>
      <w:r w:rsidR="00EF16D9">
        <w:rPr>
          <w:sz w:val="24"/>
          <w:szCs w:val="24"/>
        </w:rPr>
        <w:t xml:space="preserve"> </w:t>
      </w:r>
      <w:r w:rsidR="00780A2A">
        <w:rPr>
          <w:sz w:val="24"/>
          <w:szCs w:val="24"/>
        </w:rPr>
        <w:t xml:space="preserve">While some of the most prominent of these networks are for-profit enterprises (airbnb.com; </w:t>
      </w:r>
      <w:proofErr w:type="spellStart"/>
      <w:r w:rsidR="00780A2A">
        <w:rPr>
          <w:sz w:val="24"/>
          <w:szCs w:val="24"/>
        </w:rPr>
        <w:t>zipcar</w:t>
      </w:r>
      <w:proofErr w:type="spellEnd"/>
      <w:r w:rsidR="00780A2A">
        <w:rPr>
          <w:sz w:val="24"/>
          <w:szCs w:val="24"/>
        </w:rPr>
        <w:t>; taskrabbit.com; etc.), many others are organized as not-for-profit peer-to-peer initiatives.</w:t>
      </w:r>
      <w:r w:rsidR="00780A2A">
        <w:rPr>
          <w:rStyle w:val="FootnoteReference"/>
          <w:sz w:val="24"/>
          <w:szCs w:val="24"/>
        </w:rPr>
        <w:footnoteReference w:id="56"/>
      </w:r>
      <w:r w:rsidR="00780A2A">
        <w:rPr>
          <w:sz w:val="24"/>
          <w:szCs w:val="24"/>
        </w:rPr>
        <w:t xml:space="preserve"> </w:t>
      </w:r>
      <w:r w:rsidR="00EF16D9">
        <w:rPr>
          <w:sz w:val="24"/>
          <w:szCs w:val="24"/>
        </w:rPr>
        <w:t>To the extent that infrastructure or networks facilitate sharing of household responsibilities</w:t>
      </w:r>
      <w:r w:rsidR="00372C08">
        <w:rPr>
          <w:sz w:val="24"/>
          <w:szCs w:val="24"/>
        </w:rPr>
        <w:t>, they</w:t>
      </w:r>
      <w:r w:rsidR="00886820">
        <w:rPr>
          <w:sz w:val="24"/>
          <w:szCs w:val="24"/>
        </w:rPr>
        <w:t xml:space="preserve"> have </w:t>
      </w:r>
      <w:r w:rsidR="00270CCC">
        <w:rPr>
          <w:sz w:val="24"/>
          <w:szCs w:val="24"/>
        </w:rPr>
        <w:t>great</w:t>
      </w:r>
      <w:r w:rsidR="00886820">
        <w:rPr>
          <w:sz w:val="24"/>
          <w:szCs w:val="24"/>
        </w:rPr>
        <w:t xml:space="preserve"> potential to both lessen time poverty and the sense that such roles are distinctly</w:t>
      </w:r>
      <w:r w:rsidR="00372C08">
        <w:rPr>
          <w:sz w:val="24"/>
          <w:szCs w:val="24"/>
        </w:rPr>
        <w:t xml:space="preserve"> individual and</w:t>
      </w:r>
      <w:r w:rsidR="00886820">
        <w:rPr>
          <w:sz w:val="24"/>
          <w:szCs w:val="24"/>
        </w:rPr>
        <w:t xml:space="preserve"> private ones.</w:t>
      </w:r>
    </w:p>
    <w:p w:rsidR="00CB3F71" w:rsidRPr="00355AA2" w:rsidRDefault="00892315" w:rsidP="00A13285">
      <w:pPr>
        <w:spacing w:after="120" w:line="240" w:lineRule="auto"/>
        <w:rPr>
          <w:sz w:val="24"/>
          <w:szCs w:val="24"/>
        </w:rPr>
      </w:pPr>
      <w:r w:rsidRPr="00355AA2">
        <w:rPr>
          <w:sz w:val="24"/>
          <w:szCs w:val="24"/>
        </w:rPr>
        <w:t>H</w:t>
      </w:r>
      <w:r w:rsidR="0078228F" w:rsidRPr="00355AA2">
        <w:rPr>
          <w:sz w:val="24"/>
          <w:szCs w:val="24"/>
        </w:rPr>
        <w:t>ome</w:t>
      </w:r>
      <w:r w:rsidRPr="00355AA2">
        <w:rPr>
          <w:sz w:val="24"/>
          <w:szCs w:val="24"/>
        </w:rPr>
        <w:t>, then,</w:t>
      </w:r>
      <w:r w:rsidR="0078228F" w:rsidRPr="00355AA2">
        <w:rPr>
          <w:sz w:val="24"/>
          <w:szCs w:val="24"/>
        </w:rPr>
        <w:t xml:space="preserve"> is </w:t>
      </w:r>
      <w:r w:rsidR="000F72B0">
        <w:rPr>
          <w:sz w:val="24"/>
          <w:szCs w:val="24"/>
        </w:rPr>
        <w:t>connected to</w:t>
      </w:r>
      <w:r w:rsidR="0078228F" w:rsidRPr="00355AA2">
        <w:rPr>
          <w:sz w:val="24"/>
          <w:szCs w:val="24"/>
        </w:rPr>
        <w:t xml:space="preserve"> citizenship of </w:t>
      </w:r>
      <w:r w:rsidR="0078228F" w:rsidRPr="00355AA2">
        <w:rPr>
          <w:i/>
          <w:sz w:val="24"/>
          <w:szCs w:val="24"/>
        </w:rPr>
        <w:t>some</w:t>
      </w:r>
      <w:r w:rsidR="0078228F" w:rsidRPr="00355AA2">
        <w:rPr>
          <w:sz w:val="24"/>
          <w:szCs w:val="24"/>
        </w:rPr>
        <w:t xml:space="preserve"> sort.  </w:t>
      </w:r>
      <w:r w:rsidR="006B0ED1">
        <w:rPr>
          <w:sz w:val="24"/>
          <w:szCs w:val="24"/>
        </w:rPr>
        <w:t xml:space="preserve">Recognizing this, we can attend more thoughtfully to </w:t>
      </w:r>
      <w:r w:rsidR="0078228F" w:rsidRPr="00355AA2">
        <w:rPr>
          <w:sz w:val="24"/>
          <w:szCs w:val="24"/>
        </w:rPr>
        <w:t xml:space="preserve">the ways in which both household practices and the physical structuring of houses and the built environment itself can constrain or enable </w:t>
      </w:r>
      <w:r w:rsidR="00816442" w:rsidRPr="00355AA2">
        <w:rPr>
          <w:sz w:val="24"/>
          <w:szCs w:val="24"/>
        </w:rPr>
        <w:t xml:space="preserve">different manifestations of </w:t>
      </w:r>
      <w:r w:rsidR="0078228F" w:rsidRPr="00355AA2">
        <w:rPr>
          <w:sz w:val="24"/>
          <w:szCs w:val="24"/>
        </w:rPr>
        <w:t>citizenship</w:t>
      </w:r>
      <w:r w:rsidR="004E3201" w:rsidRPr="00355AA2">
        <w:rPr>
          <w:sz w:val="24"/>
          <w:szCs w:val="24"/>
        </w:rPr>
        <w:t xml:space="preserve"> </w:t>
      </w:r>
      <w:r w:rsidR="0078228F" w:rsidRPr="00355AA2">
        <w:rPr>
          <w:sz w:val="24"/>
          <w:szCs w:val="24"/>
        </w:rPr>
        <w:t>– both in general and for specific groups</w:t>
      </w:r>
      <w:r w:rsidR="00816442" w:rsidRPr="00355AA2">
        <w:rPr>
          <w:sz w:val="24"/>
          <w:szCs w:val="24"/>
        </w:rPr>
        <w:t xml:space="preserve"> </w:t>
      </w:r>
      <w:r w:rsidR="0078228F" w:rsidRPr="00355AA2">
        <w:rPr>
          <w:sz w:val="24"/>
          <w:szCs w:val="24"/>
        </w:rPr>
        <w:t xml:space="preserve">within these environments.  </w:t>
      </w:r>
      <w:r w:rsidR="00AB3BFD" w:rsidRPr="00355AA2">
        <w:rPr>
          <w:sz w:val="24"/>
          <w:szCs w:val="24"/>
        </w:rPr>
        <w:t xml:space="preserve">To argue that citizenship has a place in the home is not </w:t>
      </w:r>
      <w:r w:rsidR="00970A74" w:rsidRPr="00355AA2">
        <w:rPr>
          <w:sz w:val="24"/>
          <w:szCs w:val="24"/>
        </w:rPr>
        <w:t>necessarily</w:t>
      </w:r>
      <w:r w:rsidR="00AB3BFD" w:rsidRPr="00355AA2">
        <w:rPr>
          <w:sz w:val="24"/>
          <w:szCs w:val="24"/>
        </w:rPr>
        <w:t xml:space="preserve"> to argue that it has a constructive place – </w:t>
      </w:r>
      <w:r w:rsidR="00AF7500">
        <w:rPr>
          <w:sz w:val="24"/>
          <w:szCs w:val="24"/>
        </w:rPr>
        <w:t>it</w:t>
      </w:r>
      <w:r w:rsidR="00AB3BFD" w:rsidRPr="00355AA2">
        <w:rPr>
          <w:sz w:val="24"/>
          <w:szCs w:val="24"/>
        </w:rPr>
        <w:t xml:space="preserve"> can also weaken or constrain public participation and discourse.  </w:t>
      </w:r>
      <w:r w:rsidR="00AF7500">
        <w:rPr>
          <w:sz w:val="24"/>
          <w:szCs w:val="24"/>
        </w:rPr>
        <w:t>These</w:t>
      </w:r>
      <w:r w:rsidR="00AB3BFD" w:rsidRPr="00355AA2">
        <w:rPr>
          <w:sz w:val="24"/>
          <w:szCs w:val="24"/>
        </w:rPr>
        <w:t xml:space="preserve"> </w:t>
      </w:r>
      <w:r w:rsidR="00AF7500">
        <w:rPr>
          <w:sz w:val="24"/>
          <w:szCs w:val="24"/>
        </w:rPr>
        <w:t>e</w:t>
      </w:r>
      <w:r w:rsidR="00AB3BFD" w:rsidRPr="00355AA2">
        <w:rPr>
          <w:sz w:val="24"/>
          <w:szCs w:val="24"/>
        </w:rPr>
        <w:t xml:space="preserve">ffects are also </w:t>
      </w:r>
      <w:r w:rsidR="004E497F" w:rsidRPr="00355AA2">
        <w:rPr>
          <w:sz w:val="24"/>
          <w:szCs w:val="24"/>
        </w:rPr>
        <w:t>vital to the shaping of citizens and citizenship.</w:t>
      </w:r>
    </w:p>
    <w:p w:rsidR="00EB72C2" w:rsidRPr="00355AA2" w:rsidRDefault="000451DB" w:rsidP="00A13285">
      <w:pPr>
        <w:spacing w:after="120" w:line="240" w:lineRule="auto"/>
        <w:rPr>
          <w:sz w:val="24"/>
          <w:szCs w:val="24"/>
        </w:rPr>
      </w:pPr>
      <w:r w:rsidRPr="00355AA2">
        <w:rPr>
          <w:sz w:val="24"/>
          <w:szCs w:val="24"/>
        </w:rPr>
        <w:t>In both of the</w:t>
      </w:r>
      <w:r w:rsidR="00F44201" w:rsidRPr="00355AA2">
        <w:rPr>
          <w:sz w:val="24"/>
          <w:szCs w:val="24"/>
        </w:rPr>
        <w:t>se</w:t>
      </w:r>
      <w:r w:rsidRPr="00355AA2">
        <w:rPr>
          <w:sz w:val="24"/>
          <w:szCs w:val="24"/>
        </w:rPr>
        <w:t xml:space="preserve"> senses, the li</w:t>
      </w:r>
      <w:r w:rsidR="009C6A26" w:rsidRPr="00355AA2">
        <w:rPr>
          <w:sz w:val="24"/>
          <w:szCs w:val="24"/>
        </w:rPr>
        <w:t xml:space="preserve">nk between home and citizenship </w:t>
      </w:r>
      <w:r w:rsidRPr="00355AA2">
        <w:rPr>
          <w:sz w:val="24"/>
          <w:szCs w:val="24"/>
        </w:rPr>
        <w:t>challenges familiar, arguably dominant, conceptualizations of</w:t>
      </w:r>
      <w:r w:rsidR="001A7C86" w:rsidRPr="00355AA2">
        <w:rPr>
          <w:sz w:val="24"/>
          <w:szCs w:val="24"/>
        </w:rPr>
        <w:t xml:space="preserve"> </w:t>
      </w:r>
      <w:r w:rsidR="004E3201" w:rsidRPr="00355AA2">
        <w:rPr>
          <w:sz w:val="24"/>
          <w:szCs w:val="24"/>
        </w:rPr>
        <w:t xml:space="preserve">purely </w:t>
      </w:r>
      <w:r w:rsidR="001A7C86" w:rsidRPr="00355AA2">
        <w:rPr>
          <w:i/>
          <w:sz w:val="24"/>
          <w:szCs w:val="24"/>
        </w:rPr>
        <w:t>private</w:t>
      </w:r>
      <w:r w:rsidRPr="00355AA2">
        <w:rPr>
          <w:sz w:val="24"/>
          <w:szCs w:val="24"/>
        </w:rPr>
        <w:t xml:space="preserve"> home</w:t>
      </w:r>
      <w:r w:rsidR="001A7C86" w:rsidRPr="00355AA2">
        <w:rPr>
          <w:sz w:val="24"/>
          <w:szCs w:val="24"/>
        </w:rPr>
        <w:t>s.  I</w:t>
      </w:r>
      <w:r w:rsidRPr="00355AA2">
        <w:rPr>
          <w:sz w:val="24"/>
          <w:szCs w:val="24"/>
        </w:rPr>
        <w:t>t does little</w:t>
      </w:r>
      <w:r w:rsidR="001A7C86" w:rsidRPr="00355AA2">
        <w:rPr>
          <w:sz w:val="24"/>
          <w:szCs w:val="24"/>
        </w:rPr>
        <w:t>, however,</w:t>
      </w:r>
      <w:r w:rsidRPr="00355AA2">
        <w:rPr>
          <w:sz w:val="24"/>
          <w:szCs w:val="24"/>
        </w:rPr>
        <w:t xml:space="preserve"> to re</w:t>
      </w:r>
      <w:r w:rsidR="00061C00">
        <w:rPr>
          <w:sz w:val="24"/>
          <w:szCs w:val="24"/>
        </w:rPr>
        <w:t>construct</w:t>
      </w:r>
      <w:r w:rsidRPr="00355AA2">
        <w:rPr>
          <w:sz w:val="24"/>
          <w:szCs w:val="24"/>
        </w:rPr>
        <w:t xml:space="preserve"> notions of </w:t>
      </w:r>
      <w:r w:rsidRPr="00355AA2">
        <w:rPr>
          <w:i/>
          <w:sz w:val="24"/>
          <w:szCs w:val="24"/>
        </w:rPr>
        <w:t>citizenship</w:t>
      </w:r>
      <w:r w:rsidRPr="00355AA2">
        <w:rPr>
          <w:sz w:val="24"/>
          <w:szCs w:val="24"/>
        </w:rPr>
        <w:t>.  Active citizens, here, are envisioned</w:t>
      </w:r>
      <w:r w:rsidR="00EB72C2" w:rsidRPr="00355AA2">
        <w:rPr>
          <w:sz w:val="24"/>
          <w:szCs w:val="24"/>
        </w:rPr>
        <w:t xml:space="preserve"> i</w:t>
      </w:r>
      <w:r w:rsidRPr="00355AA2">
        <w:rPr>
          <w:sz w:val="24"/>
          <w:szCs w:val="24"/>
        </w:rPr>
        <w:t xml:space="preserve">n </w:t>
      </w:r>
      <w:r w:rsidR="003F4191">
        <w:rPr>
          <w:sz w:val="24"/>
          <w:szCs w:val="24"/>
        </w:rPr>
        <w:t>conventional</w:t>
      </w:r>
      <w:r w:rsidR="004E187F" w:rsidRPr="00355AA2">
        <w:rPr>
          <w:sz w:val="24"/>
          <w:szCs w:val="24"/>
        </w:rPr>
        <w:t xml:space="preserve"> ways – as people with the time, inclination, and privilege </w:t>
      </w:r>
      <w:r w:rsidR="00DF0F1F" w:rsidRPr="00355AA2">
        <w:rPr>
          <w:sz w:val="24"/>
          <w:szCs w:val="24"/>
        </w:rPr>
        <w:t>to participate in public discourse</w:t>
      </w:r>
      <w:r w:rsidR="00DF0F1F">
        <w:rPr>
          <w:sz w:val="24"/>
          <w:szCs w:val="24"/>
        </w:rPr>
        <w:t xml:space="preserve">: </w:t>
      </w:r>
      <w:r w:rsidRPr="00355AA2">
        <w:rPr>
          <w:sz w:val="24"/>
          <w:szCs w:val="24"/>
        </w:rPr>
        <w:t>to educate</w:t>
      </w:r>
      <w:r w:rsidR="004E187F" w:rsidRPr="00355AA2">
        <w:rPr>
          <w:sz w:val="24"/>
          <w:szCs w:val="24"/>
        </w:rPr>
        <w:t xml:space="preserve"> themselves as</w:t>
      </w:r>
      <w:r w:rsidRPr="00355AA2">
        <w:rPr>
          <w:sz w:val="24"/>
          <w:szCs w:val="24"/>
        </w:rPr>
        <w:t xml:space="preserve"> voters, to attend </w:t>
      </w:r>
      <w:r w:rsidR="009C6A26" w:rsidRPr="00355AA2">
        <w:rPr>
          <w:sz w:val="24"/>
          <w:szCs w:val="24"/>
        </w:rPr>
        <w:t xml:space="preserve">public </w:t>
      </w:r>
      <w:r w:rsidRPr="00355AA2">
        <w:rPr>
          <w:sz w:val="24"/>
          <w:szCs w:val="24"/>
        </w:rPr>
        <w:t xml:space="preserve">meetings, join civil society organizations, </w:t>
      </w:r>
      <w:r w:rsidR="00420B26" w:rsidRPr="00355AA2">
        <w:rPr>
          <w:sz w:val="24"/>
          <w:szCs w:val="24"/>
        </w:rPr>
        <w:t>protes</w:t>
      </w:r>
      <w:r w:rsidR="00DF0F1F">
        <w:rPr>
          <w:sz w:val="24"/>
          <w:szCs w:val="24"/>
        </w:rPr>
        <w:t>t, and engage in internet activism</w:t>
      </w:r>
      <w:r w:rsidRPr="00355AA2">
        <w:rPr>
          <w:sz w:val="24"/>
          <w:szCs w:val="24"/>
        </w:rPr>
        <w:t xml:space="preserve">.  </w:t>
      </w:r>
      <w:r w:rsidR="00420B26" w:rsidRPr="00355AA2">
        <w:rPr>
          <w:sz w:val="24"/>
          <w:szCs w:val="24"/>
        </w:rPr>
        <w:t xml:space="preserve">The focus </w:t>
      </w:r>
      <w:r w:rsidR="00DF0F1F">
        <w:rPr>
          <w:sz w:val="24"/>
          <w:szCs w:val="24"/>
        </w:rPr>
        <w:t>has been</w:t>
      </w:r>
      <w:r w:rsidR="00420B26" w:rsidRPr="00355AA2">
        <w:rPr>
          <w:sz w:val="24"/>
          <w:szCs w:val="24"/>
        </w:rPr>
        <w:t xml:space="preserve"> on various ways in which </w:t>
      </w:r>
      <w:r w:rsidR="00957F71" w:rsidRPr="00355AA2">
        <w:rPr>
          <w:sz w:val="24"/>
          <w:szCs w:val="24"/>
        </w:rPr>
        <w:t>citizen</w:t>
      </w:r>
      <w:r w:rsidR="00CC310E">
        <w:rPr>
          <w:sz w:val="24"/>
          <w:szCs w:val="24"/>
        </w:rPr>
        <w:t xml:space="preserve"> action</w:t>
      </w:r>
      <w:r w:rsidR="00957F71" w:rsidRPr="00355AA2">
        <w:rPr>
          <w:sz w:val="24"/>
          <w:szCs w:val="24"/>
        </w:rPr>
        <w:t xml:space="preserve"> </w:t>
      </w:r>
      <w:r w:rsidR="00CC310E">
        <w:rPr>
          <w:sz w:val="24"/>
          <w:szCs w:val="24"/>
        </w:rPr>
        <w:t>is</w:t>
      </w:r>
      <w:r w:rsidR="00957F71" w:rsidRPr="00355AA2">
        <w:rPr>
          <w:sz w:val="24"/>
          <w:szCs w:val="24"/>
        </w:rPr>
        <w:t xml:space="preserve"> necessarily embedded in everyday practices of home, and so upon the ways in which these practices </w:t>
      </w:r>
      <w:r w:rsidR="00952CC0" w:rsidRPr="00355AA2">
        <w:rPr>
          <w:i/>
          <w:sz w:val="24"/>
          <w:szCs w:val="24"/>
        </w:rPr>
        <w:t>condition or</w:t>
      </w:r>
      <w:r w:rsidR="00952CC0" w:rsidRPr="00355AA2">
        <w:rPr>
          <w:sz w:val="24"/>
          <w:szCs w:val="24"/>
        </w:rPr>
        <w:t xml:space="preserve"> </w:t>
      </w:r>
      <w:r w:rsidR="00957F71" w:rsidRPr="00355AA2">
        <w:rPr>
          <w:i/>
          <w:sz w:val="24"/>
          <w:szCs w:val="24"/>
        </w:rPr>
        <w:t>shape</w:t>
      </w:r>
      <w:r w:rsidR="00957F71" w:rsidRPr="00355AA2">
        <w:rPr>
          <w:sz w:val="24"/>
          <w:szCs w:val="24"/>
        </w:rPr>
        <w:t xml:space="preserve"> – as well as constrain or enable – citizenship.  </w:t>
      </w:r>
      <w:r w:rsidR="00EB72C2" w:rsidRPr="00355AA2">
        <w:rPr>
          <w:sz w:val="24"/>
          <w:szCs w:val="24"/>
        </w:rPr>
        <w:t xml:space="preserve">There is another sense, however, in which home can be understood as integral to citizenship, but in this case we need to </w:t>
      </w:r>
      <w:r w:rsidR="00FC71C4" w:rsidRPr="00355AA2">
        <w:rPr>
          <w:sz w:val="24"/>
          <w:szCs w:val="24"/>
        </w:rPr>
        <w:t>expand</w:t>
      </w:r>
      <w:r w:rsidR="00EB72C2" w:rsidRPr="00355AA2">
        <w:rPr>
          <w:sz w:val="24"/>
          <w:szCs w:val="24"/>
        </w:rPr>
        <w:t xml:space="preserve"> what we </w:t>
      </w:r>
      <w:r w:rsidR="00FC71C4" w:rsidRPr="00355AA2">
        <w:rPr>
          <w:sz w:val="24"/>
          <w:szCs w:val="24"/>
        </w:rPr>
        <w:t>understand</w:t>
      </w:r>
      <w:r w:rsidR="00EB72C2" w:rsidRPr="00355AA2">
        <w:rPr>
          <w:sz w:val="24"/>
          <w:szCs w:val="24"/>
        </w:rPr>
        <w:t xml:space="preserve"> by citizenship as well as </w:t>
      </w:r>
      <w:r w:rsidR="00061C00">
        <w:rPr>
          <w:sz w:val="24"/>
          <w:szCs w:val="24"/>
        </w:rPr>
        <w:t>how</w:t>
      </w:r>
      <w:r w:rsidR="00EB72C2" w:rsidRPr="00355AA2">
        <w:rPr>
          <w:sz w:val="24"/>
          <w:szCs w:val="24"/>
        </w:rPr>
        <w:t xml:space="preserve"> we understand </w:t>
      </w:r>
      <w:r w:rsidR="001A7C86" w:rsidRPr="00355AA2">
        <w:rPr>
          <w:sz w:val="24"/>
          <w:szCs w:val="24"/>
        </w:rPr>
        <w:t xml:space="preserve">the </w:t>
      </w:r>
      <w:r w:rsidR="00EB72C2" w:rsidRPr="00355AA2">
        <w:rPr>
          <w:sz w:val="24"/>
          <w:szCs w:val="24"/>
        </w:rPr>
        <w:t>home.</w:t>
      </w:r>
    </w:p>
    <w:p w:rsidR="00FC71C4" w:rsidRPr="00355AA2" w:rsidRDefault="00CC310E" w:rsidP="00A13285">
      <w:pPr>
        <w:spacing w:after="120" w:line="240" w:lineRule="auto"/>
        <w:rPr>
          <w:sz w:val="24"/>
          <w:szCs w:val="24"/>
        </w:rPr>
      </w:pPr>
      <w:r>
        <w:rPr>
          <w:sz w:val="24"/>
          <w:szCs w:val="24"/>
        </w:rPr>
        <w:t>T</w:t>
      </w:r>
      <w:r w:rsidR="00FC71C4" w:rsidRPr="00355AA2">
        <w:rPr>
          <w:sz w:val="24"/>
          <w:szCs w:val="24"/>
        </w:rPr>
        <w:t xml:space="preserve">his </w:t>
      </w:r>
      <w:r w:rsidR="00FC71C4" w:rsidRPr="003F4191">
        <w:rPr>
          <w:sz w:val="24"/>
          <w:szCs w:val="24"/>
        </w:rPr>
        <w:t>third</w:t>
      </w:r>
      <w:r w:rsidR="00FC71C4" w:rsidRPr="00355AA2">
        <w:rPr>
          <w:sz w:val="24"/>
          <w:szCs w:val="24"/>
        </w:rPr>
        <w:t xml:space="preserve"> sense of </w:t>
      </w:r>
      <w:r w:rsidR="003F4191" w:rsidRPr="00355AA2">
        <w:rPr>
          <w:sz w:val="24"/>
          <w:szCs w:val="24"/>
        </w:rPr>
        <w:t xml:space="preserve">citizenship </w:t>
      </w:r>
      <w:r>
        <w:rPr>
          <w:sz w:val="24"/>
          <w:szCs w:val="24"/>
        </w:rPr>
        <w:t xml:space="preserve">emerges when we observe </w:t>
      </w:r>
      <w:r w:rsidR="00FC71C4" w:rsidRPr="00355AA2">
        <w:rPr>
          <w:sz w:val="24"/>
          <w:szCs w:val="24"/>
        </w:rPr>
        <w:t>that the home can be</w:t>
      </w:r>
      <w:r w:rsidR="002509EE" w:rsidRPr="00355AA2">
        <w:rPr>
          <w:sz w:val="24"/>
          <w:szCs w:val="24"/>
        </w:rPr>
        <w:t>, and</w:t>
      </w:r>
      <w:r w:rsidR="00FC71C4" w:rsidRPr="00355AA2">
        <w:rPr>
          <w:sz w:val="24"/>
          <w:szCs w:val="24"/>
        </w:rPr>
        <w:t xml:space="preserve"> </w:t>
      </w:r>
      <w:r w:rsidR="002509EE" w:rsidRPr="00355AA2">
        <w:rPr>
          <w:sz w:val="24"/>
          <w:szCs w:val="24"/>
        </w:rPr>
        <w:t xml:space="preserve">often has been, </w:t>
      </w:r>
      <w:r w:rsidR="00FC71C4" w:rsidRPr="00355AA2">
        <w:rPr>
          <w:sz w:val="24"/>
          <w:szCs w:val="24"/>
        </w:rPr>
        <w:t xml:space="preserve">a physical space for </w:t>
      </w:r>
      <w:r w:rsidR="003F4191">
        <w:rPr>
          <w:sz w:val="24"/>
          <w:szCs w:val="24"/>
        </w:rPr>
        <w:t xml:space="preserve">the exercise of </w:t>
      </w:r>
      <w:r w:rsidR="00FC71C4" w:rsidRPr="00355AA2">
        <w:rPr>
          <w:sz w:val="24"/>
          <w:szCs w:val="24"/>
        </w:rPr>
        <w:t>citizenship itself</w:t>
      </w:r>
      <w:r w:rsidR="00D23F89">
        <w:rPr>
          <w:sz w:val="24"/>
          <w:szCs w:val="24"/>
        </w:rPr>
        <w:t>: both as object and as subject</w:t>
      </w:r>
      <w:r w:rsidR="00FC71C4" w:rsidRPr="00355AA2">
        <w:rPr>
          <w:sz w:val="24"/>
          <w:szCs w:val="24"/>
        </w:rPr>
        <w:t xml:space="preserve">. </w:t>
      </w:r>
      <w:proofErr w:type="spellStart"/>
      <w:r w:rsidR="00FC71C4" w:rsidRPr="00355AA2">
        <w:rPr>
          <w:sz w:val="24"/>
          <w:szCs w:val="24"/>
        </w:rPr>
        <w:t>Sherilyn</w:t>
      </w:r>
      <w:proofErr w:type="spellEnd"/>
      <w:r w:rsidR="00FC71C4" w:rsidRPr="00355AA2">
        <w:rPr>
          <w:sz w:val="24"/>
          <w:szCs w:val="24"/>
        </w:rPr>
        <w:t xml:space="preserve"> </w:t>
      </w:r>
      <w:proofErr w:type="spellStart"/>
      <w:r w:rsidR="00FC71C4" w:rsidRPr="00355AA2">
        <w:rPr>
          <w:sz w:val="24"/>
          <w:szCs w:val="24"/>
        </w:rPr>
        <w:t>MacGregor</w:t>
      </w:r>
      <w:proofErr w:type="spellEnd"/>
      <w:r w:rsidR="00FC71C4" w:rsidRPr="00355AA2">
        <w:rPr>
          <w:sz w:val="24"/>
          <w:szCs w:val="24"/>
        </w:rPr>
        <w:t xml:space="preserve"> draws this conclusion from her interviews with numerous activist women:</w:t>
      </w:r>
    </w:p>
    <w:p w:rsidR="00FC71C4" w:rsidRPr="00355AA2" w:rsidRDefault="00FC71C4" w:rsidP="00A13285">
      <w:pPr>
        <w:pStyle w:val="blockquote"/>
        <w:ind w:firstLine="0"/>
        <w:rPr>
          <w:sz w:val="24"/>
          <w:szCs w:val="24"/>
        </w:rPr>
      </w:pPr>
      <w:r w:rsidRPr="00355AA2">
        <w:rPr>
          <w:sz w:val="24"/>
          <w:szCs w:val="24"/>
        </w:rPr>
        <w:t xml:space="preserve">Activism is typically associated with activities in the public domain.  Yet the association of activism and publicity (and the concomitant </w:t>
      </w:r>
      <w:proofErr w:type="spellStart"/>
      <w:r w:rsidRPr="00355AA2">
        <w:rPr>
          <w:sz w:val="24"/>
          <w:szCs w:val="24"/>
        </w:rPr>
        <w:t>depoliticization</w:t>
      </w:r>
      <w:proofErr w:type="spellEnd"/>
      <w:r w:rsidRPr="00355AA2">
        <w:rPr>
          <w:sz w:val="24"/>
          <w:szCs w:val="24"/>
        </w:rPr>
        <w:t xml:space="preserve"> of the private sphere) is challenged when women choose to regard household issues as political issues and thereby make their homes a focus for their activist </w:t>
      </w:r>
      <w:r w:rsidRPr="00355AA2">
        <w:rPr>
          <w:sz w:val="24"/>
          <w:szCs w:val="24"/>
        </w:rPr>
        <w:lastRenderedPageBreak/>
        <w:t>engagement.  Their homes are both the base for their public activism (i.e., "command central") and a place where political action and conversation takes place.</w:t>
      </w:r>
      <w:r w:rsidRPr="00A06000">
        <w:rPr>
          <w:rStyle w:val="FootnoteReference"/>
        </w:rPr>
        <w:footnoteReference w:id="57"/>
      </w:r>
    </w:p>
    <w:p w:rsidR="003F4191" w:rsidRDefault="00FC71C4" w:rsidP="00A13285">
      <w:pPr>
        <w:spacing w:after="120" w:line="240" w:lineRule="auto"/>
        <w:ind w:firstLine="0"/>
        <w:rPr>
          <w:sz w:val="24"/>
          <w:szCs w:val="24"/>
        </w:rPr>
      </w:pPr>
      <w:r w:rsidRPr="00355AA2">
        <w:rPr>
          <w:sz w:val="24"/>
          <w:szCs w:val="24"/>
        </w:rPr>
        <w:t>Here home</w:t>
      </w:r>
      <w:r w:rsidR="00D23F89">
        <w:rPr>
          <w:sz w:val="24"/>
          <w:szCs w:val="24"/>
        </w:rPr>
        <w:t xml:space="preserve"> i</w:t>
      </w:r>
      <w:r w:rsidR="00E125A2" w:rsidRPr="00355AA2">
        <w:rPr>
          <w:sz w:val="24"/>
          <w:szCs w:val="24"/>
        </w:rPr>
        <w:t>s an</w:t>
      </w:r>
      <w:r w:rsidRPr="00355AA2">
        <w:rPr>
          <w:sz w:val="24"/>
          <w:szCs w:val="24"/>
        </w:rPr>
        <w:t xml:space="preserve"> </w:t>
      </w:r>
      <w:r w:rsidR="00E125A2" w:rsidRPr="00355AA2">
        <w:rPr>
          <w:sz w:val="24"/>
          <w:szCs w:val="24"/>
        </w:rPr>
        <w:t xml:space="preserve">object </w:t>
      </w:r>
      <w:r w:rsidR="003908BF" w:rsidRPr="00355AA2">
        <w:rPr>
          <w:sz w:val="24"/>
          <w:szCs w:val="24"/>
        </w:rPr>
        <w:t>and</w:t>
      </w:r>
      <w:r w:rsidR="00E125A2" w:rsidRPr="00355AA2">
        <w:rPr>
          <w:sz w:val="24"/>
          <w:szCs w:val="24"/>
        </w:rPr>
        <w:t xml:space="preserve"> venue</w:t>
      </w:r>
      <w:r w:rsidRPr="00355AA2">
        <w:rPr>
          <w:sz w:val="24"/>
          <w:szCs w:val="24"/>
        </w:rPr>
        <w:t xml:space="preserve"> for citizenship</w:t>
      </w:r>
      <w:r w:rsidR="00275F12">
        <w:rPr>
          <w:sz w:val="24"/>
          <w:szCs w:val="24"/>
        </w:rPr>
        <w:t>. E</w:t>
      </w:r>
      <w:r w:rsidR="00DF1D84" w:rsidRPr="00355AA2">
        <w:rPr>
          <w:sz w:val="24"/>
          <w:szCs w:val="24"/>
        </w:rPr>
        <w:t xml:space="preserve">ven more significantly, </w:t>
      </w:r>
      <w:proofErr w:type="spellStart"/>
      <w:r w:rsidR="00275F12">
        <w:rPr>
          <w:sz w:val="24"/>
          <w:szCs w:val="24"/>
        </w:rPr>
        <w:t>MacGregor</w:t>
      </w:r>
      <w:proofErr w:type="spellEnd"/>
      <w:r w:rsidR="00275F12">
        <w:rPr>
          <w:sz w:val="24"/>
          <w:szCs w:val="24"/>
        </w:rPr>
        <w:t xml:space="preserve"> notes that it</w:t>
      </w:r>
      <w:r w:rsidR="00DF1D84" w:rsidRPr="00355AA2">
        <w:rPr>
          <w:sz w:val="24"/>
          <w:szCs w:val="24"/>
        </w:rPr>
        <w:t xml:space="preserve"> is</w:t>
      </w:r>
      <w:r w:rsidR="005D40D1" w:rsidRPr="00355AA2">
        <w:rPr>
          <w:sz w:val="24"/>
          <w:szCs w:val="24"/>
        </w:rPr>
        <w:t xml:space="preserve"> </w:t>
      </w:r>
      <w:r w:rsidR="00E125A2" w:rsidRPr="00355AA2">
        <w:rPr>
          <w:sz w:val="24"/>
          <w:szCs w:val="24"/>
        </w:rPr>
        <w:t xml:space="preserve">also </w:t>
      </w:r>
      <w:r w:rsidR="00DF1D84" w:rsidRPr="00355AA2">
        <w:rPr>
          <w:sz w:val="24"/>
          <w:szCs w:val="24"/>
        </w:rPr>
        <w:t>a</w:t>
      </w:r>
      <w:r w:rsidR="00E125A2" w:rsidRPr="00355AA2">
        <w:rPr>
          <w:sz w:val="24"/>
          <w:szCs w:val="24"/>
        </w:rPr>
        <w:t xml:space="preserve"> </w:t>
      </w:r>
      <w:r w:rsidR="003908BF" w:rsidRPr="00355AA2">
        <w:rPr>
          <w:i/>
          <w:sz w:val="24"/>
          <w:szCs w:val="24"/>
        </w:rPr>
        <w:t>subject</w:t>
      </w:r>
      <w:r w:rsidRPr="00355AA2">
        <w:rPr>
          <w:sz w:val="24"/>
          <w:szCs w:val="24"/>
        </w:rPr>
        <w:t xml:space="preserve"> (making political issues of household practices</w:t>
      </w:r>
      <w:r w:rsidR="005D40D1" w:rsidRPr="00355AA2">
        <w:rPr>
          <w:sz w:val="24"/>
          <w:szCs w:val="24"/>
        </w:rPr>
        <w:t xml:space="preserve"> and material conditions</w:t>
      </w:r>
      <w:r w:rsidRPr="00355AA2">
        <w:rPr>
          <w:sz w:val="24"/>
          <w:szCs w:val="24"/>
        </w:rPr>
        <w:t>)</w:t>
      </w:r>
      <w:r w:rsidR="005D40D1" w:rsidRPr="00355AA2">
        <w:rPr>
          <w:sz w:val="24"/>
          <w:szCs w:val="24"/>
        </w:rPr>
        <w:t>.</w:t>
      </w:r>
      <w:r w:rsidRPr="00355AA2">
        <w:rPr>
          <w:sz w:val="24"/>
          <w:szCs w:val="24"/>
        </w:rPr>
        <w:t xml:space="preserve"> </w:t>
      </w:r>
      <w:r w:rsidR="00275F12">
        <w:rPr>
          <w:sz w:val="24"/>
          <w:szCs w:val="24"/>
        </w:rPr>
        <w:t xml:space="preserve">Historians Vanessa Taylor and Frank </w:t>
      </w:r>
      <w:proofErr w:type="spellStart"/>
      <w:r w:rsidR="00275F12">
        <w:rPr>
          <w:sz w:val="24"/>
          <w:szCs w:val="24"/>
        </w:rPr>
        <w:t>Trentmann</w:t>
      </w:r>
      <w:proofErr w:type="spellEnd"/>
      <w:r w:rsidR="00275F12">
        <w:rPr>
          <w:sz w:val="24"/>
          <w:szCs w:val="24"/>
        </w:rPr>
        <w:t xml:space="preserve"> offer different illustrations of household practices becoming the basis for citizenship in </w:t>
      </w:r>
      <w:r w:rsidR="003F4191">
        <w:rPr>
          <w:sz w:val="24"/>
          <w:szCs w:val="24"/>
        </w:rPr>
        <w:t xml:space="preserve">Victorian </w:t>
      </w:r>
      <w:r w:rsidR="00275F12">
        <w:rPr>
          <w:sz w:val="24"/>
          <w:szCs w:val="24"/>
        </w:rPr>
        <w:t>England.  Here</w:t>
      </w:r>
      <w:r w:rsidR="003F4191">
        <w:rPr>
          <w:sz w:val="24"/>
          <w:szCs w:val="24"/>
        </w:rPr>
        <w:t>, the demand for a continuous and affordable flow of water into the home became a central political demand of increasingly well-organized citizens.</w:t>
      </w:r>
      <w:r w:rsidR="003F4191" w:rsidRPr="00A06000">
        <w:rPr>
          <w:rStyle w:val="FootnoteReference"/>
        </w:rPr>
        <w:footnoteReference w:id="58"/>
      </w:r>
      <w:r w:rsidR="003F4191">
        <w:rPr>
          <w:sz w:val="24"/>
          <w:szCs w:val="24"/>
        </w:rPr>
        <w:t xml:space="preserve">  As </w:t>
      </w:r>
      <w:r w:rsidR="00275F12">
        <w:rPr>
          <w:sz w:val="24"/>
          <w:szCs w:val="24"/>
        </w:rPr>
        <w:t>their study</w:t>
      </w:r>
      <w:r w:rsidR="003F4191">
        <w:rPr>
          <w:sz w:val="24"/>
          <w:szCs w:val="24"/>
        </w:rPr>
        <w:t xml:space="preserve"> concludes:</w:t>
      </w:r>
    </w:p>
    <w:p w:rsidR="003F4191" w:rsidRPr="005168C8" w:rsidRDefault="003F4191" w:rsidP="00A13285">
      <w:pPr>
        <w:pStyle w:val="blockquote"/>
        <w:ind w:firstLine="0"/>
        <w:rPr>
          <w:sz w:val="24"/>
          <w:szCs w:val="24"/>
        </w:rPr>
      </w:pPr>
      <w:r w:rsidRPr="005168C8">
        <w:rPr>
          <w:sz w:val="24"/>
          <w:szCs w:val="24"/>
        </w:rPr>
        <w:t>…instead of bifurcating private and public, new practices—like running a bath or turning on the tap—came to channel political energy between these worlds. Conflicts over the legitimacy and scope of ‘domestic’ use had, by the end of the nineteenth century, broadened into a politics of entitlement and provision in times of scarcity. The material politics of everyday life played a vital role in expanding the mode of politics from taxation to provision.</w:t>
      </w:r>
      <w:r w:rsidRPr="00A06000">
        <w:rPr>
          <w:rStyle w:val="FootnoteReference"/>
        </w:rPr>
        <w:footnoteReference w:id="59"/>
      </w:r>
    </w:p>
    <w:p w:rsidR="00E55BF8" w:rsidRDefault="00952CC0" w:rsidP="00A13285">
      <w:pPr>
        <w:spacing w:after="120" w:line="240" w:lineRule="auto"/>
        <w:ind w:firstLine="0"/>
        <w:rPr>
          <w:sz w:val="24"/>
          <w:szCs w:val="24"/>
        </w:rPr>
      </w:pPr>
      <w:r w:rsidRPr="00355AA2">
        <w:rPr>
          <w:sz w:val="24"/>
          <w:szCs w:val="24"/>
        </w:rPr>
        <w:t>Citizenship, here, engage</w:t>
      </w:r>
      <w:r w:rsidR="003908BF" w:rsidRPr="00355AA2">
        <w:rPr>
          <w:sz w:val="24"/>
          <w:szCs w:val="24"/>
        </w:rPr>
        <w:t>s</w:t>
      </w:r>
      <w:r w:rsidRPr="00355AA2">
        <w:rPr>
          <w:sz w:val="24"/>
          <w:szCs w:val="24"/>
        </w:rPr>
        <w:t xml:space="preserve"> the materiality of the household and emerges from our experience with </w:t>
      </w:r>
      <w:r w:rsidR="00DF0F1F">
        <w:rPr>
          <w:sz w:val="24"/>
          <w:szCs w:val="24"/>
        </w:rPr>
        <w:t>this</w:t>
      </w:r>
      <w:r w:rsidRPr="00355AA2">
        <w:rPr>
          <w:sz w:val="24"/>
          <w:szCs w:val="24"/>
        </w:rPr>
        <w:t>.</w:t>
      </w:r>
      <w:r w:rsidR="00E125A2" w:rsidRPr="00A06000">
        <w:rPr>
          <w:rStyle w:val="FootnoteReference"/>
        </w:rPr>
        <w:footnoteReference w:id="60"/>
      </w:r>
      <w:r w:rsidRPr="00355AA2">
        <w:rPr>
          <w:sz w:val="24"/>
          <w:szCs w:val="24"/>
        </w:rPr>
        <w:t xml:space="preserve">  </w:t>
      </w:r>
      <w:r w:rsidR="00E55BF8">
        <w:rPr>
          <w:sz w:val="24"/>
          <w:szCs w:val="24"/>
        </w:rPr>
        <w:t>The focus on provision</w:t>
      </w:r>
      <w:r w:rsidR="003B50E2">
        <w:rPr>
          <w:sz w:val="24"/>
          <w:szCs w:val="24"/>
        </w:rPr>
        <w:t xml:space="preserve"> </w:t>
      </w:r>
      <w:r w:rsidR="00E55BF8">
        <w:rPr>
          <w:sz w:val="24"/>
          <w:szCs w:val="24"/>
        </w:rPr>
        <w:t>reflects the transformation of a social</w:t>
      </w:r>
      <w:r w:rsidR="00024259">
        <w:rPr>
          <w:sz w:val="24"/>
          <w:szCs w:val="24"/>
        </w:rPr>
        <w:t xml:space="preserve"> and material</w:t>
      </w:r>
      <w:r w:rsidR="00E55BF8">
        <w:rPr>
          <w:sz w:val="24"/>
          <w:szCs w:val="24"/>
        </w:rPr>
        <w:t xml:space="preserve"> question into a political claim, reflecting Hanna Pitkin’s argument that social questions must not be excluded from public life, but must enter in the </w:t>
      </w:r>
      <w:r w:rsidR="003B50E2">
        <w:rPr>
          <w:sz w:val="24"/>
          <w:szCs w:val="24"/>
        </w:rPr>
        <w:t>right</w:t>
      </w:r>
      <w:r w:rsidR="00E55BF8">
        <w:rPr>
          <w:sz w:val="24"/>
          <w:szCs w:val="24"/>
        </w:rPr>
        <w:t xml:space="preserve"> “spirit.”</w:t>
      </w:r>
      <w:r w:rsidR="00E55BF8" w:rsidRPr="00A06000">
        <w:rPr>
          <w:rStyle w:val="FootnoteReference"/>
        </w:rPr>
        <w:footnoteReference w:id="61"/>
      </w:r>
      <w:r w:rsidR="00E55BF8">
        <w:rPr>
          <w:sz w:val="24"/>
          <w:szCs w:val="24"/>
        </w:rPr>
        <w:t xml:space="preserve">  </w:t>
      </w:r>
    </w:p>
    <w:p w:rsidR="00C55034" w:rsidRDefault="00E43D55" w:rsidP="00A13285">
      <w:pPr>
        <w:spacing w:after="120" w:line="240" w:lineRule="auto"/>
        <w:ind w:firstLine="0"/>
        <w:rPr>
          <w:sz w:val="24"/>
          <w:szCs w:val="24"/>
        </w:rPr>
      </w:pPr>
      <w:r w:rsidRPr="00355AA2">
        <w:rPr>
          <w:sz w:val="24"/>
          <w:szCs w:val="24"/>
        </w:rPr>
        <w:tab/>
      </w:r>
      <w:r w:rsidR="00C55034">
        <w:rPr>
          <w:sz w:val="24"/>
          <w:szCs w:val="24"/>
        </w:rPr>
        <w:t xml:space="preserve">The possibilities for politicizing the material practices of the home are more expansive than we often recognize, in part because these practices </w:t>
      </w:r>
      <w:r w:rsidR="00B66ADD">
        <w:rPr>
          <w:sz w:val="24"/>
          <w:szCs w:val="24"/>
        </w:rPr>
        <w:t xml:space="preserve">are less fixed and subject to far more change </w:t>
      </w:r>
      <w:r w:rsidR="00C55034" w:rsidRPr="00C55034">
        <w:rPr>
          <w:sz w:val="24"/>
          <w:szCs w:val="24"/>
        </w:rPr>
        <w:t xml:space="preserve">than we often recognize.  As </w:t>
      </w:r>
      <w:proofErr w:type="spellStart"/>
      <w:r w:rsidR="00C55034" w:rsidRPr="00C55034">
        <w:rPr>
          <w:sz w:val="24"/>
          <w:szCs w:val="24"/>
        </w:rPr>
        <w:t>Witold</w:t>
      </w:r>
      <w:proofErr w:type="spellEnd"/>
      <w:r w:rsidR="00C55034" w:rsidRPr="00C55034">
        <w:rPr>
          <w:sz w:val="24"/>
          <w:szCs w:val="24"/>
        </w:rPr>
        <w:t xml:space="preserve"> </w:t>
      </w:r>
      <w:proofErr w:type="spellStart"/>
      <w:r w:rsidR="00C55034" w:rsidRPr="00C55034">
        <w:rPr>
          <w:sz w:val="24"/>
          <w:szCs w:val="24"/>
        </w:rPr>
        <w:t>Rybczynski</w:t>
      </w:r>
      <w:proofErr w:type="spellEnd"/>
      <w:r w:rsidR="00C55034" w:rsidRPr="00C55034">
        <w:rPr>
          <w:sz w:val="24"/>
          <w:szCs w:val="24"/>
        </w:rPr>
        <w:t xml:space="preserve"> has observed, for example, the explicit notion of “comfort” as a goal or even criteria of the home and household does not appear to have emerged in Europe until the eighteenth century.</w:t>
      </w:r>
      <w:r w:rsidR="00C55034" w:rsidRPr="00A06000">
        <w:rPr>
          <w:rStyle w:val="FootnoteReference"/>
        </w:rPr>
        <w:footnoteReference w:id="62"/>
      </w:r>
      <w:r w:rsidR="00C55034" w:rsidRPr="00C55034">
        <w:rPr>
          <w:sz w:val="24"/>
          <w:szCs w:val="24"/>
        </w:rPr>
        <w:t xml:space="preserve">  Relatedly, the notion of the home as a private haven would have made little sense in a society where homes were frequently regarded as also places of work – as artisans or merchants, for example – and where even bourgeois houses often contained more than one family.</w:t>
      </w:r>
      <w:r w:rsidR="00C55034" w:rsidRPr="00A06000">
        <w:rPr>
          <w:rStyle w:val="FootnoteReference"/>
        </w:rPr>
        <w:footnoteReference w:id="63"/>
      </w:r>
      <w:r w:rsidR="00C55034" w:rsidRPr="00C55034">
        <w:rPr>
          <w:sz w:val="24"/>
          <w:szCs w:val="24"/>
        </w:rPr>
        <w:t xml:space="preserve">  Such dramatic changes are not just those that have taken place over centuries.  </w:t>
      </w:r>
    </w:p>
    <w:p w:rsidR="00C55034" w:rsidRPr="00C55034" w:rsidRDefault="00C55034" w:rsidP="00A13285">
      <w:pPr>
        <w:spacing w:after="120" w:line="240" w:lineRule="auto"/>
        <w:rPr>
          <w:sz w:val="24"/>
          <w:szCs w:val="24"/>
        </w:rPr>
      </w:pPr>
      <w:r w:rsidRPr="00C55034">
        <w:rPr>
          <w:sz w:val="24"/>
          <w:szCs w:val="24"/>
        </w:rPr>
        <w:t xml:space="preserve">Standards of comfort, cleanliness, and convenience have changed dramatically over just the past several decades.  </w:t>
      </w:r>
      <w:r w:rsidR="001C76EA" w:rsidRPr="001C76EA">
        <w:rPr>
          <w:sz w:val="24"/>
          <w:szCs w:val="24"/>
        </w:rPr>
        <w:t>As Elisabeth Shove makes clear, “meanings of comfort and cleanliness do not represent free-floating expressions of personal preference.”</w:t>
      </w:r>
      <w:r w:rsidR="001C76EA" w:rsidRPr="001C76EA">
        <w:rPr>
          <w:sz w:val="24"/>
          <w:szCs w:val="24"/>
          <w:vertAlign w:val="superscript"/>
        </w:rPr>
        <w:footnoteReference w:id="64"/>
      </w:r>
      <w:r w:rsidR="001C76EA" w:rsidRPr="001C76EA">
        <w:rPr>
          <w:sz w:val="24"/>
          <w:szCs w:val="24"/>
        </w:rPr>
        <w:t xml:space="preserve">  As practices, </w:t>
      </w:r>
      <w:r w:rsidR="001C76EA" w:rsidRPr="001C76EA">
        <w:rPr>
          <w:sz w:val="24"/>
          <w:szCs w:val="24"/>
        </w:rPr>
        <w:lastRenderedPageBreak/>
        <w:t>they emerge at the confluence of innovation and diffusion of technologies with evolving c</w:t>
      </w:r>
      <w:r w:rsidR="001C76EA">
        <w:rPr>
          <w:sz w:val="24"/>
          <w:szCs w:val="24"/>
        </w:rPr>
        <w:t xml:space="preserve">ultural norms regarding usage. </w:t>
      </w:r>
      <w:r w:rsidRPr="00C55034">
        <w:rPr>
          <w:sz w:val="24"/>
          <w:szCs w:val="24"/>
        </w:rPr>
        <w:t xml:space="preserve">For example, what is regarded as </w:t>
      </w:r>
      <w:r w:rsidR="00AB63E2">
        <w:rPr>
          <w:sz w:val="24"/>
          <w:szCs w:val="24"/>
        </w:rPr>
        <w:t xml:space="preserve">a </w:t>
      </w:r>
      <w:r w:rsidRPr="00C55034">
        <w:rPr>
          <w:sz w:val="24"/>
          <w:szCs w:val="24"/>
        </w:rPr>
        <w:t>“normal” and com</w:t>
      </w:r>
      <w:r w:rsidR="00AB63E2">
        <w:rPr>
          <w:sz w:val="24"/>
          <w:szCs w:val="24"/>
        </w:rPr>
        <w:t>fortable indoor air temperature</w:t>
      </w:r>
      <w:r w:rsidRPr="00C55034">
        <w:rPr>
          <w:sz w:val="24"/>
          <w:szCs w:val="24"/>
        </w:rPr>
        <w:t xml:space="preserve"> has changed radically with the rise of central heating and air-conditioning and the concomitant changes toward year-round light-weight clothing in many places.  Moreover, where diverse cultural criteria for comfort used to be commonplace, the trajectory is toward increasing uniformity.</w:t>
      </w:r>
      <w:r w:rsidRPr="00A06000">
        <w:rPr>
          <w:rStyle w:val="FootnoteReference"/>
        </w:rPr>
        <w:footnoteReference w:id="65"/>
      </w:r>
      <w:r w:rsidRPr="00C55034">
        <w:rPr>
          <w:sz w:val="24"/>
          <w:szCs w:val="24"/>
        </w:rPr>
        <w:t xml:space="preserve">  Similar accounts have been offered of dramatic change in other household practices including bathing or showering and clothes washing. Perhaps most striking in these accounts is the ways in which change has occurred not simply in terms of frequency or quantity (e.g., bathing times per week; pounds of laundry washed) but in terms of the very purposes of these activities (for example, whether clothes need to be washed in order to remove dirt or stains from the outside; sweat or bodily odors from the inside; to disinfect; or to refresh the shape or fit).</w:t>
      </w:r>
      <w:r w:rsidRPr="00A06000">
        <w:rPr>
          <w:rStyle w:val="FootnoteReference"/>
        </w:rPr>
        <w:footnoteReference w:id="66"/>
      </w:r>
      <w:r w:rsidRPr="00C55034">
        <w:rPr>
          <w:sz w:val="24"/>
          <w:szCs w:val="24"/>
        </w:rPr>
        <w:t xml:space="preserve">  Simply promoting greater resource efficiency of technology will not alter these practices, and can simply encourage more usage.  This leads Shove to conclude that cultivating a greater diversity of understandings of comfort, convenience, and cleanliness is among the most significant changes that can reduce the resource consumption of household practices.</w:t>
      </w:r>
      <w:r w:rsidRPr="00A06000">
        <w:rPr>
          <w:rStyle w:val="FootnoteReference"/>
        </w:rPr>
        <w:footnoteReference w:id="67"/>
      </w:r>
      <w:r w:rsidRPr="00C55034">
        <w:rPr>
          <w:sz w:val="24"/>
          <w:szCs w:val="24"/>
        </w:rPr>
        <w:t xml:space="preserve"> It is in this sense that “green” practices might open these up to differing perspectives on their importance, a sense that they are not “merely” private practices and choices, but ones that have important public consequences.  There is increasing empirical evidence that this is the case; that rather than thinking of practices of consumption as either equivalent to or an alternative to practices of citizenship, they are complementary.</w:t>
      </w:r>
      <w:r w:rsidRPr="00A06000">
        <w:rPr>
          <w:rStyle w:val="FootnoteReference"/>
        </w:rPr>
        <w:footnoteReference w:id="68"/>
      </w:r>
    </w:p>
    <w:p w:rsidR="00963D41" w:rsidRPr="00355AA2" w:rsidRDefault="00C55034" w:rsidP="00A13285">
      <w:pPr>
        <w:spacing w:after="120" w:line="240" w:lineRule="auto"/>
        <w:rPr>
          <w:sz w:val="24"/>
          <w:szCs w:val="24"/>
        </w:rPr>
      </w:pPr>
      <w:r>
        <w:rPr>
          <w:sz w:val="24"/>
          <w:szCs w:val="24"/>
        </w:rPr>
        <w:t>Finally, i</w:t>
      </w:r>
      <w:r w:rsidR="00E43D55" w:rsidRPr="00355AA2">
        <w:rPr>
          <w:sz w:val="24"/>
          <w:szCs w:val="24"/>
        </w:rPr>
        <w:t>t</w:t>
      </w:r>
      <w:r w:rsidR="00E62950">
        <w:rPr>
          <w:sz w:val="24"/>
          <w:szCs w:val="24"/>
        </w:rPr>
        <w:t xml:space="preserve"> is a characteristic of modern </w:t>
      </w:r>
      <w:r w:rsidR="00E43D55" w:rsidRPr="00355AA2">
        <w:rPr>
          <w:sz w:val="24"/>
          <w:szCs w:val="24"/>
        </w:rPr>
        <w:t xml:space="preserve">homes that </w:t>
      </w:r>
      <w:r w:rsidR="006F7E7D" w:rsidRPr="00355AA2">
        <w:rPr>
          <w:sz w:val="24"/>
          <w:szCs w:val="24"/>
        </w:rPr>
        <w:t xml:space="preserve">– although </w:t>
      </w:r>
      <w:r w:rsidR="00BE05ED" w:rsidRPr="00355AA2">
        <w:rPr>
          <w:sz w:val="24"/>
          <w:szCs w:val="24"/>
        </w:rPr>
        <w:t>conceived as</w:t>
      </w:r>
      <w:r w:rsidR="00A67871">
        <w:rPr>
          <w:sz w:val="24"/>
          <w:szCs w:val="24"/>
        </w:rPr>
        <w:t xml:space="preserve"> a private sphere </w:t>
      </w:r>
      <w:r w:rsidR="006F7E7D" w:rsidRPr="00355AA2">
        <w:rPr>
          <w:sz w:val="24"/>
          <w:szCs w:val="24"/>
        </w:rPr>
        <w:t>identified with materiality</w:t>
      </w:r>
      <w:r w:rsidR="00E62950">
        <w:rPr>
          <w:sz w:val="24"/>
          <w:szCs w:val="24"/>
        </w:rPr>
        <w:t xml:space="preserve"> –</w:t>
      </w:r>
      <w:r w:rsidR="006F7E7D" w:rsidRPr="00355AA2">
        <w:rPr>
          <w:sz w:val="24"/>
          <w:szCs w:val="24"/>
        </w:rPr>
        <w:t xml:space="preserve"> this very materiality is nonetheless hidden from view.  Maria </w:t>
      </w:r>
      <w:proofErr w:type="spellStart"/>
      <w:r w:rsidR="006F7E7D" w:rsidRPr="00355AA2">
        <w:rPr>
          <w:sz w:val="24"/>
          <w:szCs w:val="24"/>
        </w:rPr>
        <w:t>Kaika</w:t>
      </w:r>
      <w:proofErr w:type="spellEnd"/>
      <w:r w:rsidR="006F7E7D" w:rsidRPr="00355AA2">
        <w:rPr>
          <w:sz w:val="24"/>
          <w:szCs w:val="24"/>
        </w:rPr>
        <w:t xml:space="preserve"> </w:t>
      </w:r>
      <w:r w:rsidR="00D05A2F">
        <w:rPr>
          <w:sz w:val="24"/>
          <w:szCs w:val="24"/>
        </w:rPr>
        <w:t xml:space="preserve">has </w:t>
      </w:r>
      <w:r w:rsidR="006F45C4">
        <w:rPr>
          <w:sz w:val="24"/>
          <w:szCs w:val="24"/>
        </w:rPr>
        <w:t>shown</w:t>
      </w:r>
      <w:r w:rsidR="00F877D6">
        <w:rPr>
          <w:sz w:val="24"/>
          <w:szCs w:val="24"/>
        </w:rPr>
        <w:t xml:space="preserve"> convincingly that</w:t>
      </w:r>
      <w:r w:rsidR="006F7E7D" w:rsidRPr="00355AA2">
        <w:rPr>
          <w:sz w:val="24"/>
          <w:szCs w:val="24"/>
        </w:rPr>
        <w:t xml:space="preserve"> the modern home is conceived “through a dual practice of exclusion: through ostracizing the undesired social as well as the undesired natural elements and processes.”</w:t>
      </w:r>
      <w:r w:rsidR="006F7E7D" w:rsidRPr="00A06000">
        <w:rPr>
          <w:rStyle w:val="FootnoteReference"/>
        </w:rPr>
        <w:footnoteReference w:id="69"/>
      </w:r>
      <w:r w:rsidR="006F7E7D" w:rsidRPr="00355AA2">
        <w:rPr>
          <w:sz w:val="24"/>
          <w:szCs w:val="24"/>
        </w:rPr>
        <w:t xml:space="preserve">  Socially, she notes, homes are envisioned to exclude all undesired or uninvited others.  Naturally, they are envisioned as excluding “dust, cold or polluted air, rain, dirt, sewerage, smog, etc.”</w:t>
      </w:r>
      <w:r w:rsidR="006F7E7D" w:rsidRPr="00A06000">
        <w:rPr>
          <w:rStyle w:val="FootnoteReference"/>
        </w:rPr>
        <w:footnoteReference w:id="70"/>
      </w:r>
      <w:r w:rsidR="00FB09A5" w:rsidRPr="00355AA2">
        <w:rPr>
          <w:sz w:val="24"/>
          <w:szCs w:val="24"/>
        </w:rPr>
        <w:t xml:space="preserve">  </w:t>
      </w:r>
      <w:r w:rsidR="0048122B" w:rsidRPr="00355AA2">
        <w:rPr>
          <w:sz w:val="24"/>
          <w:szCs w:val="24"/>
        </w:rPr>
        <w:t xml:space="preserve">These material forms of exclusion – through door locks and adequate roofing, for example – are </w:t>
      </w:r>
      <w:proofErr w:type="gramStart"/>
      <w:r w:rsidR="0048122B" w:rsidRPr="00355AA2">
        <w:rPr>
          <w:sz w:val="24"/>
          <w:szCs w:val="24"/>
        </w:rPr>
        <w:t>key</w:t>
      </w:r>
      <w:proofErr w:type="gramEnd"/>
      <w:r w:rsidR="0048122B" w:rsidRPr="00355AA2">
        <w:rPr>
          <w:sz w:val="24"/>
          <w:szCs w:val="24"/>
        </w:rPr>
        <w:t xml:space="preserve"> to our very idea of home.  </w:t>
      </w:r>
      <w:r w:rsidR="00E62950">
        <w:rPr>
          <w:sz w:val="24"/>
          <w:szCs w:val="24"/>
        </w:rPr>
        <w:t>Yet the</w:t>
      </w:r>
      <w:r w:rsidR="00963D41" w:rsidRPr="00355AA2">
        <w:rPr>
          <w:sz w:val="24"/>
          <w:szCs w:val="24"/>
        </w:rPr>
        <w:t xml:space="preserve"> engineering of complex urban </w:t>
      </w:r>
      <w:r w:rsidR="006F45C4">
        <w:rPr>
          <w:sz w:val="24"/>
          <w:szCs w:val="24"/>
        </w:rPr>
        <w:t>infrastructure</w:t>
      </w:r>
      <w:r w:rsidR="00963D41" w:rsidRPr="00355AA2">
        <w:rPr>
          <w:sz w:val="24"/>
          <w:szCs w:val="24"/>
        </w:rPr>
        <w:t xml:space="preserve"> </w:t>
      </w:r>
      <w:r w:rsidR="00E62950">
        <w:rPr>
          <w:sz w:val="24"/>
          <w:szCs w:val="24"/>
        </w:rPr>
        <w:t xml:space="preserve">that distinguish modern homes are </w:t>
      </w:r>
      <w:r w:rsidR="00963D41" w:rsidRPr="00355AA2">
        <w:rPr>
          <w:sz w:val="24"/>
          <w:szCs w:val="24"/>
        </w:rPr>
        <w:t xml:space="preserve">designed to </w:t>
      </w:r>
      <w:r w:rsidR="00A36A40" w:rsidRPr="00355AA2">
        <w:rPr>
          <w:sz w:val="24"/>
          <w:szCs w:val="24"/>
        </w:rPr>
        <w:t>provide</w:t>
      </w:r>
      <w:r w:rsidR="00963D41" w:rsidRPr="00355AA2">
        <w:rPr>
          <w:sz w:val="24"/>
          <w:szCs w:val="24"/>
        </w:rPr>
        <w:t xml:space="preserve"> </w:t>
      </w:r>
      <w:r w:rsidR="00AC07FF" w:rsidRPr="00355AA2">
        <w:rPr>
          <w:sz w:val="24"/>
          <w:szCs w:val="24"/>
        </w:rPr>
        <w:t>a flow of</w:t>
      </w:r>
      <w:r w:rsidR="00001F40" w:rsidRPr="00355AA2">
        <w:rPr>
          <w:sz w:val="24"/>
          <w:szCs w:val="24"/>
        </w:rPr>
        <w:t xml:space="preserve"> </w:t>
      </w:r>
      <w:r w:rsidR="00963D41" w:rsidRPr="00355AA2">
        <w:rPr>
          <w:sz w:val="24"/>
          <w:szCs w:val="24"/>
        </w:rPr>
        <w:t>water, gas, and electricity</w:t>
      </w:r>
      <w:r w:rsidR="00A36A40" w:rsidRPr="00355AA2">
        <w:rPr>
          <w:sz w:val="24"/>
          <w:szCs w:val="24"/>
        </w:rPr>
        <w:t xml:space="preserve"> into the home</w:t>
      </w:r>
      <w:r w:rsidR="00E62950">
        <w:rPr>
          <w:sz w:val="24"/>
          <w:szCs w:val="24"/>
        </w:rPr>
        <w:t xml:space="preserve"> and</w:t>
      </w:r>
      <w:r w:rsidR="00963D41" w:rsidRPr="00355AA2">
        <w:rPr>
          <w:sz w:val="24"/>
          <w:szCs w:val="24"/>
        </w:rPr>
        <w:t xml:space="preserve"> systems of </w:t>
      </w:r>
      <w:r w:rsidR="00AC07FF" w:rsidRPr="00355AA2">
        <w:rPr>
          <w:sz w:val="24"/>
          <w:szCs w:val="24"/>
        </w:rPr>
        <w:t xml:space="preserve">sewage and </w:t>
      </w:r>
      <w:r w:rsidR="00963D41" w:rsidRPr="00355AA2">
        <w:rPr>
          <w:sz w:val="24"/>
          <w:szCs w:val="24"/>
        </w:rPr>
        <w:t xml:space="preserve">sanitation </w:t>
      </w:r>
      <w:r w:rsidR="00A36A40" w:rsidRPr="00355AA2">
        <w:rPr>
          <w:sz w:val="24"/>
          <w:szCs w:val="24"/>
        </w:rPr>
        <w:t xml:space="preserve">for the material </w:t>
      </w:r>
      <w:r w:rsidR="00A36A40" w:rsidRPr="00355AA2">
        <w:rPr>
          <w:sz w:val="24"/>
          <w:szCs w:val="24"/>
        </w:rPr>
        <w:lastRenderedPageBreak/>
        <w:t xml:space="preserve">removal of “waste” out of the home, </w:t>
      </w:r>
      <w:r w:rsidR="003F771D" w:rsidRPr="00355AA2">
        <w:rPr>
          <w:sz w:val="24"/>
          <w:szCs w:val="24"/>
        </w:rPr>
        <w:t xml:space="preserve">as well as </w:t>
      </w:r>
      <w:r w:rsidR="00963D41" w:rsidRPr="00355AA2">
        <w:rPr>
          <w:sz w:val="24"/>
          <w:szCs w:val="24"/>
        </w:rPr>
        <w:t>new standards of public health and expectations of cleanliness.</w:t>
      </w:r>
      <w:r w:rsidR="00963D41" w:rsidRPr="00A06000">
        <w:rPr>
          <w:rStyle w:val="FootnoteReference"/>
        </w:rPr>
        <w:footnoteReference w:id="71"/>
      </w:r>
      <w:r w:rsidR="00963D41" w:rsidRPr="00355AA2">
        <w:rPr>
          <w:sz w:val="24"/>
          <w:szCs w:val="24"/>
        </w:rPr>
        <w:t xml:space="preserve"> </w:t>
      </w:r>
    </w:p>
    <w:p w:rsidR="006241C2" w:rsidRDefault="00963D41" w:rsidP="00A13285">
      <w:pPr>
        <w:spacing w:after="120" w:line="240" w:lineRule="auto"/>
        <w:rPr>
          <w:sz w:val="24"/>
          <w:szCs w:val="24"/>
        </w:rPr>
      </w:pPr>
      <w:r w:rsidRPr="00355AA2">
        <w:rPr>
          <w:sz w:val="24"/>
          <w:szCs w:val="24"/>
        </w:rPr>
        <w:t>While forms of exclusion may be central to all homes, the</w:t>
      </w:r>
      <w:r w:rsidR="0048122B" w:rsidRPr="00355AA2">
        <w:rPr>
          <w:sz w:val="24"/>
          <w:szCs w:val="24"/>
        </w:rPr>
        <w:t xml:space="preserve"> deep dependence of the material construction of the home upon social and natural processes is</w:t>
      </w:r>
      <w:r w:rsidR="00ED2FE6" w:rsidRPr="00355AA2">
        <w:rPr>
          <w:sz w:val="24"/>
          <w:szCs w:val="24"/>
        </w:rPr>
        <w:t xml:space="preserve"> particularly</w:t>
      </w:r>
      <w:r w:rsidR="0048122B" w:rsidRPr="00355AA2">
        <w:rPr>
          <w:sz w:val="24"/>
          <w:szCs w:val="24"/>
        </w:rPr>
        <w:t xml:space="preserve"> obscured or hidden</w:t>
      </w:r>
      <w:r w:rsidRPr="00355AA2">
        <w:rPr>
          <w:sz w:val="24"/>
          <w:szCs w:val="24"/>
        </w:rPr>
        <w:t xml:space="preserve"> in the modern home</w:t>
      </w:r>
      <w:r w:rsidR="0048122B" w:rsidRPr="00355AA2">
        <w:rPr>
          <w:sz w:val="24"/>
          <w:szCs w:val="24"/>
        </w:rPr>
        <w:t xml:space="preserve">.  As </w:t>
      </w:r>
      <w:proofErr w:type="spellStart"/>
      <w:r w:rsidR="0048122B" w:rsidRPr="00355AA2">
        <w:rPr>
          <w:sz w:val="24"/>
          <w:szCs w:val="24"/>
        </w:rPr>
        <w:t>Kaika</w:t>
      </w:r>
      <w:proofErr w:type="spellEnd"/>
      <w:r w:rsidR="0048122B" w:rsidRPr="00355AA2">
        <w:rPr>
          <w:sz w:val="24"/>
          <w:szCs w:val="24"/>
        </w:rPr>
        <w:t xml:space="preserve"> notes, the nature that is excluded from the home is a “bad” nature – dust, dirt, </w:t>
      </w:r>
      <w:r w:rsidRPr="00355AA2">
        <w:rPr>
          <w:sz w:val="24"/>
          <w:szCs w:val="24"/>
        </w:rPr>
        <w:t>insects, rain, and cold</w:t>
      </w:r>
      <w:r w:rsidR="0048122B" w:rsidRPr="00355AA2">
        <w:rPr>
          <w:sz w:val="24"/>
          <w:szCs w:val="24"/>
        </w:rPr>
        <w:t xml:space="preserve">.  Yet the home is reliant upon the inclusion of a “good” nature – clean water, fresh air, various forms of energy.  </w:t>
      </w:r>
      <w:proofErr w:type="spellStart"/>
      <w:r w:rsidRPr="00355AA2">
        <w:rPr>
          <w:sz w:val="24"/>
          <w:szCs w:val="24"/>
        </w:rPr>
        <w:t>Kaika</w:t>
      </w:r>
      <w:proofErr w:type="spellEnd"/>
      <w:r w:rsidR="0048122B" w:rsidRPr="00355AA2">
        <w:rPr>
          <w:sz w:val="24"/>
          <w:szCs w:val="24"/>
        </w:rPr>
        <w:t xml:space="preserve"> observes, “the function of the modern home as safe and autonomous is predicated not only upon the exclusion of bad nature from its premises, but also upon the visual exclusion of the networks and social relations that produce and transport good</w:t>
      </w:r>
      <w:r w:rsidRPr="00355AA2">
        <w:rPr>
          <w:sz w:val="24"/>
          <w:szCs w:val="24"/>
        </w:rPr>
        <w:t xml:space="preserve"> </w:t>
      </w:r>
      <w:r w:rsidR="0048122B" w:rsidRPr="00355AA2">
        <w:rPr>
          <w:sz w:val="24"/>
          <w:szCs w:val="24"/>
        </w:rPr>
        <w:t>nature into the domestic and pump bad nature back into the urban domain…”</w:t>
      </w:r>
      <w:r w:rsidR="0048122B" w:rsidRPr="00A06000">
        <w:rPr>
          <w:rStyle w:val="FootnoteReference"/>
        </w:rPr>
        <w:footnoteReference w:id="72"/>
      </w:r>
      <w:r w:rsidR="003B7416" w:rsidRPr="00355AA2">
        <w:rPr>
          <w:sz w:val="24"/>
          <w:szCs w:val="24"/>
        </w:rPr>
        <w:t xml:space="preserve">  While we conceive the home as a boundary between inside and outside, the often unacknowledged </w:t>
      </w:r>
      <w:r w:rsidR="006241C2">
        <w:rPr>
          <w:sz w:val="24"/>
          <w:szCs w:val="24"/>
        </w:rPr>
        <w:t>reality</w:t>
      </w:r>
      <w:r w:rsidR="003B7416" w:rsidRPr="00355AA2">
        <w:rPr>
          <w:sz w:val="24"/>
          <w:szCs w:val="24"/>
        </w:rPr>
        <w:t xml:space="preserve"> is that it is “a porous membrane” that controls the interaction between these two.</w:t>
      </w:r>
      <w:r w:rsidR="003B7416" w:rsidRPr="00A06000">
        <w:rPr>
          <w:rStyle w:val="FootnoteReference"/>
        </w:rPr>
        <w:footnoteReference w:id="73"/>
      </w:r>
      <w:r w:rsidR="003B7416" w:rsidRPr="00355AA2">
        <w:rPr>
          <w:sz w:val="24"/>
          <w:szCs w:val="24"/>
        </w:rPr>
        <w:t xml:space="preserve">  Indeed for many, feeling at home relies upon "remaining unfamiliar with the socio-natural networks that produce domesticity…"</w:t>
      </w:r>
      <w:r w:rsidR="003B7416" w:rsidRPr="00A06000">
        <w:rPr>
          <w:rStyle w:val="FootnoteReference"/>
        </w:rPr>
        <w:footnoteReference w:id="74"/>
      </w:r>
      <w:r w:rsidR="003B7416" w:rsidRPr="00355AA2">
        <w:rPr>
          <w:sz w:val="24"/>
          <w:szCs w:val="24"/>
        </w:rPr>
        <w:t xml:space="preserve">  </w:t>
      </w:r>
    </w:p>
    <w:p w:rsidR="003B7416" w:rsidRPr="00355AA2" w:rsidRDefault="003B7416" w:rsidP="00A13285">
      <w:pPr>
        <w:spacing w:after="120" w:line="240" w:lineRule="auto"/>
        <w:rPr>
          <w:sz w:val="24"/>
          <w:szCs w:val="24"/>
        </w:rPr>
      </w:pPr>
      <w:r w:rsidRPr="00355AA2">
        <w:rPr>
          <w:sz w:val="24"/>
          <w:szCs w:val="24"/>
        </w:rPr>
        <w:t xml:space="preserve">In </w:t>
      </w:r>
      <w:r w:rsidRPr="00355AA2">
        <w:rPr>
          <w:i/>
          <w:sz w:val="24"/>
          <w:szCs w:val="24"/>
        </w:rPr>
        <w:t>this</w:t>
      </w:r>
      <w:r w:rsidRPr="00355AA2">
        <w:rPr>
          <w:sz w:val="24"/>
          <w:szCs w:val="24"/>
        </w:rPr>
        <w:t xml:space="preserve"> context, explicitly attending to these socio-natural networks – whether by choice or necessity </w:t>
      </w:r>
      <w:r w:rsidR="00F44201" w:rsidRPr="00355AA2">
        <w:rPr>
          <w:sz w:val="24"/>
          <w:szCs w:val="24"/>
        </w:rPr>
        <w:t xml:space="preserve">– </w:t>
      </w:r>
      <w:r w:rsidR="00D93711">
        <w:rPr>
          <w:sz w:val="24"/>
          <w:szCs w:val="24"/>
        </w:rPr>
        <w:t>can be the basis for</w:t>
      </w:r>
      <w:r w:rsidRPr="00355AA2">
        <w:rPr>
          <w:sz w:val="24"/>
          <w:szCs w:val="24"/>
        </w:rPr>
        <w:t xml:space="preserve"> a citizenly engagement </w:t>
      </w:r>
      <w:r w:rsidR="004A1FBC" w:rsidRPr="00355AA2">
        <w:rPr>
          <w:sz w:val="24"/>
          <w:szCs w:val="24"/>
        </w:rPr>
        <w:t xml:space="preserve">and participation </w:t>
      </w:r>
      <w:r w:rsidRPr="00355AA2">
        <w:rPr>
          <w:sz w:val="24"/>
          <w:szCs w:val="24"/>
        </w:rPr>
        <w:t xml:space="preserve">with the world in which the home is situated.  </w:t>
      </w:r>
      <w:proofErr w:type="spellStart"/>
      <w:r w:rsidRPr="00355AA2">
        <w:rPr>
          <w:sz w:val="24"/>
          <w:szCs w:val="24"/>
        </w:rPr>
        <w:t>Kaika</w:t>
      </w:r>
      <w:proofErr w:type="spellEnd"/>
      <w:r w:rsidRPr="00355AA2">
        <w:rPr>
          <w:sz w:val="24"/>
          <w:szCs w:val="24"/>
        </w:rPr>
        <w:t xml:space="preserve"> concludes, </w:t>
      </w:r>
    </w:p>
    <w:p w:rsidR="003B7416" w:rsidRPr="00355AA2" w:rsidRDefault="003B7416" w:rsidP="00A13285">
      <w:pPr>
        <w:pStyle w:val="blockquote"/>
        <w:ind w:firstLine="0"/>
        <w:rPr>
          <w:sz w:val="24"/>
          <w:szCs w:val="24"/>
        </w:rPr>
      </w:pPr>
      <w:r w:rsidRPr="00355AA2">
        <w:rPr>
          <w:sz w:val="24"/>
          <w:szCs w:val="24"/>
        </w:rPr>
        <w:t>Demonstrating the ideological construction of private spaces as autonomous and disconnected and insisting on their material and social connections calls for an end to individualization, fragmentation and disconnectedness that are looked for within the</w:t>
      </w:r>
      <w:r w:rsidR="00BB65EF" w:rsidRPr="00355AA2">
        <w:rPr>
          <w:sz w:val="24"/>
          <w:szCs w:val="24"/>
        </w:rPr>
        <w:t xml:space="preserve"> </w:t>
      </w:r>
      <w:r w:rsidRPr="00355AA2">
        <w:rPr>
          <w:sz w:val="24"/>
          <w:szCs w:val="24"/>
        </w:rPr>
        <w:t>bliss of one's home. It calls for engaging in political and social action, which is, almost</w:t>
      </w:r>
      <w:r w:rsidR="00BB65EF" w:rsidRPr="00355AA2">
        <w:rPr>
          <w:sz w:val="24"/>
          <w:szCs w:val="24"/>
        </w:rPr>
        <w:t xml:space="preserve"> </w:t>
      </w:r>
      <w:r w:rsidRPr="00355AA2">
        <w:rPr>
          <w:sz w:val="24"/>
          <w:szCs w:val="24"/>
        </w:rPr>
        <w:t>invariably, decidedly public.</w:t>
      </w:r>
      <w:r w:rsidR="00BB65EF" w:rsidRPr="00A06000">
        <w:rPr>
          <w:rStyle w:val="FootnoteReference"/>
        </w:rPr>
        <w:footnoteReference w:id="75"/>
      </w:r>
    </w:p>
    <w:p w:rsidR="007B4C8C" w:rsidRPr="00355AA2" w:rsidRDefault="00F44201" w:rsidP="00A13285">
      <w:pPr>
        <w:spacing w:after="120" w:line="240" w:lineRule="auto"/>
        <w:ind w:firstLine="0"/>
        <w:rPr>
          <w:sz w:val="24"/>
          <w:szCs w:val="24"/>
        </w:rPr>
      </w:pPr>
      <w:r w:rsidRPr="00355AA2">
        <w:rPr>
          <w:sz w:val="24"/>
          <w:szCs w:val="24"/>
        </w:rPr>
        <w:t>T</w:t>
      </w:r>
      <w:r w:rsidR="00C01F6C" w:rsidRPr="00355AA2">
        <w:rPr>
          <w:sz w:val="24"/>
          <w:szCs w:val="24"/>
        </w:rPr>
        <w:t xml:space="preserve">he awareness cultivated by attention to the materiality of the home – how and how much energy and water is consumed, and for what purposes; what products are brought into the home and how much of it is re-generated as waste; how this waste is disposed of – can lead not only to changes in household practices, but the sort of intimate and experiential understanding of these material flows that </w:t>
      </w:r>
      <w:r w:rsidRPr="00355AA2">
        <w:rPr>
          <w:sz w:val="24"/>
          <w:szCs w:val="24"/>
        </w:rPr>
        <w:t>can</w:t>
      </w:r>
      <w:r w:rsidR="00C01F6C" w:rsidRPr="00355AA2">
        <w:rPr>
          <w:sz w:val="24"/>
          <w:szCs w:val="24"/>
        </w:rPr>
        <w:t xml:space="preserve"> </w:t>
      </w:r>
      <w:r w:rsidR="006241C2">
        <w:rPr>
          <w:sz w:val="24"/>
          <w:szCs w:val="24"/>
        </w:rPr>
        <w:t xml:space="preserve">inform and </w:t>
      </w:r>
      <w:r w:rsidR="00C01F6C" w:rsidRPr="00355AA2">
        <w:rPr>
          <w:sz w:val="24"/>
          <w:szCs w:val="24"/>
        </w:rPr>
        <w:t xml:space="preserve">prompt broader forms of collective action.  </w:t>
      </w:r>
    </w:p>
    <w:p w:rsidR="00E413DB" w:rsidRPr="00E413DB" w:rsidRDefault="00DF5C28" w:rsidP="00A13285">
      <w:pPr>
        <w:spacing w:after="120" w:line="240" w:lineRule="auto"/>
        <w:ind w:firstLine="0"/>
        <w:rPr>
          <w:sz w:val="24"/>
          <w:szCs w:val="24"/>
        </w:rPr>
      </w:pPr>
      <w:r w:rsidRPr="00355AA2">
        <w:rPr>
          <w:sz w:val="24"/>
          <w:szCs w:val="24"/>
        </w:rPr>
        <w:tab/>
      </w:r>
      <w:r w:rsidR="00F466EB">
        <w:rPr>
          <w:sz w:val="24"/>
          <w:szCs w:val="24"/>
        </w:rPr>
        <w:t>None of this makes sense unless it is clear that</w:t>
      </w:r>
      <w:r w:rsidR="00836BB7">
        <w:rPr>
          <w:sz w:val="24"/>
          <w:szCs w:val="24"/>
        </w:rPr>
        <w:t xml:space="preserve"> the</w:t>
      </w:r>
      <w:r w:rsidR="00400C03">
        <w:rPr>
          <w:sz w:val="24"/>
          <w:szCs w:val="24"/>
        </w:rPr>
        <w:t xml:space="preserve"> everyday</w:t>
      </w:r>
      <w:r w:rsidR="00836BB7">
        <w:rPr>
          <w:sz w:val="24"/>
          <w:szCs w:val="24"/>
        </w:rPr>
        <w:t xml:space="preserve"> </w:t>
      </w:r>
      <w:r w:rsidR="00CB1D7C">
        <w:rPr>
          <w:sz w:val="24"/>
          <w:szCs w:val="24"/>
        </w:rPr>
        <w:t>material practices</w:t>
      </w:r>
      <w:r w:rsidR="00836BB7">
        <w:rPr>
          <w:sz w:val="24"/>
          <w:szCs w:val="24"/>
        </w:rPr>
        <w:t xml:space="preserve"> of the household – care, provisioning, social reproduction – cannot be reduced to the r</w:t>
      </w:r>
      <w:r w:rsidR="00CB1D7C">
        <w:rPr>
          <w:sz w:val="24"/>
          <w:szCs w:val="24"/>
        </w:rPr>
        <w:t>ole of a</w:t>
      </w:r>
      <w:r w:rsidRPr="00355AA2">
        <w:rPr>
          <w:sz w:val="24"/>
          <w:szCs w:val="24"/>
        </w:rPr>
        <w:t xml:space="preserve"> consumer</w:t>
      </w:r>
      <w:r w:rsidR="00CB1D7C">
        <w:rPr>
          <w:sz w:val="24"/>
          <w:szCs w:val="24"/>
        </w:rPr>
        <w:t>.</w:t>
      </w:r>
      <w:r w:rsidR="00CB1D7C">
        <w:rPr>
          <w:rStyle w:val="FootnoteReference"/>
          <w:sz w:val="24"/>
          <w:szCs w:val="24"/>
        </w:rPr>
        <w:footnoteReference w:id="76"/>
      </w:r>
      <w:r w:rsidR="00CB1D7C">
        <w:rPr>
          <w:sz w:val="24"/>
          <w:szCs w:val="24"/>
        </w:rPr>
        <w:t xml:space="preserve"> It </w:t>
      </w:r>
      <w:r w:rsidR="00F816EC">
        <w:rPr>
          <w:sz w:val="24"/>
          <w:szCs w:val="24"/>
        </w:rPr>
        <w:t xml:space="preserve">can be </w:t>
      </w:r>
      <w:r w:rsidR="00CB1D7C">
        <w:rPr>
          <w:sz w:val="24"/>
          <w:szCs w:val="24"/>
        </w:rPr>
        <w:t>the basis for</w:t>
      </w:r>
      <w:r w:rsidR="00071097">
        <w:rPr>
          <w:sz w:val="24"/>
          <w:szCs w:val="24"/>
        </w:rPr>
        <w:t xml:space="preserve"> collaborative </w:t>
      </w:r>
      <w:r w:rsidR="00F816EC">
        <w:rPr>
          <w:sz w:val="24"/>
          <w:szCs w:val="24"/>
        </w:rPr>
        <w:t xml:space="preserve">action rather than </w:t>
      </w:r>
      <w:r w:rsidR="00F466EB">
        <w:rPr>
          <w:sz w:val="24"/>
          <w:szCs w:val="24"/>
        </w:rPr>
        <w:t>merely</w:t>
      </w:r>
      <w:r w:rsidR="00F816EC">
        <w:rPr>
          <w:sz w:val="24"/>
          <w:szCs w:val="24"/>
        </w:rPr>
        <w:t xml:space="preserve"> </w:t>
      </w:r>
      <w:r w:rsidR="00CB1D7C">
        <w:rPr>
          <w:sz w:val="24"/>
          <w:szCs w:val="24"/>
        </w:rPr>
        <w:t>the expression of individual consumer preferences</w:t>
      </w:r>
      <w:r w:rsidRPr="00355AA2">
        <w:rPr>
          <w:sz w:val="24"/>
          <w:szCs w:val="24"/>
        </w:rPr>
        <w:t xml:space="preserve">.  </w:t>
      </w:r>
      <w:r w:rsidR="008F19F1">
        <w:rPr>
          <w:sz w:val="24"/>
          <w:szCs w:val="24"/>
        </w:rPr>
        <w:t>While the former create opportunities for easing and improving the quality of household practices and so everyday life, the latter entail choices that</w:t>
      </w:r>
      <w:r w:rsidR="008939D4">
        <w:rPr>
          <w:sz w:val="24"/>
          <w:szCs w:val="24"/>
        </w:rPr>
        <w:t xml:space="preserve"> aim</w:t>
      </w:r>
      <w:r w:rsidRPr="00355AA2">
        <w:rPr>
          <w:sz w:val="24"/>
          <w:szCs w:val="24"/>
        </w:rPr>
        <w:t xml:space="preserve"> </w:t>
      </w:r>
      <w:r w:rsidR="008F19F1">
        <w:rPr>
          <w:sz w:val="24"/>
          <w:szCs w:val="24"/>
        </w:rPr>
        <w:t xml:space="preserve">primarily </w:t>
      </w:r>
      <w:r w:rsidR="008939D4">
        <w:rPr>
          <w:sz w:val="24"/>
          <w:szCs w:val="24"/>
        </w:rPr>
        <w:t>to assuage</w:t>
      </w:r>
      <w:r w:rsidRPr="00355AA2">
        <w:rPr>
          <w:sz w:val="24"/>
          <w:szCs w:val="24"/>
        </w:rPr>
        <w:t xml:space="preserve"> </w:t>
      </w:r>
      <w:r w:rsidR="00F44201" w:rsidRPr="00355AA2">
        <w:rPr>
          <w:sz w:val="24"/>
          <w:szCs w:val="24"/>
        </w:rPr>
        <w:t>a</w:t>
      </w:r>
      <w:r w:rsidRPr="00355AA2">
        <w:rPr>
          <w:sz w:val="24"/>
          <w:szCs w:val="24"/>
        </w:rPr>
        <w:t xml:space="preserve"> sense of</w:t>
      </w:r>
      <w:r w:rsidR="00CB1D7C">
        <w:rPr>
          <w:sz w:val="24"/>
          <w:szCs w:val="24"/>
        </w:rPr>
        <w:t xml:space="preserve"> individual</w:t>
      </w:r>
      <w:r w:rsidR="008F19F1">
        <w:rPr>
          <w:sz w:val="24"/>
          <w:szCs w:val="24"/>
        </w:rPr>
        <w:t xml:space="preserve"> guilt or responsibility.</w:t>
      </w:r>
      <w:r w:rsidRPr="00355AA2">
        <w:rPr>
          <w:sz w:val="24"/>
          <w:szCs w:val="24"/>
        </w:rPr>
        <w:t xml:space="preserve"> </w:t>
      </w:r>
      <w:r w:rsidR="000F32C4" w:rsidRPr="00355AA2">
        <w:rPr>
          <w:sz w:val="24"/>
          <w:szCs w:val="24"/>
        </w:rPr>
        <w:t xml:space="preserve">The </w:t>
      </w:r>
      <w:r w:rsidR="002B506A" w:rsidRPr="00355AA2">
        <w:rPr>
          <w:sz w:val="24"/>
          <w:szCs w:val="24"/>
        </w:rPr>
        <w:t xml:space="preserve">mere </w:t>
      </w:r>
      <w:r w:rsidR="000F32C4" w:rsidRPr="00355AA2">
        <w:rPr>
          <w:sz w:val="24"/>
          <w:szCs w:val="24"/>
        </w:rPr>
        <w:t>aggregation</w:t>
      </w:r>
      <w:r w:rsidRPr="00355AA2">
        <w:rPr>
          <w:sz w:val="24"/>
          <w:szCs w:val="24"/>
        </w:rPr>
        <w:t xml:space="preserve"> of </w:t>
      </w:r>
      <w:r w:rsidRPr="00355AA2">
        <w:rPr>
          <w:sz w:val="24"/>
          <w:szCs w:val="24"/>
        </w:rPr>
        <w:lastRenderedPageBreak/>
        <w:t xml:space="preserve">“simple” individual acts by self-conscious consumers will not </w:t>
      </w:r>
      <w:r w:rsidR="001E0A42" w:rsidRPr="00355AA2">
        <w:rPr>
          <w:sz w:val="24"/>
          <w:szCs w:val="24"/>
        </w:rPr>
        <w:t>affect</w:t>
      </w:r>
      <w:r w:rsidRPr="00355AA2">
        <w:rPr>
          <w:sz w:val="24"/>
          <w:szCs w:val="24"/>
        </w:rPr>
        <w:t xml:space="preserve"> the large scale social changes necessary</w:t>
      </w:r>
      <w:r w:rsidR="006241C2">
        <w:rPr>
          <w:sz w:val="24"/>
          <w:szCs w:val="24"/>
        </w:rPr>
        <w:t xml:space="preserve"> and relabeling this as citizenship does nothing to change this</w:t>
      </w:r>
      <w:r w:rsidRPr="00355AA2">
        <w:rPr>
          <w:sz w:val="24"/>
          <w:szCs w:val="24"/>
        </w:rPr>
        <w:t>.</w:t>
      </w:r>
      <w:r w:rsidR="008F19F1">
        <w:t xml:space="preserve"> </w:t>
      </w:r>
      <w:r w:rsidR="004F1F1A" w:rsidRPr="00355AA2">
        <w:rPr>
          <w:sz w:val="24"/>
          <w:szCs w:val="24"/>
        </w:rPr>
        <w:t xml:space="preserve"> However, </w:t>
      </w:r>
      <w:r w:rsidR="001C40C0" w:rsidRPr="00355AA2">
        <w:rPr>
          <w:sz w:val="24"/>
          <w:szCs w:val="24"/>
        </w:rPr>
        <w:t>if instead</w:t>
      </w:r>
      <w:r w:rsidR="004F1F1A" w:rsidRPr="00355AA2">
        <w:rPr>
          <w:sz w:val="24"/>
          <w:szCs w:val="24"/>
        </w:rPr>
        <w:t xml:space="preserve"> </w:t>
      </w:r>
      <w:r w:rsidR="001C40C0" w:rsidRPr="00355AA2">
        <w:rPr>
          <w:sz w:val="24"/>
          <w:szCs w:val="24"/>
        </w:rPr>
        <w:t xml:space="preserve">we </w:t>
      </w:r>
      <w:r w:rsidR="004F1F1A" w:rsidRPr="00355AA2">
        <w:rPr>
          <w:sz w:val="24"/>
          <w:szCs w:val="24"/>
        </w:rPr>
        <w:t xml:space="preserve">see the </w:t>
      </w:r>
      <w:r w:rsidR="00DC043B" w:rsidRPr="00355AA2">
        <w:rPr>
          <w:sz w:val="24"/>
          <w:szCs w:val="24"/>
        </w:rPr>
        <w:t xml:space="preserve">ongoing </w:t>
      </w:r>
      <w:r w:rsidR="004F1F1A" w:rsidRPr="00355AA2">
        <w:rPr>
          <w:sz w:val="24"/>
          <w:szCs w:val="24"/>
        </w:rPr>
        <w:t>engagement with “green</w:t>
      </w:r>
      <w:r w:rsidR="00D3645D">
        <w:rPr>
          <w:sz w:val="24"/>
          <w:szCs w:val="24"/>
        </w:rPr>
        <w:t>ing</w:t>
      </w:r>
      <w:r w:rsidR="004F1F1A" w:rsidRPr="00355AA2">
        <w:rPr>
          <w:sz w:val="24"/>
          <w:szCs w:val="24"/>
        </w:rPr>
        <w:t xml:space="preserve">” </w:t>
      </w:r>
      <w:r w:rsidR="00D3645D">
        <w:rPr>
          <w:sz w:val="24"/>
          <w:szCs w:val="24"/>
        </w:rPr>
        <w:t>the home</w:t>
      </w:r>
      <w:r w:rsidR="004F1F1A" w:rsidRPr="00355AA2">
        <w:rPr>
          <w:sz w:val="24"/>
          <w:szCs w:val="24"/>
        </w:rPr>
        <w:t xml:space="preserve"> as challenging the sense of inevitability and naturalism of </w:t>
      </w:r>
      <w:r w:rsidR="00D3645D">
        <w:rPr>
          <w:sz w:val="24"/>
          <w:szCs w:val="24"/>
        </w:rPr>
        <w:t>household</w:t>
      </w:r>
      <w:r w:rsidR="004F1F1A" w:rsidRPr="00355AA2">
        <w:rPr>
          <w:sz w:val="24"/>
          <w:szCs w:val="24"/>
        </w:rPr>
        <w:t xml:space="preserve"> practices,</w:t>
      </w:r>
      <w:r w:rsidR="001C40C0" w:rsidRPr="00355AA2">
        <w:rPr>
          <w:sz w:val="24"/>
          <w:szCs w:val="24"/>
        </w:rPr>
        <w:t xml:space="preserve"> then </w:t>
      </w:r>
      <w:r w:rsidR="00D3645D">
        <w:rPr>
          <w:sz w:val="24"/>
          <w:szCs w:val="24"/>
        </w:rPr>
        <w:t>they can play a significant</w:t>
      </w:r>
      <w:r w:rsidR="001C40C0" w:rsidRPr="00355AA2">
        <w:rPr>
          <w:sz w:val="24"/>
          <w:szCs w:val="24"/>
        </w:rPr>
        <w:t xml:space="preserve"> role in</w:t>
      </w:r>
      <w:r w:rsidR="004F1F1A" w:rsidRPr="00355AA2">
        <w:rPr>
          <w:sz w:val="24"/>
          <w:szCs w:val="24"/>
        </w:rPr>
        <w:t xml:space="preserve"> foregrounding and thus politicizing </w:t>
      </w:r>
      <w:r w:rsidR="00B95A5C">
        <w:rPr>
          <w:sz w:val="24"/>
          <w:szCs w:val="24"/>
        </w:rPr>
        <w:t xml:space="preserve">and restructuring </w:t>
      </w:r>
      <w:r w:rsidR="004F1F1A" w:rsidRPr="00355AA2">
        <w:rPr>
          <w:sz w:val="24"/>
          <w:szCs w:val="24"/>
        </w:rPr>
        <w:t xml:space="preserve">these everyday material </w:t>
      </w:r>
      <w:r w:rsidR="001C40C0" w:rsidRPr="00355AA2">
        <w:rPr>
          <w:sz w:val="24"/>
          <w:szCs w:val="24"/>
        </w:rPr>
        <w:t xml:space="preserve">relations.  </w:t>
      </w:r>
      <w:r w:rsidR="00E413DB" w:rsidRPr="00E413DB">
        <w:rPr>
          <w:sz w:val="24"/>
          <w:szCs w:val="24"/>
        </w:rPr>
        <w:t xml:space="preserve">Moreover, by recognizing home dwelling as a practice, we can understand it in ways that transcends the individualism of a purely market-based, consumer-oriented response. </w:t>
      </w:r>
      <w:r w:rsidR="00E413DB">
        <w:rPr>
          <w:sz w:val="24"/>
          <w:szCs w:val="24"/>
        </w:rPr>
        <w:t>This opens up new opportunities for these practices to become the subject of collaborative or collective citizen attention and action.</w:t>
      </w:r>
      <w:r w:rsidR="00216FCC">
        <w:rPr>
          <w:sz w:val="24"/>
          <w:szCs w:val="24"/>
        </w:rPr>
        <w:t xml:space="preserve"> </w:t>
      </w:r>
    </w:p>
    <w:p w:rsidR="00386294" w:rsidRDefault="00A97453" w:rsidP="00A13285">
      <w:pPr>
        <w:spacing w:after="120" w:line="240" w:lineRule="auto"/>
        <w:rPr>
          <w:sz w:val="24"/>
          <w:szCs w:val="24"/>
        </w:rPr>
      </w:pPr>
      <w:r>
        <w:rPr>
          <w:sz w:val="24"/>
          <w:szCs w:val="24"/>
        </w:rPr>
        <w:t>In sum, t</w:t>
      </w:r>
      <w:r w:rsidR="0032502B" w:rsidRPr="00355AA2">
        <w:rPr>
          <w:sz w:val="24"/>
          <w:szCs w:val="24"/>
        </w:rPr>
        <w:t>he materiality of home, in all the manifestations discussed here, shapes, constrains, and enables the participation and citizenship of household members</w:t>
      </w:r>
      <w:r>
        <w:rPr>
          <w:sz w:val="24"/>
          <w:szCs w:val="24"/>
        </w:rPr>
        <w:t>.</w:t>
      </w:r>
      <w:r w:rsidR="0032502B" w:rsidRPr="00355AA2">
        <w:rPr>
          <w:sz w:val="24"/>
          <w:szCs w:val="24"/>
        </w:rPr>
        <w:t xml:space="preserve"> While authors like Winner, Maniates, and Luke are quite right to </w:t>
      </w:r>
      <w:r w:rsidR="003254C7">
        <w:rPr>
          <w:sz w:val="24"/>
          <w:szCs w:val="24"/>
        </w:rPr>
        <w:t>warn</w:t>
      </w:r>
      <w:r w:rsidR="0032502B" w:rsidRPr="00355AA2">
        <w:rPr>
          <w:sz w:val="24"/>
          <w:szCs w:val="24"/>
        </w:rPr>
        <w:t xml:space="preserve"> against regarding </w:t>
      </w:r>
      <w:r w:rsidR="003254C7">
        <w:rPr>
          <w:sz w:val="24"/>
          <w:szCs w:val="24"/>
        </w:rPr>
        <w:t>individual consumer choices</w:t>
      </w:r>
      <w:r w:rsidR="0032502B" w:rsidRPr="00355AA2">
        <w:rPr>
          <w:sz w:val="24"/>
          <w:szCs w:val="24"/>
        </w:rPr>
        <w:t xml:space="preserve"> as a viable </w:t>
      </w:r>
      <w:r w:rsidR="00E727F1">
        <w:rPr>
          <w:sz w:val="24"/>
          <w:szCs w:val="24"/>
        </w:rPr>
        <w:t xml:space="preserve">basis for constructive </w:t>
      </w:r>
      <w:r w:rsidR="0032502B" w:rsidRPr="00355AA2">
        <w:rPr>
          <w:sz w:val="24"/>
          <w:szCs w:val="24"/>
        </w:rPr>
        <w:t xml:space="preserve">social change, </w:t>
      </w:r>
      <w:r w:rsidR="003254C7">
        <w:rPr>
          <w:sz w:val="24"/>
          <w:szCs w:val="24"/>
        </w:rPr>
        <w:t>we are not thereby entitled to ignore the ways in which the supposedly private household both shapes and constrains the opportunity for public citizen action</w:t>
      </w:r>
      <w:r w:rsidR="0032502B" w:rsidRPr="00355AA2">
        <w:rPr>
          <w:sz w:val="24"/>
          <w:szCs w:val="24"/>
        </w:rPr>
        <w:t>.  Citizenship is at stake in the home, whether “green” practices are employed or not.  By recognizing this we can imagine and create opportunities for citizens</w:t>
      </w:r>
      <w:r w:rsidR="00E727F1">
        <w:rPr>
          <w:sz w:val="24"/>
          <w:szCs w:val="24"/>
        </w:rPr>
        <w:t xml:space="preserve"> to politicize home practices and thereby explore and experiment with new ways of living well</w:t>
      </w:r>
      <w:r w:rsidR="0032502B" w:rsidRPr="00355AA2">
        <w:rPr>
          <w:sz w:val="24"/>
          <w:szCs w:val="24"/>
        </w:rPr>
        <w:t>.</w:t>
      </w:r>
      <w:r w:rsidR="00386294">
        <w:rPr>
          <w:sz w:val="24"/>
          <w:szCs w:val="24"/>
        </w:rPr>
        <w:br w:type="page"/>
      </w:r>
    </w:p>
    <w:p w:rsidR="006F0C3F" w:rsidRDefault="00386294" w:rsidP="00676D4A">
      <w:pPr>
        <w:spacing w:line="240" w:lineRule="auto"/>
        <w:ind w:firstLine="0"/>
        <w:rPr>
          <w:b/>
          <w:sz w:val="24"/>
          <w:szCs w:val="24"/>
        </w:rPr>
      </w:pPr>
      <w:r w:rsidRPr="00386294">
        <w:rPr>
          <w:b/>
          <w:sz w:val="24"/>
          <w:szCs w:val="24"/>
        </w:rPr>
        <w:lastRenderedPageBreak/>
        <w:t>Reference</w:t>
      </w:r>
      <w:r w:rsidR="00092D3F">
        <w:rPr>
          <w:b/>
          <w:sz w:val="24"/>
          <w:szCs w:val="24"/>
        </w:rPr>
        <w:t>s</w:t>
      </w:r>
    </w:p>
    <w:p w:rsidR="00FA32AB" w:rsidRDefault="00FA32AB" w:rsidP="00676D4A">
      <w:pPr>
        <w:pStyle w:val="Bibliography"/>
      </w:pPr>
      <w:proofErr w:type="gramStart"/>
      <w:r>
        <w:t>“About CCAT | CCAT.”</w:t>
      </w:r>
      <w:proofErr w:type="gramEnd"/>
      <w:r>
        <w:t xml:space="preserve"> Accessed March 8, 2013. http://www.ccathsu.com/about.</w:t>
      </w:r>
    </w:p>
    <w:p w:rsidR="00FA32AB" w:rsidRDefault="00FA32AB" w:rsidP="00676D4A">
      <w:pPr>
        <w:pStyle w:val="Bibliography"/>
      </w:pPr>
      <w:r>
        <w:t>“About LEED | U.S. Green Building Council.” Accessed July 23, 2013. http://www.usgbc.org/articles/about-leed.</w:t>
      </w:r>
    </w:p>
    <w:p w:rsidR="00FA32AB" w:rsidRDefault="00FA32AB" w:rsidP="00676D4A">
      <w:pPr>
        <w:pStyle w:val="Bibliography"/>
      </w:pPr>
      <w:r>
        <w:t xml:space="preserve">Agyeman, Julian, McLaren, Duncan, and Schaefer-Borrego, Adrianne. </w:t>
      </w:r>
      <w:r>
        <w:rPr>
          <w:i/>
          <w:iCs/>
        </w:rPr>
        <w:t>Sharing Cities</w:t>
      </w:r>
      <w:r>
        <w:t>. “Big Ideas” Project. Friends of the Earth. Accessed April 1, 2014. http://www.foe.co.uk/sites/default/files/downloads/agyeman_sharing_cities.pdf.</w:t>
      </w:r>
    </w:p>
    <w:p w:rsidR="00FA32AB" w:rsidRDefault="00FA32AB" w:rsidP="00676D4A">
      <w:pPr>
        <w:pStyle w:val="Bibliography"/>
      </w:pPr>
      <w:r>
        <w:t xml:space="preserve">Allon, Fiona. “Ethical Consumption Begins at Home: Green Renovations, Eco-Homes and Sustainable Home Improvement.” In </w:t>
      </w:r>
      <w:r>
        <w:rPr>
          <w:i/>
          <w:iCs/>
        </w:rPr>
        <w:t>Ethical Consumption: A Critical Introduction</w:t>
      </w:r>
      <w:r>
        <w:t>. Routledge, 2010.</w:t>
      </w:r>
    </w:p>
    <w:p w:rsidR="00FA32AB" w:rsidRDefault="00FA32AB" w:rsidP="00676D4A">
      <w:pPr>
        <w:pStyle w:val="Bibliography"/>
      </w:pPr>
      <w:r>
        <w:t xml:space="preserve">———. </w:t>
      </w:r>
      <w:r>
        <w:rPr>
          <w:i/>
          <w:iCs/>
        </w:rPr>
        <w:t>Renovation Nation: Our Obsession With Home</w:t>
      </w:r>
      <w:r>
        <w:t>. UNSW Press, 2008.</w:t>
      </w:r>
    </w:p>
    <w:p w:rsidR="00FA32AB" w:rsidRDefault="00FA32AB" w:rsidP="00676D4A">
      <w:pPr>
        <w:pStyle w:val="Bibliography"/>
      </w:pPr>
      <w:r>
        <w:t>Armstrong, Sean. “Notes for CCAT History,” n.d.</w:t>
      </w:r>
    </w:p>
    <w:p w:rsidR="00FA32AB" w:rsidRDefault="00FA32AB" w:rsidP="00676D4A">
      <w:pPr>
        <w:pStyle w:val="Bibliography"/>
      </w:pPr>
      <w:r>
        <w:t xml:space="preserve">Atkinson, Lucy. “Buying In to Social Change How Private Consumption Choices Engender Concern for the Collective.” </w:t>
      </w:r>
      <w:r>
        <w:rPr>
          <w:i/>
          <w:iCs/>
        </w:rPr>
        <w:t>The ANNALS of the American Academy of Political and Social Science</w:t>
      </w:r>
      <w:r>
        <w:t xml:space="preserve"> 644, no. 1 (November 1, 2012): 191–206. doi:10.1177/0002716212448366.</w:t>
      </w:r>
    </w:p>
    <w:p w:rsidR="00FA32AB" w:rsidRDefault="00FA32AB" w:rsidP="00676D4A">
      <w:pPr>
        <w:pStyle w:val="Bibliography"/>
      </w:pPr>
      <w:r>
        <w:t xml:space="preserve">Bakker, Isabella. “Social Reproduction and the Constitution of a Gendered Political Economy.” </w:t>
      </w:r>
      <w:r>
        <w:rPr>
          <w:i/>
          <w:iCs/>
        </w:rPr>
        <w:t>New Political Economy</w:t>
      </w:r>
      <w:r>
        <w:t xml:space="preserve"> 12, no. 4 (2007): 541–56. doi:10.1080/13563460701661561.</w:t>
      </w:r>
    </w:p>
    <w:p w:rsidR="00FA32AB" w:rsidRDefault="00FA32AB" w:rsidP="00676D4A">
      <w:pPr>
        <w:pStyle w:val="Bibliography"/>
      </w:pPr>
      <w:r>
        <w:t xml:space="preserve">Blunt, Alison, and Robyn Dowling. </w:t>
      </w:r>
      <w:r>
        <w:rPr>
          <w:i/>
          <w:iCs/>
        </w:rPr>
        <w:t>Home</w:t>
      </w:r>
      <w:r>
        <w:t>. Routledge, 2006.</w:t>
      </w:r>
    </w:p>
    <w:p w:rsidR="00FA32AB" w:rsidRDefault="00FA32AB" w:rsidP="00676D4A">
      <w:pPr>
        <w:pStyle w:val="Bibliography"/>
      </w:pPr>
      <w:r>
        <w:t xml:space="preserve">Bruegmann, Robert. </w:t>
      </w:r>
      <w:r>
        <w:rPr>
          <w:i/>
          <w:iCs/>
        </w:rPr>
        <w:t>Sprawl: A Compact History</w:t>
      </w:r>
      <w:r>
        <w:t>. University Of Chicago Press, 2006.</w:t>
      </w:r>
    </w:p>
    <w:p w:rsidR="00FA32AB" w:rsidRDefault="00FA32AB" w:rsidP="00676D4A">
      <w:pPr>
        <w:pStyle w:val="Bibliography"/>
      </w:pPr>
      <w:r>
        <w:t xml:space="preserve">Cannavò, Peter F. </w:t>
      </w:r>
      <w:r>
        <w:rPr>
          <w:i/>
          <w:iCs/>
        </w:rPr>
        <w:t>The Working Landscape: Founding, Preservation, and the Politics of Place</w:t>
      </w:r>
      <w:r>
        <w:t>. MIT Press, 2007.</w:t>
      </w:r>
    </w:p>
    <w:p w:rsidR="00FA32AB" w:rsidRDefault="00FA32AB" w:rsidP="00676D4A">
      <w:pPr>
        <w:pStyle w:val="Bibliography"/>
      </w:pPr>
      <w:r>
        <w:t xml:space="preserve">Crabtree, Louise. “Disintegrated Houses: Exploring Ecofeminist Housing and Urban Design Options.” </w:t>
      </w:r>
      <w:r>
        <w:rPr>
          <w:i/>
          <w:iCs/>
        </w:rPr>
        <w:t>Antipode</w:t>
      </w:r>
      <w:r>
        <w:t xml:space="preserve"> 38, no. 4 (2006): 711–34. doi:10.1111/j.1467-8330.2006.00473.x.</w:t>
      </w:r>
    </w:p>
    <w:p w:rsidR="00FA32AB" w:rsidRDefault="00FA32AB" w:rsidP="00676D4A">
      <w:pPr>
        <w:pStyle w:val="Bibliography"/>
      </w:pPr>
      <w:r>
        <w:t xml:space="preserve">Cronon, W. “The Trouble with Wilderness; Or, Getting Back to the Wrong Nature.” In </w:t>
      </w:r>
      <w:r>
        <w:rPr>
          <w:i/>
          <w:iCs/>
        </w:rPr>
        <w:t>Uncommon Ground: Toward Reinventing Nature</w:t>
      </w:r>
      <w:r>
        <w:t>. New York: W.W. Norton, 1995.</w:t>
      </w:r>
    </w:p>
    <w:p w:rsidR="00FA32AB" w:rsidRDefault="00FA32AB" w:rsidP="00676D4A">
      <w:pPr>
        <w:pStyle w:val="Bibliography"/>
      </w:pPr>
      <w:r>
        <w:t xml:space="preserve">Di Chiro, Giovanna. “Living Environmentalisms: Coalition Politics, Social Reproduction, and Environmental Justice.” </w:t>
      </w:r>
      <w:r>
        <w:rPr>
          <w:i/>
          <w:iCs/>
        </w:rPr>
        <w:t>Environmental Politics</w:t>
      </w:r>
      <w:r>
        <w:t xml:space="preserve"> 17, no. 2 (2008): 276–98. doi:10.1080/09644010801936230.</w:t>
      </w:r>
    </w:p>
    <w:p w:rsidR="00FA32AB" w:rsidRDefault="00FA32AB" w:rsidP="00676D4A">
      <w:pPr>
        <w:pStyle w:val="Bibliography"/>
      </w:pPr>
      <w:r>
        <w:t xml:space="preserve">Dobson, Andrew. </w:t>
      </w:r>
      <w:r>
        <w:rPr>
          <w:i/>
          <w:iCs/>
        </w:rPr>
        <w:t>Citizenship and the Environment</w:t>
      </w:r>
      <w:r>
        <w:t>. Oxford: Oxford University Press, 2003.</w:t>
      </w:r>
    </w:p>
    <w:p w:rsidR="00FA32AB" w:rsidRDefault="00FA32AB" w:rsidP="00676D4A">
      <w:pPr>
        <w:pStyle w:val="Bibliography"/>
      </w:pPr>
      <w:r>
        <w:t xml:space="preserve">Fagan, Kevin. “Power on a Shoestring / 21-Year Experiment Finds Ways Anyone Can Cut Energy Costs.” </w:t>
      </w:r>
      <w:r>
        <w:rPr>
          <w:i/>
          <w:iCs/>
        </w:rPr>
        <w:t>San Francisco Chronicle</w:t>
      </w:r>
      <w:r>
        <w:t>, January 8, 2001.</w:t>
      </w:r>
    </w:p>
    <w:p w:rsidR="00FA32AB" w:rsidRDefault="00FA32AB" w:rsidP="00676D4A">
      <w:pPr>
        <w:pStyle w:val="Bibliography"/>
      </w:pPr>
      <w:r>
        <w:t xml:space="preserve">Flacks, Richard. </w:t>
      </w:r>
      <w:r>
        <w:rPr>
          <w:i/>
          <w:iCs/>
        </w:rPr>
        <w:t>Making History: The American Left and the American Mind</w:t>
      </w:r>
      <w:r>
        <w:t>. Columbia University Press, 1988.</w:t>
      </w:r>
    </w:p>
    <w:p w:rsidR="00FA32AB" w:rsidRDefault="00FA32AB" w:rsidP="00676D4A">
      <w:pPr>
        <w:pStyle w:val="Bibliography"/>
      </w:pPr>
      <w:r>
        <w:t xml:space="preserve">Flint, Anthony. </w:t>
      </w:r>
      <w:r>
        <w:rPr>
          <w:i/>
          <w:iCs/>
        </w:rPr>
        <w:t>This Land: The Battle over Sprawl and the Future of America</w:t>
      </w:r>
      <w:r>
        <w:t>. JHU Press, 2008.</w:t>
      </w:r>
    </w:p>
    <w:p w:rsidR="00FA32AB" w:rsidRDefault="00FA32AB" w:rsidP="00676D4A">
      <w:pPr>
        <w:pStyle w:val="Bibliography"/>
      </w:pPr>
      <w:r>
        <w:t xml:space="preserve">Gabrielson, Teena, and Katelyn Parady. “Corporeal Citizenship: Rethinking Green Citizenship through the Body.” </w:t>
      </w:r>
      <w:r>
        <w:rPr>
          <w:i/>
          <w:iCs/>
        </w:rPr>
        <w:t>Environmental Politics</w:t>
      </w:r>
      <w:r>
        <w:t xml:space="preserve"> 19, no. 3 (May 2010): 374–91. doi:10.1080/09644011003690799.</w:t>
      </w:r>
    </w:p>
    <w:p w:rsidR="00FA32AB" w:rsidRDefault="00FA32AB" w:rsidP="00676D4A">
      <w:pPr>
        <w:pStyle w:val="Bibliography"/>
      </w:pPr>
      <w:r>
        <w:t xml:space="preserve">Gibson, Chris, Gordon Waitt, Lesley Head, and Nick Gill. “Is It Easy Being Green?  On the Dilemmas of Material Cultures of Household Sustainability.” In </w:t>
      </w:r>
      <w:r>
        <w:rPr>
          <w:i/>
          <w:iCs/>
        </w:rPr>
        <w:t>Material Geographies of Household Sustainability</w:t>
      </w:r>
      <w:r>
        <w:t>, edited by Ruth Lane and Andrew Gorman-Murray, 19–34. Ashgate, 2011.</w:t>
      </w:r>
    </w:p>
    <w:p w:rsidR="00FA32AB" w:rsidRDefault="00FA32AB" w:rsidP="00676D4A">
      <w:pPr>
        <w:pStyle w:val="Bibliography"/>
      </w:pPr>
      <w:r>
        <w:t xml:space="preserve">Gottlieb, Robert. </w:t>
      </w:r>
      <w:r>
        <w:rPr>
          <w:i/>
          <w:iCs/>
        </w:rPr>
        <w:t>Forcing the Spring: The Transformation of the American Environmental Movement</w:t>
      </w:r>
      <w:r>
        <w:t>. Island Press, 2005.</w:t>
      </w:r>
    </w:p>
    <w:p w:rsidR="00FA32AB" w:rsidRDefault="00FA32AB" w:rsidP="00676D4A">
      <w:pPr>
        <w:pStyle w:val="Bibliography"/>
      </w:pPr>
      <w:r>
        <w:t xml:space="preserve">Harvey, David. “The Right to the City.” </w:t>
      </w:r>
      <w:r>
        <w:rPr>
          <w:i/>
          <w:iCs/>
        </w:rPr>
        <w:t>New Left Review</w:t>
      </w:r>
      <w:r>
        <w:t xml:space="preserve"> 53 (October 2008): 23–40.</w:t>
      </w:r>
    </w:p>
    <w:p w:rsidR="00FA32AB" w:rsidRDefault="00FA32AB" w:rsidP="00676D4A">
      <w:pPr>
        <w:pStyle w:val="Bibliography"/>
      </w:pPr>
      <w:r>
        <w:t xml:space="preserve">Hayden, Dolores. </w:t>
      </w:r>
      <w:r>
        <w:rPr>
          <w:i/>
          <w:iCs/>
        </w:rPr>
        <w:t>Redesigning the American Dream: Gender, Housing, and Family Life</w:t>
      </w:r>
      <w:r>
        <w:t>. Rev. and expanded. New York: W.W. Norton, 2002.</w:t>
      </w:r>
    </w:p>
    <w:p w:rsidR="00FA32AB" w:rsidRDefault="00FA32AB" w:rsidP="00676D4A">
      <w:pPr>
        <w:pStyle w:val="Bibliography"/>
      </w:pPr>
      <w:r>
        <w:t xml:space="preserve">Heidegger, Martin. “Building, Dwelling, Thinking.” In </w:t>
      </w:r>
      <w:r>
        <w:rPr>
          <w:i/>
          <w:iCs/>
        </w:rPr>
        <w:t>Basic Writings</w:t>
      </w:r>
      <w:r>
        <w:t>, edited by David Farrell Krell, 343–64. Revised and expanded edition. HarperCollins, 1993.</w:t>
      </w:r>
    </w:p>
    <w:p w:rsidR="00FA32AB" w:rsidRDefault="00FA32AB" w:rsidP="00676D4A">
      <w:pPr>
        <w:pStyle w:val="Bibliography"/>
      </w:pPr>
      <w:r>
        <w:lastRenderedPageBreak/>
        <w:t xml:space="preserve">Hobson, Kersty. “Environmental Politics, Green Governmentality and the Possibility of a ‘Creative Grammar’ for Domestic Sustainable Consumption.” In </w:t>
      </w:r>
      <w:r>
        <w:rPr>
          <w:i/>
          <w:iCs/>
        </w:rPr>
        <w:t>Material Geographies of Household Sustainability</w:t>
      </w:r>
      <w:r>
        <w:t>, edited by Ruth Lane and Andrew Gorman-Murray, 193–210. Ashgate, 2011.</w:t>
      </w:r>
    </w:p>
    <w:p w:rsidR="00FA32AB" w:rsidRDefault="00FA32AB" w:rsidP="00676D4A">
      <w:pPr>
        <w:pStyle w:val="Bibliography"/>
      </w:pPr>
      <w:r>
        <w:t xml:space="preserve">———. “On the Making of the Environmental Citizen.” </w:t>
      </w:r>
      <w:r>
        <w:rPr>
          <w:i/>
          <w:iCs/>
        </w:rPr>
        <w:t>Environmental Politics</w:t>
      </w:r>
      <w:r>
        <w:t xml:space="preserve"> 22, no. 1 (February 2013): 56–72. doi:10.1080/09644016.2013.755388.</w:t>
      </w:r>
    </w:p>
    <w:p w:rsidR="00FA32AB" w:rsidRDefault="00FA32AB" w:rsidP="00676D4A">
      <w:pPr>
        <w:pStyle w:val="Bibliography"/>
      </w:pPr>
      <w:r>
        <w:t>“Household Change in the United States - Population Reference Bureau.” Accessed March 13, 2013. http://www.prb.org/Publications/PopulationBulletins/2012/us-household-change.aspx.</w:t>
      </w:r>
    </w:p>
    <w:p w:rsidR="00FA32AB" w:rsidRDefault="00FA32AB" w:rsidP="00676D4A">
      <w:pPr>
        <w:pStyle w:val="Bibliography"/>
      </w:pPr>
      <w:r>
        <w:t xml:space="preserve">Kaika, Maria. “Interrogating the Geographies of the Familiar: Domesticating Nature and Constructing the Autonomy of the Modern Home.” </w:t>
      </w:r>
      <w:r>
        <w:rPr>
          <w:i/>
          <w:iCs/>
        </w:rPr>
        <w:t>International Journal of Urban and Regional Research</w:t>
      </w:r>
      <w:r>
        <w:t xml:space="preserve"> 28, no. 2 (2004): 265–86. doi:10.1111/j.0309-1317.2004.00519.x.</w:t>
      </w:r>
    </w:p>
    <w:p w:rsidR="00FA32AB" w:rsidRDefault="00FA32AB" w:rsidP="00676D4A">
      <w:pPr>
        <w:pStyle w:val="Bibliography"/>
      </w:pPr>
      <w:r>
        <w:t xml:space="preserve">Karlsson, Rasmus. “Individual Guilt or Collective Progressive Action? Challenging the Strategic Potential of Environmental Citizenship Theory.” </w:t>
      </w:r>
      <w:r>
        <w:rPr>
          <w:i/>
          <w:iCs/>
        </w:rPr>
        <w:t>Environmental Values</w:t>
      </w:r>
      <w:r>
        <w:t xml:space="preserve"> 21, no. 4 (November 1, 2012): 459–74. doi:10.3197/096327112X13466893628102.</w:t>
      </w:r>
    </w:p>
    <w:p w:rsidR="00FA32AB" w:rsidRDefault="00FA32AB" w:rsidP="00676D4A">
      <w:pPr>
        <w:pStyle w:val="Bibliography"/>
      </w:pPr>
      <w:r>
        <w:t xml:space="preserve">Keat, Russell. “Citizens, Consumers and the Environment: Reflections on The Economy of the Earth.” </w:t>
      </w:r>
      <w:r>
        <w:rPr>
          <w:i/>
          <w:iCs/>
        </w:rPr>
        <w:t>Environmental Values</w:t>
      </w:r>
      <w:r>
        <w:t xml:space="preserve"> 3, no. 4 (November 1, 1994): 333–49. doi:10.3197/096327194776679674.</w:t>
      </w:r>
    </w:p>
    <w:p w:rsidR="00FA32AB" w:rsidRDefault="00FA32AB" w:rsidP="00676D4A">
      <w:pPr>
        <w:pStyle w:val="Bibliography"/>
      </w:pPr>
      <w:r>
        <w:t xml:space="preserve">Kotkin, Joel. “The Triumph of Suburbia.” </w:t>
      </w:r>
      <w:r>
        <w:rPr>
          <w:i/>
          <w:iCs/>
        </w:rPr>
        <w:t>Newgeography.com</w:t>
      </w:r>
      <w:r>
        <w:t>, April 29, 2013. http://www.newgeography.com/content/003667-the-triumph-suburbia.</w:t>
      </w:r>
    </w:p>
    <w:p w:rsidR="00FA32AB" w:rsidRDefault="00FA32AB" w:rsidP="00676D4A">
      <w:pPr>
        <w:pStyle w:val="Bibliography"/>
      </w:pPr>
      <w:r>
        <w:t xml:space="preserve">Kunstler, J.H. </w:t>
      </w:r>
      <w:r>
        <w:rPr>
          <w:i/>
          <w:iCs/>
        </w:rPr>
        <w:t>The Geography of Nowhere: The Rise and Decline of America’s Man-Made Landscape</w:t>
      </w:r>
      <w:r>
        <w:t>. New York: Simon and Schuster, 1993.</w:t>
      </w:r>
    </w:p>
    <w:p w:rsidR="00FA32AB" w:rsidRDefault="00FA32AB" w:rsidP="00676D4A">
      <w:pPr>
        <w:pStyle w:val="Bibliography"/>
      </w:pPr>
      <w:r>
        <w:t xml:space="preserve">Latour, B. “Why Has Critique Run out of Steam? From Matters of Fact to Matters of Concern.” </w:t>
      </w:r>
      <w:r>
        <w:rPr>
          <w:i/>
          <w:iCs/>
        </w:rPr>
        <w:t>Critical Inquiry</w:t>
      </w:r>
      <w:r>
        <w:t xml:space="preserve"> 30, no. 2 (2004): 225–48.</w:t>
      </w:r>
    </w:p>
    <w:p w:rsidR="00FA32AB" w:rsidRDefault="00FA32AB" w:rsidP="00676D4A">
      <w:pPr>
        <w:pStyle w:val="Bibliography"/>
      </w:pPr>
      <w:r>
        <w:t xml:space="preserve">Luke, T.W. </w:t>
      </w:r>
      <w:r>
        <w:rPr>
          <w:i/>
          <w:iCs/>
        </w:rPr>
        <w:t>Ecocritique: Contesting the Politics of Nature, Economy, and Culture</w:t>
      </w:r>
      <w:r>
        <w:t>. Minneapolis: University of Minnesota Press, 1997.</w:t>
      </w:r>
    </w:p>
    <w:p w:rsidR="00FA32AB" w:rsidRDefault="00FA32AB" w:rsidP="00676D4A">
      <w:pPr>
        <w:pStyle w:val="Bibliography"/>
      </w:pPr>
      <w:r>
        <w:t xml:space="preserve">MacGregor, Sherilyn. </w:t>
      </w:r>
      <w:r>
        <w:rPr>
          <w:i/>
          <w:iCs/>
        </w:rPr>
        <w:t>Beyond Mothering Earth: Ecological Citizenship and the Politics of Care</w:t>
      </w:r>
      <w:r>
        <w:t>. UBC Press, 2011.</w:t>
      </w:r>
    </w:p>
    <w:p w:rsidR="00FA32AB" w:rsidRDefault="00FA32AB" w:rsidP="00676D4A">
      <w:pPr>
        <w:pStyle w:val="Bibliography"/>
      </w:pPr>
      <w:r>
        <w:t xml:space="preserve">———. “Ecological Citizenship.” In </w:t>
      </w:r>
      <w:r>
        <w:rPr>
          <w:i/>
          <w:iCs/>
        </w:rPr>
        <w:t>Handbook of Political Citizenship and Social Movements</w:t>
      </w:r>
      <w:r>
        <w:t>, edited by H-A van der Heijden. Edward Elgar, forthcoming.</w:t>
      </w:r>
    </w:p>
    <w:p w:rsidR="00FA32AB" w:rsidRDefault="00FA32AB" w:rsidP="00676D4A">
      <w:pPr>
        <w:pStyle w:val="Bibliography"/>
      </w:pPr>
      <w:r>
        <w:t xml:space="preserve">Maniates, M. “Individualization Plant a Tree, Buy a Bike, Save the World?” In </w:t>
      </w:r>
      <w:r>
        <w:rPr>
          <w:i/>
          <w:iCs/>
        </w:rPr>
        <w:t>Confronting Consumption</w:t>
      </w:r>
      <w:r>
        <w:t>, edited by T. Princen, M. Maniates, and K. Conca. Cambridge: MIT Press, 2002.</w:t>
      </w:r>
    </w:p>
    <w:p w:rsidR="00FA32AB" w:rsidRDefault="00FA32AB" w:rsidP="00676D4A">
      <w:pPr>
        <w:pStyle w:val="Bibliography"/>
      </w:pPr>
      <w:r>
        <w:t xml:space="preserve">Marres, Noortje. </w:t>
      </w:r>
      <w:r>
        <w:rPr>
          <w:i/>
          <w:iCs/>
        </w:rPr>
        <w:t>Material Participation: Technology, the Environment and Everyday Publics</w:t>
      </w:r>
      <w:r>
        <w:t>. Palgrave Macmillan, 2012.</w:t>
      </w:r>
    </w:p>
    <w:p w:rsidR="00FA32AB" w:rsidRDefault="00FA32AB" w:rsidP="00676D4A">
      <w:pPr>
        <w:pStyle w:val="Bibliography"/>
      </w:pPr>
      <w:r>
        <w:t xml:space="preserve">———. “Testing Powers of Engagement: Green Living Experiments, the Ontological Turn and the Undoability of Involvement.” </w:t>
      </w:r>
      <w:r>
        <w:rPr>
          <w:i/>
          <w:iCs/>
        </w:rPr>
        <w:t>European Journal of Social Theory</w:t>
      </w:r>
      <w:r>
        <w:t xml:space="preserve"> 12, no. 1 (February 1, 2009): 117 –133. doi:10.1177/1368431008099647.</w:t>
      </w:r>
    </w:p>
    <w:p w:rsidR="00FA32AB" w:rsidRDefault="00FA32AB" w:rsidP="00676D4A">
      <w:pPr>
        <w:pStyle w:val="Bibliography"/>
      </w:pPr>
      <w:r>
        <w:t xml:space="preserve">MATHER, MARK, KELVIN POLLARD, and LINDA A. JACOBSEN. “REPORTS AMERICA.” </w:t>
      </w:r>
      <w:r>
        <w:rPr>
          <w:i/>
          <w:iCs/>
        </w:rPr>
        <w:t>Washington, DC: Population Reference Bureau</w:t>
      </w:r>
      <w:r>
        <w:t>, 2009, 1–15.</w:t>
      </w:r>
    </w:p>
    <w:p w:rsidR="00FA32AB" w:rsidRDefault="00FA32AB" w:rsidP="00676D4A">
      <w:pPr>
        <w:pStyle w:val="Bibliography"/>
      </w:pPr>
      <w:r>
        <w:t xml:space="preserve">May, Timothy D. “Shared Housing: The Sharing Economy Gives Roommates a New Image.” </w:t>
      </w:r>
      <w:r>
        <w:rPr>
          <w:i/>
          <w:iCs/>
        </w:rPr>
        <w:t>Christian Science Monitor</w:t>
      </w:r>
      <w:r>
        <w:t>, March 30, 2014. http://www.csmonitor.com/The-Culture/Family/2014/0330/Shared-housing-The-sharing-economy-gives-roommates-a-new-image.</w:t>
      </w:r>
    </w:p>
    <w:p w:rsidR="00FA32AB" w:rsidRDefault="00FA32AB" w:rsidP="00676D4A">
      <w:pPr>
        <w:pStyle w:val="Bibliography"/>
      </w:pPr>
      <w:r>
        <w:t xml:space="preserve">Meltzer, Graham. </w:t>
      </w:r>
      <w:r>
        <w:rPr>
          <w:i/>
          <w:iCs/>
        </w:rPr>
        <w:t>Sustainable Community: Learning from the Cohousing Model</w:t>
      </w:r>
      <w:r>
        <w:t>. Trafford, 2005.</w:t>
      </w:r>
    </w:p>
    <w:p w:rsidR="00FA32AB" w:rsidRDefault="00FA32AB" w:rsidP="00676D4A">
      <w:pPr>
        <w:pStyle w:val="Bibliography"/>
      </w:pPr>
      <w:r>
        <w:t xml:space="preserve">Okin, S.M. </w:t>
      </w:r>
      <w:r>
        <w:rPr>
          <w:i/>
          <w:iCs/>
        </w:rPr>
        <w:t>Justice, Gender and the Family</w:t>
      </w:r>
      <w:r>
        <w:t>. New York: Basic Books, 1989.</w:t>
      </w:r>
    </w:p>
    <w:p w:rsidR="00FA32AB" w:rsidRDefault="00FA32AB" w:rsidP="00676D4A">
      <w:pPr>
        <w:pStyle w:val="Bibliography"/>
      </w:pPr>
      <w:r>
        <w:t xml:space="preserve">Orfield, Myron, and Thomas Luce. </w:t>
      </w:r>
      <w:r>
        <w:rPr>
          <w:i/>
          <w:iCs/>
        </w:rPr>
        <w:t>America’s Racially Diverse Suburbs: Opportunities and Challenges</w:t>
      </w:r>
      <w:r>
        <w:t>, July 20, 2012. http://www.law.umn.edu/uploads/e0/65/e065d82a1c1da0bfef7d86172ec5391e/Diverse_Suburbs_FINAL.pdf.</w:t>
      </w:r>
    </w:p>
    <w:p w:rsidR="00FA32AB" w:rsidRDefault="00FA32AB" w:rsidP="00676D4A">
      <w:pPr>
        <w:pStyle w:val="Bibliography"/>
      </w:pPr>
      <w:r>
        <w:lastRenderedPageBreak/>
        <w:t xml:space="preserve">Peterson, M. Nils, Tarla Rai Peterson, and Jianguo Liu. </w:t>
      </w:r>
      <w:r>
        <w:rPr>
          <w:i/>
          <w:iCs/>
        </w:rPr>
        <w:t>The Housing Bomb: Why Our Addiction to Houses Is Destroying the Environment and Threatening Our Society</w:t>
      </w:r>
      <w:r>
        <w:t>. Johns Hopkins University Press, 2013.</w:t>
      </w:r>
    </w:p>
    <w:p w:rsidR="00FA32AB" w:rsidRDefault="00FA32AB" w:rsidP="00676D4A">
      <w:pPr>
        <w:pStyle w:val="Bibliography"/>
      </w:pPr>
      <w:r>
        <w:t xml:space="preserve">Pitkin, H.F. “Justice: On Relating Public and Private.” </w:t>
      </w:r>
      <w:r>
        <w:rPr>
          <w:i/>
          <w:iCs/>
        </w:rPr>
        <w:t>Political Theory</w:t>
      </w:r>
      <w:r>
        <w:t xml:space="preserve"> 9 (1981): 327–52.</w:t>
      </w:r>
    </w:p>
    <w:p w:rsidR="00FA32AB" w:rsidRDefault="00FA32AB" w:rsidP="00676D4A">
      <w:pPr>
        <w:pStyle w:val="Bibliography"/>
      </w:pPr>
      <w:r>
        <w:t xml:space="preserve">Rosenberg, Tina. “It’s Not Just Nice to Share, It’s the Future.” </w:t>
      </w:r>
      <w:r>
        <w:rPr>
          <w:i/>
          <w:iCs/>
        </w:rPr>
        <w:t>New York Times</w:t>
      </w:r>
      <w:r>
        <w:t>, June 5, 2013. http://opinionator.blogs.nytimes.com/2013/06/05/its-not-just-nice-to-share-its-the-future/.</w:t>
      </w:r>
    </w:p>
    <w:p w:rsidR="00FA32AB" w:rsidRDefault="00FA32AB" w:rsidP="00676D4A">
      <w:pPr>
        <w:pStyle w:val="Bibliography"/>
      </w:pPr>
      <w:r>
        <w:t xml:space="preserve">Rybczynski, Witold. </w:t>
      </w:r>
      <w:r>
        <w:rPr>
          <w:i/>
          <w:iCs/>
        </w:rPr>
        <w:t>Home: A Short History of an Idea</w:t>
      </w:r>
      <w:r>
        <w:t>. Penguin Books, 1987.</w:t>
      </w:r>
    </w:p>
    <w:p w:rsidR="00FA32AB" w:rsidRDefault="00FA32AB" w:rsidP="00676D4A">
      <w:pPr>
        <w:pStyle w:val="Bibliography"/>
      </w:pPr>
      <w:r>
        <w:t xml:space="preserve">Sagoff, M. </w:t>
      </w:r>
      <w:r>
        <w:rPr>
          <w:i/>
          <w:iCs/>
        </w:rPr>
        <w:t>The Economy of the Earth: Philosophy, Law and the Environment</w:t>
      </w:r>
      <w:r>
        <w:t>. Cambridge: Cambridge University Press, 1988.</w:t>
      </w:r>
    </w:p>
    <w:p w:rsidR="00FA32AB" w:rsidRDefault="00FA32AB" w:rsidP="00676D4A">
      <w:pPr>
        <w:pStyle w:val="Bibliography"/>
      </w:pPr>
      <w:r>
        <w:t xml:space="preserve">Saunders, Peter, and Peter Williams. “The Constitution of the Home: Towards a Research Agenda.” </w:t>
      </w:r>
      <w:r>
        <w:rPr>
          <w:i/>
          <w:iCs/>
        </w:rPr>
        <w:t>Housing Studies</w:t>
      </w:r>
      <w:r>
        <w:t xml:space="preserve"> 3, no. 2 (1988): 81–93. doi:10.1080/02673038808720618.</w:t>
      </w:r>
    </w:p>
    <w:p w:rsidR="00FA32AB" w:rsidRDefault="00FA32AB" w:rsidP="00676D4A">
      <w:pPr>
        <w:pStyle w:val="Bibliography"/>
      </w:pPr>
      <w:r>
        <w:t xml:space="preserve">Schumacher, E.F. </w:t>
      </w:r>
      <w:r>
        <w:rPr>
          <w:i/>
          <w:iCs/>
        </w:rPr>
        <w:t>Small Is Beautiful: Economics as If People Mattered</w:t>
      </w:r>
      <w:r>
        <w:t>. New York: Harper and Row, 1973.</w:t>
      </w:r>
    </w:p>
    <w:p w:rsidR="00FA32AB" w:rsidRDefault="00FA32AB" w:rsidP="00676D4A">
      <w:pPr>
        <w:pStyle w:val="Bibliography"/>
      </w:pPr>
      <w:r>
        <w:t xml:space="preserve">Shove, Elizabeth. </w:t>
      </w:r>
      <w:r>
        <w:rPr>
          <w:i/>
          <w:iCs/>
        </w:rPr>
        <w:t>Comfort, Cleanliness and Convenience: The Social Organization of Normality</w:t>
      </w:r>
      <w:r>
        <w:t>. Oxford: Berg, 2003.</w:t>
      </w:r>
    </w:p>
    <w:p w:rsidR="00FA32AB" w:rsidRDefault="00FA32AB" w:rsidP="00676D4A">
      <w:pPr>
        <w:pStyle w:val="Bibliography"/>
      </w:pPr>
      <w:r>
        <w:t xml:space="preserve">Taylor, Vanessa, and Frank Trentmann. “Liquid Politics: Water and the Politics of Everyday Life in the Modern City.” </w:t>
      </w:r>
      <w:r>
        <w:rPr>
          <w:i/>
          <w:iCs/>
        </w:rPr>
        <w:t>Past &amp; Present</w:t>
      </w:r>
      <w:r>
        <w:t xml:space="preserve"> 211, no. 1 (May 1, 2011): 199–241. doi:10.1093/pastj/gtq068.</w:t>
      </w:r>
    </w:p>
    <w:p w:rsidR="00FA32AB" w:rsidRDefault="00FA32AB" w:rsidP="00676D4A">
      <w:pPr>
        <w:pStyle w:val="Bibliography"/>
      </w:pPr>
      <w:r>
        <w:t xml:space="preserve">“The Sharing Economy: A Short Introduction to Its Political Evolution.” </w:t>
      </w:r>
      <w:r>
        <w:rPr>
          <w:i/>
          <w:iCs/>
        </w:rPr>
        <w:t>openDemocracy</w:t>
      </w:r>
      <w:r>
        <w:t>. Accessed April 1, 2014. http://www.opendemocracy.net/transformation/adam-parsons/sharing-economy-short-introduction-to-its-political-evolution.</w:t>
      </w:r>
    </w:p>
    <w:p w:rsidR="00FA32AB" w:rsidRDefault="00FA32AB" w:rsidP="00676D4A">
      <w:pPr>
        <w:pStyle w:val="Bibliography"/>
      </w:pPr>
      <w:r>
        <w:t xml:space="preserve">“Urban Homesteading: The Integral Urban House - Modern Homesteading - MOTHER EARTH NEWS.” </w:t>
      </w:r>
      <w:r>
        <w:rPr>
          <w:i/>
          <w:iCs/>
        </w:rPr>
        <w:t>Mother Earth News</w:t>
      </w:r>
      <w:r>
        <w:t>. Accessed April 2, 2013. http://www.motherearthnews.com/modern-homesteading/urban-homesteading-zmaz76ndztak.aspx.</w:t>
      </w:r>
    </w:p>
    <w:p w:rsidR="00FA32AB" w:rsidRDefault="00FA32AB" w:rsidP="00676D4A">
      <w:pPr>
        <w:pStyle w:val="Bibliography"/>
      </w:pPr>
      <w:r>
        <w:t xml:space="preserve">White, D.F. “A Green Industrial Revolution? Sustainable Technological Innovation in a Global Age.” </w:t>
      </w:r>
      <w:r>
        <w:rPr>
          <w:i/>
          <w:iCs/>
        </w:rPr>
        <w:t>Environmental Politics</w:t>
      </w:r>
      <w:r>
        <w:t xml:space="preserve"> 11, no. 2 (June 2002): 1–26. doi:10.1080/714000603.</w:t>
      </w:r>
    </w:p>
    <w:p w:rsidR="00FA32AB" w:rsidRDefault="00FA32AB" w:rsidP="00676D4A">
      <w:pPr>
        <w:pStyle w:val="Bibliography"/>
      </w:pPr>
      <w:r>
        <w:t xml:space="preserve">Williamson, Thad. </w:t>
      </w:r>
      <w:r>
        <w:rPr>
          <w:i/>
          <w:iCs/>
        </w:rPr>
        <w:t>Sprawl, Justice, and Citizenship: The Civic Costs of the American Way of Life</w:t>
      </w:r>
      <w:r>
        <w:t>. Oxford University Press, USA, 2010.</w:t>
      </w:r>
    </w:p>
    <w:p w:rsidR="00FA32AB" w:rsidRDefault="00FA32AB" w:rsidP="00676D4A">
      <w:pPr>
        <w:pStyle w:val="Bibliography"/>
      </w:pPr>
      <w:r>
        <w:t xml:space="preserve">Willis, Margaret M., and Juliet B. Schor. “Does Changing a Light Bulb Lead to Changing the World? Political Action and the Conscious Consumer.” </w:t>
      </w:r>
      <w:r>
        <w:rPr>
          <w:i/>
          <w:iCs/>
        </w:rPr>
        <w:t>The ANNALS of the American Academy of Political and Social Science</w:t>
      </w:r>
      <w:r>
        <w:t xml:space="preserve"> 644, no. 1 (November 1, 2012): 160–90. doi:10.1177/0002716212454831.</w:t>
      </w:r>
    </w:p>
    <w:p w:rsidR="00FA32AB" w:rsidRDefault="00FA32AB" w:rsidP="00676D4A">
      <w:pPr>
        <w:pStyle w:val="Bibliography"/>
      </w:pPr>
      <w:r>
        <w:t xml:space="preserve">Winner, L. </w:t>
      </w:r>
      <w:r>
        <w:rPr>
          <w:i/>
          <w:iCs/>
        </w:rPr>
        <w:t>The Whale and the Reactor: A Search for Limits in an Age of High Technology</w:t>
      </w:r>
      <w:r>
        <w:t>. Chicago: University of Chicago Press, 1986.</w:t>
      </w:r>
    </w:p>
    <w:p w:rsidR="00FA32AB" w:rsidRDefault="00FA32AB" w:rsidP="00676D4A">
      <w:pPr>
        <w:pStyle w:val="Bibliography"/>
      </w:pPr>
      <w:r>
        <w:t xml:space="preserve">Worster, D. </w:t>
      </w:r>
      <w:r>
        <w:rPr>
          <w:i/>
          <w:iCs/>
        </w:rPr>
        <w:t>Nature’s Economy: A History of Ecological Ideas</w:t>
      </w:r>
      <w:r>
        <w:t>. Cambridge: Cambridge University Press, 1985.</w:t>
      </w:r>
    </w:p>
    <w:p w:rsidR="00FA32AB" w:rsidRDefault="00FA32AB" w:rsidP="00676D4A">
      <w:pPr>
        <w:pStyle w:val="Bibliography"/>
      </w:pPr>
      <w:r>
        <w:t xml:space="preserve">Young, Iris Marion. “House and Home: Feminist Variations on a Theme.” In </w:t>
      </w:r>
      <w:r>
        <w:rPr>
          <w:i/>
          <w:iCs/>
        </w:rPr>
        <w:t>Feminist Interpretations of Martin Heidegger</w:t>
      </w:r>
      <w:r>
        <w:t>, 252–88. University Park: Pennsylvania State University Press, 2001.</w:t>
      </w:r>
    </w:p>
    <w:p w:rsidR="00386294" w:rsidRPr="00386294" w:rsidRDefault="00386294" w:rsidP="00676D4A">
      <w:pPr>
        <w:spacing w:line="240" w:lineRule="auto"/>
        <w:ind w:firstLine="0"/>
        <w:rPr>
          <w:b/>
          <w:sz w:val="24"/>
          <w:szCs w:val="24"/>
        </w:rPr>
      </w:pPr>
    </w:p>
    <w:sectPr w:rsidR="00386294" w:rsidRPr="00386294" w:rsidSect="003C09A4">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196" w:rsidRDefault="00C02196" w:rsidP="001F236F">
      <w:r>
        <w:separator/>
      </w:r>
    </w:p>
    <w:p w:rsidR="00C02196" w:rsidRDefault="00C02196" w:rsidP="001F236F"/>
  </w:endnote>
  <w:endnote w:type="continuationSeparator" w:id="0">
    <w:p w:rsidR="00C02196" w:rsidRDefault="00C02196" w:rsidP="001F236F">
      <w:r>
        <w:continuationSeparator/>
      </w:r>
    </w:p>
    <w:p w:rsidR="00C02196" w:rsidRDefault="00C02196" w:rsidP="001F2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887972"/>
      <w:docPartObj>
        <w:docPartGallery w:val="Page Numbers (Bottom of Page)"/>
        <w:docPartUnique/>
      </w:docPartObj>
    </w:sdtPr>
    <w:sdtEndPr>
      <w:rPr>
        <w:noProof/>
      </w:rPr>
    </w:sdtEndPr>
    <w:sdtContent>
      <w:p w:rsidR="00FD0467" w:rsidRDefault="00FD0467" w:rsidP="00DC3B44">
        <w:pPr>
          <w:pStyle w:val="Footer"/>
          <w:ind w:firstLine="0"/>
          <w:jc w:val="center"/>
        </w:pPr>
        <w:r>
          <w:fldChar w:fldCharType="begin"/>
        </w:r>
        <w:r>
          <w:instrText xml:space="preserve"> PAGE   \* MERGEFORMAT </w:instrText>
        </w:r>
        <w:r>
          <w:fldChar w:fldCharType="separate"/>
        </w:r>
        <w:r w:rsidR="002707E6">
          <w:rPr>
            <w:noProof/>
          </w:rPr>
          <w:t>1</w:t>
        </w:r>
        <w:r>
          <w:rPr>
            <w:noProof/>
          </w:rPr>
          <w:fldChar w:fldCharType="end"/>
        </w:r>
      </w:p>
    </w:sdtContent>
  </w:sdt>
  <w:p w:rsidR="00FD0467" w:rsidRDefault="00FD0467" w:rsidP="008E498A">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196" w:rsidRDefault="00C02196" w:rsidP="00057CC8">
      <w:pPr>
        <w:ind w:firstLine="0"/>
      </w:pPr>
      <w:r>
        <w:separator/>
      </w:r>
    </w:p>
  </w:footnote>
  <w:footnote w:type="continuationSeparator" w:id="0">
    <w:p w:rsidR="00C02196" w:rsidRDefault="00C02196" w:rsidP="001F236F">
      <w:r>
        <w:continuationSeparator/>
      </w:r>
    </w:p>
    <w:p w:rsidR="00C02196" w:rsidRDefault="00C02196" w:rsidP="001F236F"/>
  </w:footnote>
  <w:footnote w:id="1">
    <w:p w:rsidR="00FD0467" w:rsidRDefault="00FD0467" w:rsidP="008525E5">
      <w:pPr>
        <w:pStyle w:val="FootnoteText"/>
        <w:ind w:firstLine="0"/>
      </w:pPr>
      <w:r w:rsidRPr="00A06000">
        <w:rPr>
          <w:rStyle w:val="FootnoteReference"/>
        </w:rPr>
        <w:footnoteRef/>
      </w:r>
      <w:r>
        <w:t xml:space="preserve"> </w:t>
      </w:r>
      <w:r w:rsidRPr="00B8018F">
        <w:rPr>
          <w:rFonts w:ascii="Calibri" w:hAnsi="Calibri" w:cs="Times New Roman"/>
          <w:szCs w:val="24"/>
        </w:rPr>
        <w:t xml:space="preserve">W. Cronon, “The Trouble with Wilderness; Or, Getting Back to the Wrong Nature,” in </w:t>
      </w:r>
      <w:r w:rsidRPr="00B8018F">
        <w:rPr>
          <w:rFonts w:ascii="Calibri" w:hAnsi="Calibri" w:cs="Times New Roman"/>
          <w:i/>
          <w:iCs/>
          <w:szCs w:val="24"/>
        </w:rPr>
        <w:t>Uncommon Ground: Toward Reinventing Nature</w:t>
      </w:r>
      <w:r w:rsidRPr="00B8018F">
        <w:rPr>
          <w:rFonts w:ascii="Calibri" w:hAnsi="Calibri" w:cs="Times New Roman"/>
          <w:szCs w:val="24"/>
        </w:rPr>
        <w:t xml:space="preserve"> (New York: W.W. Norton, 1995), 87; 89.</w:t>
      </w:r>
    </w:p>
  </w:footnote>
  <w:footnote w:id="2">
    <w:p w:rsidR="00FD0467" w:rsidRDefault="00FD0467" w:rsidP="008525E5">
      <w:pPr>
        <w:pStyle w:val="FootnoteText"/>
        <w:ind w:firstLine="0"/>
      </w:pPr>
      <w:r w:rsidRPr="00A06000">
        <w:rPr>
          <w:rStyle w:val="FootnoteReference"/>
        </w:rPr>
        <w:footnoteRef/>
      </w:r>
      <w:r>
        <w:t xml:space="preserve"> </w:t>
      </w:r>
      <w:r w:rsidRPr="00794721">
        <w:rPr>
          <w:rFonts w:ascii="Calibri" w:hAnsi="Calibri" w:cs="Times New Roman"/>
          <w:szCs w:val="24"/>
        </w:rPr>
        <w:t xml:space="preserve">Andrew Dobson, </w:t>
      </w:r>
      <w:r w:rsidRPr="00794721">
        <w:rPr>
          <w:rFonts w:ascii="Calibri" w:hAnsi="Calibri" w:cs="Times New Roman"/>
          <w:i/>
          <w:iCs/>
          <w:szCs w:val="24"/>
        </w:rPr>
        <w:t>Citizenship and the Environment</w:t>
      </w:r>
      <w:r w:rsidRPr="00794721">
        <w:rPr>
          <w:rFonts w:ascii="Calibri" w:hAnsi="Calibri" w:cs="Times New Roman"/>
          <w:szCs w:val="24"/>
        </w:rPr>
        <w:t xml:space="preserve"> (Oxford: Oxford University Press, 2003), 136.</w:t>
      </w:r>
    </w:p>
  </w:footnote>
  <w:footnote w:id="3">
    <w:p w:rsidR="00FD0467" w:rsidRDefault="00FD0467" w:rsidP="008525E5">
      <w:pPr>
        <w:pStyle w:val="FootnoteText"/>
        <w:ind w:firstLine="0"/>
      </w:pPr>
      <w:r w:rsidRPr="00A06000">
        <w:rPr>
          <w:rStyle w:val="FootnoteReference"/>
        </w:rPr>
        <w:footnoteRef/>
      </w:r>
      <w:r>
        <w:t xml:space="preserve"> </w:t>
      </w:r>
      <w:r w:rsidRPr="00083CEC">
        <w:rPr>
          <w:rFonts w:ascii="Calibri" w:hAnsi="Calibri" w:cs="Times New Roman"/>
          <w:szCs w:val="24"/>
        </w:rPr>
        <w:t xml:space="preserve">Tucker quoted in: Robert Gottlieb, </w:t>
      </w:r>
      <w:r w:rsidRPr="00083CEC">
        <w:rPr>
          <w:rFonts w:ascii="Calibri" w:hAnsi="Calibri" w:cs="Times New Roman"/>
          <w:i/>
          <w:iCs/>
          <w:szCs w:val="24"/>
        </w:rPr>
        <w:t xml:space="preserve">Forcing the </w:t>
      </w:r>
      <w:proofErr w:type="gramStart"/>
      <w:r w:rsidRPr="00083CEC">
        <w:rPr>
          <w:rFonts w:ascii="Calibri" w:hAnsi="Calibri" w:cs="Times New Roman"/>
          <w:i/>
          <w:iCs/>
          <w:szCs w:val="24"/>
        </w:rPr>
        <w:t>Spring</w:t>
      </w:r>
      <w:proofErr w:type="gramEnd"/>
      <w:r w:rsidRPr="00083CEC">
        <w:rPr>
          <w:rFonts w:ascii="Calibri" w:hAnsi="Calibri" w:cs="Times New Roman"/>
          <w:i/>
          <w:iCs/>
          <w:szCs w:val="24"/>
        </w:rPr>
        <w:t>: The Transformation of the American Environmental Movement</w:t>
      </w:r>
      <w:r w:rsidRPr="00083CEC">
        <w:rPr>
          <w:rFonts w:ascii="Calibri" w:hAnsi="Calibri" w:cs="Times New Roman"/>
          <w:szCs w:val="24"/>
        </w:rPr>
        <w:t xml:space="preserve"> (Island Press, 2005), 278.</w:t>
      </w:r>
    </w:p>
  </w:footnote>
  <w:footnote w:id="4">
    <w:p w:rsidR="00FD0467" w:rsidRPr="004B50AA" w:rsidRDefault="00FD0467" w:rsidP="008525E5">
      <w:pPr>
        <w:pStyle w:val="FootnoteText"/>
        <w:ind w:firstLine="0"/>
      </w:pPr>
      <w:r w:rsidRPr="00A06000">
        <w:rPr>
          <w:rStyle w:val="FootnoteReference"/>
        </w:rPr>
        <w:footnoteRef/>
      </w:r>
      <w:r>
        <w:t xml:space="preserve"> </w:t>
      </w:r>
      <w:proofErr w:type="gramStart"/>
      <w:r>
        <w:t xml:space="preserve">First coined in German by biologist Ernst Haeckel during the nineteenth century, as </w:t>
      </w:r>
      <w:proofErr w:type="spellStart"/>
      <w:r w:rsidRPr="004B50AA">
        <w:rPr>
          <w:i/>
          <w:iCs/>
        </w:rPr>
        <w:t>Oecologie</w:t>
      </w:r>
      <w:proofErr w:type="spellEnd"/>
      <w:r>
        <w:rPr>
          <w:i/>
          <w:iCs/>
        </w:rPr>
        <w:t>.</w:t>
      </w:r>
      <w:proofErr w:type="gramEnd"/>
      <w:r>
        <w:rPr>
          <w:i/>
          <w:iCs/>
        </w:rPr>
        <w:t xml:space="preserve"> </w:t>
      </w:r>
      <w:r w:rsidRPr="00BD7F89">
        <w:rPr>
          <w:rFonts w:ascii="Calibri" w:hAnsi="Calibri" w:cs="Times New Roman"/>
          <w:szCs w:val="24"/>
        </w:rPr>
        <w:t xml:space="preserve">D. Worster, </w:t>
      </w:r>
      <w:r w:rsidRPr="00BD7F89">
        <w:rPr>
          <w:rFonts w:ascii="Calibri" w:hAnsi="Calibri" w:cs="Times New Roman"/>
          <w:i/>
          <w:iCs/>
          <w:szCs w:val="24"/>
        </w:rPr>
        <w:t>Nature’s Economy: A History of Ecological Ideas</w:t>
      </w:r>
      <w:r w:rsidRPr="00BD7F89">
        <w:rPr>
          <w:rFonts w:ascii="Calibri" w:hAnsi="Calibri" w:cs="Times New Roman"/>
          <w:szCs w:val="24"/>
        </w:rPr>
        <w:t xml:space="preserve"> (Cambridge: Cambridge University Press, 1985), 192.</w:t>
      </w:r>
    </w:p>
  </w:footnote>
  <w:footnote w:id="5">
    <w:p w:rsidR="00FD0467" w:rsidRDefault="00FD0467" w:rsidP="00A53D6B">
      <w:pPr>
        <w:pStyle w:val="FootnoteText"/>
        <w:ind w:firstLine="0"/>
      </w:pPr>
      <w:r>
        <w:rPr>
          <w:rStyle w:val="FootnoteReference"/>
        </w:rPr>
        <w:footnoteRef/>
      </w:r>
      <w:r>
        <w:t xml:space="preserve"> </w:t>
      </w:r>
      <w:r w:rsidRPr="00B8018F">
        <w:rPr>
          <w:rFonts w:ascii="Calibri" w:hAnsi="Calibri" w:cs="Times New Roman"/>
          <w:szCs w:val="24"/>
        </w:rPr>
        <w:t xml:space="preserve">M. Nils Peterson, Tarla Rai Peterson, and Jianguo Liu, </w:t>
      </w:r>
      <w:r w:rsidRPr="00B8018F">
        <w:rPr>
          <w:rFonts w:ascii="Calibri" w:hAnsi="Calibri" w:cs="Times New Roman"/>
          <w:i/>
          <w:iCs/>
          <w:szCs w:val="24"/>
        </w:rPr>
        <w:t>The Housing Bomb: Why Our Addiction to Houses Is Destroying the Environment and Threatening Our Society</w:t>
      </w:r>
      <w:r w:rsidRPr="00B8018F">
        <w:rPr>
          <w:rFonts w:ascii="Calibri" w:hAnsi="Calibri" w:cs="Times New Roman"/>
          <w:szCs w:val="24"/>
        </w:rPr>
        <w:t xml:space="preserve"> (Johns Hopkins University Press, 2013), 3–4.</w:t>
      </w:r>
    </w:p>
  </w:footnote>
  <w:footnote w:id="6">
    <w:p w:rsidR="00FD0467" w:rsidRDefault="00FD0467" w:rsidP="00A53D6B">
      <w:pPr>
        <w:pStyle w:val="FootnoteText"/>
        <w:ind w:firstLine="0"/>
      </w:pPr>
      <w:r>
        <w:rPr>
          <w:rStyle w:val="FootnoteReference"/>
        </w:rPr>
        <w:footnoteRef/>
      </w:r>
      <w:r>
        <w:t xml:space="preserve"> </w:t>
      </w:r>
      <w:proofErr w:type="gramStart"/>
      <w:r w:rsidRPr="00B732DE">
        <w:rPr>
          <w:rFonts w:ascii="Calibri" w:hAnsi="Calibri" w:cs="Times New Roman"/>
          <w:szCs w:val="24"/>
        </w:rPr>
        <w:t>Ibid.,</w:t>
      </w:r>
      <w:proofErr w:type="gramEnd"/>
      <w:r w:rsidRPr="00B732DE">
        <w:rPr>
          <w:rFonts w:ascii="Calibri" w:hAnsi="Calibri" w:cs="Times New Roman"/>
          <w:szCs w:val="24"/>
        </w:rPr>
        <w:t xml:space="preserve"> 15–34.</w:t>
      </w:r>
    </w:p>
  </w:footnote>
  <w:footnote w:id="7">
    <w:p w:rsidR="00FD0467" w:rsidRDefault="00FD0467" w:rsidP="008A61D1">
      <w:pPr>
        <w:pStyle w:val="FootnoteText"/>
        <w:ind w:firstLine="0"/>
      </w:pPr>
      <w:r w:rsidRPr="00A06000">
        <w:rPr>
          <w:rStyle w:val="FootnoteReference"/>
        </w:rPr>
        <w:footnoteRef/>
      </w:r>
      <w:r>
        <w:t xml:space="preserve"> </w:t>
      </w:r>
      <w:proofErr w:type="gramStart"/>
      <w:r w:rsidRPr="005E6C33">
        <w:rPr>
          <w:rFonts w:ascii="Calibri" w:hAnsi="Calibri" w:cs="Times New Roman"/>
          <w:szCs w:val="24"/>
        </w:rPr>
        <w:t xml:space="preserve">“Environmental Politics, Green </w:t>
      </w:r>
      <w:proofErr w:type="spellStart"/>
      <w:r w:rsidRPr="005E6C33">
        <w:rPr>
          <w:rFonts w:ascii="Calibri" w:hAnsi="Calibri" w:cs="Times New Roman"/>
          <w:szCs w:val="24"/>
        </w:rPr>
        <w:t>Governmentality</w:t>
      </w:r>
      <w:proofErr w:type="spellEnd"/>
      <w:r w:rsidRPr="005E6C33">
        <w:rPr>
          <w:rFonts w:ascii="Calibri" w:hAnsi="Calibri" w:cs="Times New Roman"/>
          <w:szCs w:val="24"/>
        </w:rPr>
        <w:t xml:space="preserve"> and the Possibility of a ‘Creative Grammar’ for Domestic Sustainable Consumption,” in </w:t>
      </w:r>
      <w:r w:rsidRPr="005E6C33">
        <w:rPr>
          <w:rFonts w:ascii="Calibri" w:hAnsi="Calibri" w:cs="Times New Roman"/>
          <w:i/>
          <w:iCs/>
          <w:szCs w:val="24"/>
        </w:rPr>
        <w:t>Material Geographies of Household Sustainability</w:t>
      </w:r>
      <w:r w:rsidRPr="005E6C33">
        <w:rPr>
          <w:rFonts w:ascii="Calibri" w:hAnsi="Calibri" w:cs="Times New Roman"/>
          <w:szCs w:val="24"/>
        </w:rPr>
        <w:t>, ed. Ruth Lane and Andrew Gorman-Murray (</w:t>
      </w:r>
      <w:proofErr w:type="spellStart"/>
      <w:r w:rsidRPr="005E6C33">
        <w:rPr>
          <w:rFonts w:ascii="Calibri" w:hAnsi="Calibri" w:cs="Times New Roman"/>
          <w:szCs w:val="24"/>
        </w:rPr>
        <w:t>Ashgate</w:t>
      </w:r>
      <w:proofErr w:type="spellEnd"/>
      <w:r w:rsidRPr="005E6C33">
        <w:rPr>
          <w:rFonts w:ascii="Calibri" w:hAnsi="Calibri" w:cs="Times New Roman"/>
          <w:szCs w:val="24"/>
        </w:rPr>
        <w:t>, 2011), 202.</w:t>
      </w:r>
      <w:proofErr w:type="gramEnd"/>
    </w:p>
  </w:footnote>
  <w:footnote w:id="8">
    <w:p w:rsidR="00FD0467" w:rsidRDefault="00FD0467" w:rsidP="00F9147F">
      <w:pPr>
        <w:pStyle w:val="FootnoteText"/>
        <w:ind w:firstLine="0"/>
      </w:pPr>
      <w:r w:rsidRPr="00A06000">
        <w:rPr>
          <w:rStyle w:val="FootnoteReference"/>
        </w:rPr>
        <w:footnoteRef/>
      </w:r>
      <w:r>
        <w:t xml:space="preserve"> </w:t>
      </w:r>
      <w:r w:rsidRPr="00A84ADF">
        <w:rPr>
          <w:rFonts w:ascii="Calibri" w:hAnsi="Calibri" w:cs="Times New Roman"/>
          <w:szCs w:val="24"/>
        </w:rPr>
        <w:t xml:space="preserve">“Urban Homesteading: The Integral Urban House - Modern Homesteading - MOTHER EARTH NEWS,” </w:t>
      </w:r>
      <w:r w:rsidRPr="00A84ADF">
        <w:rPr>
          <w:rFonts w:ascii="Calibri" w:hAnsi="Calibri" w:cs="Times New Roman"/>
          <w:i/>
          <w:iCs/>
          <w:szCs w:val="24"/>
        </w:rPr>
        <w:t>Mother Earth News</w:t>
      </w:r>
      <w:r w:rsidRPr="00A84ADF">
        <w:rPr>
          <w:rFonts w:ascii="Calibri" w:hAnsi="Calibri" w:cs="Times New Roman"/>
          <w:szCs w:val="24"/>
        </w:rPr>
        <w:t>, accessed April 2, 2013, http://www.motherearthnews.com/modern-homesteading/urban-homesteading-zmaz76ndztak.aspx.</w:t>
      </w:r>
    </w:p>
  </w:footnote>
  <w:footnote w:id="9">
    <w:p w:rsidR="00FD0467" w:rsidRDefault="00FD0467" w:rsidP="00F9147F">
      <w:pPr>
        <w:pStyle w:val="FootnoteText"/>
        <w:ind w:firstLine="0"/>
      </w:pPr>
      <w:r w:rsidRPr="00A06000">
        <w:rPr>
          <w:rStyle w:val="FootnoteReference"/>
        </w:rPr>
        <w:footnoteRef/>
      </w:r>
      <w:r>
        <w:t xml:space="preserve"> </w:t>
      </w:r>
      <w:r w:rsidRPr="008001DB">
        <w:rPr>
          <w:rFonts w:ascii="Calibri" w:hAnsi="Calibri" w:cs="Times New Roman"/>
          <w:szCs w:val="24"/>
        </w:rPr>
        <w:t xml:space="preserve">E.F. Schumacher, </w:t>
      </w:r>
      <w:r w:rsidRPr="008001DB">
        <w:rPr>
          <w:rFonts w:ascii="Calibri" w:hAnsi="Calibri" w:cs="Times New Roman"/>
          <w:i/>
          <w:iCs/>
          <w:szCs w:val="24"/>
        </w:rPr>
        <w:t>Small Is Beautiful: Economics as If People Mattered</w:t>
      </w:r>
      <w:r w:rsidRPr="008001DB">
        <w:rPr>
          <w:rFonts w:ascii="Calibri" w:hAnsi="Calibri" w:cs="Times New Roman"/>
          <w:szCs w:val="24"/>
        </w:rPr>
        <w:t xml:space="preserve"> (New York: Harper and Row, 1973).</w:t>
      </w:r>
    </w:p>
  </w:footnote>
  <w:footnote w:id="10">
    <w:p w:rsidR="00FD0467" w:rsidRDefault="00FD0467" w:rsidP="00F9147F">
      <w:pPr>
        <w:pStyle w:val="FootnoteText"/>
        <w:ind w:firstLine="0"/>
      </w:pPr>
      <w:r w:rsidRPr="00A06000">
        <w:rPr>
          <w:rStyle w:val="FootnoteReference"/>
        </w:rPr>
        <w:footnoteRef/>
      </w:r>
      <w:r>
        <w:t xml:space="preserve"> </w:t>
      </w:r>
      <w:r w:rsidRPr="00164353">
        <w:rPr>
          <w:rFonts w:ascii="Calibri" w:hAnsi="Calibri" w:cs="Times New Roman"/>
          <w:szCs w:val="24"/>
        </w:rPr>
        <w:t xml:space="preserve">L. Winner, </w:t>
      </w:r>
      <w:r w:rsidRPr="00164353">
        <w:rPr>
          <w:rFonts w:ascii="Calibri" w:hAnsi="Calibri" w:cs="Times New Roman"/>
          <w:i/>
          <w:iCs/>
          <w:szCs w:val="24"/>
        </w:rPr>
        <w:t>The Whale and the Reactor: A Search for Limits in an Age of High Technology</w:t>
      </w:r>
      <w:r w:rsidRPr="00164353">
        <w:rPr>
          <w:rFonts w:ascii="Calibri" w:hAnsi="Calibri" w:cs="Times New Roman"/>
          <w:szCs w:val="24"/>
        </w:rPr>
        <w:t xml:space="preserve"> (Chicago: University of Chicago Press, 1986), 80; For a more recent critique of technological exuberance as a theory of environmental change, see D.F. White, “A Green Industrial Revolution? Sustainable Technological Innovation in a Global Age,” </w:t>
      </w:r>
      <w:r w:rsidRPr="00164353">
        <w:rPr>
          <w:rFonts w:ascii="Calibri" w:hAnsi="Calibri" w:cs="Times New Roman"/>
          <w:i/>
          <w:iCs/>
          <w:szCs w:val="24"/>
        </w:rPr>
        <w:t>Environmental Politics</w:t>
      </w:r>
      <w:r w:rsidRPr="00164353">
        <w:rPr>
          <w:rFonts w:ascii="Calibri" w:hAnsi="Calibri" w:cs="Times New Roman"/>
          <w:szCs w:val="24"/>
        </w:rPr>
        <w:t xml:space="preserve"> 11, no. 2 (June 2002): 1–26, doi</w:t>
      </w:r>
      <w:proofErr w:type="gramStart"/>
      <w:r w:rsidRPr="00164353">
        <w:rPr>
          <w:rFonts w:ascii="Calibri" w:hAnsi="Calibri" w:cs="Times New Roman"/>
          <w:szCs w:val="24"/>
        </w:rPr>
        <w:t>:10.1080</w:t>
      </w:r>
      <w:proofErr w:type="gramEnd"/>
      <w:r w:rsidRPr="00164353">
        <w:rPr>
          <w:rFonts w:ascii="Calibri" w:hAnsi="Calibri" w:cs="Times New Roman"/>
          <w:szCs w:val="24"/>
        </w:rPr>
        <w:t>/714000603.</w:t>
      </w:r>
    </w:p>
  </w:footnote>
  <w:footnote w:id="11">
    <w:p w:rsidR="00FD0467" w:rsidRDefault="00FD0467" w:rsidP="00F9147F">
      <w:pPr>
        <w:pStyle w:val="FootnoteText"/>
        <w:ind w:firstLine="0"/>
      </w:pPr>
      <w:r w:rsidRPr="00A06000">
        <w:rPr>
          <w:rStyle w:val="FootnoteReference"/>
        </w:rPr>
        <w:footnoteRef/>
      </w:r>
      <w:r>
        <w:t xml:space="preserve"> </w:t>
      </w:r>
      <w:r w:rsidRPr="00305602">
        <w:rPr>
          <w:rFonts w:ascii="Calibri" w:hAnsi="Calibri" w:cs="Times New Roman"/>
          <w:szCs w:val="24"/>
        </w:rPr>
        <w:t>“About CCAT | CCAT,” accessed March 8, 2013, http://www.ccathsu.com/about.</w:t>
      </w:r>
    </w:p>
  </w:footnote>
  <w:footnote w:id="12">
    <w:p w:rsidR="00FD0467" w:rsidRDefault="00FD0467" w:rsidP="0043057B">
      <w:pPr>
        <w:pStyle w:val="FootnoteText"/>
        <w:ind w:firstLine="0"/>
      </w:pPr>
      <w:r w:rsidRPr="00A06000">
        <w:rPr>
          <w:rStyle w:val="FootnoteReference"/>
        </w:rPr>
        <w:footnoteRef/>
      </w:r>
      <w:r>
        <w:t xml:space="preserve"> </w:t>
      </w:r>
      <w:proofErr w:type="gramStart"/>
      <w:r w:rsidRPr="000E7B2E">
        <w:rPr>
          <w:rFonts w:ascii="Calibri" w:hAnsi="Calibri" w:cs="Times New Roman"/>
          <w:szCs w:val="24"/>
        </w:rPr>
        <w:t xml:space="preserve">Martin Heidegger, “Building, Dwelling, Thinking,” in </w:t>
      </w:r>
      <w:r w:rsidRPr="000E7B2E">
        <w:rPr>
          <w:rFonts w:ascii="Calibri" w:hAnsi="Calibri" w:cs="Times New Roman"/>
          <w:i/>
          <w:iCs/>
          <w:szCs w:val="24"/>
        </w:rPr>
        <w:t>Basic Writings</w:t>
      </w:r>
      <w:r w:rsidRPr="000E7B2E">
        <w:rPr>
          <w:rFonts w:ascii="Calibri" w:hAnsi="Calibri" w:cs="Times New Roman"/>
          <w:szCs w:val="24"/>
        </w:rPr>
        <w:t>, ed. D</w:t>
      </w:r>
      <w:r w:rsidRPr="00276E7D">
        <w:rPr>
          <w:rFonts w:ascii="Calibri" w:hAnsi="Calibri" w:cs="Times New Roman"/>
          <w:b/>
          <w:szCs w:val="24"/>
        </w:rPr>
        <w:t>a</w:t>
      </w:r>
      <w:r w:rsidRPr="000E7B2E">
        <w:rPr>
          <w:rFonts w:ascii="Calibri" w:hAnsi="Calibri" w:cs="Times New Roman"/>
          <w:szCs w:val="24"/>
        </w:rPr>
        <w:t>vid Farrell Krell, revised and expanded edition (HarperCollins, 1993), 348.</w:t>
      </w:r>
      <w:proofErr w:type="gramEnd"/>
    </w:p>
  </w:footnote>
  <w:footnote w:id="13">
    <w:p w:rsidR="00FD0467" w:rsidRDefault="00FD0467" w:rsidP="005B7C20">
      <w:pPr>
        <w:pStyle w:val="FootnoteText"/>
        <w:ind w:firstLine="0"/>
      </w:pPr>
      <w:r w:rsidRPr="00A06000">
        <w:rPr>
          <w:rStyle w:val="FootnoteReference"/>
        </w:rPr>
        <w:footnoteRef/>
      </w:r>
      <w:r>
        <w:t xml:space="preserve"> </w:t>
      </w:r>
      <w:r w:rsidRPr="00A14991">
        <w:rPr>
          <w:rFonts w:ascii="Calibri" w:hAnsi="Calibri" w:cs="Times New Roman"/>
          <w:szCs w:val="24"/>
        </w:rPr>
        <w:t xml:space="preserve">Iris Marion Young, “House and Home: Feminist Variations on a Theme,” in </w:t>
      </w:r>
      <w:r w:rsidRPr="00A14991">
        <w:rPr>
          <w:rFonts w:ascii="Calibri" w:hAnsi="Calibri" w:cs="Times New Roman"/>
          <w:i/>
          <w:iCs/>
          <w:szCs w:val="24"/>
        </w:rPr>
        <w:t>Feminist Interpretations of Martin Heidegger</w:t>
      </w:r>
      <w:r w:rsidRPr="00A14991">
        <w:rPr>
          <w:rFonts w:ascii="Calibri" w:hAnsi="Calibri" w:cs="Times New Roman"/>
          <w:szCs w:val="24"/>
        </w:rPr>
        <w:t xml:space="preserve"> (University Park: Pennsylvania State University Press, 2001), 255–256.</w:t>
      </w:r>
    </w:p>
  </w:footnote>
  <w:footnote w:id="14">
    <w:p w:rsidR="00FD0467" w:rsidRDefault="00FD0467" w:rsidP="00F9147F">
      <w:pPr>
        <w:pStyle w:val="FootnoteText"/>
        <w:ind w:firstLine="0"/>
      </w:pPr>
      <w:r w:rsidRPr="00A06000">
        <w:rPr>
          <w:rStyle w:val="FootnoteReference"/>
        </w:rPr>
        <w:footnoteRef/>
      </w:r>
      <w:r>
        <w:t xml:space="preserve"> </w:t>
      </w:r>
      <w:r w:rsidRPr="00CA6975">
        <w:rPr>
          <w:rFonts w:ascii="Calibri" w:hAnsi="Calibri" w:cs="Times New Roman"/>
          <w:szCs w:val="24"/>
        </w:rPr>
        <w:t xml:space="preserve">Ibid., 269; For a more complete development of the relationship of building or “founding” to preservation, see Peter F. Cannavò, </w:t>
      </w:r>
      <w:r w:rsidRPr="00CA6975">
        <w:rPr>
          <w:rFonts w:ascii="Calibri" w:hAnsi="Calibri" w:cs="Times New Roman"/>
          <w:i/>
          <w:iCs/>
          <w:szCs w:val="24"/>
        </w:rPr>
        <w:t>The Working Landscape: Founding, Preservation, and the Politics of Place</w:t>
      </w:r>
      <w:r w:rsidRPr="00CA6975">
        <w:rPr>
          <w:rFonts w:ascii="Calibri" w:hAnsi="Calibri" w:cs="Times New Roman"/>
          <w:szCs w:val="24"/>
        </w:rPr>
        <w:t xml:space="preserve"> (MIT Press, 2007).</w:t>
      </w:r>
    </w:p>
  </w:footnote>
  <w:footnote w:id="15">
    <w:p w:rsidR="00FD0467" w:rsidRDefault="00FD0467" w:rsidP="00CA6975">
      <w:pPr>
        <w:pStyle w:val="FootnoteText"/>
        <w:ind w:firstLine="0"/>
      </w:pPr>
      <w:r w:rsidRPr="00A06000">
        <w:rPr>
          <w:rStyle w:val="FootnoteReference"/>
        </w:rPr>
        <w:footnoteRef/>
      </w:r>
      <w:r>
        <w:t xml:space="preserve"> </w:t>
      </w:r>
      <w:r w:rsidRPr="00CA6975">
        <w:rPr>
          <w:rFonts w:ascii="Calibri" w:hAnsi="Calibri" w:cs="Times New Roman"/>
          <w:szCs w:val="24"/>
        </w:rPr>
        <w:t xml:space="preserve">Sean Armstrong, “Notes for CCAT History,” </w:t>
      </w:r>
      <w:proofErr w:type="spellStart"/>
      <w:r w:rsidRPr="00CA6975">
        <w:rPr>
          <w:rFonts w:ascii="Calibri" w:hAnsi="Calibri" w:cs="Times New Roman"/>
          <w:szCs w:val="24"/>
        </w:rPr>
        <w:t>n.d.</w:t>
      </w:r>
      <w:proofErr w:type="spellEnd"/>
    </w:p>
  </w:footnote>
  <w:footnote w:id="16">
    <w:p w:rsidR="00FD0467" w:rsidRDefault="00FD0467" w:rsidP="00F9147F">
      <w:pPr>
        <w:pStyle w:val="FootnoteText"/>
        <w:ind w:firstLine="0"/>
      </w:pPr>
      <w:r w:rsidRPr="00A06000">
        <w:rPr>
          <w:rStyle w:val="FootnoteReference"/>
        </w:rPr>
        <w:footnoteRef/>
      </w:r>
      <w:r>
        <w:t xml:space="preserve"> </w:t>
      </w:r>
      <w:r w:rsidRPr="00C613F9">
        <w:rPr>
          <w:rFonts w:ascii="Calibri" w:hAnsi="Calibri" w:cs="Times New Roman"/>
          <w:szCs w:val="24"/>
        </w:rPr>
        <w:t xml:space="preserve">“About LEED | U.S. Green Building Council,” accessed July 23, 2013, http://www.usgbc.org/articles/about-leed; Noortje Marres, “Testing Powers of Engagement: Green Living Experiments, the Ontological Turn and the Undoability of Involvement,” </w:t>
      </w:r>
      <w:r w:rsidRPr="00C613F9">
        <w:rPr>
          <w:rFonts w:ascii="Calibri" w:hAnsi="Calibri" w:cs="Times New Roman"/>
          <w:i/>
          <w:iCs/>
          <w:szCs w:val="24"/>
        </w:rPr>
        <w:t>European Journal of Social Theory</w:t>
      </w:r>
      <w:r w:rsidRPr="00C613F9">
        <w:rPr>
          <w:rFonts w:ascii="Calibri" w:hAnsi="Calibri" w:cs="Times New Roman"/>
          <w:szCs w:val="24"/>
        </w:rPr>
        <w:t xml:space="preserve"> 12, no. 1 (February 1, 2009): 117 –133, doi</w:t>
      </w:r>
      <w:proofErr w:type="gramStart"/>
      <w:r w:rsidRPr="00C613F9">
        <w:rPr>
          <w:rFonts w:ascii="Calibri" w:hAnsi="Calibri" w:cs="Times New Roman"/>
          <w:szCs w:val="24"/>
        </w:rPr>
        <w:t>:10.1177</w:t>
      </w:r>
      <w:proofErr w:type="gramEnd"/>
      <w:r w:rsidRPr="00C613F9">
        <w:rPr>
          <w:rFonts w:ascii="Calibri" w:hAnsi="Calibri" w:cs="Times New Roman"/>
          <w:szCs w:val="24"/>
        </w:rPr>
        <w:t xml:space="preserve">/1368431008099647; Noortje Marres, </w:t>
      </w:r>
      <w:r w:rsidRPr="00C613F9">
        <w:rPr>
          <w:rFonts w:ascii="Calibri" w:hAnsi="Calibri" w:cs="Times New Roman"/>
          <w:i/>
          <w:iCs/>
          <w:szCs w:val="24"/>
        </w:rPr>
        <w:t>Material Participation: Technology, the Environment and Everyday Publics</w:t>
      </w:r>
      <w:r w:rsidRPr="00C613F9">
        <w:rPr>
          <w:rFonts w:ascii="Calibri" w:hAnsi="Calibri" w:cs="Times New Roman"/>
          <w:szCs w:val="24"/>
        </w:rPr>
        <w:t xml:space="preserve"> (Palgrave Macmillan, 2012), 106–131.</w:t>
      </w:r>
    </w:p>
  </w:footnote>
  <w:footnote w:id="17">
    <w:p w:rsidR="00FD0467" w:rsidRDefault="00FD0467" w:rsidP="00F9147F">
      <w:pPr>
        <w:pStyle w:val="FootnoteText"/>
        <w:ind w:firstLine="0"/>
      </w:pPr>
      <w:r w:rsidRPr="00A06000">
        <w:rPr>
          <w:rStyle w:val="FootnoteReference"/>
        </w:rPr>
        <w:footnoteRef/>
      </w:r>
      <w:r>
        <w:t xml:space="preserve"> </w:t>
      </w:r>
      <w:proofErr w:type="spellStart"/>
      <w:r w:rsidRPr="00305602">
        <w:rPr>
          <w:rFonts w:ascii="Calibri" w:hAnsi="Calibri" w:cs="Times New Roman"/>
          <w:szCs w:val="24"/>
        </w:rPr>
        <w:t>Marres</w:t>
      </w:r>
      <w:proofErr w:type="spellEnd"/>
      <w:r w:rsidRPr="00305602">
        <w:rPr>
          <w:rFonts w:ascii="Calibri" w:hAnsi="Calibri" w:cs="Times New Roman"/>
          <w:szCs w:val="24"/>
        </w:rPr>
        <w:t xml:space="preserve">, </w:t>
      </w:r>
      <w:r w:rsidRPr="00305602">
        <w:rPr>
          <w:rFonts w:ascii="Calibri" w:hAnsi="Calibri" w:cs="Times New Roman"/>
          <w:i/>
          <w:iCs/>
          <w:szCs w:val="24"/>
        </w:rPr>
        <w:t>Material Participation</w:t>
      </w:r>
      <w:r w:rsidRPr="00305602">
        <w:rPr>
          <w:rFonts w:ascii="Calibri" w:hAnsi="Calibri" w:cs="Times New Roman"/>
          <w:szCs w:val="24"/>
        </w:rPr>
        <w:t>, 114.</w:t>
      </w:r>
    </w:p>
  </w:footnote>
  <w:footnote w:id="18">
    <w:p w:rsidR="00FD0467" w:rsidRDefault="00FD0467" w:rsidP="00F9147F">
      <w:pPr>
        <w:pStyle w:val="FootnoteText"/>
        <w:ind w:firstLine="0"/>
      </w:pPr>
      <w:r w:rsidRPr="00A06000">
        <w:rPr>
          <w:rStyle w:val="FootnoteReference"/>
        </w:rPr>
        <w:footnoteRef/>
      </w:r>
      <w:r>
        <w:t xml:space="preserve"> </w:t>
      </w:r>
      <w:r w:rsidRPr="00B8018F">
        <w:rPr>
          <w:rFonts w:ascii="Calibri" w:hAnsi="Calibri" w:cs="Times New Roman"/>
          <w:szCs w:val="24"/>
        </w:rPr>
        <w:t xml:space="preserve">B. Latour, “Why Has Critique Run out of Steam? From Matters of Fact to Matters of Concern,” </w:t>
      </w:r>
      <w:r w:rsidRPr="00B8018F">
        <w:rPr>
          <w:rFonts w:ascii="Calibri" w:hAnsi="Calibri" w:cs="Times New Roman"/>
          <w:i/>
          <w:iCs/>
          <w:szCs w:val="24"/>
        </w:rPr>
        <w:t>Critical Inquiry</w:t>
      </w:r>
      <w:r w:rsidRPr="00B8018F">
        <w:rPr>
          <w:rFonts w:ascii="Calibri" w:hAnsi="Calibri" w:cs="Times New Roman"/>
          <w:szCs w:val="24"/>
        </w:rPr>
        <w:t xml:space="preserve"> 30, no. 2 (2004): 225–48.</w:t>
      </w:r>
    </w:p>
  </w:footnote>
  <w:footnote w:id="19">
    <w:p w:rsidR="00FD0467" w:rsidRDefault="00FD0467" w:rsidP="00F9147F">
      <w:pPr>
        <w:pStyle w:val="FootnoteText"/>
        <w:ind w:firstLine="0"/>
      </w:pPr>
      <w:r w:rsidRPr="00A06000">
        <w:rPr>
          <w:rStyle w:val="FootnoteReference"/>
        </w:rPr>
        <w:footnoteRef/>
      </w:r>
      <w:r>
        <w:t xml:space="preserve"> </w:t>
      </w:r>
      <w:r w:rsidRPr="00B8018F">
        <w:rPr>
          <w:rFonts w:ascii="Calibri" w:hAnsi="Calibri" w:cs="Times New Roman"/>
          <w:szCs w:val="24"/>
        </w:rPr>
        <w:t xml:space="preserve">For example, Kevin Fagan, “Power on a Shoestring / 21-Year Experiment Finds Ways Anyone Can Cut Energy Costs,” </w:t>
      </w:r>
      <w:r w:rsidRPr="00B8018F">
        <w:rPr>
          <w:rFonts w:ascii="Calibri" w:hAnsi="Calibri" w:cs="Times New Roman"/>
          <w:i/>
          <w:iCs/>
          <w:szCs w:val="24"/>
        </w:rPr>
        <w:t>San Francisco Chronicle</w:t>
      </w:r>
      <w:r w:rsidRPr="00B8018F">
        <w:rPr>
          <w:rFonts w:ascii="Calibri" w:hAnsi="Calibri" w:cs="Times New Roman"/>
          <w:szCs w:val="24"/>
        </w:rPr>
        <w:t>, January 8, 2001.</w:t>
      </w:r>
    </w:p>
  </w:footnote>
  <w:footnote w:id="20">
    <w:p w:rsidR="00FD0467" w:rsidRDefault="00FD0467" w:rsidP="00F9147F">
      <w:pPr>
        <w:pStyle w:val="FootnoteText"/>
        <w:ind w:firstLine="0"/>
      </w:pPr>
      <w:r w:rsidRPr="00A06000">
        <w:rPr>
          <w:rStyle w:val="FootnoteReference"/>
        </w:rPr>
        <w:footnoteRef/>
      </w:r>
      <w:r>
        <w:t xml:space="preserve"> </w:t>
      </w:r>
      <w:r w:rsidRPr="00305602">
        <w:rPr>
          <w:rFonts w:ascii="Calibri" w:hAnsi="Calibri" w:cs="Times New Roman"/>
          <w:szCs w:val="24"/>
        </w:rPr>
        <w:t xml:space="preserve">Alison Blunt and Robyn Dowling, </w:t>
      </w:r>
      <w:r w:rsidRPr="00305602">
        <w:rPr>
          <w:rFonts w:ascii="Calibri" w:hAnsi="Calibri" w:cs="Times New Roman"/>
          <w:i/>
          <w:iCs/>
          <w:szCs w:val="24"/>
        </w:rPr>
        <w:t>Home</w:t>
      </w:r>
      <w:r w:rsidRPr="00305602">
        <w:rPr>
          <w:rFonts w:ascii="Calibri" w:hAnsi="Calibri" w:cs="Times New Roman"/>
          <w:szCs w:val="24"/>
        </w:rPr>
        <w:t xml:space="preserve"> (Routledge, 2006), 2; 22; also Peter Saunders and Peter Williams, “The Constitution of the Home: Towards a Research Agenda,” </w:t>
      </w:r>
      <w:r w:rsidRPr="00305602">
        <w:rPr>
          <w:rFonts w:ascii="Calibri" w:hAnsi="Calibri" w:cs="Times New Roman"/>
          <w:i/>
          <w:iCs/>
          <w:szCs w:val="24"/>
        </w:rPr>
        <w:t>Housing Studies</w:t>
      </w:r>
      <w:r w:rsidRPr="00305602">
        <w:rPr>
          <w:rFonts w:ascii="Calibri" w:hAnsi="Calibri" w:cs="Times New Roman"/>
          <w:szCs w:val="24"/>
        </w:rPr>
        <w:t xml:space="preserve"> 3, no. 2 (1988): 81–93, doi</w:t>
      </w:r>
      <w:proofErr w:type="gramStart"/>
      <w:r w:rsidRPr="00305602">
        <w:rPr>
          <w:rFonts w:ascii="Calibri" w:hAnsi="Calibri" w:cs="Times New Roman"/>
          <w:szCs w:val="24"/>
        </w:rPr>
        <w:t>:10.1080</w:t>
      </w:r>
      <w:proofErr w:type="gramEnd"/>
      <w:r w:rsidRPr="00305602">
        <w:rPr>
          <w:rFonts w:ascii="Calibri" w:hAnsi="Calibri" w:cs="Times New Roman"/>
          <w:szCs w:val="24"/>
        </w:rPr>
        <w:t>/02673038808720618.</w:t>
      </w:r>
    </w:p>
  </w:footnote>
  <w:footnote w:id="21">
    <w:p w:rsidR="00FD0467" w:rsidRDefault="00FD0467" w:rsidP="00F9147F">
      <w:pPr>
        <w:pStyle w:val="FootnoteText"/>
        <w:ind w:firstLine="0"/>
      </w:pPr>
      <w:r w:rsidRPr="00A06000">
        <w:rPr>
          <w:rStyle w:val="FootnoteReference"/>
        </w:rPr>
        <w:footnoteRef/>
      </w:r>
      <w:r>
        <w:t xml:space="preserve"> </w:t>
      </w:r>
      <w:r w:rsidRPr="00CA6975">
        <w:rPr>
          <w:rFonts w:ascii="Calibri" w:hAnsi="Calibri" w:cs="Times New Roman"/>
          <w:szCs w:val="24"/>
        </w:rPr>
        <w:t>“Household Change in the United States - Population Reference Bureau,” accessed March 13, 2013, http://www.prb.org/Publications/PopulationBulletins/2012/us-household-change.aspx.</w:t>
      </w:r>
    </w:p>
  </w:footnote>
  <w:footnote w:id="22">
    <w:p w:rsidR="00FD0467" w:rsidRDefault="00FD0467" w:rsidP="00F9147F">
      <w:pPr>
        <w:pStyle w:val="FootnoteText"/>
        <w:ind w:firstLine="0"/>
      </w:pPr>
      <w:r w:rsidRPr="00A06000">
        <w:rPr>
          <w:rStyle w:val="FootnoteReference"/>
        </w:rPr>
        <w:footnoteRef/>
      </w:r>
      <w:r>
        <w:t xml:space="preserve"> </w:t>
      </w:r>
      <w:r w:rsidRPr="00142BC1">
        <w:rPr>
          <w:rFonts w:ascii="Calibri" w:hAnsi="Calibri" w:cs="Times New Roman"/>
          <w:szCs w:val="24"/>
        </w:rPr>
        <w:t xml:space="preserve">Winner, </w:t>
      </w:r>
      <w:proofErr w:type="gramStart"/>
      <w:r w:rsidRPr="00142BC1">
        <w:rPr>
          <w:rFonts w:ascii="Calibri" w:hAnsi="Calibri" w:cs="Times New Roman"/>
          <w:i/>
          <w:iCs/>
          <w:szCs w:val="24"/>
        </w:rPr>
        <w:t>The</w:t>
      </w:r>
      <w:proofErr w:type="gramEnd"/>
      <w:r w:rsidRPr="00142BC1">
        <w:rPr>
          <w:rFonts w:ascii="Calibri" w:hAnsi="Calibri" w:cs="Times New Roman"/>
          <w:i/>
          <w:iCs/>
          <w:szCs w:val="24"/>
        </w:rPr>
        <w:t xml:space="preserve"> Whale and the Reactor: A Search for Limits in an Age of High Technology</w:t>
      </w:r>
      <w:r w:rsidRPr="00142BC1">
        <w:rPr>
          <w:rFonts w:ascii="Calibri" w:hAnsi="Calibri" w:cs="Times New Roman"/>
          <w:szCs w:val="24"/>
        </w:rPr>
        <w:t>, 64.</w:t>
      </w:r>
    </w:p>
  </w:footnote>
  <w:footnote w:id="23">
    <w:p w:rsidR="00FD0467" w:rsidRDefault="00FD0467" w:rsidP="00F9147F">
      <w:pPr>
        <w:pStyle w:val="FootnoteText"/>
        <w:ind w:firstLine="0"/>
      </w:pPr>
      <w:r w:rsidRPr="00A06000">
        <w:rPr>
          <w:rStyle w:val="FootnoteReference"/>
        </w:rPr>
        <w:footnoteRef/>
      </w:r>
      <w:r>
        <w:t xml:space="preserve"> </w:t>
      </w:r>
      <w:proofErr w:type="gramStart"/>
      <w:r w:rsidRPr="00142BC1">
        <w:rPr>
          <w:rFonts w:ascii="Calibri" w:hAnsi="Calibri"/>
        </w:rPr>
        <w:t>Ibid.,</w:t>
      </w:r>
      <w:proofErr w:type="gramEnd"/>
      <w:r w:rsidRPr="00142BC1">
        <w:rPr>
          <w:rFonts w:ascii="Calibri" w:hAnsi="Calibri"/>
        </w:rPr>
        <w:t xml:space="preserve"> 79.</w:t>
      </w:r>
    </w:p>
  </w:footnote>
  <w:footnote w:id="24">
    <w:p w:rsidR="00FD0467" w:rsidRDefault="00FD0467" w:rsidP="00F9147F">
      <w:pPr>
        <w:pStyle w:val="FootnoteText"/>
        <w:ind w:firstLine="0"/>
      </w:pPr>
      <w:r w:rsidRPr="00A06000">
        <w:rPr>
          <w:rStyle w:val="FootnoteReference"/>
        </w:rPr>
        <w:footnoteRef/>
      </w:r>
      <w:r>
        <w:t xml:space="preserve"> </w:t>
      </w:r>
      <w:r w:rsidRPr="00A07022">
        <w:rPr>
          <w:rFonts w:ascii="Calibri" w:hAnsi="Calibri" w:cs="Times New Roman"/>
          <w:szCs w:val="24"/>
        </w:rPr>
        <w:t xml:space="preserve">Gottlieb, </w:t>
      </w:r>
      <w:r w:rsidRPr="00A07022">
        <w:rPr>
          <w:rFonts w:ascii="Calibri" w:hAnsi="Calibri" w:cs="Times New Roman"/>
          <w:i/>
          <w:iCs/>
          <w:szCs w:val="24"/>
        </w:rPr>
        <w:t xml:space="preserve">Forcing the </w:t>
      </w:r>
      <w:proofErr w:type="gramStart"/>
      <w:r w:rsidRPr="00A07022">
        <w:rPr>
          <w:rFonts w:ascii="Calibri" w:hAnsi="Calibri" w:cs="Times New Roman"/>
          <w:i/>
          <w:iCs/>
          <w:szCs w:val="24"/>
        </w:rPr>
        <w:t>Spring</w:t>
      </w:r>
      <w:proofErr w:type="gramEnd"/>
      <w:r w:rsidRPr="00A07022">
        <w:rPr>
          <w:rFonts w:ascii="Calibri" w:hAnsi="Calibri" w:cs="Times New Roman"/>
          <w:szCs w:val="24"/>
        </w:rPr>
        <w:t>, 279.</w:t>
      </w:r>
    </w:p>
  </w:footnote>
  <w:footnote w:id="25">
    <w:p w:rsidR="00FD0467" w:rsidRDefault="00FD0467" w:rsidP="001A6301">
      <w:pPr>
        <w:pStyle w:val="FootnoteText"/>
        <w:ind w:firstLine="0"/>
      </w:pPr>
      <w:r w:rsidRPr="00A06000">
        <w:rPr>
          <w:rStyle w:val="FootnoteReference"/>
        </w:rPr>
        <w:footnoteRef/>
      </w:r>
      <w:r>
        <w:t xml:space="preserve"> </w:t>
      </w:r>
      <w:r w:rsidRPr="00B716A6">
        <w:rPr>
          <w:rFonts w:ascii="Calibri" w:hAnsi="Calibri" w:cs="Times New Roman"/>
          <w:szCs w:val="24"/>
        </w:rPr>
        <w:t xml:space="preserve">M. Sagoff, </w:t>
      </w:r>
      <w:proofErr w:type="gramStart"/>
      <w:r w:rsidRPr="00B716A6">
        <w:rPr>
          <w:rFonts w:ascii="Calibri" w:hAnsi="Calibri" w:cs="Times New Roman"/>
          <w:i/>
          <w:iCs/>
          <w:szCs w:val="24"/>
        </w:rPr>
        <w:t>The</w:t>
      </w:r>
      <w:proofErr w:type="gramEnd"/>
      <w:r w:rsidRPr="00B716A6">
        <w:rPr>
          <w:rFonts w:ascii="Calibri" w:hAnsi="Calibri" w:cs="Times New Roman"/>
          <w:i/>
          <w:iCs/>
          <w:szCs w:val="24"/>
        </w:rPr>
        <w:t xml:space="preserve"> Economy of the Earth: Philosophy, Law and the Environment</w:t>
      </w:r>
      <w:r w:rsidRPr="00B716A6">
        <w:rPr>
          <w:rFonts w:ascii="Calibri" w:hAnsi="Calibri" w:cs="Times New Roman"/>
          <w:szCs w:val="24"/>
        </w:rPr>
        <w:t xml:space="preserve"> (Cambridge: Cambridge University Press, 1988), 50–51.</w:t>
      </w:r>
    </w:p>
  </w:footnote>
  <w:footnote w:id="26">
    <w:p w:rsidR="00FD0467" w:rsidRDefault="00FD0467" w:rsidP="001A6301">
      <w:pPr>
        <w:pStyle w:val="FootnoteText"/>
        <w:ind w:firstLine="0"/>
      </w:pPr>
      <w:r w:rsidRPr="00A06000">
        <w:rPr>
          <w:rStyle w:val="FootnoteReference"/>
        </w:rPr>
        <w:footnoteRef/>
      </w:r>
      <w:r>
        <w:t xml:space="preserve"> </w:t>
      </w:r>
      <w:proofErr w:type="gramStart"/>
      <w:r w:rsidRPr="004E0C4C">
        <w:rPr>
          <w:rFonts w:ascii="Calibri" w:hAnsi="Calibri"/>
        </w:rPr>
        <w:t>Ibid.,</w:t>
      </w:r>
      <w:proofErr w:type="gramEnd"/>
      <w:r w:rsidRPr="004E0C4C">
        <w:rPr>
          <w:rFonts w:ascii="Calibri" w:hAnsi="Calibri"/>
        </w:rPr>
        <w:t xml:space="preserve"> 52.</w:t>
      </w:r>
    </w:p>
  </w:footnote>
  <w:footnote w:id="27">
    <w:p w:rsidR="00FD0467" w:rsidRDefault="00FD0467" w:rsidP="001A6301">
      <w:pPr>
        <w:pStyle w:val="FootnoteText"/>
        <w:ind w:firstLine="0"/>
      </w:pPr>
      <w:r w:rsidRPr="00A06000">
        <w:rPr>
          <w:rStyle w:val="FootnoteReference"/>
        </w:rPr>
        <w:footnoteRef/>
      </w:r>
      <w:r>
        <w:t xml:space="preserve"> </w:t>
      </w:r>
      <w:proofErr w:type="gramStart"/>
      <w:r w:rsidRPr="00A618A6">
        <w:rPr>
          <w:rFonts w:ascii="Calibri" w:hAnsi="Calibri"/>
        </w:rPr>
        <w:t>Ibid.,</w:t>
      </w:r>
      <w:proofErr w:type="gramEnd"/>
      <w:r w:rsidRPr="00A618A6">
        <w:rPr>
          <w:rFonts w:ascii="Calibri" w:hAnsi="Calibri"/>
        </w:rPr>
        <w:t xml:space="preserve"> 53.</w:t>
      </w:r>
    </w:p>
  </w:footnote>
  <w:footnote w:id="28">
    <w:p w:rsidR="00FD0467" w:rsidRDefault="00FD0467" w:rsidP="001A6301">
      <w:pPr>
        <w:pStyle w:val="FootnoteText"/>
        <w:ind w:firstLine="0"/>
      </w:pPr>
      <w:r w:rsidRPr="00A06000">
        <w:rPr>
          <w:rStyle w:val="FootnoteReference"/>
        </w:rPr>
        <w:footnoteRef/>
      </w:r>
      <w:r>
        <w:t xml:space="preserve"> </w:t>
      </w:r>
      <w:proofErr w:type="gramStart"/>
      <w:r w:rsidRPr="00B716A6">
        <w:rPr>
          <w:rFonts w:ascii="Calibri" w:hAnsi="Calibri"/>
        </w:rPr>
        <w:t>Ibid.,</w:t>
      </w:r>
      <w:proofErr w:type="gramEnd"/>
      <w:r w:rsidRPr="00B716A6">
        <w:rPr>
          <w:rFonts w:ascii="Calibri" w:hAnsi="Calibri"/>
        </w:rPr>
        <w:t xml:space="preserve"> 52.</w:t>
      </w:r>
    </w:p>
  </w:footnote>
  <w:footnote w:id="29">
    <w:p w:rsidR="00FD0467" w:rsidRDefault="00FD0467" w:rsidP="001A6301">
      <w:pPr>
        <w:pStyle w:val="FootnoteText"/>
        <w:ind w:firstLine="0"/>
      </w:pPr>
      <w:r w:rsidRPr="00A06000">
        <w:rPr>
          <w:rStyle w:val="FootnoteReference"/>
        </w:rPr>
        <w:footnoteRef/>
      </w:r>
      <w:r>
        <w:t xml:space="preserve"> </w:t>
      </w:r>
      <w:r w:rsidRPr="00B8018F">
        <w:rPr>
          <w:rFonts w:ascii="Calibri" w:hAnsi="Calibri" w:cs="Times New Roman"/>
          <w:szCs w:val="24"/>
        </w:rPr>
        <w:t xml:space="preserve">Russell </w:t>
      </w:r>
      <w:proofErr w:type="spellStart"/>
      <w:r w:rsidRPr="00B8018F">
        <w:rPr>
          <w:rFonts w:ascii="Calibri" w:hAnsi="Calibri" w:cs="Times New Roman"/>
          <w:szCs w:val="24"/>
        </w:rPr>
        <w:t>Keat</w:t>
      </w:r>
      <w:proofErr w:type="spellEnd"/>
      <w:r w:rsidRPr="00B8018F">
        <w:rPr>
          <w:rFonts w:ascii="Calibri" w:hAnsi="Calibri" w:cs="Times New Roman"/>
          <w:szCs w:val="24"/>
        </w:rPr>
        <w:t xml:space="preserve"> raised a related challenge to Sagoff’s dichotomy nearly two decades ago, arguing that the pursuit of consumption is often a publicly shared value and not merely a private preference: “Citizens, Consumers and the Environment: Reflections on The Economy of the Earth,” </w:t>
      </w:r>
      <w:r w:rsidRPr="00B8018F">
        <w:rPr>
          <w:rFonts w:ascii="Calibri" w:hAnsi="Calibri" w:cs="Times New Roman"/>
          <w:i/>
          <w:iCs/>
          <w:szCs w:val="24"/>
        </w:rPr>
        <w:t>Environmental Values</w:t>
      </w:r>
      <w:r w:rsidRPr="00B8018F">
        <w:rPr>
          <w:rFonts w:ascii="Calibri" w:hAnsi="Calibri" w:cs="Times New Roman"/>
          <w:szCs w:val="24"/>
        </w:rPr>
        <w:t xml:space="preserve"> 3, no. 4 (November 1, 1994): 333–49, doi</w:t>
      </w:r>
      <w:proofErr w:type="gramStart"/>
      <w:r w:rsidRPr="00B8018F">
        <w:rPr>
          <w:rFonts w:ascii="Calibri" w:hAnsi="Calibri" w:cs="Times New Roman"/>
          <w:szCs w:val="24"/>
        </w:rPr>
        <w:t>:10.3197</w:t>
      </w:r>
      <w:proofErr w:type="gramEnd"/>
      <w:r w:rsidRPr="00B8018F">
        <w:rPr>
          <w:rFonts w:ascii="Calibri" w:hAnsi="Calibri" w:cs="Times New Roman"/>
          <w:szCs w:val="24"/>
        </w:rPr>
        <w:t>/096327194776679674.</w:t>
      </w:r>
    </w:p>
  </w:footnote>
  <w:footnote w:id="30">
    <w:p w:rsidR="00FD0467" w:rsidRDefault="00FD0467" w:rsidP="001A6301">
      <w:pPr>
        <w:pStyle w:val="FootnoteText"/>
        <w:ind w:firstLine="0"/>
      </w:pPr>
      <w:r w:rsidRPr="00A06000">
        <w:rPr>
          <w:rStyle w:val="FootnoteReference"/>
        </w:rPr>
        <w:footnoteRef/>
      </w:r>
      <w:r>
        <w:t xml:space="preserve"> </w:t>
      </w:r>
      <w:r w:rsidRPr="00A83B69">
        <w:rPr>
          <w:rFonts w:ascii="Calibri" w:hAnsi="Calibri" w:cs="Times New Roman"/>
          <w:szCs w:val="24"/>
        </w:rPr>
        <w:t>M. Maniates, “Individualization Plant a Tree, Buy a Bike, Save the World</w:t>
      </w:r>
      <w:proofErr w:type="gramStart"/>
      <w:r w:rsidRPr="00A83B69">
        <w:rPr>
          <w:rFonts w:ascii="Calibri" w:hAnsi="Calibri" w:cs="Times New Roman"/>
          <w:szCs w:val="24"/>
        </w:rPr>
        <w:t>?,</w:t>
      </w:r>
      <w:proofErr w:type="gramEnd"/>
      <w:r w:rsidRPr="00A83B69">
        <w:rPr>
          <w:rFonts w:ascii="Calibri" w:hAnsi="Calibri" w:cs="Times New Roman"/>
          <w:szCs w:val="24"/>
        </w:rPr>
        <w:t xml:space="preserve">” in </w:t>
      </w:r>
      <w:r w:rsidRPr="00A83B69">
        <w:rPr>
          <w:rFonts w:ascii="Calibri" w:hAnsi="Calibri" w:cs="Times New Roman"/>
          <w:i/>
          <w:iCs/>
          <w:szCs w:val="24"/>
        </w:rPr>
        <w:t>Confronting Consumption</w:t>
      </w:r>
      <w:r w:rsidRPr="00A83B69">
        <w:rPr>
          <w:rFonts w:ascii="Calibri" w:hAnsi="Calibri" w:cs="Times New Roman"/>
          <w:szCs w:val="24"/>
        </w:rPr>
        <w:t>, ed. T. Princen, M. Maniates, and K. Conca (Cambridge: MIT Press, 2002).</w:t>
      </w:r>
    </w:p>
  </w:footnote>
  <w:footnote w:id="31">
    <w:p w:rsidR="00FD0467" w:rsidRDefault="00FD0467" w:rsidP="001A6301">
      <w:pPr>
        <w:pStyle w:val="FootnoteText"/>
        <w:ind w:firstLine="0"/>
      </w:pPr>
      <w:r w:rsidRPr="00A06000">
        <w:rPr>
          <w:rStyle w:val="FootnoteReference"/>
        </w:rPr>
        <w:footnoteRef/>
      </w:r>
      <w:r>
        <w:t xml:space="preserve"> </w:t>
      </w:r>
      <w:r w:rsidRPr="00F44201">
        <w:rPr>
          <w:rFonts w:ascii="Calibri" w:hAnsi="Calibri" w:cs="Times New Roman"/>
          <w:szCs w:val="24"/>
        </w:rPr>
        <w:t xml:space="preserve">Tim Luke’s take-down of green consumerism remains among the best: </w:t>
      </w:r>
      <w:r w:rsidRPr="00F44201">
        <w:rPr>
          <w:rFonts w:ascii="Calibri" w:hAnsi="Calibri" w:cs="Times New Roman"/>
          <w:i/>
          <w:iCs/>
          <w:szCs w:val="24"/>
        </w:rPr>
        <w:t>Ecocritique: Contesting the Politics of Nature, Economy, and Culture</w:t>
      </w:r>
      <w:r w:rsidRPr="00F44201">
        <w:rPr>
          <w:rFonts w:ascii="Calibri" w:hAnsi="Calibri" w:cs="Times New Roman"/>
          <w:szCs w:val="24"/>
        </w:rPr>
        <w:t xml:space="preserve"> (Minneapolis: University of Minnesota Press, 1997), 116–136.</w:t>
      </w:r>
    </w:p>
  </w:footnote>
  <w:footnote w:id="32">
    <w:p w:rsidR="00FD0467" w:rsidRDefault="00FD0467" w:rsidP="001A6301">
      <w:pPr>
        <w:pStyle w:val="FootnoteText"/>
        <w:ind w:firstLine="0"/>
      </w:pPr>
      <w:r w:rsidRPr="00A06000">
        <w:rPr>
          <w:rStyle w:val="FootnoteReference"/>
        </w:rPr>
        <w:footnoteRef/>
      </w:r>
      <w:r>
        <w:t xml:space="preserve"> </w:t>
      </w:r>
      <w:r w:rsidRPr="00E844A5">
        <w:rPr>
          <w:rFonts w:ascii="Calibri" w:hAnsi="Calibri" w:cs="Times New Roman"/>
          <w:szCs w:val="24"/>
        </w:rPr>
        <w:t xml:space="preserve">Dobson, </w:t>
      </w:r>
      <w:r w:rsidRPr="00E844A5">
        <w:rPr>
          <w:rFonts w:ascii="Calibri" w:hAnsi="Calibri" w:cs="Times New Roman"/>
          <w:i/>
          <w:iCs/>
          <w:szCs w:val="24"/>
        </w:rPr>
        <w:t>Citizenship and the Environment</w:t>
      </w:r>
      <w:r w:rsidRPr="00E844A5">
        <w:rPr>
          <w:rFonts w:ascii="Calibri" w:hAnsi="Calibri" w:cs="Times New Roman"/>
          <w:szCs w:val="24"/>
        </w:rPr>
        <w:t xml:space="preserve">, 83–139 </w:t>
      </w:r>
      <w:proofErr w:type="gramStart"/>
      <w:r w:rsidRPr="00E844A5">
        <w:rPr>
          <w:rFonts w:ascii="Calibri" w:hAnsi="Calibri" w:cs="Times New Roman"/>
          <w:szCs w:val="24"/>
        </w:rPr>
        <w:t>See</w:t>
      </w:r>
      <w:proofErr w:type="gramEnd"/>
      <w:r w:rsidRPr="00E844A5">
        <w:rPr>
          <w:rFonts w:ascii="Calibri" w:hAnsi="Calibri" w:cs="Times New Roman"/>
          <w:szCs w:val="24"/>
        </w:rPr>
        <w:t xml:space="preserve"> further discussion of Dobson’s argument in Chapter 2.</w:t>
      </w:r>
      <w:r>
        <w:t xml:space="preserve"> </w:t>
      </w:r>
    </w:p>
  </w:footnote>
  <w:footnote w:id="33">
    <w:p w:rsidR="00FD0467" w:rsidRDefault="00FD0467" w:rsidP="001A6301">
      <w:pPr>
        <w:pStyle w:val="FootnoteText"/>
        <w:ind w:firstLine="0"/>
      </w:pPr>
      <w:r w:rsidRPr="00A06000">
        <w:rPr>
          <w:rStyle w:val="FootnoteReference"/>
        </w:rPr>
        <w:footnoteRef/>
      </w:r>
      <w:r>
        <w:t xml:space="preserve"> </w:t>
      </w:r>
      <w:proofErr w:type="spellStart"/>
      <w:r w:rsidRPr="00C24811">
        <w:rPr>
          <w:rFonts w:ascii="Calibri" w:hAnsi="Calibri" w:cs="Times New Roman"/>
          <w:szCs w:val="24"/>
        </w:rPr>
        <w:t>Kersty</w:t>
      </w:r>
      <w:proofErr w:type="spellEnd"/>
      <w:r w:rsidRPr="00C24811">
        <w:rPr>
          <w:rFonts w:ascii="Calibri" w:hAnsi="Calibri" w:cs="Times New Roman"/>
          <w:szCs w:val="24"/>
        </w:rPr>
        <w:t xml:space="preserve"> Hobson, “On the Making of the Environmental Citizen,” </w:t>
      </w:r>
      <w:r w:rsidRPr="00C24811">
        <w:rPr>
          <w:rFonts w:ascii="Calibri" w:hAnsi="Calibri" w:cs="Times New Roman"/>
          <w:i/>
          <w:iCs/>
          <w:szCs w:val="24"/>
        </w:rPr>
        <w:t>Environmental Politics</w:t>
      </w:r>
      <w:r w:rsidRPr="00C24811">
        <w:rPr>
          <w:rFonts w:ascii="Calibri" w:hAnsi="Calibri" w:cs="Times New Roman"/>
          <w:szCs w:val="24"/>
        </w:rPr>
        <w:t xml:space="preserve"> 22, no. 1 (February 2013): 58, doi:10.1080/09644016.2013.755388.</w:t>
      </w:r>
    </w:p>
  </w:footnote>
  <w:footnote w:id="34">
    <w:p w:rsidR="00FD0467" w:rsidRDefault="00FD0467" w:rsidP="001A6301">
      <w:pPr>
        <w:pStyle w:val="FootnoteText"/>
        <w:ind w:firstLine="0"/>
      </w:pPr>
      <w:r w:rsidRPr="00A06000">
        <w:rPr>
          <w:rStyle w:val="FootnoteReference"/>
        </w:rPr>
        <w:footnoteRef/>
      </w:r>
      <w:r>
        <w:t xml:space="preserve"> </w:t>
      </w:r>
      <w:proofErr w:type="spellStart"/>
      <w:r w:rsidRPr="00C24811">
        <w:rPr>
          <w:rFonts w:ascii="Calibri" w:hAnsi="Calibri" w:cs="Times New Roman"/>
          <w:szCs w:val="24"/>
        </w:rPr>
        <w:t>Sherilyn</w:t>
      </w:r>
      <w:proofErr w:type="spellEnd"/>
      <w:r w:rsidRPr="00C24811">
        <w:rPr>
          <w:rFonts w:ascii="Calibri" w:hAnsi="Calibri" w:cs="Times New Roman"/>
          <w:szCs w:val="24"/>
        </w:rPr>
        <w:t xml:space="preserve"> </w:t>
      </w:r>
      <w:proofErr w:type="spellStart"/>
      <w:r w:rsidRPr="00C24811">
        <w:rPr>
          <w:rFonts w:ascii="Calibri" w:hAnsi="Calibri" w:cs="Times New Roman"/>
          <w:szCs w:val="24"/>
        </w:rPr>
        <w:t>MacGregor</w:t>
      </w:r>
      <w:proofErr w:type="spellEnd"/>
      <w:r w:rsidRPr="00C24811">
        <w:rPr>
          <w:rFonts w:ascii="Calibri" w:hAnsi="Calibri" w:cs="Times New Roman"/>
          <w:szCs w:val="24"/>
        </w:rPr>
        <w:t xml:space="preserve">, “Ecological Citizenship,” in </w:t>
      </w:r>
      <w:r w:rsidRPr="00C24811">
        <w:rPr>
          <w:rFonts w:ascii="Calibri" w:hAnsi="Calibri" w:cs="Times New Roman"/>
          <w:i/>
          <w:iCs/>
          <w:szCs w:val="24"/>
        </w:rPr>
        <w:t>Handbook of Political Citizenship and Social Movements</w:t>
      </w:r>
      <w:r w:rsidRPr="00C24811">
        <w:rPr>
          <w:rFonts w:ascii="Calibri" w:hAnsi="Calibri" w:cs="Times New Roman"/>
          <w:szCs w:val="24"/>
        </w:rPr>
        <w:t>, ed. H-A van der Heijden (Edward Elgar, forthcoming), 11 DRAFT.</w:t>
      </w:r>
    </w:p>
  </w:footnote>
  <w:footnote w:id="35">
    <w:p w:rsidR="00FD0467" w:rsidRDefault="00FD0467" w:rsidP="001A6301">
      <w:pPr>
        <w:pStyle w:val="FootnoteText"/>
        <w:ind w:firstLine="0"/>
      </w:pPr>
      <w:r w:rsidRPr="00A06000">
        <w:rPr>
          <w:rStyle w:val="FootnoteReference"/>
        </w:rPr>
        <w:footnoteRef/>
      </w:r>
      <w:r>
        <w:t xml:space="preserve"> </w:t>
      </w:r>
      <w:proofErr w:type="spellStart"/>
      <w:proofErr w:type="gramStart"/>
      <w:r w:rsidRPr="00476EBA">
        <w:rPr>
          <w:rFonts w:ascii="Calibri" w:hAnsi="Calibri" w:cs="Times New Roman"/>
          <w:szCs w:val="24"/>
        </w:rPr>
        <w:t>Rasmus</w:t>
      </w:r>
      <w:proofErr w:type="spellEnd"/>
      <w:r w:rsidRPr="00476EBA">
        <w:rPr>
          <w:rFonts w:ascii="Calibri" w:hAnsi="Calibri" w:cs="Times New Roman"/>
          <w:szCs w:val="24"/>
        </w:rPr>
        <w:t xml:space="preserve"> </w:t>
      </w:r>
      <w:proofErr w:type="spellStart"/>
      <w:r w:rsidRPr="00476EBA">
        <w:rPr>
          <w:rFonts w:ascii="Calibri" w:hAnsi="Calibri" w:cs="Times New Roman"/>
          <w:szCs w:val="24"/>
        </w:rPr>
        <w:t>Karlsson</w:t>
      </w:r>
      <w:proofErr w:type="spellEnd"/>
      <w:r w:rsidRPr="00476EBA">
        <w:rPr>
          <w:rFonts w:ascii="Calibri" w:hAnsi="Calibri" w:cs="Times New Roman"/>
          <w:szCs w:val="24"/>
        </w:rPr>
        <w:t>, “Individual Guilt or Collective Progressive Action?</w:t>
      </w:r>
      <w:proofErr w:type="gramEnd"/>
      <w:r w:rsidRPr="00476EBA">
        <w:rPr>
          <w:rFonts w:ascii="Calibri" w:hAnsi="Calibri" w:cs="Times New Roman"/>
          <w:szCs w:val="24"/>
        </w:rPr>
        <w:t xml:space="preserve"> Challenging the Strategic Potential of Environmental Citizenship Theory,” </w:t>
      </w:r>
      <w:r w:rsidRPr="00476EBA">
        <w:rPr>
          <w:rFonts w:ascii="Calibri" w:hAnsi="Calibri" w:cs="Times New Roman"/>
          <w:i/>
          <w:iCs/>
          <w:szCs w:val="24"/>
        </w:rPr>
        <w:t>Environmental Values</w:t>
      </w:r>
      <w:r w:rsidRPr="00476EBA">
        <w:rPr>
          <w:rFonts w:ascii="Calibri" w:hAnsi="Calibri" w:cs="Times New Roman"/>
          <w:szCs w:val="24"/>
        </w:rPr>
        <w:t xml:space="preserve"> 21, no. 4 (November 1, 2012): 460, doi</w:t>
      </w:r>
      <w:proofErr w:type="gramStart"/>
      <w:r w:rsidRPr="00476EBA">
        <w:rPr>
          <w:rFonts w:ascii="Calibri" w:hAnsi="Calibri" w:cs="Times New Roman"/>
          <w:szCs w:val="24"/>
        </w:rPr>
        <w:t>:10.3197</w:t>
      </w:r>
      <w:proofErr w:type="gramEnd"/>
      <w:r w:rsidRPr="00476EBA">
        <w:rPr>
          <w:rFonts w:ascii="Calibri" w:hAnsi="Calibri" w:cs="Times New Roman"/>
          <w:szCs w:val="24"/>
        </w:rPr>
        <w:t xml:space="preserve">/096327112X13466893628102; See also: Sherilyn MacGregor, </w:t>
      </w:r>
      <w:r w:rsidRPr="00476EBA">
        <w:rPr>
          <w:rFonts w:ascii="Calibri" w:hAnsi="Calibri" w:cs="Times New Roman"/>
          <w:i/>
          <w:iCs/>
          <w:szCs w:val="24"/>
        </w:rPr>
        <w:t>Beyond Mothering Earth: Ecological Citizenship and the Politics of Care</w:t>
      </w:r>
      <w:r w:rsidRPr="00476EBA">
        <w:rPr>
          <w:rFonts w:ascii="Calibri" w:hAnsi="Calibri" w:cs="Times New Roman"/>
          <w:szCs w:val="24"/>
        </w:rPr>
        <w:t xml:space="preserve"> (UBC Press, 2011), 105–112.</w:t>
      </w:r>
    </w:p>
  </w:footnote>
  <w:footnote w:id="36">
    <w:p w:rsidR="00FD0467" w:rsidRDefault="00FD0467" w:rsidP="008525E5">
      <w:pPr>
        <w:pStyle w:val="FootnoteText"/>
        <w:ind w:firstLine="0"/>
      </w:pPr>
      <w:r w:rsidRPr="00A06000">
        <w:rPr>
          <w:rStyle w:val="FootnoteReference"/>
        </w:rPr>
        <w:footnoteRef/>
      </w:r>
      <w:r>
        <w:t xml:space="preserve"> </w:t>
      </w:r>
      <w:r w:rsidRPr="007E572D">
        <w:rPr>
          <w:rFonts w:ascii="Calibri" w:hAnsi="Calibri" w:cs="Times New Roman"/>
          <w:szCs w:val="24"/>
        </w:rPr>
        <w:t xml:space="preserve">Dolores Hayden, </w:t>
      </w:r>
      <w:r w:rsidRPr="007E572D">
        <w:rPr>
          <w:rFonts w:ascii="Calibri" w:hAnsi="Calibri" w:cs="Times New Roman"/>
          <w:i/>
          <w:iCs/>
          <w:szCs w:val="24"/>
        </w:rPr>
        <w:t>Redesigning the American Dream: Gender, Housing, and Family Life</w:t>
      </w:r>
      <w:r w:rsidRPr="007E572D">
        <w:rPr>
          <w:rFonts w:ascii="Calibri" w:hAnsi="Calibri" w:cs="Times New Roman"/>
          <w:szCs w:val="24"/>
        </w:rPr>
        <w:t>, Rev. and expanded (New York: W.W. Norton, 2002), 87.</w:t>
      </w:r>
    </w:p>
  </w:footnote>
  <w:footnote w:id="37">
    <w:p w:rsidR="00FD0467" w:rsidRDefault="00FD0467" w:rsidP="008525E5">
      <w:pPr>
        <w:pStyle w:val="FootnoteText"/>
        <w:ind w:firstLine="0"/>
      </w:pPr>
      <w:r w:rsidRPr="00A06000">
        <w:rPr>
          <w:rStyle w:val="FootnoteReference"/>
        </w:rPr>
        <w:footnoteRef/>
      </w:r>
      <w:r>
        <w:t xml:space="preserve"> </w:t>
      </w:r>
      <w:proofErr w:type="gramStart"/>
      <w:r w:rsidRPr="007E572D">
        <w:rPr>
          <w:rFonts w:ascii="Calibri" w:hAnsi="Calibri"/>
        </w:rPr>
        <w:t>Ibid.,</w:t>
      </w:r>
      <w:proofErr w:type="gramEnd"/>
      <w:r w:rsidRPr="007E572D">
        <w:rPr>
          <w:rFonts w:ascii="Calibri" w:hAnsi="Calibri"/>
        </w:rPr>
        <w:t xml:space="preserve"> 88.</w:t>
      </w:r>
    </w:p>
  </w:footnote>
  <w:footnote w:id="38">
    <w:p w:rsidR="00FD0467" w:rsidRDefault="00FD0467" w:rsidP="00F30DA7">
      <w:pPr>
        <w:pStyle w:val="FootnoteText"/>
        <w:ind w:firstLine="0"/>
      </w:pPr>
      <w:r w:rsidRPr="00A06000">
        <w:rPr>
          <w:rStyle w:val="FootnoteReference"/>
        </w:rPr>
        <w:footnoteRef/>
      </w:r>
      <w:r>
        <w:t xml:space="preserve"> </w:t>
      </w:r>
      <w:r w:rsidRPr="00B8018F">
        <w:rPr>
          <w:rFonts w:ascii="Calibri" w:hAnsi="Calibri" w:cs="Times New Roman"/>
          <w:szCs w:val="24"/>
        </w:rPr>
        <w:t xml:space="preserve">Robert </w:t>
      </w:r>
      <w:proofErr w:type="spellStart"/>
      <w:r w:rsidRPr="00B8018F">
        <w:rPr>
          <w:rFonts w:ascii="Calibri" w:hAnsi="Calibri" w:cs="Times New Roman"/>
          <w:szCs w:val="24"/>
        </w:rPr>
        <w:t>Bruegmann</w:t>
      </w:r>
      <w:proofErr w:type="spellEnd"/>
      <w:r w:rsidRPr="00B8018F">
        <w:rPr>
          <w:rFonts w:ascii="Calibri" w:hAnsi="Calibri" w:cs="Times New Roman"/>
          <w:szCs w:val="24"/>
        </w:rPr>
        <w:t xml:space="preserve">, </w:t>
      </w:r>
      <w:r w:rsidRPr="00B8018F">
        <w:rPr>
          <w:rFonts w:ascii="Calibri" w:hAnsi="Calibri" w:cs="Times New Roman"/>
          <w:i/>
          <w:iCs/>
          <w:szCs w:val="24"/>
        </w:rPr>
        <w:t>Sprawl: A Compact History</w:t>
      </w:r>
      <w:r w:rsidRPr="00B8018F">
        <w:rPr>
          <w:rFonts w:ascii="Calibri" w:hAnsi="Calibri" w:cs="Times New Roman"/>
          <w:szCs w:val="24"/>
        </w:rPr>
        <w:t xml:space="preserve"> (University Of Chicago Press, 2006); MARK MATHER, KELVIN POLLARD, and LINDA A. JACOBSEN, “REPORTS AMERICA,” </w:t>
      </w:r>
      <w:r w:rsidRPr="00B8018F">
        <w:rPr>
          <w:rFonts w:ascii="Calibri" w:hAnsi="Calibri" w:cs="Times New Roman"/>
          <w:i/>
          <w:iCs/>
          <w:szCs w:val="24"/>
        </w:rPr>
        <w:t>Washington, DC: Population Reference Bureau</w:t>
      </w:r>
      <w:r w:rsidRPr="00B8018F">
        <w:rPr>
          <w:rFonts w:ascii="Calibri" w:hAnsi="Calibri" w:cs="Times New Roman"/>
          <w:szCs w:val="24"/>
        </w:rPr>
        <w:t xml:space="preserve">, 2009, 1–15; Fiona Allon, </w:t>
      </w:r>
      <w:r w:rsidRPr="00B8018F">
        <w:rPr>
          <w:rFonts w:ascii="Calibri" w:hAnsi="Calibri" w:cs="Times New Roman"/>
          <w:i/>
          <w:iCs/>
          <w:szCs w:val="24"/>
        </w:rPr>
        <w:t>Renovation Nation: Our Obsession With Home</w:t>
      </w:r>
      <w:r w:rsidRPr="00B8018F">
        <w:rPr>
          <w:rFonts w:ascii="Calibri" w:hAnsi="Calibri" w:cs="Times New Roman"/>
          <w:szCs w:val="24"/>
        </w:rPr>
        <w:t xml:space="preserve"> (UNSW Press, 2008), 65–70.</w:t>
      </w:r>
    </w:p>
  </w:footnote>
  <w:footnote w:id="39">
    <w:p w:rsidR="00FD0467" w:rsidRDefault="00FD0467" w:rsidP="008525E5">
      <w:pPr>
        <w:pStyle w:val="FootnoteText"/>
        <w:ind w:firstLine="0"/>
      </w:pPr>
      <w:r w:rsidRPr="00A06000">
        <w:rPr>
          <w:rStyle w:val="FootnoteReference"/>
        </w:rPr>
        <w:footnoteRef/>
      </w:r>
      <w:r>
        <w:t xml:space="preserve"> </w:t>
      </w:r>
      <w:r w:rsidRPr="0039082D">
        <w:rPr>
          <w:rFonts w:ascii="Calibri" w:hAnsi="Calibri" w:cs="Times New Roman"/>
          <w:szCs w:val="24"/>
        </w:rPr>
        <w:t xml:space="preserve">In addition to previous sources, see J.H. Kunstler, </w:t>
      </w:r>
      <w:r w:rsidRPr="0039082D">
        <w:rPr>
          <w:rFonts w:ascii="Calibri" w:hAnsi="Calibri" w:cs="Times New Roman"/>
          <w:i/>
          <w:iCs/>
          <w:szCs w:val="24"/>
        </w:rPr>
        <w:t>The Geography of Nowhere: The Rise and Decline of America’s Man-Made Landscape</w:t>
      </w:r>
      <w:r w:rsidRPr="0039082D">
        <w:rPr>
          <w:rFonts w:ascii="Calibri" w:hAnsi="Calibri" w:cs="Times New Roman"/>
          <w:szCs w:val="24"/>
        </w:rPr>
        <w:t xml:space="preserve"> (New York: Simon and Schuster, 1993).</w:t>
      </w:r>
    </w:p>
  </w:footnote>
  <w:footnote w:id="40">
    <w:p w:rsidR="00FD0467" w:rsidRDefault="00FD0467" w:rsidP="008525E5">
      <w:pPr>
        <w:pStyle w:val="FootnoteText"/>
        <w:ind w:firstLine="0"/>
      </w:pPr>
      <w:r w:rsidRPr="00A06000">
        <w:rPr>
          <w:rStyle w:val="FootnoteReference"/>
        </w:rPr>
        <w:footnoteRef/>
      </w:r>
      <w:r>
        <w:t xml:space="preserve"> </w:t>
      </w:r>
      <w:r w:rsidRPr="00F30DA7">
        <w:rPr>
          <w:rFonts w:ascii="Calibri" w:hAnsi="Calibri" w:cs="Times New Roman"/>
          <w:szCs w:val="24"/>
        </w:rPr>
        <w:t xml:space="preserve">Anthony Flint, </w:t>
      </w:r>
      <w:r w:rsidRPr="00F30DA7">
        <w:rPr>
          <w:rFonts w:ascii="Calibri" w:hAnsi="Calibri" w:cs="Times New Roman"/>
          <w:i/>
          <w:iCs/>
          <w:szCs w:val="24"/>
        </w:rPr>
        <w:t>This Land: The Battle over Sprawl and the Future of America</w:t>
      </w:r>
      <w:r w:rsidRPr="00F30DA7">
        <w:rPr>
          <w:rFonts w:ascii="Calibri" w:hAnsi="Calibri" w:cs="Times New Roman"/>
          <w:szCs w:val="24"/>
        </w:rPr>
        <w:t xml:space="preserve"> (JHU Press, 2008), 49–58.</w:t>
      </w:r>
      <w:r>
        <w:t xml:space="preserve">  </w:t>
      </w:r>
      <w:r w:rsidRPr="00785D30">
        <w:t>Another strand of criticism, especially in the US, has focused on the economic and racial exclusivity of many suburbs.  Yet here the picture has changed substantially in recent years, with US suburbs</w:t>
      </w:r>
      <w:r>
        <w:t>, overall,</w:t>
      </w:r>
      <w:r w:rsidRPr="00785D30">
        <w:t xml:space="preserve"> now having levels of</w:t>
      </w:r>
      <w:r>
        <w:t xml:space="preserve"> both</w:t>
      </w:r>
      <w:r w:rsidRPr="00785D30">
        <w:t xml:space="preserve"> poverty and racial diversity as high as or higher than cities</w:t>
      </w:r>
      <w:r>
        <w:t xml:space="preserve">: </w:t>
      </w:r>
      <w:r w:rsidRPr="00785D30">
        <w:rPr>
          <w:rFonts w:ascii="Calibri" w:hAnsi="Calibri" w:cs="Times New Roman"/>
          <w:szCs w:val="24"/>
        </w:rPr>
        <w:t xml:space="preserve">Myron </w:t>
      </w:r>
      <w:proofErr w:type="spellStart"/>
      <w:r w:rsidRPr="00785D30">
        <w:rPr>
          <w:rFonts w:ascii="Calibri" w:hAnsi="Calibri" w:cs="Times New Roman"/>
          <w:szCs w:val="24"/>
        </w:rPr>
        <w:t>Orfield</w:t>
      </w:r>
      <w:proofErr w:type="spellEnd"/>
      <w:r w:rsidRPr="00785D30">
        <w:rPr>
          <w:rFonts w:ascii="Calibri" w:hAnsi="Calibri" w:cs="Times New Roman"/>
          <w:szCs w:val="24"/>
        </w:rPr>
        <w:t xml:space="preserve"> and Thomas Luce, </w:t>
      </w:r>
      <w:r w:rsidRPr="00785D30">
        <w:rPr>
          <w:rFonts w:ascii="Calibri" w:hAnsi="Calibri" w:cs="Times New Roman"/>
          <w:i/>
          <w:iCs/>
          <w:szCs w:val="24"/>
        </w:rPr>
        <w:t>America’s Racially Diverse Suburbs: Opportunities and Challenges</w:t>
      </w:r>
      <w:r w:rsidRPr="00785D30">
        <w:rPr>
          <w:rFonts w:ascii="Calibri" w:hAnsi="Calibri" w:cs="Times New Roman"/>
          <w:szCs w:val="24"/>
        </w:rPr>
        <w:t>, July 20, 2012, http://www.law.umn.edu/uploads/e0/65/e065d82a1c1da0bfef7d86172ec5391e/Diverse_Suburbs_FINAL.pdf.</w:t>
      </w:r>
      <w:r w:rsidRPr="00785D30">
        <w:t xml:space="preserve">  </w:t>
      </w:r>
    </w:p>
  </w:footnote>
  <w:footnote w:id="41">
    <w:p w:rsidR="00FD0467" w:rsidRDefault="00FD0467" w:rsidP="00784811">
      <w:pPr>
        <w:pStyle w:val="FootnoteText"/>
        <w:ind w:firstLine="0"/>
      </w:pPr>
      <w:r w:rsidRPr="00A06000">
        <w:rPr>
          <w:rStyle w:val="FootnoteReference"/>
        </w:rPr>
        <w:footnoteRef/>
      </w:r>
      <w:r>
        <w:t xml:space="preserve"> </w:t>
      </w:r>
      <w:proofErr w:type="spellStart"/>
      <w:r w:rsidRPr="00CA6975">
        <w:rPr>
          <w:rFonts w:ascii="Calibri" w:hAnsi="Calibri" w:cs="Times New Roman"/>
          <w:szCs w:val="24"/>
        </w:rPr>
        <w:t>Cannavò</w:t>
      </w:r>
      <w:proofErr w:type="spellEnd"/>
      <w:r w:rsidRPr="00CA6975">
        <w:rPr>
          <w:rFonts w:ascii="Calibri" w:hAnsi="Calibri" w:cs="Times New Roman"/>
          <w:szCs w:val="24"/>
        </w:rPr>
        <w:t xml:space="preserve">, </w:t>
      </w:r>
      <w:proofErr w:type="gramStart"/>
      <w:r w:rsidRPr="00CA6975">
        <w:rPr>
          <w:rFonts w:ascii="Calibri" w:hAnsi="Calibri" w:cs="Times New Roman"/>
          <w:i/>
          <w:iCs/>
          <w:szCs w:val="24"/>
        </w:rPr>
        <w:t>The</w:t>
      </w:r>
      <w:proofErr w:type="gramEnd"/>
      <w:r w:rsidRPr="00CA6975">
        <w:rPr>
          <w:rFonts w:ascii="Calibri" w:hAnsi="Calibri" w:cs="Times New Roman"/>
          <w:i/>
          <w:iCs/>
          <w:szCs w:val="24"/>
        </w:rPr>
        <w:t xml:space="preserve"> Working Landscape</w:t>
      </w:r>
      <w:r w:rsidRPr="00CA6975">
        <w:rPr>
          <w:rFonts w:ascii="Calibri" w:hAnsi="Calibri" w:cs="Times New Roman"/>
          <w:szCs w:val="24"/>
        </w:rPr>
        <w:t>, 93–122.</w:t>
      </w:r>
    </w:p>
  </w:footnote>
  <w:footnote w:id="42">
    <w:p w:rsidR="00FD0467" w:rsidRDefault="00FD0467" w:rsidP="008525E5">
      <w:pPr>
        <w:pStyle w:val="FootnoteText"/>
        <w:ind w:firstLine="0"/>
      </w:pPr>
      <w:r w:rsidRPr="00A06000">
        <w:rPr>
          <w:rStyle w:val="FootnoteReference"/>
        </w:rPr>
        <w:footnoteRef/>
      </w:r>
      <w:r>
        <w:t xml:space="preserve"> </w:t>
      </w:r>
      <w:r w:rsidRPr="00024259">
        <w:rPr>
          <w:rFonts w:ascii="Calibri" w:hAnsi="Calibri" w:cs="Times New Roman"/>
          <w:szCs w:val="24"/>
        </w:rPr>
        <w:t xml:space="preserve">Flint, </w:t>
      </w:r>
      <w:r w:rsidRPr="00024259">
        <w:rPr>
          <w:rFonts w:ascii="Calibri" w:hAnsi="Calibri" w:cs="Times New Roman"/>
          <w:i/>
          <w:iCs/>
          <w:szCs w:val="24"/>
        </w:rPr>
        <w:t>This Land</w:t>
      </w:r>
      <w:r w:rsidRPr="00024259">
        <w:rPr>
          <w:rFonts w:ascii="Calibri" w:hAnsi="Calibri" w:cs="Times New Roman"/>
          <w:szCs w:val="24"/>
        </w:rPr>
        <w:t>, 12.</w:t>
      </w:r>
    </w:p>
  </w:footnote>
  <w:footnote w:id="43">
    <w:p w:rsidR="00FD0467" w:rsidRDefault="00FD0467" w:rsidP="008525E5">
      <w:pPr>
        <w:pStyle w:val="FootnoteText"/>
        <w:ind w:firstLine="0"/>
      </w:pPr>
      <w:r w:rsidRPr="00A06000">
        <w:rPr>
          <w:rStyle w:val="FootnoteReference"/>
        </w:rPr>
        <w:footnoteRef/>
      </w:r>
      <w:r>
        <w:t xml:space="preserve"> </w:t>
      </w:r>
      <w:proofErr w:type="spellStart"/>
      <w:r w:rsidRPr="00F76FC1">
        <w:rPr>
          <w:rFonts w:ascii="Calibri" w:hAnsi="Calibri" w:cs="Times New Roman"/>
          <w:szCs w:val="24"/>
        </w:rPr>
        <w:t>Allon</w:t>
      </w:r>
      <w:proofErr w:type="spellEnd"/>
      <w:r w:rsidRPr="00F76FC1">
        <w:rPr>
          <w:rFonts w:ascii="Calibri" w:hAnsi="Calibri" w:cs="Times New Roman"/>
          <w:szCs w:val="24"/>
        </w:rPr>
        <w:t xml:space="preserve">, </w:t>
      </w:r>
      <w:r w:rsidRPr="00F76FC1">
        <w:rPr>
          <w:rFonts w:ascii="Calibri" w:hAnsi="Calibri" w:cs="Times New Roman"/>
          <w:i/>
          <w:iCs/>
          <w:szCs w:val="24"/>
        </w:rPr>
        <w:t>Renovation Nation</w:t>
      </w:r>
      <w:r w:rsidRPr="00F76FC1">
        <w:rPr>
          <w:rFonts w:ascii="Calibri" w:hAnsi="Calibri" w:cs="Times New Roman"/>
          <w:szCs w:val="24"/>
        </w:rPr>
        <w:t>.</w:t>
      </w:r>
    </w:p>
  </w:footnote>
  <w:footnote w:id="44">
    <w:p w:rsidR="00FD0467" w:rsidRDefault="00FD0467" w:rsidP="008525E5">
      <w:pPr>
        <w:pStyle w:val="FootnoteText"/>
        <w:ind w:firstLine="0"/>
      </w:pPr>
      <w:r w:rsidRPr="00A06000">
        <w:rPr>
          <w:rStyle w:val="FootnoteReference"/>
        </w:rPr>
        <w:footnoteRef/>
      </w:r>
      <w:r>
        <w:t xml:space="preserve"> </w:t>
      </w:r>
      <w:proofErr w:type="spellStart"/>
      <w:r w:rsidRPr="00C76828">
        <w:rPr>
          <w:rFonts w:ascii="Calibri" w:hAnsi="Calibri" w:cs="Times New Roman"/>
          <w:szCs w:val="24"/>
        </w:rPr>
        <w:t>Cannavò</w:t>
      </w:r>
      <w:proofErr w:type="spellEnd"/>
      <w:r w:rsidRPr="00C76828">
        <w:rPr>
          <w:rFonts w:ascii="Calibri" w:hAnsi="Calibri" w:cs="Times New Roman"/>
          <w:szCs w:val="24"/>
        </w:rPr>
        <w:t xml:space="preserve">, </w:t>
      </w:r>
      <w:proofErr w:type="gramStart"/>
      <w:r w:rsidRPr="00C76828">
        <w:rPr>
          <w:rFonts w:ascii="Calibri" w:hAnsi="Calibri" w:cs="Times New Roman"/>
          <w:i/>
          <w:iCs/>
          <w:szCs w:val="24"/>
        </w:rPr>
        <w:t>The</w:t>
      </w:r>
      <w:proofErr w:type="gramEnd"/>
      <w:r w:rsidRPr="00C76828">
        <w:rPr>
          <w:rFonts w:ascii="Calibri" w:hAnsi="Calibri" w:cs="Times New Roman"/>
          <w:i/>
          <w:iCs/>
          <w:szCs w:val="24"/>
        </w:rPr>
        <w:t xml:space="preserve"> Working Landscape</w:t>
      </w:r>
      <w:r w:rsidRPr="00C76828">
        <w:rPr>
          <w:rFonts w:ascii="Calibri" w:hAnsi="Calibri" w:cs="Times New Roman"/>
          <w:szCs w:val="24"/>
        </w:rPr>
        <w:t>, 97–98.</w:t>
      </w:r>
      <w:r>
        <w:t xml:space="preserve"> </w:t>
      </w:r>
      <w:r w:rsidRPr="009B2BEC">
        <w:rPr>
          <w:rFonts w:ascii="Calibri" w:hAnsi="Calibri" w:cs="Times New Roman"/>
          <w:szCs w:val="24"/>
        </w:rPr>
        <w:t xml:space="preserve">Joel Kotkin, “The Triumph of Suburbia,” </w:t>
      </w:r>
      <w:r w:rsidRPr="009B2BEC">
        <w:rPr>
          <w:rFonts w:ascii="Calibri" w:hAnsi="Calibri" w:cs="Times New Roman"/>
          <w:i/>
          <w:iCs/>
          <w:szCs w:val="24"/>
        </w:rPr>
        <w:t>Newgeography.com</w:t>
      </w:r>
      <w:r w:rsidRPr="009B2BEC">
        <w:rPr>
          <w:rFonts w:ascii="Calibri" w:hAnsi="Calibri" w:cs="Times New Roman"/>
          <w:szCs w:val="24"/>
        </w:rPr>
        <w:t>, April 29, 2013, http://www.newgeography.com/content/003667-the-triumph-suburbia.</w:t>
      </w:r>
    </w:p>
  </w:footnote>
  <w:footnote w:id="45">
    <w:p w:rsidR="00FD0467" w:rsidRDefault="00FD0467" w:rsidP="008525E5">
      <w:pPr>
        <w:pStyle w:val="FootnoteText"/>
        <w:ind w:firstLine="0"/>
      </w:pPr>
      <w:r w:rsidRPr="00A06000">
        <w:rPr>
          <w:rStyle w:val="FootnoteReference"/>
        </w:rPr>
        <w:footnoteRef/>
      </w:r>
      <w:r>
        <w:t xml:space="preserve"> Richard Flacks made this point in a somewhat different context: </w:t>
      </w:r>
      <w:r w:rsidRPr="00C76828">
        <w:t>“Thus the fully equipped suburban home provides a framework for living that fundamentally threatens the possibility of public life… But it is crucial to understand it also as a space whose attractions include a sense of safety and security and also a sense of control and choice</w:t>
      </w:r>
      <w:r>
        <w:t>.</w:t>
      </w:r>
      <w:r w:rsidRPr="00C76828">
        <w:t>”</w:t>
      </w:r>
      <w:r>
        <w:t xml:space="preserve"> </w:t>
      </w:r>
      <w:proofErr w:type="gramStart"/>
      <w:r w:rsidRPr="00C76828">
        <w:rPr>
          <w:rFonts w:ascii="Calibri" w:hAnsi="Calibri" w:cs="Times New Roman"/>
          <w:i/>
          <w:iCs/>
          <w:szCs w:val="24"/>
        </w:rPr>
        <w:t>Making History: The American Left and the American Mind</w:t>
      </w:r>
      <w:r w:rsidRPr="00C76828">
        <w:rPr>
          <w:rFonts w:ascii="Calibri" w:hAnsi="Calibri" w:cs="Times New Roman"/>
          <w:szCs w:val="24"/>
        </w:rPr>
        <w:t xml:space="preserve"> (Columbia University Press, 1988), 43.</w:t>
      </w:r>
      <w:proofErr w:type="gramEnd"/>
    </w:p>
  </w:footnote>
  <w:footnote w:id="46">
    <w:p w:rsidR="00FD0467" w:rsidRDefault="00FD0467" w:rsidP="0024652E">
      <w:pPr>
        <w:pStyle w:val="FootnoteText"/>
        <w:ind w:firstLine="0"/>
      </w:pPr>
      <w:r w:rsidRPr="00A06000">
        <w:rPr>
          <w:rStyle w:val="FootnoteReference"/>
        </w:rPr>
        <w:footnoteRef/>
      </w:r>
      <w:r>
        <w:t xml:space="preserve"> </w:t>
      </w:r>
      <w:r w:rsidRPr="006B33EB">
        <w:rPr>
          <w:rFonts w:ascii="Calibri" w:hAnsi="Calibri" w:cs="Times New Roman"/>
          <w:szCs w:val="24"/>
        </w:rPr>
        <w:t xml:space="preserve">Chris Gibson et al., “Is It Easy Being Green?  On the Dilemmas of Material Cultures of Household Sustainability,” in </w:t>
      </w:r>
      <w:r w:rsidRPr="006B33EB">
        <w:rPr>
          <w:rFonts w:ascii="Calibri" w:hAnsi="Calibri" w:cs="Times New Roman"/>
          <w:i/>
          <w:iCs/>
          <w:szCs w:val="24"/>
        </w:rPr>
        <w:t>Material Geographies of Household Sustainability</w:t>
      </w:r>
      <w:r w:rsidRPr="006B33EB">
        <w:rPr>
          <w:rFonts w:ascii="Calibri" w:hAnsi="Calibri" w:cs="Times New Roman"/>
          <w:szCs w:val="24"/>
        </w:rPr>
        <w:t>, ed. Ruth Lane and Andrew Gorman-Murray (</w:t>
      </w:r>
      <w:proofErr w:type="spellStart"/>
      <w:r w:rsidRPr="006B33EB">
        <w:rPr>
          <w:rFonts w:ascii="Calibri" w:hAnsi="Calibri" w:cs="Times New Roman"/>
          <w:szCs w:val="24"/>
        </w:rPr>
        <w:t>Ashgate</w:t>
      </w:r>
      <w:proofErr w:type="spellEnd"/>
      <w:r w:rsidRPr="006B33EB">
        <w:rPr>
          <w:rFonts w:ascii="Calibri" w:hAnsi="Calibri" w:cs="Times New Roman"/>
          <w:szCs w:val="24"/>
        </w:rPr>
        <w:t>, 2011), 19–34.</w:t>
      </w:r>
    </w:p>
  </w:footnote>
  <w:footnote w:id="47">
    <w:p w:rsidR="00FD0467" w:rsidRDefault="00FD0467" w:rsidP="0024652E">
      <w:pPr>
        <w:pStyle w:val="FootnoteText"/>
        <w:ind w:firstLine="0"/>
      </w:pPr>
      <w:r w:rsidRPr="00A06000">
        <w:rPr>
          <w:rStyle w:val="FootnoteReference"/>
        </w:rPr>
        <w:footnoteRef/>
      </w:r>
      <w:r>
        <w:t xml:space="preserve"> </w:t>
      </w:r>
      <w:proofErr w:type="spellStart"/>
      <w:r w:rsidRPr="00DC28D5">
        <w:rPr>
          <w:rFonts w:ascii="Calibri" w:hAnsi="Calibri" w:cs="Times New Roman"/>
          <w:szCs w:val="24"/>
        </w:rPr>
        <w:t>Teena</w:t>
      </w:r>
      <w:proofErr w:type="spellEnd"/>
      <w:r w:rsidRPr="00DC28D5">
        <w:rPr>
          <w:rFonts w:ascii="Calibri" w:hAnsi="Calibri" w:cs="Times New Roman"/>
          <w:szCs w:val="24"/>
        </w:rPr>
        <w:t xml:space="preserve"> </w:t>
      </w:r>
      <w:proofErr w:type="spellStart"/>
      <w:r w:rsidRPr="00DC28D5">
        <w:rPr>
          <w:rFonts w:ascii="Calibri" w:hAnsi="Calibri" w:cs="Times New Roman"/>
          <w:szCs w:val="24"/>
        </w:rPr>
        <w:t>Gabrielson</w:t>
      </w:r>
      <w:proofErr w:type="spellEnd"/>
      <w:r w:rsidRPr="00DC28D5">
        <w:rPr>
          <w:rFonts w:ascii="Calibri" w:hAnsi="Calibri" w:cs="Times New Roman"/>
          <w:szCs w:val="24"/>
        </w:rPr>
        <w:t xml:space="preserve"> and Katelyn Parady, “Corporeal Citizenship: Rethinking Green Citizenship through the Body,” </w:t>
      </w:r>
      <w:r w:rsidRPr="00DC28D5">
        <w:rPr>
          <w:rFonts w:ascii="Calibri" w:hAnsi="Calibri" w:cs="Times New Roman"/>
          <w:i/>
          <w:iCs/>
          <w:szCs w:val="24"/>
        </w:rPr>
        <w:t>Environmental Politics</w:t>
      </w:r>
      <w:r w:rsidRPr="00DC28D5">
        <w:rPr>
          <w:rFonts w:ascii="Calibri" w:hAnsi="Calibri" w:cs="Times New Roman"/>
          <w:szCs w:val="24"/>
        </w:rPr>
        <w:t xml:space="preserve"> 19, no. 3 (May 2010): 383, doi</w:t>
      </w:r>
      <w:proofErr w:type="gramStart"/>
      <w:r w:rsidRPr="00DC28D5">
        <w:rPr>
          <w:rFonts w:ascii="Calibri" w:hAnsi="Calibri" w:cs="Times New Roman"/>
          <w:szCs w:val="24"/>
        </w:rPr>
        <w:t>:10.1080</w:t>
      </w:r>
      <w:proofErr w:type="gramEnd"/>
      <w:r w:rsidRPr="00DC28D5">
        <w:rPr>
          <w:rFonts w:ascii="Calibri" w:hAnsi="Calibri" w:cs="Times New Roman"/>
          <w:szCs w:val="24"/>
        </w:rPr>
        <w:t>/09644011003690799.</w:t>
      </w:r>
    </w:p>
  </w:footnote>
  <w:footnote w:id="48">
    <w:p w:rsidR="00FD0467" w:rsidRDefault="00FD0467" w:rsidP="008525E5">
      <w:pPr>
        <w:pStyle w:val="FootnoteText"/>
        <w:ind w:firstLine="0"/>
      </w:pPr>
      <w:r w:rsidRPr="00A06000">
        <w:rPr>
          <w:rStyle w:val="FootnoteReference"/>
        </w:rPr>
        <w:footnoteRef/>
      </w:r>
      <w:r>
        <w:t xml:space="preserve"> </w:t>
      </w:r>
      <w:r w:rsidRPr="00447B4A">
        <w:rPr>
          <w:rFonts w:ascii="Calibri" w:hAnsi="Calibri" w:cs="Times New Roman"/>
          <w:szCs w:val="24"/>
        </w:rPr>
        <w:t xml:space="preserve">Fiona </w:t>
      </w:r>
      <w:proofErr w:type="spellStart"/>
      <w:r w:rsidRPr="00447B4A">
        <w:rPr>
          <w:rFonts w:ascii="Calibri" w:hAnsi="Calibri" w:cs="Times New Roman"/>
          <w:szCs w:val="24"/>
        </w:rPr>
        <w:t>Allon</w:t>
      </w:r>
      <w:proofErr w:type="spellEnd"/>
      <w:r w:rsidRPr="00447B4A">
        <w:rPr>
          <w:rFonts w:ascii="Calibri" w:hAnsi="Calibri" w:cs="Times New Roman"/>
          <w:szCs w:val="24"/>
        </w:rPr>
        <w:t xml:space="preserve">, “Ethical Consumption Begins at Home: Green Renovations, Eco-Homes and Sustainable Home Improvement,” in </w:t>
      </w:r>
      <w:r w:rsidRPr="00447B4A">
        <w:rPr>
          <w:rFonts w:ascii="Calibri" w:hAnsi="Calibri" w:cs="Times New Roman"/>
          <w:i/>
          <w:iCs/>
          <w:szCs w:val="24"/>
        </w:rPr>
        <w:t>Ethical Consumption: A Critical Introduction</w:t>
      </w:r>
      <w:r w:rsidRPr="00447B4A">
        <w:rPr>
          <w:rFonts w:ascii="Calibri" w:hAnsi="Calibri" w:cs="Times New Roman"/>
          <w:szCs w:val="24"/>
        </w:rPr>
        <w:t xml:space="preserve"> (Routledge, 2010), 207.</w:t>
      </w:r>
    </w:p>
  </w:footnote>
  <w:footnote w:id="49">
    <w:p w:rsidR="00FD0467" w:rsidRDefault="00FD0467" w:rsidP="008525E5">
      <w:pPr>
        <w:pStyle w:val="FootnoteText"/>
        <w:ind w:firstLine="0"/>
      </w:pPr>
      <w:r w:rsidRPr="00A06000">
        <w:rPr>
          <w:rStyle w:val="FootnoteReference"/>
        </w:rPr>
        <w:footnoteRef/>
      </w:r>
      <w:r>
        <w:t xml:space="preserve"> </w:t>
      </w:r>
      <w:r w:rsidRPr="00073A12">
        <w:rPr>
          <w:rFonts w:ascii="Calibri" w:hAnsi="Calibri" w:cs="Times New Roman"/>
          <w:szCs w:val="24"/>
        </w:rPr>
        <w:t xml:space="preserve">David Harvey, “The Right to the City,” </w:t>
      </w:r>
      <w:r w:rsidRPr="00073A12">
        <w:rPr>
          <w:rFonts w:ascii="Calibri" w:hAnsi="Calibri" w:cs="Times New Roman"/>
          <w:i/>
          <w:iCs/>
          <w:szCs w:val="24"/>
        </w:rPr>
        <w:t>New Left Review</w:t>
      </w:r>
      <w:r w:rsidRPr="00073A12">
        <w:rPr>
          <w:rFonts w:ascii="Calibri" w:hAnsi="Calibri" w:cs="Times New Roman"/>
          <w:szCs w:val="24"/>
        </w:rPr>
        <w:t xml:space="preserve"> 53 (October 2008): 27.</w:t>
      </w:r>
    </w:p>
  </w:footnote>
  <w:footnote w:id="50">
    <w:p w:rsidR="00FD0467" w:rsidRDefault="00FD0467" w:rsidP="008525E5">
      <w:pPr>
        <w:pStyle w:val="FootnoteText"/>
        <w:ind w:firstLine="0"/>
      </w:pPr>
      <w:r w:rsidRPr="00A06000">
        <w:rPr>
          <w:rStyle w:val="FootnoteReference"/>
        </w:rPr>
        <w:footnoteRef/>
      </w:r>
      <w:r>
        <w:t xml:space="preserve"> </w:t>
      </w:r>
      <w:proofErr w:type="gramStart"/>
      <w:r w:rsidRPr="00FA32AB">
        <w:rPr>
          <w:rFonts w:ascii="Calibri" w:hAnsi="Calibri" w:cs="Times New Roman"/>
          <w:szCs w:val="24"/>
        </w:rPr>
        <w:t xml:space="preserve">e.g., S.M. Okin, </w:t>
      </w:r>
      <w:r w:rsidRPr="00FA32AB">
        <w:rPr>
          <w:rFonts w:ascii="Calibri" w:hAnsi="Calibri" w:cs="Times New Roman"/>
          <w:i/>
          <w:iCs/>
          <w:szCs w:val="24"/>
        </w:rPr>
        <w:t>Justice, Gender and the Family</w:t>
      </w:r>
      <w:r w:rsidRPr="00FA32AB">
        <w:rPr>
          <w:rFonts w:ascii="Calibri" w:hAnsi="Calibri" w:cs="Times New Roman"/>
          <w:szCs w:val="24"/>
        </w:rPr>
        <w:t xml:space="preserve"> (New York: Basic Books, 1989), 22–23, 131–133.</w:t>
      </w:r>
      <w:proofErr w:type="gramEnd"/>
    </w:p>
  </w:footnote>
  <w:footnote w:id="51">
    <w:p w:rsidR="00FD0467" w:rsidRDefault="00FD0467" w:rsidP="00535929">
      <w:pPr>
        <w:pStyle w:val="FootnoteText"/>
        <w:ind w:firstLine="0"/>
      </w:pPr>
      <w:r w:rsidRPr="00A06000">
        <w:rPr>
          <w:rStyle w:val="FootnoteReference"/>
        </w:rPr>
        <w:footnoteRef/>
      </w:r>
      <w:r>
        <w:t xml:space="preserve"> </w:t>
      </w:r>
      <w:r w:rsidRPr="004E497F">
        <w:rPr>
          <w:rFonts w:ascii="Calibri" w:hAnsi="Calibri" w:cs="Times New Roman"/>
          <w:szCs w:val="24"/>
        </w:rPr>
        <w:t xml:space="preserve">Thad Williamson, </w:t>
      </w:r>
      <w:r w:rsidRPr="004E497F">
        <w:rPr>
          <w:rFonts w:ascii="Calibri" w:hAnsi="Calibri" w:cs="Times New Roman"/>
          <w:i/>
          <w:iCs/>
          <w:szCs w:val="24"/>
        </w:rPr>
        <w:t>Sprawl, Justice, and Citizenship: The Civic Costs of the American Way of Life</w:t>
      </w:r>
      <w:r w:rsidRPr="004E497F">
        <w:rPr>
          <w:rFonts w:ascii="Calibri" w:hAnsi="Calibri" w:cs="Times New Roman"/>
          <w:szCs w:val="24"/>
        </w:rPr>
        <w:t xml:space="preserve"> (Oxford University Press, USA, 2010), 4.</w:t>
      </w:r>
    </w:p>
  </w:footnote>
  <w:footnote w:id="52">
    <w:p w:rsidR="00FD0467" w:rsidRDefault="00FD0467" w:rsidP="008525E5">
      <w:pPr>
        <w:pStyle w:val="FootnoteText"/>
        <w:ind w:firstLine="0"/>
      </w:pPr>
      <w:r w:rsidRPr="00A06000">
        <w:rPr>
          <w:rStyle w:val="FootnoteReference"/>
        </w:rPr>
        <w:footnoteRef/>
      </w:r>
      <w:r>
        <w:t xml:space="preserve"> </w:t>
      </w:r>
      <w:r w:rsidRPr="003739FB">
        <w:rPr>
          <w:rFonts w:ascii="Calibri" w:hAnsi="Calibri" w:cs="Times New Roman"/>
          <w:szCs w:val="24"/>
        </w:rPr>
        <w:t xml:space="preserve">Though as Hayden’s account of these nineteenth century strategies makes clear, they rarely sought to redistribute this responsibility away from women as a whole, or to challenge the gender-identification of such care </w:t>
      </w:r>
      <w:proofErr w:type="gramStart"/>
      <w:r w:rsidRPr="003739FB">
        <w:rPr>
          <w:rFonts w:ascii="Calibri" w:hAnsi="Calibri" w:cs="Times New Roman"/>
          <w:i/>
          <w:iCs/>
          <w:szCs w:val="24"/>
        </w:rPr>
        <w:t>Redesigning</w:t>
      </w:r>
      <w:proofErr w:type="gramEnd"/>
      <w:r w:rsidRPr="003739FB">
        <w:rPr>
          <w:rFonts w:ascii="Calibri" w:hAnsi="Calibri" w:cs="Times New Roman"/>
          <w:i/>
          <w:iCs/>
          <w:szCs w:val="24"/>
        </w:rPr>
        <w:t xml:space="preserve"> the American Dream</w:t>
      </w:r>
      <w:r w:rsidRPr="003739FB">
        <w:rPr>
          <w:rFonts w:ascii="Calibri" w:hAnsi="Calibri" w:cs="Times New Roman"/>
          <w:szCs w:val="24"/>
        </w:rPr>
        <w:t>, 91–95.</w:t>
      </w:r>
    </w:p>
  </w:footnote>
  <w:footnote w:id="53">
    <w:p w:rsidR="00FD0467" w:rsidRDefault="00FD0467" w:rsidP="008525E5">
      <w:pPr>
        <w:pStyle w:val="FootnoteText"/>
        <w:ind w:firstLine="0"/>
      </w:pPr>
      <w:r w:rsidRPr="00A06000">
        <w:rPr>
          <w:rStyle w:val="FootnoteReference"/>
        </w:rPr>
        <w:footnoteRef/>
      </w:r>
      <w:r>
        <w:t xml:space="preserve"> </w:t>
      </w:r>
      <w:proofErr w:type="gramStart"/>
      <w:r w:rsidRPr="00D769D0">
        <w:rPr>
          <w:rFonts w:ascii="Calibri" w:hAnsi="Calibri" w:cs="Times New Roman"/>
          <w:szCs w:val="24"/>
        </w:rPr>
        <w:t>Ibid.,</w:t>
      </w:r>
      <w:proofErr w:type="gramEnd"/>
      <w:r w:rsidRPr="00D769D0">
        <w:rPr>
          <w:rFonts w:ascii="Calibri" w:hAnsi="Calibri" w:cs="Times New Roman"/>
          <w:szCs w:val="24"/>
        </w:rPr>
        <w:t xml:space="preserve"> 177–181; Graham Meltzer, </w:t>
      </w:r>
      <w:r w:rsidRPr="00D769D0">
        <w:rPr>
          <w:rFonts w:ascii="Calibri" w:hAnsi="Calibri" w:cs="Times New Roman"/>
          <w:i/>
          <w:iCs/>
          <w:szCs w:val="24"/>
        </w:rPr>
        <w:t>Sustainable Community: Learning from the Cohousing Model</w:t>
      </w:r>
      <w:r w:rsidRPr="00D769D0">
        <w:rPr>
          <w:rFonts w:ascii="Calibri" w:hAnsi="Calibri" w:cs="Times New Roman"/>
          <w:szCs w:val="24"/>
        </w:rPr>
        <w:t xml:space="preserve"> (Trafford, 2005); Louise Crabtree, “Disintegrated Houses: Exploring Ecofeminist Housing and Urban Design Options,” </w:t>
      </w:r>
      <w:r w:rsidRPr="00D769D0">
        <w:rPr>
          <w:rFonts w:ascii="Calibri" w:hAnsi="Calibri" w:cs="Times New Roman"/>
          <w:i/>
          <w:iCs/>
          <w:szCs w:val="24"/>
        </w:rPr>
        <w:t>Antipode</w:t>
      </w:r>
      <w:r w:rsidRPr="00D769D0">
        <w:rPr>
          <w:rFonts w:ascii="Calibri" w:hAnsi="Calibri" w:cs="Times New Roman"/>
          <w:szCs w:val="24"/>
        </w:rPr>
        <w:t xml:space="preserve"> 38, no. 4 (2006): 711–34, doi:10.1111/j.1467-8330.2006.00473.x.</w:t>
      </w:r>
    </w:p>
  </w:footnote>
  <w:footnote w:id="54">
    <w:p w:rsidR="00FD0467" w:rsidRDefault="00FD0467" w:rsidP="008525E5">
      <w:pPr>
        <w:pStyle w:val="FootnoteText"/>
        <w:tabs>
          <w:tab w:val="left" w:pos="8195"/>
        </w:tabs>
        <w:ind w:firstLine="0"/>
      </w:pPr>
      <w:r w:rsidRPr="00A06000">
        <w:rPr>
          <w:rStyle w:val="FootnoteReference"/>
        </w:rPr>
        <w:footnoteRef/>
      </w:r>
      <w:r>
        <w:t xml:space="preserve"> </w:t>
      </w:r>
      <w:proofErr w:type="gramStart"/>
      <w:r w:rsidRPr="00F44201">
        <w:rPr>
          <w:rFonts w:ascii="Calibri" w:hAnsi="Calibri" w:cs="Times New Roman"/>
          <w:szCs w:val="24"/>
        </w:rPr>
        <w:t xml:space="preserve">Hayden, </w:t>
      </w:r>
      <w:r w:rsidRPr="00F44201">
        <w:rPr>
          <w:rFonts w:ascii="Calibri" w:hAnsi="Calibri" w:cs="Times New Roman"/>
          <w:i/>
          <w:iCs/>
          <w:szCs w:val="24"/>
        </w:rPr>
        <w:t>Redesigning the American Dream</w:t>
      </w:r>
      <w:r w:rsidRPr="00F44201">
        <w:rPr>
          <w:rFonts w:ascii="Calibri" w:hAnsi="Calibri" w:cs="Times New Roman"/>
          <w:szCs w:val="24"/>
        </w:rPr>
        <w:t>, 204–211.</w:t>
      </w:r>
      <w:proofErr w:type="gramEnd"/>
      <w:r>
        <w:tab/>
      </w:r>
    </w:p>
  </w:footnote>
  <w:footnote w:id="55">
    <w:p w:rsidR="00FD0467" w:rsidRDefault="00FD0467" w:rsidP="00270CCC">
      <w:pPr>
        <w:pStyle w:val="FootnoteText"/>
        <w:ind w:firstLine="0"/>
      </w:pPr>
      <w:r>
        <w:rPr>
          <w:rStyle w:val="FootnoteReference"/>
        </w:rPr>
        <w:footnoteRef/>
      </w:r>
      <w:r>
        <w:t xml:space="preserve"> </w:t>
      </w:r>
      <w:r w:rsidRPr="00C8529F">
        <w:rPr>
          <w:rFonts w:ascii="Calibri" w:hAnsi="Calibri" w:cs="Times New Roman"/>
          <w:szCs w:val="24"/>
        </w:rPr>
        <w:t xml:space="preserve">Tina Rosenberg, “It’s Not Just Nice to Share, It’s the Future,” </w:t>
      </w:r>
      <w:r w:rsidRPr="00C8529F">
        <w:rPr>
          <w:rFonts w:ascii="Calibri" w:hAnsi="Calibri" w:cs="Times New Roman"/>
          <w:i/>
          <w:iCs/>
          <w:szCs w:val="24"/>
        </w:rPr>
        <w:t>New York Times</w:t>
      </w:r>
      <w:r w:rsidRPr="00C8529F">
        <w:rPr>
          <w:rFonts w:ascii="Calibri" w:hAnsi="Calibri" w:cs="Times New Roman"/>
          <w:szCs w:val="24"/>
        </w:rPr>
        <w:t xml:space="preserve">, June 5, 2013, http://opinionator.blogs.nytimes.com/2013/06/05/its-not-just-nice-to-share-its-the-future/; Timothy D. May, “Shared Housing: The Sharing Economy Gives Roommates a New Image,” </w:t>
      </w:r>
      <w:r w:rsidRPr="00C8529F">
        <w:rPr>
          <w:rFonts w:ascii="Calibri" w:hAnsi="Calibri" w:cs="Times New Roman"/>
          <w:i/>
          <w:iCs/>
          <w:szCs w:val="24"/>
        </w:rPr>
        <w:t>Christian Science Monitor</w:t>
      </w:r>
      <w:r w:rsidRPr="00C8529F">
        <w:rPr>
          <w:rFonts w:ascii="Calibri" w:hAnsi="Calibri" w:cs="Times New Roman"/>
          <w:szCs w:val="24"/>
        </w:rPr>
        <w:t>, March 30, 2014, http://www.csmonitor.com/The-Culture/Family/2014/0330/Shared-housing-The-sharing-economy-gives-roommates-a-new-image.</w:t>
      </w:r>
    </w:p>
  </w:footnote>
  <w:footnote w:id="56">
    <w:p w:rsidR="00FD0467" w:rsidRDefault="00FD0467" w:rsidP="00C8529F">
      <w:pPr>
        <w:pStyle w:val="FootnoteText"/>
        <w:ind w:firstLine="0"/>
      </w:pPr>
      <w:r>
        <w:rPr>
          <w:rStyle w:val="FootnoteReference"/>
        </w:rPr>
        <w:footnoteRef/>
      </w:r>
      <w:r>
        <w:t xml:space="preserve"> </w:t>
      </w:r>
      <w:r w:rsidRPr="00C8529F">
        <w:rPr>
          <w:rFonts w:ascii="Calibri" w:hAnsi="Calibri" w:cs="Times New Roman"/>
          <w:szCs w:val="24"/>
        </w:rPr>
        <w:t xml:space="preserve">Julian </w:t>
      </w:r>
      <w:proofErr w:type="spellStart"/>
      <w:r w:rsidRPr="00C8529F">
        <w:rPr>
          <w:rFonts w:ascii="Calibri" w:hAnsi="Calibri" w:cs="Times New Roman"/>
          <w:szCs w:val="24"/>
        </w:rPr>
        <w:t>Agyeman</w:t>
      </w:r>
      <w:proofErr w:type="spellEnd"/>
      <w:r w:rsidRPr="00C8529F">
        <w:rPr>
          <w:rFonts w:ascii="Calibri" w:hAnsi="Calibri" w:cs="Times New Roman"/>
          <w:szCs w:val="24"/>
        </w:rPr>
        <w:t xml:space="preserve">, McLaren, Duncan, and Schaefer-Borrego, Adrianne, </w:t>
      </w:r>
      <w:r w:rsidRPr="00C8529F">
        <w:rPr>
          <w:rFonts w:ascii="Calibri" w:hAnsi="Calibri" w:cs="Times New Roman"/>
          <w:i/>
          <w:iCs/>
          <w:szCs w:val="24"/>
        </w:rPr>
        <w:t>Sharing Cities</w:t>
      </w:r>
      <w:r w:rsidRPr="00C8529F">
        <w:rPr>
          <w:rFonts w:ascii="Calibri" w:hAnsi="Calibri" w:cs="Times New Roman"/>
          <w:szCs w:val="24"/>
        </w:rPr>
        <w:t xml:space="preserve">, “Big Ideas” Project (Friends of the Earth), accessed April 1, 2014, http://www.foe.co.uk/sites/default/files/downloads/agyeman_sharing_cities.pdf; “The Sharing Economy: A Short Introduction to Its Political Evolution,” </w:t>
      </w:r>
      <w:r w:rsidRPr="00C8529F">
        <w:rPr>
          <w:rFonts w:ascii="Calibri" w:hAnsi="Calibri" w:cs="Times New Roman"/>
          <w:i/>
          <w:iCs/>
          <w:szCs w:val="24"/>
        </w:rPr>
        <w:t>openDemocracy</w:t>
      </w:r>
      <w:r w:rsidRPr="00C8529F">
        <w:rPr>
          <w:rFonts w:ascii="Calibri" w:hAnsi="Calibri" w:cs="Times New Roman"/>
          <w:szCs w:val="24"/>
        </w:rPr>
        <w:t>, accessed April 1, 2014, http://www.opendemocracy.net/transformation/adam-parsons/sharing-economy-short-introduction-to-its-political-evolution.</w:t>
      </w:r>
    </w:p>
  </w:footnote>
  <w:footnote w:id="57">
    <w:p w:rsidR="00FD0467" w:rsidRDefault="00FD0467" w:rsidP="008525E5">
      <w:pPr>
        <w:pStyle w:val="FootnoteText"/>
        <w:ind w:firstLine="0"/>
      </w:pPr>
      <w:r w:rsidRPr="00A06000">
        <w:rPr>
          <w:rStyle w:val="FootnoteReference"/>
        </w:rPr>
        <w:footnoteRef/>
      </w:r>
      <w:r>
        <w:t xml:space="preserve"> </w:t>
      </w:r>
      <w:proofErr w:type="spellStart"/>
      <w:proofErr w:type="gramStart"/>
      <w:r w:rsidRPr="00476EBA">
        <w:rPr>
          <w:rFonts w:ascii="Calibri" w:hAnsi="Calibri" w:cs="Times New Roman"/>
          <w:szCs w:val="24"/>
        </w:rPr>
        <w:t>MacGregor</w:t>
      </w:r>
      <w:proofErr w:type="spellEnd"/>
      <w:r w:rsidRPr="00476EBA">
        <w:rPr>
          <w:rFonts w:ascii="Calibri" w:hAnsi="Calibri" w:cs="Times New Roman"/>
          <w:szCs w:val="24"/>
        </w:rPr>
        <w:t xml:space="preserve">, </w:t>
      </w:r>
      <w:r w:rsidRPr="00476EBA">
        <w:rPr>
          <w:rFonts w:ascii="Calibri" w:hAnsi="Calibri" w:cs="Times New Roman"/>
          <w:i/>
          <w:iCs/>
          <w:szCs w:val="24"/>
        </w:rPr>
        <w:t>Beyond Mothering Earth</w:t>
      </w:r>
      <w:r w:rsidRPr="00476EBA">
        <w:rPr>
          <w:rFonts w:ascii="Calibri" w:hAnsi="Calibri" w:cs="Times New Roman"/>
          <w:szCs w:val="24"/>
        </w:rPr>
        <w:t>, 184.</w:t>
      </w:r>
      <w:proofErr w:type="gramEnd"/>
    </w:p>
  </w:footnote>
  <w:footnote w:id="58">
    <w:p w:rsidR="00FD0467" w:rsidRDefault="00FD0467" w:rsidP="008525E5">
      <w:pPr>
        <w:pStyle w:val="FootnoteText"/>
        <w:ind w:firstLine="0"/>
      </w:pPr>
      <w:r w:rsidRPr="00A06000">
        <w:rPr>
          <w:rStyle w:val="FootnoteReference"/>
        </w:rPr>
        <w:footnoteRef/>
      </w:r>
      <w:r>
        <w:t xml:space="preserve"> </w:t>
      </w:r>
      <w:r w:rsidRPr="003F4191">
        <w:rPr>
          <w:rFonts w:ascii="Calibri" w:hAnsi="Calibri" w:cs="Times New Roman"/>
          <w:szCs w:val="24"/>
        </w:rPr>
        <w:t xml:space="preserve">Vanessa Taylor and Frank Trentmann, “Liquid Politics: Water and the Politics of Everyday Life in the Modern City,” </w:t>
      </w:r>
      <w:r w:rsidRPr="003F4191">
        <w:rPr>
          <w:rFonts w:ascii="Calibri" w:hAnsi="Calibri" w:cs="Times New Roman"/>
          <w:i/>
          <w:iCs/>
          <w:szCs w:val="24"/>
        </w:rPr>
        <w:t>Past &amp; Present</w:t>
      </w:r>
      <w:r w:rsidRPr="003F4191">
        <w:rPr>
          <w:rFonts w:ascii="Calibri" w:hAnsi="Calibri" w:cs="Times New Roman"/>
          <w:szCs w:val="24"/>
        </w:rPr>
        <w:t xml:space="preserve"> 211, no. 1 (May 1, 2011): 199–241, doi:10.1093/</w:t>
      </w:r>
      <w:proofErr w:type="spellStart"/>
      <w:r w:rsidRPr="003F4191">
        <w:rPr>
          <w:rFonts w:ascii="Calibri" w:hAnsi="Calibri" w:cs="Times New Roman"/>
          <w:szCs w:val="24"/>
        </w:rPr>
        <w:t>pastj</w:t>
      </w:r>
      <w:proofErr w:type="spellEnd"/>
      <w:r w:rsidRPr="003F4191">
        <w:rPr>
          <w:rFonts w:ascii="Calibri" w:hAnsi="Calibri" w:cs="Times New Roman"/>
          <w:szCs w:val="24"/>
        </w:rPr>
        <w:t>/gtq068.</w:t>
      </w:r>
    </w:p>
  </w:footnote>
  <w:footnote w:id="59">
    <w:p w:rsidR="00FD0467" w:rsidRDefault="00FD0467" w:rsidP="008525E5">
      <w:pPr>
        <w:pStyle w:val="FootnoteText"/>
        <w:ind w:firstLine="0"/>
      </w:pPr>
      <w:r w:rsidRPr="00A06000">
        <w:rPr>
          <w:rStyle w:val="FootnoteReference"/>
        </w:rPr>
        <w:footnoteRef/>
      </w:r>
      <w:r>
        <w:t xml:space="preserve"> </w:t>
      </w:r>
      <w:proofErr w:type="gramStart"/>
      <w:r w:rsidRPr="003F4191">
        <w:rPr>
          <w:rFonts w:ascii="Calibri" w:hAnsi="Calibri" w:cs="Times New Roman"/>
          <w:szCs w:val="24"/>
        </w:rPr>
        <w:t>Ibid.,</w:t>
      </w:r>
      <w:proofErr w:type="gramEnd"/>
      <w:r w:rsidRPr="003F4191">
        <w:rPr>
          <w:rFonts w:ascii="Calibri" w:hAnsi="Calibri" w:cs="Times New Roman"/>
          <w:szCs w:val="24"/>
        </w:rPr>
        <w:t xml:space="preserve"> 203–204.</w:t>
      </w:r>
    </w:p>
  </w:footnote>
  <w:footnote w:id="60">
    <w:p w:rsidR="00FD0467" w:rsidRDefault="00FD0467" w:rsidP="008525E5">
      <w:pPr>
        <w:pStyle w:val="FootnoteText"/>
        <w:ind w:firstLine="0"/>
      </w:pPr>
      <w:r w:rsidRPr="00A06000">
        <w:rPr>
          <w:rStyle w:val="FootnoteReference"/>
        </w:rPr>
        <w:footnoteRef/>
      </w:r>
      <w:r>
        <w:t xml:space="preserve"> </w:t>
      </w:r>
      <w:proofErr w:type="gramStart"/>
      <w:r w:rsidRPr="00CA6975">
        <w:rPr>
          <w:rFonts w:ascii="Calibri" w:hAnsi="Calibri" w:cs="Times New Roman"/>
          <w:szCs w:val="24"/>
        </w:rPr>
        <w:t xml:space="preserve">Hobson, “‘Creative Grammar’ for Domestic Sustainable Consumption,” 198–206; </w:t>
      </w:r>
      <w:proofErr w:type="spellStart"/>
      <w:r w:rsidRPr="00CA6975">
        <w:rPr>
          <w:rFonts w:ascii="Calibri" w:hAnsi="Calibri" w:cs="Times New Roman"/>
          <w:szCs w:val="24"/>
        </w:rPr>
        <w:t>Marres</w:t>
      </w:r>
      <w:proofErr w:type="spellEnd"/>
      <w:r w:rsidRPr="00CA6975">
        <w:rPr>
          <w:rFonts w:ascii="Calibri" w:hAnsi="Calibri" w:cs="Times New Roman"/>
          <w:szCs w:val="24"/>
        </w:rPr>
        <w:t xml:space="preserve">, </w:t>
      </w:r>
      <w:r w:rsidRPr="00CA6975">
        <w:rPr>
          <w:rFonts w:ascii="Calibri" w:hAnsi="Calibri" w:cs="Times New Roman"/>
          <w:i/>
          <w:iCs/>
          <w:szCs w:val="24"/>
        </w:rPr>
        <w:t>Material Participation</w:t>
      </w:r>
      <w:r w:rsidRPr="00CA6975">
        <w:rPr>
          <w:rFonts w:ascii="Calibri" w:hAnsi="Calibri" w:cs="Times New Roman"/>
          <w:szCs w:val="24"/>
        </w:rPr>
        <w:t>.</w:t>
      </w:r>
      <w:proofErr w:type="gramEnd"/>
    </w:p>
  </w:footnote>
  <w:footnote w:id="61">
    <w:p w:rsidR="00FD0467" w:rsidRDefault="00FD0467" w:rsidP="00E55BF8">
      <w:pPr>
        <w:pStyle w:val="FootnoteText"/>
        <w:ind w:firstLine="0"/>
      </w:pPr>
      <w:r w:rsidRPr="00A06000">
        <w:rPr>
          <w:rStyle w:val="FootnoteReference"/>
        </w:rPr>
        <w:footnoteRef/>
      </w:r>
      <w:r>
        <w:t xml:space="preserve"> </w:t>
      </w:r>
      <w:r w:rsidRPr="00A67871">
        <w:rPr>
          <w:rFonts w:ascii="Calibri" w:hAnsi="Calibri" w:cs="Times New Roman"/>
          <w:szCs w:val="24"/>
        </w:rPr>
        <w:t xml:space="preserve">H.F. Pitkin, “Justice: On Relating Public and Private,” </w:t>
      </w:r>
      <w:r w:rsidRPr="00A67871">
        <w:rPr>
          <w:rFonts w:ascii="Calibri" w:hAnsi="Calibri" w:cs="Times New Roman"/>
          <w:i/>
          <w:iCs/>
          <w:szCs w:val="24"/>
        </w:rPr>
        <w:t>Political Theory</w:t>
      </w:r>
      <w:r w:rsidRPr="00A67871">
        <w:rPr>
          <w:rFonts w:ascii="Calibri" w:hAnsi="Calibri" w:cs="Times New Roman"/>
          <w:szCs w:val="24"/>
        </w:rPr>
        <w:t xml:space="preserve"> 9 (1981): </w:t>
      </w:r>
      <w:r w:rsidRPr="00A67871">
        <w:rPr>
          <w:rFonts w:ascii="Calibri" w:hAnsi="Calibri" w:cs="Times New Roman"/>
          <w:szCs w:val="24"/>
        </w:rPr>
        <w:t>346.</w:t>
      </w:r>
      <w:bookmarkStart w:id="0" w:name="_GoBack"/>
      <w:bookmarkEnd w:id="0"/>
    </w:p>
  </w:footnote>
  <w:footnote w:id="62">
    <w:p w:rsidR="00FD0467" w:rsidRDefault="00FD0467" w:rsidP="00C55034">
      <w:pPr>
        <w:pStyle w:val="FootnoteText"/>
        <w:ind w:firstLine="0"/>
      </w:pPr>
      <w:r w:rsidRPr="00A06000">
        <w:rPr>
          <w:rStyle w:val="FootnoteReference"/>
        </w:rPr>
        <w:footnoteRef/>
      </w:r>
      <w:r>
        <w:t xml:space="preserve"> </w:t>
      </w:r>
      <w:proofErr w:type="spellStart"/>
      <w:r w:rsidRPr="00B11819">
        <w:rPr>
          <w:rFonts w:ascii="Calibri" w:hAnsi="Calibri" w:cs="Times New Roman"/>
          <w:szCs w:val="24"/>
        </w:rPr>
        <w:t>Witold</w:t>
      </w:r>
      <w:proofErr w:type="spellEnd"/>
      <w:r w:rsidRPr="00B11819">
        <w:rPr>
          <w:rFonts w:ascii="Calibri" w:hAnsi="Calibri" w:cs="Times New Roman"/>
          <w:szCs w:val="24"/>
        </w:rPr>
        <w:t xml:space="preserve"> </w:t>
      </w:r>
      <w:proofErr w:type="spellStart"/>
      <w:r w:rsidRPr="00B11819">
        <w:rPr>
          <w:rFonts w:ascii="Calibri" w:hAnsi="Calibri" w:cs="Times New Roman"/>
          <w:szCs w:val="24"/>
        </w:rPr>
        <w:t>Rybczynski</w:t>
      </w:r>
      <w:proofErr w:type="spellEnd"/>
      <w:r w:rsidRPr="00B11819">
        <w:rPr>
          <w:rFonts w:ascii="Calibri" w:hAnsi="Calibri" w:cs="Times New Roman"/>
          <w:szCs w:val="24"/>
        </w:rPr>
        <w:t xml:space="preserve">, </w:t>
      </w:r>
      <w:r w:rsidRPr="00B11819">
        <w:rPr>
          <w:rFonts w:ascii="Calibri" w:hAnsi="Calibri" w:cs="Times New Roman"/>
          <w:i/>
          <w:iCs/>
          <w:szCs w:val="24"/>
        </w:rPr>
        <w:t>Home: A Short History of an Idea</w:t>
      </w:r>
      <w:r w:rsidRPr="00B11819">
        <w:rPr>
          <w:rFonts w:ascii="Calibri" w:hAnsi="Calibri" w:cs="Times New Roman"/>
          <w:szCs w:val="24"/>
        </w:rPr>
        <w:t xml:space="preserve"> (Penguin Books, 1987), 21–22.</w:t>
      </w:r>
    </w:p>
  </w:footnote>
  <w:footnote w:id="63">
    <w:p w:rsidR="00FD0467" w:rsidRDefault="00FD0467" w:rsidP="00C55034">
      <w:pPr>
        <w:pStyle w:val="FootnoteText"/>
        <w:ind w:firstLine="0"/>
      </w:pPr>
      <w:r w:rsidRPr="00A06000">
        <w:rPr>
          <w:rStyle w:val="FootnoteReference"/>
        </w:rPr>
        <w:footnoteRef/>
      </w:r>
      <w:r>
        <w:t xml:space="preserve"> </w:t>
      </w:r>
      <w:proofErr w:type="gramStart"/>
      <w:r w:rsidRPr="00237A41">
        <w:rPr>
          <w:rFonts w:ascii="Calibri" w:hAnsi="Calibri" w:cs="Times New Roman"/>
          <w:szCs w:val="24"/>
        </w:rPr>
        <w:t>Ibid.,</w:t>
      </w:r>
      <w:proofErr w:type="gramEnd"/>
      <w:r w:rsidRPr="00237A41">
        <w:rPr>
          <w:rFonts w:ascii="Calibri" w:hAnsi="Calibri" w:cs="Times New Roman"/>
          <w:szCs w:val="24"/>
        </w:rPr>
        <w:t xml:space="preserve"> 38–39.</w:t>
      </w:r>
    </w:p>
  </w:footnote>
  <w:footnote w:id="64">
    <w:p w:rsidR="00FD0467" w:rsidRDefault="00FD0467" w:rsidP="001C76EA">
      <w:pPr>
        <w:pStyle w:val="FootnoteText"/>
        <w:ind w:firstLine="0"/>
      </w:pPr>
      <w:r w:rsidRPr="00A06000">
        <w:rPr>
          <w:rStyle w:val="FootnoteReference"/>
        </w:rPr>
        <w:footnoteRef/>
      </w:r>
      <w:r>
        <w:t xml:space="preserve"> </w:t>
      </w:r>
      <w:r w:rsidRPr="00CB1D7C">
        <w:rPr>
          <w:rFonts w:ascii="Calibri" w:hAnsi="Calibri" w:cs="Times New Roman"/>
          <w:szCs w:val="24"/>
        </w:rPr>
        <w:t xml:space="preserve">Elizabeth Shove, </w:t>
      </w:r>
      <w:r w:rsidRPr="00CB1D7C">
        <w:rPr>
          <w:rFonts w:ascii="Calibri" w:hAnsi="Calibri" w:cs="Times New Roman"/>
          <w:i/>
          <w:iCs/>
          <w:szCs w:val="24"/>
        </w:rPr>
        <w:t>Comfort, Cleanliness and Convenience: The Social Organization of Normality</w:t>
      </w:r>
      <w:r w:rsidRPr="00CB1D7C">
        <w:rPr>
          <w:rFonts w:ascii="Calibri" w:hAnsi="Calibri" w:cs="Times New Roman"/>
          <w:szCs w:val="24"/>
        </w:rPr>
        <w:t xml:space="preserve"> (Oxford: Berg, 2003), 198.</w:t>
      </w:r>
    </w:p>
  </w:footnote>
  <w:footnote w:id="65">
    <w:p w:rsidR="00FD0467" w:rsidRDefault="00FD0467" w:rsidP="00C55034">
      <w:pPr>
        <w:pStyle w:val="FootnoteText"/>
        <w:ind w:firstLine="0"/>
      </w:pPr>
      <w:r w:rsidRPr="00A06000">
        <w:rPr>
          <w:rStyle w:val="FootnoteReference"/>
        </w:rPr>
        <w:footnoteRef/>
      </w:r>
      <w:r>
        <w:t xml:space="preserve"> </w:t>
      </w:r>
      <w:proofErr w:type="gramStart"/>
      <w:r w:rsidRPr="00CB1D7C">
        <w:rPr>
          <w:rFonts w:ascii="Calibri" w:hAnsi="Calibri" w:cs="Times New Roman"/>
          <w:szCs w:val="24"/>
        </w:rPr>
        <w:t>Ibid.,</w:t>
      </w:r>
      <w:proofErr w:type="gramEnd"/>
      <w:r w:rsidRPr="00CB1D7C">
        <w:rPr>
          <w:rFonts w:ascii="Calibri" w:hAnsi="Calibri" w:cs="Times New Roman"/>
          <w:szCs w:val="24"/>
        </w:rPr>
        <w:t xml:space="preserve"> 21–77.</w:t>
      </w:r>
    </w:p>
  </w:footnote>
  <w:footnote w:id="66">
    <w:p w:rsidR="00FD0467" w:rsidRDefault="00FD0467" w:rsidP="00C55034">
      <w:pPr>
        <w:pStyle w:val="FootnoteText"/>
        <w:ind w:firstLine="0"/>
      </w:pPr>
      <w:r w:rsidRPr="00A06000">
        <w:rPr>
          <w:rStyle w:val="FootnoteReference"/>
        </w:rPr>
        <w:footnoteRef/>
      </w:r>
      <w:r>
        <w:t xml:space="preserve"> </w:t>
      </w:r>
      <w:proofErr w:type="gramStart"/>
      <w:r w:rsidRPr="00AB63E2">
        <w:rPr>
          <w:rFonts w:ascii="Calibri" w:hAnsi="Calibri" w:cs="Times New Roman"/>
          <w:szCs w:val="24"/>
        </w:rPr>
        <w:t>Ibid.,</w:t>
      </w:r>
      <w:proofErr w:type="gramEnd"/>
      <w:r w:rsidRPr="00AB63E2">
        <w:rPr>
          <w:rFonts w:ascii="Calibri" w:hAnsi="Calibri" w:cs="Times New Roman"/>
          <w:szCs w:val="24"/>
        </w:rPr>
        <w:t xml:space="preserve"> 141–151.</w:t>
      </w:r>
    </w:p>
  </w:footnote>
  <w:footnote w:id="67">
    <w:p w:rsidR="00FD0467" w:rsidRDefault="00FD0467" w:rsidP="00C55034">
      <w:pPr>
        <w:pStyle w:val="FootnoteText"/>
        <w:ind w:firstLine="0"/>
      </w:pPr>
      <w:r w:rsidRPr="00A06000">
        <w:rPr>
          <w:rStyle w:val="FootnoteReference"/>
        </w:rPr>
        <w:footnoteRef/>
      </w:r>
      <w:r>
        <w:t xml:space="preserve"> </w:t>
      </w:r>
      <w:proofErr w:type="gramStart"/>
      <w:r w:rsidRPr="00B35E76">
        <w:rPr>
          <w:rFonts w:ascii="Calibri" w:hAnsi="Calibri"/>
        </w:rPr>
        <w:t>Ibid.,</w:t>
      </w:r>
      <w:proofErr w:type="gramEnd"/>
      <w:r w:rsidRPr="00B35E76">
        <w:rPr>
          <w:rFonts w:ascii="Calibri" w:hAnsi="Calibri"/>
        </w:rPr>
        <w:t xml:space="preserve"> 199.</w:t>
      </w:r>
    </w:p>
  </w:footnote>
  <w:footnote w:id="68">
    <w:p w:rsidR="00FD0467" w:rsidRDefault="00FD0467" w:rsidP="00C55034">
      <w:pPr>
        <w:pStyle w:val="FootnoteText"/>
        <w:ind w:firstLine="0"/>
      </w:pPr>
      <w:r w:rsidRPr="00A06000">
        <w:rPr>
          <w:rStyle w:val="FootnoteReference"/>
        </w:rPr>
        <w:footnoteRef/>
      </w:r>
      <w:r>
        <w:t xml:space="preserve"> </w:t>
      </w:r>
      <w:r w:rsidRPr="00B8018F">
        <w:rPr>
          <w:rFonts w:ascii="Calibri" w:hAnsi="Calibri" w:cs="Times New Roman"/>
          <w:szCs w:val="24"/>
        </w:rPr>
        <w:t xml:space="preserve">Margaret M. Willis and Juliet B. Schor, “Does Changing a Light Bulb Lead to Changing the World? Political Action and the Conscious Consumer,” </w:t>
      </w:r>
      <w:r w:rsidRPr="00B8018F">
        <w:rPr>
          <w:rFonts w:ascii="Calibri" w:hAnsi="Calibri" w:cs="Times New Roman"/>
          <w:i/>
          <w:iCs/>
          <w:szCs w:val="24"/>
        </w:rPr>
        <w:t>The ANNALS of the American Academy of Political and Social Science</w:t>
      </w:r>
      <w:r w:rsidRPr="00B8018F">
        <w:rPr>
          <w:rFonts w:ascii="Calibri" w:hAnsi="Calibri" w:cs="Times New Roman"/>
          <w:szCs w:val="24"/>
        </w:rPr>
        <w:t xml:space="preserve"> 644, no. 1 (November 1, 2012): 160–90, doi</w:t>
      </w:r>
      <w:proofErr w:type="gramStart"/>
      <w:r w:rsidRPr="00B8018F">
        <w:rPr>
          <w:rFonts w:ascii="Calibri" w:hAnsi="Calibri" w:cs="Times New Roman"/>
          <w:szCs w:val="24"/>
        </w:rPr>
        <w:t>:10.1177</w:t>
      </w:r>
      <w:proofErr w:type="gramEnd"/>
      <w:r w:rsidRPr="00B8018F">
        <w:rPr>
          <w:rFonts w:ascii="Calibri" w:hAnsi="Calibri" w:cs="Times New Roman"/>
          <w:szCs w:val="24"/>
        </w:rPr>
        <w:t xml:space="preserve">/0002716212454831; Lucy Atkinson, “Buying In to Social Change How Private Consumption Choices Engender Concern for the Collective,” </w:t>
      </w:r>
      <w:r w:rsidRPr="00B8018F">
        <w:rPr>
          <w:rFonts w:ascii="Calibri" w:hAnsi="Calibri" w:cs="Times New Roman"/>
          <w:i/>
          <w:iCs/>
          <w:szCs w:val="24"/>
        </w:rPr>
        <w:t>The ANNALS of the American Academy of Political and Social Science</w:t>
      </w:r>
      <w:r w:rsidRPr="00B8018F">
        <w:rPr>
          <w:rFonts w:ascii="Calibri" w:hAnsi="Calibri" w:cs="Times New Roman"/>
          <w:szCs w:val="24"/>
        </w:rPr>
        <w:t xml:space="preserve"> 644, no. 1 (November 1, 2012): 191–206, doi:10.1177/0002716212448366.</w:t>
      </w:r>
    </w:p>
  </w:footnote>
  <w:footnote w:id="69">
    <w:p w:rsidR="00FD0467" w:rsidRDefault="00FD0467" w:rsidP="008525E5">
      <w:pPr>
        <w:pStyle w:val="FootnoteText"/>
        <w:ind w:firstLine="0"/>
      </w:pPr>
      <w:r w:rsidRPr="00A06000">
        <w:rPr>
          <w:rStyle w:val="FootnoteReference"/>
        </w:rPr>
        <w:footnoteRef/>
      </w:r>
      <w:r>
        <w:t xml:space="preserve"> </w:t>
      </w:r>
      <w:r w:rsidRPr="006F7E7D">
        <w:rPr>
          <w:rFonts w:ascii="Calibri" w:hAnsi="Calibri" w:cs="Times New Roman"/>
          <w:szCs w:val="24"/>
        </w:rPr>
        <w:t xml:space="preserve">Maria </w:t>
      </w:r>
      <w:proofErr w:type="spellStart"/>
      <w:r w:rsidRPr="006F7E7D">
        <w:rPr>
          <w:rFonts w:ascii="Calibri" w:hAnsi="Calibri" w:cs="Times New Roman"/>
          <w:szCs w:val="24"/>
        </w:rPr>
        <w:t>Kaika</w:t>
      </w:r>
      <w:proofErr w:type="spellEnd"/>
      <w:r w:rsidRPr="006F7E7D">
        <w:rPr>
          <w:rFonts w:ascii="Calibri" w:hAnsi="Calibri" w:cs="Times New Roman"/>
          <w:szCs w:val="24"/>
        </w:rPr>
        <w:t xml:space="preserve">, “Interrogating the Geographies of the Familiar: Domesticating Nature and Constructing the Autonomy of the Modern Home,” </w:t>
      </w:r>
      <w:r w:rsidRPr="006F7E7D">
        <w:rPr>
          <w:rFonts w:ascii="Calibri" w:hAnsi="Calibri" w:cs="Times New Roman"/>
          <w:i/>
          <w:iCs/>
          <w:szCs w:val="24"/>
        </w:rPr>
        <w:t>International Journal of Urban and Regional Research</w:t>
      </w:r>
      <w:r w:rsidRPr="006F7E7D">
        <w:rPr>
          <w:rFonts w:ascii="Calibri" w:hAnsi="Calibri" w:cs="Times New Roman"/>
          <w:szCs w:val="24"/>
        </w:rPr>
        <w:t xml:space="preserve"> 28, no. 2 (2004): 266, doi:10.1111/j.0309-1317.2004.00519.x.</w:t>
      </w:r>
    </w:p>
  </w:footnote>
  <w:footnote w:id="70">
    <w:p w:rsidR="00FD0467" w:rsidRDefault="00FD0467" w:rsidP="008525E5">
      <w:pPr>
        <w:pStyle w:val="FootnoteText"/>
        <w:ind w:firstLine="0"/>
      </w:pPr>
      <w:r w:rsidRPr="00A06000">
        <w:rPr>
          <w:rStyle w:val="FootnoteReference"/>
        </w:rPr>
        <w:footnoteRef/>
      </w:r>
      <w:r>
        <w:t xml:space="preserve"> </w:t>
      </w:r>
      <w:r w:rsidRPr="006F7E7D">
        <w:rPr>
          <w:rFonts w:ascii="Calibri" w:hAnsi="Calibri"/>
        </w:rPr>
        <w:t>Ibid.</w:t>
      </w:r>
    </w:p>
  </w:footnote>
  <w:footnote w:id="71">
    <w:p w:rsidR="00FD0467" w:rsidRDefault="00FD0467" w:rsidP="008525E5">
      <w:pPr>
        <w:pStyle w:val="FootnoteText"/>
        <w:ind w:firstLine="0"/>
      </w:pPr>
      <w:r w:rsidRPr="00A06000">
        <w:rPr>
          <w:rStyle w:val="FootnoteReference"/>
        </w:rPr>
        <w:footnoteRef/>
      </w:r>
      <w:r>
        <w:t xml:space="preserve"> </w:t>
      </w:r>
      <w:r w:rsidRPr="003F4191">
        <w:rPr>
          <w:rFonts w:ascii="Calibri" w:hAnsi="Calibri" w:cs="Times New Roman"/>
          <w:szCs w:val="24"/>
        </w:rPr>
        <w:t>See, including footnotes, Taylor and Trentmann, “Liquid Politics,” 200–201 and passim.</w:t>
      </w:r>
    </w:p>
  </w:footnote>
  <w:footnote w:id="72">
    <w:p w:rsidR="00FD0467" w:rsidRDefault="00FD0467" w:rsidP="008525E5">
      <w:pPr>
        <w:pStyle w:val="FootnoteText"/>
        <w:ind w:firstLine="0"/>
      </w:pPr>
      <w:r w:rsidRPr="00A06000">
        <w:rPr>
          <w:rStyle w:val="FootnoteReference"/>
        </w:rPr>
        <w:footnoteRef/>
      </w:r>
      <w:r>
        <w:t xml:space="preserve"> </w:t>
      </w:r>
      <w:proofErr w:type="spellStart"/>
      <w:proofErr w:type="gramStart"/>
      <w:r w:rsidRPr="00C824D0">
        <w:rPr>
          <w:rFonts w:ascii="Calibri" w:hAnsi="Calibri" w:cs="Times New Roman"/>
          <w:szCs w:val="24"/>
        </w:rPr>
        <w:t>Kaika</w:t>
      </w:r>
      <w:proofErr w:type="spellEnd"/>
      <w:r w:rsidRPr="00C824D0">
        <w:rPr>
          <w:rFonts w:ascii="Calibri" w:hAnsi="Calibri" w:cs="Times New Roman"/>
          <w:szCs w:val="24"/>
        </w:rPr>
        <w:t>, “Interrogating the Geographies of the Familiar,” 274.</w:t>
      </w:r>
      <w:proofErr w:type="gramEnd"/>
    </w:p>
  </w:footnote>
  <w:footnote w:id="73">
    <w:p w:rsidR="00FD0467" w:rsidRDefault="00FD0467" w:rsidP="008525E5">
      <w:pPr>
        <w:pStyle w:val="FootnoteText"/>
        <w:ind w:firstLine="0"/>
      </w:pPr>
      <w:r w:rsidRPr="00A06000">
        <w:rPr>
          <w:rStyle w:val="FootnoteReference"/>
        </w:rPr>
        <w:footnoteRef/>
      </w:r>
      <w:r>
        <w:t xml:space="preserve"> </w:t>
      </w:r>
      <w:proofErr w:type="gramStart"/>
      <w:r w:rsidRPr="003B7416">
        <w:rPr>
          <w:rFonts w:ascii="Calibri" w:hAnsi="Calibri"/>
        </w:rPr>
        <w:t>Ibid.,</w:t>
      </w:r>
      <w:proofErr w:type="gramEnd"/>
      <w:r w:rsidRPr="003B7416">
        <w:rPr>
          <w:rFonts w:ascii="Calibri" w:hAnsi="Calibri"/>
        </w:rPr>
        <w:t xml:space="preserve"> 275.</w:t>
      </w:r>
    </w:p>
  </w:footnote>
  <w:footnote w:id="74">
    <w:p w:rsidR="00FD0467" w:rsidRDefault="00FD0467" w:rsidP="008525E5">
      <w:pPr>
        <w:pStyle w:val="FootnoteText"/>
        <w:ind w:firstLine="0"/>
      </w:pPr>
      <w:r w:rsidRPr="00A06000">
        <w:rPr>
          <w:rStyle w:val="FootnoteReference"/>
        </w:rPr>
        <w:footnoteRef/>
      </w:r>
      <w:r>
        <w:t xml:space="preserve"> </w:t>
      </w:r>
      <w:proofErr w:type="gramStart"/>
      <w:r w:rsidRPr="003B7416">
        <w:rPr>
          <w:rFonts w:ascii="Calibri" w:hAnsi="Calibri"/>
        </w:rPr>
        <w:t>Ibid.,</w:t>
      </w:r>
      <w:proofErr w:type="gramEnd"/>
      <w:r w:rsidRPr="003B7416">
        <w:rPr>
          <w:rFonts w:ascii="Calibri" w:hAnsi="Calibri"/>
        </w:rPr>
        <w:t xml:space="preserve"> 276.</w:t>
      </w:r>
    </w:p>
  </w:footnote>
  <w:footnote w:id="75">
    <w:p w:rsidR="00FD0467" w:rsidRDefault="00FD0467" w:rsidP="008525E5">
      <w:pPr>
        <w:pStyle w:val="FootnoteText"/>
        <w:ind w:firstLine="0"/>
      </w:pPr>
      <w:r w:rsidRPr="00A06000">
        <w:rPr>
          <w:rStyle w:val="FootnoteReference"/>
        </w:rPr>
        <w:footnoteRef/>
      </w:r>
      <w:r>
        <w:t xml:space="preserve"> </w:t>
      </w:r>
      <w:proofErr w:type="gramStart"/>
      <w:r w:rsidRPr="00BB65EF">
        <w:rPr>
          <w:rFonts w:ascii="Calibri" w:hAnsi="Calibri"/>
        </w:rPr>
        <w:t>Ibid.,</w:t>
      </w:r>
      <w:proofErr w:type="gramEnd"/>
      <w:r w:rsidRPr="00BB65EF">
        <w:rPr>
          <w:rFonts w:ascii="Calibri" w:hAnsi="Calibri"/>
        </w:rPr>
        <w:t xml:space="preserve"> 283.</w:t>
      </w:r>
    </w:p>
  </w:footnote>
  <w:footnote w:id="76">
    <w:p w:rsidR="00FD0467" w:rsidRDefault="00FD0467" w:rsidP="00CB1DA7">
      <w:pPr>
        <w:pStyle w:val="FootnoteText"/>
        <w:ind w:firstLine="0"/>
      </w:pPr>
      <w:r>
        <w:rPr>
          <w:rStyle w:val="FootnoteReference"/>
        </w:rPr>
        <w:footnoteRef/>
      </w:r>
      <w:r>
        <w:t xml:space="preserve"> </w:t>
      </w:r>
      <w:r w:rsidRPr="007D459B">
        <w:rPr>
          <w:rFonts w:ascii="Calibri" w:hAnsi="Calibri" w:cs="Times New Roman"/>
          <w:szCs w:val="24"/>
        </w:rPr>
        <w:t xml:space="preserve">Di </w:t>
      </w:r>
      <w:proofErr w:type="spellStart"/>
      <w:r w:rsidRPr="007D459B">
        <w:rPr>
          <w:rFonts w:ascii="Calibri" w:hAnsi="Calibri" w:cs="Times New Roman"/>
          <w:szCs w:val="24"/>
        </w:rPr>
        <w:t>Chiro</w:t>
      </w:r>
      <w:proofErr w:type="spellEnd"/>
      <w:r w:rsidRPr="007D459B">
        <w:rPr>
          <w:rFonts w:ascii="Calibri" w:hAnsi="Calibri" w:cs="Times New Roman"/>
          <w:szCs w:val="24"/>
        </w:rPr>
        <w:t xml:space="preserve">, “Living Environmentalisms,” 285–287; See also: Isabella Bakker, “Social Reproduction and the Constitution of a Gendered Political Economy,” </w:t>
      </w:r>
      <w:r w:rsidRPr="007D459B">
        <w:rPr>
          <w:rFonts w:ascii="Calibri" w:hAnsi="Calibri" w:cs="Times New Roman"/>
          <w:i/>
          <w:iCs/>
          <w:szCs w:val="24"/>
        </w:rPr>
        <w:t>New Political Economy</w:t>
      </w:r>
      <w:r w:rsidRPr="007D459B">
        <w:rPr>
          <w:rFonts w:ascii="Calibri" w:hAnsi="Calibri" w:cs="Times New Roman"/>
          <w:szCs w:val="24"/>
        </w:rPr>
        <w:t xml:space="preserve"> 12, no. 4 (2007): 541–56, doi</w:t>
      </w:r>
      <w:proofErr w:type="gramStart"/>
      <w:r w:rsidRPr="007D459B">
        <w:rPr>
          <w:rFonts w:ascii="Calibri" w:hAnsi="Calibri" w:cs="Times New Roman"/>
          <w:szCs w:val="24"/>
        </w:rPr>
        <w:t>:10.1080</w:t>
      </w:r>
      <w:proofErr w:type="gramEnd"/>
      <w:r w:rsidRPr="007D459B">
        <w:rPr>
          <w:rFonts w:ascii="Calibri" w:hAnsi="Calibri" w:cs="Times New Roman"/>
          <w:szCs w:val="24"/>
        </w:rPr>
        <w:t>/13563460701661561.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B429F"/>
    <w:multiLevelType w:val="hybridMultilevel"/>
    <w:tmpl w:val="CCE29B90"/>
    <w:lvl w:ilvl="0" w:tplc="507650C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5705EE6"/>
    <w:multiLevelType w:val="hybridMultilevel"/>
    <w:tmpl w:val="0CA8F740"/>
    <w:lvl w:ilvl="0" w:tplc="8B12A7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CE7037D"/>
    <w:multiLevelType w:val="hybridMultilevel"/>
    <w:tmpl w:val="18CA3EBE"/>
    <w:lvl w:ilvl="0" w:tplc="872E5A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C8"/>
    <w:rsid w:val="00001F40"/>
    <w:rsid w:val="00014AFF"/>
    <w:rsid w:val="00017D03"/>
    <w:rsid w:val="00021807"/>
    <w:rsid w:val="00023AA4"/>
    <w:rsid w:val="00024259"/>
    <w:rsid w:val="00024310"/>
    <w:rsid w:val="0002516B"/>
    <w:rsid w:val="00027CDB"/>
    <w:rsid w:val="000329C1"/>
    <w:rsid w:val="0003308B"/>
    <w:rsid w:val="0003349E"/>
    <w:rsid w:val="000335BA"/>
    <w:rsid w:val="00033E6D"/>
    <w:rsid w:val="000358BD"/>
    <w:rsid w:val="00036DB6"/>
    <w:rsid w:val="00041FA5"/>
    <w:rsid w:val="000451DB"/>
    <w:rsid w:val="00045C7D"/>
    <w:rsid w:val="00047193"/>
    <w:rsid w:val="00051CA8"/>
    <w:rsid w:val="000537F9"/>
    <w:rsid w:val="00055F49"/>
    <w:rsid w:val="00057CC8"/>
    <w:rsid w:val="00060B99"/>
    <w:rsid w:val="00061C00"/>
    <w:rsid w:val="00063525"/>
    <w:rsid w:val="00066183"/>
    <w:rsid w:val="00067165"/>
    <w:rsid w:val="00071097"/>
    <w:rsid w:val="0007238B"/>
    <w:rsid w:val="00073A12"/>
    <w:rsid w:val="000770B4"/>
    <w:rsid w:val="00083CEC"/>
    <w:rsid w:val="00085110"/>
    <w:rsid w:val="00085706"/>
    <w:rsid w:val="00085DB9"/>
    <w:rsid w:val="00086559"/>
    <w:rsid w:val="00092D3F"/>
    <w:rsid w:val="00093C04"/>
    <w:rsid w:val="00094955"/>
    <w:rsid w:val="00097F8F"/>
    <w:rsid w:val="000A23F1"/>
    <w:rsid w:val="000A2D13"/>
    <w:rsid w:val="000A6C51"/>
    <w:rsid w:val="000B12B6"/>
    <w:rsid w:val="000B4E6F"/>
    <w:rsid w:val="000B5AA2"/>
    <w:rsid w:val="000B6529"/>
    <w:rsid w:val="000C11BC"/>
    <w:rsid w:val="000C18BE"/>
    <w:rsid w:val="000C2BC8"/>
    <w:rsid w:val="000D0C1D"/>
    <w:rsid w:val="000D0F97"/>
    <w:rsid w:val="000D3614"/>
    <w:rsid w:val="000D3710"/>
    <w:rsid w:val="000E4B51"/>
    <w:rsid w:val="000E6582"/>
    <w:rsid w:val="000E7889"/>
    <w:rsid w:val="000E7B2E"/>
    <w:rsid w:val="000E7D7D"/>
    <w:rsid w:val="000F0035"/>
    <w:rsid w:val="000F0433"/>
    <w:rsid w:val="000F32C4"/>
    <w:rsid w:val="000F5F52"/>
    <w:rsid w:val="000F72B0"/>
    <w:rsid w:val="00101012"/>
    <w:rsid w:val="00104C36"/>
    <w:rsid w:val="001050FE"/>
    <w:rsid w:val="001058A4"/>
    <w:rsid w:val="00106410"/>
    <w:rsid w:val="00107744"/>
    <w:rsid w:val="00110186"/>
    <w:rsid w:val="00112B50"/>
    <w:rsid w:val="00113510"/>
    <w:rsid w:val="00120D55"/>
    <w:rsid w:val="00122647"/>
    <w:rsid w:val="00123C86"/>
    <w:rsid w:val="00134F35"/>
    <w:rsid w:val="001356DE"/>
    <w:rsid w:val="00136626"/>
    <w:rsid w:val="001372B5"/>
    <w:rsid w:val="00142BC1"/>
    <w:rsid w:val="00146BA8"/>
    <w:rsid w:val="00152B0B"/>
    <w:rsid w:val="00153F39"/>
    <w:rsid w:val="001604AF"/>
    <w:rsid w:val="00164353"/>
    <w:rsid w:val="00165185"/>
    <w:rsid w:val="00166211"/>
    <w:rsid w:val="00170034"/>
    <w:rsid w:val="00170A53"/>
    <w:rsid w:val="00172CB0"/>
    <w:rsid w:val="00173DA9"/>
    <w:rsid w:val="00174258"/>
    <w:rsid w:val="00177918"/>
    <w:rsid w:val="00186163"/>
    <w:rsid w:val="0018784C"/>
    <w:rsid w:val="0019038A"/>
    <w:rsid w:val="001966F6"/>
    <w:rsid w:val="00197703"/>
    <w:rsid w:val="001A0F89"/>
    <w:rsid w:val="001A468E"/>
    <w:rsid w:val="001A4F0C"/>
    <w:rsid w:val="001A61CC"/>
    <w:rsid w:val="001A6301"/>
    <w:rsid w:val="001A6EFD"/>
    <w:rsid w:val="001A7661"/>
    <w:rsid w:val="001A7C86"/>
    <w:rsid w:val="001B0334"/>
    <w:rsid w:val="001B3F19"/>
    <w:rsid w:val="001C0643"/>
    <w:rsid w:val="001C0F83"/>
    <w:rsid w:val="001C40C0"/>
    <w:rsid w:val="001C5E21"/>
    <w:rsid w:val="001C76EA"/>
    <w:rsid w:val="001C7BC3"/>
    <w:rsid w:val="001D0E73"/>
    <w:rsid w:val="001D2B7B"/>
    <w:rsid w:val="001D2BE3"/>
    <w:rsid w:val="001D537D"/>
    <w:rsid w:val="001D5B0A"/>
    <w:rsid w:val="001E0A42"/>
    <w:rsid w:val="001E2400"/>
    <w:rsid w:val="001E57AA"/>
    <w:rsid w:val="001F18A1"/>
    <w:rsid w:val="001F236F"/>
    <w:rsid w:val="001F37EF"/>
    <w:rsid w:val="00203C12"/>
    <w:rsid w:val="00205438"/>
    <w:rsid w:val="00205AEF"/>
    <w:rsid w:val="002118C6"/>
    <w:rsid w:val="002122C0"/>
    <w:rsid w:val="00213F51"/>
    <w:rsid w:val="00216FCC"/>
    <w:rsid w:val="00217330"/>
    <w:rsid w:val="0022148B"/>
    <w:rsid w:val="002217D9"/>
    <w:rsid w:val="00221CB8"/>
    <w:rsid w:val="002242F6"/>
    <w:rsid w:val="00224641"/>
    <w:rsid w:val="0022644F"/>
    <w:rsid w:val="00231673"/>
    <w:rsid w:val="00234915"/>
    <w:rsid w:val="0023540B"/>
    <w:rsid w:val="00237551"/>
    <w:rsid w:val="00237A41"/>
    <w:rsid w:val="00241CF9"/>
    <w:rsid w:val="00241D12"/>
    <w:rsid w:val="0024652E"/>
    <w:rsid w:val="002502AE"/>
    <w:rsid w:val="002509EE"/>
    <w:rsid w:val="002604EC"/>
    <w:rsid w:val="00260D7D"/>
    <w:rsid w:val="002707E6"/>
    <w:rsid w:val="00270CCC"/>
    <w:rsid w:val="0027557B"/>
    <w:rsid w:val="00275D1E"/>
    <w:rsid w:val="00275F12"/>
    <w:rsid w:val="00276E7D"/>
    <w:rsid w:val="00282255"/>
    <w:rsid w:val="0028261A"/>
    <w:rsid w:val="002877FA"/>
    <w:rsid w:val="00290B9D"/>
    <w:rsid w:val="00292597"/>
    <w:rsid w:val="002940AB"/>
    <w:rsid w:val="002A4648"/>
    <w:rsid w:val="002B506A"/>
    <w:rsid w:val="002C0226"/>
    <w:rsid w:val="002C4B03"/>
    <w:rsid w:val="002D3AE5"/>
    <w:rsid w:val="002D541F"/>
    <w:rsid w:val="002E2124"/>
    <w:rsid w:val="002F00B4"/>
    <w:rsid w:val="002F5D4A"/>
    <w:rsid w:val="0030226C"/>
    <w:rsid w:val="003022E2"/>
    <w:rsid w:val="00305602"/>
    <w:rsid w:val="00305FAD"/>
    <w:rsid w:val="00307437"/>
    <w:rsid w:val="00310FF2"/>
    <w:rsid w:val="0032502B"/>
    <w:rsid w:val="003254C7"/>
    <w:rsid w:val="003276C9"/>
    <w:rsid w:val="0033152A"/>
    <w:rsid w:val="003319BF"/>
    <w:rsid w:val="00331FBE"/>
    <w:rsid w:val="0033233F"/>
    <w:rsid w:val="00341238"/>
    <w:rsid w:val="00342A73"/>
    <w:rsid w:val="00347DA2"/>
    <w:rsid w:val="00355AA2"/>
    <w:rsid w:val="00357255"/>
    <w:rsid w:val="0035795F"/>
    <w:rsid w:val="0036497D"/>
    <w:rsid w:val="00366EB0"/>
    <w:rsid w:val="00366EE6"/>
    <w:rsid w:val="003719F3"/>
    <w:rsid w:val="0037253B"/>
    <w:rsid w:val="00372C08"/>
    <w:rsid w:val="00372EAC"/>
    <w:rsid w:val="003739FB"/>
    <w:rsid w:val="003745B1"/>
    <w:rsid w:val="003830B7"/>
    <w:rsid w:val="00383D8E"/>
    <w:rsid w:val="0038486A"/>
    <w:rsid w:val="0038579D"/>
    <w:rsid w:val="00386294"/>
    <w:rsid w:val="003904A9"/>
    <w:rsid w:val="0039082D"/>
    <w:rsid w:val="003908BF"/>
    <w:rsid w:val="00392F9A"/>
    <w:rsid w:val="00394574"/>
    <w:rsid w:val="003A49CF"/>
    <w:rsid w:val="003A66DC"/>
    <w:rsid w:val="003B052C"/>
    <w:rsid w:val="003B50E2"/>
    <w:rsid w:val="003B7416"/>
    <w:rsid w:val="003C09A4"/>
    <w:rsid w:val="003D497A"/>
    <w:rsid w:val="003D530C"/>
    <w:rsid w:val="003D66AA"/>
    <w:rsid w:val="003D798A"/>
    <w:rsid w:val="003E01A9"/>
    <w:rsid w:val="003E35B4"/>
    <w:rsid w:val="003E39F5"/>
    <w:rsid w:val="003E4736"/>
    <w:rsid w:val="003F1CAA"/>
    <w:rsid w:val="003F4191"/>
    <w:rsid w:val="003F771D"/>
    <w:rsid w:val="00400C03"/>
    <w:rsid w:val="00400C70"/>
    <w:rsid w:val="0040725A"/>
    <w:rsid w:val="004101D6"/>
    <w:rsid w:val="00413561"/>
    <w:rsid w:val="00420B26"/>
    <w:rsid w:val="0042266C"/>
    <w:rsid w:val="0042316A"/>
    <w:rsid w:val="0043057B"/>
    <w:rsid w:val="004317B5"/>
    <w:rsid w:val="00434BA2"/>
    <w:rsid w:val="004479D0"/>
    <w:rsid w:val="00447B4A"/>
    <w:rsid w:val="0045161E"/>
    <w:rsid w:val="00452893"/>
    <w:rsid w:val="00454BEC"/>
    <w:rsid w:val="00454F8C"/>
    <w:rsid w:val="00455720"/>
    <w:rsid w:val="004562C6"/>
    <w:rsid w:val="00456987"/>
    <w:rsid w:val="0046077E"/>
    <w:rsid w:val="004622BF"/>
    <w:rsid w:val="00473FF4"/>
    <w:rsid w:val="00475B9F"/>
    <w:rsid w:val="00476EBA"/>
    <w:rsid w:val="0048122B"/>
    <w:rsid w:val="00485877"/>
    <w:rsid w:val="004902F2"/>
    <w:rsid w:val="0049553D"/>
    <w:rsid w:val="004A18FE"/>
    <w:rsid w:val="004A1FBC"/>
    <w:rsid w:val="004A78ED"/>
    <w:rsid w:val="004B1D63"/>
    <w:rsid w:val="004B29FF"/>
    <w:rsid w:val="004B3B6D"/>
    <w:rsid w:val="004B50AA"/>
    <w:rsid w:val="004B679E"/>
    <w:rsid w:val="004C1FA3"/>
    <w:rsid w:val="004D11A8"/>
    <w:rsid w:val="004D207E"/>
    <w:rsid w:val="004E0C4C"/>
    <w:rsid w:val="004E187F"/>
    <w:rsid w:val="004E3201"/>
    <w:rsid w:val="004E388F"/>
    <w:rsid w:val="004E497F"/>
    <w:rsid w:val="004F1F1A"/>
    <w:rsid w:val="004F6CD3"/>
    <w:rsid w:val="004F6CF0"/>
    <w:rsid w:val="004F7B0B"/>
    <w:rsid w:val="0050078B"/>
    <w:rsid w:val="0050394A"/>
    <w:rsid w:val="00504B96"/>
    <w:rsid w:val="00505C1F"/>
    <w:rsid w:val="0051173B"/>
    <w:rsid w:val="00515962"/>
    <w:rsid w:val="005168C8"/>
    <w:rsid w:val="00517251"/>
    <w:rsid w:val="0052062B"/>
    <w:rsid w:val="00520CBB"/>
    <w:rsid w:val="00526B59"/>
    <w:rsid w:val="00527598"/>
    <w:rsid w:val="00531D62"/>
    <w:rsid w:val="005322AC"/>
    <w:rsid w:val="00533496"/>
    <w:rsid w:val="00535929"/>
    <w:rsid w:val="00537DDD"/>
    <w:rsid w:val="005401D1"/>
    <w:rsid w:val="00540399"/>
    <w:rsid w:val="00544537"/>
    <w:rsid w:val="00546A59"/>
    <w:rsid w:val="00546DA9"/>
    <w:rsid w:val="005540A9"/>
    <w:rsid w:val="005555A5"/>
    <w:rsid w:val="00557C9B"/>
    <w:rsid w:val="00557E07"/>
    <w:rsid w:val="005639D2"/>
    <w:rsid w:val="00570647"/>
    <w:rsid w:val="00572618"/>
    <w:rsid w:val="005728A8"/>
    <w:rsid w:val="00573389"/>
    <w:rsid w:val="00582354"/>
    <w:rsid w:val="00594C7E"/>
    <w:rsid w:val="00596806"/>
    <w:rsid w:val="005A0501"/>
    <w:rsid w:val="005A2AC0"/>
    <w:rsid w:val="005A367D"/>
    <w:rsid w:val="005A4FF6"/>
    <w:rsid w:val="005B2DEC"/>
    <w:rsid w:val="005B7C20"/>
    <w:rsid w:val="005C2E80"/>
    <w:rsid w:val="005C4A7D"/>
    <w:rsid w:val="005D40D1"/>
    <w:rsid w:val="005D50A9"/>
    <w:rsid w:val="005D5749"/>
    <w:rsid w:val="005D633A"/>
    <w:rsid w:val="005D679F"/>
    <w:rsid w:val="005D6E6D"/>
    <w:rsid w:val="005D7F3D"/>
    <w:rsid w:val="005E1D0A"/>
    <w:rsid w:val="005E6C33"/>
    <w:rsid w:val="005F2314"/>
    <w:rsid w:val="005F2E84"/>
    <w:rsid w:val="005F3879"/>
    <w:rsid w:val="005F429C"/>
    <w:rsid w:val="005F44C4"/>
    <w:rsid w:val="005F4DC4"/>
    <w:rsid w:val="005F631E"/>
    <w:rsid w:val="005F740B"/>
    <w:rsid w:val="0060108D"/>
    <w:rsid w:val="0060501F"/>
    <w:rsid w:val="0060586F"/>
    <w:rsid w:val="0061336C"/>
    <w:rsid w:val="00621DC2"/>
    <w:rsid w:val="0062240E"/>
    <w:rsid w:val="006241C2"/>
    <w:rsid w:val="0062545E"/>
    <w:rsid w:val="00632264"/>
    <w:rsid w:val="0063247C"/>
    <w:rsid w:val="00633C50"/>
    <w:rsid w:val="006356F5"/>
    <w:rsid w:val="00641353"/>
    <w:rsid w:val="00645D10"/>
    <w:rsid w:val="00646E3B"/>
    <w:rsid w:val="00650513"/>
    <w:rsid w:val="006514CD"/>
    <w:rsid w:val="00661562"/>
    <w:rsid w:val="00666BFA"/>
    <w:rsid w:val="006723D2"/>
    <w:rsid w:val="0067444B"/>
    <w:rsid w:val="00674FDA"/>
    <w:rsid w:val="006760EE"/>
    <w:rsid w:val="00676D4A"/>
    <w:rsid w:val="00690711"/>
    <w:rsid w:val="0069253D"/>
    <w:rsid w:val="00692B9D"/>
    <w:rsid w:val="006943FE"/>
    <w:rsid w:val="006A6170"/>
    <w:rsid w:val="006A70A1"/>
    <w:rsid w:val="006B0BC3"/>
    <w:rsid w:val="006B0ED1"/>
    <w:rsid w:val="006B33EB"/>
    <w:rsid w:val="006B609A"/>
    <w:rsid w:val="006C1F06"/>
    <w:rsid w:val="006C2451"/>
    <w:rsid w:val="006C29B6"/>
    <w:rsid w:val="006C5298"/>
    <w:rsid w:val="006D1A80"/>
    <w:rsid w:val="006D2458"/>
    <w:rsid w:val="006D57B3"/>
    <w:rsid w:val="006D6183"/>
    <w:rsid w:val="006E13E9"/>
    <w:rsid w:val="006E3C66"/>
    <w:rsid w:val="006F0C3F"/>
    <w:rsid w:val="006F2917"/>
    <w:rsid w:val="006F2B06"/>
    <w:rsid w:val="006F45C4"/>
    <w:rsid w:val="006F7DB0"/>
    <w:rsid w:val="006F7E7D"/>
    <w:rsid w:val="00701D72"/>
    <w:rsid w:val="0070651D"/>
    <w:rsid w:val="00706B0F"/>
    <w:rsid w:val="00711F96"/>
    <w:rsid w:val="00713201"/>
    <w:rsid w:val="007163F2"/>
    <w:rsid w:val="007203D7"/>
    <w:rsid w:val="007210AF"/>
    <w:rsid w:val="0072127F"/>
    <w:rsid w:val="0072466F"/>
    <w:rsid w:val="00725047"/>
    <w:rsid w:val="00726E4A"/>
    <w:rsid w:val="00740E4B"/>
    <w:rsid w:val="00741614"/>
    <w:rsid w:val="007422B6"/>
    <w:rsid w:val="0074524D"/>
    <w:rsid w:val="00745D66"/>
    <w:rsid w:val="007509E4"/>
    <w:rsid w:val="007526CF"/>
    <w:rsid w:val="00754ECB"/>
    <w:rsid w:val="00757159"/>
    <w:rsid w:val="007574DC"/>
    <w:rsid w:val="00757A7C"/>
    <w:rsid w:val="0076088C"/>
    <w:rsid w:val="00762683"/>
    <w:rsid w:val="0076276C"/>
    <w:rsid w:val="007661F7"/>
    <w:rsid w:val="00766502"/>
    <w:rsid w:val="00772C8F"/>
    <w:rsid w:val="00773A95"/>
    <w:rsid w:val="00773D9E"/>
    <w:rsid w:val="00773E4D"/>
    <w:rsid w:val="00777138"/>
    <w:rsid w:val="00777E86"/>
    <w:rsid w:val="00777F2C"/>
    <w:rsid w:val="00780A2A"/>
    <w:rsid w:val="00781271"/>
    <w:rsid w:val="007821B6"/>
    <w:rsid w:val="0078228F"/>
    <w:rsid w:val="00784811"/>
    <w:rsid w:val="00784CB3"/>
    <w:rsid w:val="00785C22"/>
    <w:rsid w:val="00785D30"/>
    <w:rsid w:val="00794721"/>
    <w:rsid w:val="00795ADD"/>
    <w:rsid w:val="00795E4C"/>
    <w:rsid w:val="007A07CA"/>
    <w:rsid w:val="007A1033"/>
    <w:rsid w:val="007A2B41"/>
    <w:rsid w:val="007A39A7"/>
    <w:rsid w:val="007A518F"/>
    <w:rsid w:val="007A6EBA"/>
    <w:rsid w:val="007B25BE"/>
    <w:rsid w:val="007B406F"/>
    <w:rsid w:val="007B4C34"/>
    <w:rsid w:val="007B4C8C"/>
    <w:rsid w:val="007B6450"/>
    <w:rsid w:val="007B69FE"/>
    <w:rsid w:val="007C093C"/>
    <w:rsid w:val="007D331E"/>
    <w:rsid w:val="007D459B"/>
    <w:rsid w:val="007D5E1A"/>
    <w:rsid w:val="007D7160"/>
    <w:rsid w:val="007E0251"/>
    <w:rsid w:val="007E572D"/>
    <w:rsid w:val="007E57AB"/>
    <w:rsid w:val="007F0F3C"/>
    <w:rsid w:val="007F174D"/>
    <w:rsid w:val="007F7100"/>
    <w:rsid w:val="008001DB"/>
    <w:rsid w:val="0080149C"/>
    <w:rsid w:val="008027D2"/>
    <w:rsid w:val="008062F4"/>
    <w:rsid w:val="00807687"/>
    <w:rsid w:val="00812287"/>
    <w:rsid w:val="00816442"/>
    <w:rsid w:val="0081791A"/>
    <w:rsid w:val="00822199"/>
    <w:rsid w:val="008269D4"/>
    <w:rsid w:val="0083337E"/>
    <w:rsid w:val="00833440"/>
    <w:rsid w:val="00833FA4"/>
    <w:rsid w:val="008343DF"/>
    <w:rsid w:val="008368EB"/>
    <w:rsid w:val="00836BB7"/>
    <w:rsid w:val="00840FDE"/>
    <w:rsid w:val="00842374"/>
    <w:rsid w:val="008525E5"/>
    <w:rsid w:val="00852C2D"/>
    <w:rsid w:val="008702C5"/>
    <w:rsid w:val="008744DE"/>
    <w:rsid w:val="00875681"/>
    <w:rsid w:val="00875C66"/>
    <w:rsid w:val="00880FD2"/>
    <w:rsid w:val="00881BD9"/>
    <w:rsid w:val="00886820"/>
    <w:rsid w:val="00887832"/>
    <w:rsid w:val="00891C83"/>
    <w:rsid w:val="00892315"/>
    <w:rsid w:val="008939D4"/>
    <w:rsid w:val="0089505C"/>
    <w:rsid w:val="00897942"/>
    <w:rsid w:val="008A1ED5"/>
    <w:rsid w:val="008A218F"/>
    <w:rsid w:val="008A4F49"/>
    <w:rsid w:val="008A5F52"/>
    <w:rsid w:val="008A61D1"/>
    <w:rsid w:val="008A622B"/>
    <w:rsid w:val="008A7826"/>
    <w:rsid w:val="008B0EB2"/>
    <w:rsid w:val="008B1323"/>
    <w:rsid w:val="008B2EC6"/>
    <w:rsid w:val="008B2FE5"/>
    <w:rsid w:val="008B378E"/>
    <w:rsid w:val="008B7BD6"/>
    <w:rsid w:val="008C1AB8"/>
    <w:rsid w:val="008D4147"/>
    <w:rsid w:val="008D66E8"/>
    <w:rsid w:val="008D78B2"/>
    <w:rsid w:val="008E04D3"/>
    <w:rsid w:val="008E498A"/>
    <w:rsid w:val="008E5756"/>
    <w:rsid w:val="008F0A37"/>
    <w:rsid w:val="008F19F1"/>
    <w:rsid w:val="008F6070"/>
    <w:rsid w:val="00902399"/>
    <w:rsid w:val="0090307B"/>
    <w:rsid w:val="00907698"/>
    <w:rsid w:val="00912ADD"/>
    <w:rsid w:val="009167A1"/>
    <w:rsid w:val="00916864"/>
    <w:rsid w:val="009250F4"/>
    <w:rsid w:val="00927321"/>
    <w:rsid w:val="00936443"/>
    <w:rsid w:val="00937172"/>
    <w:rsid w:val="0094067B"/>
    <w:rsid w:val="0094182C"/>
    <w:rsid w:val="00941B10"/>
    <w:rsid w:val="009441A4"/>
    <w:rsid w:val="009444F7"/>
    <w:rsid w:val="0094660F"/>
    <w:rsid w:val="00952CC0"/>
    <w:rsid w:val="00957F71"/>
    <w:rsid w:val="0096123F"/>
    <w:rsid w:val="0096175A"/>
    <w:rsid w:val="00963D41"/>
    <w:rsid w:val="009648AA"/>
    <w:rsid w:val="0096751D"/>
    <w:rsid w:val="00970A74"/>
    <w:rsid w:val="00971E7D"/>
    <w:rsid w:val="00972698"/>
    <w:rsid w:val="00974C8C"/>
    <w:rsid w:val="00977FB6"/>
    <w:rsid w:val="00980913"/>
    <w:rsid w:val="00980F4C"/>
    <w:rsid w:val="00993265"/>
    <w:rsid w:val="009A052D"/>
    <w:rsid w:val="009A1666"/>
    <w:rsid w:val="009A7D7C"/>
    <w:rsid w:val="009B0168"/>
    <w:rsid w:val="009B2BEC"/>
    <w:rsid w:val="009B6FE3"/>
    <w:rsid w:val="009B78C4"/>
    <w:rsid w:val="009C31DF"/>
    <w:rsid w:val="009C41B4"/>
    <w:rsid w:val="009C5FF2"/>
    <w:rsid w:val="009C6A26"/>
    <w:rsid w:val="009D23AA"/>
    <w:rsid w:val="009D409B"/>
    <w:rsid w:val="009D534F"/>
    <w:rsid w:val="009D57EF"/>
    <w:rsid w:val="009D5BA3"/>
    <w:rsid w:val="009F2ED5"/>
    <w:rsid w:val="009F461E"/>
    <w:rsid w:val="009F7259"/>
    <w:rsid w:val="00A02B1C"/>
    <w:rsid w:val="00A04083"/>
    <w:rsid w:val="00A04636"/>
    <w:rsid w:val="00A06000"/>
    <w:rsid w:val="00A07022"/>
    <w:rsid w:val="00A11184"/>
    <w:rsid w:val="00A11433"/>
    <w:rsid w:val="00A13285"/>
    <w:rsid w:val="00A145B0"/>
    <w:rsid w:val="00A14991"/>
    <w:rsid w:val="00A158A4"/>
    <w:rsid w:val="00A32D45"/>
    <w:rsid w:val="00A35169"/>
    <w:rsid w:val="00A35233"/>
    <w:rsid w:val="00A36A40"/>
    <w:rsid w:val="00A373DF"/>
    <w:rsid w:val="00A40C67"/>
    <w:rsid w:val="00A44A53"/>
    <w:rsid w:val="00A45CA8"/>
    <w:rsid w:val="00A47207"/>
    <w:rsid w:val="00A53D6B"/>
    <w:rsid w:val="00A54542"/>
    <w:rsid w:val="00A56126"/>
    <w:rsid w:val="00A618A6"/>
    <w:rsid w:val="00A6394D"/>
    <w:rsid w:val="00A67871"/>
    <w:rsid w:val="00A83B69"/>
    <w:rsid w:val="00A83FE2"/>
    <w:rsid w:val="00A84ADF"/>
    <w:rsid w:val="00A96AA3"/>
    <w:rsid w:val="00A97453"/>
    <w:rsid w:val="00AA4509"/>
    <w:rsid w:val="00AA7D97"/>
    <w:rsid w:val="00AB3BFD"/>
    <w:rsid w:val="00AB4098"/>
    <w:rsid w:val="00AB6106"/>
    <w:rsid w:val="00AB63E2"/>
    <w:rsid w:val="00AC0654"/>
    <w:rsid w:val="00AC0731"/>
    <w:rsid w:val="00AC07FF"/>
    <w:rsid w:val="00AC1206"/>
    <w:rsid w:val="00AC333E"/>
    <w:rsid w:val="00AC6329"/>
    <w:rsid w:val="00AC7B25"/>
    <w:rsid w:val="00AD12F0"/>
    <w:rsid w:val="00AD4351"/>
    <w:rsid w:val="00AD5AE5"/>
    <w:rsid w:val="00AD67FF"/>
    <w:rsid w:val="00AD6D98"/>
    <w:rsid w:val="00AE02D1"/>
    <w:rsid w:val="00AE0669"/>
    <w:rsid w:val="00AE3D47"/>
    <w:rsid w:val="00AE5D61"/>
    <w:rsid w:val="00AF01AA"/>
    <w:rsid w:val="00AF05CA"/>
    <w:rsid w:val="00AF2EB0"/>
    <w:rsid w:val="00AF55E0"/>
    <w:rsid w:val="00AF60B6"/>
    <w:rsid w:val="00AF6CD3"/>
    <w:rsid w:val="00AF73D8"/>
    <w:rsid w:val="00AF7500"/>
    <w:rsid w:val="00B00CF1"/>
    <w:rsid w:val="00B04D5C"/>
    <w:rsid w:val="00B05CF5"/>
    <w:rsid w:val="00B067A7"/>
    <w:rsid w:val="00B11819"/>
    <w:rsid w:val="00B13B54"/>
    <w:rsid w:val="00B141DC"/>
    <w:rsid w:val="00B15C5F"/>
    <w:rsid w:val="00B16DE2"/>
    <w:rsid w:val="00B24748"/>
    <w:rsid w:val="00B25DD9"/>
    <w:rsid w:val="00B26D89"/>
    <w:rsid w:val="00B35E76"/>
    <w:rsid w:val="00B36024"/>
    <w:rsid w:val="00B364C6"/>
    <w:rsid w:val="00B423C7"/>
    <w:rsid w:val="00B42A8C"/>
    <w:rsid w:val="00B4764E"/>
    <w:rsid w:val="00B47935"/>
    <w:rsid w:val="00B519DB"/>
    <w:rsid w:val="00B53B6E"/>
    <w:rsid w:val="00B5527D"/>
    <w:rsid w:val="00B56956"/>
    <w:rsid w:val="00B66ADD"/>
    <w:rsid w:val="00B716A6"/>
    <w:rsid w:val="00B732DE"/>
    <w:rsid w:val="00B75034"/>
    <w:rsid w:val="00B751C3"/>
    <w:rsid w:val="00B77827"/>
    <w:rsid w:val="00B8018F"/>
    <w:rsid w:val="00B95A5C"/>
    <w:rsid w:val="00B973F1"/>
    <w:rsid w:val="00BA2A4F"/>
    <w:rsid w:val="00BB1554"/>
    <w:rsid w:val="00BB5F86"/>
    <w:rsid w:val="00BB65EF"/>
    <w:rsid w:val="00BC053A"/>
    <w:rsid w:val="00BC2ECD"/>
    <w:rsid w:val="00BC4EFF"/>
    <w:rsid w:val="00BC4F0D"/>
    <w:rsid w:val="00BC5CB0"/>
    <w:rsid w:val="00BC61D7"/>
    <w:rsid w:val="00BC67D1"/>
    <w:rsid w:val="00BC7E4D"/>
    <w:rsid w:val="00BD1417"/>
    <w:rsid w:val="00BD5D7C"/>
    <w:rsid w:val="00BD6433"/>
    <w:rsid w:val="00BD6FC8"/>
    <w:rsid w:val="00BD7461"/>
    <w:rsid w:val="00BD7F89"/>
    <w:rsid w:val="00BE01C5"/>
    <w:rsid w:val="00BE05ED"/>
    <w:rsid w:val="00BE07DC"/>
    <w:rsid w:val="00BE1450"/>
    <w:rsid w:val="00BE199B"/>
    <w:rsid w:val="00BF1E7F"/>
    <w:rsid w:val="00BF6A70"/>
    <w:rsid w:val="00C0188D"/>
    <w:rsid w:val="00C01CE8"/>
    <w:rsid w:val="00C01F6C"/>
    <w:rsid w:val="00C02196"/>
    <w:rsid w:val="00C03C4C"/>
    <w:rsid w:val="00C04A3A"/>
    <w:rsid w:val="00C05616"/>
    <w:rsid w:val="00C24811"/>
    <w:rsid w:val="00C272B1"/>
    <w:rsid w:val="00C4143B"/>
    <w:rsid w:val="00C41B44"/>
    <w:rsid w:val="00C41E34"/>
    <w:rsid w:val="00C43E19"/>
    <w:rsid w:val="00C47B8C"/>
    <w:rsid w:val="00C51240"/>
    <w:rsid w:val="00C53D11"/>
    <w:rsid w:val="00C55034"/>
    <w:rsid w:val="00C60946"/>
    <w:rsid w:val="00C60BE3"/>
    <w:rsid w:val="00C613F9"/>
    <w:rsid w:val="00C63AED"/>
    <w:rsid w:val="00C649F8"/>
    <w:rsid w:val="00C6693E"/>
    <w:rsid w:val="00C71988"/>
    <w:rsid w:val="00C73D9A"/>
    <w:rsid w:val="00C76828"/>
    <w:rsid w:val="00C8149F"/>
    <w:rsid w:val="00C824D0"/>
    <w:rsid w:val="00C8529F"/>
    <w:rsid w:val="00C8665E"/>
    <w:rsid w:val="00C92235"/>
    <w:rsid w:val="00C94918"/>
    <w:rsid w:val="00C94CC2"/>
    <w:rsid w:val="00C95CE6"/>
    <w:rsid w:val="00C95D44"/>
    <w:rsid w:val="00C96E81"/>
    <w:rsid w:val="00CA04FE"/>
    <w:rsid w:val="00CA070F"/>
    <w:rsid w:val="00CA2912"/>
    <w:rsid w:val="00CA2CE8"/>
    <w:rsid w:val="00CA6975"/>
    <w:rsid w:val="00CB1D7C"/>
    <w:rsid w:val="00CB1DA7"/>
    <w:rsid w:val="00CB3F71"/>
    <w:rsid w:val="00CB59BB"/>
    <w:rsid w:val="00CC109E"/>
    <w:rsid w:val="00CC310E"/>
    <w:rsid w:val="00CC583E"/>
    <w:rsid w:val="00CD2D22"/>
    <w:rsid w:val="00CD4490"/>
    <w:rsid w:val="00CD5357"/>
    <w:rsid w:val="00CE04A5"/>
    <w:rsid w:val="00CE1AB9"/>
    <w:rsid w:val="00CE5F7E"/>
    <w:rsid w:val="00CF345C"/>
    <w:rsid w:val="00CF3B79"/>
    <w:rsid w:val="00CF4686"/>
    <w:rsid w:val="00D01641"/>
    <w:rsid w:val="00D059A1"/>
    <w:rsid w:val="00D05A2F"/>
    <w:rsid w:val="00D05B10"/>
    <w:rsid w:val="00D067B4"/>
    <w:rsid w:val="00D11513"/>
    <w:rsid w:val="00D12991"/>
    <w:rsid w:val="00D13332"/>
    <w:rsid w:val="00D136C4"/>
    <w:rsid w:val="00D159CA"/>
    <w:rsid w:val="00D17227"/>
    <w:rsid w:val="00D2136F"/>
    <w:rsid w:val="00D21698"/>
    <w:rsid w:val="00D216AA"/>
    <w:rsid w:val="00D23F89"/>
    <w:rsid w:val="00D31AB7"/>
    <w:rsid w:val="00D3645D"/>
    <w:rsid w:val="00D368F4"/>
    <w:rsid w:val="00D47078"/>
    <w:rsid w:val="00D47829"/>
    <w:rsid w:val="00D50EE0"/>
    <w:rsid w:val="00D546FE"/>
    <w:rsid w:val="00D769D0"/>
    <w:rsid w:val="00D77213"/>
    <w:rsid w:val="00D7739F"/>
    <w:rsid w:val="00D77BDA"/>
    <w:rsid w:val="00D82774"/>
    <w:rsid w:val="00D82D94"/>
    <w:rsid w:val="00D865D7"/>
    <w:rsid w:val="00D93711"/>
    <w:rsid w:val="00D94724"/>
    <w:rsid w:val="00D9667B"/>
    <w:rsid w:val="00DA036C"/>
    <w:rsid w:val="00DA3A6A"/>
    <w:rsid w:val="00DB39FF"/>
    <w:rsid w:val="00DB55A3"/>
    <w:rsid w:val="00DC043B"/>
    <w:rsid w:val="00DC28D5"/>
    <w:rsid w:val="00DC3B44"/>
    <w:rsid w:val="00DC7F6E"/>
    <w:rsid w:val="00DD1E91"/>
    <w:rsid w:val="00DD206F"/>
    <w:rsid w:val="00DE2AAE"/>
    <w:rsid w:val="00DE33D3"/>
    <w:rsid w:val="00DE3C51"/>
    <w:rsid w:val="00DE4DAA"/>
    <w:rsid w:val="00DE5EB8"/>
    <w:rsid w:val="00DF0F1F"/>
    <w:rsid w:val="00DF1D84"/>
    <w:rsid w:val="00DF5C28"/>
    <w:rsid w:val="00E023FB"/>
    <w:rsid w:val="00E055ED"/>
    <w:rsid w:val="00E10A6E"/>
    <w:rsid w:val="00E10DFB"/>
    <w:rsid w:val="00E10FCE"/>
    <w:rsid w:val="00E125A2"/>
    <w:rsid w:val="00E136F0"/>
    <w:rsid w:val="00E1459D"/>
    <w:rsid w:val="00E14768"/>
    <w:rsid w:val="00E163EF"/>
    <w:rsid w:val="00E308FE"/>
    <w:rsid w:val="00E31153"/>
    <w:rsid w:val="00E37DD5"/>
    <w:rsid w:val="00E413DB"/>
    <w:rsid w:val="00E42AAA"/>
    <w:rsid w:val="00E43D55"/>
    <w:rsid w:val="00E51D9C"/>
    <w:rsid w:val="00E54AC8"/>
    <w:rsid w:val="00E55BF8"/>
    <w:rsid w:val="00E56B38"/>
    <w:rsid w:val="00E60068"/>
    <w:rsid w:val="00E62950"/>
    <w:rsid w:val="00E6317A"/>
    <w:rsid w:val="00E70B1B"/>
    <w:rsid w:val="00E715AE"/>
    <w:rsid w:val="00E727F1"/>
    <w:rsid w:val="00E77063"/>
    <w:rsid w:val="00E80211"/>
    <w:rsid w:val="00E8227B"/>
    <w:rsid w:val="00E82397"/>
    <w:rsid w:val="00E8256F"/>
    <w:rsid w:val="00E844A5"/>
    <w:rsid w:val="00E90805"/>
    <w:rsid w:val="00E90B6D"/>
    <w:rsid w:val="00E9376F"/>
    <w:rsid w:val="00E94D8B"/>
    <w:rsid w:val="00EA052B"/>
    <w:rsid w:val="00EA0747"/>
    <w:rsid w:val="00EA5BAA"/>
    <w:rsid w:val="00EB0A53"/>
    <w:rsid w:val="00EB30B2"/>
    <w:rsid w:val="00EB4D26"/>
    <w:rsid w:val="00EB6891"/>
    <w:rsid w:val="00EB72C2"/>
    <w:rsid w:val="00EC3A7A"/>
    <w:rsid w:val="00EC74FF"/>
    <w:rsid w:val="00ED2D42"/>
    <w:rsid w:val="00ED2FE6"/>
    <w:rsid w:val="00ED3910"/>
    <w:rsid w:val="00ED4F32"/>
    <w:rsid w:val="00EE0433"/>
    <w:rsid w:val="00EE6CAB"/>
    <w:rsid w:val="00EF16D9"/>
    <w:rsid w:val="00F025FF"/>
    <w:rsid w:val="00F0467D"/>
    <w:rsid w:val="00F05E9A"/>
    <w:rsid w:val="00F1239C"/>
    <w:rsid w:val="00F24408"/>
    <w:rsid w:val="00F24A01"/>
    <w:rsid w:val="00F24B88"/>
    <w:rsid w:val="00F26264"/>
    <w:rsid w:val="00F262E2"/>
    <w:rsid w:val="00F27DBC"/>
    <w:rsid w:val="00F30DA7"/>
    <w:rsid w:val="00F4027B"/>
    <w:rsid w:val="00F41193"/>
    <w:rsid w:val="00F41D64"/>
    <w:rsid w:val="00F44201"/>
    <w:rsid w:val="00F4578F"/>
    <w:rsid w:val="00F466EB"/>
    <w:rsid w:val="00F5133B"/>
    <w:rsid w:val="00F522C8"/>
    <w:rsid w:val="00F5403B"/>
    <w:rsid w:val="00F567C2"/>
    <w:rsid w:val="00F56E19"/>
    <w:rsid w:val="00F61EA4"/>
    <w:rsid w:val="00F667DC"/>
    <w:rsid w:val="00F670D9"/>
    <w:rsid w:val="00F704B0"/>
    <w:rsid w:val="00F70E94"/>
    <w:rsid w:val="00F743E7"/>
    <w:rsid w:val="00F74FB7"/>
    <w:rsid w:val="00F76FC1"/>
    <w:rsid w:val="00F816EC"/>
    <w:rsid w:val="00F877D6"/>
    <w:rsid w:val="00F90105"/>
    <w:rsid w:val="00F904BA"/>
    <w:rsid w:val="00F9147F"/>
    <w:rsid w:val="00F9325E"/>
    <w:rsid w:val="00F936DE"/>
    <w:rsid w:val="00FA0536"/>
    <w:rsid w:val="00FA1835"/>
    <w:rsid w:val="00FA32AB"/>
    <w:rsid w:val="00FA57DF"/>
    <w:rsid w:val="00FB09A5"/>
    <w:rsid w:val="00FB1FBC"/>
    <w:rsid w:val="00FB307D"/>
    <w:rsid w:val="00FB7022"/>
    <w:rsid w:val="00FC1C24"/>
    <w:rsid w:val="00FC2D54"/>
    <w:rsid w:val="00FC2F44"/>
    <w:rsid w:val="00FC71C4"/>
    <w:rsid w:val="00FD0467"/>
    <w:rsid w:val="00FD2C27"/>
    <w:rsid w:val="00FD328F"/>
    <w:rsid w:val="00FD5EBA"/>
    <w:rsid w:val="00FD7FA9"/>
    <w:rsid w:val="00FE1A33"/>
    <w:rsid w:val="00FE217D"/>
    <w:rsid w:val="00FE3EE1"/>
    <w:rsid w:val="00FE44AF"/>
    <w:rsid w:val="00FE469D"/>
    <w:rsid w:val="00FF02D5"/>
    <w:rsid w:val="00FF0C06"/>
    <w:rsid w:val="00FF4251"/>
    <w:rsid w:val="00FF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36F"/>
    <w:pPr>
      <w:spacing w:after="0" w:line="480" w:lineRule="auto"/>
      <w:ind w:firstLine="720"/>
    </w:pPr>
  </w:style>
  <w:style w:type="paragraph" w:styleId="Heading1">
    <w:name w:val="heading 1"/>
    <w:basedOn w:val="Normal"/>
    <w:next w:val="Normal"/>
    <w:link w:val="Heading1Char"/>
    <w:uiPriority w:val="9"/>
    <w:qFormat/>
    <w:rsid w:val="00A11433"/>
    <w:pPr>
      <w:keepNext/>
      <w:keepLines/>
      <w:spacing w:before="240" w:line="240" w:lineRule="auto"/>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A114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qFormat/>
    <w:rsid w:val="003E4736"/>
    <w:pPr>
      <w:spacing w:before="120" w:after="120" w:line="240" w:lineRule="auto"/>
      <w:ind w:left="720" w:right="720"/>
    </w:pPr>
  </w:style>
  <w:style w:type="character" w:customStyle="1" w:styleId="Heading1Char">
    <w:name w:val="Heading 1 Char"/>
    <w:basedOn w:val="DefaultParagraphFont"/>
    <w:link w:val="Heading1"/>
    <w:uiPriority w:val="9"/>
    <w:rsid w:val="00A11433"/>
    <w:rPr>
      <w:rFonts w:asciiTheme="majorHAnsi" w:eastAsiaTheme="majorEastAsia" w:hAnsiTheme="majorHAnsi" w:cstheme="majorBidi"/>
      <w:b/>
      <w:bCs/>
      <w:sz w:val="24"/>
      <w:szCs w:val="28"/>
    </w:rPr>
  </w:style>
  <w:style w:type="paragraph" w:styleId="FootnoteText">
    <w:name w:val="footnote text"/>
    <w:basedOn w:val="Normal"/>
    <w:link w:val="FootnoteTextChar"/>
    <w:uiPriority w:val="99"/>
    <w:unhideWhenUsed/>
    <w:rsid w:val="006D57B3"/>
    <w:pPr>
      <w:spacing w:line="240" w:lineRule="auto"/>
    </w:pPr>
    <w:rPr>
      <w:sz w:val="20"/>
      <w:szCs w:val="20"/>
    </w:rPr>
  </w:style>
  <w:style w:type="character" w:customStyle="1" w:styleId="FootnoteTextChar">
    <w:name w:val="Footnote Text Char"/>
    <w:basedOn w:val="DefaultParagraphFont"/>
    <w:link w:val="FootnoteText"/>
    <w:uiPriority w:val="99"/>
    <w:rsid w:val="006D57B3"/>
    <w:rPr>
      <w:sz w:val="20"/>
      <w:szCs w:val="20"/>
    </w:rPr>
  </w:style>
  <w:style w:type="character" w:styleId="FootnoteReference">
    <w:name w:val="footnote reference"/>
    <w:basedOn w:val="DefaultParagraphFont"/>
    <w:uiPriority w:val="99"/>
    <w:semiHidden/>
    <w:unhideWhenUsed/>
    <w:rsid w:val="006D57B3"/>
    <w:rPr>
      <w:vertAlign w:val="superscript"/>
    </w:rPr>
  </w:style>
  <w:style w:type="character" w:styleId="CommentReference">
    <w:name w:val="annotation reference"/>
    <w:basedOn w:val="DefaultParagraphFont"/>
    <w:uiPriority w:val="99"/>
    <w:semiHidden/>
    <w:unhideWhenUsed/>
    <w:rsid w:val="001356DE"/>
    <w:rPr>
      <w:sz w:val="16"/>
      <w:szCs w:val="16"/>
    </w:rPr>
  </w:style>
  <w:style w:type="paragraph" w:styleId="CommentText">
    <w:name w:val="annotation text"/>
    <w:basedOn w:val="Normal"/>
    <w:link w:val="CommentTextChar"/>
    <w:uiPriority w:val="99"/>
    <w:unhideWhenUsed/>
    <w:rsid w:val="001356DE"/>
    <w:pPr>
      <w:spacing w:line="240" w:lineRule="auto"/>
    </w:pPr>
    <w:rPr>
      <w:sz w:val="20"/>
      <w:szCs w:val="20"/>
    </w:rPr>
  </w:style>
  <w:style w:type="character" w:customStyle="1" w:styleId="CommentTextChar">
    <w:name w:val="Comment Text Char"/>
    <w:basedOn w:val="DefaultParagraphFont"/>
    <w:link w:val="CommentText"/>
    <w:uiPriority w:val="99"/>
    <w:rsid w:val="001356DE"/>
    <w:rPr>
      <w:sz w:val="20"/>
      <w:szCs w:val="20"/>
    </w:rPr>
  </w:style>
  <w:style w:type="paragraph" w:styleId="CommentSubject">
    <w:name w:val="annotation subject"/>
    <w:basedOn w:val="CommentText"/>
    <w:next w:val="CommentText"/>
    <w:link w:val="CommentSubjectChar"/>
    <w:uiPriority w:val="99"/>
    <w:semiHidden/>
    <w:unhideWhenUsed/>
    <w:rsid w:val="001356DE"/>
    <w:rPr>
      <w:b/>
      <w:bCs/>
    </w:rPr>
  </w:style>
  <w:style w:type="character" w:customStyle="1" w:styleId="CommentSubjectChar">
    <w:name w:val="Comment Subject Char"/>
    <w:basedOn w:val="CommentTextChar"/>
    <w:link w:val="CommentSubject"/>
    <w:uiPriority w:val="99"/>
    <w:semiHidden/>
    <w:rsid w:val="001356DE"/>
    <w:rPr>
      <w:b/>
      <w:bCs/>
      <w:sz w:val="20"/>
      <w:szCs w:val="20"/>
    </w:rPr>
  </w:style>
  <w:style w:type="paragraph" w:styleId="BalloonText">
    <w:name w:val="Balloon Text"/>
    <w:basedOn w:val="Normal"/>
    <w:link w:val="BalloonTextChar"/>
    <w:uiPriority w:val="99"/>
    <w:semiHidden/>
    <w:unhideWhenUsed/>
    <w:rsid w:val="001356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6DE"/>
    <w:rPr>
      <w:rFonts w:ascii="Tahoma" w:hAnsi="Tahoma" w:cs="Tahoma"/>
      <w:sz w:val="16"/>
      <w:szCs w:val="16"/>
    </w:rPr>
  </w:style>
  <w:style w:type="paragraph" w:styleId="Header">
    <w:name w:val="header"/>
    <w:basedOn w:val="Normal"/>
    <w:link w:val="HeaderChar"/>
    <w:uiPriority w:val="99"/>
    <w:unhideWhenUsed/>
    <w:rsid w:val="00977FB6"/>
    <w:pPr>
      <w:tabs>
        <w:tab w:val="center" w:pos="4680"/>
        <w:tab w:val="right" w:pos="9360"/>
      </w:tabs>
      <w:spacing w:line="240" w:lineRule="auto"/>
    </w:pPr>
  </w:style>
  <w:style w:type="character" w:customStyle="1" w:styleId="HeaderChar">
    <w:name w:val="Header Char"/>
    <w:basedOn w:val="DefaultParagraphFont"/>
    <w:link w:val="Header"/>
    <w:uiPriority w:val="99"/>
    <w:rsid w:val="00977FB6"/>
  </w:style>
  <w:style w:type="paragraph" w:styleId="Footer">
    <w:name w:val="footer"/>
    <w:basedOn w:val="Normal"/>
    <w:link w:val="FooterChar"/>
    <w:uiPriority w:val="99"/>
    <w:unhideWhenUsed/>
    <w:rsid w:val="00977FB6"/>
    <w:pPr>
      <w:tabs>
        <w:tab w:val="center" w:pos="4680"/>
        <w:tab w:val="right" w:pos="9360"/>
      </w:tabs>
      <w:spacing w:line="240" w:lineRule="auto"/>
    </w:pPr>
  </w:style>
  <w:style w:type="character" w:customStyle="1" w:styleId="FooterChar">
    <w:name w:val="Footer Char"/>
    <w:basedOn w:val="DefaultParagraphFont"/>
    <w:link w:val="Footer"/>
    <w:uiPriority w:val="99"/>
    <w:rsid w:val="00977FB6"/>
  </w:style>
  <w:style w:type="character" w:customStyle="1" w:styleId="Heading2Char">
    <w:name w:val="Heading 2 Char"/>
    <w:basedOn w:val="DefaultParagraphFont"/>
    <w:link w:val="Heading2"/>
    <w:uiPriority w:val="9"/>
    <w:rsid w:val="00A1143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B72C2"/>
    <w:rPr>
      <w:rFonts w:ascii="Times New Roman" w:hAnsi="Times New Roman" w:cs="Times New Roman"/>
      <w:sz w:val="24"/>
      <w:szCs w:val="24"/>
    </w:rPr>
  </w:style>
  <w:style w:type="character" w:styleId="Hyperlink">
    <w:name w:val="Hyperlink"/>
    <w:basedOn w:val="DefaultParagraphFont"/>
    <w:uiPriority w:val="99"/>
    <w:unhideWhenUsed/>
    <w:rsid w:val="0027557B"/>
    <w:rPr>
      <w:color w:val="0000FF" w:themeColor="hyperlink"/>
      <w:u w:val="single"/>
    </w:rPr>
  </w:style>
  <w:style w:type="character" w:styleId="EndnoteReference">
    <w:name w:val="endnote reference"/>
    <w:basedOn w:val="DefaultParagraphFont"/>
    <w:uiPriority w:val="99"/>
    <w:semiHidden/>
    <w:unhideWhenUsed/>
    <w:rsid w:val="009444F7"/>
    <w:rPr>
      <w:vertAlign w:val="superscript"/>
    </w:rPr>
  </w:style>
  <w:style w:type="paragraph" w:styleId="Bibliography">
    <w:name w:val="Bibliography"/>
    <w:basedOn w:val="Normal"/>
    <w:next w:val="Normal"/>
    <w:uiPriority w:val="37"/>
    <w:unhideWhenUsed/>
    <w:rsid w:val="00386294"/>
    <w:pPr>
      <w:spacing w:line="240" w:lineRule="auto"/>
      <w:ind w:left="720" w:hanging="720"/>
    </w:pPr>
  </w:style>
  <w:style w:type="paragraph" w:styleId="ListParagraph">
    <w:name w:val="List Paragraph"/>
    <w:basedOn w:val="Normal"/>
    <w:uiPriority w:val="34"/>
    <w:qFormat/>
    <w:rsid w:val="002214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36F"/>
    <w:pPr>
      <w:spacing w:after="0" w:line="480" w:lineRule="auto"/>
      <w:ind w:firstLine="720"/>
    </w:pPr>
  </w:style>
  <w:style w:type="paragraph" w:styleId="Heading1">
    <w:name w:val="heading 1"/>
    <w:basedOn w:val="Normal"/>
    <w:next w:val="Normal"/>
    <w:link w:val="Heading1Char"/>
    <w:uiPriority w:val="9"/>
    <w:qFormat/>
    <w:rsid w:val="00A11433"/>
    <w:pPr>
      <w:keepNext/>
      <w:keepLines/>
      <w:spacing w:before="240" w:line="240" w:lineRule="auto"/>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A114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qFormat/>
    <w:rsid w:val="003E4736"/>
    <w:pPr>
      <w:spacing w:before="120" w:after="120" w:line="240" w:lineRule="auto"/>
      <w:ind w:left="720" w:right="720"/>
    </w:pPr>
  </w:style>
  <w:style w:type="character" w:customStyle="1" w:styleId="Heading1Char">
    <w:name w:val="Heading 1 Char"/>
    <w:basedOn w:val="DefaultParagraphFont"/>
    <w:link w:val="Heading1"/>
    <w:uiPriority w:val="9"/>
    <w:rsid w:val="00A11433"/>
    <w:rPr>
      <w:rFonts w:asciiTheme="majorHAnsi" w:eastAsiaTheme="majorEastAsia" w:hAnsiTheme="majorHAnsi" w:cstheme="majorBidi"/>
      <w:b/>
      <w:bCs/>
      <w:sz w:val="24"/>
      <w:szCs w:val="28"/>
    </w:rPr>
  </w:style>
  <w:style w:type="paragraph" w:styleId="FootnoteText">
    <w:name w:val="footnote text"/>
    <w:basedOn w:val="Normal"/>
    <w:link w:val="FootnoteTextChar"/>
    <w:uiPriority w:val="99"/>
    <w:unhideWhenUsed/>
    <w:rsid w:val="006D57B3"/>
    <w:pPr>
      <w:spacing w:line="240" w:lineRule="auto"/>
    </w:pPr>
    <w:rPr>
      <w:sz w:val="20"/>
      <w:szCs w:val="20"/>
    </w:rPr>
  </w:style>
  <w:style w:type="character" w:customStyle="1" w:styleId="FootnoteTextChar">
    <w:name w:val="Footnote Text Char"/>
    <w:basedOn w:val="DefaultParagraphFont"/>
    <w:link w:val="FootnoteText"/>
    <w:uiPriority w:val="99"/>
    <w:rsid w:val="006D57B3"/>
    <w:rPr>
      <w:sz w:val="20"/>
      <w:szCs w:val="20"/>
    </w:rPr>
  </w:style>
  <w:style w:type="character" w:styleId="FootnoteReference">
    <w:name w:val="footnote reference"/>
    <w:basedOn w:val="DefaultParagraphFont"/>
    <w:uiPriority w:val="99"/>
    <w:semiHidden/>
    <w:unhideWhenUsed/>
    <w:rsid w:val="006D57B3"/>
    <w:rPr>
      <w:vertAlign w:val="superscript"/>
    </w:rPr>
  </w:style>
  <w:style w:type="character" w:styleId="CommentReference">
    <w:name w:val="annotation reference"/>
    <w:basedOn w:val="DefaultParagraphFont"/>
    <w:uiPriority w:val="99"/>
    <w:semiHidden/>
    <w:unhideWhenUsed/>
    <w:rsid w:val="001356DE"/>
    <w:rPr>
      <w:sz w:val="16"/>
      <w:szCs w:val="16"/>
    </w:rPr>
  </w:style>
  <w:style w:type="paragraph" w:styleId="CommentText">
    <w:name w:val="annotation text"/>
    <w:basedOn w:val="Normal"/>
    <w:link w:val="CommentTextChar"/>
    <w:uiPriority w:val="99"/>
    <w:unhideWhenUsed/>
    <w:rsid w:val="001356DE"/>
    <w:pPr>
      <w:spacing w:line="240" w:lineRule="auto"/>
    </w:pPr>
    <w:rPr>
      <w:sz w:val="20"/>
      <w:szCs w:val="20"/>
    </w:rPr>
  </w:style>
  <w:style w:type="character" w:customStyle="1" w:styleId="CommentTextChar">
    <w:name w:val="Comment Text Char"/>
    <w:basedOn w:val="DefaultParagraphFont"/>
    <w:link w:val="CommentText"/>
    <w:uiPriority w:val="99"/>
    <w:rsid w:val="001356DE"/>
    <w:rPr>
      <w:sz w:val="20"/>
      <w:szCs w:val="20"/>
    </w:rPr>
  </w:style>
  <w:style w:type="paragraph" w:styleId="CommentSubject">
    <w:name w:val="annotation subject"/>
    <w:basedOn w:val="CommentText"/>
    <w:next w:val="CommentText"/>
    <w:link w:val="CommentSubjectChar"/>
    <w:uiPriority w:val="99"/>
    <w:semiHidden/>
    <w:unhideWhenUsed/>
    <w:rsid w:val="001356DE"/>
    <w:rPr>
      <w:b/>
      <w:bCs/>
    </w:rPr>
  </w:style>
  <w:style w:type="character" w:customStyle="1" w:styleId="CommentSubjectChar">
    <w:name w:val="Comment Subject Char"/>
    <w:basedOn w:val="CommentTextChar"/>
    <w:link w:val="CommentSubject"/>
    <w:uiPriority w:val="99"/>
    <w:semiHidden/>
    <w:rsid w:val="001356DE"/>
    <w:rPr>
      <w:b/>
      <w:bCs/>
      <w:sz w:val="20"/>
      <w:szCs w:val="20"/>
    </w:rPr>
  </w:style>
  <w:style w:type="paragraph" w:styleId="BalloonText">
    <w:name w:val="Balloon Text"/>
    <w:basedOn w:val="Normal"/>
    <w:link w:val="BalloonTextChar"/>
    <w:uiPriority w:val="99"/>
    <w:semiHidden/>
    <w:unhideWhenUsed/>
    <w:rsid w:val="001356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6DE"/>
    <w:rPr>
      <w:rFonts w:ascii="Tahoma" w:hAnsi="Tahoma" w:cs="Tahoma"/>
      <w:sz w:val="16"/>
      <w:szCs w:val="16"/>
    </w:rPr>
  </w:style>
  <w:style w:type="paragraph" w:styleId="Header">
    <w:name w:val="header"/>
    <w:basedOn w:val="Normal"/>
    <w:link w:val="HeaderChar"/>
    <w:uiPriority w:val="99"/>
    <w:unhideWhenUsed/>
    <w:rsid w:val="00977FB6"/>
    <w:pPr>
      <w:tabs>
        <w:tab w:val="center" w:pos="4680"/>
        <w:tab w:val="right" w:pos="9360"/>
      </w:tabs>
      <w:spacing w:line="240" w:lineRule="auto"/>
    </w:pPr>
  </w:style>
  <w:style w:type="character" w:customStyle="1" w:styleId="HeaderChar">
    <w:name w:val="Header Char"/>
    <w:basedOn w:val="DefaultParagraphFont"/>
    <w:link w:val="Header"/>
    <w:uiPriority w:val="99"/>
    <w:rsid w:val="00977FB6"/>
  </w:style>
  <w:style w:type="paragraph" w:styleId="Footer">
    <w:name w:val="footer"/>
    <w:basedOn w:val="Normal"/>
    <w:link w:val="FooterChar"/>
    <w:uiPriority w:val="99"/>
    <w:unhideWhenUsed/>
    <w:rsid w:val="00977FB6"/>
    <w:pPr>
      <w:tabs>
        <w:tab w:val="center" w:pos="4680"/>
        <w:tab w:val="right" w:pos="9360"/>
      </w:tabs>
      <w:spacing w:line="240" w:lineRule="auto"/>
    </w:pPr>
  </w:style>
  <w:style w:type="character" w:customStyle="1" w:styleId="FooterChar">
    <w:name w:val="Footer Char"/>
    <w:basedOn w:val="DefaultParagraphFont"/>
    <w:link w:val="Footer"/>
    <w:uiPriority w:val="99"/>
    <w:rsid w:val="00977FB6"/>
  </w:style>
  <w:style w:type="character" w:customStyle="1" w:styleId="Heading2Char">
    <w:name w:val="Heading 2 Char"/>
    <w:basedOn w:val="DefaultParagraphFont"/>
    <w:link w:val="Heading2"/>
    <w:uiPriority w:val="9"/>
    <w:rsid w:val="00A1143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B72C2"/>
    <w:rPr>
      <w:rFonts w:ascii="Times New Roman" w:hAnsi="Times New Roman" w:cs="Times New Roman"/>
      <w:sz w:val="24"/>
      <w:szCs w:val="24"/>
    </w:rPr>
  </w:style>
  <w:style w:type="character" w:styleId="Hyperlink">
    <w:name w:val="Hyperlink"/>
    <w:basedOn w:val="DefaultParagraphFont"/>
    <w:uiPriority w:val="99"/>
    <w:unhideWhenUsed/>
    <w:rsid w:val="0027557B"/>
    <w:rPr>
      <w:color w:val="0000FF" w:themeColor="hyperlink"/>
      <w:u w:val="single"/>
    </w:rPr>
  </w:style>
  <w:style w:type="character" w:styleId="EndnoteReference">
    <w:name w:val="endnote reference"/>
    <w:basedOn w:val="DefaultParagraphFont"/>
    <w:uiPriority w:val="99"/>
    <w:semiHidden/>
    <w:unhideWhenUsed/>
    <w:rsid w:val="009444F7"/>
    <w:rPr>
      <w:vertAlign w:val="superscript"/>
    </w:rPr>
  </w:style>
  <w:style w:type="paragraph" w:styleId="Bibliography">
    <w:name w:val="Bibliography"/>
    <w:basedOn w:val="Normal"/>
    <w:next w:val="Normal"/>
    <w:uiPriority w:val="37"/>
    <w:unhideWhenUsed/>
    <w:rsid w:val="00386294"/>
    <w:pPr>
      <w:spacing w:line="240" w:lineRule="auto"/>
      <w:ind w:left="720" w:hanging="720"/>
    </w:pPr>
  </w:style>
  <w:style w:type="paragraph" w:styleId="ListParagraph">
    <w:name w:val="List Paragraph"/>
    <w:basedOn w:val="Normal"/>
    <w:uiPriority w:val="34"/>
    <w:qFormat/>
    <w:rsid w:val="00221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25684">
      <w:bodyDiv w:val="1"/>
      <w:marLeft w:val="0"/>
      <w:marRight w:val="0"/>
      <w:marTop w:val="0"/>
      <w:marBottom w:val="0"/>
      <w:divBdr>
        <w:top w:val="none" w:sz="0" w:space="0" w:color="auto"/>
        <w:left w:val="none" w:sz="0" w:space="0" w:color="auto"/>
        <w:bottom w:val="none" w:sz="0" w:space="0" w:color="auto"/>
        <w:right w:val="none" w:sz="0" w:space="0" w:color="auto"/>
      </w:divBdr>
    </w:div>
    <w:div w:id="121464084">
      <w:bodyDiv w:val="1"/>
      <w:marLeft w:val="0"/>
      <w:marRight w:val="0"/>
      <w:marTop w:val="0"/>
      <w:marBottom w:val="0"/>
      <w:divBdr>
        <w:top w:val="none" w:sz="0" w:space="0" w:color="auto"/>
        <w:left w:val="none" w:sz="0" w:space="0" w:color="auto"/>
        <w:bottom w:val="none" w:sz="0" w:space="0" w:color="auto"/>
        <w:right w:val="none" w:sz="0" w:space="0" w:color="auto"/>
      </w:divBdr>
    </w:div>
    <w:div w:id="182209411">
      <w:bodyDiv w:val="1"/>
      <w:marLeft w:val="0"/>
      <w:marRight w:val="0"/>
      <w:marTop w:val="0"/>
      <w:marBottom w:val="0"/>
      <w:divBdr>
        <w:top w:val="none" w:sz="0" w:space="0" w:color="auto"/>
        <w:left w:val="none" w:sz="0" w:space="0" w:color="auto"/>
        <w:bottom w:val="none" w:sz="0" w:space="0" w:color="auto"/>
        <w:right w:val="none" w:sz="0" w:space="0" w:color="auto"/>
      </w:divBdr>
    </w:div>
    <w:div w:id="204486120">
      <w:bodyDiv w:val="1"/>
      <w:marLeft w:val="0"/>
      <w:marRight w:val="0"/>
      <w:marTop w:val="0"/>
      <w:marBottom w:val="0"/>
      <w:divBdr>
        <w:top w:val="none" w:sz="0" w:space="0" w:color="auto"/>
        <w:left w:val="none" w:sz="0" w:space="0" w:color="auto"/>
        <w:bottom w:val="none" w:sz="0" w:space="0" w:color="auto"/>
        <w:right w:val="none" w:sz="0" w:space="0" w:color="auto"/>
      </w:divBdr>
    </w:div>
    <w:div w:id="235166400">
      <w:bodyDiv w:val="1"/>
      <w:marLeft w:val="0"/>
      <w:marRight w:val="0"/>
      <w:marTop w:val="0"/>
      <w:marBottom w:val="0"/>
      <w:divBdr>
        <w:top w:val="none" w:sz="0" w:space="0" w:color="auto"/>
        <w:left w:val="none" w:sz="0" w:space="0" w:color="auto"/>
        <w:bottom w:val="none" w:sz="0" w:space="0" w:color="auto"/>
        <w:right w:val="none" w:sz="0" w:space="0" w:color="auto"/>
      </w:divBdr>
    </w:div>
    <w:div w:id="468741709">
      <w:bodyDiv w:val="1"/>
      <w:marLeft w:val="0"/>
      <w:marRight w:val="0"/>
      <w:marTop w:val="0"/>
      <w:marBottom w:val="0"/>
      <w:divBdr>
        <w:top w:val="none" w:sz="0" w:space="0" w:color="auto"/>
        <w:left w:val="none" w:sz="0" w:space="0" w:color="auto"/>
        <w:bottom w:val="none" w:sz="0" w:space="0" w:color="auto"/>
        <w:right w:val="none" w:sz="0" w:space="0" w:color="auto"/>
      </w:divBdr>
      <w:divsChild>
        <w:div w:id="501629924">
          <w:marLeft w:val="0"/>
          <w:marRight w:val="0"/>
          <w:marTop w:val="0"/>
          <w:marBottom w:val="0"/>
          <w:divBdr>
            <w:top w:val="none" w:sz="0" w:space="0" w:color="auto"/>
            <w:left w:val="none" w:sz="0" w:space="0" w:color="auto"/>
            <w:bottom w:val="none" w:sz="0" w:space="0" w:color="auto"/>
            <w:right w:val="none" w:sz="0" w:space="0" w:color="auto"/>
          </w:divBdr>
        </w:div>
      </w:divsChild>
    </w:div>
    <w:div w:id="517425219">
      <w:bodyDiv w:val="1"/>
      <w:marLeft w:val="0"/>
      <w:marRight w:val="0"/>
      <w:marTop w:val="0"/>
      <w:marBottom w:val="0"/>
      <w:divBdr>
        <w:top w:val="none" w:sz="0" w:space="0" w:color="auto"/>
        <w:left w:val="none" w:sz="0" w:space="0" w:color="auto"/>
        <w:bottom w:val="none" w:sz="0" w:space="0" w:color="auto"/>
        <w:right w:val="none" w:sz="0" w:space="0" w:color="auto"/>
      </w:divBdr>
    </w:div>
    <w:div w:id="530263435">
      <w:bodyDiv w:val="1"/>
      <w:marLeft w:val="0"/>
      <w:marRight w:val="0"/>
      <w:marTop w:val="0"/>
      <w:marBottom w:val="0"/>
      <w:divBdr>
        <w:top w:val="none" w:sz="0" w:space="0" w:color="auto"/>
        <w:left w:val="none" w:sz="0" w:space="0" w:color="auto"/>
        <w:bottom w:val="none" w:sz="0" w:space="0" w:color="auto"/>
        <w:right w:val="none" w:sz="0" w:space="0" w:color="auto"/>
      </w:divBdr>
    </w:div>
    <w:div w:id="645820122">
      <w:bodyDiv w:val="1"/>
      <w:marLeft w:val="0"/>
      <w:marRight w:val="0"/>
      <w:marTop w:val="0"/>
      <w:marBottom w:val="0"/>
      <w:divBdr>
        <w:top w:val="none" w:sz="0" w:space="0" w:color="auto"/>
        <w:left w:val="none" w:sz="0" w:space="0" w:color="auto"/>
        <w:bottom w:val="none" w:sz="0" w:space="0" w:color="auto"/>
        <w:right w:val="none" w:sz="0" w:space="0" w:color="auto"/>
      </w:divBdr>
    </w:div>
    <w:div w:id="1025324948">
      <w:bodyDiv w:val="1"/>
      <w:marLeft w:val="0"/>
      <w:marRight w:val="0"/>
      <w:marTop w:val="0"/>
      <w:marBottom w:val="0"/>
      <w:divBdr>
        <w:top w:val="none" w:sz="0" w:space="0" w:color="auto"/>
        <w:left w:val="none" w:sz="0" w:space="0" w:color="auto"/>
        <w:bottom w:val="none" w:sz="0" w:space="0" w:color="auto"/>
        <w:right w:val="none" w:sz="0" w:space="0" w:color="auto"/>
      </w:divBdr>
    </w:div>
    <w:div w:id="1333797994">
      <w:bodyDiv w:val="1"/>
      <w:marLeft w:val="0"/>
      <w:marRight w:val="0"/>
      <w:marTop w:val="0"/>
      <w:marBottom w:val="0"/>
      <w:divBdr>
        <w:top w:val="none" w:sz="0" w:space="0" w:color="auto"/>
        <w:left w:val="none" w:sz="0" w:space="0" w:color="auto"/>
        <w:bottom w:val="none" w:sz="0" w:space="0" w:color="auto"/>
        <w:right w:val="none" w:sz="0" w:space="0" w:color="auto"/>
      </w:divBdr>
    </w:div>
    <w:div w:id="1470856886">
      <w:bodyDiv w:val="1"/>
      <w:marLeft w:val="0"/>
      <w:marRight w:val="0"/>
      <w:marTop w:val="0"/>
      <w:marBottom w:val="0"/>
      <w:divBdr>
        <w:top w:val="none" w:sz="0" w:space="0" w:color="auto"/>
        <w:left w:val="none" w:sz="0" w:space="0" w:color="auto"/>
        <w:bottom w:val="none" w:sz="0" w:space="0" w:color="auto"/>
        <w:right w:val="none" w:sz="0" w:space="0" w:color="auto"/>
      </w:divBdr>
    </w:div>
    <w:div w:id="1546063530">
      <w:bodyDiv w:val="1"/>
      <w:marLeft w:val="0"/>
      <w:marRight w:val="0"/>
      <w:marTop w:val="0"/>
      <w:marBottom w:val="0"/>
      <w:divBdr>
        <w:top w:val="none" w:sz="0" w:space="0" w:color="auto"/>
        <w:left w:val="none" w:sz="0" w:space="0" w:color="auto"/>
        <w:bottom w:val="none" w:sz="0" w:space="0" w:color="auto"/>
        <w:right w:val="none" w:sz="0" w:space="0" w:color="auto"/>
      </w:divBdr>
    </w:div>
    <w:div w:id="2005084284">
      <w:bodyDiv w:val="1"/>
      <w:marLeft w:val="0"/>
      <w:marRight w:val="0"/>
      <w:marTop w:val="0"/>
      <w:marBottom w:val="0"/>
      <w:divBdr>
        <w:top w:val="none" w:sz="0" w:space="0" w:color="auto"/>
        <w:left w:val="none" w:sz="0" w:space="0" w:color="auto"/>
        <w:bottom w:val="none" w:sz="0" w:space="0" w:color="auto"/>
        <w:right w:val="none" w:sz="0" w:space="0" w:color="auto"/>
      </w:divBdr>
      <w:divsChild>
        <w:div w:id="1784568672">
          <w:marLeft w:val="0"/>
          <w:marRight w:val="0"/>
          <w:marTop w:val="0"/>
          <w:marBottom w:val="0"/>
          <w:divBdr>
            <w:top w:val="none" w:sz="0" w:space="0" w:color="auto"/>
            <w:left w:val="none" w:sz="0" w:space="0" w:color="auto"/>
            <w:bottom w:val="none" w:sz="0" w:space="0" w:color="auto"/>
            <w:right w:val="none" w:sz="0" w:space="0" w:color="auto"/>
          </w:divBdr>
        </w:div>
        <w:div w:id="449512057">
          <w:marLeft w:val="0"/>
          <w:marRight w:val="0"/>
          <w:marTop w:val="0"/>
          <w:marBottom w:val="0"/>
          <w:divBdr>
            <w:top w:val="none" w:sz="0" w:space="0" w:color="auto"/>
            <w:left w:val="none" w:sz="0" w:space="0" w:color="auto"/>
            <w:bottom w:val="none" w:sz="0" w:space="0" w:color="auto"/>
            <w:right w:val="none" w:sz="0" w:space="0" w:color="auto"/>
          </w:divBdr>
        </w:div>
        <w:div w:id="1445877666">
          <w:marLeft w:val="0"/>
          <w:marRight w:val="0"/>
          <w:marTop w:val="0"/>
          <w:marBottom w:val="0"/>
          <w:divBdr>
            <w:top w:val="none" w:sz="0" w:space="0" w:color="auto"/>
            <w:left w:val="none" w:sz="0" w:space="0" w:color="auto"/>
            <w:bottom w:val="none" w:sz="0" w:space="0" w:color="auto"/>
            <w:right w:val="none" w:sz="0" w:space="0" w:color="auto"/>
          </w:divBdr>
        </w:div>
        <w:div w:id="1911115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ohn.meyer@humbold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78889-5BFD-4516-BAC6-74AE1F53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10246</Words>
  <Characters>58403</Characters>
  <Application>Microsoft Office Word</Application>
  <DocSecurity>0</DocSecurity>
  <Lines>846</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6</cp:revision>
  <dcterms:created xsi:type="dcterms:W3CDTF">2014-04-06T17:56:00Z</dcterms:created>
  <dcterms:modified xsi:type="dcterms:W3CDTF">2014-04-06T18:11:00Z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zotero-version="4.0.19"&gt;&lt;session id="sdHGZxeX"/&gt;&lt;style id="http://www.zotero.org/styles/chicago-fullnote-bibliography" hasBibliography="1" bibliographyStyleHasBeenSet="1"/&gt;&lt;prefs&gt;&lt;pref name="fieldType" value="Field"/&gt;&lt;pref name="sto</vt:lpwstr>
  </property>
  <property fmtid="{D5CDD505-2E9C-101B-9397-08002B2CF9AE}" pid="3" name="ZOTERO_PREF_2">
    <vt:lpwstr>reReferences" value="true"/&gt;&lt;pref name="noteType" value="1"/&gt;&lt;pref name="automaticJournalAbbreviations" value="false"/&gt;&lt;/prefs&gt;&lt;/data&gt;</vt:lpwstr>
  </property>
</Properties>
</file>