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555E" w14:textId="77777777" w:rsidR="002735FC" w:rsidRPr="0028170D" w:rsidRDefault="002735FC" w:rsidP="002735FC">
      <w:pPr>
        <w:jc w:val="both"/>
        <w:rPr>
          <w:sz w:val="24"/>
          <w:szCs w:val="24"/>
        </w:rPr>
      </w:pPr>
      <w:r>
        <w:rPr>
          <w:b/>
          <w:bCs/>
          <w:sz w:val="24"/>
          <w:szCs w:val="24"/>
        </w:rPr>
        <w:t xml:space="preserve">Abstract: </w:t>
      </w:r>
      <w:r w:rsidRPr="0028170D">
        <w:rPr>
          <w:sz w:val="24"/>
          <w:szCs w:val="24"/>
        </w:rPr>
        <w:t xml:space="preserve">How can peace initiatives reinforce authoritarian practices? </w:t>
      </w:r>
      <w:r>
        <w:rPr>
          <w:sz w:val="24"/>
          <w:szCs w:val="24"/>
        </w:rPr>
        <w:t>P</w:t>
      </w:r>
      <w:r w:rsidRPr="0028170D">
        <w:rPr>
          <w:sz w:val="24"/>
          <w:szCs w:val="24"/>
        </w:rPr>
        <w:t>eace, in the name of political and cultural development, can function to uphold, facilitate, and improve upon authoritarian practices</w:t>
      </w:r>
      <w:r>
        <w:rPr>
          <w:sz w:val="24"/>
          <w:szCs w:val="24"/>
        </w:rPr>
        <w:t xml:space="preserve"> under certain conditions</w:t>
      </w:r>
      <w:r w:rsidRPr="0028170D">
        <w:rPr>
          <w:sz w:val="24"/>
          <w:szCs w:val="24"/>
        </w:rPr>
        <w:t xml:space="preserve">. I use the recent steps towards normalization and, in some instances, peace agreements between Israel and a number of Arab states to make this argument. </w:t>
      </w:r>
      <w:r>
        <w:rPr>
          <w:sz w:val="24"/>
          <w:szCs w:val="24"/>
        </w:rPr>
        <w:t>These</w:t>
      </w:r>
      <w:r w:rsidRPr="0028170D">
        <w:rPr>
          <w:sz w:val="24"/>
          <w:szCs w:val="24"/>
        </w:rPr>
        <w:t xml:space="preserve"> initiatives </w:t>
      </w:r>
      <w:r>
        <w:rPr>
          <w:sz w:val="24"/>
          <w:szCs w:val="24"/>
        </w:rPr>
        <w:t xml:space="preserve">have </w:t>
      </w:r>
      <w:r w:rsidRPr="0028170D">
        <w:rPr>
          <w:sz w:val="24"/>
          <w:szCs w:val="24"/>
        </w:rPr>
        <w:t>facilitat</w:t>
      </w:r>
      <w:r>
        <w:rPr>
          <w:sz w:val="24"/>
          <w:szCs w:val="24"/>
        </w:rPr>
        <w:t>ed authoritarian</w:t>
      </w:r>
      <w:r w:rsidRPr="0028170D">
        <w:rPr>
          <w:sz w:val="24"/>
          <w:szCs w:val="24"/>
        </w:rPr>
        <w:t xml:space="preserve"> practices by necessitating the increase of state repression, fraying social ties, and expanding regime capacity through the acquisition of repressive technologies. I examine this dynamic across four GCC states with varying authoritarian practices and ties to Israel: UAE, Bahrain, Saudi Arabia, and Qatar. Using ethnographic analysis and interviews, this paper contributes to our understanding of authoritarian power and how it functions, transnationally and at varying levels within and outside state authority.</w:t>
      </w:r>
    </w:p>
    <w:p w14:paraId="55CB5679" w14:textId="77777777" w:rsidR="002735FC" w:rsidRDefault="002735FC" w:rsidP="00E70722">
      <w:pPr>
        <w:rPr>
          <w:b/>
          <w:bCs/>
          <w:sz w:val="24"/>
          <w:szCs w:val="24"/>
        </w:rPr>
      </w:pPr>
    </w:p>
    <w:p w14:paraId="741339A6" w14:textId="3F6D0E53" w:rsidR="00A14D0A" w:rsidRPr="0048391B" w:rsidRDefault="005C2BE8" w:rsidP="00E70722">
      <w:pPr>
        <w:rPr>
          <w:b/>
          <w:bCs/>
          <w:sz w:val="24"/>
          <w:szCs w:val="24"/>
        </w:rPr>
      </w:pPr>
      <w:r>
        <w:rPr>
          <w:b/>
          <w:bCs/>
          <w:sz w:val="24"/>
          <w:szCs w:val="24"/>
        </w:rPr>
        <w:t>Introduction</w:t>
      </w:r>
    </w:p>
    <w:p w14:paraId="3FA063A9" w14:textId="35580C88" w:rsidR="00A17A91" w:rsidRPr="0048391B" w:rsidRDefault="00E70722" w:rsidP="005A10E4">
      <w:pPr>
        <w:spacing w:after="0" w:line="480" w:lineRule="auto"/>
        <w:ind w:firstLine="720"/>
        <w:jc w:val="both"/>
        <w:rPr>
          <w:sz w:val="24"/>
          <w:szCs w:val="24"/>
        </w:rPr>
      </w:pPr>
      <w:r w:rsidRPr="0048391B">
        <w:rPr>
          <w:sz w:val="24"/>
          <w:szCs w:val="24"/>
        </w:rPr>
        <w:t xml:space="preserve">How </w:t>
      </w:r>
      <w:r w:rsidR="00B30371" w:rsidRPr="0048391B">
        <w:rPr>
          <w:sz w:val="24"/>
          <w:szCs w:val="24"/>
        </w:rPr>
        <w:t>can</w:t>
      </w:r>
      <w:r w:rsidRPr="0048391B">
        <w:rPr>
          <w:sz w:val="24"/>
          <w:szCs w:val="24"/>
        </w:rPr>
        <w:t xml:space="preserve"> </w:t>
      </w:r>
      <w:r w:rsidR="00B30371" w:rsidRPr="0048391B">
        <w:rPr>
          <w:sz w:val="24"/>
          <w:szCs w:val="24"/>
        </w:rPr>
        <w:t xml:space="preserve">peace </w:t>
      </w:r>
      <w:r w:rsidR="00E47169" w:rsidRPr="0048391B">
        <w:rPr>
          <w:sz w:val="24"/>
          <w:szCs w:val="24"/>
        </w:rPr>
        <w:t>initiatives</w:t>
      </w:r>
      <w:r w:rsidR="00B30371" w:rsidRPr="0048391B">
        <w:rPr>
          <w:sz w:val="24"/>
          <w:szCs w:val="24"/>
        </w:rPr>
        <w:t xml:space="preserve"> </w:t>
      </w:r>
      <w:r w:rsidRPr="0048391B">
        <w:rPr>
          <w:sz w:val="24"/>
          <w:szCs w:val="24"/>
        </w:rPr>
        <w:t>reinforce authoritarian practices</w:t>
      </w:r>
      <w:r w:rsidR="00327EB0" w:rsidRPr="0048391B">
        <w:rPr>
          <w:sz w:val="24"/>
          <w:szCs w:val="24"/>
        </w:rPr>
        <w:t>?</w:t>
      </w:r>
      <w:r w:rsidRPr="0048391B">
        <w:rPr>
          <w:sz w:val="24"/>
          <w:szCs w:val="24"/>
        </w:rPr>
        <w:t xml:space="preserve"> </w:t>
      </w:r>
      <w:r w:rsidR="00A17A91" w:rsidRPr="0048391B">
        <w:rPr>
          <w:sz w:val="24"/>
          <w:szCs w:val="24"/>
        </w:rPr>
        <w:t xml:space="preserve">Peace </w:t>
      </w:r>
      <w:r w:rsidR="00E47169" w:rsidRPr="0048391B">
        <w:rPr>
          <w:sz w:val="24"/>
          <w:szCs w:val="24"/>
        </w:rPr>
        <w:t>initiatives</w:t>
      </w:r>
      <w:r w:rsidR="00A17A91" w:rsidRPr="0048391B">
        <w:rPr>
          <w:sz w:val="24"/>
          <w:szCs w:val="24"/>
        </w:rPr>
        <w:t xml:space="preserve"> are seen as beneficial</w:t>
      </w:r>
      <w:r w:rsidR="00DC0C60">
        <w:rPr>
          <w:sz w:val="24"/>
          <w:szCs w:val="24"/>
        </w:rPr>
        <w:t xml:space="preserve">, </w:t>
      </w:r>
      <w:r w:rsidR="00DC0C60" w:rsidRPr="0048391B">
        <w:rPr>
          <w:sz w:val="24"/>
          <w:szCs w:val="24"/>
        </w:rPr>
        <w:t xml:space="preserve">understandably, given the alternative of continued conflict and the human cost of war. </w:t>
      </w:r>
      <w:r w:rsidR="00DC0C60">
        <w:rPr>
          <w:sz w:val="24"/>
          <w:szCs w:val="24"/>
        </w:rPr>
        <w:t xml:space="preserve"> </w:t>
      </w:r>
      <w:r w:rsidR="00A17A91" w:rsidRPr="0048391B">
        <w:rPr>
          <w:sz w:val="24"/>
          <w:szCs w:val="24"/>
        </w:rPr>
        <w:t xml:space="preserve">However, peace may have repressive impacts under certain conditions – especially when implemented in authoritarian contexts. </w:t>
      </w:r>
    </w:p>
    <w:p w14:paraId="3FDD12A2" w14:textId="04A1B543" w:rsidR="00E47169" w:rsidRPr="0048391B" w:rsidRDefault="00E70722" w:rsidP="00AB44C3">
      <w:pPr>
        <w:spacing w:after="0" w:line="480" w:lineRule="auto"/>
        <w:ind w:firstLine="720"/>
        <w:jc w:val="both"/>
        <w:rPr>
          <w:sz w:val="24"/>
          <w:szCs w:val="24"/>
        </w:rPr>
      </w:pPr>
      <w:r w:rsidRPr="0048391B">
        <w:rPr>
          <w:sz w:val="24"/>
          <w:szCs w:val="24"/>
        </w:rPr>
        <w:t xml:space="preserve">Recent research has called for a re-evaluation </w:t>
      </w:r>
      <w:r w:rsidR="004C6CF6" w:rsidRPr="0048391B">
        <w:rPr>
          <w:sz w:val="24"/>
          <w:szCs w:val="24"/>
        </w:rPr>
        <w:t>of how we study authoritaria</w:t>
      </w:r>
      <w:r w:rsidR="00AA461E">
        <w:rPr>
          <w:sz w:val="24"/>
          <w:szCs w:val="24"/>
        </w:rPr>
        <w:t>nism</w:t>
      </w:r>
      <w:r w:rsidRPr="0048391B">
        <w:rPr>
          <w:sz w:val="24"/>
          <w:szCs w:val="24"/>
        </w:rPr>
        <w:t xml:space="preserve">, focusing not on the state as the unit of analysis, but rather </w:t>
      </w:r>
      <w:r w:rsidR="004E5111">
        <w:rPr>
          <w:sz w:val="24"/>
          <w:szCs w:val="24"/>
        </w:rPr>
        <w:t>on</w:t>
      </w:r>
      <w:r w:rsidRPr="0048391B">
        <w:rPr>
          <w:sz w:val="24"/>
          <w:szCs w:val="24"/>
        </w:rPr>
        <w:t xml:space="preserve"> a set of “practices” which are oft</w:t>
      </w:r>
      <w:r w:rsidR="004C6CF6" w:rsidRPr="0048391B">
        <w:rPr>
          <w:sz w:val="24"/>
          <w:szCs w:val="24"/>
        </w:rPr>
        <w:t>en transregionally facilitated</w:t>
      </w:r>
      <w:r w:rsidRPr="0048391B">
        <w:rPr>
          <w:sz w:val="24"/>
          <w:szCs w:val="24"/>
        </w:rPr>
        <w:t>.</w:t>
      </w:r>
      <w:r w:rsidR="004C6CF6" w:rsidRPr="0048391B">
        <w:rPr>
          <w:rStyle w:val="FootnoteReference"/>
          <w:sz w:val="24"/>
          <w:szCs w:val="24"/>
        </w:rPr>
        <w:footnoteReference w:id="2"/>
      </w:r>
      <w:r w:rsidRPr="0048391B">
        <w:rPr>
          <w:sz w:val="24"/>
          <w:szCs w:val="24"/>
        </w:rPr>
        <w:t xml:space="preserve"> </w:t>
      </w:r>
      <w:r w:rsidR="006F639D" w:rsidRPr="0048391B">
        <w:rPr>
          <w:sz w:val="24"/>
          <w:szCs w:val="24"/>
        </w:rPr>
        <w:t>Glasius (2018) defines authoritarian practices as a “pattern of actions” which “sabotage accountability to people…over whom a political actor exerts control.”</w:t>
      </w:r>
      <w:r w:rsidR="006F639D" w:rsidRPr="0048391B">
        <w:rPr>
          <w:rStyle w:val="FootnoteReference"/>
          <w:sz w:val="24"/>
          <w:szCs w:val="24"/>
        </w:rPr>
        <w:footnoteReference w:id="3"/>
      </w:r>
      <w:r w:rsidR="006F639D" w:rsidRPr="0048391B">
        <w:rPr>
          <w:sz w:val="24"/>
          <w:szCs w:val="24"/>
        </w:rPr>
        <w:t xml:space="preserve"> </w:t>
      </w:r>
      <w:r w:rsidRPr="0048391B">
        <w:rPr>
          <w:sz w:val="24"/>
          <w:szCs w:val="24"/>
        </w:rPr>
        <w:t xml:space="preserve">These practices include pre-emptive actions against the emergence of dissent, technocratizing political issues, and outright repression of opposition. In this paper, I build on this crucial work by </w:t>
      </w:r>
      <w:r w:rsidR="00FE43DF" w:rsidRPr="0048391B">
        <w:rPr>
          <w:sz w:val="24"/>
          <w:szCs w:val="24"/>
        </w:rPr>
        <w:t>applying this</w:t>
      </w:r>
      <w:r w:rsidRPr="0048391B">
        <w:rPr>
          <w:sz w:val="24"/>
          <w:szCs w:val="24"/>
        </w:rPr>
        <w:t xml:space="preserve"> framework </w:t>
      </w:r>
      <w:r w:rsidR="00FE43DF" w:rsidRPr="0048391B">
        <w:rPr>
          <w:sz w:val="24"/>
          <w:szCs w:val="24"/>
        </w:rPr>
        <w:t>to another context</w:t>
      </w:r>
      <w:r w:rsidRPr="0048391B">
        <w:rPr>
          <w:sz w:val="24"/>
          <w:szCs w:val="24"/>
        </w:rPr>
        <w:t xml:space="preserve">. I argue that </w:t>
      </w:r>
      <w:r w:rsidR="006F639D" w:rsidRPr="0048391B">
        <w:rPr>
          <w:sz w:val="24"/>
          <w:szCs w:val="24"/>
        </w:rPr>
        <w:t>peace</w:t>
      </w:r>
      <w:r w:rsidRPr="0048391B">
        <w:rPr>
          <w:sz w:val="24"/>
          <w:szCs w:val="24"/>
        </w:rPr>
        <w:t xml:space="preserve"> can also function to facilitate</w:t>
      </w:r>
      <w:r w:rsidR="00255FD1">
        <w:rPr>
          <w:sz w:val="24"/>
          <w:szCs w:val="24"/>
        </w:rPr>
        <w:t xml:space="preserve"> </w:t>
      </w:r>
      <w:r w:rsidRPr="0048391B">
        <w:rPr>
          <w:sz w:val="24"/>
          <w:szCs w:val="24"/>
        </w:rPr>
        <w:lastRenderedPageBreak/>
        <w:t xml:space="preserve">and </w:t>
      </w:r>
      <w:r w:rsidR="00255FD1">
        <w:rPr>
          <w:sz w:val="24"/>
          <w:szCs w:val="24"/>
        </w:rPr>
        <w:t>increase</w:t>
      </w:r>
      <w:r w:rsidRPr="0048391B">
        <w:rPr>
          <w:sz w:val="24"/>
          <w:szCs w:val="24"/>
        </w:rPr>
        <w:t xml:space="preserve"> authoritarian practices</w:t>
      </w:r>
      <w:r w:rsidR="00682754">
        <w:rPr>
          <w:sz w:val="24"/>
          <w:szCs w:val="24"/>
        </w:rPr>
        <w:t xml:space="preserve"> under certain conditions</w:t>
      </w:r>
      <w:r w:rsidRPr="0048391B">
        <w:rPr>
          <w:sz w:val="24"/>
          <w:szCs w:val="24"/>
        </w:rPr>
        <w:t xml:space="preserve">. </w:t>
      </w:r>
      <w:r w:rsidR="00E01093" w:rsidRPr="0048391B">
        <w:rPr>
          <w:sz w:val="24"/>
          <w:szCs w:val="24"/>
        </w:rPr>
        <w:t>I use the recent</w:t>
      </w:r>
      <w:r w:rsidR="00DA5C1A" w:rsidRPr="0048391B">
        <w:rPr>
          <w:sz w:val="24"/>
          <w:szCs w:val="24"/>
        </w:rPr>
        <w:t xml:space="preserve"> steps towards normalization and, in some instances, </w:t>
      </w:r>
      <w:r w:rsidR="00B240C4">
        <w:rPr>
          <w:sz w:val="24"/>
          <w:szCs w:val="24"/>
        </w:rPr>
        <w:t xml:space="preserve">signing of </w:t>
      </w:r>
      <w:r w:rsidR="00E01093" w:rsidRPr="0048391B">
        <w:rPr>
          <w:sz w:val="24"/>
          <w:szCs w:val="24"/>
        </w:rPr>
        <w:t xml:space="preserve">peace </w:t>
      </w:r>
      <w:r w:rsidR="00B10423" w:rsidRPr="0048391B">
        <w:rPr>
          <w:sz w:val="24"/>
          <w:szCs w:val="24"/>
        </w:rPr>
        <w:t>agreements</w:t>
      </w:r>
      <w:r w:rsidR="00E01093" w:rsidRPr="0048391B">
        <w:rPr>
          <w:sz w:val="24"/>
          <w:szCs w:val="24"/>
        </w:rPr>
        <w:t xml:space="preserve"> between Israel and </w:t>
      </w:r>
      <w:r w:rsidR="00C0091D">
        <w:rPr>
          <w:sz w:val="24"/>
          <w:szCs w:val="24"/>
        </w:rPr>
        <w:t xml:space="preserve">the Gulf Cooperation Council (GCC) states </w:t>
      </w:r>
      <w:r w:rsidR="00E01093" w:rsidRPr="0048391B">
        <w:rPr>
          <w:sz w:val="24"/>
          <w:szCs w:val="24"/>
        </w:rPr>
        <w:t xml:space="preserve">to make this argument. </w:t>
      </w:r>
    </w:p>
    <w:p w14:paraId="6B547588" w14:textId="07E33085" w:rsidR="007D6C13" w:rsidRPr="0048391B" w:rsidRDefault="009B3964" w:rsidP="00AF261E">
      <w:pPr>
        <w:spacing w:after="0" w:line="480" w:lineRule="auto"/>
        <w:ind w:firstLine="720"/>
        <w:jc w:val="both"/>
        <w:rPr>
          <w:sz w:val="24"/>
          <w:szCs w:val="24"/>
        </w:rPr>
      </w:pPr>
      <w:r w:rsidRPr="0048391B">
        <w:rPr>
          <w:sz w:val="24"/>
          <w:szCs w:val="24"/>
        </w:rPr>
        <w:t>Peace initiatives</w:t>
      </w:r>
      <w:r w:rsidR="00DA5C1A" w:rsidRPr="0048391B">
        <w:rPr>
          <w:sz w:val="24"/>
          <w:szCs w:val="24"/>
        </w:rPr>
        <w:t xml:space="preserve"> </w:t>
      </w:r>
      <w:r w:rsidR="00B10423" w:rsidRPr="0048391B">
        <w:rPr>
          <w:sz w:val="24"/>
          <w:szCs w:val="24"/>
        </w:rPr>
        <w:t>are</w:t>
      </w:r>
      <w:r w:rsidR="00DA5C1A" w:rsidRPr="0048391B">
        <w:rPr>
          <w:sz w:val="24"/>
          <w:szCs w:val="24"/>
        </w:rPr>
        <w:t xml:space="preserve"> defined here as the development of relations b</w:t>
      </w:r>
      <w:r w:rsidRPr="0048391B">
        <w:rPr>
          <w:sz w:val="24"/>
          <w:szCs w:val="24"/>
        </w:rPr>
        <w:t>etween two parties in conflict, which include normalization</w:t>
      </w:r>
      <w:r w:rsidR="00344247" w:rsidRPr="0048391B">
        <w:rPr>
          <w:sz w:val="24"/>
          <w:szCs w:val="24"/>
        </w:rPr>
        <w:t xml:space="preserve">, </w:t>
      </w:r>
      <w:r w:rsidR="007D6C13" w:rsidRPr="0048391B">
        <w:rPr>
          <w:sz w:val="24"/>
          <w:szCs w:val="24"/>
        </w:rPr>
        <w:t xml:space="preserve">at </w:t>
      </w:r>
      <w:r w:rsidR="00682754">
        <w:rPr>
          <w:sz w:val="24"/>
          <w:szCs w:val="24"/>
        </w:rPr>
        <w:t>various</w:t>
      </w:r>
      <w:r w:rsidR="00344247" w:rsidRPr="0048391B">
        <w:rPr>
          <w:sz w:val="24"/>
          <w:szCs w:val="24"/>
        </w:rPr>
        <w:t xml:space="preserve"> levels,</w:t>
      </w:r>
      <w:r w:rsidRPr="0048391B">
        <w:rPr>
          <w:sz w:val="24"/>
          <w:szCs w:val="24"/>
        </w:rPr>
        <w:t xml:space="preserve"> </w:t>
      </w:r>
      <w:r w:rsidR="00344247" w:rsidRPr="0048391B">
        <w:rPr>
          <w:sz w:val="24"/>
          <w:szCs w:val="24"/>
        </w:rPr>
        <w:t>as well as</w:t>
      </w:r>
      <w:r w:rsidRPr="0048391B">
        <w:rPr>
          <w:sz w:val="24"/>
          <w:szCs w:val="24"/>
        </w:rPr>
        <w:t xml:space="preserve"> official peace agreements. </w:t>
      </w:r>
      <w:r w:rsidR="00682754">
        <w:rPr>
          <w:sz w:val="24"/>
          <w:szCs w:val="24"/>
        </w:rPr>
        <w:t>Israeli</w:t>
      </w:r>
      <w:r w:rsidR="0074027A">
        <w:rPr>
          <w:sz w:val="24"/>
          <w:szCs w:val="24"/>
        </w:rPr>
        <w:t xml:space="preserve"> officials </w:t>
      </w:r>
      <w:r w:rsidR="00AB4787">
        <w:rPr>
          <w:sz w:val="24"/>
          <w:szCs w:val="24"/>
        </w:rPr>
        <w:t xml:space="preserve">define </w:t>
      </w:r>
      <w:r w:rsidR="00B10423" w:rsidRPr="0048391B">
        <w:rPr>
          <w:sz w:val="24"/>
          <w:szCs w:val="24"/>
        </w:rPr>
        <w:t>normalization</w:t>
      </w:r>
      <w:r w:rsidR="00AB4787">
        <w:rPr>
          <w:sz w:val="24"/>
          <w:szCs w:val="24"/>
        </w:rPr>
        <w:t xml:space="preserve"> as </w:t>
      </w:r>
      <w:r w:rsidR="00F504C4">
        <w:rPr>
          <w:sz w:val="24"/>
          <w:szCs w:val="24"/>
        </w:rPr>
        <w:t>any</w:t>
      </w:r>
      <w:r w:rsidR="00DA5C1A" w:rsidRPr="0048391B">
        <w:rPr>
          <w:sz w:val="24"/>
          <w:szCs w:val="24"/>
        </w:rPr>
        <w:t xml:space="preserve"> cultural, trade, and military ties</w:t>
      </w:r>
      <w:r w:rsidR="008942B5">
        <w:rPr>
          <w:sz w:val="24"/>
          <w:szCs w:val="24"/>
        </w:rPr>
        <w:t>, overt or covert.</w:t>
      </w:r>
      <w:r w:rsidR="00DA5C1A" w:rsidRPr="0048391B">
        <w:rPr>
          <w:rStyle w:val="FootnoteReference"/>
          <w:sz w:val="24"/>
          <w:szCs w:val="24"/>
        </w:rPr>
        <w:footnoteReference w:id="4"/>
      </w:r>
      <w:r w:rsidRPr="0048391B">
        <w:rPr>
          <w:sz w:val="24"/>
          <w:szCs w:val="24"/>
        </w:rPr>
        <w:t xml:space="preserve"> </w:t>
      </w:r>
      <w:r w:rsidR="007D6C13" w:rsidRPr="0048391B">
        <w:rPr>
          <w:sz w:val="24"/>
          <w:szCs w:val="24"/>
        </w:rPr>
        <w:t xml:space="preserve">In this paper </w:t>
      </w:r>
      <w:r w:rsidR="00FE43DF" w:rsidRPr="0048391B">
        <w:rPr>
          <w:sz w:val="24"/>
          <w:szCs w:val="24"/>
        </w:rPr>
        <w:t>I</w:t>
      </w:r>
      <w:r w:rsidR="007D6C13" w:rsidRPr="0048391B">
        <w:rPr>
          <w:sz w:val="24"/>
          <w:szCs w:val="24"/>
        </w:rPr>
        <w:t xml:space="preserve"> consider normalization a form of peace initiative, because the development of ties between two countries on opposing sides of a conflict increases linkages, and makes conflict less likely.</w:t>
      </w:r>
      <w:r w:rsidR="007278D1" w:rsidRPr="0048391B">
        <w:rPr>
          <w:rStyle w:val="FootnoteReference"/>
          <w:sz w:val="24"/>
          <w:szCs w:val="24"/>
        </w:rPr>
        <w:footnoteReference w:id="5"/>
      </w:r>
      <w:r w:rsidR="007D6C13" w:rsidRPr="0048391B">
        <w:rPr>
          <w:sz w:val="24"/>
          <w:szCs w:val="24"/>
        </w:rPr>
        <w:t xml:space="preserve"> Thus even if the stated purpose of normalization is not an eventual</w:t>
      </w:r>
      <w:r w:rsidR="00CC5C9C">
        <w:rPr>
          <w:sz w:val="24"/>
          <w:szCs w:val="24"/>
        </w:rPr>
        <w:t xml:space="preserve"> </w:t>
      </w:r>
      <w:r w:rsidR="007D6C13" w:rsidRPr="0048391B">
        <w:rPr>
          <w:sz w:val="24"/>
          <w:szCs w:val="24"/>
        </w:rPr>
        <w:t xml:space="preserve">peace agreement, it still serves the purpose of facilitating peace. </w:t>
      </w:r>
      <w:r w:rsidR="00AF261E" w:rsidRPr="0048391B">
        <w:rPr>
          <w:sz w:val="24"/>
          <w:szCs w:val="24"/>
        </w:rPr>
        <w:t>Finally, and most importantly, recent research highlights how monarchies utilize informal agreements more than formal ones, and how these arrangements becoming increasingly formalized over time.</w:t>
      </w:r>
      <w:r w:rsidR="00AF261E" w:rsidRPr="0048391B">
        <w:rPr>
          <w:rStyle w:val="FootnoteReference"/>
          <w:sz w:val="24"/>
          <w:szCs w:val="24"/>
        </w:rPr>
        <w:footnoteReference w:id="6"/>
      </w:r>
      <w:r w:rsidR="00AF261E" w:rsidRPr="0048391B">
        <w:rPr>
          <w:sz w:val="24"/>
          <w:szCs w:val="24"/>
        </w:rPr>
        <w:t xml:space="preserve"> Thus, including the full range of peace agreements and adjacent arrangements is suitable for this project</w:t>
      </w:r>
      <w:r w:rsidR="005A30CC">
        <w:rPr>
          <w:sz w:val="24"/>
          <w:szCs w:val="24"/>
        </w:rPr>
        <w:t xml:space="preserve"> given the cases in question.</w:t>
      </w:r>
    </w:p>
    <w:p w14:paraId="07BA53F0" w14:textId="6F27AB08" w:rsidR="00056AC4" w:rsidRPr="0048391B" w:rsidRDefault="007D6C13" w:rsidP="005F665D">
      <w:pPr>
        <w:spacing w:after="0" w:line="480" w:lineRule="auto"/>
        <w:ind w:firstLine="720"/>
        <w:jc w:val="both"/>
        <w:rPr>
          <w:sz w:val="24"/>
          <w:szCs w:val="24"/>
        </w:rPr>
      </w:pPr>
      <w:r w:rsidRPr="0048391B">
        <w:rPr>
          <w:sz w:val="24"/>
          <w:szCs w:val="24"/>
        </w:rPr>
        <w:t xml:space="preserve"> </w:t>
      </w:r>
      <w:r w:rsidR="00FE43DF" w:rsidRPr="0048391B">
        <w:rPr>
          <w:sz w:val="24"/>
          <w:szCs w:val="24"/>
        </w:rPr>
        <w:t>I</w:t>
      </w:r>
      <w:r w:rsidRPr="0048391B">
        <w:rPr>
          <w:sz w:val="24"/>
          <w:szCs w:val="24"/>
        </w:rPr>
        <w:t xml:space="preserve"> argue that p</w:t>
      </w:r>
      <w:r w:rsidR="00B10423" w:rsidRPr="0048391B">
        <w:rPr>
          <w:sz w:val="24"/>
          <w:szCs w:val="24"/>
        </w:rPr>
        <w:t>eace initiatives</w:t>
      </w:r>
      <w:r w:rsidR="00AE6265">
        <w:rPr>
          <w:sz w:val="24"/>
          <w:szCs w:val="24"/>
        </w:rPr>
        <w:t xml:space="preserve"> in illiberal contexts</w:t>
      </w:r>
      <w:r w:rsidR="00A17A91" w:rsidRPr="0048391B">
        <w:rPr>
          <w:sz w:val="24"/>
          <w:szCs w:val="24"/>
        </w:rPr>
        <w:t xml:space="preserve"> facilitate</w:t>
      </w:r>
      <w:r w:rsidR="000E0B56" w:rsidRPr="0048391B">
        <w:rPr>
          <w:sz w:val="24"/>
          <w:szCs w:val="24"/>
        </w:rPr>
        <w:t xml:space="preserve"> </w:t>
      </w:r>
      <w:r w:rsidR="005A10E4" w:rsidRPr="0048391B">
        <w:rPr>
          <w:sz w:val="24"/>
          <w:szCs w:val="24"/>
        </w:rPr>
        <w:t>authoritarian</w:t>
      </w:r>
      <w:r w:rsidR="000E0B56" w:rsidRPr="0048391B">
        <w:rPr>
          <w:sz w:val="24"/>
          <w:szCs w:val="24"/>
        </w:rPr>
        <w:t xml:space="preserve"> practices </w:t>
      </w:r>
      <w:r w:rsidR="00B10423" w:rsidRPr="0048391B">
        <w:rPr>
          <w:sz w:val="24"/>
          <w:szCs w:val="24"/>
        </w:rPr>
        <w:t>by necessitating the increase of state repression, fraying social ties, and expanding regime capacity.</w:t>
      </w:r>
      <w:r w:rsidRPr="0048391B">
        <w:rPr>
          <w:sz w:val="24"/>
          <w:szCs w:val="24"/>
        </w:rPr>
        <w:t xml:space="preserve"> </w:t>
      </w:r>
      <w:r w:rsidR="001B527F">
        <w:rPr>
          <w:sz w:val="24"/>
          <w:szCs w:val="24"/>
        </w:rPr>
        <w:lastRenderedPageBreak/>
        <w:t>They increase repression because such initiatives</w:t>
      </w:r>
      <w:r w:rsidR="005A30CC">
        <w:rPr>
          <w:sz w:val="24"/>
          <w:szCs w:val="24"/>
        </w:rPr>
        <w:t xml:space="preserve"> </w:t>
      </w:r>
      <w:r w:rsidR="00FB794E" w:rsidRPr="0048391B">
        <w:rPr>
          <w:sz w:val="24"/>
          <w:szCs w:val="24"/>
        </w:rPr>
        <w:t>enflame</w:t>
      </w:r>
      <w:r w:rsidR="000E0B56" w:rsidRPr="0048391B">
        <w:rPr>
          <w:sz w:val="24"/>
          <w:szCs w:val="24"/>
        </w:rPr>
        <w:t xml:space="preserve"> public opinion, generating tensions </w:t>
      </w:r>
      <w:r w:rsidR="00327EB0" w:rsidRPr="0048391B">
        <w:rPr>
          <w:sz w:val="24"/>
          <w:szCs w:val="24"/>
        </w:rPr>
        <w:t>between state and society</w:t>
      </w:r>
      <w:r w:rsidR="0048286D">
        <w:rPr>
          <w:sz w:val="24"/>
          <w:szCs w:val="24"/>
        </w:rPr>
        <w:t>. In th</w:t>
      </w:r>
      <w:r w:rsidR="00B55961">
        <w:rPr>
          <w:sz w:val="24"/>
          <w:szCs w:val="24"/>
        </w:rPr>
        <w:t>is case</w:t>
      </w:r>
      <w:r w:rsidR="0048286D">
        <w:rPr>
          <w:sz w:val="24"/>
          <w:szCs w:val="24"/>
        </w:rPr>
        <w:t>, A</w:t>
      </w:r>
      <w:r w:rsidR="005E7190" w:rsidRPr="0048391B">
        <w:rPr>
          <w:sz w:val="24"/>
          <w:szCs w:val="24"/>
        </w:rPr>
        <w:t>rab publics are largely</w:t>
      </w:r>
      <w:r w:rsidR="000E0B56" w:rsidRPr="0048391B">
        <w:rPr>
          <w:sz w:val="24"/>
          <w:szCs w:val="24"/>
        </w:rPr>
        <w:t xml:space="preserve"> pro-Palestinian.</w:t>
      </w:r>
      <w:r w:rsidR="008A7D30" w:rsidRPr="0048391B">
        <w:rPr>
          <w:rStyle w:val="FootnoteReference"/>
          <w:sz w:val="24"/>
          <w:szCs w:val="24"/>
        </w:rPr>
        <w:footnoteReference w:id="7"/>
      </w:r>
      <w:r w:rsidR="000E0B56" w:rsidRPr="0048391B">
        <w:rPr>
          <w:sz w:val="24"/>
          <w:szCs w:val="24"/>
        </w:rPr>
        <w:t xml:space="preserve"> Thus, when a country normalizes</w:t>
      </w:r>
      <w:r w:rsidR="00FB794E" w:rsidRPr="0048391B">
        <w:rPr>
          <w:sz w:val="24"/>
          <w:szCs w:val="24"/>
        </w:rPr>
        <w:t xml:space="preserve"> with Israel</w:t>
      </w:r>
      <w:r w:rsidR="000E0B56" w:rsidRPr="0048391B">
        <w:rPr>
          <w:sz w:val="24"/>
          <w:szCs w:val="24"/>
        </w:rPr>
        <w:t>, this provokes outcry from citizens, inevitably leading to crackdown on often the most vocal segments of civil society.</w:t>
      </w:r>
      <w:r w:rsidR="008A7D30" w:rsidRPr="0048391B">
        <w:rPr>
          <w:rStyle w:val="FootnoteReference"/>
          <w:sz w:val="24"/>
          <w:szCs w:val="24"/>
        </w:rPr>
        <w:footnoteReference w:id="8"/>
      </w:r>
      <w:r w:rsidR="00A17A91" w:rsidRPr="0048391B">
        <w:rPr>
          <w:sz w:val="24"/>
          <w:szCs w:val="24"/>
        </w:rPr>
        <w:t xml:space="preserve"> </w:t>
      </w:r>
      <w:r w:rsidR="00FD0A2E" w:rsidRPr="0048391B">
        <w:rPr>
          <w:sz w:val="24"/>
          <w:szCs w:val="24"/>
        </w:rPr>
        <w:t>To ensure no criticism, regimes also fray social ties</w:t>
      </w:r>
      <w:r w:rsidR="009B3964" w:rsidRPr="0048391B">
        <w:rPr>
          <w:sz w:val="24"/>
          <w:szCs w:val="24"/>
        </w:rPr>
        <w:t xml:space="preserve"> and erode trust,</w:t>
      </w:r>
      <w:r w:rsidR="00FD0A2E" w:rsidRPr="0048391B">
        <w:rPr>
          <w:sz w:val="24"/>
          <w:szCs w:val="24"/>
        </w:rPr>
        <w:t xml:space="preserve"> as they encourage citizens to report on each other</w:t>
      </w:r>
      <w:r w:rsidR="00B10423" w:rsidRPr="0048391B">
        <w:rPr>
          <w:sz w:val="24"/>
          <w:szCs w:val="24"/>
        </w:rPr>
        <w:t xml:space="preserve"> and outsource</w:t>
      </w:r>
      <w:r w:rsidR="009B3964" w:rsidRPr="0048391B">
        <w:rPr>
          <w:sz w:val="24"/>
          <w:szCs w:val="24"/>
        </w:rPr>
        <w:t xml:space="preserve"> repression to non-state entities. </w:t>
      </w:r>
      <w:r w:rsidR="00943818">
        <w:rPr>
          <w:sz w:val="24"/>
          <w:szCs w:val="24"/>
        </w:rPr>
        <w:t>Lastly</w:t>
      </w:r>
      <w:r w:rsidR="005F665D">
        <w:rPr>
          <w:sz w:val="24"/>
          <w:szCs w:val="24"/>
        </w:rPr>
        <w:t xml:space="preserve">, </w:t>
      </w:r>
      <w:r w:rsidR="00FB794E" w:rsidRPr="0048391B">
        <w:rPr>
          <w:sz w:val="24"/>
          <w:szCs w:val="24"/>
        </w:rPr>
        <w:t>peace</w:t>
      </w:r>
      <w:r w:rsidR="000E0B56" w:rsidRPr="0048391B">
        <w:rPr>
          <w:sz w:val="24"/>
          <w:szCs w:val="24"/>
        </w:rPr>
        <w:t xml:space="preserve"> </w:t>
      </w:r>
      <w:r w:rsidR="00A17A91" w:rsidRPr="0048391B">
        <w:rPr>
          <w:sz w:val="24"/>
          <w:szCs w:val="24"/>
        </w:rPr>
        <w:t xml:space="preserve">between Israel and </w:t>
      </w:r>
      <w:r w:rsidR="003A1E6A">
        <w:rPr>
          <w:sz w:val="24"/>
          <w:szCs w:val="24"/>
        </w:rPr>
        <w:t>the</w:t>
      </w:r>
      <w:r w:rsidR="00255FD1">
        <w:rPr>
          <w:sz w:val="24"/>
          <w:szCs w:val="24"/>
        </w:rPr>
        <w:t xml:space="preserve"> </w:t>
      </w:r>
      <w:r w:rsidR="0086750F">
        <w:rPr>
          <w:sz w:val="24"/>
          <w:szCs w:val="24"/>
        </w:rPr>
        <w:t xml:space="preserve">GCC states </w:t>
      </w:r>
      <w:r w:rsidR="000E0B56" w:rsidRPr="0048391B">
        <w:rPr>
          <w:sz w:val="24"/>
          <w:szCs w:val="24"/>
        </w:rPr>
        <w:t xml:space="preserve">facilitates the </w:t>
      </w:r>
      <w:r w:rsidR="005A10E4" w:rsidRPr="0048391B">
        <w:rPr>
          <w:sz w:val="24"/>
          <w:szCs w:val="24"/>
        </w:rPr>
        <w:t>acquisition of repressive technologies</w:t>
      </w:r>
      <w:r w:rsidR="000E0B56" w:rsidRPr="0048391B">
        <w:rPr>
          <w:sz w:val="24"/>
          <w:szCs w:val="24"/>
        </w:rPr>
        <w:t>.</w:t>
      </w:r>
      <w:r w:rsidR="008A7D30" w:rsidRPr="0048391B">
        <w:rPr>
          <w:rStyle w:val="FootnoteReference"/>
          <w:sz w:val="24"/>
          <w:szCs w:val="24"/>
        </w:rPr>
        <w:footnoteReference w:id="9"/>
      </w:r>
      <w:r w:rsidR="000E0B56" w:rsidRPr="0048391B">
        <w:rPr>
          <w:sz w:val="24"/>
          <w:szCs w:val="24"/>
        </w:rPr>
        <w:t xml:space="preserve"> </w:t>
      </w:r>
      <w:r w:rsidR="003A1E6A">
        <w:rPr>
          <w:sz w:val="24"/>
          <w:szCs w:val="24"/>
        </w:rPr>
        <w:t>S</w:t>
      </w:r>
      <w:r w:rsidR="009B3964" w:rsidRPr="0048391B">
        <w:rPr>
          <w:sz w:val="24"/>
          <w:szCs w:val="24"/>
        </w:rPr>
        <w:t xml:space="preserve">ecurity linkages </w:t>
      </w:r>
      <w:r w:rsidR="003A1E6A">
        <w:rPr>
          <w:sz w:val="24"/>
          <w:szCs w:val="24"/>
        </w:rPr>
        <w:t>b</w:t>
      </w:r>
      <w:r w:rsidR="009B3964" w:rsidRPr="0048391B">
        <w:rPr>
          <w:sz w:val="24"/>
          <w:szCs w:val="24"/>
        </w:rPr>
        <w:t>etween militaries</w:t>
      </w:r>
      <w:r w:rsidR="00AF46A8" w:rsidRPr="0048391B">
        <w:rPr>
          <w:sz w:val="24"/>
          <w:szCs w:val="24"/>
        </w:rPr>
        <w:t>, intelligence, and</w:t>
      </w:r>
      <w:r w:rsidR="00BD466C">
        <w:rPr>
          <w:sz w:val="24"/>
          <w:szCs w:val="24"/>
        </w:rPr>
        <w:t>/or</w:t>
      </w:r>
      <w:r w:rsidR="00AF46A8" w:rsidRPr="0048391B">
        <w:rPr>
          <w:sz w:val="24"/>
          <w:szCs w:val="24"/>
        </w:rPr>
        <w:t xml:space="preserve"> private sector surveillance</w:t>
      </w:r>
      <w:r w:rsidR="009B3964" w:rsidRPr="0048391B">
        <w:rPr>
          <w:sz w:val="24"/>
          <w:szCs w:val="24"/>
        </w:rPr>
        <w:t xml:space="preserve"> corporations </w:t>
      </w:r>
      <w:r w:rsidR="00985FEA">
        <w:rPr>
          <w:sz w:val="24"/>
          <w:szCs w:val="24"/>
        </w:rPr>
        <w:t>are</w:t>
      </w:r>
      <w:r w:rsidR="00AF46A8" w:rsidRPr="0048391B">
        <w:rPr>
          <w:sz w:val="24"/>
          <w:szCs w:val="24"/>
        </w:rPr>
        <w:t xml:space="preserve"> a</w:t>
      </w:r>
      <w:r w:rsidR="005F665D">
        <w:rPr>
          <w:sz w:val="24"/>
          <w:szCs w:val="24"/>
        </w:rPr>
        <w:t xml:space="preserve"> </w:t>
      </w:r>
      <w:r w:rsidR="009B3964" w:rsidRPr="0048391B">
        <w:rPr>
          <w:sz w:val="24"/>
          <w:szCs w:val="24"/>
        </w:rPr>
        <w:t>significant</w:t>
      </w:r>
      <w:r w:rsidR="00AF46A8" w:rsidRPr="0048391B">
        <w:rPr>
          <w:sz w:val="24"/>
          <w:szCs w:val="24"/>
        </w:rPr>
        <w:t xml:space="preserve"> factor in </w:t>
      </w:r>
      <w:r w:rsidR="000A2A0A">
        <w:rPr>
          <w:sz w:val="24"/>
          <w:szCs w:val="24"/>
        </w:rPr>
        <w:t>authoritarian learning.</w:t>
      </w:r>
      <w:r w:rsidR="00AF46A8" w:rsidRPr="0048391B">
        <w:rPr>
          <w:rStyle w:val="FootnoteReference"/>
          <w:sz w:val="24"/>
          <w:szCs w:val="24"/>
        </w:rPr>
        <w:footnoteReference w:id="10"/>
      </w:r>
      <w:r w:rsidR="000E0B56" w:rsidRPr="0048391B">
        <w:rPr>
          <w:sz w:val="24"/>
          <w:szCs w:val="24"/>
        </w:rPr>
        <w:t xml:space="preserve"> </w:t>
      </w:r>
    </w:p>
    <w:p w14:paraId="28AF4FB0" w14:textId="41FA5BE3" w:rsidR="0060366F" w:rsidRPr="0048391B" w:rsidRDefault="00FB794E" w:rsidP="001521C8">
      <w:pPr>
        <w:spacing w:after="0" w:line="480" w:lineRule="auto"/>
        <w:ind w:firstLine="720"/>
        <w:jc w:val="both"/>
        <w:rPr>
          <w:sz w:val="24"/>
          <w:szCs w:val="24"/>
        </w:rPr>
      </w:pPr>
      <w:r w:rsidRPr="0048391B">
        <w:rPr>
          <w:sz w:val="24"/>
          <w:szCs w:val="24"/>
        </w:rPr>
        <w:t>Finally, authoritarian practices emerge not only through arms of the state.</w:t>
      </w:r>
      <w:r w:rsidR="001521C8" w:rsidRPr="0048391B">
        <w:rPr>
          <w:rStyle w:val="FootnoteReference"/>
          <w:sz w:val="24"/>
          <w:szCs w:val="24"/>
        </w:rPr>
        <w:footnoteReference w:id="11"/>
      </w:r>
      <w:r w:rsidRPr="0048391B">
        <w:rPr>
          <w:sz w:val="24"/>
          <w:szCs w:val="24"/>
        </w:rPr>
        <w:t xml:space="preserve"> In the cas</w:t>
      </w:r>
      <w:r w:rsidR="003A1E6A">
        <w:rPr>
          <w:sz w:val="24"/>
          <w:szCs w:val="24"/>
        </w:rPr>
        <w:t>es discussed here</w:t>
      </w:r>
      <w:r w:rsidRPr="0048391B">
        <w:rPr>
          <w:sz w:val="24"/>
          <w:szCs w:val="24"/>
        </w:rPr>
        <w:t xml:space="preserve">, other actors also develop and reinforce </w:t>
      </w:r>
      <w:r w:rsidR="003A1E6A">
        <w:rPr>
          <w:sz w:val="24"/>
          <w:szCs w:val="24"/>
        </w:rPr>
        <w:t>these</w:t>
      </w:r>
      <w:r w:rsidR="000A2A0A">
        <w:rPr>
          <w:sz w:val="24"/>
          <w:szCs w:val="24"/>
        </w:rPr>
        <w:t>.</w:t>
      </w:r>
      <w:r w:rsidRPr="0048391B">
        <w:rPr>
          <w:sz w:val="24"/>
          <w:szCs w:val="24"/>
        </w:rPr>
        <w:t xml:space="preserve"> These actors include familial/tribal networks, government-affiliated</w:t>
      </w:r>
      <w:r w:rsidR="00E47169" w:rsidRPr="0048391B">
        <w:rPr>
          <w:sz w:val="24"/>
          <w:szCs w:val="24"/>
        </w:rPr>
        <w:t xml:space="preserve">/organized </w:t>
      </w:r>
      <w:r w:rsidRPr="0048391B">
        <w:rPr>
          <w:sz w:val="24"/>
          <w:szCs w:val="24"/>
        </w:rPr>
        <w:t xml:space="preserve">non-governmental organizations (GONGOs), and </w:t>
      </w:r>
      <w:r w:rsidR="00E47169" w:rsidRPr="0048391B">
        <w:rPr>
          <w:sz w:val="24"/>
          <w:szCs w:val="24"/>
        </w:rPr>
        <w:t xml:space="preserve">private </w:t>
      </w:r>
      <w:r w:rsidRPr="0048391B">
        <w:rPr>
          <w:sz w:val="24"/>
          <w:szCs w:val="24"/>
        </w:rPr>
        <w:t xml:space="preserve">corporations. The </w:t>
      </w:r>
      <w:r w:rsidR="00344247" w:rsidRPr="0048391B">
        <w:rPr>
          <w:sz w:val="24"/>
          <w:szCs w:val="24"/>
        </w:rPr>
        <w:t>broad n</w:t>
      </w:r>
      <w:r w:rsidR="00E47169" w:rsidRPr="0048391B">
        <w:rPr>
          <w:sz w:val="24"/>
          <w:szCs w:val="24"/>
        </w:rPr>
        <w:t>etwork</w:t>
      </w:r>
      <w:r w:rsidRPr="0048391B">
        <w:rPr>
          <w:sz w:val="24"/>
          <w:szCs w:val="24"/>
        </w:rPr>
        <w:t xml:space="preserve"> of actors</w:t>
      </w:r>
      <w:r w:rsidR="00344247" w:rsidRPr="0048391B">
        <w:rPr>
          <w:sz w:val="24"/>
          <w:szCs w:val="24"/>
        </w:rPr>
        <w:t xml:space="preserve"> involved</w:t>
      </w:r>
      <w:r w:rsidRPr="0048391B">
        <w:rPr>
          <w:sz w:val="24"/>
          <w:szCs w:val="24"/>
        </w:rPr>
        <w:t xml:space="preserve"> makes authoritarian </w:t>
      </w:r>
      <w:r w:rsidR="00344247" w:rsidRPr="0048391B">
        <w:rPr>
          <w:sz w:val="24"/>
          <w:szCs w:val="24"/>
        </w:rPr>
        <w:t>practices</w:t>
      </w:r>
      <w:r w:rsidRPr="0048391B">
        <w:rPr>
          <w:sz w:val="24"/>
          <w:szCs w:val="24"/>
        </w:rPr>
        <w:t xml:space="preserve"> more difficult to oppose.</w:t>
      </w:r>
    </w:p>
    <w:p w14:paraId="5467BF5F" w14:textId="01E0BB34" w:rsidR="0001572E" w:rsidRPr="0048391B" w:rsidRDefault="00FB794E" w:rsidP="00F533B0">
      <w:pPr>
        <w:spacing w:after="0" w:line="480" w:lineRule="auto"/>
        <w:ind w:firstLine="720"/>
        <w:jc w:val="both"/>
        <w:rPr>
          <w:b/>
          <w:bCs/>
          <w:sz w:val="24"/>
          <w:szCs w:val="24"/>
        </w:rPr>
      </w:pPr>
      <w:r w:rsidRPr="0048391B">
        <w:rPr>
          <w:sz w:val="24"/>
          <w:szCs w:val="24"/>
        </w:rPr>
        <w:t xml:space="preserve">In this paper, </w:t>
      </w:r>
      <w:r w:rsidR="0001572E" w:rsidRPr="0048391B">
        <w:rPr>
          <w:sz w:val="24"/>
          <w:szCs w:val="24"/>
        </w:rPr>
        <w:t xml:space="preserve">I examine this </w:t>
      </w:r>
      <w:r w:rsidR="005E7190" w:rsidRPr="0048391B">
        <w:rPr>
          <w:sz w:val="24"/>
          <w:szCs w:val="24"/>
        </w:rPr>
        <w:t>dynamic</w:t>
      </w:r>
      <w:r w:rsidR="0001572E" w:rsidRPr="0048391B">
        <w:rPr>
          <w:sz w:val="24"/>
          <w:szCs w:val="24"/>
        </w:rPr>
        <w:t xml:space="preserve"> across </w:t>
      </w:r>
      <w:r w:rsidR="00C0091D">
        <w:rPr>
          <w:sz w:val="24"/>
          <w:szCs w:val="24"/>
        </w:rPr>
        <w:t>GCC</w:t>
      </w:r>
      <w:r w:rsidR="00327EB0" w:rsidRPr="0048391B">
        <w:rPr>
          <w:sz w:val="24"/>
          <w:szCs w:val="24"/>
        </w:rPr>
        <w:t xml:space="preserve"> states</w:t>
      </w:r>
      <w:r w:rsidR="00E47169" w:rsidRPr="0048391B">
        <w:rPr>
          <w:sz w:val="24"/>
          <w:szCs w:val="24"/>
        </w:rPr>
        <w:t xml:space="preserve"> with varying </w:t>
      </w:r>
      <w:r w:rsidR="00344247" w:rsidRPr="0048391B">
        <w:rPr>
          <w:sz w:val="24"/>
          <w:szCs w:val="24"/>
        </w:rPr>
        <w:t>authoritarian practices (dependent variable)</w:t>
      </w:r>
      <w:r w:rsidR="00E47169" w:rsidRPr="0048391B">
        <w:rPr>
          <w:sz w:val="24"/>
          <w:szCs w:val="24"/>
        </w:rPr>
        <w:t xml:space="preserve"> and ties to Israel</w:t>
      </w:r>
      <w:r w:rsidR="00344247" w:rsidRPr="0048391B">
        <w:rPr>
          <w:sz w:val="24"/>
          <w:szCs w:val="24"/>
        </w:rPr>
        <w:t xml:space="preserve"> (independent variable)</w:t>
      </w:r>
      <w:r w:rsidR="006F639D" w:rsidRPr="0048391B">
        <w:rPr>
          <w:sz w:val="24"/>
          <w:szCs w:val="24"/>
        </w:rPr>
        <w:t>: UAE, Bahrain</w:t>
      </w:r>
      <w:r w:rsidR="008078FA">
        <w:rPr>
          <w:sz w:val="24"/>
          <w:szCs w:val="24"/>
        </w:rPr>
        <w:t>, Saudi Arabia, and Qatar</w:t>
      </w:r>
      <w:r w:rsidR="00846137" w:rsidRPr="0048391B">
        <w:rPr>
          <w:sz w:val="24"/>
          <w:szCs w:val="24"/>
        </w:rPr>
        <w:t>. T</w:t>
      </w:r>
      <w:r w:rsidR="006F639D" w:rsidRPr="0048391B">
        <w:rPr>
          <w:sz w:val="24"/>
          <w:szCs w:val="24"/>
        </w:rPr>
        <w:t xml:space="preserve">hese countries </w:t>
      </w:r>
      <w:r w:rsidR="00BA0219" w:rsidRPr="0048391B">
        <w:rPr>
          <w:sz w:val="24"/>
          <w:szCs w:val="24"/>
        </w:rPr>
        <w:t xml:space="preserve">represent </w:t>
      </w:r>
      <w:r w:rsidR="00327EB0" w:rsidRPr="0048391B">
        <w:rPr>
          <w:sz w:val="24"/>
          <w:szCs w:val="24"/>
        </w:rPr>
        <w:t>a range</w:t>
      </w:r>
      <w:r w:rsidR="00BA0219" w:rsidRPr="0048391B">
        <w:rPr>
          <w:sz w:val="24"/>
          <w:szCs w:val="24"/>
        </w:rPr>
        <w:t xml:space="preserve"> of </w:t>
      </w:r>
      <w:r w:rsidR="00B10423" w:rsidRPr="0048391B">
        <w:rPr>
          <w:sz w:val="24"/>
          <w:szCs w:val="24"/>
        </w:rPr>
        <w:t>ties with Israel</w:t>
      </w:r>
      <w:r w:rsidR="00846137" w:rsidRPr="0048391B">
        <w:rPr>
          <w:sz w:val="24"/>
          <w:szCs w:val="24"/>
        </w:rPr>
        <w:t xml:space="preserve">, from </w:t>
      </w:r>
      <w:r w:rsidR="001F64D2" w:rsidRPr="0048391B">
        <w:rPr>
          <w:sz w:val="24"/>
          <w:szCs w:val="24"/>
        </w:rPr>
        <w:t xml:space="preserve">limited </w:t>
      </w:r>
      <w:r w:rsidR="001F64D2" w:rsidRPr="0048391B">
        <w:rPr>
          <w:sz w:val="24"/>
          <w:szCs w:val="24"/>
        </w:rPr>
        <w:lastRenderedPageBreak/>
        <w:t>normalization on the part of Qatar</w:t>
      </w:r>
      <w:r w:rsidR="00E72D30">
        <w:rPr>
          <w:sz w:val="24"/>
          <w:szCs w:val="24"/>
        </w:rPr>
        <w:t xml:space="preserve">, </w:t>
      </w:r>
      <w:r w:rsidR="00B10423" w:rsidRPr="0048391B">
        <w:rPr>
          <w:sz w:val="24"/>
          <w:szCs w:val="24"/>
        </w:rPr>
        <w:t>less public but significant forms of normalization on the part of Saudi Arabia</w:t>
      </w:r>
      <w:r w:rsidR="00E72D30">
        <w:rPr>
          <w:sz w:val="24"/>
          <w:szCs w:val="24"/>
        </w:rPr>
        <w:t xml:space="preserve">, </w:t>
      </w:r>
      <w:r w:rsidR="006F639D" w:rsidRPr="0048391B">
        <w:rPr>
          <w:sz w:val="24"/>
          <w:szCs w:val="24"/>
        </w:rPr>
        <w:t>and official peace agreements with Israel on the part of Bahrain and the UAE</w:t>
      </w:r>
      <w:r w:rsidR="001F64D2" w:rsidRPr="0048391B">
        <w:rPr>
          <w:sz w:val="24"/>
          <w:szCs w:val="24"/>
        </w:rPr>
        <w:t>.</w:t>
      </w:r>
      <w:r w:rsidR="006D16F4" w:rsidRPr="0048391B">
        <w:rPr>
          <w:rStyle w:val="FootnoteReference"/>
          <w:sz w:val="24"/>
          <w:szCs w:val="24"/>
        </w:rPr>
        <w:footnoteReference w:id="12"/>
      </w:r>
      <w:r w:rsidR="007D6C13" w:rsidRPr="0048391B">
        <w:rPr>
          <w:sz w:val="24"/>
          <w:szCs w:val="24"/>
        </w:rPr>
        <w:t xml:space="preserve"> </w:t>
      </w:r>
      <w:r w:rsidR="00846137" w:rsidRPr="0048391B">
        <w:rPr>
          <w:sz w:val="24"/>
          <w:szCs w:val="24"/>
        </w:rPr>
        <w:t>Furthermore,</w:t>
      </w:r>
      <w:r w:rsidR="001F64D2" w:rsidRPr="0048391B">
        <w:rPr>
          <w:sz w:val="24"/>
          <w:szCs w:val="24"/>
        </w:rPr>
        <w:t xml:space="preserve"> </w:t>
      </w:r>
      <w:r w:rsidR="006F639D" w:rsidRPr="0048391B">
        <w:rPr>
          <w:sz w:val="24"/>
          <w:szCs w:val="24"/>
        </w:rPr>
        <w:t xml:space="preserve">these countries </w:t>
      </w:r>
      <w:r w:rsidRPr="0048391B">
        <w:rPr>
          <w:sz w:val="24"/>
          <w:szCs w:val="24"/>
        </w:rPr>
        <w:t>represent the</w:t>
      </w:r>
      <w:r w:rsidR="00EE5451" w:rsidRPr="0048391B">
        <w:rPr>
          <w:sz w:val="24"/>
          <w:szCs w:val="24"/>
        </w:rPr>
        <w:t xml:space="preserve"> </w:t>
      </w:r>
      <w:r w:rsidR="00A40DB5" w:rsidRPr="0048391B">
        <w:rPr>
          <w:sz w:val="24"/>
          <w:szCs w:val="24"/>
        </w:rPr>
        <w:t xml:space="preserve">ideological </w:t>
      </w:r>
      <w:r w:rsidR="00EE5451" w:rsidRPr="0048391B">
        <w:rPr>
          <w:sz w:val="24"/>
          <w:szCs w:val="24"/>
        </w:rPr>
        <w:t>divide</w:t>
      </w:r>
      <w:r w:rsidRPr="0048391B">
        <w:rPr>
          <w:sz w:val="24"/>
          <w:szCs w:val="24"/>
        </w:rPr>
        <w:t xml:space="preserve"> </w:t>
      </w:r>
      <w:r w:rsidR="0086750F">
        <w:rPr>
          <w:sz w:val="24"/>
          <w:szCs w:val="24"/>
        </w:rPr>
        <w:t>i</w:t>
      </w:r>
      <w:r w:rsidRPr="0048391B">
        <w:rPr>
          <w:sz w:val="24"/>
          <w:szCs w:val="24"/>
        </w:rPr>
        <w:t xml:space="preserve">n the region </w:t>
      </w:r>
      <w:r w:rsidR="0086750F">
        <w:rPr>
          <w:sz w:val="24"/>
          <w:szCs w:val="24"/>
        </w:rPr>
        <w:t xml:space="preserve">(on questions of democracy and </w:t>
      </w:r>
      <w:r w:rsidRPr="0048391B">
        <w:rPr>
          <w:sz w:val="24"/>
          <w:szCs w:val="24"/>
        </w:rPr>
        <w:t>foreign policy</w:t>
      </w:r>
      <w:r w:rsidR="0086750F">
        <w:rPr>
          <w:sz w:val="24"/>
          <w:szCs w:val="24"/>
        </w:rPr>
        <w:t>)</w:t>
      </w:r>
      <w:r w:rsidR="00E47169" w:rsidRPr="0048391B">
        <w:rPr>
          <w:sz w:val="24"/>
          <w:szCs w:val="24"/>
        </w:rPr>
        <w:t>, as well as internal conditions and space for civil society.</w:t>
      </w:r>
      <w:r w:rsidR="000F5CD6" w:rsidRPr="0048391B">
        <w:rPr>
          <w:rStyle w:val="FootnoteReference"/>
          <w:sz w:val="24"/>
          <w:szCs w:val="24"/>
        </w:rPr>
        <w:footnoteReference w:id="13"/>
      </w:r>
      <w:r w:rsidR="001F64D2" w:rsidRPr="0048391B">
        <w:rPr>
          <w:sz w:val="24"/>
          <w:szCs w:val="24"/>
        </w:rPr>
        <w:t xml:space="preserve"> </w:t>
      </w:r>
      <w:r w:rsidR="00327EB0" w:rsidRPr="0048391B">
        <w:rPr>
          <w:sz w:val="24"/>
          <w:szCs w:val="24"/>
        </w:rPr>
        <w:t xml:space="preserve">Thus, </w:t>
      </w:r>
      <w:r w:rsidRPr="0048391B">
        <w:rPr>
          <w:sz w:val="24"/>
          <w:szCs w:val="24"/>
        </w:rPr>
        <w:t xml:space="preserve">including evidence from </w:t>
      </w:r>
      <w:r w:rsidR="004264DF">
        <w:rPr>
          <w:sz w:val="24"/>
          <w:szCs w:val="24"/>
        </w:rPr>
        <w:t>all four</w:t>
      </w:r>
      <w:r w:rsidRPr="0048391B">
        <w:rPr>
          <w:sz w:val="24"/>
          <w:szCs w:val="24"/>
        </w:rPr>
        <w:t xml:space="preserve"> helps to show how </w:t>
      </w:r>
      <w:r w:rsidR="00C25101">
        <w:rPr>
          <w:sz w:val="24"/>
          <w:szCs w:val="24"/>
        </w:rPr>
        <w:t xml:space="preserve">such </w:t>
      </w:r>
      <w:r w:rsidRPr="0048391B">
        <w:rPr>
          <w:sz w:val="24"/>
          <w:szCs w:val="24"/>
        </w:rPr>
        <w:t>peace promotes authoritarian practices</w:t>
      </w:r>
      <w:r w:rsidR="00BA0219" w:rsidRPr="0048391B">
        <w:rPr>
          <w:sz w:val="24"/>
          <w:szCs w:val="24"/>
        </w:rPr>
        <w:t>, to varying degrees, in spite of the foreign policy positions</w:t>
      </w:r>
      <w:r w:rsidR="009B3964" w:rsidRPr="0048391B">
        <w:rPr>
          <w:sz w:val="24"/>
          <w:szCs w:val="24"/>
        </w:rPr>
        <w:t xml:space="preserve"> or internal dynamics</w:t>
      </w:r>
      <w:r w:rsidR="00BA0219" w:rsidRPr="0048391B">
        <w:rPr>
          <w:sz w:val="24"/>
          <w:szCs w:val="24"/>
        </w:rPr>
        <w:t xml:space="preserve"> of any given state. </w:t>
      </w:r>
    </w:p>
    <w:p w14:paraId="5A64E412" w14:textId="77777777" w:rsidR="00315E89" w:rsidRPr="0048391B" w:rsidRDefault="00315E89" w:rsidP="00DC7109">
      <w:pPr>
        <w:spacing w:after="0" w:line="480" w:lineRule="auto"/>
        <w:ind w:left="720"/>
        <w:rPr>
          <w:sz w:val="24"/>
          <w:szCs w:val="24"/>
        </w:rPr>
      </w:pPr>
    </w:p>
    <w:p w14:paraId="6B8E6013" w14:textId="7820FA2F" w:rsidR="00315E89" w:rsidRPr="0048391B" w:rsidRDefault="00B30371" w:rsidP="00DC7109">
      <w:pPr>
        <w:spacing w:after="0" w:line="480" w:lineRule="auto"/>
        <w:rPr>
          <w:b/>
          <w:bCs/>
          <w:sz w:val="24"/>
          <w:szCs w:val="24"/>
        </w:rPr>
      </w:pPr>
      <w:r w:rsidRPr="0048391B">
        <w:rPr>
          <w:b/>
          <w:bCs/>
          <w:sz w:val="24"/>
          <w:szCs w:val="24"/>
        </w:rPr>
        <w:t>Reinforcing and Promoting Authoritarianism</w:t>
      </w:r>
    </w:p>
    <w:p w14:paraId="1A08646D" w14:textId="59A0801D" w:rsidR="00AA0C8B" w:rsidRPr="0048391B" w:rsidRDefault="00315E89" w:rsidP="006D16F4">
      <w:pPr>
        <w:spacing w:after="0" w:line="480" w:lineRule="auto"/>
        <w:jc w:val="both"/>
        <w:rPr>
          <w:sz w:val="24"/>
          <w:szCs w:val="24"/>
        </w:rPr>
      </w:pPr>
      <w:r w:rsidRPr="0048391B">
        <w:rPr>
          <w:sz w:val="24"/>
          <w:szCs w:val="24"/>
        </w:rPr>
        <w:tab/>
      </w:r>
      <w:r w:rsidR="00B30371" w:rsidRPr="0048391B">
        <w:rPr>
          <w:sz w:val="24"/>
          <w:szCs w:val="24"/>
        </w:rPr>
        <w:t>R</w:t>
      </w:r>
      <w:r w:rsidR="00F82DBA" w:rsidRPr="0048391B">
        <w:rPr>
          <w:sz w:val="24"/>
          <w:szCs w:val="24"/>
        </w:rPr>
        <w:t xml:space="preserve">esearch on authoritarianism and its sources </w:t>
      </w:r>
      <w:r w:rsidR="00B30371" w:rsidRPr="0048391B">
        <w:rPr>
          <w:sz w:val="24"/>
          <w:szCs w:val="24"/>
        </w:rPr>
        <w:t xml:space="preserve">shows how </w:t>
      </w:r>
      <w:r w:rsidR="00EB14C5" w:rsidRPr="0048391B">
        <w:rPr>
          <w:sz w:val="24"/>
          <w:szCs w:val="24"/>
        </w:rPr>
        <w:t>regimes</w:t>
      </w:r>
      <w:r w:rsidR="00B30371" w:rsidRPr="0048391B">
        <w:rPr>
          <w:sz w:val="24"/>
          <w:szCs w:val="24"/>
        </w:rPr>
        <w:t xml:space="preserve"> today</w:t>
      </w:r>
      <w:r w:rsidR="00EB14C5" w:rsidRPr="0048391B">
        <w:rPr>
          <w:sz w:val="24"/>
          <w:szCs w:val="24"/>
        </w:rPr>
        <w:t xml:space="preserve"> are engaged in “innovations,” combining repression, cooptation, and legitimation </w:t>
      </w:r>
      <w:r w:rsidR="00464FD9" w:rsidRPr="0048391B">
        <w:rPr>
          <w:sz w:val="24"/>
          <w:szCs w:val="24"/>
        </w:rPr>
        <w:t>strategies in new ways</w:t>
      </w:r>
      <w:r w:rsidR="001C45F8">
        <w:rPr>
          <w:sz w:val="24"/>
          <w:szCs w:val="24"/>
        </w:rPr>
        <w:t xml:space="preserve">. </w:t>
      </w:r>
      <w:r w:rsidR="00B4066F">
        <w:rPr>
          <w:sz w:val="24"/>
          <w:szCs w:val="24"/>
        </w:rPr>
        <w:t>These are</w:t>
      </w:r>
      <w:r w:rsidR="00464FD9" w:rsidRPr="0048391B">
        <w:rPr>
          <w:sz w:val="24"/>
          <w:szCs w:val="24"/>
        </w:rPr>
        <w:t xml:space="preserve"> gained through</w:t>
      </w:r>
      <w:r w:rsidR="00785401" w:rsidRPr="0048391B">
        <w:rPr>
          <w:sz w:val="24"/>
          <w:szCs w:val="24"/>
        </w:rPr>
        <w:t xml:space="preserve"> </w:t>
      </w:r>
      <w:r w:rsidR="001E3AFF" w:rsidRPr="0048391B">
        <w:rPr>
          <w:sz w:val="24"/>
          <w:szCs w:val="24"/>
        </w:rPr>
        <w:t>linkages and learning</w:t>
      </w:r>
      <w:r w:rsidR="00B30371" w:rsidRPr="0048391B">
        <w:rPr>
          <w:sz w:val="24"/>
          <w:szCs w:val="24"/>
        </w:rPr>
        <w:t xml:space="preserve"> between </w:t>
      </w:r>
      <w:r w:rsidR="006D16F4" w:rsidRPr="0048391B">
        <w:rPr>
          <w:sz w:val="24"/>
          <w:szCs w:val="24"/>
        </w:rPr>
        <w:t xml:space="preserve">authoritarian </w:t>
      </w:r>
      <w:r w:rsidR="00B30371" w:rsidRPr="0048391B">
        <w:rPr>
          <w:sz w:val="24"/>
          <w:szCs w:val="24"/>
        </w:rPr>
        <w:t>states</w:t>
      </w:r>
      <w:r w:rsidR="001C45F8">
        <w:rPr>
          <w:sz w:val="24"/>
          <w:szCs w:val="24"/>
        </w:rPr>
        <w:t xml:space="preserve"> and vary in intentionality.</w:t>
      </w:r>
      <w:r w:rsidR="001E3AFF" w:rsidRPr="0048391B">
        <w:rPr>
          <w:rStyle w:val="FootnoteReference"/>
          <w:sz w:val="24"/>
          <w:szCs w:val="24"/>
        </w:rPr>
        <w:footnoteReference w:id="14"/>
      </w:r>
      <w:r w:rsidR="00464FD9" w:rsidRPr="0048391B">
        <w:rPr>
          <w:sz w:val="24"/>
          <w:szCs w:val="24"/>
        </w:rPr>
        <w:t xml:space="preserve"> </w:t>
      </w:r>
      <w:r w:rsidR="001C45F8">
        <w:rPr>
          <w:sz w:val="24"/>
          <w:szCs w:val="24"/>
        </w:rPr>
        <w:t>Some</w:t>
      </w:r>
      <w:r w:rsidR="00B30371" w:rsidRPr="0048391B">
        <w:rPr>
          <w:sz w:val="24"/>
          <w:szCs w:val="24"/>
        </w:rPr>
        <w:t xml:space="preserve"> </w:t>
      </w:r>
      <w:r w:rsidR="00846137" w:rsidRPr="0048391B">
        <w:rPr>
          <w:sz w:val="24"/>
          <w:szCs w:val="24"/>
        </w:rPr>
        <w:t xml:space="preserve">exist </w:t>
      </w:r>
      <w:r w:rsidR="00B30371" w:rsidRPr="0048391B">
        <w:rPr>
          <w:sz w:val="24"/>
          <w:szCs w:val="24"/>
        </w:rPr>
        <w:t>between states actively promot</w:t>
      </w:r>
      <w:r w:rsidR="00B4066F">
        <w:rPr>
          <w:sz w:val="24"/>
          <w:szCs w:val="24"/>
        </w:rPr>
        <w:t>ing</w:t>
      </w:r>
      <w:r w:rsidR="00B30371" w:rsidRPr="0048391B">
        <w:rPr>
          <w:sz w:val="24"/>
          <w:szCs w:val="24"/>
        </w:rPr>
        <w:t xml:space="preserve"> authoritarianism, while others merely increase </w:t>
      </w:r>
      <w:r w:rsidR="00BD1863">
        <w:rPr>
          <w:sz w:val="24"/>
          <w:szCs w:val="24"/>
        </w:rPr>
        <w:t xml:space="preserve">repressive capacity </w:t>
      </w:r>
      <w:r w:rsidR="00B30371" w:rsidRPr="0048391B">
        <w:rPr>
          <w:sz w:val="24"/>
          <w:szCs w:val="24"/>
        </w:rPr>
        <w:t>as a side effect of interest alignment between two</w:t>
      </w:r>
      <w:r w:rsidR="000158CC">
        <w:rPr>
          <w:sz w:val="24"/>
          <w:szCs w:val="24"/>
        </w:rPr>
        <w:t xml:space="preserve"> </w:t>
      </w:r>
      <w:r w:rsidR="00B30371" w:rsidRPr="0048391B">
        <w:rPr>
          <w:sz w:val="24"/>
          <w:szCs w:val="24"/>
        </w:rPr>
        <w:t>undemocratic</w:t>
      </w:r>
      <w:r w:rsidR="00B4066F">
        <w:rPr>
          <w:sz w:val="24"/>
          <w:szCs w:val="24"/>
        </w:rPr>
        <w:t xml:space="preserve"> </w:t>
      </w:r>
      <w:r w:rsidR="00B30371" w:rsidRPr="0048391B">
        <w:rPr>
          <w:sz w:val="24"/>
          <w:szCs w:val="24"/>
        </w:rPr>
        <w:t>countries.</w:t>
      </w:r>
      <w:r w:rsidR="00F82DBA" w:rsidRPr="0048391B">
        <w:rPr>
          <w:rStyle w:val="FootnoteReference"/>
          <w:sz w:val="24"/>
          <w:szCs w:val="24"/>
        </w:rPr>
        <w:footnoteReference w:id="15"/>
      </w:r>
      <w:r w:rsidR="00AF46A8" w:rsidRPr="0048391B">
        <w:rPr>
          <w:sz w:val="24"/>
          <w:szCs w:val="24"/>
        </w:rPr>
        <w:t xml:space="preserve"> Much of this research specifically focuses on </w:t>
      </w:r>
      <w:r w:rsidR="009B3964" w:rsidRPr="0048391B">
        <w:rPr>
          <w:sz w:val="24"/>
          <w:szCs w:val="24"/>
        </w:rPr>
        <w:t>linkages between</w:t>
      </w:r>
      <w:r w:rsidR="000158CC">
        <w:rPr>
          <w:sz w:val="24"/>
          <w:szCs w:val="24"/>
        </w:rPr>
        <w:t xml:space="preserve"> global </w:t>
      </w:r>
      <w:r w:rsidR="00C90161">
        <w:rPr>
          <w:sz w:val="24"/>
          <w:szCs w:val="24"/>
        </w:rPr>
        <w:t>s</w:t>
      </w:r>
      <w:r w:rsidR="000158CC">
        <w:rPr>
          <w:sz w:val="24"/>
          <w:szCs w:val="24"/>
        </w:rPr>
        <w:t>outh</w:t>
      </w:r>
      <w:r w:rsidR="009B3964" w:rsidRPr="0048391B">
        <w:rPr>
          <w:sz w:val="24"/>
          <w:szCs w:val="24"/>
        </w:rPr>
        <w:t xml:space="preserve"> countries</w:t>
      </w:r>
      <w:r w:rsidR="006D16F4" w:rsidRPr="0048391B">
        <w:rPr>
          <w:sz w:val="24"/>
          <w:szCs w:val="24"/>
        </w:rPr>
        <w:t xml:space="preserve"> on one hand, and </w:t>
      </w:r>
      <w:r w:rsidR="00AF46A8" w:rsidRPr="0048391B">
        <w:rPr>
          <w:sz w:val="24"/>
          <w:szCs w:val="24"/>
        </w:rPr>
        <w:t>Russia and China</w:t>
      </w:r>
      <w:r w:rsidR="006D16F4" w:rsidRPr="0048391B">
        <w:rPr>
          <w:sz w:val="24"/>
          <w:szCs w:val="24"/>
        </w:rPr>
        <w:t xml:space="preserve"> on the other</w:t>
      </w:r>
      <w:r w:rsidR="00AF46A8" w:rsidRPr="0048391B">
        <w:rPr>
          <w:sz w:val="24"/>
          <w:szCs w:val="24"/>
        </w:rPr>
        <w:t>.</w:t>
      </w:r>
      <w:r w:rsidR="009814D1" w:rsidRPr="0048391B">
        <w:rPr>
          <w:rStyle w:val="FootnoteReference"/>
          <w:sz w:val="24"/>
          <w:szCs w:val="24"/>
        </w:rPr>
        <w:footnoteReference w:id="16"/>
      </w:r>
    </w:p>
    <w:p w14:paraId="38AB4F02" w14:textId="0E08E205" w:rsidR="00F82DBA" w:rsidRPr="0048391B" w:rsidRDefault="001521C8" w:rsidP="001521C8">
      <w:pPr>
        <w:spacing w:after="0" w:line="480" w:lineRule="auto"/>
        <w:jc w:val="both"/>
        <w:rPr>
          <w:sz w:val="24"/>
          <w:szCs w:val="24"/>
        </w:rPr>
      </w:pPr>
      <w:r w:rsidRPr="0048391B">
        <w:rPr>
          <w:sz w:val="24"/>
          <w:szCs w:val="24"/>
        </w:rPr>
        <w:lastRenderedPageBreak/>
        <w:tab/>
      </w:r>
      <w:r w:rsidR="00C90161">
        <w:rPr>
          <w:sz w:val="24"/>
          <w:szCs w:val="24"/>
        </w:rPr>
        <w:t>However, a</w:t>
      </w:r>
      <w:r w:rsidR="008963C0">
        <w:rPr>
          <w:sz w:val="24"/>
          <w:szCs w:val="24"/>
        </w:rPr>
        <w:t>n</w:t>
      </w:r>
      <w:r w:rsidRPr="0048391B">
        <w:rPr>
          <w:sz w:val="24"/>
          <w:szCs w:val="24"/>
        </w:rPr>
        <w:t>other vein of research notes</w:t>
      </w:r>
      <w:r w:rsidR="00F82DBA" w:rsidRPr="0048391B">
        <w:rPr>
          <w:sz w:val="24"/>
          <w:szCs w:val="24"/>
        </w:rPr>
        <w:t xml:space="preserve"> that a</w:t>
      </w:r>
      <w:r w:rsidR="009B3964" w:rsidRPr="0048391B">
        <w:rPr>
          <w:sz w:val="24"/>
          <w:szCs w:val="24"/>
        </w:rPr>
        <w:t>utocratic innovations often also i</w:t>
      </w:r>
      <w:r w:rsidR="00846137" w:rsidRPr="0048391B">
        <w:rPr>
          <w:sz w:val="24"/>
          <w:szCs w:val="24"/>
        </w:rPr>
        <w:t>mplicate democratic states</w:t>
      </w:r>
      <w:r w:rsidR="00F82DBA" w:rsidRPr="0048391B">
        <w:rPr>
          <w:sz w:val="24"/>
          <w:szCs w:val="24"/>
        </w:rPr>
        <w:t xml:space="preserve">. </w:t>
      </w:r>
      <w:r w:rsidR="007D6524" w:rsidRPr="0048391B">
        <w:rPr>
          <w:sz w:val="24"/>
          <w:szCs w:val="24"/>
        </w:rPr>
        <w:t xml:space="preserve">Morgenbesser (2020) highlights how authoritarian strategies </w:t>
      </w:r>
      <w:r w:rsidR="00603A36">
        <w:rPr>
          <w:sz w:val="24"/>
          <w:szCs w:val="24"/>
        </w:rPr>
        <w:t>may have</w:t>
      </w:r>
      <w:r w:rsidR="007D6524" w:rsidRPr="0048391B">
        <w:rPr>
          <w:sz w:val="24"/>
          <w:szCs w:val="24"/>
        </w:rPr>
        <w:t xml:space="preserve"> democratic precedents, designed to suppress civil society and mobilization while mimicking “horizontal and vertical accountability</w:t>
      </w:r>
      <w:r w:rsidR="007D6524" w:rsidRPr="002721E3">
        <w:rPr>
          <w:sz w:val="24"/>
          <w:szCs w:val="24"/>
        </w:rPr>
        <w:t>.”</w:t>
      </w:r>
      <w:r w:rsidR="007D6524" w:rsidRPr="002721E3">
        <w:rPr>
          <w:rStyle w:val="FootnoteReference"/>
          <w:sz w:val="24"/>
          <w:szCs w:val="24"/>
        </w:rPr>
        <w:footnoteReference w:id="17"/>
      </w:r>
      <w:r w:rsidR="007D6524" w:rsidRPr="002721E3">
        <w:rPr>
          <w:sz w:val="24"/>
          <w:szCs w:val="24"/>
        </w:rPr>
        <w:t xml:space="preserve"> </w:t>
      </w:r>
      <w:r w:rsidR="007D6524" w:rsidRPr="0048391B">
        <w:rPr>
          <w:sz w:val="24"/>
          <w:szCs w:val="24"/>
        </w:rPr>
        <w:t>He notes that this “undignified track record is indicative of how many techniques do not so easily discriminate between autocratic and democratic regimes.”</w:t>
      </w:r>
      <w:r w:rsidR="007D6524" w:rsidRPr="0048391B">
        <w:rPr>
          <w:rStyle w:val="FootnoteReference"/>
          <w:sz w:val="24"/>
          <w:szCs w:val="24"/>
        </w:rPr>
        <w:footnoteReference w:id="18"/>
      </w:r>
      <w:r w:rsidR="007D6524" w:rsidRPr="0048391B">
        <w:rPr>
          <w:sz w:val="24"/>
          <w:szCs w:val="24"/>
        </w:rPr>
        <w:t xml:space="preserve"> Moreover, </w:t>
      </w:r>
      <w:r w:rsidR="00603A36">
        <w:rPr>
          <w:sz w:val="24"/>
          <w:szCs w:val="24"/>
        </w:rPr>
        <w:t>democracies</w:t>
      </w:r>
      <w:r w:rsidR="007D6524" w:rsidRPr="0048391B">
        <w:rPr>
          <w:sz w:val="24"/>
          <w:szCs w:val="24"/>
        </w:rPr>
        <w:t xml:space="preserve"> have been implicated in actively reinforcing authoritarianism in certain cases.</w:t>
      </w:r>
      <w:r w:rsidR="007D6524" w:rsidRPr="0048391B">
        <w:rPr>
          <w:rStyle w:val="FootnoteReference"/>
          <w:sz w:val="24"/>
          <w:szCs w:val="24"/>
        </w:rPr>
        <w:footnoteReference w:id="19"/>
      </w:r>
      <w:r w:rsidR="00344247" w:rsidRPr="0048391B">
        <w:rPr>
          <w:sz w:val="24"/>
          <w:szCs w:val="24"/>
        </w:rPr>
        <w:t xml:space="preserve"> I</w:t>
      </w:r>
      <w:r w:rsidRPr="0048391B">
        <w:rPr>
          <w:sz w:val="24"/>
          <w:szCs w:val="24"/>
        </w:rPr>
        <w:t>n this paper, I</w:t>
      </w:r>
      <w:r w:rsidR="00344247" w:rsidRPr="0048391B">
        <w:rPr>
          <w:sz w:val="24"/>
          <w:szCs w:val="24"/>
        </w:rPr>
        <w:t xml:space="preserve"> argue that Israel, </w:t>
      </w:r>
      <w:r w:rsidR="000B7F17" w:rsidRPr="0048391B">
        <w:rPr>
          <w:sz w:val="24"/>
          <w:szCs w:val="24"/>
        </w:rPr>
        <w:t xml:space="preserve">defined as a democracy by measures in the political science literature, is one such </w:t>
      </w:r>
      <w:r w:rsidR="00603A36">
        <w:rPr>
          <w:sz w:val="24"/>
          <w:szCs w:val="24"/>
        </w:rPr>
        <w:t xml:space="preserve">(often-missed) </w:t>
      </w:r>
      <w:r w:rsidR="000B7F17" w:rsidRPr="0048391B">
        <w:rPr>
          <w:sz w:val="24"/>
          <w:szCs w:val="24"/>
        </w:rPr>
        <w:t>case.</w:t>
      </w:r>
      <w:r w:rsidR="001C45F8">
        <w:rPr>
          <w:rStyle w:val="FootnoteReference"/>
          <w:sz w:val="24"/>
          <w:szCs w:val="24"/>
        </w:rPr>
        <w:footnoteReference w:id="20"/>
      </w:r>
    </w:p>
    <w:p w14:paraId="110D1DBF" w14:textId="26A8BB69" w:rsidR="009814D1" w:rsidRPr="0048391B" w:rsidRDefault="00AA0C8B" w:rsidP="00652CFF">
      <w:pPr>
        <w:spacing w:after="0" w:line="480" w:lineRule="auto"/>
        <w:jc w:val="both"/>
        <w:rPr>
          <w:sz w:val="24"/>
          <w:szCs w:val="24"/>
        </w:rPr>
      </w:pPr>
      <w:r w:rsidRPr="0048391B">
        <w:rPr>
          <w:sz w:val="24"/>
          <w:szCs w:val="24"/>
        </w:rPr>
        <w:tab/>
      </w:r>
      <w:r w:rsidR="007D6524" w:rsidRPr="0048391B">
        <w:rPr>
          <w:sz w:val="24"/>
          <w:szCs w:val="24"/>
        </w:rPr>
        <w:t>Some researchers argue, howev</w:t>
      </w:r>
      <w:r w:rsidR="00846137" w:rsidRPr="0048391B">
        <w:rPr>
          <w:sz w:val="24"/>
          <w:szCs w:val="24"/>
        </w:rPr>
        <w:t>er, that these regime-</w:t>
      </w:r>
      <w:r w:rsidR="007D6524" w:rsidRPr="0048391B">
        <w:rPr>
          <w:sz w:val="24"/>
          <w:szCs w:val="24"/>
        </w:rPr>
        <w:t>spe</w:t>
      </w:r>
      <w:r w:rsidR="00652CFF" w:rsidRPr="0048391B">
        <w:rPr>
          <w:sz w:val="24"/>
          <w:szCs w:val="24"/>
        </w:rPr>
        <w:t xml:space="preserve">cific approaches obfuscate </w:t>
      </w:r>
      <w:r w:rsidR="007D6524" w:rsidRPr="0048391B">
        <w:rPr>
          <w:sz w:val="24"/>
          <w:szCs w:val="24"/>
        </w:rPr>
        <w:t>modern manifestations of authoritarian power and its sources. Glasius</w:t>
      </w:r>
      <w:r w:rsidR="0071112C">
        <w:rPr>
          <w:sz w:val="24"/>
          <w:szCs w:val="24"/>
        </w:rPr>
        <w:t xml:space="preserve"> </w:t>
      </w:r>
      <w:r w:rsidR="007D6524" w:rsidRPr="0048391B">
        <w:rPr>
          <w:sz w:val="24"/>
          <w:szCs w:val="24"/>
        </w:rPr>
        <w:t xml:space="preserve">argues that rather than focus on authoritarian regimes, one should focus on authoritarian </w:t>
      </w:r>
      <w:r w:rsidR="007D6524" w:rsidRPr="0048391B">
        <w:rPr>
          <w:i/>
          <w:iCs/>
          <w:sz w:val="24"/>
          <w:szCs w:val="24"/>
        </w:rPr>
        <w:t>practices</w:t>
      </w:r>
      <w:r w:rsidR="007D6524" w:rsidRPr="0048391B">
        <w:rPr>
          <w:sz w:val="24"/>
          <w:szCs w:val="24"/>
        </w:rPr>
        <w:t xml:space="preserve">. Such a focus helps to differentiate between illiberal practices, which may </w:t>
      </w:r>
      <w:r w:rsidR="00AE3C78">
        <w:rPr>
          <w:sz w:val="24"/>
          <w:szCs w:val="24"/>
        </w:rPr>
        <w:t>also e</w:t>
      </w:r>
      <w:r w:rsidR="007D6524" w:rsidRPr="0048391B">
        <w:rPr>
          <w:sz w:val="24"/>
          <w:szCs w:val="24"/>
        </w:rPr>
        <w:t>merge in democratic contexts, from practices which actively sabotage accountability by means of “secrecy, disinformation, and disabling voice.”</w:t>
      </w:r>
      <w:r w:rsidR="007D6524" w:rsidRPr="0048391B">
        <w:rPr>
          <w:rStyle w:val="FootnoteReference"/>
          <w:sz w:val="24"/>
          <w:szCs w:val="24"/>
        </w:rPr>
        <w:footnoteReference w:id="21"/>
      </w:r>
      <w:r w:rsidR="007D6524" w:rsidRPr="0048391B">
        <w:rPr>
          <w:sz w:val="24"/>
          <w:szCs w:val="24"/>
        </w:rPr>
        <w:t xml:space="preserve"> </w:t>
      </w:r>
    </w:p>
    <w:p w14:paraId="3A32CD81" w14:textId="20BE06A7" w:rsidR="002C5520" w:rsidRPr="0048391B" w:rsidRDefault="00770795" w:rsidP="00F4765B">
      <w:pPr>
        <w:spacing w:after="0" w:line="480" w:lineRule="auto"/>
        <w:ind w:firstLine="720"/>
        <w:jc w:val="both"/>
        <w:rPr>
          <w:sz w:val="24"/>
          <w:szCs w:val="24"/>
        </w:rPr>
      </w:pPr>
      <w:r>
        <w:rPr>
          <w:sz w:val="24"/>
          <w:szCs w:val="24"/>
        </w:rPr>
        <w:t>Bu</w:t>
      </w:r>
      <w:r w:rsidR="001B6FD6" w:rsidRPr="0048391B">
        <w:rPr>
          <w:sz w:val="24"/>
          <w:szCs w:val="24"/>
        </w:rPr>
        <w:t xml:space="preserve">ilding off </w:t>
      </w:r>
      <w:r w:rsidR="0096307A" w:rsidRPr="0048391B">
        <w:rPr>
          <w:sz w:val="24"/>
          <w:szCs w:val="24"/>
        </w:rPr>
        <w:t xml:space="preserve">this work, </w:t>
      </w:r>
      <w:r w:rsidR="001B6FD6" w:rsidRPr="0048391B">
        <w:rPr>
          <w:sz w:val="24"/>
          <w:szCs w:val="24"/>
        </w:rPr>
        <w:t>Jenns &amp; Schuetze (2020) make a crucial intervention</w:t>
      </w:r>
      <w:r w:rsidR="0096307A" w:rsidRPr="0048391B">
        <w:rPr>
          <w:sz w:val="24"/>
          <w:szCs w:val="24"/>
        </w:rPr>
        <w:t xml:space="preserve">. </w:t>
      </w:r>
      <w:r w:rsidR="00846137" w:rsidRPr="0048391B">
        <w:rPr>
          <w:sz w:val="24"/>
          <w:szCs w:val="24"/>
        </w:rPr>
        <w:t>They</w:t>
      </w:r>
      <w:r w:rsidR="0096307A" w:rsidRPr="0048391B">
        <w:rPr>
          <w:sz w:val="24"/>
          <w:szCs w:val="24"/>
        </w:rPr>
        <w:t xml:space="preserve"> define </w:t>
      </w:r>
      <w:r w:rsidR="00AD18DE">
        <w:rPr>
          <w:sz w:val="24"/>
          <w:szCs w:val="24"/>
        </w:rPr>
        <w:t>authoritarian</w:t>
      </w:r>
      <w:r w:rsidR="0096307A" w:rsidRPr="0048391B">
        <w:rPr>
          <w:sz w:val="24"/>
          <w:szCs w:val="24"/>
        </w:rPr>
        <w:t xml:space="preserve"> practices as “preventing (possibilities for) dissent, rendering deeply political </w:t>
      </w:r>
      <w:r w:rsidR="0096307A" w:rsidRPr="0048391B">
        <w:rPr>
          <w:sz w:val="24"/>
          <w:szCs w:val="24"/>
        </w:rPr>
        <w:lastRenderedPageBreak/>
        <w:t>questions into matters of seemingly only technical concern, and re</w:t>
      </w:r>
      <w:r w:rsidR="007547AC" w:rsidRPr="0048391B">
        <w:rPr>
          <w:sz w:val="24"/>
          <w:szCs w:val="24"/>
        </w:rPr>
        <w:t>pressing oppositional activism.”</w:t>
      </w:r>
      <w:r w:rsidR="00652CFF" w:rsidRPr="0048391B">
        <w:rPr>
          <w:rStyle w:val="FootnoteReference"/>
          <w:sz w:val="24"/>
          <w:szCs w:val="24"/>
        </w:rPr>
        <w:footnoteReference w:id="22"/>
      </w:r>
      <w:r w:rsidR="003B4E0D">
        <w:rPr>
          <w:sz w:val="24"/>
          <w:szCs w:val="24"/>
        </w:rPr>
        <w:t xml:space="preserve"> T</w:t>
      </w:r>
      <w:r w:rsidR="0096307A" w:rsidRPr="0048391B">
        <w:rPr>
          <w:sz w:val="24"/>
          <w:szCs w:val="24"/>
        </w:rPr>
        <w:t xml:space="preserve">hey introduce this in the context of what they call the “transregional authoritarian logistics space” </w:t>
      </w:r>
      <w:r w:rsidR="003B4E0D">
        <w:rPr>
          <w:sz w:val="24"/>
          <w:szCs w:val="24"/>
        </w:rPr>
        <w:t>(</w:t>
      </w:r>
      <w:r w:rsidR="0096307A" w:rsidRPr="0048391B">
        <w:rPr>
          <w:sz w:val="24"/>
          <w:szCs w:val="24"/>
        </w:rPr>
        <w:t>TALS</w:t>
      </w:r>
      <w:r w:rsidR="003B4E0D">
        <w:rPr>
          <w:sz w:val="24"/>
          <w:szCs w:val="24"/>
        </w:rPr>
        <w:t>)</w:t>
      </w:r>
      <w:r w:rsidR="0096307A" w:rsidRPr="0048391B">
        <w:rPr>
          <w:sz w:val="24"/>
          <w:szCs w:val="24"/>
        </w:rPr>
        <w:t xml:space="preserve"> to highlight the increasing “authoritarian connections” between places</w:t>
      </w:r>
      <w:r w:rsidR="009814D1" w:rsidRPr="0048391B">
        <w:rPr>
          <w:sz w:val="24"/>
          <w:szCs w:val="24"/>
        </w:rPr>
        <w:t xml:space="preserve"> outside the confines of states/</w:t>
      </w:r>
      <w:r w:rsidR="0096307A" w:rsidRPr="0048391B">
        <w:rPr>
          <w:sz w:val="24"/>
          <w:szCs w:val="24"/>
        </w:rPr>
        <w:t>geographic boundaries.</w:t>
      </w:r>
      <w:r w:rsidR="00652CFF" w:rsidRPr="0048391B">
        <w:rPr>
          <w:rStyle w:val="FootnoteReference"/>
          <w:sz w:val="24"/>
          <w:szCs w:val="24"/>
        </w:rPr>
        <w:footnoteReference w:id="23"/>
      </w:r>
      <w:r w:rsidR="0096307A" w:rsidRPr="0048391B">
        <w:rPr>
          <w:sz w:val="24"/>
          <w:szCs w:val="24"/>
        </w:rPr>
        <w:t xml:space="preserve"> This approach helps combine the focus on the local and the extraterritorial in one analysis</w:t>
      </w:r>
      <w:r w:rsidR="00261BA8">
        <w:rPr>
          <w:sz w:val="24"/>
          <w:szCs w:val="24"/>
        </w:rPr>
        <w:t xml:space="preserve"> so </w:t>
      </w:r>
      <w:r w:rsidR="0096307A" w:rsidRPr="0048391B">
        <w:rPr>
          <w:sz w:val="24"/>
          <w:szCs w:val="24"/>
        </w:rPr>
        <w:t xml:space="preserve">researchers do not miss how authoritarianism manifests itself outside </w:t>
      </w:r>
      <w:r w:rsidR="00AB7CC0">
        <w:rPr>
          <w:sz w:val="24"/>
          <w:szCs w:val="24"/>
        </w:rPr>
        <w:t>the state or regime actors.</w:t>
      </w:r>
    </w:p>
    <w:p w14:paraId="22C46B67" w14:textId="77777777" w:rsidR="00AB15A9" w:rsidRPr="0048391B" w:rsidRDefault="00AB15A9" w:rsidP="00F90136">
      <w:pPr>
        <w:spacing w:after="0" w:line="480" w:lineRule="auto"/>
        <w:jc w:val="both"/>
        <w:rPr>
          <w:sz w:val="24"/>
          <w:szCs w:val="24"/>
        </w:rPr>
      </w:pPr>
    </w:p>
    <w:p w14:paraId="40D7407A" w14:textId="68E0B06B" w:rsidR="006C2D7F" w:rsidRPr="0048391B" w:rsidRDefault="00845A9C" w:rsidP="00C63B35">
      <w:pPr>
        <w:spacing w:after="0" w:line="480" w:lineRule="auto"/>
        <w:jc w:val="both"/>
        <w:rPr>
          <w:b/>
          <w:bCs/>
          <w:sz w:val="24"/>
          <w:szCs w:val="24"/>
        </w:rPr>
      </w:pPr>
      <w:r w:rsidRPr="0048391B">
        <w:rPr>
          <w:b/>
          <w:bCs/>
          <w:sz w:val="24"/>
          <w:szCs w:val="24"/>
        </w:rPr>
        <w:t>Peace Initiatives and their Impacts</w:t>
      </w:r>
    </w:p>
    <w:p w14:paraId="72F9E0B0" w14:textId="5434BA21" w:rsidR="00C63B35" w:rsidRPr="0048391B" w:rsidRDefault="00AB15A9" w:rsidP="00E70A4A">
      <w:pPr>
        <w:spacing w:after="0" w:line="480" w:lineRule="auto"/>
        <w:jc w:val="both"/>
        <w:rPr>
          <w:sz w:val="24"/>
          <w:szCs w:val="24"/>
        </w:rPr>
      </w:pPr>
      <w:r w:rsidRPr="0048391B">
        <w:rPr>
          <w:sz w:val="24"/>
          <w:szCs w:val="24"/>
        </w:rPr>
        <w:tab/>
      </w:r>
      <w:r w:rsidR="00261BA8">
        <w:rPr>
          <w:sz w:val="24"/>
          <w:szCs w:val="24"/>
        </w:rPr>
        <w:t>One m</w:t>
      </w:r>
      <w:r w:rsidR="00DF3668" w:rsidRPr="0048391B">
        <w:rPr>
          <w:sz w:val="24"/>
          <w:szCs w:val="24"/>
        </w:rPr>
        <w:t xml:space="preserve">otivation which has been missed in the literature is peace between states, in the name of political and cultural development. </w:t>
      </w:r>
      <w:r w:rsidR="007044E7" w:rsidRPr="0048391B">
        <w:rPr>
          <w:sz w:val="24"/>
          <w:szCs w:val="24"/>
        </w:rPr>
        <w:t>A cessation of armed conflict has wide-ranging impacts</w:t>
      </w:r>
      <w:r w:rsidR="00F90136">
        <w:rPr>
          <w:sz w:val="24"/>
          <w:szCs w:val="24"/>
        </w:rPr>
        <w:t>:</w:t>
      </w:r>
      <w:r w:rsidR="007044E7" w:rsidRPr="0048391B">
        <w:rPr>
          <w:sz w:val="24"/>
          <w:szCs w:val="24"/>
        </w:rPr>
        <w:t xml:space="preserve"> avoiding the </w:t>
      </w:r>
      <w:r w:rsidR="00302793" w:rsidRPr="0048391B">
        <w:rPr>
          <w:sz w:val="24"/>
          <w:szCs w:val="24"/>
        </w:rPr>
        <w:t>death and destruction that comes from violence</w:t>
      </w:r>
      <w:r w:rsidR="007044E7" w:rsidRPr="0048391B">
        <w:rPr>
          <w:sz w:val="24"/>
          <w:szCs w:val="24"/>
        </w:rPr>
        <w:t>, mitigating social exclusion,</w:t>
      </w:r>
      <w:r w:rsidR="00E70A4A" w:rsidRPr="0048391B">
        <w:rPr>
          <w:rStyle w:val="FootnoteReference"/>
          <w:sz w:val="24"/>
          <w:szCs w:val="24"/>
        </w:rPr>
        <w:footnoteReference w:id="24"/>
      </w:r>
      <w:r w:rsidR="002C73D0" w:rsidRPr="0048391B">
        <w:rPr>
          <w:sz w:val="24"/>
          <w:szCs w:val="24"/>
        </w:rPr>
        <w:t xml:space="preserve"> </w:t>
      </w:r>
      <w:r w:rsidR="005B14C6" w:rsidRPr="0048391B">
        <w:rPr>
          <w:sz w:val="24"/>
          <w:szCs w:val="24"/>
        </w:rPr>
        <w:t>facilitating political participation</w:t>
      </w:r>
      <w:r w:rsidR="00F90136">
        <w:rPr>
          <w:sz w:val="24"/>
          <w:szCs w:val="24"/>
        </w:rPr>
        <w:t>,</w:t>
      </w:r>
      <w:r w:rsidR="005B14C6" w:rsidRPr="0048391B">
        <w:rPr>
          <w:rStyle w:val="FootnoteReference"/>
          <w:sz w:val="24"/>
          <w:szCs w:val="24"/>
        </w:rPr>
        <w:footnoteReference w:id="25"/>
      </w:r>
      <w:r w:rsidR="007044E7" w:rsidRPr="0048391B">
        <w:rPr>
          <w:sz w:val="24"/>
          <w:szCs w:val="24"/>
        </w:rPr>
        <w:t xml:space="preserve"> </w:t>
      </w:r>
      <w:r w:rsidR="00F90136">
        <w:rPr>
          <w:sz w:val="24"/>
          <w:szCs w:val="24"/>
        </w:rPr>
        <w:t xml:space="preserve"> </w:t>
      </w:r>
      <w:r w:rsidR="00AB7CC0">
        <w:rPr>
          <w:sz w:val="24"/>
          <w:szCs w:val="24"/>
        </w:rPr>
        <w:t>etc</w:t>
      </w:r>
      <w:r w:rsidR="00F90136">
        <w:rPr>
          <w:sz w:val="24"/>
          <w:szCs w:val="24"/>
        </w:rPr>
        <w:t>.</w:t>
      </w:r>
      <w:r w:rsidR="007044E7" w:rsidRPr="0048391B">
        <w:rPr>
          <w:sz w:val="24"/>
          <w:szCs w:val="24"/>
        </w:rPr>
        <w:t xml:space="preserve"> Although negotiated peace agreements are not how the majority of conflicts end, an official peace agreeme</w:t>
      </w:r>
      <w:r w:rsidR="00DF3668" w:rsidRPr="0048391B">
        <w:rPr>
          <w:sz w:val="24"/>
          <w:szCs w:val="24"/>
        </w:rPr>
        <w:t>nt is the normative goal of much of the research on this subject</w:t>
      </w:r>
      <w:r w:rsidR="007044E7" w:rsidRPr="0048391B">
        <w:rPr>
          <w:sz w:val="24"/>
          <w:szCs w:val="24"/>
        </w:rPr>
        <w:t>.</w:t>
      </w:r>
      <w:r w:rsidR="00E70A4A" w:rsidRPr="0048391B">
        <w:rPr>
          <w:rStyle w:val="FootnoteReference"/>
          <w:sz w:val="24"/>
          <w:szCs w:val="24"/>
        </w:rPr>
        <w:footnoteReference w:id="26"/>
      </w:r>
      <w:r w:rsidR="007044E7" w:rsidRPr="0048391B">
        <w:rPr>
          <w:sz w:val="24"/>
          <w:szCs w:val="24"/>
        </w:rPr>
        <w:t xml:space="preserve"> </w:t>
      </w:r>
    </w:p>
    <w:p w14:paraId="5B526131" w14:textId="03B17611" w:rsidR="00311658" w:rsidRPr="0048391B" w:rsidRDefault="007044E7" w:rsidP="00DB749C">
      <w:pPr>
        <w:spacing w:after="0" w:line="480" w:lineRule="auto"/>
        <w:jc w:val="both"/>
        <w:rPr>
          <w:sz w:val="24"/>
          <w:szCs w:val="24"/>
        </w:rPr>
      </w:pPr>
      <w:r w:rsidRPr="0048391B">
        <w:rPr>
          <w:sz w:val="24"/>
          <w:szCs w:val="24"/>
        </w:rPr>
        <w:tab/>
        <w:t>However, as the frequency of peace settlements has declined, researchers have offered critiques</w:t>
      </w:r>
      <w:r w:rsidR="00DB749C" w:rsidRPr="0048391B">
        <w:rPr>
          <w:sz w:val="24"/>
          <w:szCs w:val="24"/>
        </w:rPr>
        <w:t xml:space="preserve"> of the notion of liberal peace.</w:t>
      </w:r>
      <w:r w:rsidRPr="0048391B">
        <w:rPr>
          <w:sz w:val="24"/>
          <w:szCs w:val="24"/>
        </w:rPr>
        <w:t xml:space="preserve"> These have focused on how such </w:t>
      </w:r>
      <w:r w:rsidR="00302793" w:rsidRPr="0048391B">
        <w:rPr>
          <w:sz w:val="24"/>
          <w:szCs w:val="24"/>
        </w:rPr>
        <w:t xml:space="preserve">internationally-mediated </w:t>
      </w:r>
      <w:r w:rsidR="009E308A" w:rsidRPr="0048391B">
        <w:rPr>
          <w:sz w:val="24"/>
          <w:szCs w:val="24"/>
        </w:rPr>
        <w:lastRenderedPageBreak/>
        <w:t>settlements may deny local agency,</w:t>
      </w:r>
      <w:r w:rsidR="00DB749C" w:rsidRPr="0048391B">
        <w:rPr>
          <w:rStyle w:val="FootnoteReference"/>
          <w:sz w:val="24"/>
          <w:szCs w:val="24"/>
        </w:rPr>
        <w:footnoteReference w:id="27"/>
      </w:r>
      <w:r w:rsidR="009E308A" w:rsidRPr="0048391B">
        <w:rPr>
          <w:sz w:val="24"/>
          <w:szCs w:val="24"/>
        </w:rPr>
        <w:t xml:space="preserve"> allow structural violence and inequality to continue,</w:t>
      </w:r>
      <w:r w:rsidR="00DB749C" w:rsidRPr="0048391B">
        <w:rPr>
          <w:rStyle w:val="FootnoteReference"/>
          <w:sz w:val="24"/>
          <w:szCs w:val="24"/>
        </w:rPr>
        <w:footnoteReference w:id="28"/>
      </w:r>
      <w:r w:rsidR="009E308A" w:rsidRPr="0048391B">
        <w:rPr>
          <w:sz w:val="24"/>
          <w:szCs w:val="24"/>
        </w:rPr>
        <w:t xml:space="preserve"> and ignore the increased likelihood of “illiberal peace,” i.e. authoritarian conflict management, in the vast majority of conflicts.</w:t>
      </w:r>
      <w:r w:rsidR="00DB749C" w:rsidRPr="0048391B">
        <w:rPr>
          <w:rStyle w:val="FootnoteReference"/>
          <w:sz w:val="24"/>
          <w:szCs w:val="24"/>
        </w:rPr>
        <w:footnoteReference w:id="29"/>
      </w:r>
      <w:r w:rsidR="009E308A" w:rsidRPr="0048391B">
        <w:rPr>
          <w:sz w:val="24"/>
          <w:szCs w:val="24"/>
        </w:rPr>
        <w:t xml:space="preserve"> </w:t>
      </w:r>
      <w:r w:rsidR="00311658" w:rsidRPr="0048391B">
        <w:rPr>
          <w:sz w:val="24"/>
          <w:szCs w:val="24"/>
        </w:rPr>
        <w:t>T</w:t>
      </w:r>
      <w:r w:rsidR="00DF4690">
        <w:rPr>
          <w:sz w:val="24"/>
          <w:szCs w:val="24"/>
        </w:rPr>
        <w:t>he</w:t>
      </w:r>
      <w:r w:rsidR="009E308A" w:rsidRPr="0048391B">
        <w:rPr>
          <w:sz w:val="24"/>
          <w:szCs w:val="24"/>
        </w:rPr>
        <w:t xml:space="preserve"> increased reliance on state coercion</w:t>
      </w:r>
      <w:r w:rsidR="004876FE">
        <w:rPr>
          <w:sz w:val="24"/>
          <w:szCs w:val="24"/>
        </w:rPr>
        <w:t xml:space="preserve"> </w:t>
      </w:r>
      <w:r w:rsidR="00311658" w:rsidRPr="0048391B">
        <w:rPr>
          <w:sz w:val="24"/>
          <w:szCs w:val="24"/>
        </w:rPr>
        <w:t>to resolve conflict</w:t>
      </w:r>
      <w:r w:rsidR="004876FE">
        <w:rPr>
          <w:sz w:val="24"/>
          <w:szCs w:val="24"/>
        </w:rPr>
        <w:t>,</w:t>
      </w:r>
      <w:r w:rsidR="00DF4690">
        <w:rPr>
          <w:sz w:val="24"/>
          <w:szCs w:val="24"/>
        </w:rPr>
        <w:t xml:space="preserve"> which illiberal peace entails</w:t>
      </w:r>
      <w:r w:rsidR="004876FE">
        <w:rPr>
          <w:sz w:val="24"/>
          <w:szCs w:val="24"/>
        </w:rPr>
        <w:t>,</w:t>
      </w:r>
      <w:r w:rsidR="00DF4690">
        <w:rPr>
          <w:sz w:val="24"/>
          <w:szCs w:val="24"/>
        </w:rPr>
        <w:t xml:space="preserve"> </w:t>
      </w:r>
      <w:r w:rsidR="004F19D8">
        <w:rPr>
          <w:sz w:val="24"/>
          <w:szCs w:val="24"/>
        </w:rPr>
        <w:t>is concurrent</w:t>
      </w:r>
      <w:r w:rsidR="009E308A" w:rsidRPr="0048391B">
        <w:rPr>
          <w:sz w:val="24"/>
          <w:szCs w:val="24"/>
        </w:rPr>
        <w:t xml:space="preserve"> with the increased</w:t>
      </w:r>
      <w:r w:rsidR="00311658" w:rsidRPr="0048391B">
        <w:rPr>
          <w:sz w:val="24"/>
          <w:szCs w:val="24"/>
        </w:rPr>
        <w:t xml:space="preserve"> influence of authoritarian powers</w:t>
      </w:r>
      <w:r w:rsidR="004F19D8">
        <w:rPr>
          <w:sz w:val="24"/>
          <w:szCs w:val="24"/>
        </w:rPr>
        <w:t xml:space="preserve"> </w:t>
      </w:r>
      <w:r w:rsidR="00311658" w:rsidRPr="0048391B">
        <w:rPr>
          <w:sz w:val="24"/>
          <w:szCs w:val="24"/>
        </w:rPr>
        <w:t>on the international</w:t>
      </w:r>
      <w:r w:rsidR="00DB749C" w:rsidRPr="0048391B">
        <w:rPr>
          <w:sz w:val="24"/>
          <w:szCs w:val="24"/>
        </w:rPr>
        <w:t xml:space="preserve"> system. </w:t>
      </w:r>
      <w:r w:rsidR="00311658" w:rsidRPr="0048391B">
        <w:rPr>
          <w:sz w:val="24"/>
          <w:szCs w:val="24"/>
        </w:rPr>
        <w:t xml:space="preserve">Importantly, as Lewis et al note, while instances of “peace” which sustain illiberal institutions or maintain structural violence have been mentioned in the literature, there </w:t>
      </w:r>
      <w:r w:rsidR="00E177A9" w:rsidRPr="0048391B">
        <w:rPr>
          <w:sz w:val="24"/>
          <w:szCs w:val="24"/>
        </w:rPr>
        <w:t>has been little done to “unpack” this phenomenon.</w:t>
      </w:r>
      <w:r w:rsidR="00525762" w:rsidRPr="0048391B">
        <w:rPr>
          <w:rStyle w:val="FootnoteReference"/>
          <w:sz w:val="24"/>
          <w:szCs w:val="24"/>
        </w:rPr>
        <w:footnoteReference w:id="30"/>
      </w:r>
      <w:r w:rsidR="00E177A9" w:rsidRPr="0048391B">
        <w:rPr>
          <w:sz w:val="24"/>
          <w:szCs w:val="24"/>
        </w:rPr>
        <w:t xml:space="preserve"> </w:t>
      </w:r>
      <w:r w:rsidR="00311658" w:rsidRPr="0048391B">
        <w:rPr>
          <w:sz w:val="24"/>
          <w:szCs w:val="24"/>
        </w:rPr>
        <w:t xml:space="preserve"> </w:t>
      </w:r>
    </w:p>
    <w:p w14:paraId="69A41E8E" w14:textId="664C5660" w:rsidR="004B4927" w:rsidRPr="0048391B" w:rsidRDefault="00311658" w:rsidP="00D97CA5">
      <w:pPr>
        <w:spacing w:after="0" w:line="480" w:lineRule="auto"/>
        <w:jc w:val="both"/>
        <w:rPr>
          <w:rFonts w:ascii="TimesNewRomanPSMT" w:hAnsi="TimesNewRomanPSMT" w:cs="TimesNewRomanPSMT"/>
          <w:sz w:val="24"/>
          <w:szCs w:val="24"/>
        </w:rPr>
      </w:pPr>
      <w:r w:rsidRPr="0048391B">
        <w:rPr>
          <w:sz w:val="24"/>
          <w:szCs w:val="24"/>
        </w:rPr>
        <w:tab/>
      </w:r>
      <w:r w:rsidR="003C04F0">
        <w:rPr>
          <w:sz w:val="24"/>
          <w:szCs w:val="24"/>
        </w:rPr>
        <w:t>This paper argues that</w:t>
      </w:r>
      <w:r w:rsidR="004B4927" w:rsidRPr="0048391B">
        <w:rPr>
          <w:sz w:val="24"/>
          <w:szCs w:val="24"/>
        </w:rPr>
        <w:t xml:space="preserve"> </w:t>
      </w:r>
      <w:r w:rsidRPr="0048391B">
        <w:rPr>
          <w:sz w:val="24"/>
          <w:szCs w:val="24"/>
        </w:rPr>
        <w:t xml:space="preserve">cessation of conflict </w:t>
      </w:r>
      <w:r w:rsidR="002032D6">
        <w:rPr>
          <w:sz w:val="24"/>
          <w:szCs w:val="24"/>
        </w:rPr>
        <w:t>does not need to be via</w:t>
      </w:r>
      <w:r w:rsidRPr="0048391B">
        <w:rPr>
          <w:sz w:val="24"/>
          <w:szCs w:val="24"/>
        </w:rPr>
        <w:t xml:space="preserve"> violent means to sustain authoritarian practices.</w:t>
      </w:r>
      <w:r w:rsidR="00302793" w:rsidRPr="0048391B">
        <w:rPr>
          <w:sz w:val="24"/>
          <w:szCs w:val="24"/>
        </w:rPr>
        <w:t xml:space="preserve"> Some case-</w:t>
      </w:r>
      <w:r w:rsidR="004B4927" w:rsidRPr="0048391B">
        <w:rPr>
          <w:sz w:val="24"/>
          <w:szCs w:val="24"/>
        </w:rPr>
        <w:t xml:space="preserve">specific </w:t>
      </w:r>
      <w:r w:rsidR="00302793" w:rsidRPr="0048391B">
        <w:rPr>
          <w:sz w:val="24"/>
          <w:szCs w:val="24"/>
        </w:rPr>
        <w:t>l</w:t>
      </w:r>
      <w:r w:rsidR="006D16F4" w:rsidRPr="0048391B">
        <w:rPr>
          <w:sz w:val="24"/>
          <w:szCs w:val="24"/>
        </w:rPr>
        <w:t>iterature has alluded to this. F</w:t>
      </w:r>
      <w:r w:rsidR="004B4927" w:rsidRPr="0048391B">
        <w:rPr>
          <w:sz w:val="24"/>
          <w:szCs w:val="24"/>
        </w:rPr>
        <w:t xml:space="preserve">or instance, research </w:t>
      </w:r>
      <w:r w:rsidR="003C04F0">
        <w:rPr>
          <w:sz w:val="24"/>
          <w:szCs w:val="24"/>
        </w:rPr>
        <w:t>on the case of Jordan</w:t>
      </w:r>
      <w:r w:rsidR="004B4927" w:rsidRPr="0048391B">
        <w:rPr>
          <w:sz w:val="24"/>
          <w:szCs w:val="24"/>
        </w:rPr>
        <w:t xml:space="preserve"> has pointed out how developments in the peace process</w:t>
      </w:r>
      <w:r w:rsidR="006E410D" w:rsidRPr="0048391B">
        <w:rPr>
          <w:sz w:val="24"/>
          <w:szCs w:val="24"/>
        </w:rPr>
        <w:t xml:space="preserve"> </w:t>
      </w:r>
      <w:r w:rsidR="003C04F0">
        <w:rPr>
          <w:sz w:val="24"/>
          <w:szCs w:val="24"/>
        </w:rPr>
        <w:t>with</w:t>
      </w:r>
      <w:r w:rsidR="006E410D" w:rsidRPr="0048391B">
        <w:rPr>
          <w:sz w:val="24"/>
          <w:szCs w:val="24"/>
        </w:rPr>
        <w:t xml:space="preserve"> Israel</w:t>
      </w:r>
      <w:r w:rsidR="004B4927" w:rsidRPr="0048391B">
        <w:rPr>
          <w:sz w:val="24"/>
          <w:szCs w:val="24"/>
        </w:rPr>
        <w:t xml:space="preserve"> were directly linked to “retreats” in political freedoms in the liberalization process. </w:t>
      </w:r>
      <w:r w:rsidR="00302793" w:rsidRPr="0048391B">
        <w:rPr>
          <w:sz w:val="24"/>
          <w:szCs w:val="24"/>
        </w:rPr>
        <w:t xml:space="preserve">The peace agreement </w:t>
      </w:r>
      <w:r w:rsidR="00F050C0">
        <w:rPr>
          <w:sz w:val="24"/>
          <w:szCs w:val="24"/>
        </w:rPr>
        <w:t>led</w:t>
      </w:r>
      <w:r w:rsidR="00302793" w:rsidRPr="0048391B">
        <w:rPr>
          <w:sz w:val="24"/>
          <w:szCs w:val="24"/>
        </w:rPr>
        <w:t xml:space="preserve"> to the weakening of the Jordanian parliament, increase in electoral fraud, decline in trust in the political process, the targeting of civil society actors, and even the side-lining of critical elites.</w:t>
      </w:r>
      <w:r w:rsidR="00525762" w:rsidRPr="0048391B">
        <w:rPr>
          <w:rStyle w:val="FootnoteReference"/>
          <w:sz w:val="24"/>
          <w:szCs w:val="24"/>
        </w:rPr>
        <w:footnoteReference w:id="31"/>
      </w:r>
      <w:r w:rsidR="00302793" w:rsidRPr="0048391B">
        <w:rPr>
          <w:sz w:val="24"/>
          <w:szCs w:val="24"/>
        </w:rPr>
        <w:t xml:space="preserve"> </w:t>
      </w:r>
      <w:r w:rsidR="006E410D" w:rsidRPr="0048391B">
        <w:rPr>
          <w:sz w:val="24"/>
          <w:szCs w:val="24"/>
        </w:rPr>
        <w:t>Bou</w:t>
      </w:r>
      <w:r w:rsidR="00525762" w:rsidRPr="0048391B">
        <w:rPr>
          <w:sz w:val="24"/>
          <w:szCs w:val="24"/>
        </w:rPr>
        <w:t>ill</w:t>
      </w:r>
      <w:r w:rsidR="006E410D" w:rsidRPr="0048391B">
        <w:rPr>
          <w:sz w:val="24"/>
          <w:szCs w:val="24"/>
        </w:rPr>
        <w:t>on</w:t>
      </w:r>
      <w:r w:rsidR="00E177A9" w:rsidRPr="0048391B">
        <w:rPr>
          <w:sz w:val="24"/>
          <w:szCs w:val="24"/>
        </w:rPr>
        <w:t xml:space="preserve"> </w:t>
      </w:r>
      <w:r w:rsidR="00525762" w:rsidRPr="0048391B">
        <w:rPr>
          <w:sz w:val="24"/>
          <w:szCs w:val="24"/>
        </w:rPr>
        <w:t>(2001)</w:t>
      </w:r>
      <w:r w:rsidR="006E410D" w:rsidRPr="0048391B">
        <w:rPr>
          <w:sz w:val="24"/>
          <w:szCs w:val="24"/>
        </w:rPr>
        <w:t xml:space="preserve"> corroborates this idea, noting that the </w:t>
      </w:r>
      <w:r w:rsidR="00E177A9" w:rsidRPr="0048391B">
        <w:rPr>
          <w:sz w:val="24"/>
          <w:szCs w:val="24"/>
        </w:rPr>
        <w:t xml:space="preserve">Jordanian </w:t>
      </w:r>
      <w:r w:rsidR="006E410D" w:rsidRPr="0048391B">
        <w:rPr>
          <w:sz w:val="24"/>
          <w:szCs w:val="24"/>
        </w:rPr>
        <w:t>king came to the conclusion “peace and democracy would not go together,” and acted accordingly.</w:t>
      </w:r>
      <w:r w:rsidR="00525762" w:rsidRPr="0048391B">
        <w:rPr>
          <w:rStyle w:val="FootnoteReference"/>
          <w:sz w:val="24"/>
          <w:szCs w:val="24"/>
        </w:rPr>
        <w:footnoteReference w:id="32"/>
      </w:r>
      <w:r w:rsidR="006E410D" w:rsidRPr="0048391B">
        <w:rPr>
          <w:sz w:val="24"/>
          <w:szCs w:val="24"/>
        </w:rPr>
        <w:t xml:space="preserve"> </w:t>
      </w:r>
      <w:r w:rsidR="00302793" w:rsidRPr="0048391B">
        <w:rPr>
          <w:sz w:val="24"/>
          <w:szCs w:val="24"/>
        </w:rPr>
        <w:t>Similar crackdowns were noted in the case of Egypt following the October/Yom Kippur War</w:t>
      </w:r>
      <w:r w:rsidR="006E410D" w:rsidRPr="0048391B">
        <w:rPr>
          <w:sz w:val="24"/>
          <w:szCs w:val="24"/>
        </w:rPr>
        <w:t xml:space="preserve"> and the beginning of the peace negotiations between Egypt and Israel</w:t>
      </w:r>
      <w:r w:rsidR="00302793" w:rsidRPr="0048391B">
        <w:rPr>
          <w:sz w:val="24"/>
          <w:szCs w:val="24"/>
        </w:rPr>
        <w:t xml:space="preserve">. To ensure the peace process </w:t>
      </w:r>
      <w:r w:rsidR="00302793" w:rsidRPr="0048391B">
        <w:rPr>
          <w:sz w:val="24"/>
          <w:szCs w:val="24"/>
        </w:rPr>
        <w:lastRenderedPageBreak/>
        <w:t xml:space="preserve">moved forward smoothly, in spite of societal opposition, </w:t>
      </w:r>
      <w:r w:rsidR="0096491E">
        <w:rPr>
          <w:sz w:val="24"/>
          <w:szCs w:val="24"/>
        </w:rPr>
        <w:t>the Egyptian regime</w:t>
      </w:r>
      <w:r w:rsidR="00302793" w:rsidRPr="0048391B">
        <w:rPr>
          <w:sz w:val="24"/>
          <w:szCs w:val="24"/>
        </w:rPr>
        <w:t xml:space="preserve"> </w:t>
      </w:r>
      <w:r w:rsidR="006E410D" w:rsidRPr="0048391B">
        <w:rPr>
          <w:sz w:val="24"/>
          <w:szCs w:val="24"/>
        </w:rPr>
        <w:t xml:space="preserve">rounded up critics, </w:t>
      </w:r>
      <w:r w:rsidR="00D97CA5" w:rsidRPr="0048391B">
        <w:rPr>
          <w:sz w:val="24"/>
          <w:szCs w:val="24"/>
        </w:rPr>
        <w:t xml:space="preserve">as well as </w:t>
      </w:r>
      <w:r w:rsidR="00302793" w:rsidRPr="0048391B">
        <w:rPr>
          <w:sz w:val="24"/>
          <w:szCs w:val="24"/>
        </w:rPr>
        <w:t>pushed a large number o</w:t>
      </w:r>
      <w:r w:rsidR="00D97CA5" w:rsidRPr="0048391B">
        <w:rPr>
          <w:sz w:val="24"/>
          <w:szCs w:val="24"/>
        </w:rPr>
        <w:t xml:space="preserve">f Palestinians </w:t>
      </w:r>
      <w:r w:rsidR="00302793" w:rsidRPr="0048391B">
        <w:rPr>
          <w:sz w:val="24"/>
          <w:szCs w:val="24"/>
        </w:rPr>
        <w:t>out of the country.</w:t>
      </w:r>
      <w:r w:rsidR="00525762" w:rsidRPr="0048391B">
        <w:rPr>
          <w:rStyle w:val="FootnoteReference"/>
          <w:sz w:val="24"/>
          <w:szCs w:val="24"/>
        </w:rPr>
        <w:footnoteReference w:id="33"/>
      </w:r>
      <w:r w:rsidR="00302793" w:rsidRPr="0048391B">
        <w:rPr>
          <w:sz w:val="24"/>
          <w:szCs w:val="24"/>
        </w:rPr>
        <w:t xml:space="preserve"> </w:t>
      </w:r>
      <w:r w:rsidR="00E85E86" w:rsidRPr="0048391B">
        <w:rPr>
          <w:sz w:val="24"/>
          <w:szCs w:val="24"/>
        </w:rPr>
        <w:t xml:space="preserve">These examples show how peace settlements </w:t>
      </w:r>
      <w:r w:rsidR="002C7D4F">
        <w:rPr>
          <w:sz w:val="24"/>
          <w:szCs w:val="24"/>
        </w:rPr>
        <w:t xml:space="preserve">need not be violently imposed to </w:t>
      </w:r>
      <w:r w:rsidR="0066295D">
        <w:rPr>
          <w:sz w:val="24"/>
          <w:szCs w:val="24"/>
        </w:rPr>
        <w:t>still interact with</w:t>
      </w:r>
      <w:r w:rsidR="0050335E">
        <w:rPr>
          <w:sz w:val="24"/>
          <w:szCs w:val="24"/>
        </w:rPr>
        <w:t>,</w:t>
      </w:r>
      <w:r w:rsidR="0066295D">
        <w:rPr>
          <w:sz w:val="24"/>
          <w:szCs w:val="24"/>
        </w:rPr>
        <w:t xml:space="preserve"> and</w:t>
      </w:r>
      <w:r w:rsidR="00E85E86" w:rsidRPr="0048391B">
        <w:rPr>
          <w:sz w:val="24"/>
          <w:szCs w:val="24"/>
        </w:rPr>
        <w:t xml:space="preserve"> exa</w:t>
      </w:r>
      <w:r w:rsidR="00DF3668" w:rsidRPr="0048391B">
        <w:rPr>
          <w:sz w:val="24"/>
          <w:szCs w:val="24"/>
        </w:rPr>
        <w:t>cerbate</w:t>
      </w:r>
      <w:r w:rsidR="0050335E">
        <w:rPr>
          <w:sz w:val="24"/>
          <w:szCs w:val="24"/>
        </w:rPr>
        <w:t>,</w:t>
      </w:r>
      <w:r w:rsidR="00DF3668" w:rsidRPr="0048391B">
        <w:rPr>
          <w:sz w:val="24"/>
          <w:szCs w:val="24"/>
        </w:rPr>
        <w:t xml:space="preserve"> authoritarian practices.</w:t>
      </w:r>
      <w:r w:rsidR="00F050C0">
        <w:rPr>
          <w:sz w:val="24"/>
          <w:szCs w:val="24"/>
        </w:rPr>
        <w:t xml:space="preserve"> </w:t>
      </w:r>
    </w:p>
    <w:p w14:paraId="58352133" w14:textId="77777777" w:rsidR="004B4927" w:rsidRPr="0048391B" w:rsidRDefault="004B4927" w:rsidP="004B4927">
      <w:pPr>
        <w:spacing w:after="0" w:line="480" w:lineRule="auto"/>
        <w:jc w:val="both"/>
        <w:rPr>
          <w:sz w:val="24"/>
          <w:szCs w:val="24"/>
        </w:rPr>
      </w:pPr>
    </w:p>
    <w:p w14:paraId="4A0291E6" w14:textId="32B72D9F" w:rsidR="00612B35" w:rsidRPr="0048391B" w:rsidRDefault="005C6875" w:rsidP="005C6875">
      <w:pPr>
        <w:spacing w:after="0" w:line="480" w:lineRule="auto"/>
        <w:jc w:val="both"/>
        <w:rPr>
          <w:b/>
          <w:bCs/>
          <w:sz w:val="24"/>
          <w:szCs w:val="24"/>
        </w:rPr>
      </w:pPr>
      <w:r w:rsidRPr="0048391B">
        <w:rPr>
          <w:b/>
          <w:bCs/>
          <w:sz w:val="24"/>
          <w:szCs w:val="24"/>
        </w:rPr>
        <w:t xml:space="preserve">Argument </w:t>
      </w:r>
    </w:p>
    <w:p w14:paraId="284D5686" w14:textId="11791C17" w:rsidR="00237DA1" w:rsidRPr="0048391B" w:rsidRDefault="007B3E9E" w:rsidP="00D97CA5">
      <w:pPr>
        <w:spacing w:after="0" w:line="480" w:lineRule="auto"/>
        <w:jc w:val="both"/>
        <w:rPr>
          <w:sz w:val="24"/>
          <w:szCs w:val="24"/>
        </w:rPr>
      </w:pPr>
      <w:r w:rsidRPr="0048391B">
        <w:rPr>
          <w:b/>
          <w:bCs/>
          <w:sz w:val="24"/>
          <w:szCs w:val="24"/>
        </w:rPr>
        <w:tab/>
      </w:r>
      <w:r w:rsidR="0050335E">
        <w:rPr>
          <w:sz w:val="24"/>
          <w:szCs w:val="24"/>
        </w:rPr>
        <w:t>I argue</w:t>
      </w:r>
      <w:r w:rsidR="006C2D7F" w:rsidRPr="0048391B">
        <w:rPr>
          <w:sz w:val="24"/>
          <w:szCs w:val="24"/>
        </w:rPr>
        <w:t xml:space="preserve"> that peace initiatives</w:t>
      </w:r>
      <w:r w:rsidR="006E410D" w:rsidRPr="0048391B">
        <w:rPr>
          <w:sz w:val="24"/>
          <w:szCs w:val="24"/>
        </w:rPr>
        <w:t xml:space="preserve"> </w:t>
      </w:r>
      <w:r w:rsidR="00237DA1" w:rsidRPr="0048391B">
        <w:rPr>
          <w:sz w:val="24"/>
          <w:szCs w:val="24"/>
        </w:rPr>
        <w:t>promote</w:t>
      </w:r>
      <w:r w:rsidR="006C2D7F" w:rsidRPr="0048391B">
        <w:rPr>
          <w:sz w:val="24"/>
          <w:szCs w:val="24"/>
        </w:rPr>
        <w:t xml:space="preserve"> authoritarian pra</w:t>
      </w:r>
      <w:r w:rsidR="00E85E86" w:rsidRPr="0048391B">
        <w:rPr>
          <w:sz w:val="24"/>
          <w:szCs w:val="24"/>
        </w:rPr>
        <w:t>ctices under certain conditions</w:t>
      </w:r>
      <w:r w:rsidR="0050335E">
        <w:rPr>
          <w:sz w:val="24"/>
          <w:szCs w:val="24"/>
        </w:rPr>
        <w:t xml:space="preserve">. </w:t>
      </w:r>
      <w:r w:rsidR="006C2D7F" w:rsidRPr="0048391B">
        <w:rPr>
          <w:sz w:val="24"/>
          <w:szCs w:val="24"/>
        </w:rPr>
        <w:t xml:space="preserve">Similar in manner to the way authoritarian practices are facilitated and legitimized under the guise of economic development, </w:t>
      </w:r>
      <w:r w:rsidR="00AB7CC0">
        <w:rPr>
          <w:sz w:val="24"/>
          <w:szCs w:val="24"/>
        </w:rPr>
        <w:t>Arab regimes</w:t>
      </w:r>
      <w:r w:rsidR="006C2D7F" w:rsidRPr="0048391B">
        <w:rPr>
          <w:sz w:val="24"/>
          <w:szCs w:val="24"/>
        </w:rPr>
        <w:t xml:space="preserve"> have pursued normalization </w:t>
      </w:r>
      <w:r w:rsidR="00F050C0">
        <w:rPr>
          <w:sz w:val="24"/>
          <w:szCs w:val="24"/>
        </w:rPr>
        <w:t>with</w:t>
      </w:r>
      <w:r w:rsidR="006C2D7F" w:rsidRPr="0048391B">
        <w:rPr>
          <w:sz w:val="24"/>
          <w:szCs w:val="24"/>
        </w:rPr>
        <w:t xml:space="preserve"> Israel under the guise of political and cultural development</w:t>
      </w:r>
      <w:r w:rsidR="00570535" w:rsidRPr="0048391B">
        <w:rPr>
          <w:sz w:val="24"/>
          <w:szCs w:val="24"/>
        </w:rPr>
        <w:t>.</w:t>
      </w:r>
      <w:r w:rsidR="00570535" w:rsidRPr="0048391B">
        <w:rPr>
          <w:rStyle w:val="FootnoteReference"/>
          <w:sz w:val="24"/>
          <w:szCs w:val="24"/>
        </w:rPr>
        <w:footnoteReference w:id="34"/>
      </w:r>
      <w:r w:rsidR="00570535" w:rsidRPr="0048391B">
        <w:rPr>
          <w:sz w:val="24"/>
          <w:szCs w:val="24"/>
        </w:rPr>
        <w:t xml:space="preserve"> </w:t>
      </w:r>
      <w:r w:rsidR="006C2D7F" w:rsidRPr="0048391B">
        <w:rPr>
          <w:sz w:val="24"/>
          <w:szCs w:val="24"/>
        </w:rPr>
        <w:t xml:space="preserve"> </w:t>
      </w:r>
      <w:r w:rsidR="00F050C0">
        <w:rPr>
          <w:sz w:val="24"/>
          <w:szCs w:val="24"/>
        </w:rPr>
        <w:t>For instance</w:t>
      </w:r>
      <w:r w:rsidR="00D9619F">
        <w:rPr>
          <w:sz w:val="24"/>
          <w:szCs w:val="24"/>
        </w:rPr>
        <w:t>, t</w:t>
      </w:r>
      <w:r w:rsidR="00237DA1" w:rsidRPr="0048391B">
        <w:rPr>
          <w:sz w:val="24"/>
          <w:szCs w:val="24"/>
        </w:rPr>
        <w:t>he UAE</w:t>
      </w:r>
      <w:r w:rsidR="00D9619F">
        <w:rPr>
          <w:sz w:val="24"/>
          <w:szCs w:val="24"/>
        </w:rPr>
        <w:t xml:space="preserve"> c</w:t>
      </w:r>
      <w:r w:rsidR="00237DA1" w:rsidRPr="0048391B">
        <w:rPr>
          <w:sz w:val="24"/>
          <w:szCs w:val="24"/>
        </w:rPr>
        <w:t>oache</w:t>
      </w:r>
      <w:r w:rsidR="00D9619F">
        <w:rPr>
          <w:sz w:val="24"/>
          <w:szCs w:val="24"/>
        </w:rPr>
        <w:t>s</w:t>
      </w:r>
      <w:r w:rsidR="00237DA1" w:rsidRPr="0048391B">
        <w:rPr>
          <w:sz w:val="24"/>
          <w:szCs w:val="24"/>
        </w:rPr>
        <w:t xml:space="preserve"> </w:t>
      </w:r>
      <w:r w:rsidR="00F050C0">
        <w:rPr>
          <w:sz w:val="24"/>
          <w:szCs w:val="24"/>
        </w:rPr>
        <w:t xml:space="preserve">peace </w:t>
      </w:r>
      <w:r w:rsidR="0050335E">
        <w:rPr>
          <w:sz w:val="24"/>
          <w:szCs w:val="24"/>
        </w:rPr>
        <w:t>initiatives</w:t>
      </w:r>
      <w:r w:rsidR="00237DA1" w:rsidRPr="0048391B">
        <w:rPr>
          <w:sz w:val="24"/>
          <w:szCs w:val="24"/>
        </w:rPr>
        <w:t xml:space="preserve"> in the language of increasing tolerance</w:t>
      </w:r>
      <w:r w:rsidR="00EB2EDA">
        <w:rPr>
          <w:sz w:val="24"/>
          <w:szCs w:val="24"/>
        </w:rPr>
        <w:t xml:space="preserve"> </w:t>
      </w:r>
      <w:r w:rsidR="00237DA1" w:rsidRPr="0048391B">
        <w:rPr>
          <w:sz w:val="24"/>
          <w:szCs w:val="24"/>
        </w:rPr>
        <w:t xml:space="preserve">and advancing cultural development. </w:t>
      </w:r>
      <w:r w:rsidR="00FB794E" w:rsidRPr="0048391B">
        <w:rPr>
          <w:sz w:val="24"/>
          <w:szCs w:val="24"/>
        </w:rPr>
        <w:t>Other</w:t>
      </w:r>
      <w:r w:rsidR="00237DA1" w:rsidRPr="0048391B">
        <w:rPr>
          <w:sz w:val="24"/>
          <w:szCs w:val="24"/>
        </w:rPr>
        <w:t xml:space="preserve"> justifications </w:t>
      </w:r>
      <w:r w:rsidR="00C07A14" w:rsidRPr="0048391B">
        <w:rPr>
          <w:sz w:val="24"/>
          <w:szCs w:val="24"/>
        </w:rPr>
        <w:t>included</w:t>
      </w:r>
      <w:r w:rsidR="00FB794E" w:rsidRPr="0048391B">
        <w:rPr>
          <w:sz w:val="24"/>
          <w:szCs w:val="24"/>
        </w:rPr>
        <w:t xml:space="preserve"> strengthening security</w:t>
      </w:r>
      <w:r w:rsidR="0050335E">
        <w:rPr>
          <w:sz w:val="24"/>
          <w:szCs w:val="24"/>
        </w:rPr>
        <w:t>,</w:t>
      </w:r>
      <w:r w:rsidR="00FB794E" w:rsidRPr="0048391B">
        <w:rPr>
          <w:sz w:val="24"/>
          <w:szCs w:val="24"/>
        </w:rPr>
        <w:t xml:space="preserve"> and developing </w:t>
      </w:r>
      <w:r w:rsidR="0050335E">
        <w:rPr>
          <w:sz w:val="24"/>
          <w:szCs w:val="24"/>
        </w:rPr>
        <w:t xml:space="preserve">an effective </w:t>
      </w:r>
      <w:r w:rsidR="00FB794E" w:rsidRPr="0048391B">
        <w:rPr>
          <w:sz w:val="24"/>
          <w:szCs w:val="24"/>
        </w:rPr>
        <w:t xml:space="preserve">strategy </w:t>
      </w:r>
      <w:r w:rsidR="0050335E">
        <w:rPr>
          <w:sz w:val="24"/>
          <w:szCs w:val="24"/>
        </w:rPr>
        <w:t xml:space="preserve">to launch </w:t>
      </w:r>
      <w:r w:rsidR="00C07A14" w:rsidRPr="0048391B">
        <w:rPr>
          <w:sz w:val="24"/>
          <w:szCs w:val="24"/>
        </w:rPr>
        <w:t>“counterjihad” against the</w:t>
      </w:r>
      <w:r w:rsidR="00AB7CC0">
        <w:rPr>
          <w:sz w:val="24"/>
          <w:szCs w:val="24"/>
        </w:rPr>
        <w:t xml:space="preserve"> </w:t>
      </w:r>
      <w:r w:rsidR="00DF3668" w:rsidRPr="0048391B">
        <w:rPr>
          <w:sz w:val="24"/>
          <w:szCs w:val="24"/>
        </w:rPr>
        <w:t>backwardness</w:t>
      </w:r>
      <w:r w:rsidR="00C07A14" w:rsidRPr="0048391B">
        <w:rPr>
          <w:sz w:val="24"/>
          <w:szCs w:val="24"/>
        </w:rPr>
        <w:t xml:space="preserve"> represented by </w:t>
      </w:r>
      <w:r w:rsidR="0050335E">
        <w:rPr>
          <w:sz w:val="24"/>
          <w:szCs w:val="24"/>
        </w:rPr>
        <w:t>Islamist parties</w:t>
      </w:r>
      <w:r w:rsidR="00C07A14" w:rsidRPr="0048391B">
        <w:rPr>
          <w:sz w:val="24"/>
          <w:szCs w:val="24"/>
        </w:rPr>
        <w:t>.</w:t>
      </w:r>
      <w:r w:rsidR="00C07A14" w:rsidRPr="0048391B">
        <w:rPr>
          <w:rStyle w:val="FootnoteReference"/>
          <w:sz w:val="24"/>
          <w:szCs w:val="24"/>
        </w:rPr>
        <w:footnoteReference w:id="35"/>
      </w:r>
    </w:p>
    <w:p w14:paraId="148E8F76" w14:textId="5DDA6281" w:rsidR="006C2D7F" w:rsidRPr="0048391B" w:rsidRDefault="006C2D7F" w:rsidP="006D16F4">
      <w:pPr>
        <w:spacing w:after="0" w:line="480" w:lineRule="auto"/>
        <w:ind w:firstLine="720"/>
        <w:jc w:val="both"/>
        <w:rPr>
          <w:sz w:val="24"/>
          <w:szCs w:val="24"/>
        </w:rPr>
      </w:pPr>
      <w:r w:rsidRPr="0048391B">
        <w:rPr>
          <w:sz w:val="24"/>
          <w:szCs w:val="24"/>
        </w:rPr>
        <w:t xml:space="preserve">But, </w:t>
      </w:r>
      <w:r w:rsidR="00DF3668" w:rsidRPr="0048391B">
        <w:rPr>
          <w:sz w:val="24"/>
          <w:szCs w:val="24"/>
        </w:rPr>
        <w:t>such peace initiatives are</w:t>
      </w:r>
      <w:r w:rsidRPr="0048391B">
        <w:rPr>
          <w:sz w:val="24"/>
          <w:szCs w:val="24"/>
        </w:rPr>
        <w:t xml:space="preserve"> predicated on preventing and repressing opposition, as well </w:t>
      </w:r>
      <w:r w:rsidR="000761AB" w:rsidRPr="0048391B">
        <w:rPr>
          <w:sz w:val="24"/>
          <w:szCs w:val="24"/>
        </w:rPr>
        <w:t xml:space="preserve">as disinformation. Moreover, </w:t>
      </w:r>
      <w:r w:rsidRPr="0048391B">
        <w:rPr>
          <w:sz w:val="24"/>
          <w:szCs w:val="24"/>
        </w:rPr>
        <w:t xml:space="preserve">repression </w:t>
      </w:r>
      <w:r w:rsidR="00E32E25" w:rsidRPr="0048391B">
        <w:rPr>
          <w:sz w:val="24"/>
          <w:szCs w:val="24"/>
        </w:rPr>
        <w:t xml:space="preserve">of </w:t>
      </w:r>
      <w:r w:rsidRPr="0048391B">
        <w:rPr>
          <w:sz w:val="24"/>
          <w:szCs w:val="24"/>
        </w:rPr>
        <w:t xml:space="preserve">citizens </w:t>
      </w:r>
      <w:r w:rsidR="00E32E25" w:rsidRPr="0048391B">
        <w:rPr>
          <w:sz w:val="24"/>
          <w:szCs w:val="24"/>
        </w:rPr>
        <w:t>in these</w:t>
      </w:r>
      <w:r w:rsidRPr="0048391B">
        <w:rPr>
          <w:sz w:val="24"/>
          <w:szCs w:val="24"/>
        </w:rPr>
        <w:t xml:space="preserve"> </w:t>
      </w:r>
      <w:r w:rsidR="000761AB" w:rsidRPr="0048391B">
        <w:rPr>
          <w:sz w:val="24"/>
          <w:szCs w:val="24"/>
        </w:rPr>
        <w:t>countries</w:t>
      </w:r>
      <w:r w:rsidRPr="0048391B">
        <w:rPr>
          <w:sz w:val="24"/>
          <w:szCs w:val="24"/>
        </w:rPr>
        <w:t xml:space="preserve"> has been outsour</w:t>
      </w:r>
      <w:r w:rsidR="00E32E25" w:rsidRPr="0048391B">
        <w:rPr>
          <w:sz w:val="24"/>
          <w:szCs w:val="24"/>
        </w:rPr>
        <w:t>ced to various actors,</w:t>
      </w:r>
      <w:r w:rsidRPr="0048391B">
        <w:rPr>
          <w:sz w:val="24"/>
          <w:szCs w:val="24"/>
        </w:rPr>
        <w:t xml:space="preserve"> so that </w:t>
      </w:r>
      <w:r w:rsidR="00FD0A2E" w:rsidRPr="0048391B">
        <w:rPr>
          <w:sz w:val="24"/>
          <w:szCs w:val="24"/>
        </w:rPr>
        <w:t>increased authoritarianism is propagated not just by official arms of the state</w:t>
      </w:r>
      <w:r w:rsidR="00E32E25" w:rsidRPr="0048391B">
        <w:rPr>
          <w:sz w:val="24"/>
          <w:szCs w:val="24"/>
        </w:rPr>
        <w:t>.</w:t>
      </w:r>
      <w:r w:rsidR="00237DA1" w:rsidRPr="0048391B">
        <w:rPr>
          <w:sz w:val="24"/>
          <w:szCs w:val="24"/>
        </w:rPr>
        <w:t xml:space="preserve"> </w:t>
      </w:r>
    </w:p>
    <w:p w14:paraId="2A86FAE1" w14:textId="495C2EA2" w:rsidR="00FB794E" w:rsidRPr="0048391B" w:rsidRDefault="00F91E29" w:rsidP="006D16F4">
      <w:pPr>
        <w:spacing w:after="0" w:line="480" w:lineRule="auto"/>
        <w:jc w:val="both"/>
        <w:rPr>
          <w:sz w:val="24"/>
          <w:szCs w:val="24"/>
        </w:rPr>
      </w:pPr>
      <w:r w:rsidRPr="0048391B">
        <w:rPr>
          <w:sz w:val="24"/>
          <w:szCs w:val="24"/>
        </w:rPr>
        <w:tab/>
      </w:r>
      <w:r w:rsidR="00BD0E3A" w:rsidRPr="0048391B">
        <w:rPr>
          <w:sz w:val="24"/>
          <w:szCs w:val="24"/>
        </w:rPr>
        <w:t xml:space="preserve">Peace initiatives </w:t>
      </w:r>
      <w:r w:rsidR="00237DA1" w:rsidRPr="0048391B">
        <w:rPr>
          <w:sz w:val="24"/>
          <w:szCs w:val="24"/>
        </w:rPr>
        <w:t>with Israel facilitate increased authoritarian pr</w:t>
      </w:r>
      <w:r w:rsidR="00FB794E" w:rsidRPr="0048391B">
        <w:rPr>
          <w:sz w:val="24"/>
          <w:szCs w:val="24"/>
        </w:rPr>
        <w:t xml:space="preserve">actices </w:t>
      </w:r>
      <w:r w:rsidR="00E177A9" w:rsidRPr="0048391B">
        <w:rPr>
          <w:sz w:val="24"/>
          <w:szCs w:val="24"/>
        </w:rPr>
        <w:t xml:space="preserve">via </w:t>
      </w:r>
      <w:r w:rsidR="00C63B35" w:rsidRPr="0048391B">
        <w:rPr>
          <w:sz w:val="24"/>
          <w:szCs w:val="24"/>
        </w:rPr>
        <w:t>three distinct mechanisms</w:t>
      </w:r>
      <w:r w:rsidR="00FB794E" w:rsidRPr="0048391B">
        <w:rPr>
          <w:sz w:val="24"/>
          <w:szCs w:val="24"/>
        </w:rPr>
        <w:t xml:space="preserve">. First, these agreements </w:t>
      </w:r>
      <w:r w:rsidR="00FB794E" w:rsidRPr="0048391B">
        <w:rPr>
          <w:b/>
          <w:bCs/>
          <w:sz w:val="24"/>
          <w:szCs w:val="24"/>
        </w:rPr>
        <w:t>increase repression</w:t>
      </w:r>
      <w:r w:rsidR="00FB794E" w:rsidRPr="0048391B">
        <w:rPr>
          <w:sz w:val="24"/>
          <w:szCs w:val="24"/>
        </w:rPr>
        <w:t xml:space="preserve"> by </w:t>
      </w:r>
      <w:r w:rsidR="00BD0E3A" w:rsidRPr="0048391B">
        <w:rPr>
          <w:sz w:val="24"/>
          <w:szCs w:val="24"/>
        </w:rPr>
        <w:t>necessitating that</w:t>
      </w:r>
      <w:r w:rsidR="00E47169" w:rsidRPr="0048391B">
        <w:rPr>
          <w:sz w:val="24"/>
          <w:szCs w:val="24"/>
        </w:rPr>
        <w:t xml:space="preserve"> regimes censor</w:t>
      </w:r>
      <w:r w:rsidR="005B08A6" w:rsidRPr="0048391B">
        <w:rPr>
          <w:sz w:val="24"/>
          <w:szCs w:val="24"/>
        </w:rPr>
        <w:t xml:space="preserve"> </w:t>
      </w:r>
      <w:r w:rsidR="005B08A6" w:rsidRPr="0048391B">
        <w:rPr>
          <w:sz w:val="24"/>
          <w:szCs w:val="24"/>
        </w:rPr>
        <w:lastRenderedPageBreak/>
        <w:t>information</w:t>
      </w:r>
      <w:r w:rsidR="00FB794E" w:rsidRPr="0048391B">
        <w:rPr>
          <w:sz w:val="24"/>
          <w:szCs w:val="24"/>
        </w:rPr>
        <w:t xml:space="preserve"> and </w:t>
      </w:r>
      <w:r w:rsidR="00E47169" w:rsidRPr="0048391B">
        <w:rPr>
          <w:sz w:val="24"/>
          <w:szCs w:val="24"/>
        </w:rPr>
        <w:t>crack</w:t>
      </w:r>
      <w:r w:rsidR="00FB794E" w:rsidRPr="0048391B">
        <w:rPr>
          <w:sz w:val="24"/>
          <w:szCs w:val="24"/>
        </w:rPr>
        <w:t xml:space="preserve"> down on activists</w:t>
      </w:r>
      <w:r w:rsidR="00F050C0">
        <w:rPr>
          <w:sz w:val="24"/>
          <w:szCs w:val="24"/>
        </w:rPr>
        <w:t>,</w:t>
      </w:r>
      <w:r w:rsidR="005B08A6" w:rsidRPr="0048391B">
        <w:rPr>
          <w:sz w:val="24"/>
          <w:szCs w:val="24"/>
        </w:rPr>
        <w:t xml:space="preserve"> </w:t>
      </w:r>
      <w:r w:rsidR="00F050C0">
        <w:rPr>
          <w:sz w:val="24"/>
          <w:szCs w:val="24"/>
        </w:rPr>
        <w:t>i</w:t>
      </w:r>
      <w:r w:rsidR="00E47169" w:rsidRPr="0048391B">
        <w:rPr>
          <w:sz w:val="24"/>
          <w:szCs w:val="24"/>
        </w:rPr>
        <w:t>n the name of upholding their obligations under the peace agreement</w:t>
      </w:r>
      <w:r w:rsidR="00FB794E" w:rsidRPr="0048391B">
        <w:rPr>
          <w:sz w:val="24"/>
          <w:szCs w:val="24"/>
        </w:rPr>
        <w:t xml:space="preserve">. </w:t>
      </w:r>
      <w:r w:rsidR="00025B17">
        <w:rPr>
          <w:sz w:val="24"/>
          <w:szCs w:val="24"/>
        </w:rPr>
        <w:t>C</w:t>
      </w:r>
      <w:r w:rsidR="00FB794E" w:rsidRPr="0048391B">
        <w:rPr>
          <w:sz w:val="24"/>
          <w:szCs w:val="24"/>
        </w:rPr>
        <w:t>itizen</w:t>
      </w:r>
      <w:r w:rsidR="005B08A6" w:rsidRPr="0048391B">
        <w:rPr>
          <w:sz w:val="24"/>
          <w:szCs w:val="24"/>
        </w:rPr>
        <w:t>s</w:t>
      </w:r>
      <w:r w:rsidR="00FB794E" w:rsidRPr="0048391B">
        <w:rPr>
          <w:sz w:val="24"/>
          <w:szCs w:val="24"/>
        </w:rPr>
        <w:t xml:space="preserve"> who </w:t>
      </w:r>
      <w:r w:rsidR="005B08A6" w:rsidRPr="0048391B">
        <w:rPr>
          <w:sz w:val="24"/>
          <w:szCs w:val="24"/>
        </w:rPr>
        <w:t>express</w:t>
      </w:r>
      <w:r w:rsidR="00FB794E" w:rsidRPr="0048391B">
        <w:rPr>
          <w:sz w:val="24"/>
          <w:szCs w:val="24"/>
        </w:rPr>
        <w:t xml:space="preserve"> </w:t>
      </w:r>
      <w:r w:rsidR="00E47169" w:rsidRPr="0048391B">
        <w:rPr>
          <w:sz w:val="24"/>
          <w:szCs w:val="24"/>
        </w:rPr>
        <w:t>criticisms</w:t>
      </w:r>
      <w:r w:rsidR="005B08A6" w:rsidRPr="0048391B">
        <w:rPr>
          <w:sz w:val="24"/>
          <w:szCs w:val="24"/>
        </w:rPr>
        <w:t xml:space="preserve"> find t</w:t>
      </w:r>
      <w:r w:rsidR="00FB794E" w:rsidRPr="0048391B">
        <w:rPr>
          <w:sz w:val="24"/>
          <w:szCs w:val="24"/>
        </w:rPr>
        <w:t xml:space="preserve">hemselves facing criminal prosecution, </w:t>
      </w:r>
      <w:r w:rsidR="00C236A5">
        <w:rPr>
          <w:sz w:val="24"/>
          <w:szCs w:val="24"/>
        </w:rPr>
        <w:t>arrest,</w:t>
      </w:r>
      <w:r w:rsidR="00AA3969">
        <w:rPr>
          <w:sz w:val="24"/>
          <w:szCs w:val="24"/>
        </w:rPr>
        <w:t xml:space="preserve"> or</w:t>
      </w:r>
      <w:r w:rsidR="00FB794E" w:rsidRPr="0048391B">
        <w:rPr>
          <w:sz w:val="24"/>
          <w:szCs w:val="24"/>
        </w:rPr>
        <w:t xml:space="preserve"> </w:t>
      </w:r>
      <w:r w:rsidR="00C236A5">
        <w:rPr>
          <w:sz w:val="24"/>
          <w:szCs w:val="24"/>
        </w:rPr>
        <w:t xml:space="preserve">even </w:t>
      </w:r>
      <w:r w:rsidR="00BD0E3A" w:rsidRPr="0048391B">
        <w:rPr>
          <w:sz w:val="24"/>
          <w:szCs w:val="24"/>
        </w:rPr>
        <w:t xml:space="preserve">revocation </w:t>
      </w:r>
      <w:r w:rsidR="00FB794E" w:rsidRPr="0048391B">
        <w:rPr>
          <w:sz w:val="24"/>
          <w:szCs w:val="24"/>
        </w:rPr>
        <w:t xml:space="preserve">of citizenship. </w:t>
      </w:r>
    </w:p>
    <w:p w14:paraId="2F28FFB3" w14:textId="35C24B13" w:rsidR="00FB794E" w:rsidRPr="0048391B" w:rsidRDefault="00FB794E" w:rsidP="00BD0E3A">
      <w:pPr>
        <w:spacing w:after="0" w:line="480" w:lineRule="auto"/>
        <w:jc w:val="both"/>
        <w:rPr>
          <w:sz w:val="24"/>
          <w:szCs w:val="24"/>
        </w:rPr>
      </w:pPr>
      <w:r w:rsidRPr="0048391B">
        <w:rPr>
          <w:sz w:val="24"/>
          <w:szCs w:val="24"/>
        </w:rPr>
        <w:tab/>
        <w:t xml:space="preserve">Secondly, such peace </w:t>
      </w:r>
      <w:r w:rsidR="00E70407">
        <w:rPr>
          <w:sz w:val="24"/>
          <w:szCs w:val="24"/>
        </w:rPr>
        <w:t>initiatives</w:t>
      </w:r>
      <w:r w:rsidRPr="0048391B">
        <w:rPr>
          <w:sz w:val="24"/>
          <w:szCs w:val="24"/>
        </w:rPr>
        <w:t xml:space="preserve"> facilitate the </w:t>
      </w:r>
      <w:r w:rsidRPr="0048391B">
        <w:rPr>
          <w:b/>
          <w:bCs/>
          <w:sz w:val="24"/>
          <w:szCs w:val="24"/>
        </w:rPr>
        <w:t>fraying of social ties</w:t>
      </w:r>
      <w:r w:rsidRPr="0048391B">
        <w:rPr>
          <w:sz w:val="24"/>
          <w:szCs w:val="24"/>
        </w:rPr>
        <w:t xml:space="preserve">. As a way of policing dissent, the state encourages citizens to report on one another, and actively erodes </w:t>
      </w:r>
      <w:r w:rsidR="00F050C0">
        <w:rPr>
          <w:sz w:val="24"/>
          <w:szCs w:val="24"/>
        </w:rPr>
        <w:t xml:space="preserve">social </w:t>
      </w:r>
      <w:r w:rsidRPr="0048391B">
        <w:rPr>
          <w:sz w:val="24"/>
          <w:szCs w:val="24"/>
        </w:rPr>
        <w:t>trust. Citizens self-censor in order to avoid trouble. States also outsource repression, directly or indirectly, to GONGOs, universities, and other sites of mobilization, as well as family groups and tribes.</w:t>
      </w:r>
      <w:r w:rsidR="00BD0E3A" w:rsidRPr="0048391B">
        <w:rPr>
          <w:sz w:val="24"/>
          <w:szCs w:val="24"/>
        </w:rPr>
        <w:t xml:space="preserve"> This further weakens social ties in the few spaces citizens have</w:t>
      </w:r>
      <w:r w:rsidR="00812284">
        <w:rPr>
          <w:sz w:val="24"/>
          <w:szCs w:val="24"/>
        </w:rPr>
        <w:t xml:space="preserve">. </w:t>
      </w:r>
    </w:p>
    <w:p w14:paraId="19776674" w14:textId="4B307490" w:rsidR="00E47169" w:rsidRPr="0048391B" w:rsidRDefault="00FB794E" w:rsidP="001E421C">
      <w:pPr>
        <w:spacing w:after="0" w:line="480" w:lineRule="auto"/>
        <w:jc w:val="both"/>
        <w:rPr>
          <w:sz w:val="24"/>
          <w:szCs w:val="24"/>
        </w:rPr>
      </w:pPr>
      <w:r w:rsidRPr="0048391B">
        <w:rPr>
          <w:sz w:val="24"/>
          <w:szCs w:val="24"/>
        </w:rPr>
        <w:tab/>
        <w:t xml:space="preserve">Thirdly, </w:t>
      </w:r>
      <w:r w:rsidR="00E70407">
        <w:rPr>
          <w:sz w:val="24"/>
          <w:szCs w:val="24"/>
        </w:rPr>
        <w:t xml:space="preserve">such illiberal </w:t>
      </w:r>
      <w:r w:rsidRPr="0048391B">
        <w:rPr>
          <w:sz w:val="24"/>
          <w:szCs w:val="24"/>
        </w:rPr>
        <w:t>peace help</w:t>
      </w:r>
      <w:r w:rsidR="00E70407">
        <w:rPr>
          <w:sz w:val="24"/>
          <w:szCs w:val="24"/>
        </w:rPr>
        <w:t>s</w:t>
      </w:r>
      <w:r w:rsidRPr="0048391B">
        <w:rPr>
          <w:sz w:val="24"/>
          <w:szCs w:val="24"/>
        </w:rPr>
        <w:t xml:space="preserve"> to develop authoritarian practices </w:t>
      </w:r>
      <w:r w:rsidR="001E421C" w:rsidRPr="0048391B">
        <w:rPr>
          <w:sz w:val="24"/>
          <w:szCs w:val="24"/>
        </w:rPr>
        <w:t xml:space="preserve">through the </w:t>
      </w:r>
      <w:r w:rsidR="001E421C" w:rsidRPr="0048391B">
        <w:rPr>
          <w:b/>
          <w:bCs/>
          <w:sz w:val="24"/>
          <w:szCs w:val="24"/>
        </w:rPr>
        <w:t>acquisition</w:t>
      </w:r>
      <w:r w:rsidR="001E421C" w:rsidRPr="0048391B">
        <w:rPr>
          <w:sz w:val="24"/>
          <w:szCs w:val="24"/>
        </w:rPr>
        <w:t xml:space="preserve"> </w:t>
      </w:r>
      <w:r w:rsidR="001E421C" w:rsidRPr="0048391B">
        <w:rPr>
          <w:b/>
          <w:bCs/>
          <w:sz w:val="24"/>
          <w:szCs w:val="24"/>
        </w:rPr>
        <w:t>of</w:t>
      </w:r>
      <w:r w:rsidRPr="0048391B">
        <w:rPr>
          <w:b/>
          <w:bCs/>
          <w:sz w:val="24"/>
          <w:szCs w:val="24"/>
        </w:rPr>
        <w:t xml:space="preserve"> </w:t>
      </w:r>
      <w:r w:rsidR="001E421C" w:rsidRPr="0048391B">
        <w:rPr>
          <w:b/>
          <w:bCs/>
          <w:sz w:val="24"/>
          <w:szCs w:val="24"/>
        </w:rPr>
        <w:t>repressive</w:t>
      </w:r>
      <w:r w:rsidRPr="0048391B">
        <w:rPr>
          <w:b/>
          <w:bCs/>
          <w:sz w:val="24"/>
          <w:szCs w:val="24"/>
        </w:rPr>
        <w:t xml:space="preserve"> technologies</w:t>
      </w:r>
      <w:r w:rsidRPr="0048391B">
        <w:rPr>
          <w:sz w:val="24"/>
          <w:szCs w:val="24"/>
        </w:rPr>
        <w:t xml:space="preserve">. This happens between states, through military-to-military coordination </w:t>
      </w:r>
      <w:r w:rsidR="00E70407">
        <w:rPr>
          <w:sz w:val="24"/>
          <w:szCs w:val="24"/>
        </w:rPr>
        <w:t>and</w:t>
      </w:r>
      <w:r w:rsidRPr="0048391B">
        <w:rPr>
          <w:sz w:val="24"/>
          <w:szCs w:val="24"/>
        </w:rPr>
        <w:t xml:space="preserve"> intelligence sharing, but </w:t>
      </w:r>
      <w:r w:rsidR="00E47169" w:rsidRPr="0048391B">
        <w:rPr>
          <w:sz w:val="24"/>
          <w:szCs w:val="24"/>
        </w:rPr>
        <w:t xml:space="preserve">also via </w:t>
      </w:r>
      <w:r w:rsidRPr="0048391B">
        <w:rPr>
          <w:sz w:val="24"/>
          <w:szCs w:val="24"/>
        </w:rPr>
        <w:t>corporations. Both pathways occur because</w:t>
      </w:r>
      <w:r w:rsidR="00F91E29" w:rsidRPr="0048391B">
        <w:rPr>
          <w:sz w:val="24"/>
          <w:szCs w:val="24"/>
        </w:rPr>
        <w:t xml:space="preserve"> Israel is a major source of authoritarian expertise. </w:t>
      </w:r>
      <w:r w:rsidR="00BD0E3A" w:rsidRPr="0048391B">
        <w:rPr>
          <w:sz w:val="24"/>
          <w:szCs w:val="24"/>
        </w:rPr>
        <w:t>Israel’s</w:t>
      </w:r>
      <w:r w:rsidR="00F91E29" w:rsidRPr="0048391B">
        <w:rPr>
          <w:sz w:val="24"/>
          <w:szCs w:val="24"/>
        </w:rPr>
        <w:t xml:space="preserve"> occupation </w:t>
      </w:r>
      <w:r w:rsidR="00E56EB3" w:rsidRPr="0048391B">
        <w:rPr>
          <w:sz w:val="24"/>
          <w:szCs w:val="24"/>
        </w:rPr>
        <w:t xml:space="preserve">of the Palestinian territories </w:t>
      </w:r>
      <w:r w:rsidR="00F91E29" w:rsidRPr="0048391B">
        <w:rPr>
          <w:sz w:val="24"/>
          <w:szCs w:val="24"/>
        </w:rPr>
        <w:t xml:space="preserve">has provided </w:t>
      </w:r>
      <w:r w:rsidR="00BD0E3A" w:rsidRPr="0048391B">
        <w:rPr>
          <w:sz w:val="24"/>
          <w:szCs w:val="24"/>
        </w:rPr>
        <w:t>it</w:t>
      </w:r>
      <w:r w:rsidR="00F91E29" w:rsidRPr="0048391B">
        <w:rPr>
          <w:sz w:val="24"/>
          <w:szCs w:val="24"/>
        </w:rPr>
        <w:t xml:space="preserve"> with decades of experience in policing, surveilling, and criminalizing dissent.</w:t>
      </w:r>
      <w:r w:rsidR="00A56B2B" w:rsidRPr="0048391B">
        <w:rPr>
          <w:rStyle w:val="FootnoteReference"/>
          <w:sz w:val="24"/>
          <w:szCs w:val="24"/>
        </w:rPr>
        <w:footnoteReference w:id="36"/>
      </w:r>
      <w:r w:rsidR="00F91E29" w:rsidRPr="0048391B">
        <w:rPr>
          <w:sz w:val="24"/>
          <w:szCs w:val="24"/>
        </w:rPr>
        <w:t xml:space="preserve"> </w:t>
      </w:r>
    </w:p>
    <w:p w14:paraId="0629145D" w14:textId="2DE0A4FB" w:rsidR="005C6875" w:rsidRPr="0048391B" w:rsidRDefault="00FB794E" w:rsidP="00E177A9">
      <w:pPr>
        <w:spacing w:after="0" w:line="480" w:lineRule="auto"/>
        <w:ind w:firstLine="720"/>
        <w:jc w:val="both"/>
        <w:rPr>
          <w:sz w:val="24"/>
          <w:szCs w:val="24"/>
        </w:rPr>
      </w:pPr>
      <w:r w:rsidRPr="0048391B">
        <w:rPr>
          <w:sz w:val="24"/>
          <w:szCs w:val="24"/>
        </w:rPr>
        <w:t xml:space="preserve">Israel exports this expertise via their defense industry, </w:t>
      </w:r>
      <w:r w:rsidR="006E7459">
        <w:rPr>
          <w:sz w:val="24"/>
          <w:szCs w:val="24"/>
        </w:rPr>
        <w:t xml:space="preserve">a </w:t>
      </w:r>
      <w:r w:rsidRPr="0048391B">
        <w:rPr>
          <w:sz w:val="24"/>
          <w:szCs w:val="24"/>
        </w:rPr>
        <w:t>major contributor to the economy</w:t>
      </w:r>
      <w:r w:rsidR="009424FD">
        <w:rPr>
          <w:sz w:val="24"/>
          <w:szCs w:val="24"/>
        </w:rPr>
        <w:t xml:space="preserve"> with </w:t>
      </w:r>
      <w:r w:rsidR="00E47169" w:rsidRPr="0048391B">
        <w:rPr>
          <w:sz w:val="24"/>
          <w:szCs w:val="24"/>
        </w:rPr>
        <w:t xml:space="preserve">ties to the Israeli </w:t>
      </w:r>
      <w:r w:rsidR="009424FD">
        <w:rPr>
          <w:sz w:val="24"/>
          <w:szCs w:val="24"/>
        </w:rPr>
        <w:t>government</w:t>
      </w:r>
      <w:r w:rsidR="00E47169" w:rsidRPr="0048391B">
        <w:rPr>
          <w:sz w:val="24"/>
          <w:szCs w:val="24"/>
        </w:rPr>
        <w:t xml:space="preserve">. </w:t>
      </w:r>
      <w:r w:rsidR="00E70407">
        <w:rPr>
          <w:sz w:val="24"/>
          <w:szCs w:val="24"/>
        </w:rPr>
        <w:t>Moreover</w:t>
      </w:r>
      <w:r w:rsidR="008D4CBD" w:rsidRPr="0048391B">
        <w:rPr>
          <w:sz w:val="24"/>
          <w:szCs w:val="24"/>
        </w:rPr>
        <w:t xml:space="preserve">, </w:t>
      </w:r>
      <w:r w:rsidR="00B2435B" w:rsidRPr="0048391B">
        <w:rPr>
          <w:sz w:val="24"/>
          <w:szCs w:val="24"/>
        </w:rPr>
        <w:t>Israel consistently ranks among the top countries for military exports</w:t>
      </w:r>
      <w:r w:rsidR="00E70407">
        <w:rPr>
          <w:sz w:val="24"/>
          <w:szCs w:val="24"/>
        </w:rPr>
        <w:t xml:space="preserve"> (#8 in</w:t>
      </w:r>
      <w:r w:rsidR="00B2435B" w:rsidRPr="0048391B">
        <w:rPr>
          <w:sz w:val="24"/>
          <w:szCs w:val="24"/>
        </w:rPr>
        <w:t xml:space="preserve"> the latest SIPRI report</w:t>
      </w:r>
      <w:r w:rsidR="00E70407">
        <w:rPr>
          <w:sz w:val="24"/>
          <w:szCs w:val="24"/>
        </w:rPr>
        <w:t>).</w:t>
      </w:r>
      <w:r w:rsidRPr="0048391B">
        <w:rPr>
          <w:sz w:val="24"/>
          <w:szCs w:val="24"/>
        </w:rPr>
        <w:t xml:space="preserve"> In comparison, Saudi Arabia, UAE, and Qatar are ranked #1, </w:t>
      </w:r>
      <w:r w:rsidR="00B2435B" w:rsidRPr="0048391B">
        <w:rPr>
          <w:sz w:val="24"/>
          <w:szCs w:val="24"/>
        </w:rPr>
        <w:t>#8</w:t>
      </w:r>
      <w:r w:rsidR="00C30C80" w:rsidRPr="0048391B">
        <w:rPr>
          <w:sz w:val="24"/>
          <w:szCs w:val="24"/>
        </w:rPr>
        <w:t>,</w:t>
      </w:r>
      <w:r w:rsidR="00B2435B" w:rsidRPr="0048391B">
        <w:rPr>
          <w:sz w:val="24"/>
          <w:szCs w:val="24"/>
        </w:rPr>
        <w:t xml:space="preserve"> </w:t>
      </w:r>
      <w:r w:rsidRPr="0048391B">
        <w:rPr>
          <w:sz w:val="24"/>
          <w:szCs w:val="24"/>
        </w:rPr>
        <w:t xml:space="preserve">and #10 </w:t>
      </w:r>
      <w:r w:rsidR="00B2435B" w:rsidRPr="0048391B">
        <w:rPr>
          <w:sz w:val="24"/>
          <w:szCs w:val="24"/>
        </w:rPr>
        <w:t>respectively</w:t>
      </w:r>
      <w:r w:rsidR="00C30C80" w:rsidRPr="0048391B">
        <w:rPr>
          <w:sz w:val="24"/>
          <w:szCs w:val="24"/>
        </w:rPr>
        <w:t>,</w:t>
      </w:r>
      <w:r w:rsidR="00B2435B" w:rsidRPr="0048391B">
        <w:rPr>
          <w:sz w:val="24"/>
          <w:szCs w:val="24"/>
        </w:rPr>
        <w:t xml:space="preserve"> </w:t>
      </w:r>
      <w:r w:rsidR="00E70407">
        <w:rPr>
          <w:sz w:val="24"/>
          <w:szCs w:val="24"/>
        </w:rPr>
        <w:t>as</w:t>
      </w:r>
      <w:r w:rsidR="00B2435B" w:rsidRPr="0048391B">
        <w:rPr>
          <w:sz w:val="24"/>
          <w:szCs w:val="24"/>
        </w:rPr>
        <w:t xml:space="preserve"> main </w:t>
      </w:r>
      <w:r w:rsidR="00B2435B" w:rsidRPr="00E70407">
        <w:rPr>
          <w:sz w:val="24"/>
          <w:szCs w:val="24"/>
        </w:rPr>
        <w:t>importers</w:t>
      </w:r>
      <w:r w:rsidR="00B2435B" w:rsidRPr="0048391B">
        <w:rPr>
          <w:sz w:val="24"/>
          <w:szCs w:val="24"/>
        </w:rPr>
        <w:t xml:space="preserve"> of military technology.</w:t>
      </w:r>
      <w:r w:rsidR="00680761" w:rsidRPr="0048391B">
        <w:rPr>
          <w:rStyle w:val="FootnoteReference"/>
          <w:sz w:val="24"/>
          <w:szCs w:val="24"/>
        </w:rPr>
        <w:footnoteReference w:id="37"/>
      </w:r>
      <w:r w:rsidR="00300DB7">
        <w:rPr>
          <w:sz w:val="24"/>
          <w:szCs w:val="24"/>
        </w:rPr>
        <w:t xml:space="preserve"> </w:t>
      </w:r>
      <w:r w:rsidR="00E70407">
        <w:rPr>
          <w:sz w:val="24"/>
          <w:szCs w:val="24"/>
        </w:rPr>
        <w:lastRenderedPageBreak/>
        <w:t>P</w:t>
      </w:r>
      <w:r w:rsidR="00E177A9" w:rsidRPr="0048391B">
        <w:rPr>
          <w:sz w:val="24"/>
          <w:szCs w:val="24"/>
        </w:rPr>
        <w:t>eace with Israel</w:t>
      </w:r>
      <w:r w:rsidR="00063596" w:rsidRPr="0048391B">
        <w:rPr>
          <w:sz w:val="24"/>
          <w:szCs w:val="24"/>
        </w:rPr>
        <w:t xml:space="preserve"> </w:t>
      </w:r>
      <w:r w:rsidR="00E70407">
        <w:rPr>
          <w:sz w:val="24"/>
          <w:szCs w:val="24"/>
        </w:rPr>
        <w:t xml:space="preserve">thus </w:t>
      </w:r>
      <w:r w:rsidR="00063596" w:rsidRPr="0048391B">
        <w:rPr>
          <w:sz w:val="24"/>
          <w:szCs w:val="24"/>
        </w:rPr>
        <w:t xml:space="preserve">allows </w:t>
      </w:r>
      <w:r w:rsidR="00300DB7">
        <w:rPr>
          <w:sz w:val="24"/>
          <w:szCs w:val="24"/>
        </w:rPr>
        <w:t xml:space="preserve">Arab states </w:t>
      </w:r>
      <w:r w:rsidR="00063596" w:rsidRPr="0048391B">
        <w:rPr>
          <w:sz w:val="24"/>
          <w:szCs w:val="24"/>
        </w:rPr>
        <w:t xml:space="preserve">to increase their access to authoritarian technologies – as well as </w:t>
      </w:r>
      <w:r w:rsidR="00300DB7">
        <w:rPr>
          <w:sz w:val="24"/>
          <w:szCs w:val="24"/>
        </w:rPr>
        <w:t>project power abroad</w:t>
      </w:r>
      <w:r w:rsidR="00C07A14" w:rsidRPr="0048391B">
        <w:rPr>
          <w:sz w:val="24"/>
          <w:szCs w:val="24"/>
        </w:rPr>
        <w:t>.</w:t>
      </w:r>
    </w:p>
    <w:p w14:paraId="326FA417" w14:textId="77777777" w:rsidR="006E410D" w:rsidRPr="0048391B" w:rsidRDefault="006E410D" w:rsidP="003D2B7D">
      <w:pPr>
        <w:spacing w:after="0" w:line="480" w:lineRule="auto"/>
        <w:ind w:firstLine="720"/>
        <w:jc w:val="both"/>
        <w:rPr>
          <w:sz w:val="24"/>
          <w:szCs w:val="24"/>
        </w:rPr>
      </w:pPr>
    </w:p>
    <w:p w14:paraId="70FEED41" w14:textId="7F7CB64B" w:rsidR="005C6875" w:rsidRPr="0048391B" w:rsidRDefault="005C6875" w:rsidP="005C6875">
      <w:pPr>
        <w:spacing w:after="0" w:line="480" w:lineRule="auto"/>
        <w:jc w:val="both"/>
        <w:rPr>
          <w:b/>
          <w:bCs/>
          <w:sz w:val="24"/>
          <w:szCs w:val="24"/>
        </w:rPr>
      </w:pPr>
      <w:r w:rsidRPr="00B745BC">
        <w:rPr>
          <w:b/>
          <w:bCs/>
          <w:sz w:val="24"/>
          <w:szCs w:val="24"/>
        </w:rPr>
        <w:t>Method</w:t>
      </w:r>
      <w:r w:rsidR="006D16F4" w:rsidRPr="00B745BC">
        <w:rPr>
          <w:b/>
          <w:bCs/>
          <w:sz w:val="24"/>
          <w:szCs w:val="24"/>
        </w:rPr>
        <w:t>ology</w:t>
      </w:r>
    </w:p>
    <w:p w14:paraId="7346AECC" w14:textId="353F6E51" w:rsidR="009B4B0C" w:rsidRDefault="00C7220A" w:rsidP="00A93D0D">
      <w:pPr>
        <w:spacing w:after="0" w:line="480" w:lineRule="auto"/>
        <w:ind w:firstLine="720"/>
        <w:jc w:val="both"/>
        <w:rPr>
          <w:sz w:val="24"/>
          <w:szCs w:val="24"/>
        </w:rPr>
      </w:pPr>
      <w:r w:rsidRPr="0048391B">
        <w:rPr>
          <w:sz w:val="24"/>
          <w:szCs w:val="24"/>
        </w:rPr>
        <w:t xml:space="preserve">I use qualitative data to illustrate the three </w:t>
      </w:r>
      <w:r w:rsidR="00C63B35" w:rsidRPr="0048391B">
        <w:rPr>
          <w:sz w:val="24"/>
          <w:szCs w:val="24"/>
        </w:rPr>
        <w:t>mechanisms</w:t>
      </w:r>
      <w:r w:rsidRPr="0048391B">
        <w:rPr>
          <w:sz w:val="24"/>
          <w:szCs w:val="24"/>
        </w:rPr>
        <w:t xml:space="preserve"> described above. This data was collected over two years of fieldwork</w:t>
      </w:r>
      <w:r w:rsidR="002B52CD">
        <w:rPr>
          <w:sz w:val="24"/>
          <w:szCs w:val="24"/>
        </w:rPr>
        <w:t xml:space="preserve"> (2018 – 2020)</w:t>
      </w:r>
      <w:r w:rsidRPr="0048391B">
        <w:rPr>
          <w:sz w:val="24"/>
          <w:szCs w:val="24"/>
        </w:rPr>
        <w:t xml:space="preserve">, in which I conducted </w:t>
      </w:r>
      <w:r w:rsidR="004A3456">
        <w:rPr>
          <w:sz w:val="24"/>
          <w:szCs w:val="24"/>
        </w:rPr>
        <w:t xml:space="preserve">political ethnography </w:t>
      </w:r>
      <w:r w:rsidRPr="0048391B">
        <w:rPr>
          <w:sz w:val="24"/>
          <w:szCs w:val="24"/>
        </w:rPr>
        <w:t>and observed civil society organizations</w:t>
      </w:r>
      <w:r w:rsidR="005B08A6" w:rsidRPr="0048391B">
        <w:rPr>
          <w:sz w:val="24"/>
          <w:szCs w:val="24"/>
        </w:rPr>
        <w:t>, before and after advancements in normalization</w:t>
      </w:r>
      <w:r w:rsidR="00C60363">
        <w:rPr>
          <w:sz w:val="24"/>
          <w:szCs w:val="24"/>
        </w:rPr>
        <w:t>/</w:t>
      </w:r>
      <w:r w:rsidR="005B08A6" w:rsidRPr="0048391B">
        <w:rPr>
          <w:sz w:val="24"/>
          <w:szCs w:val="24"/>
        </w:rPr>
        <w:t>official peace agreements</w:t>
      </w:r>
      <w:r w:rsidRPr="0048391B">
        <w:rPr>
          <w:sz w:val="24"/>
          <w:szCs w:val="24"/>
        </w:rPr>
        <w:t>.</w:t>
      </w:r>
      <w:r w:rsidR="00704A75">
        <w:rPr>
          <w:sz w:val="24"/>
          <w:szCs w:val="24"/>
        </w:rPr>
        <w:t xml:space="preserve"> These groups included those focused on human rights, democratic accountability, and pro-Palestine advocacy.</w:t>
      </w:r>
      <w:r w:rsidR="009B4B0C">
        <w:rPr>
          <w:sz w:val="24"/>
          <w:szCs w:val="24"/>
        </w:rPr>
        <w:t xml:space="preserve"> </w:t>
      </w:r>
      <w:r w:rsidR="009B4B0C" w:rsidRPr="0048391B">
        <w:rPr>
          <w:sz w:val="24"/>
          <w:szCs w:val="24"/>
        </w:rPr>
        <w:t>I chose to focus on the impacts of the relationship between peace initiatives on one hand and proliferation of authoritarian practices on the other</w:t>
      </w:r>
      <w:r w:rsidR="009B4B0C">
        <w:rPr>
          <w:sz w:val="24"/>
          <w:szCs w:val="24"/>
        </w:rPr>
        <w:t xml:space="preserve"> through the lens of civil society groups. I did so to </w:t>
      </w:r>
      <w:r w:rsidR="009B4B0C" w:rsidRPr="0048391B">
        <w:rPr>
          <w:sz w:val="24"/>
          <w:szCs w:val="24"/>
        </w:rPr>
        <w:t xml:space="preserve">show how </w:t>
      </w:r>
      <w:r w:rsidR="009B4B0C">
        <w:rPr>
          <w:sz w:val="24"/>
          <w:szCs w:val="24"/>
        </w:rPr>
        <w:t>peace initiatives impact</w:t>
      </w:r>
      <w:r w:rsidR="009B4B0C" w:rsidRPr="0048391B">
        <w:rPr>
          <w:sz w:val="24"/>
          <w:szCs w:val="24"/>
        </w:rPr>
        <w:t xml:space="preserve"> the lived experiences of citizens in these places.</w:t>
      </w:r>
    </w:p>
    <w:p w14:paraId="30E93CFA" w14:textId="17E5C954" w:rsidR="001947DC" w:rsidRPr="00B745BC" w:rsidRDefault="00C7220A" w:rsidP="0026283D">
      <w:pPr>
        <w:spacing w:after="0" w:line="480" w:lineRule="auto"/>
        <w:ind w:firstLine="720"/>
        <w:jc w:val="both"/>
        <w:rPr>
          <w:sz w:val="24"/>
          <w:szCs w:val="24"/>
        </w:rPr>
      </w:pPr>
      <w:r w:rsidRPr="0048391B">
        <w:rPr>
          <w:sz w:val="24"/>
          <w:szCs w:val="24"/>
        </w:rPr>
        <w:t xml:space="preserve"> </w:t>
      </w:r>
      <w:r w:rsidR="009B4B0C">
        <w:rPr>
          <w:sz w:val="24"/>
          <w:szCs w:val="24"/>
        </w:rPr>
        <w:t>Research</w:t>
      </w:r>
      <w:r w:rsidR="00BD0E3A" w:rsidRPr="0048391B">
        <w:rPr>
          <w:sz w:val="24"/>
          <w:szCs w:val="24"/>
        </w:rPr>
        <w:t xml:space="preserve"> entailed attending </w:t>
      </w:r>
      <w:r w:rsidR="00230579">
        <w:rPr>
          <w:sz w:val="24"/>
          <w:szCs w:val="24"/>
        </w:rPr>
        <w:t>group meetings and events, as well as</w:t>
      </w:r>
      <w:r w:rsidR="00BD0E3A" w:rsidRPr="0048391B">
        <w:rPr>
          <w:sz w:val="24"/>
          <w:szCs w:val="24"/>
        </w:rPr>
        <w:t xml:space="preserve"> building relationships with key stakeholders.</w:t>
      </w:r>
      <w:r w:rsidR="00A43EE4" w:rsidRPr="0048391B">
        <w:rPr>
          <w:rStyle w:val="FootnoteReference"/>
          <w:sz w:val="24"/>
          <w:szCs w:val="24"/>
        </w:rPr>
        <w:footnoteReference w:id="38"/>
      </w:r>
      <w:r w:rsidR="009F52DE">
        <w:rPr>
          <w:sz w:val="24"/>
          <w:szCs w:val="24"/>
        </w:rPr>
        <w:t xml:space="preserve"> Events </w:t>
      </w:r>
      <w:r w:rsidR="005877DA">
        <w:rPr>
          <w:sz w:val="24"/>
          <w:szCs w:val="24"/>
        </w:rPr>
        <w:t>o</w:t>
      </w:r>
      <w:r w:rsidR="009F52DE">
        <w:rPr>
          <w:sz w:val="24"/>
          <w:szCs w:val="24"/>
        </w:rPr>
        <w:t xml:space="preserve">ccurred </w:t>
      </w:r>
      <w:r w:rsidR="005877DA">
        <w:rPr>
          <w:sz w:val="24"/>
          <w:szCs w:val="24"/>
        </w:rPr>
        <w:t>approximately</w:t>
      </w:r>
      <w:r w:rsidR="009F52DE">
        <w:rPr>
          <w:sz w:val="24"/>
          <w:szCs w:val="24"/>
        </w:rPr>
        <w:t xml:space="preserve"> </w:t>
      </w:r>
      <w:r w:rsidR="005877DA">
        <w:rPr>
          <w:sz w:val="24"/>
          <w:szCs w:val="24"/>
        </w:rPr>
        <w:t xml:space="preserve">once a month, though following the covid-19 pandemic a proliferation of online seminars/panels increased their frequency. Building </w:t>
      </w:r>
      <w:r w:rsidR="005877DA" w:rsidRPr="00961F06">
        <w:rPr>
          <w:sz w:val="24"/>
          <w:szCs w:val="24"/>
        </w:rPr>
        <w:t>relationships</w:t>
      </w:r>
      <w:r w:rsidR="00704A75" w:rsidRPr="00961F06">
        <w:rPr>
          <w:sz w:val="24"/>
          <w:szCs w:val="24"/>
        </w:rPr>
        <w:t xml:space="preserve"> with group members</w:t>
      </w:r>
      <w:r w:rsidR="00230579" w:rsidRPr="00961F06">
        <w:rPr>
          <w:sz w:val="24"/>
          <w:szCs w:val="24"/>
        </w:rPr>
        <w:t xml:space="preserve"> allowed me to supplement my fieldwork with </w:t>
      </w:r>
      <w:r w:rsidR="00447D2B" w:rsidRPr="00961F06">
        <w:rPr>
          <w:sz w:val="24"/>
          <w:szCs w:val="24"/>
        </w:rPr>
        <w:t>13</w:t>
      </w:r>
      <w:r w:rsidRPr="00961F06">
        <w:rPr>
          <w:sz w:val="24"/>
          <w:szCs w:val="24"/>
        </w:rPr>
        <w:t xml:space="preserve"> semi-structured interviews with activists </w:t>
      </w:r>
      <w:r w:rsidR="00143677" w:rsidRPr="00961F06">
        <w:rPr>
          <w:sz w:val="24"/>
          <w:szCs w:val="24"/>
        </w:rPr>
        <w:t xml:space="preserve">and leaders of </w:t>
      </w:r>
      <w:r w:rsidR="003C5207" w:rsidRPr="00961F06">
        <w:rPr>
          <w:sz w:val="24"/>
          <w:szCs w:val="24"/>
        </w:rPr>
        <w:t>such</w:t>
      </w:r>
      <w:r w:rsidR="00143677" w:rsidRPr="00961F06">
        <w:rPr>
          <w:sz w:val="24"/>
          <w:szCs w:val="24"/>
        </w:rPr>
        <w:t xml:space="preserve"> organizations</w:t>
      </w:r>
      <w:r w:rsidR="00185E0B" w:rsidRPr="00961F06">
        <w:rPr>
          <w:sz w:val="24"/>
          <w:szCs w:val="24"/>
        </w:rPr>
        <w:t>, w</w:t>
      </w:r>
      <w:r w:rsidR="00A0378D" w:rsidRPr="00961F06">
        <w:rPr>
          <w:sz w:val="24"/>
          <w:szCs w:val="24"/>
        </w:rPr>
        <w:t xml:space="preserve">hich resulted in </w:t>
      </w:r>
      <w:r w:rsidR="009F52DE" w:rsidRPr="00961F06">
        <w:rPr>
          <w:sz w:val="24"/>
          <w:szCs w:val="24"/>
        </w:rPr>
        <w:t>approximately 30</w:t>
      </w:r>
      <w:r w:rsidR="00467D3D" w:rsidRPr="00961F06">
        <w:rPr>
          <w:sz w:val="24"/>
          <w:szCs w:val="24"/>
        </w:rPr>
        <w:t xml:space="preserve"> </w:t>
      </w:r>
      <w:r w:rsidR="009F52DE" w:rsidRPr="00961F06">
        <w:rPr>
          <w:sz w:val="24"/>
          <w:szCs w:val="24"/>
        </w:rPr>
        <w:t xml:space="preserve">additional </w:t>
      </w:r>
      <w:r w:rsidR="00467D3D" w:rsidRPr="00961F06">
        <w:rPr>
          <w:sz w:val="24"/>
          <w:szCs w:val="24"/>
        </w:rPr>
        <w:t xml:space="preserve">hours of </w:t>
      </w:r>
      <w:r w:rsidR="008F5E21" w:rsidRPr="00961F06">
        <w:rPr>
          <w:sz w:val="24"/>
          <w:szCs w:val="24"/>
        </w:rPr>
        <w:t xml:space="preserve">direct </w:t>
      </w:r>
      <w:r w:rsidR="00467D3D" w:rsidRPr="00961F06">
        <w:rPr>
          <w:sz w:val="24"/>
          <w:szCs w:val="24"/>
        </w:rPr>
        <w:t>exposure</w:t>
      </w:r>
      <w:r w:rsidR="00A0378D" w:rsidRPr="00961F06">
        <w:rPr>
          <w:sz w:val="24"/>
          <w:szCs w:val="24"/>
        </w:rPr>
        <w:t>.</w:t>
      </w:r>
      <w:r w:rsidR="00594A24" w:rsidRPr="00961F06">
        <w:rPr>
          <w:sz w:val="24"/>
          <w:szCs w:val="24"/>
        </w:rPr>
        <w:t xml:space="preserve"> </w:t>
      </w:r>
      <w:r w:rsidR="0026283D" w:rsidRPr="00961F06">
        <w:rPr>
          <w:sz w:val="24"/>
          <w:szCs w:val="24"/>
        </w:rPr>
        <w:t xml:space="preserve">Moreover, </w:t>
      </w:r>
      <w:r w:rsidR="00B86297" w:rsidRPr="00961F06">
        <w:rPr>
          <w:sz w:val="24"/>
          <w:szCs w:val="24"/>
        </w:rPr>
        <w:t xml:space="preserve">I </w:t>
      </w:r>
      <w:r w:rsidR="00A93D0D" w:rsidRPr="00961F06">
        <w:rPr>
          <w:sz w:val="24"/>
          <w:szCs w:val="24"/>
        </w:rPr>
        <w:t>followed “case study logic”</w:t>
      </w:r>
      <w:r w:rsidR="001947DC" w:rsidRPr="00961F06">
        <w:rPr>
          <w:sz w:val="24"/>
          <w:szCs w:val="24"/>
        </w:rPr>
        <w:t xml:space="preserve"> to determine who was interviewed,</w:t>
      </w:r>
      <w:r w:rsidR="00A93D0D" w:rsidRPr="00961F06">
        <w:rPr>
          <w:sz w:val="24"/>
          <w:szCs w:val="24"/>
        </w:rPr>
        <w:t xml:space="preserve"> </w:t>
      </w:r>
      <w:r w:rsidR="00DF3694" w:rsidRPr="00961F06">
        <w:rPr>
          <w:sz w:val="24"/>
          <w:szCs w:val="24"/>
        </w:rPr>
        <w:t xml:space="preserve">viewing each interview as its own case. This </w:t>
      </w:r>
      <w:r w:rsidR="000670B3" w:rsidRPr="00961F06">
        <w:rPr>
          <w:sz w:val="24"/>
          <w:szCs w:val="24"/>
        </w:rPr>
        <w:t>method</w:t>
      </w:r>
      <w:r w:rsidR="00A93D0D" w:rsidRPr="00961F06">
        <w:rPr>
          <w:sz w:val="24"/>
          <w:szCs w:val="24"/>
        </w:rPr>
        <w:t xml:space="preserve"> “proceeds sequentially,</w:t>
      </w:r>
      <w:r w:rsidR="0062315D" w:rsidRPr="00961F06">
        <w:rPr>
          <w:sz w:val="24"/>
          <w:szCs w:val="24"/>
        </w:rPr>
        <w:t>” recognizing tha</w:t>
      </w:r>
      <w:r w:rsidR="00A93D0D" w:rsidRPr="00961F06">
        <w:rPr>
          <w:sz w:val="24"/>
          <w:szCs w:val="24"/>
        </w:rPr>
        <w:t xml:space="preserve">t </w:t>
      </w:r>
      <w:r w:rsidR="0062315D" w:rsidRPr="00961F06">
        <w:rPr>
          <w:sz w:val="24"/>
          <w:szCs w:val="24"/>
        </w:rPr>
        <w:t>“</w:t>
      </w:r>
      <w:r w:rsidR="00A93D0D" w:rsidRPr="00961F06">
        <w:rPr>
          <w:sz w:val="24"/>
          <w:szCs w:val="24"/>
        </w:rPr>
        <w:t xml:space="preserve">each case provides an increasingly accurate understanding of the </w:t>
      </w:r>
      <w:r w:rsidR="00A93D0D" w:rsidRPr="00B745BC">
        <w:rPr>
          <w:sz w:val="24"/>
          <w:szCs w:val="24"/>
        </w:rPr>
        <w:lastRenderedPageBreak/>
        <w:t>question</w:t>
      </w:r>
      <w:r w:rsidR="001947DC" w:rsidRPr="00B745BC">
        <w:rPr>
          <w:sz w:val="24"/>
          <w:szCs w:val="24"/>
        </w:rPr>
        <w:t>.”</w:t>
      </w:r>
      <w:r w:rsidR="002E7472" w:rsidRPr="00B745BC">
        <w:rPr>
          <w:rStyle w:val="FootnoteReference"/>
          <w:sz w:val="24"/>
          <w:szCs w:val="24"/>
        </w:rPr>
        <w:footnoteReference w:id="39"/>
      </w:r>
      <w:r w:rsidR="001947DC" w:rsidRPr="00B745BC">
        <w:rPr>
          <w:sz w:val="24"/>
          <w:szCs w:val="24"/>
        </w:rPr>
        <w:t xml:space="preserve"> </w:t>
      </w:r>
      <w:r w:rsidR="000670B3" w:rsidRPr="00B745BC">
        <w:rPr>
          <w:sz w:val="24"/>
          <w:szCs w:val="24"/>
        </w:rPr>
        <w:t>Unlike sampling logic</w:t>
      </w:r>
      <w:r w:rsidR="00DF3694" w:rsidRPr="00B745BC">
        <w:rPr>
          <w:sz w:val="24"/>
          <w:szCs w:val="24"/>
        </w:rPr>
        <w:t xml:space="preserve"> (more common to quantitative methods)</w:t>
      </w:r>
      <w:r w:rsidR="000670B3" w:rsidRPr="00B745BC">
        <w:rPr>
          <w:sz w:val="24"/>
          <w:szCs w:val="24"/>
        </w:rPr>
        <w:t xml:space="preserve"> which focuses on generalizability, case study logic is more “effective when asking how or why questions about processes unknown before the start of the study</w:t>
      </w:r>
      <w:r w:rsidR="000B4DEA" w:rsidRPr="00B745BC">
        <w:rPr>
          <w:sz w:val="24"/>
          <w:szCs w:val="24"/>
        </w:rPr>
        <w:t>.”</w:t>
      </w:r>
      <w:r w:rsidR="00B61F73" w:rsidRPr="00B745BC">
        <w:rPr>
          <w:rStyle w:val="FootnoteReference"/>
          <w:sz w:val="24"/>
          <w:szCs w:val="24"/>
        </w:rPr>
        <w:footnoteReference w:id="40"/>
      </w:r>
      <w:r w:rsidR="000B4DEA" w:rsidRPr="00B745BC">
        <w:rPr>
          <w:sz w:val="24"/>
          <w:szCs w:val="24"/>
        </w:rPr>
        <w:t xml:space="preserve"> </w:t>
      </w:r>
      <w:r w:rsidR="00F949B4" w:rsidRPr="00B745BC">
        <w:rPr>
          <w:sz w:val="24"/>
          <w:szCs w:val="24"/>
        </w:rPr>
        <w:t>Saturation, rather than scope of description</w:t>
      </w:r>
      <w:r w:rsidR="0026283D" w:rsidRPr="00B745BC">
        <w:rPr>
          <w:sz w:val="24"/>
          <w:szCs w:val="24"/>
        </w:rPr>
        <w:t xml:space="preserve"> or sheer number of datapoints</w:t>
      </w:r>
      <w:r w:rsidR="00F949B4" w:rsidRPr="00B745BC">
        <w:rPr>
          <w:sz w:val="24"/>
          <w:szCs w:val="24"/>
        </w:rPr>
        <w:t xml:space="preserve">, is </w:t>
      </w:r>
      <w:r w:rsidR="00E6596A" w:rsidRPr="00B745BC">
        <w:rPr>
          <w:sz w:val="24"/>
          <w:szCs w:val="24"/>
        </w:rPr>
        <w:t>therefore k</w:t>
      </w:r>
      <w:r w:rsidR="00F949B4" w:rsidRPr="00B745BC">
        <w:rPr>
          <w:sz w:val="24"/>
          <w:szCs w:val="24"/>
        </w:rPr>
        <w:t xml:space="preserve">ey. </w:t>
      </w:r>
    </w:p>
    <w:p w14:paraId="3E1E033A" w14:textId="33F649C4" w:rsidR="005C6875" w:rsidRPr="0048391B" w:rsidRDefault="00727913" w:rsidP="005612E8">
      <w:pPr>
        <w:spacing w:after="0" w:line="480" w:lineRule="auto"/>
        <w:ind w:firstLine="720"/>
        <w:jc w:val="both"/>
        <w:rPr>
          <w:sz w:val="24"/>
          <w:szCs w:val="24"/>
        </w:rPr>
      </w:pPr>
      <w:r w:rsidRPr="00B745BC">
        <w:rPr>
          <w:sz w:val="24"/>
          <w:szCs w:val="24"/>
        </w:rPr>
        <w:t>T</w:t>
      </w:r>
      <w:r w:rsidR="00804E7F" w:rsidRPr="00B745BC">
        <w:rPr>
          <w:sz w:val="24"/>
          <w:szCs w:val="24"/>
        </w:rPr>
        <w:t xml:space="preserve">he main objective </w:t>
      </w:r>
      <w:r w:rsidR="00594A24" w:rsidRPr="00B745BC">
        <w:rPr>
          <w:sz w:val="24"/>
          <w:szCs w:val="24"/>
        </w:rPr>
        <w:t xml:space="preserve">of my ethnographic analysis </w:t>
      </w:r>
      <w:r w:rsidR="00B61F73" w:rsidRPr="00B745BC">
        <w:rPr>
          <w:sz w:val="24"/>
          <w:szCs w:val="24"/>
        </w:rPr>
        <w:t>is</w:t>
      </w:r>
      <w:r w:rsidR="00804E7F" w:rsidRPr="00B745BC">
        <w:rPr>
          <w:sz w:val="24"/>
          <w:szCs w:val="24"/>
        </w:rPr>
        <w:t xml:space="preserve"> to </w:t>
      </w:r>
      <w:r w:rsidR="005C6875" w:rsidRPr="00B745BC">
        <w:rPr>
          <w:sz w:val="24"/>
          <w:szCs w:val="24"/>
        </w:rPr>
        <w:t>outline the causal mechanisms at work</w:t>
      </w:r>
      <w:r w:rsidR="00143677" w:rsidRPr="00B745BC">
        <w:rPr>
          <w:sz w:val="24"/>
          <w:szCs w:val="24"/>
        </w:rPr>
        <w:t>.</w:t>
      </w:r>
      <w:r w:rsidR="005C6875" w:rsidRPr="00B745BC">
        <w:rPr>
          <w:rStyle w:val="FootnoteReference"/>
          <w:sz w:val="24"/>
          <w:szCs w:val="24"/>
        </w:rPr>
        <w:footnoteReference w:id="41"/>
      </w:r>
      <w:r w:rsidR="005C6875" w:rsidRPr="00B745BC">
        <w:rPr>
          <w:sz w:val="24"/>
          <w:szCs w:val="24"/>
        </w:rPr>
        <w:t xml:space="preserve"> </w:t>
      </w:r>
      <w:r w:rsidR="001126FD" w:rsidRPr="00B745BC">
        <w:rPr>
          <w:sz w:val="24"/>
          <w:szCs w:val="24"/>
        </w:rPr>
        <w:t>Surveys or i</w:t>
      </w:r>
      <w:r w:rsidR="005C6875" w:rsidRPr="00B745BC">
        <w:rPr>
          <w:sz w:val="24"/>
          <w:szCs w:val="24"/>
        </w:rPr>
        <w:t>nterviews</w:t>
      </w:r>
      <w:r w:rsidR="0067137B" w:rsidRPr="00B745BC">
        <w:rPr>
          <w:sz w:val="24"/>
          <w:szCs w:val="24"/>
        </w:rPr>
        <w:t xml:space="preserve"> </w:t>
      </w:r>
      <w:r w:rsidR="00B61F73" w:rsidRPr="00B745BC">
        <w:rPr>
          <w:sz w:val="24"/>
          <w:szCs w:val="24"/>
        </w:rPr>
        <w:t>do</w:t>
      </w:r>
      <w:r w:rsidR="005C6875" w:rsidRPr="00B745BC">
        <w:rPr>
          <w:sz w:val="24"/>
          <w:szCs w:val="24"/>
        </w:rPr>
        <w:t xml:space="preserve"> not suffice in this regard, given the disjuncture</w:t>
      </w:r>
      <w:r w:rsidR="00AE1342" w:rsidRPr="00B745BC">
        <w:rPr>
          <w:sz w:val="24"/>
          <w:szCs w:val="24"/>
        </w:rPr>
        <w:t xml:space="preserve"> that often exists</w:t>
      </w:r>
      <w:r w:rsidR="005C6875" w:rsidRPr="00B745BC">
        <w:rPr>
          <w:sz w:val="24"/>
          <w:szCs w:val="24"/>
        </w:rPr>
        <w:t xml:space="preserve"> between stated attitudes and subsequent behavior</w:t>
      </w:r>
      <w:r w:rsidR="00E70407" w:rsidRPr="00961F06">
        <w:rPr>
          <w:sz w:val="24"/>
          <w:szCs w:val="24"/>
        </w:rPr>
        <w:t xml:space="preserve">, especially in authoritarian </w:t>
      </w:r>
      <w:r w:rsidR="00C74ED1" w:rsidRPr="00961F06">
        <w:rPr>
          <w:sz w:val="24"/>
          <w:szCs w:val="24"/>
        </w:rPr>
        <w:t>contexts</w:t>
      </w:r>
      <w:r w:rsidR="00E70407" w:rsidRPr="00961F06">
        <w:rPr>
          <w:sz w:val="24"/>
          <w:szCs w:val="24"/>
        </w:rPr>
        <w:t>.</w:t>
      </w:r>
      <w:r w:rsidR="005C6875" w:rsidRPr="00961F06">
        <w:rPr>
          <w:rStyle w:val="FootnoteReference"/>
          <w:sz w:val="24"/>
          <w:szCs w:val="24"/>
        </w:rPr>
        <w:footnoteReference w:id="42"/>
      </w:r>
      <w:r w:rsidR="005C6875" w:rsidRPr="00961F06">
        <w:rPr>
          <w:sz w:val="24"/>
          <w:szCs w:val="24"/>
        </w:rPr>
        <w:t xml:space="preserve"> </w:t>
      </w:r>
      <w:r w:rsidRPr="00961F06">
        <w:rPr>
          <w:sz w:val="24"/>
          <w:szCs w:val="24"/>
        </w:rPr>
        <w:t>T</w:t>
      </w:r>
      <w:r w:rsidR="001126FD" w:rsidRPr="00961F06">
        <w:rPr>
          <w:sz w:val="24"/>
          <w:szCs w:val="24"/>
        </w:rPr>
        <w:t>h</w:t>
      </w:r>
      <w:r w:rsidRPr="00961F06">
        <w:rPr>
          <w:sz w:val="24"/>
          <w:szCs w:val="24"/>
        </w:rPr>
        <w:t>us</w:t>
      </w:r>
      <w:r w:rsidR="0067137B" w:rsidRPr="00961F06">
        <w:rPr>
          <w:sz w:val="24"/>
          <w:szCs w:val="24"/>
        </w:rPr>
        <w:t xml:space="preserve"> p</w:t>
      </w:r>
      <w:r w:rsidR="0026283D" w:rsidRPr="00961F06">
        <w:rPr>
          <w:sz w:val="24"/>
          <w:szCs w:val="24"/>
        </w:rPr>
        <w:t>airing et</w:t>
      </w:r>
      <w:r w:rsidR="00E70407" w:rsidRPr="00961F06">
        <w:rPr>
          <w:sz w:val="24"/>
          <w:szCs w:val="24"/>
        </w:rPr>
        <w:t xml:space="preserve">hnography </w:t>
      </w:r>
      <w:r w:rsidR="00CF15F8" w:rsidRPr="00961F06">
        <w:rPr>
          <w:sz w:val="24"/>
          <w:szCs w:val="24"/>
        </w:rPr>
        <w:t xml:space="preserve">with other methods </w:t>
      </w:r>
      <w:r w:rsidR="00E70407" w:rsidRPr="00961F06">
        <w:rPr>
          <w:sz w:val="24"/>
          <w:szCs w:val="24"/>
        </w:rPr>
        <w:t>help</w:t>
      </w:r>
      <w:r w:rsidR="00B61F73" w:rsidRPr="00961F06">
        <w:rPr>
          <w:sz w:val="24"/>
          <w:szCs w:val="24"/>
        </w:rPr>
        <w:t>s</w:t>
      </w:r>
      <w:r w:rsidR="00E70407" w:rsidRPr="00961F06">
        <w:rPr>
          <w:sz w:val="24"/>
          <w:szCs w:val="24"/>
        </w:rPr>
        <w:t xml:space="preserve"> to navigate the challenges that come with such an environment, </w:t>
      </w:r>
      <w:r w:rsidR="00C74ED1" w:rsidRPr="00961F06">
        <w:rPr>
          <w:sz w:val="24"/>
          <w:szCs w:val="24"/>
        </w:rPr>
        <w:t>where</w:t>
      </w:r>
      <w:r w:rsidR="00E70407" w:rsidRPr="00961F06">
        <w:rPr>
          <w:sz w:val="24"/>
          <w:szCs w:val="24"/>
        </w:rPr>
        <w:t xml:space="preserve"> there is </w:t>
      </w:r>
      <w:r w:rsidR="00C74ED1" w:rsidRPr="00961F06">
        <w:rPr>
          <w:sz w:val="24"/>
          <w:szCs w:val="24"/>
        </w:rPr>
        <w:t>often an</w:t>
      </w:r>
      <w:r w:rsidR="00E70407" w:rsidRPr="00961F06">
        <w:rPr>
          <w:sz w:val="24"/>
          <w:szCs w:val="24"/>
        </w:rPr>
        <w:t xml:space="preserve"> incentive to obfuscate or hide information, </w:t>
      </w:r>
      <w:r w:rsidRPr="00961F06">
        <w:rPr>
          <w:sz w:val="24"/>
          <w:szCs w:val="24"/>
        </w:rPr>
        <w:t>since</w:t>
      </w:r>
      <w:r w:rsidR="00E70407" w:rsidRPr="00961F06">
        <w:rPr>
          <w:sz w:val="24"/>
          <w:szCs w:val="24"/>
        </w:rPr>
        <w:t xml:space="preserve"> </w:t>
      </w:r>
      <w:r w:rsidR="00CF15F8" w:rsidRPr="00961F06">
        <w:rPr>
          <w:sz w:val="24"/>
          <w:szCs w:val="24"/>
        </w:rPr>
        <w:t>ethnography</w:t>
      </w:r>
      <w:r w:rsidR="005E169C" w:rsidRPr="00961F06">
        <w:rPr>
          <w:sz w:val="24"/>
          <w:szCs w:val="24"/>
        </w:rPr>
        <w:t xml:space="preserve"> </w:t>
      </w:r>
      <w:r w:rsidR="00E70407" w:rsidRPr="00961F06">
        <w:rPr>
          <w:sz w:val="24"/>
          <w:szCs w:val="24"/>
        </w:rPr>
        <w:t>build</w:t>
      </w:r>
      <w:r w:rsidR="005E169C" w:rsidRPr="00961F06">
        <w:rPr>
          <w:sz w:val="24"/>
          <w:szCs w:val="24"/>
        </w:rPr>
        <w:t>s</w:t>
      </w:r>
      <w:r w:rsidR="00E70407" w:rsidRPr="00961F06">
        <w:rPr>
          <w:sz w:val="24"/>
          <w:szCs w:val="24"/>
        </w:rPr>
        <w:t xml:space="preserve"> trust over</w:t>
      </w:r>
      <w:r w:rsidR="005E169C" w:rsidRPr="00961F06">
        <w:rPr>
          <w:sz w:val="24"/>
          <w:szCs w:val="24"/>
        </w:rPr>
        <w:t xml:space="preserve"> t</w:t>
      </w:r>
      <w:r w:rsidR="00E70407" w:rsidRPr="00961F06">
        <w:rPr>
          <w:sz w:val="24"/>
          <w:szCs w:val="24"/>
        </w:rPr>
        <w:t>ime.</w:t>
      </w:r>
      <w:r w:rsidR="00E70407" w:rsidRPr="00961F06">
        <w:rPr>
          <w:rStyle w:val="FootnoteReference"/>
          <w:sz w:val="24"/>
          <w:szCs w:val="24"/>
        </w:rPr>
        <w:footnoteReference w:id="43"/>
      </w:r>
      <w:r w:rsidR="00E70407" w:rsidRPr="00961F06">
        <w:rPr>
          <w:sz w:val="24"/>
          <w:szCs w:val="24"/>
        </w:rPr>
        <w:t xml:space="preserve"> </w:t>
      </w:r>
      <w:r w:rsidR="00B61F73" w:rsidRPr="00961F06">
        <w:rPr>
          <w:sz w:val="24"/>
          <w:szCs w:val="24"/>
        </w:rPr>
        <w:t>This approach</w:t>
      </w:r>
      <w:r w:rsidR="00B61F73">
        <w:rPr>
          <w:sz w:val="24"/>
          <w:szCs w:val="24"/>
        </w:rPr>
        <w:t xml:space="preserve"> is</w:t>
      </w:r>
      <w:r w:rsidR="00E91730">
        <w:rPr>
          <w:sz w:val="24"/>
          <w:szCs w:val="24"/>
        </w:rPr>
        <w:t xml:space="preserve"> particularly well-suited to the study of contentious politics</w:t>
      </w:r>
      <w:r w:rsidR="002B4522">
        <w:rPr>
          <w:sz w:val="24"/>
          <w:szCs w:val="24"/>
        </w:rPr>
        <w:t xml:space="preserve"> and dissent,</w:t>
      </w:r>
      <w:r w:rsidR="00E91730">
        <w:rPr>
          <w:sz w:val="24"/>
          <w:szCs w:val="24"/>
        </w:rPr>
        <w:t xml:space="preserve"> because </w:t>
      </w:r>
      <w:r w:rsidR="00B61F73">
        <w:rPr>
          <w:sz w:val="24"/>
          <w:szCs w:val="24"/>
        </w:rPr>
        <w:t>it</w:t>
      </w:r>
      <w:r w:rsidR="00E91730">
        <w:rPr>
          <w:sz w:val="24"/>
          <w:szCs w:val="24"/>
        </w:rPr>
        <w:t xml:space="preserve"> </w:t>
      </w:r>
      <w:r w:rsidR="002B4522">
        <w:rPr>
          <w:sz w:val="24"/>
          <w:szCs w:val="24"/>
        </w:rPr>
        <w:t>“u</w:t>
      </w:r>
      <w:r w:rsidR="00E91730">
        <w:rPr>
          <w:sz w:val="24"/>
          <w:szCs w:val="24"/>
        </w:rPr>
        <w:t>ncover</w:t>
      </w:r>
      <w:r w:rsidR="00B61F73">
        <w:rPr>
          <w:sz w:val="24"/>
          <w:szCs w:val="24"/>
        </w:rPr>
        <w:t>s</w:t>
      </w:r>
      <w:r w:rsidR="00E91730">
        <w:rPr>
          <w:sz w:val="24"/>
          <w:szCs w:val="24"/>
        </w:rPr>
        <w:t xml:space="preserve"> hidden </w:t>
      </w:r>
      <w:r w:rsidR="002B4522">
        <w:rPr>
          <w:sz w:val="24"/>
          <w:szCs w:val="24"/>
        </w:rPr>
        <w:t>processes” and “give</w:t>
      </w:r>
      <w:r w:rsidR="00B61F73">
        <w:rPr>
          <w:sz w:val="24"/>
          <w:szCs w:val="24"/>
        </w:rPr>
        <w:t>s</w:t>
      </w:r>
      <w:r w:rsidR="002B4522">
        <w:rPr>
          <w:sz w:val="24"/>
          <w:szCs w:val="24"/>
        </w:rPr>
        <w:t xml:space="preserve"> voice to unheard stories.”</w:t>
      </w:r>
      <w:r w:rsidR="002B4522">
        <w:rPr>
          <w:rStyle w:val="FootnoteReference"/>
          <w:sz w:val="24"/>
          <w:szCs w:val="24"/>
        </w:rPr>
        <w:footnoteReference w:id="44"/>
      </w:r>
      <w:r w:rsidR="002B4522">
        <w:rPr>
          <w:sz w:val="24"/>
          <w:szCs w:val="24"/>
        </w:rPr>
        <w:t xml:space="preserve"> </w:t>
      </w:r>
      <w:r w:rsidR="00323C67">
        <w:rPr>
          <w:sz w:val="24"/>
          <w:szCs w:val="24"/>
        </w:rPr>
        <w:t>These “ethnography plus”</w:t>
      </w:r>
      <w:r w:rsidR="005C6875" w:rsidRPr="0048391B">
        <w:rPr>
          <w:sz w:val="24"/>
          <w:szCs w:val="24"/>
        </w:rPr>
        <w:t xml:space="preserve"> method</w:t>
      </w:r>
      <w:r w:rsidR="00323C67">
        <w:rPr>
          <w:sz w:val="24"/>
          <w:szCs w:val="24"/>
        </w:rPr>
        <w:t>s</w:t>
      </w:r>
      <w:r>
        <w:rPr>
          <w:sz w:val="24"/>
          <w:szCs w:val="24"/>
        </w:rPr>
        <w:t>,</w:t>
      </w:r>
      <w:r w:rsidR="00323C67">
        <w:rPr>
          <w:sz w:val="24"/>
          <w:szCs w:val="24"/>
        </w:rPr>
        <w:t xml:space="preserve"> as Tarrow (2021) refers to them,</w:t>
      </w:r>
      <w:r w:rsidR="00323C67">
        <w:rPr>
          <w:rStyle w:val="FootnoteReference"/>
          <w:sz w:val="24"/>
          <w:szCs w:val="24"/>
        </w:rPr>
        <w:footnoteReference w:id="45"/>
      </w:r>
      <w:r w:rsidR="00323C67">
        <w:rPr>
          <w:sz w:val="24"/>
          <w:szCs w:val="24"/>
        </w:rPr>
        <w:t xml:space="preserve"> </w:t>
      </w:r>
      <w:r w:rsidR="005C6875" w:rsidRPr="0048391B">
        <w:rPr>
          <w:sz w:val="24"/>
          <w:szCs w:val="24"/>
        </w:rPr>
        <w:t>allow the subjects of the study to speak for themselves</w:t>
      </w:r>
      <w:r w:rsidR="001F6B70">
        <w:rPr>
          <w:sz w:val="24"/>
          <w:szCs w:val="24"/>
        </w:rPr>
        <w:t xml:space="preserve">, </w:t>
      </w:r>
      <w:r w:rsidR="00E442CB">
        <w:rPr>
          <w:sz w:val="24"/>
          <w:szCs w:val="24"/>
        </w:rPr>
        <w:t>giv</w:t>
      </w:r>
      <w:r w:rsidR="001F6B70">
        <w:rPr>
          <w:sz w:val="24"/>
          <w:szCs w:val="24"/>
        </w:rPr>
        <w:t>ing</w:t>
      </w:r>
      <w:r w:rsidR="00E442CB">
        <w:rPr>
          <w:sz w:val="24"/>
          <w:szCs w:val="24"/>
        </w:rPr>
        <w:t xml:space="preserve"> the </w:t>
      </w:r>
      <w:r w:rsidR="005C6875" w:rsidRPr="0048391B">
        <w:rPr>
          <w:sz w:val="24"/>
          <w:szCs w:val="24"/>
        </w:rPr>
        <w:t>researcher’s “outsider” perspective more resonance with how “insiders” interpret and explain their own conditions.</w:t>
      </w:r>
      <w:r w:rsidR="005C6875" w:rsidRPr="0048391B">
        <w:rPr>
          <w:rStyle w:val="FootnoteReference"/>
          <w:sz w:val="24"/>
          <w:szCs w:val="24"/>
        </w:rPr>
        <w:footnoteReference w:id="46"/>
      </w:r>
      <w:r w:rsidR="005C6875" w:rsidRPr="0048391B">
        <w:rPr>
          <w:sz w:val="24"/>
          <w:szCs w:val="24"/>
        </w:rPr>
        <w:t xml:space="preserve"> </w:t>
      </w:r>
      <w:r w:rsidR="006C7A00">
        <w:rPr>
          <w:sz w:val="24"/>
          <w:szCs w:val="24"/>
        </w:rPr>
        <w:t xml:space="preserve">Overall, this mechanism-based approach helps generate new theoretical insights, answering the important </w:t>
      </w:r>
      <w:r w:rsidR="006C7A00">
        <w:rPr>
          <w:sz w:val="24"/>
          <w:szCs w:val="24"/>
        </w:rPr>
        <w:lastRenderedPageBreak/>
        <w:t>“how” questions</w:t>
      </w:r>
      <w:r w:rsidR="003615C1">
        <w:rPr>
          <w:sz w:val="24"/>
          <w:szCs w:val="24"/>
        </w:rPr>
        <w:t xml:space="preserve"> which are the focus of this study</w:t>
      </w:r>
      <w:r w:rsidR="006C7A00">
        <w:rPr>
          <w:sz w:val="24"/>
          <w:szCs w:val="24"/>
        </w:rPr>
        <w:t xml:space="preserve">, in addition to the </w:t>
      </w:r>
      <w:r w:rsidR="00BB53EC">
        <w:rPr>
          <w:sz w:val="24"/>
          <w:szCs w:val="24"/>
        </w:rPr>
        <w:t xml:space="preserve">“why” questions </w:t>
      </w:r>
      <w:r w:rsidR="00FC609F">
        <w:rPr>
          <w:sz w:val="24"/>
          <w:szCs w:val="24"/>
        </w:rPr>
        <w:t xml:space="preserve">so common to </w:t>
      </w:r>
      <w:r w:rsidR="00BB53EC">
        <w:rPr>
          <w:sz w:val="24"/>
          <w:szCs w:val="24"/>
        </w:rPr>
        <w:t xml:space="preserve"> political science that “emphasize variation and outcome.”</w:t>
      </w:r>
    </w:p>
    <w:p w14:paraId="372DE241" w14:textId="7DCEFCAA" w:rsidR="00BC16EE" w:rsidRDefault="00BC16EE" w:rsidP="00BF618B">
      <w:pPr>
        <w:spacing w:after="0" w:line="480" w:lineRule="auto"/>
        <w:jc w:val="both"/>
        <w:rPr>
          <w:sz w:val="24"/>
          <w:szCs w:val="24"/>
        </w:rPr>
      </w:pPr>
      <w:r w:rsidRPr="0048391B">
        <w:rPr>
          <w:sz w:val="24"/>
          <w:szCs w:val="24"/>
        </w:rPr>
        <w:tab/>
        <w:t>In the next section, I present the evidence from the cases across three categories</w:t>
      </w:r>
      <w:r w:rsidR="00AD1B58">
        <w:rPr>
          <w:sz w:val="24"/>
          <w:szCs w:val="24"/>
        </w:rPr>
        <w:t xml:space="preserve">, from less significant normalization to official peace agreement. </w:t>
      </w:r>
      <w:r w:rsidR="00051EB1" w:rsidRPr="0048391B">
        <w:rPr>
          <w:sz w:val="24"/>
          <w:szCs w:val="24"/>
        </w:rPr>
        <w:t>A summary of this evidence is in Table 1 below.</w:t>
      </w:r>
    </w:p>
    <w:p w14:paraId="4DA1F615" w14:textId="77777777" w:rsidR="002735FC" w:rsidRDefault="002735FC" w:rsidP="00BF618B">
      <w:pPr>
        <w:spacing w:after="0" w:line="480" w:lineRule="auto"/>
        <w:jc w:val="both"/>
        <w:rPr>
          <w:sz w:val="24"/>
          <w:szCs w:val="24"/>
        </w:rPr>
      </w:pPr>
    </w:p>
    <w:p w14:paraId="61260F8A" w14:textId="77777777" w:rsidR="002735FC" w:rsidRDefault="002735FC" w:rsidP="00BF618B">
      <w:pPr>
        <w:spacing w:after="0" w:line="480" w:lineRule="auto"/>
        <w:jc w:val="both"/>
        <w:rPr>
          <w:sz w:val="24"/>
          <w:szCs w:val="24"/>
        </w:rPr>
      </w:pPr>
    </w:p>
    <w:p w14:paraId="03AF197E" w14:textId="77777777" w:rsidR="002735FC" w:rsidRDefault="002735FC" w:rsidP="00BF618B">
      <w:pPr>
        <w:spacing w:after="0" w:line="480" w:lineRule="auto"/>
        <w:jc w:val="both"/>
        <w:rPr>
          <w:sz w:val="24"/>
          <w:szCs w:val="24"/>
        </w:rPr>
      </w:pPr>
    </w:p>
    <w:p w14:paraId="75CE343B" w14:textId="77777777" w:rsidR="002735FC" w:rsidRDefault="002735FC" w:rsidP="00BF618B">
      <w:pPr>
        <w:spacing w:after="0" w:line="480" w:lineRule="auto"/>
        <w:jc w:val="both"/>
        <w:rPr>
          <w:sz w:val="24"/>
          <w:szCs w:val="24"/>
        </w:rPr>
      </w:pPr>
    </w:p>
    <w:p w14:paraId="35B6C011" w14:textId="77777777" w:rsidR="002735FC" w:rsidRDefault="002735FC" w:rsidP="00BF618B">
      <w:pPr>
        <w:spacing w:after="0" w:line="480" w:lineRule="auto"/>
        <w:jc w:val="both"/>
        <w:rPr>
          <w:sz w:val="24"/>
          <w:szCs w:val="24"/>
        </w:rPr>
      </w:pPr>
    </w:p>
    <w:p w14:paraId="1239E24B" w14:textId="77777777" w:rsidR="002735FC" w:rsidRDefault="002735FC" w:rsidP="00BF618B">
      <w:pPr>
        <w:spacing w:after="0" w:line="480" w:lineRule="auto"/>
        <w:jc w:val="both"/>
        <w:rPr>
          <w:sz w:val="24"/>
          <w:szCs w:val="24"/>
        </w:rPr>
      </w:pPr>
    </w:p>
    <w:p w14:paraId="2B429BCF" w14:textId="77777777" w:rsidR="002735FC" w:rsidRDefault="002735FC" w:rsidP="00BF618B">
      <w:pPr>
        <w:spacing w:after="0" w:line="480" w:lineRule="auto"/>
        <w:jc w:val="both"/>
        <w:rPr>
          <w:sz w:val="24"/>
          <w:szCs w:val="24"/>
        </w:rPr>
      </w:pPr>
    </w:p>
    <w:p w14:paraId="0C7BDDDA" w14:textId="77777777" w:rsidR="00B745BC" w:rsidRDefault="00B745BC" w:rsidP="00BF618B">
      <w:pPr>
        <w:spacing w:after="0" w:line="480" w:lineRule="auto"/>
        <w:jc w:val="both"/>
        <w:rPr>
          <w:sz w:val="24"/>
          <w:szCs w:val="24"/>
        </w:rPr>
      </w:pPr>
    </w:p>
    <w:p w14:paraId="5C521CE0" w14:textId="77777777" w:rsidR="00B745BC" w:rsidRDefault="00B745BC" w:rsidP="00BF618B">
      <w:pPr>
        <w:spacing w:after="0" w:line="480" w:lineRule="auto"/>
        <w:jc w:val="both"/>
        <w:rPr>
          <w:sz w:val="24"/>
          <w:szCs w:val="24"/>
        </w:rPr>
      </w:pPr>
    </w:p>
    <w:p w14:paraId="5F119DFA" w14:textId="77777777" w:rsidR="00B745BC" w:rsidRDefault="00B745BC" w:rsidP="00BF618B">
      <w:pPr>
        <w:spacing w:after="0" w:line="480" w:lineRule="auto"/>
        <w:jc w:val="both"/>
        <w:rPr>
          <w:sz w:val="24"/>
          <w:szCs w:val="24"/>
        </w:rPr>
      </w:pPr>
    </w:p>
    <w:p w14:paraId="3FB0DB8C" w14:textId="77777777" w:rsidR="00B745BC" w:rsidRDefault="00B745BC" w:rsidP="00BF618B">
      <w:pPr>
        <w:spacing w:after="0" w:line="480" w:lineRule="auto"/>
        <w:jc w:val="both"/>
        <w:rPr>
          <w:sz w:val="24"/>
          <w:szCs w:val="24"/>
        </w:rPr>
      </w:pPr>
    </w:p>
    <w:p w14:paraId="725DF3C0" w14:textId="77777777" w:rsidR="00B745BC" w:rsidRDefault="00B745BC" w:rsidP="00BF618B">
      <w:pPr>
        <w:spacing w:after="0" w:line="480" w:lineRule="auto"/>
        <w:jc w:val="both"/>
        <w:rPr>
          <w:sz w:val="24"/>
          <w:szCs w:val="24"/>
        </w:rPr>
      </w:pPr>
    </w:p>
    <w:p w14:paraId="2198C075" w14:textId="77777777" w:rsidR="00B745BC" w:rsidRDefault="00B745BC" w:rsidP="00BF618B">
      <w:pPr>
        <w:spacing w:after="0" w:line="480" w:lineRule="auto"/>
        <w:jc w:val="both"/>
        <w:rPr>
          <w:sz w:val="24"/>
          <w:szCs w:val="24"/>
        </w:rPr>
      </w:pPr>
    </w:p>
    <w:p w14:paraId="5DBA8303" w14:textId="77777777" w:rsidR="00B745BC" w:rsidRDefault="00B745BC" w:rsidP="00BF618B">
      <w:pPr>
        <w:spacing w:after="0" w:line="480" w:lineRule="auto"/>
        <w:jc w:val="both"/>
        <w:rPr>
          <w:sz w:val="24"/>
          <w:szCs w:val="24"/>
        </w:rPr>
      </w:pPr>
    </w:p>
    <w:p w14:paraId="701BABA1" w14:textId="77777777" w:rsidR="00B745BC" w:rsidRDefault="00B745BC" w:rsidP="00BF618B">
      <w:pPr>
        <w:spacing w:after="0" w:line="480" w:lineRule="auto"/>
        <w:jc w:val="both"/>
        <w:rPr>
          <w:sz w:val="24"/>
          <w:szCs w:val="24"/>
        </w:rPr>
      </w:pPr>
    </w:p>
    <w:p w14:paraId="00F7CB17" w14:textId="77777777" w:rsidR="00B745BC" w:rsidRDefault="00B745BC" w:rsidP="00BF618B">
      <w:pPr>
        <w:spacing w:after="0" w:line="480" w:lineRule="auto"/>
        <w:jc w:val="both"/>
        <w:rPr>
          <w:sz w:val="24"/>
          <w:szCs w:val="24"/>
        </w:rPr>
      </w:pPr>
    </w:p>
    <w:p w14:paraId="44B953FB" w14:textId="77777777" w:rsidR="002735FC" w:rsidRDefault="002735FC" w:rsidP="00BF618B">
      <w:pPr>
        <w:spacing w:after="0" w:line="480" w:lineRule="auto"/>
        <w:jc w:val="both"/>
        <w:rPr>
          <w:sz w:val="24"/>
          <w:szCs w:val="24"/>
        </w:rPr>
      </w:pPr>
    </w:p>
    <w:p w14:paraId="5C646997" w14:textId="6E06BE5C" w:rsidR="00051EB1" w:rsidRPr="0028170D" w:rsidRDefault="00B0079C" w:rsidP="00BC16EE">
      <w:pPr>
        <w:spacing w:after="0" w:line="480" w:lineRule="auto"/>
        <w:jc w:val="both"/>
        <w:rPr>
          <w:sz w:val="24"/>
          <w:szCs w:val="24"/>
        </w:rPr>
      </w:pPr>
      <w:r>
        <w:rPr>
          <w:sz w:val="24"/>
          <w:szCs w:val="24"/>
        </w:rPr>
        <w:lastRenderedPageBreak/>
        <w:t>T</w:t>
      </w:r>
      <w:r w:rsidR="00051EB1" w:rsidRPr="0028170D">
        <w:rPr>
          <w:sz w:val="24"/>
          <w:szCs w:val="24"/>
        </w:rPr>
        <w:t>able 1: Summary of Evidence</w:t>
      </w:r>
    </w:p>
    <w:tbl>
      <w:tblPr>
        <w:tblStyle w:val="TableGrid"/>
        <w:tblW w:w="0" w:type="auto"/>
        <w:tblLook w:val="04A0" w:firstRow="1" w:lastRow="0" w:firstColumn="1" w:lastColumn="0" w:noHBand="0" w:noVBand="1"/>
      </w:tblPr>
      <w:tblGrid>
        <w:gridCol w:w="1490"/>
        <w:gridCol w:w="1731"/>
        <w:gridCol w:w="1998"/>
        <w:gridCol w:w="2000"/>
        <w:gridCol w:w="2136"/>
      </w:tblGrid>
      <w:tr w:rsidR="00051EB1" w:rsidRPr="0048391B" w14:paraId="37C866F6" w14:textId="77777777" w:rsidTr="006A09B9">
        <w:tc>
          <w:tcPr>
            <w:tcW w:w="1494" w:type="dxa"/>
            <w:tcBorders>
              <w:top w:val="nil"/>
              <w:left w:val="nil"/>
              <w:bottom w:val="nil"/>
              <w:right w:val="single" w:sz="4" w:space="0" w:color="auto"/>
            </w:tcBorders>
          </w:tcPr>
          <w:p w14:paraId="1C202B23" w14:textId="77777777" w:rsidR="00051EB1" w:rsidRPr="0048391B" w:rsidRDefault="00051EB1" w:rsidP="006A09B9">
            <w:pPr>
              <w:jc w:val="center"/>
            </w:pPr>
          </w:p>
        </w:tc>
        <w:tc>
          <w:tcPr>
            <w:tcW w:w="1766" w:type="dxa"/>
            <w:tcBorders>
              <w:top w:val="single" w:sz="4" w:space="0" w:color="auto"/>
              <w:left w:val="single" w:sz="4" w:space="0" w:color="auto"/>
            </w:tcBorders>
          </w:tcPr>
          <w:p w14:paraId="19239F6E" w14:textId="77777777" w:rsidR="00051EB1" w:rsidRPr="0048391B" w:rsidRDefault="00051EB1" w:rsidP="006A09B9">
            <w:pPr>
              <w:tabs>
                <w:tab w:val="left" w:pos="1275"/>
              </w:tabs>
            </w:pPr>
            <w:r w:rsidRPr="0048391B">
              <w:tab/>
            </w:r>
          </w:p>
        </w:tc>
        <w:tc>
          <w:tcPr>
            <w:tcW w:w="2053" w:type="dxa"/>
          </w:tcPr>
          <w:p w14:paraId="06A7FDE8" w14:textId="77777777" w:rsidR="00051EB1" w:rsidRPr="0048391B" w:rsidRDefault="00051EB1" w:rsidP="006A09B9">
            <w:pPr>
              <w:rPr>
                <w:b/>
                <w:bCs/>
              </w:rPr>
            </w:pPr>
            <w:r w:rsidRPr="0048391B">
              <w:rPr>
                <w:b/>
                <w:bCs/>
              </w:rPr>
              <w:t>Repression</w:t>
            </w:r>
          </w:p>
        </w:tc>
        <w:tc>
          <w:tcPr>
            <w:tcW w:w="2078" w:type="dxa"/>
          </w:tcPr>
          <w:p w14:paraId="75C45092" w14:textId="77777777" w:rsidR="00051EB1" w:rsidRPr="0048391B" w:rsidRDefault="00051EB1" w:rsidP="006A09B9">
            <w:pPr>
              <w:rPr>
                <w:b/>
                <w:bCs/>
              </w:rPr>
            </w:pPr>
            <w:r w:rsidRPr="0048391B">
              <w:rPr>
                <w:b/>
                <w:bCs/>
              </w:rPr>
              <w:t>Social ties</w:t>
            </w:r>
          </w:p>
        </w:tc>
        <w:tc>
          <w:tcPr>
            <w:tcW w:w="1959" w:type="dxa"/>
          </w:tcPr>
          <w:p w14:paraId="0753E016" w14:textId="77777777" w:rsidR="00051EB1" w:rsidRPr="0048391B" w:rsidRDefault="00051EB1" w:rsidP="006A09B9">
            <w:pPr>
              <w:rPr>
                <w:b/>
                <w:bCs/>
              </w:rPr>
            </w:pPr>
            <w:r w:rsidRPr="0048391B">
              <w:rPr>
                <w:b/>
                <w:bCs/>
              </w:rPr>
              <w:t>Repressive Technologies</w:t>
            </w:r>
          </w:p>
        </w:tc>
      </w:tr>
      <w:tr w:rsidR="00051EB1" w:rsidRPr="0048391B" w14:paraId="6064C27D" w14:textId="77777777" w:rsidTr="006A09B9">
        <w:tc>
          <w:tcPr>
            <w:tcW w:w="1494" w:type="dxa"/>
            <w:tcBorders>
              <w:top w:val="nil"/>
              <w:left w:val="nil"/>
              <w:bottom w:val="single" w:sz="4" w:space="0" w:color="auto"/>
            </w:tcBorders>
          </w:tcPr>
          <w:p w14:paraId="1E22C356" w14:textId="77777777" w:rsidR="00051EB1" w:rsidRPr="0048391B" w:rsidRDefault="00051EB1" w:rsidP="006A09B9">
            <w:pPr>
              <w:rPr>
                <w:i/>
                <w:iCs/>
              </w:rPr>
            </w:pPr>
          </w:p>
          <w:p w14:paraId="36AC7729" w14:textId="77777777" w:rsidR="00051EB1" w:rsidRPr="0048391B" w:rsidRDefault="00051EB1" w:rsidP="006A09B9">
            <w:pPr>
              <w:rPr>
                <w:i/>
                <w:iCs/>
              </w:rPr>
            </w:pPr>
          </w:p>
          <w:p w14:paraId="11642D39" w14:textId="77777777" w:rsidR="00051EB1" w:rsidRPr="0048391B" w:rsidRDefault="00051EB1" w:rsidP="006A09B9">
            <w:pPr>
              <w:rPr>
                <w:i/>
                <w:iCs/>
              </w:rPr>
            </w:pPr>
          </w:p>
          <w:p w14:paraId="4B27A891" w14:textId="77777777" w:rsidR="00051EB1" w:rsidRPr="0048391B" w:rsidRDefault="00051EB1" w:rsidP="006A09B9">
            <w:pPr>
              <w:rPr>
                <w:i/>
                <w:iCs/>
              </w:rPr>
            </w:pPr>
          </w:p>
          <w:p w14:paraId="4B7A99BE" w14:textId="77777777" w:rsidR="00051EB1" w:rsidRPr="0048391B" w:rsidRDefault="00051EB1" w:rsidP="006A09B9">
            <w:pPr>
              <w:rPr>
                <w:i/>
                <w:iCs/>
              </w:rPr>
            </w:pPr>
          </w:p>
          <w:p w14:paraId="3968EA69" w14:textId="77777777" w:rsidR="00051EB1" w:rsidRPr="0048391B" w:rsidRDefault="00051EB1" w:rsidP="006A09B9">
            <w:pPr>
              <w:rPr>
                <w:i/>
                <w:iCs/>
              </w:rPr>
            </w:pPr>
          </w:p>
          <w:p w14:paraId="08F59690" w14:textId="77777777" w:rsidR="00051EB1" w:rsidRPr="0048391B" w:rsidRDefault="00051EB1" w:rsidP="006A09B9">
            <w:pPr>
              <w:rPr>
                <w:i/>
                <w:iCs/>
              </w:rPr>
            </w:pPr>
            <w:r w:rsidRPr="0048391B">
              <w:rPr>
                <w:i/>
                <w:iCs/>
              </w:rPr>
              <w:t>Cultural and diplomatic normalization</w:t>
            </w:r>
          </w:p>
        </w:tc>
        <w:tc>
          <w:tcPr>
            <w:tcW w:w="1766" w:type="dxa"/>
          </w:tcPr>
          <w:p w14:paraId="509DD2AD" w14:textId="77777777" w:rsidR="00051EB1" w:rsidRPr="0048391B" w:rsidRDefault="00051EB1" w:rsidP="006A09B9">
            <w:pPr>
              <w:rPr>
                <w:b/>
                <w:bCs/>
              </w:rPr>
            </w:pPr>
            <w:r w:rsidRPr="0048391B">
              <w:rPr>
                <w:b/>
                <w:bCs/>
              </w:rPr>
              <w:t>Qatar</w:t>
            </w:r>
          </w:p>
        </w:tc>
        <w:tc>
          <w:tcPr>
            <w:tcW w:w="2053" w:type="dxa"/>
          </w:tcPr>
          <w:p w14:paraId="51A811CF" w14:textId="77777777" w:rsidR="00051EB1" w:rsidRPr="0048391B" w:rsidRDefault="00051EB1" w:rsidP="006A09B9">
            <w:r w:rsidRPr="0048391B">
              <w:t>Shuttering of Qatar Committee (1988)</w:t>
            </w:r>
          </w:p>
          <w:p w14:paraId="37C01FAC" w14:textId="77777777" w:rsidR="00051EB1" w:rsidRPr="0048391B" w:rsidRDefault="00051EB1" w:rsidP="006A09B9"/>
          <w:p w14:paraId="608BCB6B" w14:textId="77777777" w:rsidR="00051EB1" w:rsidRPr="0048391B" w:rsidRDefault="00051EB1" w:rsidP="006A09B9">
            <w:r w:rsidRPr="0048391B">
              <w:t>Investigations into QAYON members</w:t>
            </w:r>
          </w:p>
          <w:p w14:paraId="6E07C214" w14:textId="77777777" w:rsidR="00051EB1" w:rsidRPr="0048391B" w:rsidRDefault="00051EB1" w:rsidP="006A09B9"/>
          <w:p w14:paraId="3AAD5CEC" w14:textId="77777777" w:rsidR="00051EB1" w:rsidRPr="0048391B" w:rsidRDefault="00051EB1" w:rsidP="006A09B9">
            <w:r w:rsidRPr="0048391B">
              <w:t>Delayed state paperwork</w:t>
            </w:r>
          </w:p>
          <w:p w14:paraId="27D293B1" w14:textId="77777777" w:rsidR="00051EB1" w:rsidRPr="0048391B" w:rsidRDefault="00051EB1" w:rsidP="006A09B9"/>
          <w:p w14:paraId="5478AB7E" w14:textId="77777777" w:rsidR="00051EB1" w:rsidRPr="0048391B" w:rsidRDefault="00051EB1" w:rsidP="006A09B9"/>
        </w:tc>
        <w:tc>
          <w:tcPr>
            <w:tcW w:w="2078" w:type="dxa"/>
          </w:tcPr>
          <w:p w14:paraId="3457D179" w14:textId="4E8D864A" w:rsidR="00051EB1" w:rsidRPr="0048391B" w:rsidRDefault="00E5356F" w:rsidP="006A09B9">
            <w:r>
              <w:t>Gender harassment</w:t>
            </w:r>
          </w:p>
          <w:p w14:paraId="280BDA7D" w14:textId="0F994BC9" w:rsidR="00051EB1" w:rsidRPr="0048391B" w:rsidRDefault="00D56C6E" w:rsidP="00D56C6E">
            <w:r w:rsidRPr="0048391B">
              <w:br/>
              <w:t xml:space="preserve">University </w:t>
            </w:r>
            <w:r w:rsidR="00051EB1" w:rsidRPr="0048391B">
              <w:t>silencing students</w:t>
            </w:r>
            <w:r w:rsidRPr="0048391B">
              <w:t xml:space="preserve"> + students reporting on each other</w:t>
            </w:r>
          </w:p>
          <w:p w14:paraId="69C9A47B" w14:textId="77777777" w:rsidR="00051EB1" w:rsidRPr="0048391B" w:rsidRDefault="00051EB1" w:rsidP="006A09B9"/>
          <w:p w14:paraId="77B7EFED" w14:textId="77777777" w:rsidR="00051EB1" w:rsidRPr="0048391B" w:rsidRDefault="00051EB1" w:rsidP="006A09B9">
            <w:r w:rsidRPr="0048391B">
              <w:t xml:space="preserve">Activists incorporated into ministries </w:t>
            </w:r>
          </w:p>
          <w:p w14:paraId="667C50DB" w14:textId="77777777" w:rsidR="00051EB1" w:rsidRPr="0048391B" w:rsidRDefault="00051EB1" w:rsidP="006A09B9"/>
          <w:p w14:paraId="4A36C1D7" w14:textId="77777777" w:rsidR="00051EB1" w:rsidRPr="0048391B" w:rsidRDefault="00051EB1" w:rsidP="006A09B9">
            <w:r w:rsidRPr="0048391B">
              <w:t>Online harassment</w:t>
            </w:r>
          </w:p>
          <w:p w14:paraId="645B8607" w14:textId="77777777" w:rsidR="00051EB1" w:rsidRPr="0048391B" w:rsidRDefault="00051EB1" w:rsidP="006A09B9"/>
          <w:p w14:paraId="2631B0B5" w14:textId="77777777" w:rsidR="00051EB1" w:rsidRPr="0048391B" w:rsidRDefault="00051EB1" w:rsidP="006A09B9">
            <w:r w:rsidRPr="0048391B">
              <w:t>GONGOs no longer space for events</w:t>
            </w:r>
          </w:p>
        </w:tc>
        <w:tc>
          <w:tcPr>
            <w:tcW w:w="1959" w:type="dxa"/>
          </w:tcPr>
          <w:p w14:paraId="5B54D463" w14:textId="77777777" w:rsidR="00051EB1" w:rsidRPr="0048391B" w:rsidRDefault="00051EB1" w:rsidP="006A09B9">
            <w:r w:rsidRPr="0048391B">
              <w:t>COGAT coordination</w:t>
            </w:r>
          </w:p>
        </w:tc>
      </w:tr>
      <w:tr w:rsidR="00051EB1" w:rsidRPr="0048391B" w14:paraId="0A4BFA40" w14:textId="77777777" w:rsidTr="006A09B9">
        <w:tc>
          <w:tcPr>
            <w:tcW w:w="1494" w:type="dxa"/>
            <w:tcBorders>
              <w:left w:val="nil"/>
              <w:bottom w:val="single" w:sz="4" w:space="0" w:color="auto"/>
            </w:tcBorders>
          </w:tcPr>
          <w:p w14:paraId="14861E2A" w14:textId="77777777" w:rsidR="00051EB1" w:rsidRPr="0048391B" w:rsidRDefault="00051EB1" w:rsidP="006A09B9">
            <w:pPr>
              <w:rPr>
                <w:i/>
                <w:iCs/>
              </w:rPr>
            </w:pPr>
          </w:p>
          <w:p w14:paraId="783FE22F" w14:textId="77777777" w:rsidR="00051EB1" w:rsidRPr="0048391B" w:rsidRDefault="00051EB1" w:rsidP="006A09B9">
            <w:pPr>
              <w:rPr>
                <w:i/>
                <w:iCs/>
              </w:rPr>
            </w:pPr>
          </w:p>
          <w:p w14:paraId="45D5165E" w14:textId="77777777" w:rsidR="00051EB1" w:rsidRPr="0048391B" w:rsidRDefault="00051EB1" w:rsidP="006A09B9">
            <w:pPr>
              <w:rPr>
                <w:i/>
                <w:iCs/>
              </w:rPr>
            </w:pPr>
          </w:p>
          <w:p w14:paraId="1AC7E034" w14:textId="5D901473" w:rsidR="00051EB1" w:rsidRPr="0048391B" w:rsidRDefault="00F533B0" w:rsidP="006A09B9">
            <w:pPr>
              <w:rPr>
                <w:i/>
                <w:iCs/>
              </w:rPr>
            </w:pPr>
            <w:r>
              <w:rPr>
                <w:i/>
                <w:iCs/>
              </w:rPr>
              <w:t>Security</w:t>
            </w:r>
            <w:r w:rsidR="00051EB1" w:rsidRPr="0048391B">
              <w:rPr>
                <w:i/>
                <w:iCs/>
              </w:rPr>
              <w:t xml:space="preserve"> and military normalization</w:t>
            </w:r>
          </w:p>
          <w:p w14:paraId="00F0EC62" w14:textId="77777777" w:rsidR="00051EB1" w:rsidRPr="0048391B" w:rsidRDefault="00051EB1" w:rsidP="006A09B9">
            <w:pPr>
              <w:jc w:val="center"/>
              <w:rPr>
                <w:i/>
                <w:iCs/>
              </w:rPr>
            </w:pPr>
          </w:p>
        </w:tc>
        <w:tc>
          <w:tcPr>
            <w:tcW w:w="1766" w:type="dxa"/>
          </w:tcPr>
          <w:p w14:paraId="35A915A3" w14:textId="50EF04B8" w:rsidR="00051EB1" w:rsidRPr="0048391B" w:rsidRDefault="00051EB1" w:rsidP="006A09B9">
            <w:pPr>
              <w:rPr>
                <w:b/>
                <w:bCs/>
              </w:rPr>
            </w:pPr>
            <w:r w:rsidRPr="0048391B">
              <w:rPr>
                <w:b/>
                <w:bCs/>
              </w:rPr>
              <w:t>Saudi Arabia</w:t>
            </w:r>
          </w:p>
        </w:tc>
        <w:tc>
          <w:tcPr>
            <w:tcW w:w="2053" w:type="dxa"/>
          </w:tcPr>
          <w:p w14:paraId="32AFE43C" w14:textId="77777777" w:rsidR="00051EB1" w:rsidRPr="0048391B" w:rsidRDefault="00051EB1" w:rsidP="006A09B9">
            <w:r w:rsidRPr="0048391B">
              <w:t>Disappearances of Palestinians in Riyadh</w:t>
            </w:r>
          </w:p>
          <w:p w14:paraId="20D3A4D2" w14:textId="77777777" w:rsidR="00051EB1" w:rsidRPr="0048391B" w:rsidRDefault="00051EB1" w:rsidP="006A09B9"/>
          <w:p w14:paraId="7266C9A7" w14:textId="77777777" w:rsidR="00051EB1" w:rsidRPr="0048391B" w:rsidRDefault="00051EB1" w:rsidP="006A09B9">
            <w:r w:rsidRPr="0048391B">
              <w:t>GONGOs instead of civil society</w:t>
            </w:r>
          </w:p>
          <w:p w14:paraId="6C5302CD" w14:textId="77777777" w:rsidR="00051EB1" w:rsidRPr="0048391B" w:rsidRDefault="00051EB1" w:rsidP="006A09B9"/>
          <w:p w14:paraId="479F6B7B" w14:textId="77777777" w:rsidR="00051EB1" w:rsidRPr="0048391B" w:rsidRDefault="00051EB1" w:rsidP="006A09B9">
            <w:r w:rsidRPr="0048391B">
              <w:t>No official Saudi involvement in regional groups</w:t>
            </w:r>
          </w:p>
        </w:tc>
        <w:tc>
          <w:tcPr>
            <w:tcW w:w="2078" w:type="dxa"/>
          </w:tcPr>
          <w:p w14:paraId="49EB3502" w14:textId="77777777" w:rsidR="00051EB1" w:rsidRPr="0048391B" w:rsidRDefault="00051EB1" w:rsidP="006A09B9">
            <w:r w:rsidRPr="0048391B">
              <w:t>Exile and estrangement</w:t>
            </w:r>
          </w:p>
          <w:p w14:paraId="5F5D7A12" w14:textId="77777777" w:rsidR="00051EB1" w:rsidRPr="0048391B" w:rsidRDefault="00051EB1" w:rsidP="006A09B9"/>
          <w:p w14:paraId="2020F768" w14:textId="77777777" w:rsidR="00051EB1" w:rsidRPr="0048391B" w:rsidRDefault="00051EB1" w:rsidP="006A09B9">
            <w:r w:rsidRPr="0048391B">
              <w:t>Self-censorship and citizen reporting of illicit activity</w:t>
            </w:r>
          </w:p>
          <w:p w14:paraId="2BC015B8" w14:textId="77777777" w:rsidR="00051EB1" w:rsidRPr="0048391B" w:rsidRDefault="00051EB1" w:rsidP="006A09B9"/>
          <w:p w14:paraId="030DEB85" w14:textId="77777777" w:rsidR="00051EB1" w:rsidRPr="0048391B" w:rsidRDefault="00051EB1" w:rsidP="006A09B9">
            <w:r w:rsidRPr="0048391B">
              <w:t>Divorces</w:t>
            </w:r>
          </w:p>
        </w:tc>
        <w:tc>
          <w:tcPr>
            <w:tcW w:w="1959" w:type="dxa"/>
          </w:tcPr>
          <w:p w14:paraId="4810FF38" w14:textId="77777777" w:rsidR="00051EB1" w:rsidRPr="0048391B" w:rsidRDefault="00051EB1" w:rsidP="006A09B9">
            <w:r w:rsidRPr="0048391B">
              <w:t>NSO Group spyware</w:t>
            </w:r>
          </w:p>
          <w:p w14:paraId="4F1BE023" w14:textId="77777777" w:rsidR="00051EB1" w:rsidRPr="0048391B" w:rsidRDefault="00051EB1" w:rsidP="006A09B9"/>
          <w:p w14:paraId="7B72728E" w14:textId="77777777" w:rsidR="00051EB1" w:rsidRPr="0048391B" w:rsidRDefault="00051EB1" w:rsidP="006A09B9">
            <w:r w:rsidRPr="0048391B">
              <w:t>Intelligence sharing</w:t>
            </w:r>
          </w:p>
          <w:p w14:paraId="70A1BB9A" w14:textId="77777777" w:rsidR="00051EB1" w:rsidRPr="0048391B" w:rsidRDefault="00051EB1" w:rsidP="006A09B9"/>
          <w:p w14:paraId="07A6F344" w14:textId="77777777" w:rsidR="00051EB1" w:rsidRPr="0048391B" w:rsidRDefault="00051EB1" w:rsidP="006A09B9">
            <w:r w:rsidRPr="0048391B">
              <w:t>Military-to-military coordination</w:t>
            </w:r>
          </w:p>
          <w:p w14:paraId="2ACF35F8" w14:textId="77777777" w:rsidR="00051EB1" w:rsidRPr="0048391B" w:rsidRDefault="00051EB1" w:rsidP="006A09B9"/>
          <w:p w14:paraId="6A5642C2" w14:textId="77777777" w:rsidR="00051EB1" w:rsidRPr="0048391B" w:rsidRDefault="00051EB1" w:rsidP="006A09B9">
            <w:r w:rsidRPr="0048391B">
              <w:t>Surveillance Operator (Monarchy/Kingdom)</w:t>
            </w:r>
          </w:p>
        </w:tc>
      </w:tr>
      <w:tr w:rsidR="00051EB1" w:rsidRPr="0048391B" w14:paraId="54C3B7B4" w14:textId="77777777" w:rsidTr="006A09B9">
        <w:tc>
          <w:tcPr>
            <w:tcW w:w="1494" w:type="dxa"/>
            <w:vMerge w:val="restart"/>
            <w:tcBorders>
              <w:left w:val="nil"/>
              <w:bottom w:val="nil"/>
            </w:tcBorders>
          </w:tcPr>
          <w:p w14:paraId="1FCC20B3" w14:textId="77777777" w:rsidR="00051EB1" w:rsidRPr="0048391B" w:rsidRDefault="00051EB1" w:rsidP="006A09B9">
            <w:pPr>
              <w:rPr>
                <w:i/>
                <w:iCs/>
              </w:rPr>
            </w:pPr>
          </w:p>
          <w:p w14:paraId="750F3663" w14:textId="77777777" w:rsidR="00051EB1" w:rsidRPr="0048391B" w:rsidRDefault="00051EB1" w:rsidP="006A09B9">
            <w:pPr>
              <w:rPr>
                <w:i/>
                <w:iCs/>
              </w:rPr>
            </w:pPr>
          </w:p>
          <w:p w14:paraId="63A6591E" w14:textId="77777777" w:rsidR="00051EB1" w:rsidRPr="0048391B" w:rsidRDefault="00051EB1" w:rsidP="006A09B9">
            <w:pPr>
              <w:rPr>
                <w:i/>
                <w:iCs/>
              </w:rPr>
            </w:pPr>
          </w:p>
          <w:p w14:paraId="7FB5B620" w14:textId="77777777" w:rsidR="00051EB1" w:rsidRPr="0048391B" w:rsidRDefault="00051EB1" w:rsidP="006A09B9">
            <w:pPr>
              <w:rPr>
                <w:i/>
                <w:iCs/>
              </w:rPr>
            </w:pPr>
          </w:p>
          <w:p w14:paraId="7918EED8" w14:textId="77777777" w:rsidR="00051EB1" w:rsidRPr="0048391B" w:rsidRDefault="00051EB1" w:rsidP="006A09B9">
            <w:pPr>
              <w:rPr>
                <w:i/>
                <w:iCs/>
              </w:rPr>
            </w:pPr>
          </w:p>
          <w:p w14:paraId="4C8FD32C" w14:textId="77777777" w:rsidR="00051EB1" w:rsidRPr="0048391B" w:rsidRDefault="00051EB1" w:rsidP="006A09B9">
            <w:pPr>
              <w:rPr>
                <w:i/>
                <w:iCs/>
              </w:rPr>
            </w:pPr>
          </w:p>
          <w:p w14:paraId="44A51ED1" w14:textId="77777777" w:rsidR="00051EB1" w:rsidRPr="0048391B" w:rsidRDefault="00051EB1" w:rsidP="006A09B9">
            <w:pPr>
              <w:rPr>
                <w:i/>
                <w:iCs/>
              </w:rPr>
            </w:pPr>
          </w:p>
          <w:p w14:paraId="0D9C1DFB" w14:textId="77777777" w:rsidR="00051EB1" w:rsidRPr="0048391B" w:rsidRDefault="00051EB1" w:rsidP="006A09B9">
            <w:pPr>
              <w:rPr>
                <w:i/>
                <w:iCs/>
              </w:rPr>
            </w:pPr>
            <w:r w:rsidRPr="0048391B">
              <w:rPr>
                <w:i/>
                <w:iCs/>
              </w:rPr>
              <w:t>Official peace agreement</w:t>
            </w:r>
          </w:p>
        </w:tc>
        <w:tc>
          <w:tcPr>
            <w:tcW w:w="1766" w:type="dxa"/>
          </w:tcPr>
          <w:p w14:paraId="3936E8CC" w14:textId="77777777" w:rsidR="00051EB1" w:rsidRPr="0048391B" w:rsidRDefault="00051EB1" w:rsidP="006A09B9">
            <w:pPr>
              <w:rPr>
                <w:b/>
                <w:bCs/>
              </w:rPr>
            </w:pPr>
            <w:r w:rsidRPr="0048391B">
              <w:rPr>
                <w:b/>
                <w:bCs/>
              </w:rPr>
              <w:t>Bahrain</w:t>
            </w:r>
          </w:p>
        </w:tc>
        <w:tc>
          <w:tcPr>
            <w:tcW w:w="2053" w:type="dxa"/>
          </w:tcPr>
          <w:p w14:paraId="0A8D9FF2" w14:textId="77777777" w:rsidR="00051EB1" w:rsidRPr="0048391B" w:rsidRDefault="00051EB1" w:rsidP="006A09B9">
            <w:r w:rsidRPr="0048391B">
              <w:t>NGO restrictions via registration requirements</w:t>
            </w:r>
          </w:p>
          <w:p w14:paraId="763DC57A" w14:textId="77777777" w:rsidR="00051EB1" w:rsidRPr="0048391B" w:rsidRDefault="00051EB1" w:rsidP="006A09B9"/>
          <w:p w14:paraId="3ACDCCDC" w14:textId="77777777" w:rsidR="00051EB1" w:rsidRPr="0048391B" w:rsidRDefault="00051EB1" w:rsidP="006A09B9">
            <w:r w:rsidRPr="0048391B">
              <w:t>Civil Service Bureau bylaw</w:t>
            </w:r>
          </w:p>
          <w:p w14:paraId="0438F15D" w14:textId="77777777" w:rsidR="00051EB1" w:rsidRPr="0048391B" w:rsidRDefault="00051EB1" w:rsidP="006A09B9"/>
          <w:p w14:paraId="17901D4F" w14:textId="77777777" w:rsidR="00051EB1" w:rsidRPr="0048391B" w:rsidRDefault="00051EB1" w:rsidP="006A09B9">
            <w:r w:rsidRPr="0048391B">
              <w:t xml:space="preserve">Repressing protests </w:t>
            </w:r>
          </w:p>
        </w:tc>
        <w:tc>
          <w:tcPr>
            <w:tcW w:w="2078" w:type="dxa"/>
          </w:tcPr>
          <w:p w14:paraId="0EC10CBC" w14:textId="77777777" w:rsidR="00051EB1" w:rsidRPr="0048391B" w:rsidRDefault="00051EB1" w:rsidP="006A09B9">
            <w:r w:rsidRPr="0048391B">
              <w:t>Self-censorship</w:t>
            </w:r>
          </w:p>
        </w:tc>
        <w:tc>
          <w:tcPr>
            <w:tcW w:w="1959" w:type="dxa"/>
          </w:tcPr>
          <w:p w14:paraId="1F124225" w14:textId="77777777" w:rsidR="00051EB1" w:rsidRPr="0048391B" w:rsidRDefault="00051EB1" w:rsidP="006A09B9">
            <w:r w:rsidRPr="0048391B">
              <w:t>NSO Group spyware</w:t>
            </w:r>
          </w:p>
          <w:p w14:paraId="1A80419D" w14:textId="77777777" w:rsidR="00051EB1" w:rsidRPr="0048391B" w:rsidRDefault="00051EB1" w:rsidP="006A09B9"/>
          <w:p w14:paraId="4561D20B" w14:textId="77777777" w:rsidR="00051EB1" w:rsidRPr="0048391B" w:rsidRDefault="00051EB1" w:rsidP="006A09B9">
            <w:r w:rsidRPr="0048391B">
              <w:t>Surveillance Operator (Pearl)</w:t>
            </w:r>
          </w:p>
        </w:tc>
      </w:tr>
      <w:tr w:rsidR="00051EB1" w:rsidRPr="0048391B" w14:paraId="0BFBF7F7" w14:textId="77777777" w:rsidTr="006A09B9">
        <w:tc>
          <w:tcPr>
            <w:tcW w:w="1494" w:type="dxa"/>
            <w:vMerge/>
            <w:tcBorders>
              <w:left w:val="nil"/>
              <w:bottom w:val="nil"/>
            </w:tcBorders>
          </w:tcPr>
          <w:p w14:paraId="736B47B5" w14:textId="77777777" w:rsidR="00051EB1" w:rsidRPr="0048391B" w:rsidRDefault="00051EB1" w:rsidP="006A09B9"/>
        </w:tc>
        <w:tc>
          <w:tcPr>
            <w:tcW w:w="1766" w:type="dxa"/>
          </w:tcPr>
          <w:p w14:paraId="75AAEA5B" w14:textId="77777777" w:rsidR="00051EB1" w:rsidRPr="0048391B" w:rsidRDefault="00051EB1" w:rsidP="006A09B9">
            <w:pPr>
              <w:rPr>
                <w:b/>
                <w:bCs/>
              </w:rPr>
            </w:pPr>
            <w:r w:rsidRPr="0048391B">
              <w:rPr>
                <w:b/>
                <w:bCs/>
              </w:rPr>
              <w:t>UAE</w:t>
            </w:r>
          </w:p>
        </w:tc>
        <w:tc>
          <w:tcPr>
            <w:tcW w:w="2053" w:type="dxa"/>
          </w:tcPr>
          <w:p w14:paraId="38ED8BC9" w14:textId="77777777" w:rsidR="00051EB1" w:rsidRPr="0048391B" w:rsidRDefault="00051EB1" w:rsidP="006A09B9">
            <w:r w:rsidRPr="0048391B">
              <w:t>Committee for the Resistance of Normalization (shut down 2013)</w:t>
            </w:r>
          </w:p>
          <w:p w14:paraId="0C187910" w14:textId="77777777" w:rsidR="00051EB1" w:rsidRPr="0048391B" w:rsidRDefault="00051EB1" w:rsidP="006A09B9"/>
          <w:p w14:paraId="21E90287" w14:textId="77777777" w:rsidR="00051EB1" w:rsidRPr="0048391B" w:rsidRDefault="00051EB1" w:rsidP="006A09B9">
            <w:r w:rsidRPr="0048391B">
              <w:t>The UAE 94 trial</w:t>
            </w:r>
          </w:p>
          <w:p w14:paraId="0312B2DD" w14:textId="77777777" w:rsidR="00051EB1" w:rsidRPr="0048391B" w:rsidRDefault="00051EB1" w:rsidP="006A09B9"/>
          <w:p w14:paraId="7F647623" w14:textId="77777777" w:rsidR="00051EB1" w:rsidRPr="0048391B" w:rsidRDefault="00051EB1" w:rsidP="006A09B9">
            <w:r w:rsidRPr="0048391B">
              <w:t>Student groups shut down</w:t>
            </w:r>
          </w:p>
        </w:tc>
        <w:tc>
          <w:tcPr>
            <w:tcW w:w="2078" w:type="dxa"/>
          </w:tcPr>
          <w:p w14:paraId="4C152337" w14:textId="77777777" w:rsidR="00051EB1" w:rsidRPr="0048391B" w:rsidRDefault="00051EB1" w:rsidP="006A09B9">
            <w:r w:rsidRPr="0048391B">
              <w:t>Intolerance discourse</w:t>
            </w:r>
          </w:p>
          <w:p w14:paraId="61F4C12E" w14:textId="77777777" w:rsidR="00051EB1" w:rsidRPr="0048391B" w:rsidRDefault="00051EB1" w:rsidP="006A09B9"/>
          <w:p w14:paraId="05A3F781" w14:textId="77777777" w:rsidR="00051EB1" w:rsidRPr="0048391B" w:rsidRDefault="00051EB1" w:rsidP="006A09B9">
            <w:r w:rsidRPr="0048391B">
              <w:t>Citizen reporting</w:t>
            </w:r>
          </w:p>
          <w:p w14:paraId="7E5AB1A7" w14:textId="77777777" w:rsidR="00051EB1" w:rsidRPr="0048391B" w:rsidRDefault="00051EB1" w:rsidP="006A09B9"/>
          <w:p w14:paraId="4996FFF5" w14:textId="77777777" w:rsidR="00D616E8" w:rsidRPr="0048391B" w:rsidRDefault="00D616E8" w:rsidP="00D616E8">
            <w:r w:rsidRPr="0048391B">
              <w:t>Exile and estrangement</w:t>
            </w:r>
          </w:p>
          <w:p w14:paraId="785E50CC" w14:textId="729B4445" w:rsidR="00051EB1" w:rsidRPr="0048391B" w:rsidRDefault="00051EB1" w:rsidP="006A09B9"/>
        </w:tc>
        <w:tc>
          <w:tcPr>
            <w:tcW w:w="1959" w:type="dxa"/>
          </w:tcPr>
          <w:p w14:paraId="554E8923" w14:textId="77777777" w:rsidR="00051EB1" w:rsidRPr="0048391B" w:rsidRDefault="00051EB1" w:rsidP="006A09B9">
            <w:r w:rsidRPr="0048391B">
              <w:t>NSO Group spyware + Dark Matter + AGT International</w:t>
            </w:r>
          </w:p>
          <w:p w14:paraId="40EFD443" w14:textId="77777777" w:rsidR="00051EB1" w:rsidRPr="0048391B" w:rsidRDefault="00051EB1" w:rsidP="006A09B9"/>
          <w:p w14:paraId="4BAEF24B" w14:textId="77777777" w:rsidR="00051EB1" w:rsidRPr="0048391B" w:rsidRDefault="00051EB1" w:rsidP="006A09B9">
            <w:r w:rsidRPr="0048391B">
              <w:t xml:space="preserve">Military-to-military </w:t>
            </w:r>
          </w:p>
          <w:p w14:paraId="11920CED" w14:textId="77777777" w:rsidR="00051EB1" w:rsidRPr="0048391B" w:rsidRDefault="00051EB1" w:rsidP="006A09B9"/>
          <w:p w14:paraId="2B06A63B" w14:textId="7DA41A80" w:rsidR="00051EB1" w:rsidRPr="0048391B" w:rsidRDefault="00051EB1" w:rsidP="004D028C">
            <w:r w:rsidRPr="0048391B">
              <w:t>Surveillance Operator (</w:t>
            </w:r>
            <w:r w:rsidR="004D028C" w:rsidRPr="0048391B">
              <w:t>Falcon</w:t>
            </w:r>
            <w:r w:rsidRPr="0048391B">
              <w:t>)</w:t>
            </w:r>
          </w:p>
          <w:p w14:paraId="3923FFDF" w14:textId="77777777" w:rsidR="00051EB1" w:rsidRPr="0048391B" w:rsidRDefault="00051EB1" w:rsidP="006A09B9"/>
          <w:p w14:paraId="351BF111" w14:textId="77777777" w:rsidR="00051EB1" w:rsidRPr="0048391B" w:rsidRDefault="00051EB1" w:rsidP="006A09B9">
            <w:r w:rsidRPr="0048391B">
              <w:t>Intelligence-sharing</w:t>
            </w:r>
          </w:p>
        </w:tc>
      </w:tr>
    </w:tbl>
    <w:p w14:paraId="46FD6394" w14:textId="77777777" w:rsidR="00BF618B" w:rsidRDefault="00BF618B" w:rsidP="00B8326C">
      <w:pPr>
        <w:rPr>
          <w:b/>
          <w:bCs/>
          <w:i/>
          <w:iCs/>
          <w:sz w:val="24"/>
          <w:szCs w:val="24"/>
        </w:rPr>
      </w:pPr>
    </w:p>
    <w:p w14:paraId="497405F2" w14:textId="0314E744" w:rsidR="00B8326C" w:rsidRPr="0048391B" w:rsidRDefault="00B8326C" w:rsidP="008F1D69">
      <w:pPr>
        <w:spacing w:after="0" w:line="480" w:lineRule="auto"/>
        <w:jc w:val="both"/>
        <w:rPr>
          <w:rFonts w:cs="Arial"/>
          <w:b/>
          <w:bCs/>
          <w:i/>
          <w:iCs/>
          <w:sz w:val="24"/>
          <w:szCs w:val="24"/>
        </w:rPr>
      </w:pPr>
      <w:r w:rsidRPr="0048391B">
        <w:rPr>
          <w:rFonts w:cs="Arial"/>
          <w:b/>
          <w:bCs/>
          <w:i/>
          <w:iCs/>
          <w:sz w:val="24"/>
          <w:szCs w:val="24"/>
        </w:rPr>
        <w:t>Diplomatic and Cultural Normalization</w:t>
      </w:r>
    </w:p>
    <w:p w14:paraId="2830D1DD" w14:textId="77777777" w:rsidR="00274E63" w:rsidRPr="0048391B" w:rsidRDefault="00274E63" w:rsidP="008F1D69">
      <w:pPr>
        <w:spacing w:after="0" w:line="480" w:lineRule="auto"/>
        <w:jc w:val="both"/>
        <w:rPr>
          <w:rFonts w:cs="Arial"/>
          <w:i/>
          <w:iCs/>
          <w:sz w:val="24"/>
          <w:szCs w:val="24"/>
        </w:rPr>
      </w:pPr>
      <w:r w:rsidRPr="0048391B">
        <w:rPr>
          <w:rFonts w:cs="Arial"/>
          <w:i/>
          <w:iCs/>
          <w:sz w:val="24"/>
          <w:szCs w:val="24"/>
        </w:rPr>
        <w:t>Qatar</w:t>
      </w:r>
    </w:p>
    <w:p w14:paraId="73EFD217" w14:textId="59ABB0C9" w:rsidR="009B1544" w:rsidRPr="0048391B" w:rsidRDefault="005D374B" w:rsidP="00D778F3">
      <w:pPr>
        <w:spacing w:after="0" w:line="480" w:lineRule="auto"/>
        <w:jc w:val="both"/>
        <w:rPr>
          <w:rFonts w:cs="Arial"/>
          <w:sz w:val="24"/>
          <w:szCs w:val="24"/>
        </w:rPr>
      </w:pPr>
      <w:r w:rsidRPr="0048391B">
        <w:rPr>
          <w:rFonts w:cs="Arial"/>
          <w:b/>
          <w:bCs/>
          <w:i/>
          <w:iCs/>
          <w:sz w:val="24"/>
          <w:szCs w:val="24"/>
        </w:rPr>
        <w:tab/>
      </w:r>
      <w:r w:rsidR="002D4943" w:rsidRPr="0048391B">
        <w:rPr>
          <w:rFonts w:cs="Arial"/>
          <w:sz w:val="24"/>
          <w:szCs w:val="24"/>
        </w:rPr>
        <w:t xml:space="preserve">Qatar </w:t>
      </w:r>
      <w:r w:rsidR="00D778F3" w:rsidRPr="0048391B">
        <w:rPr>
          <w:rFonts w:cs="Arial"/>
          <w:sz w:val="24"/>
          <w:szCs w:val="24"/>
        </w:rPr>
        <w:t>was among the first to “spearhead” Arab normalization following the 1993 Oslo Accords</w:t>
      </w:r>
      <w:r w:rsidR="009B1544" w:rsidRPr="0048391B">
        <w:rPr>
          <w:rFonts w:cs="Arial"/>
          <w:sz w:val="24"/>
          <w:szCs w:val="24"/>
        </w:rPr>
        <w:t>.</w:t>
      </w:r>
      <w:r w:rsidR="00E624C1">
        <w:rPr>
          <w:rFonts w:cs="Arial"/>
          <w:sz w:val="24"/>
          <w:szCs w:val="24"/>
        </w:rPr>
        <w:t xml:space="preserve"> </w:t>
      </w:r>
      <w:r w:rsidR="00CC2D2E">
        <w:rPr>
          <w:rFonts w:cs="Arial"/>
          <w:sz w:val="24"/>
          <w:szCs w:val="24"/>
        </w:rPr>
        <w:t>The first to open an</w:t>
      </w:r>
      <w:r w:rsidR="00A21BA0">
        <w:rPr>
          <w:rFonts w:cs="Arial"/>
          <w:sz w:val="24"/>
          <w:szCs w:val="24"/>
        </w:rPr>
        <w:t xml:space="preserve"> </w:t>
      </w:r>
      <w:r w:rsidR="002D4943" w:rsidRPr="0048391B">
        <w:rPr>
          <w:rFonts w:cs="Arial"/>
          <w:sz w:val="24"/>
          <w:szCs w:val="24"/>
        </w:rPr>
        <w:t xml:space="preserve">Israel trade </w:t>
      </w:r>
      <w:r w:rsidR="00CC2D2E">
        <w:rPr>
          <w:rFonts w:cs="Arial"/>
          <w:sz w:val="24"/>
          <w:szCs w:val="24"/>
        </w:rPr>
        <w:t>office</w:t>
      </w:r>
      <w:r w:rsidR="00A21BA0">
        <w:rPr>
          <w:rFonts w:cs="Arial"/>
          <w:sz w:val="24"/>
          <w:szCs w:val="24"/>
        </w:rPr>
        <w:t xml:space="preserve"> </w:t>
      </w:r>
      <w:r w:rsidR="002D4943" w:rsidRPr="0048391B">
        <w:rPr>
          <w:rFonts w:cs="Arial"/>
          <w:sz w:val="24"/>
          <w:szCs w:val="24"/>
        </w:rPr>
        <w:t xml:space="preserve">in the Gulf, </w:t>
      </w:r>
      <w:r w:rsidR="00CC2D2E">
        <w:rPr>
          <w:rFonts w:cs="Arial"/>
          <w:sz w:val="24"/>
          <w:szCs w:val="24"/>
        </w:rPr>
        <w:t>Qatar also</w:t>
      </w:r>
      <w:r w:rsidR="002D4943" w:rsidRPr="0048391B">
        <w:rPr>
          <w:rFonts w:cs="Arial"/>
          <w:sz w:val="24"/>
          <w:szCs w:val="24"/>
        </w:rPr>
        <w:t xml:space="preserve"> hosted Israeli heads of state even under politically sensitive circumstances.</w:t>
      </w:r>
      <w:r w:rsidR="008014AC" w:rsidRPr="0048391B">
        <w:rPr>
          <w:rStyle w:val="FootnoteReference"/>
          <w:rFonts w:cs="Arial"/>
          <w:sz w:val="24"/>
          <w:szCs w:val="24"/>
        </w:rPr>
        <w:footnoteReference w:id="47"/>
      </w:r>
      <w:r w:rsidR="009B1544" w:rsidRPr="0048391B">
        <w:rPr>
          <w:rFonts w:cs="Arial"/>
          <w:sz w:val="24"/>
          <w:szCs w:val="24"/>
        </w:rPr>
        <w:t xml:space="preserve"> </w:t>
      </w:r>
      <w:r w:rsidR="00E444C5">
        <w:rPr>
          <w:rFonts w:cs="Arial"/>
          <w:sz w:val="24"/>
          <w:szCs w:val="24"/>
        </w:rPr>
        <w:t>A</w:t>
      </w:r>
      <w:r w:rsidR="00E444C5" w:rsidRPr="0048391B">
        <w:rPr>
          <w:rFonts w:cs="Arial"/>
          <w:sz w:val="24"/>
          <w:szCs w:val="24"/>
        </w:rPr>
        <w:t>ccording</w:t>
      </w:r>
      <w:r w:rsidR="009B1544" w:rsidRPr="0048391B">
        <w:rPr>
          <w:rFonts w:cs="Arial"/>
          <w:sz w:val="24"/>
          <w:szCs w:val="24"/>
        </w:rPr>
        <w:t xml:space="preserve"> to Israeli officials, Qatar was the only Arab country without official ties which maintained a relationship with Israel during the 2</w:t>
      </w:r>
      <w:r w:rsidR="009B1544" w:rsidRPr="0048391B">
        <w:rPr>
          <w:rFonts w:cs="Arial"/>
          <w:sz w:val="24"/>
          <w:szCs w:val="24"/>
          <w:vertAlign w:val="superscript"/>
        </w:rPr>
        <w:t>nd</w:t>
      </w:r>
      <w:r w:rsidR="009B1544" w:rsidRPr="0048391B">
        <w:rPr>
          <w:rFonts w:cs="Arial"/>
          <w:sz w:val="24"/>
          <w:szCs w:val="24"/>
        </w:rPr>
        <w:t xml:space="preserve"> intifada.</w:t>
      </w:r>
      <w:r w:rsidR="00723862" w:rsidRPr="0048391B">
        <w:rPr>
          <w:rStyle w:val="FootnoteReference"/>
          <w:rFonts w:cs="Arial"/>
          <w:sz w:val="24"/>
          <w:szCs w:val="24"/>
        </w:rPr>
        <w:footnoteReference w:id="48"/>
      </w:r>
      <w:r w:rsidR="009B1544" w:rsidRPr="0048391B">
        <w:rPr>
          <w:rFonts w:cs="Arial"/>
          <w:sz w:val="24"/>
          <w:szCs w:val="24"/>
        </w:rPr>
        <w:t xml:space="preserve"> </w:t>
      </w:r>
    </w:p>
    <w:p w14:paraId="133FF5EE" w14:textId="341E5AA8" w:rsidR="00512A34" w:rsidRDefault="002D4943" w:rsidP="00F224DA">
      <w:pPr>
        <w:spacing w:after="0" w:line="480" w:lineRule="auto"/>
        <w:ind w:firstLine="720"/>
        <w:jc w:val="both"/>
        <w:rPr>
          <w:rFonts w:cs="Arial"/>
          <w:sz w:val="24"/>
          <w:szCs w:val="24"/>
        </w:rPr>
      </w:pPr>
      <w:r w:rsidRPr="0048391B">
        <w:rPr>
          <w:rFonts w:cs="Arial"/>
          <w:sz w:val="24"/>
          <w:szCs w:val="24"/>
        </w:rPr>
        <w:t>At the same time, p</w:t>
      </w:r>
      <w:r w:rsidR="005D374B" w:rsidRPr="0048391B">
        <w:rPr>
          <w:sz w:val="24"/>
          <w:szCs w:val="24"/>
        </w:rPr>
        <w:t xml:space="preserve">ro-Palestine solidarity groups in Qatar were tolerated. </w:t>
      </w:r>
      <w:r w:rsidR="003E147E" w:rsidRPr="0048391B">
        <w:rPr>
          <w:sz w:val="24"/>
          <w:szCs w:val="24"/>
        </w:rPr>
        <w:t>M</w:t>
      </w:r>
      <w:r w:rsidR="007774B1" w:rsidRPr="0048391B">
        <w:rPr>
          <w:sz w:val="24"/>
          <w:szCs w:val="24"/>
        </w:rPr>
        <w:t>ost</w:t>
      </w:r>
      <w:r w:rsidR="005D374B" w:rsidRPr="0048391B">
        <w:rPr>
          <w:sz w:val="24"/>
          <w:szCs w:val="24"/>
        </w:rPr>
        <w:t xml:space="preserve"> </w:t>
      </w:r>
      <w:r w:rsidR="009B1544" w:rsidRPr="0048391B">
        <w:rPr>
          <w:sz w:val="24"/>
          <w:szCs w:val="24"/>
        </w:rPr>
        <w:t>pro-Palestine</w:t>
      </w:r>
      <w:r w:rsidR="005D374B" w:rsidRPr="0048391B">
        <w:rPr>
          <w:sz w:val="24"/>
          <w:szCs w:val="24"/>
        </w:rPr>
        <w:t xml:space="preserve"> groups focused on humanitarian </w:t>
      </w:r>
      <w:r w:rsidR="00E444C5">
        <w:rPr>
          <w:sz w:val="24"/>
          <w:szCs w:val="24"/>
        </w:rPr>
        <w:t>issues</w:t>
      </w:r>
      <w:r w:rsidR="005D374B" w:rsidRPr="0048391B">
        <w:rPr>
          <w:sz w:val="24"/>
          <w:szCs w:val="24"/>
        </w:rPr>
        <w:t xml:space="preserve">, </w:t>
      </w:r>
      <w:r w:rsidR="00D76B47">
        <w:rPr>
          <w:sz w:val="24"/>
          <w:szCs w:val="24"/>
        </w:rPr>
        <w:t>though some more directly challenged regime policy.</w:t>
      </w:r>
      <w:r w:rsidR="009B1544" w:rsidRPr="0048391B">
        <w:rPr>
          <w:sz w:val="24"/>
          <w:szCs w:val="24"/>
        </w:rPr>
        <w:t xml:space="preserve"> </w:t>
      </w:r>
      <w:r w:rsidR="00ED4204">
        <w:rPr>
          <w:sz w:val="24"/>
          <w:szCs w:val="24"/>
        </w:rPr>
        <w:t>T</w:t>
      </w:r>
      <w:r w:rsidR="00134B25" w:rsidRPr="0048391B">
        <w:rPr>
          <w:sz w:val="24"/>
          <w:szCs w:val="24"/>
        </w:rPr>
        <w:t>he</w:t>
      </w:r>
      <w:r w:rsidR="00D76B47">
        <w:rPr>
          <w:sz w:val="24"/>
          <w:szCs w:val="24"/>
        </w:rPr>
        <w:t xml:space="preserve">se included </w:t>
      </w:r>
      <w:r w:rsidR="005D374B" w:rsidRPr="0048391B">
        <w:rPr>
          <w:sz w:val="24"/>
          <w:szCs w:val="24"/>
        </w:rPr>
        <w:t>the “Qatar National Committee to Support the Palestinian Intifada” which began in 1988 in response to the first intifada, and the “Qatar Society for Supporting Palestinian Rights” which began in response to the second.</w:t>
      </w:r>
      <w:r w:rsidR="005D374B" w:rsidRPr="0048391B">
        <w:rPr>
          <w:rStyle w:val="FootnoteReference"/>
          <w:sz w:val="24"/>
          <w:szCs w:val="24"/>
        </w:rPr>
        <w:footnoteReference w:id="49"/>
      </w:r>
      <w:r w:rsidR="005D374B" w:rsidRPr="0048391B">
        <w:rPr>
          <w:sz w:val="24"/>
          <w:szCs w:val="24"/>
        </w:rPr>
        <w:t xml:space="preserve"> </w:t>
      </w:r>
      <w:r w:rsidR="00485095">
        <w:rPr>
          <w:sz w:val="24"/>
          <w:szCs w:val="24"/>
        </w:rPr>
        <w:t>Moreover, g</w:t>
      </w:r>
      <w:r w:rsidR="005D374B" w:rsidRPr="0048391B">
        <w:rPr>
          <w:sz w:val="24"/>
          <w:szCs w:val="24"/>
        </w:rPr>
        <w:t>roups such as “Youth for Jerusalem” (</w:t>
      </w:r>
      <w:r w:rsidR="005D374B" w:rsidRPr="0048391B">
        <w:rPr>
          <w:rFonts w:cs="Arial"/>
          <w:sz w:val="24"/>
          <w:szCs w:val="24"/>
          <w:rtl/>
        </w:rPr>
        <w:t>شباب لأجل القدس</w:t>
      </w:r>
      <w:r w:rsidR="005D374B" w:rsidRPr="0048391B">
        <w:rPr>
          <w:rFonts w:cs="Arial"/>
          <w:sz w:val="24"/>
          <w:szCs w:val="24"/>
        </w:rPr>
        <w:t xml:space="preserve">) </w:t>
      </w:r>
      <w:r w:rsidR="00424C3A">
        <w:rPr>
          <w:rFonts w:cs="Arial"/>
          <w:sz w:val="24"/>
          <w:szCs w:val="24"/>
        </w:rPr>
        <w:t>are</w:t>
      </w:r>
      <w:r w:rsidR="00134B25" w:rsidRPr="0048391B">
        <w:rPr>
          <w:rFonts w:cs="Arial"/>
          <w:sz w:val="24"/>
          <w:szCs w:val="24"/>
        </w:rPr>
        <w:t xml:space="preserve"> staples at Qatar University</w:t>
      </w:r>
      <w:r w:rsidR="005D374B" w:rsidRPr="0048391B">
        <w:rPr>
          <w:rFonts w:cs="Arial"/>
          <w:sz w:val="24"/>
          <w:szCs w:val="24"/>
        </w:rPr>
        <w:t>.</w:t>
      </w:r>
      <w:r w:rsidR="00723862" w:rsidRPr="0048391B">
        <w:rPr>
          <w:rStyle w:val="FootnoteReference"/>
          <w:rFonts w:cs="Arial"/>
          <w:sz w:val="24"/>
          <w:szCs w:val="24"/>
        </w:rPr>
        <w:footnoteReference w:id="50"/>
      </w:r>
      <w:r w:rsidR="00EE446C" w:rsidRPr="0048391B">
        <w:rPr>
          <w:rFonts w:cs="Arial"/>
          <w:sz w:val="24"/>
          <w:szCs w:val="24"/>
        </w:rPr>
        <w:t xml:space="preserve"> </w:t>
      </w:r>
      <w:r w:rsidR="00EE446C" w:rsidRPr="0048391B">
        <w:rPr>
          <w:sz w:val="24"/>
          <w:szCs w:val="24"/>
        </w:rPr>
        <w:t>Uncharacteristically, protests in support of the 2</w:t>
      </w:r>
      <w:r w:rsidR="00EE446C" w:rsidRPr="0048391B">
        <w:rPr>
          <w:sz w:val="24"/>
          <w:szCs w:val="24"/>
          <w:vertAlign w:val="superscript"/>
        </w:rPr>
        <w:t>nd</w:t>
      </w:r>
      <w:r w:rsidR="00EE446C" w:rsidRPr="0048391B">
        <w:rPr>
          <w:sz w:val="24"/>
          <w:szCs w:val="24"/>
        </w:rPr>
        <w:t xml:space="preserve"> intifada were even permitted.</w:t>
      </w:r>
      <w:r w:rsidR="00EE446C" w:rsidRPr="0048391B">
        <w:rPr>
          <w:rStyle w:val="FootnoteReference"/>
          <w:sz w:val="24"/>
          <w:szCs w:val="24"/>
        </w:rPr>
        <w:footnoteReference w:id="51"/>
      </w:r>
      <w:r w:rsidR="00EE446C" w:rsidRPr="0048391B">
        <w:rPr>
          <w:sz w:val="24"/>
          <w:szCs w:val="24"/>
        </w:rPr>
        <w:t xml:space="preserve"> </w:t>
      </w:r>
      <w:r w:rsidR="00B14F01" w:rsidRPr="0048391B">
        <w:rPr>
          <w:rFonts w:cs="Arial"/>
          <w:sz w:val="24"/>
          <w:szCs w:val="24"/>
        </w:rPr>
        <w:t xml:space="preserve"> </w:t>
      </w:r>
    </w:p>
    <w:p w14:paraId="5013EF5F" w14:textId="22F4C6FA" w:rsidR="00296AB1" w:rsidRPr="0048391B" w:rsidRDefault="00485095" w:rsidP="00F224DA">
      <w:pPr>
        <w:spacing w:after="0" w:line="480" w:lineRule="auto"/>
        <w:ind w:firstLine="720"/>
        <w:jc w:val="both"/>
        <w:rPr>
          <w:rFonts w:cs="Arial"/>
          <w:sz w:val="24"/>
          <w:szCs w:val="24"/>
        </w:rPr>
      </w:pPr>
      <w:r>
        <w:rPr>
          <w:rFonts w:cs="Arial"/>
          <w:sz w:val="24"/>
          <w:szCs w:val="24"/>
        </w:rPr>
        <w:t>This societal support is corroborated by polling as well.</w:t>
      </w:r>
      <w:r w:rsidR="00134B25" w:rsidRPr="0048391B">
        <w:rPr>
          <w:rFonts w:cs="Arial"/>
          <w:sz w:val="24"/>
          <w:szCs w:val="24"/>
        </w:rPr>
        <w:t xml:space="preserve"> </w:t>
      </w:r>
      <w:r w:rsidR="00C651C0" w:rsidRPr="0048391B">
        <w:rPr>
          <w:rFonts w:cs="Arial"/>
          <w:sz w:val="24"/>
          <w:szCs w:val="24"/>
        </w:rPr>
        <w:t xml:space="preserve">Qataris </w:t>
      </w:r>
      <w:r w:rsidR="00134B25" w:rsidRPr="0048391B">
        <w:rPr>
          <w:rFonts w:cs="Arial"/>
          <w:sz w:val="24"/>
          <w:szCs w:val="24"/>
        </w:rPr>
        <w:t xml:space="preserve">were </w:t>
      </w:r>
      <w:r>
        <w:rPr>
          <w:rFonts w:cs="Arial"/>
          <w:sz w:val="24"/>
          <w:szCs w:val="24"/>
        </w:rPr>
        <w:t>recently polled on</w:t>
      </w:r>
      <w:r w:rsidR="00134B25" w:rsidRPr="0048391B">
        <w:rPr>
          <w:rFonts w:cs="Arial"/>
          <w:sz w:val="24"/>
          <w:szCs w:val="24"/>
        </w:rPr>
        <w:t xml:space="preserve"> whether they agree</w:t>
      </w:r>
      <w:r w:rsidR="00C651C0" w:rsidRPr="0048391B">
        <w:rPr>
          <w:rFonts w:cs="Arial"/>
          <w:sz w:val="24"/>
          <w:szCs w:val="24"/>
        </w:rPr>
        <w:t xml:space="preserve"> with that Palestine was a “cause for all Arabs, and not just Palestinians alone.” </w:t>
      </w:r>
      <w:r w:rsidR="00D53700" w:rsidRPr="0048391B">
        <w:rPr>
          <w:rFonts w:cs="Arial"/>
          <w:sz w:val="24"/>
          <w:szCs w:val="24"/>
        </w:rPr>
        <w:t>They</w:t>
      </w:r>
      <w:r w:rsidR="00C651C0" w:rsidRPr="0048391B">
        <w:rPr>
          <w:rFonts w:cs="Arial"/>
          <w:sz w:val="24"/>
          <w:szCs w:val="24"/>
        </w:rPr>
        <w:t xml:space="preserve"> </w:t>
      </w:r>
      <w:r w:rsidR="00134B25" w:rsidRPr="0048391B">
        <w:rPr>
          <w:rFonts w:cs="Arial"/>
          <w:sz w:val="24"/>
          <w:szCs w:val="24"/>
        </w:rPr>
        <w:t xml:space="preserve">were </w:t>
      </w:r>
      <w:r w:rsidR="00C651C0" w:rsidRPr="0048391B">
        <w:rPr>
          <w:rFonts w:cs="Arial"/>
          <w:sz w:val="24"/>
          <w:szCs w:val="24"/>
        </w:rPr>
        <w:t xml:space="preserve">also asked about diplomatic recognition </w:t>
      </w:r>
      <w:r w:rsidR="00AE6793" w:rsidRPr="0048391B">
        <w:rPr>
          <w:rFonts w:cs="Arial"/>
          <w:sz w:val="24"/>
          <w:szCs w:val="24"/>
        </w:rPr>
        <w:t xml:space="preserve">of Israel. In that </w:t>
      </w:r>
      <w:r w:rsidR="00BA640D">
        <w:rPr>
          <w:rFonts w:cs="Arial"/>
          <w:sz w:val="24"/>
          <w:szCs w:val="24"/>
        </w:rPr>
        <w:t>survey</w:t>
      </w:r>
      <w:r w:rsidR="00AE6793" w:rsidRPr="0048391B">
        <w:rPr>
          <w:rFonts w:cs="Arial"/>
          <w:sz w:val="24"/>
          <w:szCs w:val="24"/>
        </w:rPr>
        <w:t>, 8</w:t>
      </w:r>
      <w:r w:rsidR="00B14F01" w:rsidRPr="0048391B">
        <w:rPr>
          <w:rFonts w:cs="Arial"/>
          <w:sz w:val="24"/>
          <w:szCs w:val="24"/>
        </w:rPr>
        <w:t xml:space="preserve">8% of Qataris </w:t>
      </w:r>
      <w:r w:rsidR="00B14F01" w:rsidRPr="0048391B">
        <w:rPr>
          <w:rFonts w:cs="Arial"/>
          <w:sz w:val="24"/>
          <w:szCs w:val="24"/>
        </w:rPr>
        <w:lastRenderedPageBreak/>
        <w:t>believed that the Palestinian cause was a “cause for all Arabs,” and only 3% approved of diplomatic recognition.</w:t>
      </w:r>
      <w:r w:rsidR="00723862" w:rsidRPr="0048391B">
        <w:rPr>
          <w:rStyle w:val="FootnoteReference"/>
          <w:rFonts w:cs="Arial"/>
          <w:sz w:val="24"/>
          <w:szCs w:val="24"/>
        </w:rPr>
        <w:footnoteReference w:id="52"/>
      </w:r>
    </w:p>
    <w:p w14:paraId="188621BA" w14:textId="305BB51A" w:rsidR="00B14F01" w:rsidRPr="008234B1" w:rsidRDefault="00296AB1" w:rsidP="008234B1">
      <w:pPr>
        <w:spacing w:after="0" w:line="480" w:lineRule="auto"/>
        <w:ind w:firstLine="720"/>
        <w:jc w:val="both"/>
        <w:rPr>
          <w:sz w:val="24"/>
          <w:szCs w:val="24"/>
        </w:rPr>
      </w:pPr>
      <w:r w:rsidRPr="0048391B">
        <w:rPr>
          <w:rFonts w:cs="Arial"/>
          <w:sz w:val="24"/>
          <w:szCs w:val="24"/>
        </w:rPr>
        <w:t>With every step towards normalization, however, the space for pr</w:t>
      </w:r>
      <w:r w:rsidR="004838E0" w:rsidRPr="0048391B">
        <w:rPr>
          <w:rFonts w:cs="Arial"/>
          <w:sz w:val="24"/>
          <w:szCs w:val="24"/>
        </w:rPr>
        <w:t xml:space="preserve">o-Palestinian organizing </w:t>
      </w:r>
      <w:r w:rsidR="00D76B47">
        <w:rPr>
          <w:rFonts w:cs="Arial"/>
          <w:sz w:val="24"/>
          <w:szCs w:val="24"/>
        </w:rPr>
        <w:t>has become</w:t>
      </w:r>
      <w:r w:rsidR="004838E0" w:rsidRPr="0048391B">
        <w:rPr>
          <w:rFonts w:cs="Arial"/>
          <w:sz w:val="24"/>
          <w:szCs w:val="24"/>
        </w:rPr>
        <w:t xml:space="preserve"> more limited</w:t>
      </w:r>
      <w:r w:rsidRPr="0048391B">
        <w:rPr>
          <w:rFonts w:cs="Arial"/>
          <w:sz w:val="24"/>
          <w:szCs w:val="24"/>
        </w:rPr>
        <w:t>. After the signing of the Oslo</w:t>
      </w:r>
      <w:r w:rsidR="000429AB">
        <w:rPr>
          <w:rFonts w:cs="Arial"/>
          <w:sz w:val="24"/>
          <w:szCs w:val="24"/>
        </w:rPr>
        <w:t xml:space="preserve"> Accords</w:t>
      </w:r>
      <w:r w:rsidRPr="0048391B">
        <w:rPr>
          <w:rFonts w:cs="Arial"/>
          <w:sz w:val="24"/>
          <w:szCs w:val="24"/>
        </w:rPr>
        <w:t>, Qatar</w:t>
      </w:r>
      <w:r w:rsidR="000429AB">
        <w:rPr>
          <w:rFonts w:cs="Arial"/>
          <w:sz w:val="24"/>
          <w:szCs w:val="24"/>
        </w:rPr>
        <w:t xml:space="preserve"> pursued normalization and c</w:t>
      </w:r>
      <w:r w:rsidRPr="0048391B">
        <w:rPr>
          <w:rFonts w:cs="Arial"/>
          <w:sz w:val="24"/>
          <w:szCs w:val="24"/>
        </w:rPr>
        <w:t>oncurrently</w:t>
      </w:r>
      <w:r w:rsidR="004838E0" w:rsidRPr="0048391B">
        <w:rPr>
          <w:rFonts w:cs="Arial"/>
          <w:sz w:val="24"/>
          <w:szCs w:val="24"/>
        </w:rPr>
        <w:t xml:space="preserve">, </w:t>
      </w:r>
      <w:r w:rsidRPr="0048391B">
        <w:rPr>
          <w:rFonts w:cs="Arial"/>
          <w:sz w:val="24"/>
          <w:szCs w:val="24"/>
        </w:rPr>
        <w:t xml:space="preserve">the </w:t>
      </w:r>
      <w:r w:rsidRPr="0048391B">
        <w:rPr>
          <w:sz w:val="24"/>
          <w:szCs w:val="24"/>
        </w:rPr>
        <w:t>Committee to Support the Palestinian Intifada was</w:t>
      </w:r>
      <w:r w:rsidR="007102CC" w:rsidRPr="0048391B">
        <w:rPr>
          <w:sz w:val="24"/>
          <w:szCs w:val="24"/>
        </w:rPr>
        <w:t xml:space="preserve"> shut down</w:t>
      </w:r>
      <w:r w:rsidR="000429AB">
        <w:rPr>
          <w:sz w:val="24"/>
          <w:szCs w:val="24"/>
        </w:rPr>
        <w:t>. T</w:t>
      </w:r>
      <w:r w:rsidR="007102CC" w:rsidRPr="0048391B">
        <w:rPr>
          <w:sz w:val="24"/>
          <w:szCs w:val="24"/>
        </w:rPr>
        <w:t xml:space="preserve">heir bank account </w:t>
      </w:r>
      <w:r w:rsidR="000429AB">
        <w:rPr>
          <w:sz w:val="24"/>
          <w:szCs w:val="24"/>
        </w:rPr>
        <w:t>was closed</w:t>
      </w:r>
      <w:r w:rsidR="007102CC" w:rsidRPr="0048391B">
        <w:rPr>
          <w:sz w:val="24"/>
          <w:szCs w:val="24"/>
        </w:rPr>
        <w:t xml:space="preserve"> and funds transferred to the </w:t>
      </w:r>
      <w:r w:rsidR="008234B1" w:rsidRPr="008234B1">
        <w:rPr>
          <w:sz w:val="24"/>
          <w:szCs w:val="24"/>
        </w:rPr>
        <w:t>Ministry of Endowments and Islamic Affairs </w:t>
      </w:r>
      <w:r w:rsidR="007102CC" w:rsidRPr="0048391B">
        <w:rPr>
          <w:sz w:val="24"/>
          <w:szCs w:val="24"/>
        </w:rPr>
        <w:t>without prior warning or consent</w:t>
      </w:r>
      <w:r w:rsidR="004838E0" w:rsidRPr="0048391B">
        <w:rPr>
          <w:sz w:val="24"/>
          <w:szCs w:val="24"/>
        </w:rPr>
        <w:t>.</w:t>
      </w:r>
      <w:r w:rsidR="00926B45" w:rsidRPr="0048391B">
        <w:rPr>
          <w:rStyle w:val="FootnoteReference"/>
          <w:sz w:val="24"/>
          <w:szCs w:val="24"/>
        </w:rPr>
        <w:footnoteReference w:id="53"/>
      </w:r>
      <w:r w:rsidR="004838E0" w:rsidRPr="0048391B">
        <w:rPr>
          <w:sz w:val="24"/>
          <w:szCs w:val="24"/>
        </w:rPr>
        <w:t xml:space="preserve"> </w:t>
      </w:r>
      <w:r w:rsidRPr="0048391B">
        <w:rPr>
          <w:sz w:val="24"/>
          <w:szCs w:val="24"/>
        </w:rPr>
        <w:t>P</w:t>
      </w:r>
      <w:r w:rsidR="004838E0" w:rsidRPr="0048391B">
        <w:rPr>
          <w:sz w:val="24"/>
          <w:szCs w:val="24"/>
        </w:rPr>
        <w:t xml:space="preserve">rimary documents </w:t>
      </w:r>
      <w:r w:rsidRPr="0048391B">
        <w:rPr>
          <w:sz w:val="24"/>
          <w:szCs w:val="24"/>
        </w:rPr>
        <w:t>show correspondence between the committee and the Emir’</w:t>
      </w:r>
      <w:r w:rsidR="004838E0" w:rsidRPr="0048391B">
        <w:rPr>
          <w:sz w:val="24"/>
          <w:szCs w:val="24"/>
        </w:rPr>
        <w:t xml:space="preserve">s office from </w:t>
      </w:r>
      <w:r w:rsidR="00C36943">
        <w:rPr>
          <w:sz w:val="24"/>
          <w:szCs w:val="24"/>
        </w:rPr>
        <w:t>as early as</w:t>
      </w:r>
      <w:r w:rsidR="004838E0" w:rsidRPr="0048391B">
        <w:rPr>
          <w:sz w:val="24"/>
          <w:szCs w:val="24"/>
        </w:rPr>
        <w:t xml:space="preserve"> 1988, in which the state requests the</w:t>
      </w:r>
      <w:r w:rsidR="00E444C5">
        <w:rPr>
          <w:sz w:val="24"/>
          <w:szCs w:val="24"/>
        </w:rPr>
        <w:t>ir</w:t>
      </w:r>
      <w:r w:rsidR="004838E0" w:rsidRPr="0048391B">
        <w:rPr>
          <w:sz w:val="24"/>
          <w:szCs w:val="24"/>
        </w:rPr>
        <w:t xml:space="preserve"> incorporation into the official taskforce</w:t>
      </w:r>
      <w:r w:rsidR="007102CC" w:rsidRPr="0048391B">
        <w:rPr>
          <w:sz w:val="24"/>
          <w:szCs w:val="24"/>
        </w:rPr>
        <w:t xml:space="preserve"> on Palestine</w:t>
      </w:r>
      <w:r w:rsidR="004838E0" w:rsidRPr="0048391B">
        <w:rPr>
          <w:sz w:val="24"/>
          <w:szCs w:val="24"/>
        </w:rPr>
        <w:t>. However, while pressure and attempts</w:t>
      </w:r>
      <w:r w:rsidR="00692174" w:rsidRPr="0048391B">
        <w:rPr>
          <w:sz w:val="24"/>
          <w:szCs w:val="24"/>
        </w:rPr>
        <w:t xml:space="preserve"> to co</w:t>
      </w:r>
      <w:r w:rsidR="00C36943">
        <w:rPr>
          <w:sz w:val="24"/>
          <w:szCs w:val="24"/>
        </w:rPr>
        <w:t>-</w:t>
      </w:r>
      <w:r w:rsidR="00692174" w:rsidRPr="0048391B">
        <w:rPr>
          <w:sz w:val="24"/>
          <w:szCs w:val="24"/>
        </w:rPr>
        <w:t>opt the group were present</w:t>
      </w:r>
      <w:r w:rsidR="004838E0" w:rsidRPr="0048391B">
        <w:rPr>
          <w:sz w:val="24"/>
          <w:szCs w:val="24"/>
        </w:rPr>
        <w:t xml:space="preserve">, it was </w:t>
      </w:r>
      <w:r w:rsidR="00692174" w:rsidRPr="0048391B">
        <w:rPr>
          <w:sz w:val="24"/>
          <w:szCs w:val="24"/>
        </w:rPr>
        <w:t>normalization after Oslo</w:t>
      </w:r>
      <w:r w:rsidR="004838E0" w:rsidRPr="0048391B">
        <w:rPr>
          <w:sz w:val="24"/>
          <w:szCs w:val="24"/>
        </w:rPr>
        <w:t xml:space="preserve"> in particular that got the</w:t>
      </w:r>
      <w:r w:rsidR="006025CB">
        <w:rPr>
          <w:sz w:val="24"/>
          <w:szCs w:val="24"/>
        </w:rPr>
        <w:t xml:space="preserve">m </w:t>
      </w:r>
      <w:r w:rsidR="004838E0" w:rsidRPr="0048391B">
        <w:rPr>
          <w:sz w:val="24"/>
          <w:szCs w:val="24"/>
        </w:rPr>
        <w:t>shut down for good.</w:t>
      </w:r>
    </w:p>
    <w:p w14:paraId="2E6089E0" w14:textId="5B93966B" w:rsidR="00D778F3" w:rsidRPr="0048391B" w:rsidRDefault="005D374B" w:rsidP="00926B45">
      <w:pPr>
        <w:spacing w:after="0" w:line="480" w:lineRule="auto"/>
        <w:jc w:val="both"/>
        <w:rPr>
          <w:rFonts w:cs="Arial"/>
          <w:sz w:val="24"/>
          <w:szCs w:val="24"/>
        </w:rPr>
      </w:pPr>
      <w:r w:rsidRPr="0048391B">
        <w:rPr>
          <w:rFonts w:cs="Arial"/>
          <w:sz w:val="24"/>
          <w:szCs w:val="24"/>
        </w:rPr>
        <w:tab/>
      </w:r>
      <w:r w:rsidR="004838E0" w:rsidRPr="0048391B">
        <w:rPr>
          <w:rFonts w:cs="Arial"/>
          <w:sz w:val="24"/>
          <w:szCs w:val="24"/>
        </w:rPr>
        <w:t xml:space="preserve">This dynamic can be seen more recently as well. </w:t>
      </w:r>
      <w:r w:rsidRPr="0048391B">
        <w:rPr>
          <w:rFonts w:cs="Arial"/>
          <w:sz w:val="24"/>
          <w:szCs w:val="24"/>
        </w:rPr>
        <w:t>Qatar’</w:t>
      </w:r>
      <w:r w:rsidR="0062415B" w:rsidRPr="0048391B">
        <w:rPr>
          <w:rFonts w:cs="Arial"/>
          <w:sz w:val="24"/>
          <w:szCs w:val="24"/>
        </w:rPr>
        <w:t>s winning bid to host the FIFA W</w:t>
      </w:r>
      <w:r w:rsidRPr="0048391B">
        <w:rPr>
          <w:rFonts w:cs="Arial"/>
          <w:sz w:val="24"/>
          <w:szCs w:val="24"/>
        </w:rPr>
        <w:t xml:space="preserve">orld </w:t>
      </w:r>
      <w:r w:rsidR="0062415B" w:rsidRPr="0048391B">
        <w:rPr>
          <w:rFonts w:cs="Arial"/>
          <w:sz w:val="24"/>
          <w:szCs w:val="24"/>
        </w:rPr>
        <w:t>C</w:t>
      </w:r>
      <w:r w:rsidRPr="0048391B">
        <w:rPr>
          <w:rFonts w:cs="Arial"/>
          <w:sz w:val="24"/>
          <w:szCs w:val="24"/>
        </w:rPr>
        <w:t>up in 2022</w:t>
      </w:r>
      <w:r w:rsidR="0062415B" w:rsidRPr="0048391B">
        <w:rPr>
          <w:rFonts w:cs="Arial"/>
          <w:sz w:val="24"/>
          <w:szCs w:val="24"/>
        </w:rPr>
        <w:t xml:space="preserve"> </w:t>
      </w:r>
      <w:r w:rsidR="007102CC" w:rsidRPr="0048391B">
        <w:rPr>
          <w:rFonts w:cs="Arial"/>
          <w:sz w:val="24"/>
          <w:szCs w:val="24"/>
        </w:rPr>
        <w:t xml:space="preserve">was intended to be a </w:t>
      </w:r>
      <w:r w:rsidRPr="0048391B">
        <w:rPr>
          <w:rFonts w:cs="Arial"/>
          <w:sz w:val="24"/>
          <w:szCs w:val="24"/>
        </w:rPr>
        <w:t xml:space="preserve">form of legitimation, </w:t>
      </w:r>
      <w:r w:rsidR="007102CC" w:rsidRPr="0048391B">
        <w:rPr>
          <w:rFonts w:cs="Arial"/>
          <w:sz w:val="24"/>
          <w:szCs w:val="24"/>
        </w:rPr>
        <w:t xml:space="preserve">to establish Qatar on the world stage. </w:t>
      </w:r>
      <w:r w:rsidRPr="0048391B">
        <w:rPr>
          <w:rFonts w:cs="Arial"/>
          <w:sz w:val="24"/>
          <w:szCs w:val="24"/>
        </w:rPr>
        <w:t>To demonstrate the seriousness of Qatar’s commitment to hosting such an event, the government went on record to welcome Israeli athletes.</w:t>
      </w:r>
      <w:r w:rsidRPr="0048391B">
        <w:rPr>
          <w:rStyle w:val="FootnoteReference"/>
          <w:rFonts w:cs="Arial"/>
          <w:sz w:val="24"/>
          <w:szCs w:val="24"/>
        </w:rPr>
        <w:footnoteReference w:id="54"/>
      </w:r>
      <w:r w:rsidRPr="0048391B">
        <w:rPr>
          <w:rFonts w:cs="Arial"/>
          <w:sz w:val="24"/>
          <w:szCs w:val="24"/>
        </w:rPr>
        <w:t xml:space="preserve"> </w:t>
      </w:r>
      <w:r w:rsidR="001C661B" w:rsidRPr="0048391B">
        <w:rPr>
          <w:rFonts w:cs="Arial"/>
          <w:sz w:val="24"/>
          <w:szCs w:val="24"/>
        </w:rPr>
        <w:t>F</w:t>
      </w:r>
      <w:r w:rsidR="00D778F3" w:rsidRPr="0048391B">
        <w:rPr>
          <w:rFonts w:cs="Arial"/>
          <w:sz w:val="24"/>
          <w:szCs w:val="24"/>
        </w:rPr>
        <w:t>orms of normalization</w:t>
      </w:r>
      <w:r w:rsidR="00F224DA" w:rsidRPr="0048391B">
        <w:rPr>
          <w:rFonts w:cs="Arial"/>
          <w:sz w:val="24"/>
          <w:szCs w:val="24"/>
        </w:rPr>
        <w:t xml:space="preserve"> </w:t>
      </w:r>
      <w:r w:rsidR="001C661B" w:rsidRPr="0048391B">
        <w:rPr>
          <w:rFonts w:cs="Arial"/>
          <w:sz w:val="24"/>
          <w:szCs w:val="24"/>
        </w:rPr>
        <w:t xml:space="preserve">have been increasing since, </w:t>
      </w:r>
      <w:r w:rsidR="006536A9">
        <w:rPr>
          <w:rFonts w:cs="Arial"/>
          <w:sz w:val="24"/>
          <w:szCs w:val="24"/>
        </w:rPr>
        <w:t>especially on</w:t>
      </w:r>
      <w:r w:rsidR="001C661B" w:rsidRPr="0048391B">
        <w:rPr>
          <w:rFonts w:cs="Arial"/>
          <w:sz w:val="24"/>
          <w:szCs w:val="24"/>
        </w:rPr>
        <w:t xml:space="preserve"> cultural</w:t>
      </w:r>
      <w:r w:rsidR="006536A9">
        <w:rPr>
          <w:rFonts w:cs="Arial"/>
          <w:sz w:val="24"/>
          <w:szCs w:val="24"/>
        </w:rPr>
        <w:t xml:space="preserve"> and </w:t>
      </w:r>
      <w:r w:rsidR="001C661B" w:rsidRPr="0048391B">
        <w:rPr>
          <w:rFonts w:cs="Arial"/>
          <w:sz w:val="24"/>
          <w:szCs w:val="24"/>
        </w:rPr>
        <w:t>diplomatic</w:t>
      </w:r>
      <w:r w:rsidR="006536A9">
        <w:rPr>
          <w:rFonts w:cs="Arial"/>
          <w:sz w:val="24"/>
          <w:szCs w:val="24"/>
        </w:rPr>
        <w:t xml:space="preserve"> fronts</w:t>
      </w:r>
      <w:r w:rsidR="001C661B" w:rsidRPr="0048391B">
        <w:rPr>
          <w:rFonts w:cs="Arial"/>
          <w:sz w:val="24"/>
          <w:szCs w:val="24"/>
        </w:rPr>
        <w:t xml:space="preserve">. The oft-repeated justification </w:t>
      </w:r>
      <w:r w:rsidR="00F224DA" w:rsidRPr="0048391B">
        <w:rPr>
          <w:rFonts w:cs="Arial"/>
          <w:sz w:val="24"/>
          <w:szCs w:val="24"/>
        </w:rPr>
        <w:t>for this from Qatari decision-makers is that it is necessary for</w:t>
      </w:r>
      <w:r w:rsidR="001C661B" w:rsidRPr="0048391B">
        <w:rPr>
          <w:rFonts w:cs="Arial"/>
          <w:sz w:val="24"/>
          <w:szCs w:val="24"/>
        </w:rPr>
        <w:t xml:space="preserve"> </w:t>
      </w:r>
      <w:r w:rsidR="00CD7786">
        <w:rPr>
          <w:rFonts w:cs="Arial"/>
          <w:sz w:val="24"/>
          <w:szCs w:val="24"/>
        </w:rPr>
        <w:t>Qatar</w:t>
      </w:r>
      <w:r w:rsidR="00F224DA" w:rsidRPr="0048391B">
        <w:rPr>
          <w:rFonts w:cs="Arial"/>
          <w:sz w:val="24"/>
          <w:szCs w:val="24"/>
        </w:rPr>
        <w:t xml:space="preserve"> to play a unique role as </w:t>
      </w:r>
      <w:r w:rsidR="00926B45" w:rsidRPr="0048391B">
        <w:rPr>
          <w:rFonts w:cs="Arial"/>
          <w:sz w:val="24"/>
          <w:szCs w:val="24"/>
        </w:rPr>
        <w:t>mediator</w:t>
      </w:r>
      <w:r w:rsidR="00F224DA" w:rsidRPr="0048391B">
        <w:rPr>
          <w:rFonts w:cs="Arial"/>
          <w:sz w:val="24"/>
          <w:szCs w:val="24"/>
        </w:rPr>
        <w:t xml:space="preserve"> </w:t>
      </w:r>
      <w:r w:rsidR="00F224DA" w:rsidRPr="0048391B">
        <w:rPr>
          <w:rFonts w:cs="Arial"/>
          <w:sz w:val="24"/>
          <w:szCs w:val="24"/>
        </w:rPr>
        <w:lastRenderedPageBreak/>
        <w:t>of</w:t>
      </w:r>
      <w:r w:rsidR="001C661B" w:rsidRPr="0048391B">
        <w:rPr>
          <w:rFonts w:cs="Arial"/>
          <w:sz w:val="24"/>
          <w:szCs w:val="24"/>
        </w:rPr>
        <w:t xml:space="preserve"> regional conflicts</w:t>
      </w:r>
      <w:r w:rsidR="00AB7488">
        <w:rPr>
          <w:rFonts w:cs="Arial"/>
          <w:sz w:val="24"/>
          <w:szCs w:val="24"/>
        </w:rPr>
        <w:t>, including on Palestine</w:t>
      </w:r>
      <w:r w:rsidR="001C661B" w:rsidRPr="0048391B">
        <w:rPr>
          <w:rFonts w:cs="Arial"/>
          <w:sz w:val="24"/>
          <w:szCs w:val="24"/>
        </w:rPr>
        <w:t>.</w:t>
      </w:r>
      <w:r w:rsidR="00926B45" w:rsidRPr="0048391B">
        <w:rPr>
          <w:rStyle w:val="FootnoteReference"/>
          <w:rFonts w:cs="Arial"/>
          <w:sz w:val="24"/>
          <w:szCs w:val="24"/>
        </w:rPr>
        <w:footnoteReference w:id="55"/>
      </w:r>
      <w:r w:rsidR="001C661B" w:rsidRPr="0048391B">
        <w:rPr>
          <w:rFonts w:cs="Arial"/>
          <w:sz w:val="24"/>
          <w:szCs w:val="24"/>
        </w:rPr>
        <w:t xml:space="preserve"> </w:t>
      </w:r>
      <w:r w:rsidR="00AB7488">
        <w:rPr>
          <w:rFonts w:cs="Arial"/>
          <w:sz w:val="24"/>
          <w:szCs w:val="24"/>
        </w:rPr>
        <w:t>As a result</w:t>
      </w:r>
      <w:r w:rsidR="001C661B" w:rsidRPr="0048391B">
        <w:rPr>
          <w:rFonts w:cs="Arial"/>
          <w:sz w:val="24"/>
          <w:szCs w:val="24"/>
        </w:rPr>
        <w:t>, we see evidence of the three main mechanisms</w:t>
      </w:r>
      <w:r w:rsidR="006536A9">
        <w:rPr>
          <w:rFonts w:cs="Arial"/>
          <w:sz w:val="24"/>
          <w:szCs w:val="24"/>
        </w:rPr>
        <w:t xml:space="preserve"> described above</w:t>
      </w:r>
      <w:r w:rsidR="00AB7488">
        <w:rPr>
          <w:rFonts w:cs="Arial"/>
          <w:sz w:val="24"/>
          <w:szCs w:val="24"/>
        </w:rPr>
        <w:t xml:space="preserve">. </w:t>
      </w:r>
    </w:p>
    <w:p w14:paraId="50CB5C7A" w14:textId="7529AC2A" w:rsidR="001C661B" w:rsidRPr="0048391B" w:rsidRDefault="001C661B" w:rsidP="001E421C">
      <w:pPr>
        <w:spacing w:after="0" w:line="480" w:lineRule="auto"/>
        <w:ind w:firstLine="720"/>
        <w:jc w:val="both"/>
        <w:rPr>
          <w:rFonts w:cs="Arial"/>
          <w:sz w:val="24"/>
          <w:szCs w:val="24"/>
        </w:rPr>
      </w:pPr>
      <w:r w:rsidRPr="0048391B">
        <w:rPr>
          <w:rFonts w:cs="Arial"/>
          <w:sz w:val="24"/>
          <w:szCs w:val="24"/>
        </w:rPr>
        <w:t xml:space="preserve">Beginning with </w:t>
      </w:r>
      <w:r w:rsidR="001E421C" w:rsidRPr="0048391B">
        <w:rPr>
          <w:rFonts w:cs="Arial"/>
          <w:sz w:val="24"/>
          <w:szCs w:val="24"/>
        </w:rPr>
        <w:t xml:space="preserve">the </w:t>
      </w:r>
      <w:r w:rsidR="001E421C" w:rsidRPr="0048391B">
        <w:rPr>
          <w:rFonts w:cs="Arial"/>
          <w:b/>
          <w:bCs/>
          <w:sz w:val="24"/>
          <w:szCs w:val="24"/>
        </w:rPr>
        <w:t>acquisition of</w:t>
      </w:r>
      <w:r w:rsidRPr="0048391B">
        <w:rPr>
          <w:rFonts w:cs="Arial"/>
          <w:b/>
          <w:bCs/>
          <w:sz w:val="24"/>
          <w:szCs w:val="24"/>
        </w:rPr>
        <w:t xml:space="preserve"> repressive technology</w:t>
      </w:r>
      <w:r w:rsidRPr="0048391B">
        <w:rPr>
          <w:rFonts w:cs="Arial"/>
          <w:sz w:val="24"/>
          <w:szCs w:val="24"/>
        </w:rPr>
        <w:t xml:space="preserve">: </w:t>
      </w:r>
      <w:r w:rsidR="00596601" w:rsidRPr="0048391B">
        <w:rPr>
          <w:rFonts w:cs="Arial"/>
          <w:sz w:val="24"/>
          <w:szCs w:val="24"/>
        </w:rPr>
        <w:t>Qatar’s open ties with Israel’s foes, including Hamas and Iran,</w:t>
      </w:r>
      <w:r w:rsidR="001E421C" w:rsidRPr="0048391B">
        <w:rPr>
          <w:rFonts w:cs="Arial"/>
          <w:sz w:val="24"/>
          <w:szCs w:val="24"/>
        </w:rPr>
        <w:t xml:space="preserve"> means that Israeli companies are</w:t>
      </w:r>
      <w:r w:rsidR="00596601" w:rsidRPr="0048391B">
        <w:rPr>
          <w:rFonts w:cs="Arial"/>
          <w:sz w:val="24"/>
          <w:szCs w:val="24"/>
        </w:rPr>
        <w:t xml:space="preserve"> forbidden from selling their services to the Qatari state</w:t>
      </w:r>
      <w:r w:rsidR="001E421C" w:rsidRPr="0048391B">
        <w:rPr>
          <w:rFonts w:cs="Arial"/>
          <w:sz w:val="24"/>
          <w:szCs w:val="24"/>
        </w:rPr>
        <w:t xml:space="preserve"> directly</w:t>
      </w:r>
      <w:r w:rsidR="00596601" w:rsidRPr="0048391B">
        <w:rPr>
          <w:rFonts w:cs="Arial"/>
          <w:sz w:val="24"/>
          <w:szCs w:val="24"/>
        </w:rPr>
        <w:t>.</w:t>
      </w:r>
      <w:r w:rsidR="00FE7562" w:rsidRPr="0048391B">
        <w:rPr>
          <w:rStyle w:val="FootnoteReference"/>
          <w:rFonts w:cs="Arial"/>
          <w:sz w:val="24"/>
          <w:szCs w:val="24"/>
        </w:rPr>
        <w:footnoteReference w:id="56"/>
      </w:r>
      <w:r w:rsidR="00596601" w:rsidRPr="0048391B">
        <w:rPr>
          <w:rFonts w:cs="Arial"/>
          <w:sz w:val="24"/>
          <w:szCs w:val="24"/>
        </w:rPr>
        <w:t xml:space="preserve"> Nevertheless, Qatar’s </w:t>
      </w:r>
      <w:r w:rsidR="00D64038">
        <w:rPr>
          <w:rFonts w:cs="Arial"/>
          <w:sz w:val="24"/>
          <w:szCs w:val="24"/>
        </w:rPr>
        <w:t>mediator</w:t>
      </w:r>
      <w:r w:rsidR="00596601" w:rsidRPr="0048391B">
        <w:rPr>
          <w:rFonts w:cs="Arial"/>
          <w:sz w:val="24"/>
          <w:szCs w:val="24"/>
        </w:rPr>
        <w:t xml:space="preserve"> role in Gaza</w:t>
      </w:r>
      <w:r w:rsidR="00D64038">
        <w:rPr>
          <w:rFonts w:cs="Arial"/>
          <w:sz w:val="24"/>
          <w:szCs w:val="24"/>
        </w:rPr>
        <w:t xml:space="preserve"> has</w:t>
      </w:r>
      <w:r w:rsidR="00596601" w:rsidRPr="0048391B">
        <w:rPr>
          <w:rFonts w:cs="Arial"/>
          <w:sz w:val="24"/>
          <w:szCs w:val="24"/>
        </w:rPr>
        <w:t xml:space="preserve"> garnered it American</w:t>
      </w:r>
      <w:r w:rsidR="007102CC" w:rsidRPr="0048391B">
        <w:rPr>
          <w:rFonts w:cs="Arial"/>
          <w:sz w:val="24"/>
          <w:szCs w:val="24"/>
        </w:rPr>
        <w:t xml:space="preserve"> and Israeli </w:t>
      </w:r>
      <w:r w:rsidR="00596601" w:rsidRPr="0048391B">
        <w:rPr>
          <w:rFonts w:cs="Arial"/>
          <w:sz w:val="24"/>
          <w:szCs w:val="24"/>
        </w:rPr>
        <w:t>support</w:t>
      </w:r>
      <w:r w:rsidR="00AC754E" w:rsidRPr="0048391B">
        <w:rPr>
          <w:rFonts w:cs="Arial"/>
          <w:sz w:val="24"/>
          <w:szCs w:val="24"/>
        </w:rPr>
        <w:t>.</w:t>
      </w:r>
      <w:r w:rsidR="00F00962" w:rsidRPr="0048391B">
        <w:rPr>
          <w:rStyle w:val="FootnoteReference"/>
          <w:rFonts w:cs="Arial"/>
          <w:sz w:val="24"/>
          <w:szCs w:val="24"/>
        </w:rPr>
        <w:footnoteReference w:id="57"/>
      </w:r>
      <w:r w:rsidRPr="0048391B">
        <w:rPr>
          <w:rFonts w:cs="Arial"/>
          <w:sz w:val="24"/>
          <w:szCs w:val="24"/>
        </w:rPr>
        <w:t xml:space="preserve"> T</w:t>
      </w:r>
      <w:r w:rsidRPr="0048391B">
        <w:rPr>
          <w:sz w:val="24"/>
          <w:szCs w:val="24"/>
        </w:rPr>
        <w:t xml:space="preserve">here are exchanges between Israel and Qatar, including increased military coordination, which has drawn the ire of Qatari civil society. Examples include joint military exercises, as well as coordination </w:t>
      </w:r>
      <w:r w:rsidR="00E444C5">
        <w:rPr>
          <w:sz w:val="24"/>
          <w:szCs w:val="24"/>
        </w:rPr>
        <w:t>with</w:t>
      </w:r>
      <w:r w:rsidRPr="0048391B">
        <w:rPr>
          <w:sz w:val="24"/>
          <w:szCs w:val="24"/>
        </w:rPr>
        <w:t xml:space="preserve"> the Israeli military’s “Coordinator of Government Activity in the Territories,” the institution responsible for “managing” the Gaza strip.</w:t>
      </w:r>
      <w:r w:rsidR="00AC754E" w:rsidRPr="0048391B">
        <w:rPr>
          <w:rFonts w:cs="Arial"/>
          <w:sz w:val="24"/>
          <w:szCs w:val="24"/>
        </w:rPr>
        <w:t xml:space="preserve"> Some prominent pro-Israel voices within the US even dubbed Qatar “the Israel of the </w:t>
      </w:r>
      <w:r w:rsidR="0016137F" w:rsidRPr="0048391B">
        <w:rPr>
          <w:rFonts w:cs="Arial"/>
          <w:sz w:val="24"/>
          <w:szCs w:val="24"/>
        </w:rPr>
        <w:t xml:space="preserve">Gulf,” and Israeli officials recognized that Qatar was responsible for </w:t>
      </w:r>
      <w:r w:rsidR="00622E67">
        <w:rPr>
          <w:rFonts w:cs="Arial"/>
          <w:sz w:val="24"/>
          <w:szCs w:val="24"/>
        </w:rPr>
        <w:t xml:space="preserve">avoiding </w:t>
      </w:r>
      <w:r w:rsidR="0016137F" w:rsidRPr="0048391B">
        <w:rPr>
          <w:rFonts w:cs="Arial"/>
          <w:sz w:val="24"/>
          <w:szCs w:val="24"/>
        </w:rPr>
        <w:t>Israel another war.</w:t>
      </w:r>
      <w:r w:rsidR="003C6AFA" w:rsidRPr="0048391B">
        <w:rPr>
          <w:rStyle w:val="FootnoteReference"/>
          <w:rFonts w:cs="Arial"/>
          <w:sz w:val="24"/>
          <w:szCs w:val="24"/>
        </w:rPr>
        <w:footnoteReference w:id="58"/>
      </w:r>
      <w:r w:rsidR="00596601" w:rsidRPr="0048391B">
        <w:rPr>
          <w:rFonts w:cs="Arial"/>
          <w:sz w:val="24"/>
          <w:szCs w:val="24"/>
        </w:rPr>
        <w:t xml:space="preserve"> </w:t>
      </w:r>
    </w:p>
    <w:p w14:paraId="5A490108" w14:textId="207AD0EF" w:rsidR="001C661B" w:rsidRPr="0048391B" w:rsidRDefault="001C661B" w:rsidP="001C661B">
      <w:pPr>
        <w:spacing w:after="0" w:line="480" w:lineRule="auto"/>
        <w:ind w:firstLine="720"/>
        <w:jc w:val="both"/>
        <w:rPr>
          <w:rFonts w:cs="Arial"/>
          <w:sz w:val="24"/>
          <w:szCs w:val="24"/>
        </w:rPr>
      </w:pPr>
      <w:r w:rsidRPr="0048391B">
        <w:rPr>
          <w:rFonts w:cs="Arial"/>
          <w:sz w:val="24"/>
          <w:szCs w:val="24"/>
        </w:rPr>
        <w:t>Although the material exchange of repressive technologies is less relevant to this case than the other cases in the region, we still see the two other mechanisms abovementioned. For instance, in exchange for background support for Qatar in American foreign policy circles, Israel pressured Qatar into ceding ground on a number of issues: imposing limitations on media freedom by blocking documentaries damaging to Israel, expelling Hamas members from Doha, and cracking down on activism.</w:t>
      </w:r>
      <w:r w:rsidRPr="0048391B">
        <w:rPr>
          <w:rStyle w:val="FootnoteReference"/>
          <w:rFonts w:cs="Arial"/>
          <w:sz w:val="24"/>
          <w:szCs w:val="24"/>
        </w:rPr>
        <w:footnoteReference w:id="59"/>
      </w:r>
      <w:r w:rsidRPr="0048391B">
        <w:rPr>
          <w:rFonts w:cs="Arial"/>
          <w:sz w:val="24"/>
          <w:szCs w:val="24"/>
        </w:rPr>
        <w:t xml:space="preserve">  </w:t>
      </w:r>
    </w:p>
    <w:p w14:paraId="65003164" w14:textId="549D2A8F" w:rsidR="002F5788" w:rsidRPr="0048391B" w:rsidRDefault="001C661B" w:rsidP="00BB6EC9">
      <w:pPr>
        <w:spacing w:after="0" w:line="480" w:lineRule="auto"/>
        <w:ind w:firstLine="720"/>
        <w:jc w:val="both"/>
        <w:rPr>
          <w:rFonts w:cs="Arial"/>
          <w:sz w:val="24"/>
          <w:szCs w:val="24"/>
        </w:rPr>
      </w:pPr>
      <w:r w:rsidRPr="0048391B">
        <w:rPr>
          <w:rFonts w:cs="Arial"/>
          <w:sz w:val="24"/>
          <w:szCs w:val="24"/>
        </w:rPr>
        <w:lastRenderedPageBreak/>
        <w:t xml:space="preserve">The trajectory of </w:t>
      </w:r>
      <w:r w:rsidR="0016137F" w:rsidRPr="0048391B">
        <w:rPr>
          <w:rFonts w:cs="Arial"/>
          <w:sz w:val="24"/>
          <w:szCs w:val="24"/>
        </w:rPr>
        <w:t xml:space="preserve">QAYON, </w:t>
      </w:r>
      <w:r w:rsidRPr="0048391B">
        <w:rPr>
          <w:rFonts w:cs="Arial"/>
          <w:sz w:val="24"/>
          <w:szCs w:val="24"/>
        </w:rPr>
        <w:t>“</w:t>
      </w:r>
      <w:r w:rsidR="00BE4E0C" w:rsidRPr="0048391B">
        <w:rPr>
          <w:rFonts w:cs="Arial"/>
          <w:sz w:val="24"/>
          <w:szCs w:val="24"/>
        </w:rPr>
        <w:t>Qatar</w:t>
      </w:r>
      <w:r w:rsidR="0016137F" w:rsidRPr="0048391B">
        <w:rPr>
          <w:rFonts w:cs="Arial"/>
          <w:sz w:val="24"/>
          <w:szCs w:val="24"/>
        </w:rPr>
        <w:t>i Youth Against Normaliz</w:t>
      </w:r>
      <w:r w:rsidR="003C6AFA" w:rsidRPr="0048391B">
        <w:rPr>
          <w:rFonts w:cs="Arial"/>
          <w:sz w:val="24"/>
          <w:szCs w:val="24"/>
        </w:rPr>
        <w:t>ation</w:t>
      </w:r>
      <w:r w:rsidR="005C3A29" w:rsidRPr="0048391B">
        <w:rPr>
          <w:rFonts w:cs="Arial"/>
          <w:sz w:val="24"/>
          <w:szCs w:val="24"/>
        </w:rPr>
        <w:t>,</w:t>
      </w:r>
      <w:r w:rsidRPr="0048391B">
        <w:rPr>
          <w:rFonts w:cs="Arial"/>
          <w:sz w:val="24"/>
          <w:szCs w:val="24"/>
        </w:rPr>
        <w:t>”</w:t>
      </w:r>
      <w:r w:rsidR="005C3A29" w:rsidRPr="0048391B">
        <w:rPr>
          <w:rFonts w:cs="Arial"/>
          <w:sz w:val="24"/>
          <w:szCs w:val="24"/>
        </w:rPr>
        <w:t xml:space="preserve"> illustrates these dynamics most clearly</w:t>
      </w:r>
      <w:r w:rsidR="0016137F" w:rsidRPr="0048391B">
        <w:rPr>
          <w:rFonts w:cs="Arial"/>
          <w:sz w:val="24"/>
          <w:szCs w:val="24"/>
        </w:rPr>
        <w:t xml:space="preserve">. </w:t>
      </w:r>
      <w:r w:rsidR="00134B25" w:rsidRPr="0048391B">
        <w:rPr>
          <w:rFonts w:cs="Arial"/>
          <w:sz w:val="24"/>
          <w:szCs w:val="24"/>
        </w:rPr>
        <w:t>This group</w:t>
      </w:r>
      <w:r w:rsidR="00C651C0" w:rsidRPr="0048391B">
        <w:rPr>
          <w:rFonts w:cs="Arial"/>
          <w:sz w:val="24"/>
          <w:szCs w:val="24"/>
        </w:rPr>
        <w:t xml:space="preserve"> </w:t>
      </w:r>
      <w:r w:rsidR="002F5788" w:rsidRPr="0048391B">
        <w:rPr>
          <w:rFonts w:cs="Arial"/>
          <w:sz w:val="24"/>
          <w:szCs w:val="24"/>
        </w:rPr>
        <w:t>began</w:t>
      </w:r>
      <w:r w:rsidR="00084611" w:rsidRPr="0048391B">
        <w:rPr>
          <w:rFonts w:cs="Arial"/>
          <w:sz w:val="24"/>
          <w:szCs w:val="24"/>
        </w:rPr>
        <w:t xml:space="preserve"> in the </w:t>
      </w:r>
      <w:r w:rsidR="002F5788" w:rsidRPr="0048391B">
        <w:rPr>
          <w:rFonts w:cs="Arial"/>
          <w:sz w:val="24"/>
          <w:szCs w:val="24"/>
        </w:rPr>
        <w:t>2011</w:t>
      </w:r>
      <w:r w:rsidR="00084611" w:rsidRPr="0048391B">
        <w:rPr>
          <w:rFonts w:cs="Arial"/>
          <w:sz w:val="24"/>
          <w:szCs w:val="24"/>
        </w:rPr>
        <w:t>/2012</w:t>
      </w:r>
      <w:r w:rsidR="002F5788" w:rsidRPr="0048391B">
        <w:rPr>
          <w:rFonts w:cs="Arial"/>
          <w:sz w:val="24"/>
          <w:szCs w:val="24"/>
        </w:rPr>
        <w:t xml:space="preserve"> academic yea</w:t>
      </w:r>
      <w:r w:rsidR="001C3C5E">
        <w:rPr>
          <w:rFonts w:cs="Arial"/>
          <w:sz w:val="24"/>
          <w:szCs w:val="24"/>
        </w:rPr>
        <w:t>r</w:t>
      </w:r>
      <w:r w:rsidR="00BB6EC9" w:rsidRPr="0048391B">
        <w:rPr>
          <w:rFonts w:cs="Arial"/>
          <w:sz w:val="24"/>
          <w:szCs w:val="24"/>
        </w:rPr>
        <w:t xml:space="preserve"> </w:t>
      </w:r>
      <w:r w:rsidR="002F5788" w:rsidRPr="0048391B">
        <w:rPr>
          <w:rFonts w:cs="Arial"/>
          <w:sz w:val="24"/>
          <w:szCs w:val="24"/>
        </w:rPr>
        <w:t xml:space="preserve">specifically </w:t>
      </w:r>
      <w:r w:rsidR="00E444C5">
        <w:rPr>
          <w:rFonts w:cs="Arial"/>
          <w:sz w:val="24"/>
          <w:szCs w:val="24"/>
        </w:rPr>
        <w:t xml:space="preserve">to combat </w:t>
      </w:r>
      <w:r w:rsidR="002F5788" w:rsidRPr="0048391B">
        <w:rPr>
          <w:rFonts w:cs="Arial"/>
          <w:sz w:val="24"/>
          <w:szCs w:val="24"/>
        </w:rPr>
        <w:t xml:space="preserve">normalization. </w:t>
      </w:r>
      <w:r w:rsidR="00FE7562" w:rsidRPr="0048391B">
        <w:rPr>
          <w:rFonts w:cs="Arial"/>
          <w:sz w:val="24"/>
          <w:szCs w:val="24"/>
        </w:rPr>
        <w:t>According to their founding members, t</w:t>
      </w:r>
      <w:r w:rsidR="002F5788" w:rsidRPr="0048391B">
        <w:rPr>
          <w:rFonts w:cs="Arial"/>
          <w:sz w:val="24"/>
          <w:szCs w:val="24"/>
        </w:rPr>
        <w:t xml:space="preserve">heir objectives were to educate the public </w:t>
      </w:r>
      <w:r w:rsidR="00E444C5">
        <w:rPr>
          <w:rFonts w:cs="Arial"/>
          <w:sz w:val="24"/>
          <w:szCs w:val="24"/>
        </w:rPr>
        <w:t>and make</w:t>
      </w:r>
      <w:r w:rsidR="00A80E90" w:rsidRPr="0048391B">
        <w:rPr>
          <w:rFonts w:cs="Arial"/>
          <w:sz w:val="24"/>
          <w:szCs w:val="24"/>
        </w:rPr>
        <w:t xml:space="preserve"> demands</w:t>
      </w:r>
      <w:r w:rsidR="00E444C5">
        <w:rPr>
          <w:rFonts w:cs="Arial"/>
          <w:sz w:val="24"/>
          <w:szCs w:val="24"/>
        </w:rPr>
        <w:t xml:space="preserve"> of the government</w:t>
      </w:r>
      <w:r w:rsidR="002A60A5">
        <w:rPr>
          <w:rFonts w:cs="Arial"/>
          <w:sz w:val="24"/>
          <w:szCs w:val="24"/>
        </w:rPr>
        <w:t xml:space="preserve">. </w:t>
      </w:r>
      <w:r w:rsidR="002F5788" w:rsidRPr="0048391B">
        <w:rPr>
          <w:rFonts w:cs="Arial"/>
          <w:sz w:val="24"/>
          <w:szCs w:val="24"/>
        </w:rPr>
        <w:t xml:space="preserve">QAYON had no official permission to organize, </w:t>
      </w:r>
      <w:r w:rsidR="00E444C5">
        <w:rPr>
          <w:rFonts w:cs="Arial"/>
          <w:sz w:val="24"/>
          <w:szCs w:val="24"/>
        </w:rPr>
        <w:t>i.e. no</w:t>
      </w:r>
      <w:r w:rsidR="002F5788" w:rsidRPr="0048391B">
        <w:rPr>
          <w:rFonts w:cs="Arial"/>
          <w:sz w:val="24"/>
          <w:szCs w:val="24"/>
        </w:rPr>
        <w:t xml:space="preserve"> </w:t>
      </w:r>
      <w:r w:rsidR="00E444C5">
        <w:rPr>
          <w:rFonts w:cs="Arial"/>
          <w:sz w:val="24"/>
          <w:szCs w:val="24"/>
        </w:rPr>
        <w:t xml:space="preserve">government </w:t>
      </w:r>
      <w:r w:rsidR="002F5788" w:rsidRPr="0048391B">
        <w:rPr>
          <w:rFonts w:cs="Arial"/>
          <w:sz w:val="24"/>
          <w:szCs w:val="24"/>
        </w:rPr>
        <w:t>license.</w:t>
      </w:r>
      <w:r w:rsidR="002F5788" w:rsidRPr="0048391B">
        <w:rPr>
          <w:rStyle w:val="FootnoteReference"/>
          <w:rFonts w:cs="Arial"/>
          <w:sz w:val="24"/>
          <w:szCs w:val="24"/>
        </w:rPr>
        <w:footnoteReference w:id="60"/>
      </w:r>
      <w:r w:rsidR="002F5788" w:rsidRPr="0048391B">
        <w:rPr>
          <w:rFonts w:cs="Arial"/>
          <w:sz w:val="24"/>
          <w:szCs w:val="24"/>
        </w:rPr>
        <w:t xml:space="preserve"> </w:t>
      </w:r>
      <w:r w:rsidR="00E444C5">
        <w:rPr>
          <w:rFonts w:cs="Arial"/>
          <w:sz w:val="24"/>
          <w:szCs w:val="24"/>
        </w:rPr>
        <w:t>However, while</w:t>
      </w:r>
      <w:r w:rsidR="0016137F" w:rsidRPr="0048391B">
        <w:rPr>
          <w:rFonts w:cs="Arial"/>
          <w:sz w:val="24"/>
          <w:szCs w:val="24"/>
        </w:rPr>
        <w:t xml:space="preserve"> activists were not encouraged to engage in </w:t>
      </w:r>
      <w:r w:rsidR="00014A5A">
        <w:rPr>
          <w:rFonts w:cs="Arial"/>
          <w:sz w:val="24"/>
          <w:szCs w:val="24"/>
        </w:rPr>
        <w:t>their</w:t>
      </w:r>
      <w:r w:rsidR="0016137F" w:rsidRPr="0048391B">
        <w:rPr>
          <w:rFonts w:cs="Arial"/>
          <w:sz w:val="24"/>
          <w:szCs w:val="24"/>
        </w:rPr>
        <w:t xml:space="preserve"> activities, neither did the government crackdown. </w:t>
      </w:r>
    </w:p>
    <w:p w14:paraId="1AC54691" w14:textId="19EDF5E7" w:rsidR="002F5788" w:rsidRPr="0048391B" w:rsidRDefault="002F5788" w:rsidP="00BB6EC9">
      <w:pPr>
        <w:spacing w:after="0" w:line="480" w:lineRule="auto"/>
        <w:jc w:val="both"/>
        <w:rPr>
          <w:rFonts w:cs="Arial"/>
          <w:sz w:val="24"/>
          <w:szCs w:val="24"/>
        </w:rPr>
      </w:pPr>
      <w:r w:rsidRPr="0048391B">
        <w:rPr>
          <w:rFonts w:cs="Arial"/>
          <w:sz w:val="24"/>
          <w:szCs w:val="24"/>
        </w:rPr>
        <w:tab/>
        <w:t xml:space="preserve">QAYON </w:t>
      </w:r>
      <w:r w:rsidR="00014A5A">
        <w:rPr>
          <w:rFonts w:cs="Arial"/>
          <w:sz w:val="24"/>
          <w:szCs w:val="24"/>
        </w:rPr>
        <w:t>was</w:t>
      </w:r>
      <w:r w:rsidRPr="0048391B">
        <w:rPr>
          <w:rFonts w:cs="Arial"/>
          <w:sz w:val="24"/>
          <w:szCs w:val="24"/>
        </w:rPr>
        <w:t xml:space="preserve"> successful in </w:t>
      </w:r>
      <w:r w:rsidR="00590304">
        <w:rPr>
          <w:rFonts w:cs="Arial"/>
          <w:sz w:val="24"/>
          <w:szCs w:val="24"/>
        </w:rPr>
        <w:t>organizing</w:t>
      </w:r>
      <w:r w:rsidRPr="0048391B">
        <w:rPr>
          <w:rFonts w:cs="Arial"/>
          <w:sz w:val="24"/>
          <w:szCs w:val="24"/>
        </w:rPr>
        <w:t xml:space="preserve"> Israeli Apartheid Week </w:t>
      </w:r>
      <w:r w:rsidR="00590304">
        <w:rPr>
          <w:rFonts w:cs="Arial"/>
          <w:sz w:val="24"/>
          <w:szCs w:val="24"/>
        </w:rPr>
        <w:t>annually</w:t>
      </w:r>
      <w:r w:rsidRPr="0048391B">
        <w:rPr>
          <w:rFonts w:cs="Arial"/>
          <w:sz w:val="24"/>
          <w:szCs w:val="24"/>
        </w:rPr>
        <w:t xml:space="preserve">, </w:t>
      </w:r>
      <w:r w:rsidR="00590304">
        <w:rPr>
          <w:rFonts w:cs="Arial"/>
          <w:sz w:val="24"/>
          <w:szCs w:val="24"/>
        </w:rPr>
        <w:t>and</w:t>
      </w:r>
      <w:r w:rsidRPr="0048391B">
        <w:rPr>
          <w:rFonts w:cs="Arial"/>
          <w:sz w:val="24"/>
          <w:szCs w:val="24"/>
        </w:rPr>
        <w:t xml:space="preserve"> coordinating with activists across the region. They worked to create </w:t>
      </w:r>
      <w:r w:rsidR="00590304">
        <w:rPr>
          <w:rFonts w:cs="Arial"/>
          <w:sz w:val="24"/>
          <w:szCs w:val="24"/>
        </w:rPr>
        <w:t>a regional</w:t>
      </w:r>
      <w:r w:rsidRPr="0048391B">
        <w:rPr>
          <w:rFonts w:cs="Arial"/>
          <w:sz w:val="24"/>
          <w:szCs w:val="24"/>
        </w:rPr>
        <w:t xml:space="preserve"> pro-Palestine network, BDS Gulf, and </w:t>
      </w:r>
      <w:r w:rsidR="00590304">
        <w:rPr>
          <w:rFonts w:cs="Arial"/>
          <w:sz w:val="24"/>
          <w:szCs w:val="24"/>
        </w:rPr>
        <w:t>organizing multiple events</w:t>
      </w:r>
      <w:r w:rsidRPr="0048391B">
        <w:rPr>
          <w:rFonts w:cs="Arial"/>
          <w:sz w:val="24"/>
          <w:szCs w:val="24"/>
        </w:rPr>
        <w:t xml:space="preserve"> </w:t>
      </w:r>
      <w:r w:rsidR="00590304">
        <w:rPr>
          <w:rFonts w:cs="Arial"/>
          <w:sz w:val="24"/>
          <w:szCs w:val="24"/>
        </w:rPr>
        <w:t>to generate shared strategies</w:t>
      </w:r>
      <w:r w:rsidRPr="0048391B">
        <w:rPr>
          <w:rFonts w:cs="Arial"/>
          <w:sz w:val="24"/>
          <w:szCs w:val="24"/>
        </w:rPr>
        <w:t xml:space="preserve">. Finally, they had an impact on </w:t>
      </w:r>
      <w:r w:rsidR="00E444C5">
        <w:rPr>
          <w:rFonts w:cs="Arial"/>
          <w:sz w:val="24"/>
          <w:szCs w:val="24"/>
        </w:rPr>
        <w:t>overall</w:t>
      </w:r>
      <w:r w:rsidRPr="0048391B">
        <w:rPr>
          <w:rFonts w:cs="Arial"/>
          <w:sz w:val="24"/>
          <w:szCs w:val="24"/>
        </w:rPr>
        <w:t xml:space="preserve"> Qatari civil society, by mobilizing and </w:t>
      </w:r>
      <w:r w:rsidR="001E421C" w:rsidRPr="0048391B">
        <w:rPr>
          <w:rFonts w:cs="Arial"/>
          <w:sz w:val="24"/>
          <w:szCs w:val="24"/>
        </w:rPr>
        <w:t xml:space="preserve">politicizing </w:t>
      </w:r>
      <w:r w:rsidRPr="0048391B">
        <w:rPr>
          <w:rFonts w:cs="Arial"/>
          <w:sz w:val="24"/>
          <w:szCs w:val="24"/>
        </w:rPr>
        <w:t>other groups.</w:t>
      </w:r>
      <w:r w:rsidR="00B934E0">
        <w:rPr>
          <w:rFonts w:cs="Arial"/>
          <w:sz w:val="24"/>
          <w:szCs w:val="24"/>
        </w:rPr>
        <w:t xml:space="preserve"> One example is the group</w:t>
      </w:r>
      <w:r w:rsidRPr="0048391B">
        <w:rPr>
          <w:rFonts w:cs="Arial"/>
          <w:sz w:val="24"/>
          <w:szCs w:val="24"/>
        </w:rPr>
        <w:t xml:space="preserve"> </w:t>
      </w:r>
      <w:r w:rsidRPr="0048391B">
        <w:rPr>
          <w:rFonts w:cs="Arial"/>
          <w:i/>
          <w:iCs/>
          <w:sz w:val="24"/>
          <w:szCs w:val="24"/>
        </w:rPr>
        <w:t>Talee’a</w:t>
      </w:r>
      <w:r w:rsidR="00B934E0">
        <w:rPr>
          <w:rFonts w:cs="Arial"/>
          <w:i/>
          <w:iCs/>
          <w:sz w:val="24"/>
          <w:szCs w:val="24"/>
        </w:rPr>
        <w:t xml:space="preserve">, </w:t>
      </w:r>
      <w:r w:rsidR="00B934E0">
        <w:rPr>
          <w:rFonts w:cs="Arial"/>
          <w:sz w:val="24"/>
          <w:szCs w:val="24"/>
        </w:rPr>
        <w:t>which started</w:t>
      </w:r>
      <w:r w:rsidRPr="0048391B">
        <w:rPr>
          <w:rFonts w:cs="Arial"/>
          <w:i/>
          <w:iCs/>
          <w:sz w:val="24"/>
          <w:szCs w:val="24"/>
        </w:rPr>
        <w:t xml:space="preserve"> </w:t>
      </w:r>
      <w:r w:rsidRPr="0048391B">
        <w:rPr>
          <w:rFonts w:cs="Arial"/>
          <w:sz w:val="24"/>
          <w:szCs w:val="24"/>
        </w:rPr>
        <w:t xml:space="preserve">in 2018, </w:t>
      </w:r>
      <w:r w:rsidR="00B934E0">
        <w:rPr>
          <w:rFonts w:cs="Arial"/>
          <w:sz w:val="24"/>
          <w:szCs w:val="24"/>
        </w:rPr>
        <w:t>that</w:t>
      </w:r>
      <w:r w:rsidRPr="0048391B">
        <w:rPr>
          <w:rFonts w:cs="Arial"/>
          <w:sz w:val="24"/>
          <w:szCs w:val="24"/>
        </w:rPr>
        <w:t xml:space="preserve"> directly challenged the state’s narrative of Qatari identity, as well as commented on political issues related to the constitution.</w:t>
      </w:r>
      <w:r w:rsidR="003C6AFA" w:rsidRPr="0048391B">
        <w:rPr>
          <w:rStyle w:val="FootnoteReference"/>
          <w:rFonts w:cs="Arial"/>
          <w:sz w:val="24"/>
          <w:szCs w:val="24"/>
        </w:rPr>
        <w:footnoteReference w:id="61"/>
      </w:r>
      <w:r w:rsidRPr="0048391B">
        <w:rPr>
          <w:rFonts w:cs="Arial"/>
          <w:sz w:val="24"/>
          <w:szCs w:val="24"/>
        </w:rPr>
        <w:t xml:space="preserve"> </w:t>
      </w:r>
    </w:p>
    <w:p w14:paraId="1D30DCE7" w14:textId="14FF2B8E" w:rsidR="00D01AEA" w:rsidRPr="0048391B" w:rsidRDefault="002F5788" w:rsidP="00BB6EC9">
      <w:pPr>
        <w:spacing w:after="0" w:line="480" w:lineRule="auto"/>
        <w:jc w:val="both"/>
        <w:rPr>
          <w:rFonts w:cs="Arial"/>
          <w:sz w:val="24"/>
          <w:szCs w:val="24"/>
        </w:rPr>
      </w:pPr>
      <w:r w:rsidRPr="0048391B">
        <w:rPr>
          <w:rFonts w:cs="Arial"/>
          <w:sz w:val="24"/>
          <w:szCs w:val="24"/>
        </w:rPr>
        <w:tab/>
      </w:r>
      <w:r w:rsidR="00D01AEA" w:rsidRPr="0048391B">
        <w:rPr>
          <w:rFonts w:cs="Arial"/>
          <w:sz w:val="24"/>
          <w:szCs w:val="24"/>
        </w:rPr>
        <w:t xml:space="preserve">Prior to 2017, </w:t>
      </w:r>
      <w:r w:rsidRPr="0048391B">
        <w:rPr>
          <w:rFonts w:cs="Arial"/>
          <w:sz w:val="24"/>
          <w:szCs w:val="24"/>
        </w:rPr>
        <w:t>QAYON faced the most pressure when they attempted to organize with groups outside of Qatar, because the government feared diplomatic rift</w:t>
      </w:r>
      <w:r w:rsidR="002E775B">
        <w:rPr>
          <w:rFonts w:cs="Arial"/>
          <w:sz w:val="24"/>
          <w:szCs w:val="24"/>
        </w:rPr>
        <w:t xml:space="preserve">s </w:t>
      </w:r>
      <w:r w:rsidRPr="0048391B">
        <w:rPr>
          <w:rFonts w:cs="Arial"/>
          <w:sz w:val="24"/>
          <w:szCs w:val="24"/>
        </w:rPr>
        <w:t xml:space="preserve">with its neighbors. But </w:t>
      </w:r>
      <w:r w:rsidR="00505022">
        <w:rPr>
          <w:rFonts w:cs="Arial"/>
          <w:sz w:val="24"/>
          <w:szCs w:val="24"/>
        </w:rPr>
        <w:t>internally</w:t>
      </w:r>
      <w:r w:rsidRPr="0048391B">
        <w:rPr>
          <w:rFonts w:cs="Arial"/>
          <w:sz w:val="24"/>
          <w:szCs w:val="24"/>
        </w:rPr>
        <w:t>, QAYON was given space, and sometimes even supported by government-affiliated groups.</w:t>
      </w:r>
      <w:r w:rsidRPr="0048391B">
        <w:rPr>
          <w:rStyle w:val="FootnoteReference"/>
          <w:rFonts w:cs="Arial"/>
          <w:sz w:val="24"/>
          <w:szCs w:val="24"/>
        </w:rPr>
        <w:footnoteReference w:id="62"/>
      </w:r>
      <w:r w:rsidR="0016137F" w:rsidRPr="0048391B">
        <w:rPr>
          <w:rFonts w:cs="Arial"/>
          <w:sz w:val="24"/>
          <w:szCs w:val="24"/>
        </w:rPr>
        <w:t xml:space="preserve"> </w:t>
      </w:r>
      <w:r w:rsidR="00505022">
        <w:rPr>
          <w:rFonts w:cs="Arial"/>
          <w:sz w:val="24"/>
          <w:szCs w:val="24"/>
        </w:rPr>
        <w:t>O</w:t>
      </w:r>
      <w:r w:rsidR="0016137F" w:rsidRPr="0048391B">
        <w:rPr>
          <w:rFonts w:cs="Arial"/>
          <w:sz w:val="24"/>
          <w:szCs w:val="24"/>
        </w:rPr>
        <w:t xml:space="preserve">fficials </w:t>
      </w:r>
      <w:r w:rsidR="00505022">
        <w:rPr>
          <w:rFonts w:cs="Arial"/>
          <w:sz w:val="24"/>
          <w:szCs w:val="24"/>
        </w:rPr>
        <w:t>would even</w:t>
      </w:r>
      <w:r w:rsidR="0016137F" w:rsidRPr="0048391B">
        <w:rPr>
          <w:rFonts w:cs="Arial"/>
          <w:sz w:val="24"/>
          <w:szCs w:val="24"/>
        </w:rPr>
        <w:t xml:space="preserve"> express</w:t>
      </w:r>
      <w:r w:rsidR="00505022">
        <w:rPr>
          <w:rFonts w:cs="Arial"/>
          <w:sz w:val="24"/>
          <w:szCs w:val="24"/>
        </w:rPr>
        <w:t xml:space="preserve"> </w:t>
      </w:r>
      <w:r w:rsidR="0016137F" w:rsidRPr="0048391B">
        <w:rPr>
          <w:rFonts w:cs="Arial"/>
          <w:sz w:val="24"/>
          <w:szCs w:val="24"/>
        </w:rPr>
        <w:t xml:space="preserve">support for </w:t>
      </w:r>
      <w:r w:rsidR="00505022">
        <w:rPr>
          <w:rFonts w:cs="Arial"/>
          <w:sz w:val="24"/>
          <w:szCs w:val="24"/>
        </w:rPr>
        <w:t xml:space="preserve">their </w:t>
      </w:r>
      <w:r w:rsidR="0016137F" w:rsidRPr="0048391B">
        <w:rPr>
          <w:rFonts w:cs="Arial"/>
          <w:sz w:val="24"/>
          <w:szCs w:val="24"/>
        </w:rPr>
        <w:t xml:space="preserve">anti-normalization </w:t>
      </w:r>
      <w:r w:rsidR="00505022">
        <w:rPr>
          <w:rFonts w:cs="Arial"/>
          <w:sz w:val="24"/>
          <w:szCs w:val="24"/>
        </w:rPr>
        <w:t>stance</w:t>
      </w:r>
      <w:r w:rsidR="0016137F" w:rsidRPr="0048391B">
        <w:rPr>
          <w:rFonts w:cs="Arial"/>
          <w:sz w:val="24"/>
          <w:szCs w:val="24"/>
        </w:rPr>
        <w:t>.</w:t>
      </w:r>
      <w:r w:rsidR="001E421C" w:rsidRPr="0048391B">
        <w:rPr>
          <w:rStyle w:val="FootnoteReference"/>
          <w:rFonts w:cs="Arial"/>
          <w:sz w:val="24"/>
          <w:szCs w:val="24"/>
        </w:rPr>
        <w:footnoteReference w:id="63"/>
      </w:r>
      <w:r w:rsidR="0016137F" w:rsidRPr="0048391B">
        <w:rPr>
          <w:rFonts w:cs="Arial"/>
          <w:sz w:val="24"/>
          <w:szCs w:val="24"/>
        </w:rPr>
        <w:t xml:space="preserve"> </w:t>
      </w:r>
      <w:r w:rsidR="00976B27" w:rsidRPr="0048391B">
        <w:rPr>
          <w:rFonts w:cs="Arial"/>
          <w:sz w:val="24"/>
          <w:szCs w:val="24"/>
        </w:rPr>
        <w:t>However, as the drive for cultural and political development increased</w:t>
      </w:r>
      <w:r w:rsidR="00505022">
        <w:rPr>
          <w:rFonts w:cs="Arial"/>
          <w:sz w:val="24"/>
          <w:szCs w:val="24"/>
        </w:rPr>
        <w:t xml:space="preserve">, </w:t>
      </w:r>
      <w:r w:rsidRPr="0048391B">
        <w:rPr>
          <w:rFonts w:cs="Arial"/>
          <w:sz w:val="24"/>
          <w:szCs w:val="24"/>
        </w:rPr>
        <w:t>QAYON members say there has been a marked shift in the tolerance of the state.</w:t>
      </w:r>
      <w:r w:rsidR="00D01AEA" w:rsidRPr="0048391B">
        <w:rPr>
          <w:rFonts w:cs="Arial"/>
          <w:sz w:val="24"/>
          <w:szCs w:val="24"/>
        </w:rPr>
        <w:t xml:space="preserve"> </w:t>
      </w:r>
      <w:r w:rsidR="00976B27" w:rsidRPr="0048391B">
        <w:rPr>
          <w:rFonts w:cs="Arial"/>
          <w:sz w:val="24"/>
          <w:szCs w:val="24"/>
        </w:rPr>
        <w:t>T</w:t>
      </w:r>
      <w:r w:rsidR="00D01AEA" w:rsidRPr="0048391B">
        <w:rPr>
          <w:rFonts w:cs="Arial"/>
          <w:sz w:val="24"/>
          <w:szCs w:val="24"/>
        </w:rPr>
        <w:t xml:space="preserve">he </w:t>
      </w:r>
      <w:r w:rsidR="002E775B">
        <w:rPr>
          <w:rFonts w:cs="Arial"/>
          <w:sz w:val="24"/>
          <w:szCs w:val="24"/>
        </w:rPr>
        <w:t>government</w:t>
      </w:r>
      <w:r w:rsidR="00FE7562" w:rsidRPr="0048391B">
        <w:rPr>
          <w:rFonts w:cs="Arial"/>
          <w:sz w:val="24"/>
          <w:szCs w:val="24"/>
        </w:rPr>
        <w:t xml:space="preserve"> brought prominent Zionist voices </w:t>
      </w:r>
      <w:r w:rsidR="00D01AEA" w:rsidRPr="0048391B">
        <w:rPr>
          <w:rFonts w:cs="Arial"/>
          <w:sz w:val="24"/>
          <w:szCs w:val="24"/>
        </w:rPr>
        <w:t xml:space="preserve">to </w:t>
      </w:r>
      <w:r w:rsidR="00D01AEA" w:rsidRPr="0048391B">
        <w:rPr>
          <w:rFonts w:cs="Arial"/>
          <w:sz w:val="24"/>
          <w:szCs w:val="24"/>
        </w:rPr>
        <w:lastRenderedPageBreak/>
        <w:t xml:space="preserve">the country for </w:t>
      </w:r>
      <w:r w:rsidR="00C651C0" w:rsidRPr="0048391B">
        <w:rPr>
          <w:rFonts w:cs="Arial"/>
          <w:sz w:val="24"/>
          <w:szCs w:val="24"/>
        </w:rPr>
        <w:t>public relations</w:t>
      </w:r>
      <w:r w:rsidR="00D01AEA" w:rsidRPr="0048391B">
        <w:rPr>
          <w:rFonts w:cs="Arial"/>
          <w:sz w:val="24"/>
          <w:szCs w:val="24"/>
        </w:rPr>
        <w:t xml:space="preserve"> tours, and increased the pace of Israeli participation in </w:t>
      </w:r>
      <w:r w:rsidR="002E775B">
        <w:rPr>
          <w:rFonts w:cs="Arial"/>
          <w:sz w:val="24"/>
          <w:szCs w:val="24"/>
        </w:rPr>
        <w:t>official</w:t>
      </w:r>
      <w:r w:rsidR="001E421C" w:rsidRPr="0048391B">
        <w:rPr>
          <w:rFonts w:cs="Arial"/>
          <w:sz w:val="24"/>
          <w:szCs w:val="24"/>
        </w:rPr>
        <w:t xml:space="preserve"> events. A</w:t>
      </w:r>
      <w:r w:rsidR="00976B27" w:rsidRPr="0048391B">
        <w:rPr>
          <w:rFonts w:cs="Arial"/>
          <w:sz w:val="24"/>
          <w:szCs w:val="24"/>
        </w:rPr>
        <w:t xml:space="preserve">t the same time, </w:t>
      </w:r>
      <w:r w:rsidR="00D01AEA" w:rsidRPr="0048391B">
        <w:rPr>
          <w:rFonts w:cs="Arial"/>
          <w:b/>
          <w:bCs/>
          <w:sz w:val="24"/>
          <w:szCs w:val="24"/>
        </w:rPr>
        <w:t>repression</w:t>
      </w:r>
      <w:r w:rsidR="00D01AEA" w:rsidRPr="0048391B">
        <w:rPr>
          <w:rFonts w:cs="Arial"/>
          <w:sz w:val="24"/>
          <w:szCs w:val="24"/>
        </w:rPr>
        <w:t xml:space="preserve"> of activists</w:t>
      </w:r>
      <w:r w:rsidR="00976B27" w:rsidRPr="0048391B">
        <w:rPr>
          <w:rFonts w:cs="Arial"/>
          <w:sz w:val="24"/>
          <w:szCs w:val="24"/>
        </w:rPr>
        <w:t xml:space="preserve"> </w:t>
      </w:r>
      <w:r w:rsidR="00D01AEA" w:rsidRPr="0048391B">
        <w:rPr>
          <w:rFonts w:cs="Arial"/>
          <w:sz w:val="24"/>
          <w:szCs w:val="24"/>
        </w:rPr>
        <w:t xml:space="preserve">accelerated. </w:t>
      </w:r>
    </w:p>
    <w:p w14:paraId="4333BCAA" w14:textId="03302D27" w:rsidR="001E421C" w:rsidRPr="0048391B" w:rsidRDefault="00453D46" w:rsidP="00F85100">
      <w:pPr>
        <w:spacing w:after="0" w:line="480" w:lineRule="auto"/>
        <w:ind w:firstLine="720"/>
        <w:jc w:val="both"/>
        <w:rPr>
          <w:rFonts w:cs="Arial"/>
          <w:sz w:val="24"/>
          <w:szCs w:val="24"/>
        </w:rPr>
      </w:pPr>
      <w:r>
        <w:rPr>
          <w:rFonts w:cs="Arial"/>
          <w:sz w:val="24"/>
          <w:szCs w:val="24"/>
        </w:rPr>
        <w:t>M</w:t>
      </w:r>
      <w:r w:rsidR="006A1D03" w:rsidRPr="0048391B">
        <w:rPr>
          <w:rFonts w:cs="Arial"/>
          <w:sz w:val="24"/>
          <w:szCs w:val="24"/>
        </w:rPr>
        <w:t xml:space="preserve">embers who take on outward </w:t>
      </w:r>
      <w:r w:rsidR="002F5788" w:rsidRPr="0048391B">
        <w:rPr>
          <w:rFonts w:cs="Arial"/>
          <w:sz w:val="24"/>
          <w:szCs w:val="24"/>
        </w:rPr>
        <w:t>leadership role</w:t>
      </w:r>
      <w:r w:rsidR="00C54EB4">
        <w:rPr>
          <w:rFonts w:cs="Arial"/>
          <w:sz w:val="24"/>
          <w:szCs w:val="24"/>
        </w:rPr>
        <w:t>s</w:t>
      </w:r>
      <w:r w:rsidR="002F5788" w:rsidRPr="0048391B">
        <w:rPr>
          <w:rFonts w:cs="Arial"/>
          <w:sz w:val="24"/>
          <w:szCs w:val="24"/>
        </w:rPr>
        <w:t xml:space="preserve"> </w:t>
      </w:r>
      <w:r w:rsidR="001E421C" w:rsidRPr="0048391B">
        <w:rPr>
          <w:rFonts w:cs="Arial"/>
          <w:sz w:val="24"/>
          <w:szCs w:val="24"/>
        </w:rPr>
        <w:t>have been</w:t>
      </w:r>
      <w:r w:rsidR="002F5788" w:rsidRPr="0048391B">
        <w:rPr>
          <w:rFonts w:cs="Arial"/>
          <w:sz w:val="24"/>
          <w:szCs w:val="24"/>
        </w:rPr>
        <w:t xml:space="preserve"> approached </w:t>
      </w:r>
      <w:r w:rsidR="006A1D03" w:rsidRPr="0048391B">
        <w:rPr>
          <w:rFonts w:cs="Arial"/>
          <w:sz w:val="24"/>
          <w:szCs w:val="24"/>
        </w:rPr>
        <w:t>individually</w:t>
      </w:r>
      <w:r>
        <w:rPr>
          <w:rFonts w:cs="Arial"/>
          <w:sz w:val="24"/>
          <w:szCs w:val="24"/>
        </w:rPr>
        <w:t xml:space="preserve"> by government officials</w:t>
      </w:r>
      <w:r w:rsidR="002F5788" w:rsidRPr="0048391B">
        <w:rPr>
          <w:rFonts w:cs="Arial"/>
          <w:sz w:val="24"/>
          <w:szCs w:val="24"/>
        </w:rPr>
        <w:t xml:space="preserve">. </w:t>
      </w:r>
      <w:r>
        <w:rPr>
          <w:rFonts w:cs="Arial"/>
          <w:sz w:val="24"/>
          <w:szCs w:val="24"/>
        </w:rPr>
        <w:t>The fact that</w:t>
      </w:r>
      <w:r w:rsidR="00976B27" w:rsidRPr="0048391B">
        <w:rPr>
          <w:rFonts w:cs="Arial"/>
          <w:sz w:val="24"/>
          <w:szCs w:val="24"/>
        </w:rPr>
        <w:t xml:space="preserve"> </w:t>
      </w:r>
      <w:r w:rsidR="001E421C" w:rsidRPr="0048391B">
        <w:rPr>
          <w:rFonts w:cs="Arial"/>
          <w:sz w:val="24"/>
          <w:szCs w:val="24"/>
        </w:rPr>
        <w:t>QAYON</w:t>
      </w:r>
      <w:r w:rsidR="00976B27" w:rsidRPr="0048391B">
        <w:rPr>
          <w:rFonts w:cs="Arial"/>
          <w:sz w:val="24"/>
          <w:szCs w:val="24"/>
        </w:rPr>
        <w:t xml:space="preserve"> </w:t>
      </w:r>
      <w:r w:rsidR="00E444C5">
        <w:rPr>
          <w:rFonts w:cs="Arial"/>
          <w:sz w:val="24"/>
          <w:szCs w:val="24"/>
        </w:rPr>
        <w:t>made</w:t>
      </w:r>
      <w:r w:rsidR="00976B27" w:rsidRPr="0048391B">
        <w:rPr>
          <w:rFonts w:cs="Arial"/>
          <w:sz w:val="24"/>
          <w:szCs w:val="24"/>
        </w:rPr>
        <w:t xml:space="preserve"> political demands, and did not confine themselves to “raising awareness” as other groups </w:t>
      </w:r>
      <w:r w:rsidR="00F02D6D" w:rsidRPr="0048391B">
        <w:rPr>
          <w:rFonts w:cs="Arial"/>
          <w:sz w:val="24"/>
          <w:szCs w:val="24"/>
        </w:rPr>
        <w:t>have often done</w:t>
      </w:r>
      <w:r>
        <w:rPr>
          <w:rFonts w:cs="Arial"/>
          <w:sz w:val="24"/>
          <w:szCs w:val="24"/>
        </w:rPr>
        <w:t>, made them a target</w:t>
      </w:r>
      <w:r w:rsidR="00F02D6D" w:rsidRPr="0048391B">
        <w:rPr>
          <w:rFonts w:cs="Arial"/>
          <w:sz w:val="24"/>
          <w:szCs w:val="24"/>
        </w:rPr>
        <w:t>.</w:t>
      </w:r>
      <w:r w:rsidR="00BB6EC9" w:rsidRPr="0048391B">
        <w:rPr>
          <w:rStyle w:val="FootnoteReference"/>
          <w:rFonts w:cs="Arial"/>
          <w:sz w:val="24"/>
          <w:szCs w:val="24"/>
        </w:rPr>
        <w:footnoteReference w:id="64"/>
      </w:r>
      <w:r w:rsidR="001E421C" w:rsidRPr="0048391B">
        <w:rPr>
          <w:rFonts w:cs="Arial"/>
          <w:sz w:val="24"/>
          <w:szCs w:val="24"/>
        </w:rPr>
        <w:t xml:space="preserve"> </w:t>
      </w:r>
      <w:r>
        <w:rPr>
          <w:rFonts w:cs="Arial"/>
          <w:sz w:val="24"/>
          <w:szCs w:val="24"/>
        </w:rPr>
        <w:t>M</w:t>
      </w:r>
      <w:r w:rsidR="00257427">
        <w:rPr>
          <w:rFonts w:cs="Arial"/>
          <w:sz w:val="24"/>
          <w:szCs w:val="24"/>
        </w:rPr>
        <w:t>embers</w:t>
      </w:r>
      <w:r w:rsidR="00976B27" w:rsidRPr="0048391B">
        <w:rPr>
          <w:rFonts w:cs="Arial"/>
          <w:sz w:val="24"/>
          <w:szCs w:val="24"/>
        </w:rPr>
        <w:t xml:space="preserve"> have been </w:t>
      </w:r>
      <w:r w:rsidR="00E5356F">
        <w:rPr>
          <w:rFonts w:cs="Arial"/>
          <w:sz w:val="24"/>
          <w:szCs w:val="24"/>
        </w:rPr>
        <w:t>questioned</w:t>
      </w:r>
      <w:r w:rsidR="00976B27" w:rsidRPr="0048391B">
        <w:rPr>
          <w:rFonts w:cs="Arial"/>
          <w:sz w:val="24"/>
          <w:szCs w:val="24"/>
        </w:rPr>
        <w:t xml:space="preserve"> and </w:t>
      </w:r>
      <w:r w:rsidR="00E5356F">
        <w:rPr>
          <w:rFonts w:cs="Arial"/>
          <w:sz w:val="24"/>
          <w:szCs w:val="24"/>
        </w:rPr>
        <w:t>told</w:t>
      </w:r>
      <w:r w:rsidR="00976B27" w:rsidRPr="0048391B">
        <w:rPr>
          <w:rFonts w:cs="Arial"/>
          <w:sz w:val="24"/>
          <w:szCs w:val="24"/>
        </w:rPr>
        <w:t xml:space="preserve"> that their pro-Palestinian activities </w:t>
      </w:r>
      <w:r w:rsidR="00F02D6D" w:rsidRPr="0048391B">
        <w:rPr>
          <w:rFonts w:cs="Arial"/>
          <w:sz w:val="24"/>
          <w:szCs w:val="24"/>
        </w:rPr>
        <w:t>should end.</w:t>
      </w:r>
      <w:r w:rsidR="00A152C9" w:rsidRPr="0048391B">
        <w:rPr>
          <w:rStyle w:val="FootnoteReference"/>
          <w:rFonts w:cs="Arial"/>
          <w:sz w:val="24"/>
          <w:szCs w:val="24"/>
        </w:rPr>
        <w:footnoteReference w:id="65"/>
      </w:r>
      <w:r w:rsidR="00F02D6D" w:rsidRPr="0048391B">
        <w:rPr>
          <w:rFonts w:cs="Arial"/>
          <w:sz w:val="24"/>
          <w:szCs w:val="24"/>
        </w:rPr>
        <w:t xml:space="preserve"> </w:t>
      </w:r>
      <w:r w:rsidR="002F5788" w:rsidRPr="0048391B">
        <w:rPr>
          <w:rFonts w:cs="Arial"/>
          <w:sz w:val="24"/>
          <w:szCs w:val="24"/>
        </w:rPr>
        <w:t xml:space="preserve">Official paperwork related to aspects of daily life – such as </w:t>
      </w:r>
      <w:r w:rsidR="00BC0B71">
        <w:rPr>
          <w:rFonts w:cs="Arial"/>
          <w:sz w:val="24"/>
          <w:szCs w:val="24"/>
        </w:rPr>
        <w:t xml:space="preserve">employment and travel </w:t>
      </w:r>
      <w:r w:rsidR="002F5788" w:rsidRPr="0048391B">
        <w:rPr>
          <w:rFonts w:cs="Arial"/>
          <w:sz w:val="24"/>
          <w:szCs w:val="24"/>
        </w:rPr>
        <w:t>– ha</w:t>
      </w:r>
      <w:r w:rsidR="00834257" w:rsidRPr="0048391B">
        <w:rPr>
          <w:rFonts w:cs="Arial"/>
          <w:sz w:val="24"/>
          <w:szCs w:val="24"/>
        </w:rPr>
        <w:t>ve also</w:t>
      </w:r>
      <w:r>
        <w:rPr>
          <w:rFonts w:cs="Arial"/>
          <w:sz w:val="24"/>
          <w:szCs w:val="24"/>
        </w:rPr>
        <w:t xml:space="preserve"> been withheld from </w:t>
      </w:r>
      <w:r w:rsidR="000B716E">
        <w:rPr>
          <w:rFonts w:cs="Arial"/>
          <w:sz w:val="24"/>
          <w:szCs w:val="24"/>
        </w:rPr>
        <w:t>targeted members</w:t>
      </w:r>
      <w:r w:rsidR="002F5788" w:rsidRPr="0048391B">
        <w:rPr>
          <w:rFonts w:cs="Arial"/>
          <w:sz w:val="24"/>
          <w:szCs w:val="24"/>
        </w:rPr>
        <w:t>.</w:t>
      </w:r>
      <w:r w:rsidR="00A152C9" w:rsidRPr="0048391B">
        <w:rPr>
          <w:rStyle w:val="FootnoteReference"/>
          <w:rFonts w:cs="Arial"/>
          <w:sz w:val="24"/>
          <w:szCs w:val="24"/>
        </w:rPr>
        <w:footnoteReference w:id="66"/>
      </w:r>
      <w:r w:rsidR="002F5788" w:rsidRPr="0048391B">
        <w:rPr>
          <w:rFonts w:cs="Arial"/>
          <w:sz w:val="24"/>
          <w:szCs w:val="24"/>
        </w:rPr>
        <w:t xml:space="preserve"> </w:t>
      </w:r>
    </w:p>
    <w:p w14:paraId="5092C084" w14:textId="6A40E564" w:rsidR="00F02D6D" w:rsidRPr="0048391B" w:rsidRDefault="0092503B" w:rsidP="00E5356F">
      <w:pPr>
        <w:spacing w:after="0" w:line="480" w:lineRule="auto"/>
        <w:ind w:firstLine="720"/>
        <w:jc w:val="both"/>
        <w:rPr>
          <w:rFonts w:cs="Arial"/>
          <w:sz w:val="24"/>
          <w:szCs w:val="24"/>
        </w:rPr>
      </w:pPr>
      <w:r w:rsidRPr="0048391B">
        <w:rPr>
          <w:rFonts w:cs="Arial"/>
          <w:sz w:val="24"/>
          <w:szCs w:val="24"/>
        </w:rPr>
        <w:t>Women in particular</w:t>
      </w:r>
      <w:r w:rsidR="00834257" w:rsidRPr="0048391B">
        <w:rPr>
          <w:rFonts w:cs="Arial"/>
          <w:sz w:val="24"/>
          <w:szCs w:val="24"/>
        </w:rPr>
        <w:t xml:space="preserve"> have faced </w:t>
      </w:r>
      <w:r w:rsidR="002F5788" w:rsidRPr="0048391B">
        <w:rPr>
          <w:rFonts w:cs="Arial"/>
          <w:sz w:val="24"/>
          <w:szCs w:val="24"/>
        </w:rPr>
        <w:t>social pressures, with people “informing” on their activities to their fami</w:t>
      </w:r>
      <w:r w:rsidR="00BC0B71">
        <w:rPr>
          <w:rFonts w:cs="Arial"/>
          <w:sz w:val="24"/>
          <w:szCs w:val="24"/>
        </w:rPr>
        <w:t>lies</w:t>
      </w:r>
      <w:r w:rsidR="002F5788" w:rsidRPr="0048391B">
        <w:rPr>
          <w:rFonts w:cs="Arial"/>
          <w:sz w:val="24"/>
          <w:szCs w:val="24"/>
        </w:rPr>
        <w:t xml:space="preserve">. </w:t>
      </w:r>
      <w:r w:rsidR="001E421C" w:rsidRPr="0048391B">
        <w:rPr>
          <w:rFonts w:cs="Arial"/>
          <w:sz w:val="24"/>
          <w:szCs w:val="24"/>
        </w:rPr>
        <w:t>Activists</w:t>
      </w:r>
      <w:r w:rsidR="00F02D6D" w:rsidRPr="0048391B">
        <w:rPr>
          <w:rFonts w:cs="Arial"/>
          <w:sz w:val="24"/>
          <w:szCs w:val="24"/>
        </w:rPr>
        <w:t xml:space="preserve"> reported that they feared gender-based </w:t>
      </w:r>
      <w:r w:rsidR="00E5356F">
        <w:rPr>
          <w:rFonts w:cs="Arial"/>
          <w:sz w:val="24"/>
          <w:szCs w:val="24"/>
        </w:rPr>
        <w:t>harassment</w:t>
      </w:r>
      <w:r w:rsidR="00F02D6D" w:rsidRPr="0048391B">
        <w:rPr>
          <w:rFonts w:cs="Arial"/>
          <w:sz w:val="24"/>
          <w:szCs w:val="24"/>
        </w:rPr>
        <w:t xml:space="preserve"> for t</w:t>
      </w:r>
      <w:r w:rsidR="00834257" w:rsidRPr="0048391B">
        <w:rPr>
          <w:rFonts w:cs="Arial"/>
          <w:sz w:val="24"/>
          <w:szCs w:val="24"/>
        </w:rPr>
        <w:t xml:space="preserve">heir opposition to state policy. This </w:t>
      </w:r>
      <w:r w:rsidR="00F02D6D" w:rsidRPr="0048391B">
        <w:rPr>
          <w:rFonts w:cs="Arial"/>
          <w:sz w:val="24"/>
          <w:szCs w:val="24"/>
        </w:rPr>
        <w:t xml:space="preserve">tactic is used by state officials to outsource repression to </w:t>
      </w:r>
      <w:r w:rsidR="00BC0B71">
        <w:rPr>
          <w:rFonts w:cs="Arial"/>
          <w:sz w:val="24"/>
          <w:szCs w:val="24"/>
        </w:rPr>
        <w:t>the family unit</w:t>
      </w:r>
      <w:r w:rsidR="00F224DA" w:rsidRPr="0048391B">
        <w:rPr>
          <w:rFonts w:cs="Arial"/>
          <w:sz w:val="24"/>
          <w:szCs w:val="24"/>
        </w:rPr>
        <w:t>, by casting doubt on the</w:t>
      </w:r>
      <w:r w:rsidR="00F02D6D" w:rsidRPr="0048391B">
        <w:rPr>
          <w:rFonts w:cs="Arial"/>
          <w:sz w:val="24"/>
          <w:szCs w:val="24"/>
        </w:rPr>
        <w:t xml:space="preserve"> engagements </w:t>
      </w:r>
      <w:r w:rsidR="00F224DA" w:rsidRPr="0048391B">
        <w:rPr>
          <w:rFonts w:cs="Arial"/>
          <w:sz w:val="24"/>
          <w:szCs w:val="24"/>
        </w:rPr>
        <w:t xml:space="preserve">of female activists </w:t>
      </w:r>
      <w:r w:rsidR="00F02D6D" w:rsidRPr="0048391B">
        <w:rPr>
          <w:rFonts w:cs="Arial"/>
          <w:sz w:val="24"/>
          <w:szCs w:val="24"/>
        </w:rPr>
        <w:t>and insinuating illicit activity. Families then intervene to, at a minimum, keep the activist from co</w:t>
      </w:r>
      <w:r w:rsidRPr="0048391B">
        <w:rPr>
          <w:rFonts w:cs="Arial"/>
          <w:sz w:val="24"/>
          <w:szCs w:val="24"/>
        </w:rPr>
        <w:t xml:space="preserve">ntinuing her work, and at worst, by using </w:t>
      </w:r>
      <w:r w:rsidR="00E444C5">
        <w:rPr>
          <w:rFonts w:cs="Arial"/>
          <w:sz w:val="24"/>
          <w:szCs w:val="24"/>
        </w:rPr>
        <w:t>coercion</w:t>
      </w:r>
      <w:r w:rsidRPr="0048391B">
        <w:rPr>
          <w:rFonts w:cs="Arial"/>
          <w:sz w:val="24"/>
          <w:szCs w:val="24"/>
        </w:rPr>
        <w:t>.</w:t>
      </w:r>
      <w:r w:rsidR="00A152C9" w:rsidRPr="0048391B">
        <w:rPr>
          <w:rStyle w:val="FootnoteReference"/>
          <w:rFonts w:cs="Arial"/>
          <w:sz w:val="24"/>
          <w:szCs w:val="24"/>
        </w:rPr>
        <w:footnoteReference w:id="67"/>
      </w:r>
    </w:p>
    <w:p w14:paraId="2AE31E57" w14:textId="4BF063AB" w:rsidR="0022251E" w:rsidRPr="0048391B" w:rsidRDefault="002F5788" w:rsidP="00E16879">
      <w:pPr>
        <w:spacing w:after="0" w:line="480" w:lineRule="auto"/>
        <w:ind w:firstLine="720"/>
        <w:jc w:val="both"/>
        <w:rPr>
          <w:rFonts w:cs="Arial"/>
          <w:sz w:val="24"/>
          <w:szCs w:val="24"/>
        </w:rPr>
      </w:pPr>
      <w:r w:rsidRPr="0048391B">
        <w:rPr>
          <w:rFonts w:cs="Arial"/>
          <w:sz w:val="24"/>
          <w:szCs w:val="24"/>
        </w:rPr>
        <w:t xml:space="preserve">Moreover, Qatar University </w:t>
      </w:r>
      <w:r w:rsidR="00F02D6D" w:rsidRPr="0048391B">
        <w:rPr>
          <w:rFonts w:cs="Arial"/>
          <w:sz w:val="24"/>
          <w:szCs w:val="24"/>
        </w:rPr>
        <w:t xml:space="preserve">began forbidding </w:t>
      </w:r>
      <w:r w:rsidRPr="0048391B">
        <w:rPr>
          <w:rFonts w:cs="Arial"/>
          <w:sz w:val="24"/>
          <w:szCs w:val="24"/>
        </w:rPr>
        <w:t xml:space="preserve">student groups </w:t>
      </w:r>
      <w:r w:rsidR="00A81537">
        <w:rPr>
          <w:rFonts w:cs="Arial"/>
          <w:sz w:val="24"/>
          <w:szCs w:val="24"/>
        </w:rPr>
        <w:t>from</w:t>
      </w:r>
      <w:r w:rsidRPr="0048391B">
        <w:rPr>
          <w:rFonts w:cs="Arial"/>
          <w:sz w:val="24"/>
          <w:szCs w:val="24"/>
        </w:rPr>
        <w:t xml:space="preserve"> sponsor</w:t>
      </w:r>
      <w:r w:rsidR="00A81537">
        <w:rPr>
          <w:rFonts w:cs="Arial"/>
          <w:sz w:val="24"/>
          <w:szCs w:val="24"/>
        </w:rPr>
        <w:t>ing</w:t>
      </w:r>
      <w:r w:rsidRPr="0048391B">
        <w:rPr>
          <w:rFonts w:cs="Arial"/>
          <w:sz w:val="24"/>
          <w:szCs w:val="24"/>
        </w:rPr>
        <w:t xml:space="preserve"> outside events, </w:t>
      </w:r>
      <w:r w:rsidR="00B671E5" w:rsidRPr="0048391B">
        <w:rPr>
          <w:rFonts w:cs="Arial"/>
          <w:sz w:val="24"/>
          <w:szCs w:val="24"/>
        </w:rPr>
        <w:t xml:space="preserve">and </w:t>
      </w:r>
      <w:r w:rsidR="00F02D6D" w:rsidRPr="0048391B">
        <w:rPr>
          <w:rFonts w:cs="Arial"/>
          <w:sz w:val="24"/>
          <w:szCs w:val="24"/>
        </w:rPr>
        <w:t>ha</w:t>
      </w:r>
      <w:r w:rsidR="0092503B" w:rsidRPr="0048391B">
        <w:rPr>
          <w:rFonts w:cs="Arial"/>
          <w:sz w:val="24"/>
          <w:szCs w:val="24"/>
        </w:rPr>
        <w:t>ve</w:t>
      </w:r>
      <w:r w:rsidR="00B671E5" w:rsidRPr="0048391B">
        <w:rPr>
          <w:rFonts w:cs="Arial"/>
          <w:sz w:val="24"/>
          <w:szCs w:val="24"/>
        </w:rPr>
        <w:t xml:space="preserve"> not approved the creation of any Palestine-related groups that might engage in boycott campaigns.</w:t>
      </w:r>
      <w:r w:rsidR="00B671E5" w:rsidRPr="0048391B">
        <w:rPr>
          <w:rStyle w:val="FootnoteReference"/>
          <w:rFonts w:cs="Arial"/>
          <w:sz w:val="24"/>
          <w:szCs w:val="24"/>
        </w:rPr>
        <w:footnoteReference w:id="68"/>
      </w:r>
      <w:r w:rsidR="00F02D6D" w:rsidRPr="0048391B">
        <w:rPr>
          <w:rFonts w:cs="Arial"/>
          <w:sz w:val="24"/>
          <w:szCs w:val="24"/>
        </w:rPr>
        <w:t xml:space="preserve"> QAYON members report that they had been “blacklisted” in their university, and that there have been instances of other students reporting on their activities.</w:t>
      </w:r>
      <w:r w:rsidR="00A152C9" w:rsidRPr="0048391B">
        <w:rPr>
          <w:rStyle w:val="FootnoteReference"/>
          <w:rFonts w:cs="Arial"/>
          <w:sz w:val="24"/>
          <w:szCs w:val="24"/>
        </w:rPr>
        <w:footnoteReference w:id="69"/>
      </w:r>
      <w:r w:rsidR="00F02D6D" w:rsidRPr="0048391B">
        <w:rPr>
          <w:rFonts w:cs="Arial"/>
          <w:sz w:val="24"/>
          <w:szCs w:val="24"/>
        </w:rPr>
        <w:t xml:space="preserve"> </w:t>
      </w:r>
      <w:r w:rsidR="00BC0B71">
        <w:rPr>
          <w:rFonts w:cs="Arial"/>
          <w:sz w:val="24"/>
          <w:szCs w:val="24"/>
        </w:rPr>
        <w:t>An</w:t>
      </w:r>
      <w:r w:rsidR="00CB6A63" w:rsidRPr="0048391B">
        <w:rPr>
          <w:rFonts w:cs="Arial"/>
          <w:sz w:val="24"/>
          <w:szCs w:val="24"/>
        </w:rPr>
        <w:t xml:space="preserve"> attempt to hold the university accountable for their partnership with </w:t>
      </w:r>
      <w:r w:rsidR="00F429BC">
        <w:rPr>
          <w:rFonts w:cs="Arial"/>
          <w:sz w:val="24"/>
          <w:szCs w:val="24"/>
        </w:rPr>
        <w:t>companies</w:t>
      </w:r>
      <w:r w:rsidR="00BC0B71">
        <w:rPr>
          <w:rFonts w:cs="Arial"/>
          <w:sz w:val="24"/>
          <w:szCs w:val="24"/>
        </w:rPr>
        <w:t xml:space="preserve"> </w:t>
      </w:r>
      <w:r w:rsidR="00CB6A63" w:rsidRPr="0048391B">
        <w:rPr>
          <w:rFonts w:cs="Arial"/>
          <w:sz w:val="24"/>
          <w:szCs w:val="24"/>
        </w:rPr>
        <w:t xml:space="preserve">considered </w:t>
      </w:r>
      <w:r w:rsidR="00CB6A63" w:rsidRPr="0048391B">
        <w:rPr>
          <w:rFonts w:cs="Arial"/>
          <w:sz w:val="24"/>
          <w:szCs w:val="24"/>
        </w:rPr>
        <w:lastRenderedPageBreak/>
        <w:t>complicit in Israeli occupation ended with disciplinary action against the students who led the campaign.</w:t>
      </w:r>
      <w:r w:rsidR="00A152C9" w:rsidRPr="0048391B">
        <w:rPr>
          <w:rStyle w:val="FootnoteReference"/>
          <w:rFonts w:cs="Arial"/>
          <w:sz w:val="24"/>
          <w:szCs w:val="24"/>
        </w:rPr>
        <w:footnoteReference w:id="70"/>
      </w:r>
      <w:r w:rsidR="0022251E" w:rsidRPr="0048391B">
        <w:rPr>
          <w:rFonts w:cs="Arial"/>
          <w:sz w:val="24"/>
          <w:szCs w:val="24"/>
        </w:rPr>
        <w:t xml:space="preserve"> </w:t>
      </w:r>
      <w:r w:rsidR="00CB6A63" w:rsidRPr="0048391B">
        <w:rPr>
          <w:rFonts w:cs="Arial"/>
          <w:sz w:val="24"/>
          <w:szCs w:val="24"/>
        </w:rPr>
        <w:t>Similar dynamics have played</w:t>
      </w:r>
      <w:r w:rsidR="0022251E" w:rsidRPr="0048391B">
        <w:rPr>
          <w:rFonts w:cs="Arial"/>
          <w:sz w:val="24"/>
          <w:szCs w:val="24"/>
        </w:rPr>
        <w:t xml:space="preserve"> out with GONGOs in Qatar, such as Katara</w:t>
      </w:r>
      <w:r w:rsidR="00F224DA" w:rsidRPr="0048391B">
        <w:rPr>
          <w:rFonts w:cs="Arial"/>
          <w:sz w:val="24"/>
          <w:szCs w:val="24"/>
        </w:rPr>
        <w:t>,</w:t>
      </w:r>
      <w:r w:rsidR="0022251E" w:rsidRPr="0048391B">
        <w:rPr>
          <w:rFonts w:cs="Arial"/>
          <w:sz w:val="24"/>
          <w:szCs w:val="24"/>
        </w:rPr>
        <w:t xml:space="preserve"> which had previously provided space to QAYON for their activities.</w:t>
      </w:r>
      <w:r w:rsidR="00A152C9" w:rsidRPr="0048391B">
        <w:rPr>
          <w:rStyle w:val="FootnoteReference"/>
          <w:rFonts w:cs="Arial"/>
          <w:sz w:val="24"/>
          <w:szCs w:val="24"/>
        </w:rPr>
        <w:footnoteReference w:id="71"/>
      </w:r>
      <w:r w:rsidR="00CB6A63" w:rsidRPr="0048391B">
        <w:rPr>
          <w:rFonts w:cs="Arial"/>
          <w:sz w:val="24"/>
          <w:szCs w:val="24"/>
        </w:rPr>
        <w:t xml:space="preserve"> </w:t>
      </w:r>
    </w:p>
    <w:p w14:paraId="7697548B" w14:textId="0A4F6844" w:rsidR="00D01AEA" w:rsidRPr="0048391B" w:rsidRDefault="00B671E5" w:rsidP="00F224DA">
      <w:pPr>
        <w:spacing w:after="0" w:line="480" w:lineRule="auto"/>
        <w:ind w:firstLine="720"/>
        <w:jc w:val="both"/>
        <w:rPr>
          <w:rFonts w:cs="Arial"/>
          <w:sz w:val="24"/>
          <w:szCs w:val="24"/>
        </w:rPr>
      </w:pPr>
      <w:r w:rsidRPr="0048391B">
        <w:rPr>
          <w:rFonts w:cs="Arial"/>
          <w:sz w:val="24"/>
          <w:szCs w:val="24"/>
        </w:rPr>
        <w:t>Furthermore,</w:t>
      </w:r>
      <w:r w:rsidR="002F5788" w:rsidRPr="0048391B">
        <w:rPr>
          <w:rFonts w:cs="Arial"/>
          <w:sz w:val="24"/>
          <w:szCs w:val="24"/>
        </w:rPr>
        <w:t xml:space="preserve"> </w:t>
      </w:r>
      <w:r w:rsidR="0022251E" w:rsidRPr="0048391B">
        <w:rPr>
          <w:rFonts w:cs="Arial"/>
          <w:sz w:val="24"/>
          <w:szCs w:val="24"/>
        </w:rPr>
        <w:t>activists</w:t>
      </w:r>
      <w:r w:rsidR="002F5788" w:rsidRPr="0048391B">
        <w:rPr>
          <w:rFonts w:cs="Arial"/>
          <w:sz w:val="24"/>
          <w:szCs w:val="24"/>
        </w:rPr>
        <w:t xml:space="preserve"> </w:t>
      </w:r>
      <w:r w:rsidR="0022251E" w:rsidRPr="0048391B">
        <w:rPr>
          <w:rFonts w:cs="Arial"/>
          <w:sz w:val="24"/>
          <w:szCs w:val="24"/>
        </w:rPr>
        <w:t>say</w:t>
      </w:r>
      <w:r w:rsidR="002F5788" w:rsidRPr="0048391B">
        <w:rPr>
          <w:rFonts w:cs="Arial"/>
          <w:sz w:val="24"/>
          <w:szCs w:val="24"/>
        </w:rPr>
        <w:t xml:space="preserve"> Twitter </w:t>
      </w:r>
      <w:r w:rsidR="00531F94">
        <w:rPr>
          <w:rFonts w:cs="Arial"/>
          <w:sz w:val="24"/>
          <w:szCs w:val="24"/>
        </w:rPr>
        <w:t>harassment</w:t>
      </w:r>
      <w:r w:rsidR="002F5788" w:rsidRPr="0048391B">
        <w:rPr>
          <w:rFonts w:cs="Arial"/>
          <w:sz w:val="24"/>
          <w:szCs w:val="24"/>
        </w:rPr>
        <w:t xml:space="preserve"> </w:t>
      </w:r>
      <w:r w:rsidR="00531F94">
        <w:rPr>
          <w:rFonts w:cs="Arial"/>
          <w:sz w:val="24"/>
          <w:szCs w:val="24"/>
        </w:rPr>
        <w:t>has</w:t>
      </w:r>
      <w:r w:rsidR="002F5788" w:rsidRPr="0048391B">
        <w:rPr>
          <w:rFonts w:cs="Arial"/>
          <w:sz w:val="24"/>
          <w:szCs w:val="24"/>
        </w:rPr>
        <w:t xml:space="preserve"> </w:t>
      </w:r>
      <w:r w:rsidR="00531F94">
        <w:rPr>
          <w:rFonts w:cs="Arial"/>
          <w:sz w:val="24"/>
          <w:szCs w:val="24"/>
        </w:rPr>
        <w:t>markedly i</w:t>
      </w:r>
      <w:r w:rsidR="002F5788" w:rsidRPr="0048391B">
        <w:rPr>
          <w:rFonts w:cs="Arial"/>
          <w:sz w:val="24"/>
          <w:szCs w:val="24"/>
        </w:rPr>
        <w:t xml:space="preserve">ncreased. It became clear </w:t>
      </w:r>
      <w:r w:rsidR="00F429BC">
        <w:rPr>
          <w:rFonts w:cs="Arial"/>
          <w:sz w:val="24"/>
          <w:szCs w:val="24"/>
        </w:rPr>
        <w:t>to many members that</w:t>
      </w:r>
      <w:r w:rsidR="002F5788" w:rsidRPr="0048391B">
        <w:rPr>
          <w:rFonts w:cs="Arial"/>
          <w:sz w:val="24"/>
          <w:szCs w:val="24"/>
        </w:rPr>
        <w:t xml:space="preserve"> </w:t>
      </w:r>
      <w:r w:rsidR="00F429BC">
        <w:rPr>
          <w:rFonts w:cs="Arial"/>
          <w:sz w:val="24"/>
          <w:szCs w:val="24"/>
        </w:rPr>
        <w:t>they faced both</w:t>
      </w:r>
      <w:r w:rsidR="002F5788" w:rsidRPr="0048391B">
        <w:rPr>
          <w:rFonts w:cs="Arial"/>
          <w:sz w:val="24"/>
          <w:szCs w:val="24"/>
        </w:rPr>
        <w:t xml:space="preserve"> online and of</w:t>
      </w:r>
      <w:r w:rsidR="00F224DA" w:rsidRPr="0048391B">
        <w:rPr>
          <w:rFonts w:cs="Arial"/>
          <w:sz w:val="24"/>
          <w:szCs w:val="24"/>
        </w:rPr>
        <w:t>f-line surveillance</w:t>
      </w:r>
      <w:r w:rsidR="00E444C5">
        <w:rPr>
          <w:rFonts w:cs="Arial"/>
          <w:sz w:val="24"/>
          <w:szCs w:val="24"/>
        </w:rPr>
        <w:t>.</w:t>
      </w:r>
      <w:r w:rsidR="00A152C9" w:rsidRPr="0048391B">
        <w:rPr>
          <w:rStyle w:val="FootnoteReference"/>
          <w:rFonts w:cs="Arial"/>
          <w:sz w:val="24"/>
          <w:szCs w:val="24"/>
        </w:rPr>
        <w:footnoteReference w:id="72"/>
      </w:r>
      <w:r w:rsidR="002F5788" w:rsidRPr="0048391B">
        <w:rPr>
          <w:rFonts w:cs="Arial"/>
          <w:sz w:val="24"/>
          <w:szCs w:val="24"/>
        </w:rPr>
        <w:t xml:space="preserve"> As one member put it, this “drove discussion underground,” as people retreated to private spaces and no longer felt comfortable addressing their peers.</w:t>
      </w:r>
      <w:r w:rsidR="002F5788" w:rsidRPr="0048391B">
        <w:rPr>
          <w:rStyle w:val="FootnoteReference"/>
          <w:rFonts w:cs="Arial"/>
          <w:sz w:val="24"/>
          <w:szCs w:val="24"/>
        </w:rPr>
        <w:footnoteReference w:id="73"/>
      </w:r>
      <w:r w:rsidR="00D01AEA" w:rsidRPr="0048391B">
        <w:rPr>
          <w:rFonts w:cs="Arial"/>
          <w:sz w:val="24"/>
          <w:szCs w:val="24"/>
        </w:rPr>
        <w:t xml:space="preserve"> </w:t>
      </w:r>
      <w:r w:rsidR="00CB6A63" w:rsidRPr="0048391B">
        <w:rPr>
          <w:rFonts w:cs="Arial"/>
          <w:sz w:val="24"/>
          <w:szCs w:val="24"/>
        </w:rPr>
        <w:t xml:space="preserve">Clearly not only has </w:t>
      </w:r>
      <w:r w:rsidR="00BE7897" w:rsidRPr="0048391B">
        <w:rPr>
          <w:rFonts w:cs="Arial"/>
          <w:sz w:val="24"/>
          <w:szCs w:val="24"/>
        </w:rPr>
        <w:t>direct</w:t>
      </w:r>
      <w:r w:rsidR="00CB6A63" w:rsidRPr="0048391B">
        <w:rPr>
          <w:rFonts w:cs="Arial"/>
          <w:sz w:val="24"/>
          <w:szCs w:val="24"/>
        </w:rPr>
        <w:t xml:space="preserve"> state repression taken its toll, but the </w:t>
      </w:r>
      <w:r w:rsidR="00CB6A63" w:rsidRPr="0048391B">
        <w:rPr>
          <w:rFonts w:cs="Arial"/>
          <w:b/>
          <w:bCs/>
          <w:sz w:val="24"/>
          <w:szCs w:val="24"/>
        </w:rPr>
        <w:t>fraying of social ties</w:t>
      </w:r>
      <w:r w:rsidR="00CB6A63" w:rsidRPr="0048391B">
        <w:rPr>
          <w:rFonts w:cs="Arial"/>
          <w:sz w:val="24"/>
          <w:szCs w:val="24"/>
        </w:rPr>
        <w:t xml:space="preserve"> </w:t>
      </w:r>
      <w:r w:rsidR="00BE7897" w:rsidRPr="0048391B">
        <w:rPr>
          <w:rFonts w:cs="Arial"/>
          <w:sz w:val="24"/>
          <w:szCs w:val="24"/>
        </w:rPr>
        <w:t>has had an impact on the scope of political organizing</w:t>
      </w:r>
      <w:r w:rsidR="00E15C42">
        <w:rPr>
          <w:rFonts w:cs="Arial"/>
          <w:sz w:val="24"/>
          <w:szCs w:val="24"/>
        </w:rPr>
        <w:t>.</w:t>
      </w:r>
    </w:p>
    <w:p w14:paraId="26935567" w14:textId="3B637F24" w:rsidR="002F5788" w:rsidRPr="0048391B" w:rsidRDefault="002F5788" w:rsidP="00135248">
      <w:pPr>
        <w:spacing w:after="0" w:line="480" w:lineRule="auto"/>
        <w:jc w:val="both"/>
        <w:rPr>
          <w:sz w:val="24"/>
          <w:szCs w:val="24"/>
        </w:rPr>
      </w:pPr>
      <w:r w:rsidRPr="0048391B">
        <w:rPr>
          <w:sz w:val="24"/>
          <w:szCs w:val="24"/>
        </w:rPr>
        <w:tab/>
      </w:r>
      <w:r w:rsidR="001E421C" w:rsidRPr="0048391B">
        <w:rPr>
          <w:sz w:val="24"/>
          <w:szCs w:val="24"/>
        </w:rPr>
        <w:t xml:space="preserve">Today, QAYON </w:t>
      </w:r>
      <w:r w:rsidR="00E15C42">
        <w:rPr>
          <w:sz w:val="24"/>
          <w:szCs w:val="24"/>
        </w:rPr>
        <w:t xml:space="preserve">continues </w:t>
      </w:r>
      <w:r w:rsidRPr="0048391B">
        <w:rPr>
          <w:sz w:val="24"/>
          <w:szCs w:val="24"/>
        </w:rPr>
        <w:t xml:space="preserve">to fight to exist. </w:t>
      </w:r>
      <w:r w:rsidR="00E97DC9">
        <w:rPr>
          <w:sz w:val="24"/>
          <w:szCs w:val="24"/>
        </w:rPr>
        <w:t xml:space="preserve">They have launched </w:t>
      </w:r>
      <w:r w:rsidR="00F6337D">
        <w:rPr>
          <w:sz w:val="24"/>
          <w:szCs w:val="24"/>
        </w:rPr>
        <w:t xml:space="preserve">a number of online campaigns to document </w:t>
      </w:r>
      <w:r w:rsidRPr="0048391B">
        <w:rPr>
          <w:sz w:val="24"/>
          <w:szCs w:val="24"/>
        </w:rPr>
        <w:t>instance</w:t>
      </w:r>
      <w:r w:rsidR="00D01AEA" w:rsidRPr="0048391B">
        <w:rPr>
          <w:sz w:val="24"/>
          <w:szCs w:val="24"/>
        </w:rPr>
        <w:t>s</w:t>
      </w:r>
      <w:r w:rsidRPr="0048391B">
        <w:rPr>
          <w:sz w:val="24"/>
          <w:szCs w:val="24"/>
        </w:rPr>
        <w:t xml:space="preserve"> of confrontation they have had with the Qatari state over normalization. Nevertheless, many members have</w:t>
      </w:r>
      <w:r w:rsidR="001E421C" w:rsidRPr="0048391B">
        <w:rPr>
          <w:sz w:val="24"/>
          <w:szCs w:val="24"/>
        </w:rPr>
        <w:t xml:space="preserve"> had to take a “back seat”</w:t>
      </w:r>
      <w:r w:rsidR="006A1D03" w:rsidRPr="0048391B">
        <w:rPr>
          <w:sz w:val="24"/>
          <w:szCs w:val="24"/>
        </w:rPr>
        <w:t xml:space="preserve"> a</w:t>
      </w:r>
      <w:r w:rsidR="008F4BD9">
        <w:rPr>
          <w:sz w:val="24"/>
          <w:szCs w:val="24"/>
        </w:rPr>
        <w:t>s a</w:t>
      </w:r>
      <w:r w:rsidR="006A1D03" w:rsidRPr="0048391B">
        <w:rPr>
          <w:sz w:val="24"/>
          <w:szCs w:val="24"/>
        </w:rPr>
        <w:t xml:space="preserve"> result of state</w:t>
      </w:r>
      <w:r w:rsidRPr="0048391B">
        <w:rPr>
          <w:sz w:val="24"/>
          <w:szCs w:val="24"/>
        </w:rPr>
        <w:t xml:space="preserve"> pressure</w:t>
      </w:r>
      <w:r w:rsidR="001E421C" w:rsidRPr="0048391B">
        <w:rPr>
          <w:sz w:val="24"/>
          <w:szCs w:val="24"/>
        </w:rPr>
        <w:t>, and the limited space for organizing is a real concern.</w:t>
      </w:r>
      <w:r w:rsidR="00A152C9" w:rsidRPr="0048391B">
        <w:rPr>
          <w:rStyle w:val="FootnoteReference"/>
          <w:sz w:val="24"/>
          <w:szCs w:val="24"/>
        </w:rPr>
        <w:footnoteReference w:id="74"/>
      </w:r>
      <w:r w:rsidR="00F224DA" w:rsidRPr="0048391B">
        <w:rPr>
          <w:sz w:val="24"/>
          <w:szCs w:val="24"/>
        </w:rPr>
        <w:t xml:space="preserve"> All their activities have moved online, given </w:t>
      </w:r>
      <w:r w:rsidR="00E97DC9">
        <w:rPr>
          <w:sz w:val="24"/>
          <w:szCs w:val="24"/>
        </w:rPr>
        <w:t>their blacklisting</w:t>
      </w:r>
      <w:r w:rsidR="00F224DA" w:rsidRPr="0048391B">
        <w:rPr>
          <w:sz w:val="24"/>
          <w:szCs w:val="24"/>
        </w:rPr>
        <w:t xml:space="preserve"> at </w:t>
      </w:r>
      <w:r w:rsidR="00135248">
        <w:rPr>
          <w:sz w:val="24"/>
          <w:szCs w:val="24"/>
        </w:rPr>
        <w:t>previously public spaces</w:t>
      </w:r>
      <w:r w:rsidR="00F224DA" w:rsidRPr="0048391B">
        <w:rPr>
          <w:sz w:val="24"/>
          <w:szCs w:val="24"/>
        </w:rPr>
        <w:t>.</w:t>
      </w:r>
      <w:r w:rsidR="00E97DC9">
        <w:rPr>
          <w:sz w:val="24"/>
          <w:szCs w:val="24"/>
        </w:rPr>
        <w:t xml:space="preserve"> </w:t>
      </w:r>
      <w:r w:rsidR="00EB3C40" w:rsidRPr="0048391B">
        <w:rPr>
          <w:sz w:val="24"/>
          <w:szCs w:val="24"/>
        </w:rPr>
        <w:t>Student</w:t>
      </w:r>
      <w:r w:rsidR="00E97DC9">
        <w:rPr>
          <w:sz w:val="24"/>
          <w:szCs w:val="24"/>
        </w:rPr>
        <w:t xml:space="preserve"> members within the university </w:t>
      </w:r>
      <w:r w:rsidR="00EB3C40" w:rsidRPr="0048391B">
        <w:rPr>
          <w:sz w:val="24"/>
          <w:szCs w:val="24"/>
        </w:rPr>
        <w:t xml:space="preserve">say that they have been relegated to </w:t>
      </w:r>
      <w:r w:rsidR="00BE7897" w:rsidRPr="0048391B">
        <w:rPr>
          <w:sz w:val="24"/>
          <w:szCs w:val="24"/>
        </w:rPr>
        <w:t>engaging in charity events that are “repetitive and ineffective.”</w:t>
      </w:r>
      <w:r w:rsidR="00D65405" w:rsidRPr="0048391B">
        <w:rPr>
          <w:rStyle w:val="FootnoteReference"/>
          <w:sz w:val="24"/>
          <w:szCs w:val="24"/>
        </w:rPr>
        <w:footnoteReference w:id="75"/>
      </w:r>
      <w:r w:rsidR="00BE7897" w:rsidRPr="0048391B">
        <w:rPr>
          <w:sz w:val="24"/>
          <w:szCs w:val="24"/>
        </w:rPr>
        <w:t xml:space="preserve"> </w:t>
      </w:r>
    </w:p>
    <w:p w14:paraId="4B2084EF" w14:textId="26DEE396" w:rsidR="0022251E" w:rsidRPr="0048391B" w:rsidRDefault="00AE6793" w:rsidP="00D65405">
      <w:pPr>
        <w:spacing w:after="0" w:line="480" w:lineRule="auto"/>
        <w:jc w:val="both"/>
        <w:rPr>
          <w:sz w:val="24"/>
          <w:szCs w:val="24"/>
        </w:rPr>
      </w:pPr>
      <w:r w:rsidRPr="0048391B">
        <w:rPr>
          <w:sz w:val="24"/>
          <w:szCs w:val="24"/>
        </w:rPr>
        <w:tab/>
      </w:r>
      <w:r w:rsidR="00A74C87">
        <w:rPr>
          <w:sz w:val="24"/>
          <w:szCs w:val="24"/>
        </w:rPr>
        <w:t xml:space="preserve">On the regional front, </w:t>
      </w:r>
      <w:r w:rsidRPr="0048391B">
        <w:rPr>
          <w:sz w:val="24"/>
          <w:szCs w:val="24"/>
        </w:rPr>
        <w:t xml:space="preserve">QAYON has </w:t>
      </w:r>
      <w:r w:rsidR="00CB6A63" w:rsidRPr="0048391B">
        <w:rPr>
          <w:sz w:val="24"/>
          <w:szCs w:val="24"/>
        </w:rPr>
        <w:t xml:space="preserve">recently </w:t>
      </w:r>
      <w:r w:rsidRPr="0048391B">
        <w:rPr>
          <w:sz w:val="24"/>
          <w:szCs w:val="24"/>
        </w:rPr>
        <w:t xml:space="preserve">joined in the efforts of the </w:t>
      </w:r>
      <w:r w:rsidR="00A74C87">
        <w:rPr>
          <w:sz w:val="24"/>
          <w:szCs w:val="24"/>
        </w:rPr>
        <w:t>“</w:t>
      </w:r>
      <w:r w:rsidRPr="0048391B">
        <w:rPr>
          <w:sz w:val="24"/>
          <w:szCs w:val="24"/>
        </w:rPr>
        <w:t>Gulf Coalition against Normalization,</w:t>
      </w:r>
      <w:r w:rsidR="00A74C87">
        <w:rPr>
          <w:sz w:val="24"/>
          <w:szCs w:val="24"/>
        </w:rPr>
        <w:t>”</w:t>
      </w:r>
      <w:r w:rsidRPr="0048391B">
        <w:rPr>
          <w:sz w:val="24"/>
          <w:szCs w:val="24"/>
        </w:rPr>
        <w:t xml:space="preserve"> a pan-Gulf organization </w:t>
      </w:r>
      <w:r w:rsidR="00E97DC9">
        <w:rPr>
          <w:sz w:val="24"/>
          <w:szCs w:val="24"/>
        </w:rPr>
        <w:t>formed after</w:t>
      </w:r>
      <w:r w:rsidRPr="0048391B">
        <w:rPr>
          <w:sz w:val="24"/>
          <w:szCs w:val="24"/>
        </w:rPr>
        <w:t xml:space="preserve"> the </w:t>
      </w:r>
      <w:r w:rsidR="00E97DC9">
        <w:rPr>
          <w:sz w:val="24"/>
          <w:szCs w:val="24"/>
        </w:rPr>
        <w:t>peace agreements</w:t>
      </w:r>
      <w:r w:rsidRPr="0048391B">
        <w:rPr>
          <w:sz w:val="24"/>
          <w:szCs w:val="24"/>
        </w:rPr>
        <w:t xml:space="preserve"> of the UAE and Bahrain. Members </w:t>
      </w:r>
      <w:r w:rsidR="00D65405" w:rsidRPr="0048391B">
        <w:rPr>
          <w:sz w:val="24"/>
          <w:szCs w:val="24"/>
        </w:rPr>
        <w:t xml:space="preserve">of QAYON </w:t>
      </w:r>
      <w:r w:rsidRPr="0048391B">
        <w:rPr>
          <w:sz w:val="24"/>
          <w:szCs w:val="24"/>
        </w:rPr>
        <w:t xml:space="preserve">who have taken part in the Coalition’s seminars have also faced </w:t>
      </w:r>
      <w:r w:rsidRPr="0048391B">
        <w:rPr>
          <w:sz w:val="24"/>
          <w:szCs w:val="24"/>
        </w:rPr>
        <w:lastRenderedPageBreak/>
        <w:t>online backlash.</w:t>
      </w:r>
      <w:r w:rsidR="003C6AFA" w:rsidRPr="0048391B">
        <w:rPr>
          <w:rStyle w:val="FootnoteReference"/>
          <w:sz w:val="24"/>
          <w:szCs w:val="24"/>
        </w:rPr>
        <w:footnoteReference w:id="76"/>
      </w:r>
      <w:r w:rsidRPr="0048391B">
        <w:rPr>
          <w:sz w:val="24"/>
          <w:szCs w:val="24"/>
        </w:rPr>
        <w:t xml:space="preserve"> </w:t>
      </w:r>
      <w:r w:rsidR="00CB6A63" w:rsidRPr="0048391B">
        <w:rPr>
          <w:sz w:val="24"/>
          <w:szCs w:val="24"/>
        </w:rPr>
        <w:t>Activists believe this harassment is state-led, and is intended to dampen support for their activities.</w:t>
      </w:r>
      <w:r w:rsidRPr="0048391B">
        <w:rPr>
          <w:sz w:val="24"/>
          <w:szCs w:val="24"/>
        </w:rPr>
        <w:t xml:space="preserve"> </w:t>
      </w:r>
    </w:p>
    <w:p w14:paraId="2077051A" w14:textId="0D9328CB" w:rsidR="00D01AEA" w:rsidRPr="0048391B" w:rsidRDefault="0022251E" w:rsidP="00F21077">
      <w:pPr>
        <w:spacing w:after="0" w:line="480" w:lineRule="auto"/>
        <w:jc w:val="both"/>
        <w:rPr>
          <w:sz w:val="24"/>
          <w:szCs w:val="24"/>
        </w:rPr>
      </w:pPr>
      <w:r w:rsidRPr="0048391B">
        <w:rPr>
          <w:sz w:val="24"/>
          <w:szCs w:val="24"/>
        </w:rPr>
        <w:tab/>
      </w:r>
      <w:r w:rsidR="00B57AC4">
        <w:rPr>
          <w:sz w:val="24"/>
          <w:szCs w:val="24"/>
        </w:rPr>
        <w:t>All in all, t</w:t>
      </w:r>
      <w:r w:rsidR="00D01AEA" w:rsidRPr="0048391B">
        <w:rPr>
          <w:sz w:val="24"/>
          <w:szCs w:val="24"/>
        </w:rPr>
        <w:t>he</w:t>
      </w:r>
      <w:r w:rsidR="00BE7897" w:rsidRPr="0048391B">
        <w:rPr>
          <w:sz w:val="24"/>
          <w:szCs w:val="24"/>
        </w:rPr>
        <w:t xml:space="preserve"> Qatari case demonstrates that </w:t>
      </w:r>
      <w:r w:rsidR="00D01AEA" w:rsidRPr="0048391B">
        <w:rPr>
          <w:sz w:val="24"/>
          <w:szCs w:val="24"/>
        </w:rPr>
        <w:t xml:space="preserve">intensification in </w:t>
      </w:r>
      <w:r w:rsidR="002D6E09">
        <w:rPr>
          <w:sz w:val="24"/>
          <w:szCs w:val="24"/>
        </w:rPr>
        <w:t xml:space="preserve">illiberal </w:t>
      </w:r>
      <w:r w:rsidR="00BE7897" w:rsidRPr="0048391B">
        <w:rPr>
          <w:sz w:val="24"/>
          <w:szCs w:val="24"/>
        </w:rPr>
        <w:t>peace initiatives, even via normalization,</w:t>
      </w:r>
      <w:r w:rsidR="00D01AEA" w:rsidRPr="0048391B">
        <w:rPr>
          <w:sz w:val="24"/>
          <w:szCs w:val="24"/>
        </w:rPr>
        <w:t xml:space="preserve"> leads to an increase </w:t>
      </w:r>
      <w:r w:rsidR="00BB49FB" w:rsidRPr="0048391B">
        <w:rPr>
          <w:sz w:val="24"/>
          <w:szCs w:val="24"/>
        </w:rPr>
        <w:t>in authoritarian practices</w:t>
      </w:r>
      <w:r w:rsidR="00D01AEA" w:rsidRPr="0048391B">
        <w:rPr>
          <w:sz w:val="24"/>
          <w:szCs w:val="24"/>
        </w:rPr>
        <w:t xml:space="preserve">. </w:t>
      </w:r>
      <w:r w:rsidR="00AD3F91" w:rsidRPr="0048391B">
        <w:rPr>
          <w:sz w:val="24"/>
          <w:szCs w:val="24"/>
        </w:rPr>
        <w:t xml:space="preserve">Normalization in this case never reached the level of official recognition of Israel, but </w:t>
      </w:r>
      <w:r w:rsidR="0099377F">
        <w:rPr>
          <w:sz w:val="24"/>
          <w:szCs w:val="24"/>
        </w:rPr>
        <w:t>nevertheless</w:t>
      </w:r>
      <w:r w:rsidR="00AD3F91" w:rsidRPr="0048391B">
        <w:rPr>
          <w:sz w:val="24"/>
          <w:szCs w:val="24"/>
        </w:rPr>
        <w:t xml:space="preserve"> intensified.</w:t>
      </w:r>
      <w:r w:rsidR="003C6AFA" w:rsidRPr="0048391B">
        <w:rPr>
          <w:rStyle w:val="FootnoteReference"/>
          <w:sz w:val="24"/>
          <w:szCs w:val="24"/>
        </w:rPr>
        <w:footnoteReference w:id="77"/>
      </w:r>
      <w:r w:rsidR="00AD3F91" w:rsidRPr="0048391B">
        <w:rPr>
          <w:sz w:val="24"/>
          <w:szCs w:val="24"/>
        </w:rPr>
        <w:t xml:space="preserve"> </w:t>
      </w:r>
      <w:r w:rsidR="006A1D03" w:rsidRPr="0048391B">
        <w:rPr>
          <w:sz w:val="24"/>
          <w:szCs w:val="24"/>
        </w:rPr>
        <w:t xml:space="preserve">This led to tension </w:t>
      </w:r>
      <w:r w:rsidR="002762BF" w:rsidRPr="0048391B">
        <w:rPr>
          <w:sz w:val="24"/>
          <w:szCs w:val="24"/>
        </w:rPr>
        <w:t>between the state and its citizens</w:t>
      </w:r>
      <w:r w:rsidR="00BE7897" w:rsidRPr="0048391B">
        <w:rPr>
          <w:sz w:val="24"/>
          <w:szCs w:val="24"/>
        </w:rPr>
        <w:t>, direct repression and fraying of social ties,</w:t>
      </w:r>
      <w:r w:rsidR="002762BF" w:rsidRPr="0048391B">
        <w:rPr>
          <w:sz w:val="24"/>
          <w:szCs w:val="24"/>
        </w:rPr>
        <w:t xml:space="preserve"> and a narrowing of the space for acceptable dissent.</w:t>
      </w:r>
    </w:p>
    <w:p w14:paraId="531ABE71" w14:textId="77777777" w:rsidR="008078FA" w:rsidRDefault="008078FA" w:rsidP="008078FA">
      <w:pPr>
        <w:rPr>
          <w:u w:val="single"/>
        </w:rPr>
      </w:pPr>
    </w:p>
    <w:p w14:paraId="23915249" w14:textId="43529B40" w:rsidR="008078FA" w:rsidRPr="00C314F9" w:rsidRDefault="008078FA" w:rsidP="008078FA">
      <w:pPr>
        <w:rPr>
          <w:b/>
          <w:bCs/>
          <w:i/>
          <w:iCs/>
          <w:sz w:val="24"/>
          <w:szCs w:val="24"/>
        </w:rPr>
      </w:pPr>
      <w:r w:rsidRPr="00C314F9">
        <w:rPr>
          <w:b/>
          <w:bCs/>
          <w:i/>
          <w:iCs/>
          <w:sz w:val="24"/>
          <w:szCs w:val="24"/>
        </w:rPr>
        <w:t>Military and Security Normalization</w:t>
      </w:r>
    </w:p>
    <w:p w14:paraId="190E9184" w14:textId="77777777" w:rsidR="008078FA" w:rsidRPr="00C314F9" w:rsidRDefault="008078FA" w:rsidP="008078FA">
      <w:pPr>
        <w:spacing w:after="0" w:line="480" w:lineRule="auto"/>
        <w:jc w:val="both"/>
        <w:rPr>
          <w:rFonts w:cs="Arial"/>
          <w:i/>
          <w:iCs/>
          <w:sz w:val="24"/>
          <w:szCs w:val="24"/>
        </w:rPr>
      </w:pPr>
      <w:r w:rsidRPr="00C314F9">
        <w:rPr>
          <w:rFonts w:cs="Arial"/>
          <w:i/>
          <w:iCs/>
          <w:sz w:val="24"/>
          <w:szCs w:val="24"/>
        </w:rPr>
        <w:t>Saudi Arabia</w:t>
      </w:r>
    </w:p>
    <w:p w14:paraId="5EF12402" w14:textId="476F0363" w:rsidR="008078FA" w:rsidRPr="0048391B" w:rsidRDefault="008078FA" w:rsidP="008078FA">
      <w:pPr>
        <w:spacing w:after="0" w:line="480" w:lineRule="auto"/>
        <w:ind w:firstLine="720"/>
        <w:jc w:val="both"/>
        <w:rPr>
          <w:rFonts w:cs="Arial"/>
          <w:sz w:val="24"/>
          <w:szCs w:val="24"/>
        </w:rPr>
      </w:pPr>
      <w:r w:rsidRPr="00C314F9">
        <w:rPr>
          <w:rFonts w:cs="Arial"/>
          <w:sz w:val="24"/>
          <w:szCs w:val="24"/>
        </w:rPr>
        <w:t>Saudi Arabia has long had a very limited space for dissent. The issue of Palestine has been one of the few topic areas in which Saudi citizens can mobilize, with the state’s acquiescence. Saudis have a history of</w:t>
      </w:r>
      <w:r w:rsidRPr="0048391B">
        <w:rPr>
          <w:rFonts w:cs="Arial"/>
          <w:sz w:val="24"/>
          <w:szCs w:val="24"/>
        </w:rPr>
        <w:t xml:space="preserve"> protest in support of the Palestinian cause, beginning as early as the 1920s.</w:t>
      </w:r>
      <w:r w:rsidRPr="0048391B">
        <w:rPr>
          <w:rStyle w:val="FootnoteReference"/>
          <w:rFonts w:cs="Arial"/>
          <w:sz w:val="24"/>
          <w:szCs w:val="24"/>
        </w:rPr>
        <w:footnoteReference w:id="78"/>
      </w:r>
      <w:r w:rsidRPr="0048391B">
        <w:rPr>
          <w:rFonts w:cs="Arial"/>
          <w:sz w:val="24"/>
          <w:szCs w:val="24"/>
        </w:rPr>
        <w:t xml:space="preserve"> This continued throughout the 1930’s, in support of the Arab revolt in Palestine and in opposition to the partition of the country. The Palestinian cause also spurred the creation of Saudi “popular action committees,” in order to </w:t>
      </w:r>
      <w:r>
        <w:rPr>
          <w:rFonts w:cs="Arial"/>
          <w:sz w:val="24"/>
          <w:szCs w:val="24"/>
        </w:rPr>
        <w:t xml:space="preserve">gather </w:t>
      </w:r>
      <w:r w:rsidRPr="0048391B">
        <w:rPr>
          <w:rFonts w:cs="Arial"/>
          <w:sz w:val="24"/>
          <w:szCs w:val="24"/>
        </w:rPr>
        <w:t xml:space="preserve">financial support </w:t>
      </w:r>
      <w:r>
        <w:rPr>
          <w:rFonts w:cs="Arial"/>
          <w:sz w:val="24"/>
          <w:szCs w:val="24"/>
        </w:rPr>
        <w:t xml:space="preserve">from </w:t>
      </w:r>
      <w:r w:rsidRPr="0048391B">
        <w:rPr>
          <w:rFonts w:cs="Arial"/>
          <w:sz w:val="24"/>
          <w:szCs w:val="24"/>
        </w:rPr>
        <w:t>within the kingdom.</w:t>
      </w:r>
      <w:r w:rsidRPr="0048391B">
        <w:rPr>
          <w:rStyle w:val="FootnoteReference"/>
          <w:rFonts w:cs="Arial"/>
          <w:sz w:val="24"/>
          <w:szCs w:val="24"/>
        </w:rPr>
        <w:footnoteReference w:id="79"/>
      </w:r>
      <w:r w:rsidRPr="0048391B">
        <w:rPr>
          <w:rFonts w:cs="Arial"/>
          <w:sz w:val="24"/>
          <w:szCs w:val="24"/>
        </w:rPr>
        <w:t xml:space="preserve"> The current king, Salman</w:t>
      </w:r>
      <w:r w:rsidR="005E103E">
        <w:rPr>
          <w:rFonts w:cs="Arial"/>
          <w:sz w:val="24"/>
          <w:szCs w:val="24"/>
        </w:rPr>
        <w:t xml:space="preserve"> bin Abdulaziz Al Saud</w:t>
      </w:r>
      <w:r w:rsidRPr="0048391B">
        <w:rPr>
          <w:rFonts w:cs="Arial"/>
          <w:sz w:val="24"/>
          <w:szCs w:val="24"/>
        </w:rPr>
        <w:t>, personally oversaw the fundraising committee for Palestine within the Saudi government during his time as emir.</w:t>
      </w:r>
      <w:r w:rsidRPr="0048391B">
        <w:rPr>
          <w:rStyle w:val="FootnoteReference"/>
          <w:rFonts w:cs="Arial"/>
          <w:sz w:val="24"/>
          <w:szCs w:val="24"/>
        </w:rPr>
        <w:footnoteReference w:id="80"/>
      </w:r>
      <w:r w:rsidRPr="0048391B">
        <w:rPr>
          <w:rFonts w:cs="Arial"/>
          <w:sz w:val="24"/>
          <w:szCs w:val="24"/>
        </w:rPr>
        <w:t xml:space="preserve"> </w:t>
      </w:r>
    </w:p>
    <w:p w14:paraId="63FF3D43" w14:textId="195B1EF4" w:rsidR="008078FA" w:rsidRPr="0048391B" w:rsidRDefault="008078FA" w:rsidP="008078FA">
      <w:pPr>
        <w:spacing w:after="0" w:line="480" w:lineRule="auto"/>
        <w:ind w:firstLine="720"/>
        <w:jc w:val="both"/>
        <w:rPr>
          <w:rFonts w:cs="Arial"/>
          <w:sz w:val="24"/>
          <w:szCs w:val="24"/>
        </w:rPr>
      </w:pPr>
      <w:r w:rsidRPr="0048391B">
        <w:rPr>
          <w:rFonts w:cs="Arial"/>
          <w:sz w:val="24"/>
          <w:szCs w:val="24"/>
        </w:rPr>
        <w:lastRenderedPageBreak/>
        <w:t xml:space="preserve">Evidence of pro-Palestinian sentiment among Saudi citizens is also present </w:t>
      </w:r>
      <w:r>
        <w:rPr>
          <w:rFonts w:cs="Arial"/>
          <w:sz w:val="24"/>
          <w:szCs w:val="24"/>
        </w:rPr>
        <w:t xml:space="preserve">more recently. </w:t>
      </w:r>
      <w:r w:rsidRPr="0048391B">
        <w:rPr>
          <w:rFonts w:cs="Arial"/>
          <w:sz w:val="24"/>
          <w:szCs w:val="24"/>
        </w:rPr>
        <w:t>Saudis broke taboos for the sake of the Palestinian cause, going so far as to stage a protest in solidarity with Gaza during the Israeli attack of 2008.</w:t>
      </w:r>
      <w:r w:rsidRPr="0048391B">
        <w:rPr>
          <w:rStyle w:val="FootnoteReference"/>
          <w:rFonts w:cs="Arial"/>
          <w:sz w:val="24"/>
          <w:szCs w:val="24"/>
        </w:rPr>
        <w:footnoteReference w:id="81"/>
      </w:r>
      <w:r w:rsidRPr="0048391B">
        <w:rPr>
          <w:rFonts w:cs="Arial"/>
          <w:sz w:val="24"/>
          <w:szCs w:val="24"/>
        </w:rPr>
        <w:t xml:space="preserve"> After the Arab Spring, there was a </w:t>
      </w:r>
      <w:r>
        <w:rPr>
          <w:rFonts w:cs="Arial"/>
          <w:sz w:val="24"/>
          <w:szCs w:val="24"/>
        </w:rPr>
        <w:t>proliferation</w:t>
      </w:r>
      <w:r w:rsidRPr="0048391B">
        <w:rPr>
          <w:rFonts w:cs="Arial"/>
          <w:sz w:val="24"/>
          <w:szCs w:val="24"/>
        </w:rPr>
        <w:t xml:space="preserve"> of organizations, many with a pro-Palestine outlook</w:t>
      </w:r>
      <w:r>
        <w:rPr>
          <w:rFonts w:cs="Arial"/>
          <w:sz w:val="24"/>
          <w:szCs w:val="24"/>
        </w:rPr>
        <w:t xml:space="preserve">, such as </w:t>
      </w:r>
      <w:r w:rsidRPr="007D34D1">
        <w:rPr>
          <w:rFonts w:cs="Arial"/>
          <w:i/>
          <w:iCs/>
          <w:sz w:val="24"/>
          <w:szCs w:val="24"/>
        </w:rPr>
        <w:t>Multaqa Altawaasul</w:t>
      </w:r>
      <w:r w:rsidRPr="0048391B">
        <w:rPr>
          <w:rFonts w:cs="Arial"/>
          <w:sz w:val="24"/>
          <w:szCs w:val="24"/>
        </w:rPr>
        <w:t xml:space="preserve"> (Communication Forum). Saudi activists were </w:t>
      </w:r>
      <w:r w:rsidR="00BA398F">
        <w:rPr>
          <w:rFonts w:cs="Arial"/>
          <w:sz w:val="24"/>
          <w:szCs w:val="24"/>
        </w:rPr>
        <w:t>additionally the</w:t>
      </w:r>
      <w:r w:rsidRPr="0048391B">
        <w:rPr>
          <w:rFonts w:cs="Arial"/>
          <w:sz w:val="24"/>
          <w:szCs w:val="24"/>
        </w:rPr>
        <w:t xml:space="preserve"> main organizing force, and the largest showing, in the pan-Gulf “Youth Renaissance Forum,” which brought together activists to discuss possible democratic reforms in their region.  The Palestinian cause was featured heavily in their discussions. </w:t>
      </w:r>
    </w:p>
    <w:p w14:paraId="51DE19B1" w14:textId="77777777" w:rsidR="008078FA" w:rsidRPr="0048391B" w:rsidRDefault="008078FA" w:rsidP="008078FA">
      <w:pPr>
        <w:spacing w:after="0" w:line="480" w:lineRule="auto"/>
        <w:ind w:firstLine="720"/>
        <w:jc w:val="both"/>
        <w:rPr>
          <w:rFonts w:cs="Arial"/>
          <w:sz w:val="24"/>
          <w:szCs w:val="24"/>
        </w:rPr>
      </w:pPr>
      <w:r w:rsidRPr="0048391B">
        <w:rPr>
          <w:rFonts w:cs="Arial"/>
          <w:sz w:val="24"/>
          <w:szCs w:val="24"/>
        </w:rPr>
        <w:t xml:space="preserve">Moreover, polling provides further evidence of the space for pro-Palestinian sentiment in Saudi Arabia. </w:t>
      </w:r>
      <w:r>
        <w:rPr>
          <w:rFonts w:cs="Arial"/>
          <w:sz w:val="24"/>
          <w:szCs w:val="24"/>
        </w:rPr>
        <w:t xml:space="preserve">Results </w:t>
      </w:r>
      <w:r w:rsidRPr="0048391B">
        <w:rPr>
          <w:rFonts w:cs="Arial"/>
          <w:sz w:val="24"/>
          <w:szCs w:val="24"/>
        </w:rPr>
        <w:t>of the Arab Opinion Index (2019-2020)</w:t>
      </w:r>
      <w:r>
        <w:rPr>
          <w:rFonts w:cs="Arial"/>
          <w:sz w:val="24"/>
          <w:szCs w:val="24"/>
        </w:rPr>
        <w:t xml:space="preserve"> show how, when </w:t>
      </w:r>
      <w:r w:rsidRPr="0048391B">
        <w:rPr>
          <w:rFonts w:cs="Arial"/>
          <w:sz w:val="24"/>
          <w:szCs w:val="24"/>
        </w:rPr>
        <w:t>asked whether they agreed with the sentiment that “the Palestinian cause is a cause for all Arabs, and not just Palestinians alone</w:t>
      </w:r>
      <w:r>
        <w:rPr>
          <w:rFonts w:cs="Arial"/>
          <w:sz w:val="24"/>
          <w:szCs w:val="24"/>
        </w:rPr>
        <w:t>,</w:t>
      </w:r>
      <w:r w:rsidRPr="0048391B">
        <w:rPr>
          <w:rFonts w:cs="Arial"/>
          <w:sz w:val="24"/>
          <w:szCs w:val="24"/>
        </w:rPr>
        <w:t xml:space="preserve">” </w:t>
      </w:r>
      <w:r>
        <w:rPr>
          <w:rFonts w:cs="Arial"/>
          <w:sz w:val="24"/>
          <w:szCs w:val="24"/>
        </w:rPr>
        <w:t>a</w:t>
      </w:r>
      <w:r w:rsidRPr="0048391B">
        <w:rPr>
          <w:rFonts w:cs="Arial"/>
          <w:sz w:val="24"/>
          <w:szCs w:val="24"/>
        </w:rPr>
        <w:t xml:space="preserve"> vast majority</w:t>
      </w:r>
      <w:r>
        <w:rPr>
          <w:rFonts w:cs="Arial"/>
          <w:sz w:val="24"/>
          <w:szCs w:val="24"/>
        </w:rPr>
        <w:t xml:space="preserve"> of Saudis</w:t>
      </w:r>
      <w:r w:rsidRPr="0048391B">
        <w:rPr>
          <w:rFonts w:cs="Arial"/>
          <w:sz w:val="24"/>
          <w:szCs w:val="24"/>
        </w:rPr>
        <w:t xml:space="preserve"> - 89% of respondents - agreed. Similarly, when asked about whether they supported their government officially recognizing the state of Israel, </w:t>
      </w:r>
      <w:r>
        <w:rPr>
          <w:rFonts w:cs="Arial"/>
          <w:sz w:val="24"/>
          <w:szCs w:val="24"/>
        </w:rPr>
        <w:t xml:space="preserve">only </w:t>
      </w:r>
      <w:r w:rsidRPr="0048391B">
        <w:rPr>
          <w:rFonts w:cs="Arial"/>
          <w:sz w:val="24"/>
          <w:szCs w:val="24"/>
        </w:rPr>
        <w:t xml:space="preserve">6% of Saudis </w:t>
      </w:r>
      <w:r>
        <w:rPr>
          <w:rFonts w:cs="Arial"/>
          <w:sz w:val="24"/>
          <w:szCs w:val="24"/>
        </w:rPr>
        <w:t>agreed</w:t>
      </w:r>
      <w:r w:rsidRPr="0048391B">
        <w:rPr>
          <w:rFonts w:cs="Arial"/>
          <w:sz w:val="24"/>
          <w:szCs w:val="24"/>
        </w:rPr>
        <w:t>.</w:t>
      </w:r>
      <w:r w:rsidRPr="0048391B">
        <w:rPr>
          <w:rStyle w:val="FootnoteReference"/>
          <w:rFonts w:cs="Arial"/>
          <w:sz w:val="24"/>
          <w:szCs w:val="24"/>
        </w:rPr>
        <w:footnoteReference w:id="82"/>
      </w:r>
      <w:r w:rsidRPr="0048391B">
        <w:rPr>
          <w:rFonts w:cs="Arial"/>
          <w:sz w:val="24"/>
          <w:szCs w:val="24"/>
        </w:rPr>
        <w:t xml:space="preserve"> Pro-Palestinian sentiment in Saudi Arabia has been consistent since the beginning of polling efforts in 2011</w:t>
      </w:r>
      <w:r>
        <w:rPr>
          <w:rFonts w:cs="Arial"/>
          <w:sz w:val="24"/>
          <w:szCs w:val="24"/>
        </w:rPr>
        <w:t>, and</w:t>
      </w:r>
      <w:r w:rsidRPr="0048391B">
        <w:rPr>
          <w:rFonts w:cs="Arial"/>
          <w:sz w:val="24"/>
          <w:szCs w:val="24"/>
        </w:rPr>
        <w:t xml:space="preserve"> there is a high level of public disagreement with normalization.</w:t>
      </w:r>
      <w:r w:rsidRPr="0048391B">
        <w:rPr>
          <w:rStyle w:val="FootnoteReference"/>
          <w:rFonts w:cs="Arial"/>
          <w:sz w:val="24"/>
          <w:szCs w:val="24"/>
        </w:rPr>
        <w:footnoteReference w:id="83"/>
      </w:r>
    </w:p>
    <w:p w14:paraId="508C79C9" w14:textId="77777777" w:rsidR="008078FA" w:rsidRPr="0048391B" w:rsidRDefault="008078FA" w:rsidP="008078FA">
      <w:pPr>
        <w:spacing w:after="0" w:line="480" w:lineRule="auto"/>
        <w:ind w:firstLine="720"/>
        <w:jc w:val="both"/>
        <w:rPr>
          <w:rFonts w:cs="Arial"/>
          <w:sz w:val="24"/>
          <w:szCs w:val="24"/>
        </w:rPr>
      </w:pPr>
      <w:r w:rsidRPr="0048391B">
        <w:rPr>
          <w:rFonts w:cs="Arial"/>
          <w:sz w:val="24"/>
          <w:szCs w:val="24"/>
        </w:rPr>
        <w:t>Palestine became less of a priority to the Saudi regime not because society lost interest, but because of greater policy alignment with the US.</w:t>
      </w:r>
      <w:r w:rsidRPr="0048391B">
        <w:rPr>
          <w:rStyle w:val="FootnoteReference"/>
          <w:rFonts w:cs="Arial"/>
          <w:sz w:val="24"/>
          <w:szCs w:val="24"/>
        </w:rPr>
        <w:footnoteReference w:id="84"/>
      </w:r>
      <w:r w:rsidRPr="0048391B">
        <w:rPr>
          <w:rFonts w:cs="Arial"/>
          <w:sz w:val="24"/>
          <w:szCs w:val="24"/>
        </w:rPr>
        <w:t xml:space="preserve"> Alongside that came “under-the-table” </w:t>
      </w:r>
      <w:r w:rsidRPr="0048391B">
        <w:rPr>
          <w:rFonts w:cs="Arial"/>
          <w:sz w:val="24"/>
          <w:szCs w:val="24"/>
        </w:rPr>
        <w:lastRenderedPageBreak/>
        <w:t xml:space="preserve">normalization with Israel, as the Saudi government </w:t>
      </w:r>
      <w:r>
        <w:rPr>
          <w:rFonts w:cs="Arial"/>
          <w:sz w:val="24"/>
          <w:szCs w:val="24"/>
        </w:rPr>
        <w:t>became</w:t>
      </w:r>
      <w:r w:rsidRPr="0048391B">
        <w:rPr>
          <w:rFonts w:cs="Arial"/>
          <w:sz w:val="24"/>
          <w:szCs w:val="24"/>
        </w:rPr>
        <w:t xml:space="preserve"> eager to demonstrate it was not supportive of extremism</w:t>
      </w:r>
      <w:r>
        <w:rPr>
          <w:rFonts w:cs="Arial"/>
          <w:sz w:val="24"/>
          <w:szCs w:val="24"/>
        </w:rPr>
        <w:t xml:space="preserve"> - particularly after 9/11</w:t>
      </w:r>
      <w:r w:rsidRPr="0048391B">
        <w:rPr>
          <w:rFonts w:cs="Arial"/>
          <w:sz w:val="24"/>
          <w:szCs w:val="24"/>
        </w:rPr>
        <w:t>.</w:t>
      </w:r>
      <w:r w:rsidRPr="0048391B">
        <w:rPr>
          <w:rStyle w:val="FootnoteReference"/>
          <w:rFonts w:cs="Arial"/>
          <w:sz w:val="24"/>
          <w:szCs w:val="24"/>
        </w:rPr>
        <w:footnoteReference w:id="85"/>
      </w:r>
      <w:r w:rsidRPr="0048391B">
        <w:rPr>
          <w:rFonts w:cs="Arial"/>
          <w:sz w:val="24"/>
          <w:szCs w:val="24"/>
        </w:rPr>
        <w:t xml:space="preserve"> Not only were charity groups more tightly controlled, but many youth organizers who mobilized around Palestine were silenced.</w:t>
      </w:r>
      <w:r w:rsidRPr="0048391B">
        <w:rPr>
          <w:rStyle w:val="FootnoteReference"/>
          <w:rFonts w:cs="Arial"/>
          <w:sz w:val="24"/>
          <w:szCs w:val="24"/>
        </w:rPr>
        <w:footnoteReference w:id="86"/>
      </w:r>
      <w:r w:rsidRPr="0048391B">
        <w:rPr>
          <w:rFonts w:cs="Arial"/>
          <w:sz w:val="24"/>
          <w:szCs w:val="24"/>
        </w:rPr>
        <w:t xml:space="preserve"> </w:t>
      </w:r>
    </w:p>
    <w:p w14:paraId="3828EFBC" w14:textId="77777777" w:rsidR="008078FA" w:rsidRPr="0048391B" w:rsidRDefault="008078FA" w:rsidP="008078FA">
      <w:pPr>
        <w:spacing w:after="0" w:line="480" w:lineRule="auto"/>
        <w:ind w:firstLine="720"/>
        <w:jc w:val="both"/>
        <w:rPr>
          <w:rFonts w:cs="Arial"/>
          <w:sz w:val="24"/>
          <w:szCs w:val="24"/>
        </w:rPr>
      </w:pPr>
      <w:r w:rsidRPr="0048391B">
        <w:rPr>
          <w:rFonts w:cs="Arial"/>
          <w:sz w:val="24"/>
          <w:szCs w:val="24"/>
        </w:rPr>
        <w:t xml:space="preserve">This dynamic accelerated after Mohammad Bin Salman (MBS) became Crown Prince. Following his consolidation of power, civil society organizers of all political persuasions have been targeted, and </w:t>
      </w:r>
      <w:r>
        <w:rPr>
          <w:rFonts w:cs="Arial"/>
          <w:sz w:val="24"/>
          <w:szCs w:val="24"/>
        </w:rPr>
        <w:t>arrested,</w:t>
      </w:r>
      <w:r w:rsidRPr="0048391B">
        <w:rPr>
          <w:rFonts w:cs="Arial"/>
          <w:sz w:val="24"/>
          <w:szCs w:val="24"/>
        </w:rPr>
        <w:t xml:space="preserve"> exiled</w:t>
      </w:r>
      <w:r>
        <w:rPr>
          <w:rFonts w:cs="Arial"/>
          <w:sz w:val="24"/>
          <w:szCs w:val="24"/>
        </w:rPr>
        <w:t>,</w:t>
      </w:r>
      <w:r w:rsidRPr="0048391B">
        <w:rPr>
          <w:rFonts w:cs="Arial"/>
          <w:sz w:val="24"/>
          <w:szCs w:val="24"/>
        </w:rPr>
        <w:t xml:space="preserve"> or imprisoned.</w:t>
      </w:r>
      <w:r w:rsidRPr="0048391B">
        <w:rPr>
          <w:rStyle w:val="FootnoteReference"/>
          <w:rFonts w:cs="Arial"/>
          <w:sz w:val="24"/>
          <w:szCs w:val="24"/>
        </w:rPr>
        <w:footnoteReference w:id="87"/>
      </w:r>
      <w:r w:rsidRPr="0048391B">
        <w:rPr>
          <w:rFonts w:cs="Arial"/>
          <w:sz w:val="24"/>
          <w:szCs w:val="24"/>
        </w:rPr>
        <w:t xml:space="preserve"> MBS</w:t>
      </w:r>
      <w:r>
        <w:rPr>
          <w:rFonts w:cs="Arial"/>
          <w:sz w:val="24"/>
          <w:szCs w:val="24"/>
        </w:rPr>
        <w:t xml:space="preserve"> and his government</w:t>
      </w:r>
      <w:r w:rsidRPr="0048391B">
        <w:rPr>
          <w:rFonts w:cs="Arial"/>
          <w:sz w:val="24"/>
          <w:szCs w:val="24"/>
        </w:rPr>
        <w:t xml:space="preserve"> believe that a “benevolent autocracy” is necessary to bring social liberalism to Saudi Arabia, and </w:t>
      </w:r>
      <w:r>
        <w:rPr>
          <w:rFonts w:cs="Arial"/>
          <w:sz w:val="24"/>
          <w:szCs w:val="24"/>
        </w:rPr>
        <w:t>the country</w:t>
      </w:r>
      <w:r w:rsidRPr="0048391B">
        <w:rPr>
          <w:rFonts w:cs="Arial"/>
          <w:sz w:val="24"/>
          <w:szCs w:val="24"/>
        </w:rPr>
        <w:t xml:space="preserve"> into the modern era.</w:t>
      </w:r>
      <w:r w:rsidRPr="0048391B">
        <w:rPr>
          <w:rStyle w:val="FootnoteReference"/>
          <w:rFonts w:cs="Arial"/>
          <w:sz w:val="24"/>
          <w:szCs w:val="24"/>
        </w:rPr>
        <w:footnoteReference w:id="88"/>
      </w:r>
      <w:r w:rsidRPr="0048391B">
        <w:rPr>
          <w:rFonts w:cs="Arial"/>
          <w:sz w:val="24"/>
          <w:szCs w:val="24"/>
        </w:rPr>
        <w:t xml:space="preserve"> Individuals close to the regime </w:t>
      </w:r>
      <w:r>
        <w:rPr>
          <w:rFonts w:cs="Arial"/>
          <w:sz w:val="24"/>
          <w:szCs w:val="24"/>
        </w:rPr>
        <w:t>have compared</w:t>
      </w:r>
      <w:r w:rsidRPr="0048391B">
        <w:rPr>
          <w:rFonts w:cs="Arial"/>
          <w:sz w:val="24"/>
          <w:szCs w:val="24"/>
        </w:rPr>
        <w:t xml:space="preserve"> MBS to Bismarck</w:t>
      </w:r>
      <w:r>
        <w:rPr>
          <w:rFonts w:cs="Arial"/>
          <w:sz w:val="24"/>
          <w:szCs w:val="24"/>
        </w:rPr>
        <w:t>: a</w:t>
      </w:r>
      <w:r w:rsidRPr="0048391B">
        <w:rPr>
          <w:rFonts w:cs="Arial"/>
          <w:sz w:val="24"/>
          <w:szCs w:val="24"/>
        </w:rPr>
        <w:t xml:space="preserve"> leader who had to make difficult but necessary decisions, including extreme repression to improve Saudi Arabia’s stagnant culture</w:t>
      </w:r>
      <w:r w:rsidRPr="0048391B">
        <w:rPr>
          <w:rStyle w:val="FootnoteReference"/>
          <w:rFonts w:cs="Arial"/>
          <w:sz w:val="24"/>
          <w:szCs w:val="24"/>
        </w:rPr>
        <w:footnoteReference w:id="89"/>
      </w:r>
      <w:r w:rsidRPr="0048391B">
        <w:rPr>
          <w:rFonts w:cs="Arial"/>
          <w:sz w:val="24"/>
          <w:szCs w:val="24"/>
        </w:rPr>
        <w:t xml:space="preserve"> </w:t>
      </w:r>
      <w:r>
        <w:rPr>
          <w:rFonts w:cs="Arial"/>
          <w:sz w:val="24"/>
          <w:szCs w:val="24"/>
        </w:rPr>
        <w:t>and defend it from forces of</w:t>
      </w:r>
      <w:r w:rsidRPr="0048391B">
        <w:rPr>
          <w:rFonts w:cs="Arial"/>
          <w:sz w:val="24"/>
          <w:szCs w:val="24"/>
        </w:rPr>
        <w:t xml:space="preserve"> </w:t>
      </w:r>
      <w:r>
        <w:rPr>
          <w:rFonts w:cs="Arial"/>
          <w:sz w:val="24"/>
          <w:szCs w:val="24"/>
        </w:rPr>
        <w:t>political Islam -</w:t>
      </w:r>
      <w:r w:rsidRPr="0048391B">
        <w:rPr>
          <w:rFonts w:cs="Arial"/>
          <w:sz w:val="24"/>
          <w:szCs w:val="24"/>
        </w:rPr>
        <w:t xml:space="preserve"> a</w:t>
      </w:r>
      <w:r>
        <w:rPr>
          <w:rFonts w:cs="Arial"/>
          <w:sz w:val="24"/>
          <w:szCs w:val="24"/>
        </w:rPr>
        <w:t>n</w:t>
      </w:r>
      <w:r w:rsidRPr="0048391B">
        <w:rPr>
          <w:rFonts w:cs="Arial"/>
          <w:sz w:val="24"/>
          <w:szCs w:val="24"/>
        </w:rPr>
        <w:t xml:space="preserve"> </w:t>
      </w:r>
      <w:r>
        <w:rPr>
          <w:rFonts w:cs="Arial"/>
          <w:sz w:val="24"/>
          <w:szCs w:val="24"/>
        </w:rPr>
        <w:t>enemy</w:t>
      </w:r>
      <w:r w:rsidRPr="0048391B">
        <w:rPr>
          <w:rFonts w:cs="Arial"/>
          <w:sz w:val="24"/>
          <w:szCs w:val="24"/>
        </w:rPr>
        <w:t xml:space="preserve"> of Saudi</w:t>
      </w:r>
      <w:r>
        <w:rPr>
          <w:rFonts w:cs="Arial"/>
          <w:sz w:val="24"/>
          <w:szCs w:val="24"/>
        </w:rPr>
        <w:t>’s</w:t>
      </w:r>
      <w:r w:rsidRPr="0048391B">
        <w:rPr>
          <w:rFonts w:cs="Arial"/>
          <w:sz w:val="24"/>
          <w:szCs w:val="24"/>
        </w:rPr>
        <w:t xml:space="preserve"> new leadership and Israel alike.</w:t>
      </w:r>
      <w:r w:rsidRPr="0048391B">
        <w:rPr>
          <w:rStyle w:val="FootnoteReference"/>
          <w:rFonts w:cs="Arial"/>
          <w:sz w:val="24"/>
          <w:szCs w:val="24"/>
        </w:rPr>
        <w:footnoteReference w:id="90"/>
      </w:r>
      <w:r w:rsidRPr="0048391B">
        <w:rPr>
          <w:rFonts w:cs="Arial"/>
          <w:sz w:val="24"/>
          <w:szCs w:val="24"/>
        </w:rPr>
        <w:t xml:space="preserve"> </w:t>
      </w:r>
    </w:p>
    <w:p w14:paraId="1581BF5D" w14:textId="77777777" w:rsidR="008078FA" w:rsidRPr="0048391B" w:rsidRDefault="008078FA" w:rsidP="008078FA">
      <w:pPr>
        <w:spacing w:after="0" w:line="480" w:lineRule="auto"/>
        <w:ind w:firstLine="720"/>
        <w:jc w:val="both"/>
        <w:rPr>
          <w:rFonts w:cs="Arial"/>
          <w:sz w:val="24"/>
          <w:szCs w:val="24"/>
        </w:rPr>
      </w:pPr>
      <w:r w:rsidRPr="0048391B">
        <w:rPr>
          <w:rFonts w:cs="Arial"/>
          <w:sz w:val="24"/>
          <w:szCs w:val="24"/>
        </w:rPr>
        <w:t xml:space="preserve">Thus, one aspect of this political and cultural advancement was an increased alignment with Israel. The two countries had already established some degree of military and intelligence coordination, as described above, but this </w:t>
      </w:r>
      <w:r>
        <w:rPr>
          <w:rFonts w:cs="Arial"/>
          <w:sz w:val="24"/>
          <w:szCs w:val="24"/>
        </w:rPr>
        <w:t xml:space="preserve">only </w:t>
      </w:r>
      <w:r w:rsidRPr="0048391B">
        <w:rPr>
          <w:rFonts w:cs="Arial"/>
          <w:sz w:val="24"/>
          <w:szCs w:val="24"/>
        </w:rPr>
        <w:t xml:space="preserve">accelerated. </w:t>
      </w:r>
      <w:r>
        <w:rPr>
          <w:rFonts w:cs="Arial"/>
          <w:sz w:val="24"/>
          <w:szCs w:val="24"/>
        </w:rPr>
        <w:t>MBS</w:t>
      </w:r>
      <w:r w:rsidRPr="0048391B">
        <w:rPr>
          <w:rFonts w:cs="Arial"/>
          <w:sz w:val="24"/>
          <w:szCs w:val="24"/>
        </w:rPr>
        <w:t xml:space="preserve"> signaled his willingness to </w:t>
      </w:r>
      <w:r w:rsidRPr="0048391B">
        <w:rPr>
          <w:rFonts w:cs="Arial"/>
          <w:sz w:val="24"/>
          <w:szCs w:val="24"/>
        </w:rPr>
        <w:lastRenderedPageBreak/>
        <w:t>compromise on key issues related to the Arab-Israeli conflict,</w:t>
      </w:r>
      <w:r w:rsidRPr="0048391B">
        <w:rPr>
          <w:rStyle w:val="FootnoteReference"/>
          <w:rFonts w:cs="Arial"/>
          <w:sz w:val="24"/>
          <w:szCs w:val="24"/>
        </w:rPr>
        <w:footnoteReference w:id="91"/>
      </w:r>
      <w:r w:rsidRPr="0048391B">
        <w:rPr>
          <w:rFonts w:cs="Arial"/>
          <w:sz w:val="24"/>
          <w:szCs w:val="24"/>
        </w:rPr>
        <w:t xml:space="preserve"> and collaborate with Israel on development projects such as </w:t>
      </w:r>
      <w:r>
        <w:rPr>
          <w:rFonts w:cs="Arial"/>
          <w:sz w:val="24"/>
          <w:szCs w:val="24"/>
        </w:rPr>
        <w:t xml:space="preserve">the </w:t>
      </w:r>
      <w:r w:rsidRPr="0048391B">
        <w:rPr>
          <w:rFonts w:cs="Arial"/>
          <w:sz w:val="24"/>
          <w:szCs w:val="24"/>
        </w:rPr>
        <w:t>new “smart city” on the Red Sea.</w:t>
      </w:r>
      <w:r w:rsidRPr="0048391B">
        <w:rPr>
          <w:rStyle w:val="FootnoteReference"/>
          <w:rFonts w:cs="Arial"/>
          <w:sz w:val="24"/>
          <w:szCs w:val="24"/>
        </w:rPr>
        <w:footnoteReference w:id="92"/>
      </w:r>
      <w:r w:rsidRPr="0048391B">
        <w:rPr>
          <w:rFonts w:cs="Arial"/>
          <w:sz w:val="24"/>
          <w:szCs w:val="24"/>
        </w:rPr>
        <w:t xml:space="preserve"> While these linkages fall short of an actual peace agreement, they are often couched in terms of improving “regional stability” and facilitating “peace.”</w:t>
      </w:r>
      <w:r w:rsidRPr="0048391B">
        <w:rPr>
          <w:rStyle w:val="FootnoteReference"/>
          <w:rFonts w:cs="Arial"/>
          <w:sz w:val="24"/>
          <w:szCs w:val="24"/>
        </w:rPr>
        <w:footnoteReference w:id="93"/>
      </w:r>
      <w:r w:rsidRPr="0048391B">
        <w:rPr>
          <w:rFonts w:cs="Arial"/>
          <w:sz w:val="24"/>
          <w:szCs w:val="24"/>
        </w:rPr>
        <w:t xml:space="preserve"> </w:t>
      </w:r>
    </w:p>
    <w:p w14:paraId="2D9711E0" w14:textId="47F7D34A" w:rsidR="008078FA" w:rsidRPr="0048391B" w:rsidRDefault="008078FA" w:rsidP="008078FA">
      <w:pPr>
        <w:spacing w:after="0" w:line="480" w:lineRule="auto"/>
        <w:ind w:firstLine="720"/>
        <w:jc w:val="both"/>
        <w:rPr>
          <w:rFonts w:cs="Arial"/>
          <w:sz w:val="24"/>
          <w:szCs w:val="24"/>
        </w:rPr>
      </w:pPr>
      <w:r w:rsidRPr="0048391B">
        <w:rPr>
          <w:rFonts w:cs="Arial"/>
          <w:sz w:val="24"/>
          <w:szCs w:val="24"/>
        </w:rPr>
        <w:t xml:space="preserve">Increased ties with Israel </w:t>
      </w:r>
      <w:r w:rsidR="00237215">
        <w:rPr>
          <w:rFonts w:cs="Arial"/>
          <w:sz w:val="24"/>
          <w:szCs w:val="24"/>
        </w:rPr>
        <w:t>facilitated</w:t>
      </w:r>
      <w:r w:rsidRPr="0048391B">
        <w:rPr>
          <w:rFonts w:cs="Arial"/>
          <w:sz w:val="24"/>
          <w:szCs w:val="24"/>
        </w:rPr>
        <w:t xml:space="preserve"> </w:t>
      </w:r>
      <w:r w:rsidRPr="0048391B">
        <w:rPr>
          <w:rFonts w:cs="Arial"/>
          <w:b/>
          <w:bCs/>
          <w:sz w:val="24"/>
          <w:szCs w:val="24"/>
        </w:rPr>
        <w:t xml:space="preserve">increased </w:t>
      </w:r>
      <w:r w:rsidR="00237215">
        <w:rPr>
          <w:rFonts w:cs="Arial"/>
          <w:b/>
          <w:bCs/>
          <w:sz w:val="24"/>
          <w:szCs w:val="24"/>
        </w:rPr>
        <w:t xml:space="preserve">repression </w:t>
      </w:r>
      <w:r w:rsidR="00237215" w:rsidRPr="00237215">
        <w:rPr>
          <w:rFonts w:cs="Arial"/>
          <w:sz w:val="24"/>
          <w:szCs w:val="24"/>
        </w:rPr>
        <w:t>in the Saudi case</w:t>
      </w:r>
      <w:r w:rsidR="00237215">
        <w:rPr>
          <w:rFonts w:cs="Arial"/>
          <w:b/>
          <w:bCs/>
          <w:sz w:val="24"/>
          <w:szCs w:val="24"/>
        </w:rPr>
        <w:t xml:space="preserve"> </w:t>
      </w:r>
      <w:r w:rsidRPr="0048391B">
        <w:rPr>
          <w:rFonts w:cs="Arial"/>
          <w:sz w:val="24"/>
          <w:szCs w:val="24"/>
        </w:rPr>
        <w:t xml:space="preserve">– not just general crackdown on actors with mobilizing capacity, but on individuals and organizations specifically speaking out on Palestine. Since the increased alignment under MBS, activists have heard rumors that </w:t>
      </w:r>
      <w:r>
        <w:rPr>
          <w:rFonts w:cs="Arial"/>
          <w:sz w:val="24"/>
          <w:szCs w:val="24"/>
        </w:rPr>
        <w:t xml:space="preserve">repression of the </w:t>
      </w:r>
      <w:r w:rsidRPr="0048391B">
        <w:rPr>
          <w:rFonts w:cs="Arial"/>
          <w:sz w:val="24"/>
          <w:szCs w:val="24"/>
        </w:rPr>
        <w:t>Palestinian community in Saudi Arabia ha</w:t>
      </w:r>
      <w:r>
        <w:rPr>
          <w:rFonts w:cs="Arial"/>
          <w:sz w:val="24"/>
          <w:szCs w:val="24"/>
        </w:rPr>
        <w:t>s</w:t>
      </w:r>
      <w:r w:rsidRPr="0048391B">
        <w:rPr>
          <w:rFonts w:cs="Arial"/>
          <w:sz w:val="24"/>
          <w:szCs w:val="24"/>
        </w:rPr>
        <w:t xml:space="preserve"> taken place, with many “disappearing” without a trace.</w:t>
      </w:r>
      <w:r w:rsidRPr="0048391B">
        <w:rPr>
          <w:rStyle w:val="FootnoteReference"/>
          <w:rFonts w:cs="Arial"/>
          <w:sz w:val="24"/>
          <w:szCs w:val="24"/>
        </w:rPr>
        <w:footnoteReference w:id="94"/>
      </w:r>
      <w:r w:rsidR="00237215">
        <w:rPr>
          <w:rFonts w:cs="Arial"/>
          <w:sz w:val="24"/>
          <w:szCs w:val="24"/>
        </w:rPr>
        <w:t xml:space="preserve"> A group of Palestinian expats in Saudi Arabia we</w:t>
      </w:r>
      <w:r w:rsidR="00174787">
        <w:rPr>
          <w:rFonts w:cs="Arial"/>
          <w:sz w:val="24"/>
          <w:szCs w:val="24"/>
        </w:rPr>
        <w:t xml:space="preserve">re rounded up in February 2019, </w:t>
      </w:r>
      <w:r w:rsidR="00160B16">
        <w:rPr>
          <w:rFonts w:cs="Arial"/>
          <w:sz w:val="24"/>
          <w:szCs w:val="24"/>
        </w:rPr>
        <w:t>put in political prisons, tortured, and subjected to</w:t>
      </w:r>
      <w:r w:rsidR="00174787">
        <w:rPr>
          <w:rFonts w:cs="Arial"/>
          <w:sz w:val="24"/>
          <w:szCs w:val="24"/>
        </w:rPr>
        <w:t xml:space="preserve"> secret trials with accusations of terrorism</w:t>
      </w:r>
      <w:r w:rsidR="000D13BA">
        <w:rPr>
          <w:rFonts w:cs="Arial"/>
          <w:sz w:val="24"/>
          <w:szCs w:val="24"/>
        </w:rPr>
        <w:t>.</w:t>
      </w:r>
      <w:r w:rsidR="00AE7C06">
        <w:rPr>
          <w:rStyle w:val="FootnoteReference"/>
          <w:rFonts w:cs="Arial"/>
          <w:sz w:val="24"/>
          <w:szCs w:val="24"/>
        </w:rPr>
        <w:footnoteReference w:id="95"/>
      </w:r>
      <w:r w:rsidRPr="0048391B">
        <w:rPr>
          <w:rFonts w:cs="Arial"/>
          <w:sz w:val="24"/>
          <w:szCs w:val="24"/>
        </w:rPr>
        <w:t xml:space="preserve"> </w:t>
      </w:r>
      <w:r>
        <w:rPr>
          <w:rFonts w:cs="Arial"/>
          <w:sz w:val="24"/>
          <w:szCs w:val="24"/>
        </w:rPr>
        <w:t>S</w:t>
      </w:r>
      <w:r w:rsidRPr="0048391B">
        <w:rPr>
          <w:rFonts w:cs="Arial"/>
          <w:sz w:val="24"/>
          <w:szCs w:val="24"/>
        </w:rPr>
        <w:t>urveillance of civil society, and the proliferation of GONGOs, has also increased. Organizing officially as a civil society group has always been arduous, but today the only opportunity for those interested in engaging on social issues is work through GONGOs. Political issues, on the other hand, are now firmly out of the question.</w:t>
      </w:r>
      <w:r w:rsidRPr="0048391B">
        <w:rPr>
          <w:rStyle w:val="FootnoteReference"/>
          <w:rFonts w:cs="Arial"/>
          <w:sz w:val="24"/>
          <w:szCs w:val="24"/>
        </w:rPr>
        <w:footnoteReference w:id="96"/>
      </w:r>
    </w:p>
    <w:p w14:paraId="179595F8" w14:textId="7E46AECD" w:rsidR="008078FA" w:rsidRPr="0048391B" w:rsidRDefault="008078FA" w:rsidP="008078FA">
      <w:pPr>
        <w:spacing w:after="0" w:line="480" w:lineRule="auto"/>
        <w:ind w:firstLine="720"/>
        <w:jc w:val="both"/>
        <w:rPr>
          <w:rFonts w:cs="Arial"/>
          <w:sz w:val="24"/>
          <w:szCs w:val="24"/>
        </w:rPr>
      </w:pPr>
      <w:r w:rsidRPr="0048391B">
        <w:rPr>
          <w:rFonts w:cs="Arial"/>
          <w:sz w:val="24"/>
          <w:szCs w:val="24"/>
        </w:rPr>
        <w:lastRenderedPageBreak/>
        <w:t>With criminalization of dissent, particularly in 2017-2018, the Saudi online sphere has also been severely impacted.</w:t>
      </w:r>
      <w:r w:rsidRPr="0048391B">
        <w:rPr>
          <w:rStyle w:val="FootnoteReference"/>
          <w:rFonts w:cs="Arial"/>
          <w:sz w:val="24"/>
          <w:szCs w:val="24"/>
        </w:rPr>
        <w:footnoteReference w:id="97"/>
      </w:r>
      <w:r w:rsidRPr="0048391B">
        <w:rPr>
          <w:rFonts w:cs="Arial"/>
          <w:sz w:val="24"/>
          <w:szCs w:val="24"/>
        </w:rPr>
        <w:t xml:space="preserve"> One study shows that most discourse on Twitter for instance is indeed driven by a few accounts</w:t>
      </w:r>
      <w:r>
        <w:rPr>
          <w:rFonts w:cs="Arial"/>
          <w:sz w:val="24"/>
          <w:szCs w:val="24"/>
        </w:rPr>
        <w:t>, while those who disagree no longer engaging online</w:t>
      </w:r>
      <w:r w:rsidRPr="0048391B">
        <w:rPr>
          <w:rFonts w:cs="Arial"/>
          <w:sz w:val="24"/>
          <w:szCs w:val="24"/>
        </w:rPr>
        <w:t>.</w:t>
      </w:r>
      <w:r w:rsidRPr="0048391B">
        <w:rPr>
          <w:rStyle w:val="FootnoteReference"/>
          <w:rFonts w:cs="Arial"/>
          <w:sz w:val="24"/>
          <w:szCs w:val="24"/>
        </w:rPr>
        <w:footnoteReference w:id="98"/>
      </w:r>
      <w:r w:rsidRPr="0048391B">
        <w:rPr>
          <w:rFonts w:cs="Arial"/>
          <w:sz w:val="24"/>
          <w:szCs w:val="24"/>
        </w:rPr>
        <w:t xml:space="preserve"> The pro-Palestinian Saudi group – Saudi Against Normalization – has been targeted specifically. This group relied heavily on online spaces to advocate for their claims. They had enough traction with wider society to generate a petition with thousands of names from across the GCC, against Anwar Eshgi – a Saudi general – and his visit to Israel.</w:t>
      </w:r>
      <w:r w:rsidRPr="0048391B">
        <w:rPr>
          <w:rStyle w:val="FootnoteReference"/>
          <w:rFonts w:cs="Arial"/>
          <w:sz w:val="24"/>
          <w:szCs w:val="24"/>
        </w:rPr>
        <w:footnoteReference w:id="99"/>
      </w:r>
      <w:r w:rsidRPr="0048391B">
        <w:rPr>
          <w:rFonts w:cs="Arial"/>
          <w:sz w:val="24"/>
          <w:szCs w:val="24"/>
        </w:rPr>
        <w:t xml:space="preserve"> Many prominent intellectuals worked with the group and expressed their support of its activities.</w:t>
      </w:r>
      <w:r w:rsidRPr="0048391B">
        <w:rPr>
          <w:rStyle w:val="FootnoteReference"/>
          <w:rFonts w:cs="Arial"/>
          <w:sz w:val="24"/>
          <w:szCs w:val="24"/>
        </w:rPr>
        <w:footnoteReference w:id="100"/>
      </w:r>
      <w:r w:rsidRPr="0048391B">
        <w:rPr>
          <w:rFonts w:cs="Arial"/>
          <w:sz w:val="24"/>
          <w:szCs w:val="24"/>
        </w:rPr>
        <w:t xml:space="preserve"> However, following shifts in the Israeli-Saudi relationship</w:t>
      </w:r>
      <w:r>
        <w:rPr>
          <w:rFonts w:cs="Arial"/>
          <w:sz w:val="24"/>
          <w:szCs w:val="24"/>
        </w:rPr>
        <w:t xml:space="preserve"> under MBS</w:t>
      </w:r>
      <w:r w:rsidRPr="0048391B">
        <w:rPr>
          <w:rFonts w:cs="Arial"/>
          <w:sz w:val="24"/>
          <w:szCs w:val="24"/>
        </w:rPr>
        <w:t>, this group no longer functions. The</w:t>
      </w:r>
      <w:r>
        <w:rPr>
          <w:rFonts w:cs="Arial"/>
          <w:sz w:val="24"/>
          <w:szCs w:val="24"/>
        </w:rPr>
        <w:t>ir</w:t>
      </w:r>
      <w:r w:rsidRPr="0048391B">
        <w:rPr>
          <w:rFonts w:cs="Arial"/>
          <w:sz w:val="24"/>
          <w:szCs w:val="24"/>
        </w:rPr>
        <w:t xml:space="preserve"> account has been hacked, and many of its key members have become exiles. </w:t>
      </w:r>
      <w:r>
        <w:rPr>
          <w:rFonts w:cs="Arial"/>
          <w:sz w:val="24"/>
          <w:szCs w:val="24"/>
        </w:rPr>
        <w:t>O</w:t>
      </w:r>
      <w:r w:rsidRPr="0048391B">
        <w:rPr>
          <w:rFonts w:cs="Arial"/>
          <w:sz w:val="24"/>
          <w:szCs w:val="24"/>
        </w:rPr>
        <w:t xml:space="preserve">f the many who were arrested in the 2017-2018 crackdown, </w:t>
      </w:r>
      <w:r>
        <w:rPr>
          <w:rFonts w:cs="Arial"/>
          <w:sz w:val="24"/>
          <w:szCs w:val="24"/>
        </w:rPr>
        <w:t xml:space="preserve">those released </w:t>
      </w:r>
      <w:r w:rsidRPr="0048391B">
        <w:rPr>
          <w:rFonts w:cs="Arial"/>
          <w:sz w:val="24"/>
          <w:szCs w:val="24"/>
        </w:rPr>
        <w:t>had to sign pledges to not engage in activism, and have since taken positions in the private sector or within the state’s own institutions.</w:t>
      </w:r>
      <w:r w:rsidRPr="0048391B">
        <w:rPr>
          <w:rStyle w:val="FootnoteReference"/>
          <w:rFonts w:cs="Arial"/>
          <w:sz w:val="24"/>
          <w:szCs w:val="24"/>
        </w:rPr>
        <w:footnoteReference w:id="101"/>
      </w:r>
      <w:r w:rsidRPr="0048391B">
        <w:rPr>
          <w:rFonts w:cs="Arial"/>
          <w:sz w:val="24"/>
          <w:szCs w:val="24"/>
        </w:rPr>
        <w:t xml:space="preserve"> </w:t>
      </w:r>
    </w:p>
    <w:p w14:paraId="60A70B88" w14:textId="77777777" w:rsidR="008078FA" w:rsidRPr="0048391B" w:rsidRDefault="008078FA" w:rsidP="008078FA">
      <w:pPr>
        <w:spacing w:after="0" w:line="480" w:lineRule="auto"/>
        <w:jc w:val="both"/>
        <w:rPr>
          <w:sz w:val="24"/>
          <w:szCs w:val="24"/>
        </w:rPr>
      </w:pPr>
      <w:r w:rsidRPr="0048391B">
        <w:rPr>
          <w:sz w:val="24"/>
          <w:szCs w:val="24"/>
        </w:rPr>
        <w:tab/>
        <w:t xml:space="preserve">We also see evidence of </w:t>
      </w:r>
      <w:r w:rsidRPr="0048391B">
        <w:rPr>
          <w:b/>
          <w:bCs/>
          <w:sz w:val="24"/>
          <w:szCs w:val="24"/>
        </w:rPr>
        <w:t>fraying social ties</w:t>
      </w:r>
      <w:r w:rsidRPr="0048391B">
        <w:rPr>
          <w:sz w:val="24"/>
          <w:szCs w:val="24"/>
        </w:rPr>
        <w:t xml:space="preserve"> as the relationship between Israel and Saudi Arabia improves. Given that the Saudi regime pursues normalization with Israel under the banner of political and cultural development, those who insist in their opposition to this development </w:t>
      </w:r>
      <w:r w:rsidRPr="0048391B">
        <w:rPr>
          <w:sz w:val="24"/>
          <w:szCs w:val="24"/>
        </w:rPr>
        <w:lastRenderedPageBreak/>
        <w:t>are seen as culturally backward.</w:t>
      </w:r>
      <w:r w:rsidRPr="0048391B">
        <w:rPr>
          <w:rStyle w:val="FootnoteReference"/>
          <w:sz w:val="24"/>
          <w:szCs w:val="24"/>
        </w:rPr>
        <w:footnoteReference w:id="102"/>
      </w:r>
      <w:r w:rsidRPr="0048391B">
        <w:rPr>
          <w:sz w:val="24"/>
          <w:szCs w:val="24"/>
        </w:rPr>
        <w:t xml:space="preserve"> There is </w:t>
      </w:r>
      <w:r>
        <w:rPr>
          <w:sz w:val="24"/>
          <w:szCs w:val="24"/>
        </w:rPr>
        <w:t xml:space="preserve">widening separation </w:t>
      </w:r>
      <w:r w:rsidRPr="0048391B">
        <w:rPr>
          <w:sz w:val="24"/>
          <w:szCs w:val="24"/>
        </w:rPr>
        <w:t>in public discourse, between supporter</w:t>
      </w:r>
      <w:r>
        <w:rPr>
          <w:sz w:val="24"/>
          <w:szCs w:val="24"/>
        </w:rPr>
        <w:t>s</w:t>
      </w:r>
      <w:r w:rsidRPr="0048391B">
        <w:rPr>
          <w:sz w:val="24"/>
          <w:szCs w:val="24"/>
        </w:rPr>
        <w:t xml:space="preserve"> of state policy and individuals deemed backwards for their support of Palestine, their denouncement of US policy, and other forms of dissent.</w:t>
      </w:r>
      <w:r w:rsidRPr="0048391B">
        <w:rPr>
          <w:rStyle w:val="FootnoteReference"/>
          <w:sz w:val="24"/>
          <w:szCs w:val="24"/>
        </w:rPr>
        <w:footnoteReference w:id="103"/>
      </w:r>
      <w:r w:rsidRPr="0048391B">
        <w:rPr>
          <w:sz w:val="24"/>
          <w:szCs w:val="24"/>
        </w:rPr>
        <w:t xml:space="preserve"> Finally, many who were once active in media</w:t>
      </w:r>
      <w:r>
        <w:rPr>
          <w:sz w:val="24"/>
          <w:szCs w:val="24"/>
        </w:rPr>
        <w:t xml:space="preserve"> </w:t>
      </w:r>
      <w:r w:rsidRPr="0048391B">
        <w:rPr>
          <w:sz w:val="24"/>
          <w:szCs w:val="24"/>
        </w:rPr>
        <w:t>and/or civil society have withdrawn from their social circles</w:t>
      </w:r>
      <w:r>
        <w:rPr>
          <w:sz w:val="24"/>
          <w:szCs w:val="24"/>
        </w:rPr>
        <w:t>, further eroding</w:t>
      </w:r>
      <w:r w:rsidRPr="0048391B">
        <w:rPr>
          <w:sz w:val="24"/>
          <w:szCs w:val="24"/>
        </w:rPr>
        <w:t xml:space="preserve"> ties between fellow organizers who once made up a regular part of </w:t>
      </w:r>
      <w:r>
        <w:rPr>
          <w:sz w:val="24"/>
          <w:szCs w:val="24"/>
        </w:rPr>
        <w:t>each other’s</w:t>
      </w:r>
      <w:r w:rsidRPr="0048391B">
        <w:rPr>
          <w:sz w:val="24"/>
          <w:szCs w:val="24"/>
        </w:rPr>
        <w:t xml:space="preserve"> social interaction. People have also ended marriages/relationships, and had to denounce family members.</w:t>
      </w:r>
      <w:r w:rsidRPr="0048391B">
        <w:rPr>
          <w:rStyle w:val="FootnoteReference"/>
          <w:sz w:val="24"/>
          <w:szCs w:val="24"/>
        </w:rPr>
        <w:footnoteReference w:id="104"/>
      </w:r>
      <w:r w:rsidRPr="0048391B">
        <w:rPr>
          <w:sz w:val="24"/>
          <w:szCs w:val="24"/>
        </w:rPr>
        <w:t xml:space="preserve">  </w:t>
      </w:r>
    </w:p>
    <w:p w14:paraId="03724257" w14:textId="77777777" w:rsidR="008078FA" w:rsidRPr="0048391B" w:rsidRDefault="008078FA" w:rsidP="008078FA">
      <w:pPr>
        <w:spacing w:after="0" w:line="480" w:lineRule="auto"/>
        <w:jc w:val="both"/>
        <w:rPr>
          <w:rFonts w:cs="Arial"/>
          <w:sz w:val="24"/>
          <w:szCs w:val="24"/>
        </w:rPr>
      </w:pPr>
      <w:r w:rsidRPr="0048391B">
        <w:rPr>
          <w:sz w:val="24"/>
          <w:szCs w:val="24"/>
        </w:rPr>
        <w:tab/>
      </w:r>
      <w:r w:rsidRPr="0048391B">
        <w:rPr>
          <w:rFonts w:cs="Arial"/>
          <w:sz w:val="24"/>
          <w:szCs w:val="24"/>
        </w:rPr>
        <w:t>Th</w:t>
      </w:r>
      <w:r>
        <w:rPr>
          <w:rFonts w:cs="Arial"/>
          <w:sz w:val="24"/>
          <w:szCs w:val="24"/>
        </w:rPr>
        <w:t xml:space="preserve">ese dynamics go </w:t>
      </w:r>
      <w:r w:rsidRPr="0048391B">
        <w:rPr>
          <w:rFonts w:cs="Arial"/>
          <w:sz w:val="24"/>
          <w:szCs w:val="24"/>
        </w:rPr>
        <w:t xml:space="preserve">hand in hand with the </w:t>
      </w:r>
      <w:r w:rsidRPr="0048391B">
        <w:rPr>
          <w:rFonts w:cs="Arial"/>
          <w:b/>
          <w:bCs/>
          <w:sz w:val="24"/>
          <w:szCs w:val="24"/>
        </w:rPr>
        <w:t>acquisition of repressive technologies</w:t>
      </w:r>
      <w:r w:rsidRPr="0048391B">
        <w:rPr>
          <w:rFonts w:cs="Arial"/>
          <w:sz w:val="24"/>
          <w:szCs w:val="24"/>
        </w:rPr>
        <w:t>. M</w:t>
      </w:r>
      <w:r w:rsidRPr="0048391B">
        <w:rPr>
          <w:sz w:val="24"/>
          <w:szCs w:val="24"/>
        </w:rPr>
        <w:t>ilitary-to-military coordination between Israel and a number of Gulf states, including Saudi Arabia, has been corroborated by multiple sources.</w:t>
      </w:r>
      <w:r w:rsidRPr="0048391B">
        <w:rPr>
          <w:rStyle w:val="FootnoteReference"/>
          <w:sz w:val="24"/>
          <w:szCs w:val="24"/>
        </w:rPr>
        <w:footnoteReference w:id="105"/>
      </w:r>
      <w:r w:rsidRPr="0048391B">
        <w:rPr>
          <w:sz w:val="24"/>
          <w:szCs w:val="24"/>
        </w:rPr>
        <w:t xml:space="preserve"> </w:t>
      </w:r>
      <w:r>
        <w:rPr>
          <w:sz w:val="24"/>
          <w:szCs w:val="24"/>
        </w:rPr>
        <w:t>T</w:t>
      </w:r>
      <w:r w:rsidRPr="0048391B">
        <w:rPr>
          <w:sz w:val="24"/>
          <w:szCs w:val="24"/>
        </w:rPr>
        <w:t xml:space="preserve">he Saudis have bought drones and gained access to satellites to monitor Iran. </w:t>
      </w:r>
      <w:r>
        <w:rPr>
          <w:rFonts w:cs="Arial"/>
          <w:sz w:val="24"/>
          <w:szCs w:val="24"/>
        </w:rPr>
        <w:t>They also</w:t>
      </w:r>
      <w:r w:rsidRPr="0048391B">
        <w:rPr>
          <w:rFonts w:cs="Arial"/>
          <w:sz w:val="24"/>
          <w:szCs w:val="24"/>
        </w:rPr>
        <w:t xml:space="preserve"> use Israeli private corporations as</w:t>
      </w:r>
      <w:r w:rsidRPr="0048391B">
        <w:rPr>
          <w:sz w:val="24"/>
          <w:szCs w:val="24"/>
        </w:rPr>
        <w:t xml:space="preserve"> subcontractors, </w:t>
      </w:r>
      <w:r>
        <w:rPr>
          <w:sz w:val="24"/>
          <w:szCs w:val="24"/>
        </w:rPr>
        <w:t>even</w:t>
      </w:r>
      <w:r w:rsidRPr="0048391B">
        <w:rPr>
          <w:sz w:val="24"/>
          <w:szCs w:val="24"/>
        </w:rPr>
        <w:t xml:space="preserve"> on projects related to national security.</w:t>
      </w:r>
      <w:r w:rsidRPr="0048391B">
        <w:rPr>
          <w:rStyle w:val="FootnoteReference"/>
          <w:sz w:val="24"/>
          <w:szCs w:val="24"/>
        </w:rPr>
        <w:footnoteReference w:id="106"/>
      </w:r>
      <w:r w:rsidRPr="0048391B">
        <w:rPr>
          <w:sz w:val="24"/>
          <w:szCs w:val="24"/>
        </w:rPr>
        <w:t xml:space="preserve"> Finally, the Saudi</w:t>
      </w:r>
      <w:r>
        <w:rPr>
          <w:sz w:val="24"/>
          <w:szCs w:val="24"/>
        </w:rPr>
        <w:t>s have</w:t>
      </w:r>
      <w:r w:rsidRPr="0048391B">
        <w:rPr>
          <w:sz w:val="24"/>
          <w:szCs w:val="24"/>
        </w:rPr>
        <w:t xml:space="preserve"> purchased surveillance tools as well as the know-how of invasive apps and hacking technology, in order to target dissidents.</w:t>
      </w:r>
      <w:r w:rsidRPr="0048391B">
        <w:rPr>
          <w:rStyle w:val="FootnoteReference"/>
          <w:sz w:val="24"/>
          <w:szCs w:val="24"/>
        </w:rPr>
        <w:footnoteReference w:id="107"/>
      </w:r>
      <w:r w:rsidRPr="0048391B">
        <w:rPr>
          <w:rFonts w:cs="Arial"/>
          <w:sz w:val="24"/>
          <w:szCs w:val="24"/>
        </w:rPr>
        <w:t xml:space="preserve"> </w:t>
      </w:r>
    </w:p>
    <w:p w14:paraId="5167C697" w14:textId="77777777" w:rsidR="008078FA" w:rsidRPr="0048391B" w:rsidRDefault="008078FA" w:rsidP="008078FA">
      <w:pPr>
        <w:spacing w:after="0" w:line="480" w:lineRule="auto"/>
        <w:ind w:firstLine="720"/>
        <w:jc w:val="both"/>
        <w:rPr>
          <w:rFonts w:cs="Arial"/>
          <w:color w:val="222222"/>
          <w:sz w:val="24"/>
          <w:szCs w:val="24"/>
          <w:shd w:val="clear" w:color="auto" w:fill="FFFFFF"/>
        </w:rPr>
      </w:pPr>
      <w:r w:rsidRPr="0048391B">
        <w:rPr>
          <w:rFonts w:cs="Arial"/>
          <w:sz w:val="24"/>
          <w:szCs w:val="24"/>
        </w:rPr>
        <w:t xml:space="preserve">One clear example of this is the use of </w:t>
      </w:r>
      <w:r w:rsidRPr="0048391B">
        <w:rPr>
          <w:sz w:val="24"/>
          <w:szCs w:val="24"/>
        </w:rPr>
        <w:t xml:space="preserve">spyware. This effort was led by Saud Al-Qahtani, advisor to MBS, </w:t>
      </w:r>
      <w:r>
        <w:rPr>
          <w:sz w:val="24"/>
          <w:szCs w:val="24"/>
        </w:rPr>
        <w:t>and head of</w:t>
      </w:r>
      <w:r w:rsidRPr="0048391B">
        <w:rPr>
          <w:sz w:val="24"/>
          <w:szCs w:val="24"/>
        </w:rPr>
        <w:t xml:space="preserve"> the </w:t>
      </w:r>
      <w:r w:rsidRPr="0048391B">
        <w:rPr>
          <w:rFonts w:cs="Arial"/>
          <w:color w:val="222222"/>
          <w:sz w:val="24"/>
          <w:szCs w:val="24"/>
          <w:shd w:val="clear" w:color="auto" w:fill="FFFFFF"/>
        </w:rPr>
        <w:t xml:space="preserve">Saudi Federation of Cyber Security, Programming, and Drones. Al-Qahtani </w:t>
      </w:r>
      <w:r>
        <w:rPr>
          <w:rFonts w:cs="Arial"/>
          <w:color w:val="222222"/>
          <w:sz w:val="24"/>
          <w:szCs w:val="24"/>
          <w:shd w:val="clear" w:color="auto" w:fill="FFFFFF"/>
        </w:rPr>
        <w:t>was</w:t>
      </w:r>
      <w:r w:rsidRPr="0048391B">
        <w:rPr>
          <w:rFonts w:cs="Arial"/>
          <w:color w:val="222222"/>
          <w:sz w:val="24"/>
          <w:szCs w:val="24"/>
          <w:shd w:val="clear" w:color="auto" w:fill="FFFFFF"/>
        </w:rPr>
        <w:t xml:space="preserve"> long interested in hacking software, having reached out to a variety of </w:t>
      </w:r>
      <w:r w:rsidRPr="0048391B">
        <w:rPr>
          <w:rFonts w:cs="Arial"/>
          <w:color w:val="222222"/>
          <w:sz w:val="24"/>
          <w:szCs w:val="24"/>
          <w:shd w:val="clear" w:color="auto" w:fill="FFFFFF"/>
        </w:rPr>
        <w:lastRenderedPageBreak/>
        <w:t>organizations in pursuit of this goal.</w:t>
      </w:r>
      <w:r w:rsidRPr="0048391B">
        <w:rPr>
          <w:rStyle w:val="FootnoteReference"/>
          <w:rFonts w:cs="Arial"/>
          <w:color w:val="222222"/>
          <w:sz w:val="24"/>
          <w:szCs w:val="24"/>
          <w:shd w:val="clear" w:color="auto" w:fill="FFFFFF"/>
        </w:rPr>
        <w:footnoteReference w:id="108"/>
      </w:r>
      <w:r w:rsidRPr="0048391B">
        <w:rPr>
          <w:rFonts w:cs="Arial"/>
          <w:color w:val="222222"/>
          <w:sz w:val="24"/>
          <w:szCs w:val="24"/>
          <w:shd w:val="clear" w:color="auto" w:fill="FFFFFF"/>
        </w:rPr>
        <w:t xml:space="preserve"> </w:t>
      </w:r>
      <w:r>
        <w:rPr>
          <w:rFonts w:cs="Arial"/>
          <w:color w:val="222222"/>
          <w:sz w:val="24"/>
          <w:szCs w:val="24"/>
          <w:shd w:val="clear" w:color="auto" w:fill="FFFFFF"/>
        </w:rPr>
        <w:t>When</w:t>
      </w:r>
      <w:r w:rsidRPr="0048391B">
        <w:rPr>
          <w:rFonts w:cs="Arial"/>
          <w:color w:val="222222"/>
          <w:sz w:val="24"/>
          <w:szCs w:val="24"/>
          <w:shd w:val="clear" w:color="auto" w:fill="FFFFFF"/>
        </w:rPr>
        <w:t xml:space="preserve"> the repression campaign began in 2017, the Saudi government purchased surveillance software from Israeli “cyber warfare” vend</w:t>
      </w:r>
      <w:r>
        <w:rPr>
          <w:rFonts w:cs="Arial"/>
          <w:color w:val="222222"/>
          <w:sz w:val="24"/>
          <w:szCs w:val="24"/>
          <w:shd w:val="clear" w:color="auto" w:fill="FFFFFF"/>
        </w:rPr>
        <w:t>o</w:t>
      </w:r>
      <w:r w:rsidRPr="0048391B">
        <w:rPr>
          <w:rFonts w:cs="Arial"/>
          <w:color w:val="222222"/>
          <w:sz w:val="24"/>
          <w:szCs w:val="24"/>
          <w:shd w:val="clear" w:color="auto" w:fill="FFFFFF"/>
        </w:rPr>
        <w:t>r NSO Group.</w:t>
      </w:r>
      <w:r w:rsidRPr="0048391B">
        <w:rPr>
          <w:rStyle w:val="FootnoteReference"/>
          <w:rFonts w:cs="Arial"/>
          <w:color w:val="222222"/>
          <w:sz w:val="24"/>
          <w:szCs w:val="24"/>
          <w:shd w:val="clear" w:color="auto" w:fill="FFFFFF"/>
        </w:rPr>
        <w:footnoteReference w:id="109"/>
      </w:r>
      <w:r w:rsidRPr="0048391B">
        <w:rPr>
          <w:rFonts w:cs="Arial"/>
          <w:color w:val="222222"/>
          <w:sz w:val="24"/>
          <w:szCs w:val="24"/>
          <w:shd w:val="clear" w:color="auto" w:fill="FFFFFF"/>
        </w:rPr>
        <w:t xml:space="preserve"> One such software, Pegasus, allowed </w:t>
      </w:r>
      <w:r>
        <w:rPr>
          <w:rFonts w:cs="Arial"/>
          <w:color w:val="222222"/>
          <w:sz w:val="24"/>
          <w:szCs w:val="24"/>
          <w:shd w:val="clear" w:color="auto" w:fill="FFFFFF"/>
        </w:rPr>
        <w:t>them</w:t>
      </w:r>
      <w:r w:rsidRPr="0048391B">
        <w:rPr>
          <w:rFonts w:cs="Arial"/>
          <w:color w:val="222222"/>
          <w:sz w:val="24"/>
          <w:szCs w:val="24"/>
          <w:shd w:val="clear" w:color="auto" w:fill="FFFFFF"/>
        </w:rPr>
        <w:t xml:space="preserve"> to spy on dissidents living abroad and attempt to return them to Saudi soil under false pretenses. Al-Qahtani’s team also purchased tools from a second Israeli company called Q Cyber Technologies. These purchases were approved by the Israeli government, and the tools were used in widely publicized cases such as the </w:t>
      </w:r>
      <w:r>
        <w:rPr>
          <w:rFonts w:cs="Arial"/>
          <w:color w:val="222222"/>
          <w:sz w:val="24"/>
          <w:szCs w:val="24"/>
          <w:shd w:val="clear" w:color="auto" w:fill="FFFFFF"/>
        </w:rPr>
        <w:t>killing</w:t>
      </w:r>
      <w:r w:rsidRPr="0048391B">
        <w:rPr>
          <w:rFonts w:cs="Arial"/>
          <w:color w:val="222222"/>
          <w:sz w:val="24"/>
          <w:szCs w:val="24"/>
          <w:shd w:val="clear" w:color="auto" w:fill="FFFFFF"/>
        </w:rPr>
        <w:t xml:space="preserve"> of journalist Jamal Khashoggi.</w:t>
      </w:r>
      <w:r w:rsidRPr="0048391B">
        <w:rPr>
          <w:rStyle w:val="FootnoteReference"/>
          <w:rFonts w:cs="Arial"/>
          <w:color w:val="222222"/>
          <w:sz w:val="24"/>
          <w:szCs w:val="24"/>
          <w:shd w:val="clear" w:color="auto" w:fill="FFFFFF"/>
        </w:rPr>
        <w:footnoteReference w:id="110"/>
      </w:r>
      <w:r w:rsidRPr="0048391B">
        <w:rPr>
          <w:rFonts w:cs="Arial"/>
          <w:color w:val="222222"/>
          <w:sz w:val="24"/>
          <w:szCs w:val="24"/>
          <w:shd w:val="clear" w:color="auto" w:fill="FFFFFF"/>
        </w:rPr>
        <w:t xml:space="preserve"> </w:t>
      </w:r>
    </w:p>
    <w:p w14:paraId="153A7789" w14:textId="77777777" w:rsidR="008078FA" w:rsidRPr="0048391B" w:rsidRDefault="008078FA" w:rsidP="008078FA">
      <w:pPr>
        <w:spacing w:after="0" w:line="480" w:lineRule="auto"/>
        <w:ind w:firstLine="720"/>
        <w:jc w:val="both"/>
        <w:rPr>
          <w:rFonts w:cs="Arial"/>
          <w:color w:val="222222"/>
          <w:sz w:val="24"/>
          <w:szCs w:val="24"/>
          <w:shd w:val="clear" w:color="auto" w:fill="FFFFFF"/>
        </w:rPr>
      </w:pPr>
      <w:r w:rsidRPr="0048391B">
        <w:rPr>
          <w:rFonts w:cs="Arial"/>
          <w:color w:val="222222"/>
          <w:sz w:val="24"/>
          <w:szCs w:val="24"/>
          <w:shd w:val="clear" w:color="auto" w:fill="FFFFFF"/>
        </w:rPr>
        <w:t xml:space="preserve">Moreover, in their attempt to control opposition at home and abroad, the GCC states ramped up their official intelligence sharing with the Israeli government. </w:t>
      </w:r>
      <w:r>
        <w:rPr>
          <w:rFonts w:cs="Arial"/>
          <w:color w:val="222222"/>
          <w:sz w:val="24"/>
          <w:szCs w:val="24"/>
          <w:shd w:val="clear" w:color="auto" w:fill="FFFFFF"/>
        </w:rPr>
        <w:t>I</w:t>
      </w:r>
      <w:r w:rsidRPr="0048391B">
        <w:rPr>
          <w:rFonts w:cs="Arial"/>
          <w:color w:val="222222"/>
          <w:sz w:val="24"/>
          <w:szCs w:val="24"/>
          <w:shd w:val="clear" w:color="auto" w:fill="FFFFFF"/>
        </w:rPr>
        <w:t>ntelligence chief Ahmed Al-Assiri visited Israel repeatedly to discuss security coordination.</w:t>
      </w:r>
      <w:r w:rsidRPr="0048391B">
        <w:rPr>
          <w:rStyle w:val="FootnoteReference"/>
          <w:rFonts w:cs="Arial"/>
          <w:color w:val="222222"/>
          <w:sz w:val="24"/>
          <w:szCs w:val="24"/>
          <w:shd w:val="clear" w:color="auto" w:fill="FFFFFF"/>
        </w:rPr>
        <w:footnoteReference w:id="111"/>
      </w:r>
      <w:r w:rsidRPr="0048391B">
        <w:rPr>
          <w:rFonts w:cs="Arial"/>
          <w:color w:val="222222"/>
          <w:sz w:val="24"/>
          <w:szCs w:val="24"/>
          <w:shd w:val="clear" w:color="auto" w:fill="FFFFFF"/>
        </w:rPr>
        <w:t xml:space="preserve"> Despite the international backlash following Khashoggi’s assassination, </w:t>
      </w:r>
      <w:r>
        <w:rPr>
          <w:rFonts w:cs="Arial"/>
          <w:color w:val="222222"/>
          <w:sz w:val="24"/>
          <w:szCs w:val="24"/>
          <w:shd w:val="clear" w:color="auto" w:fill="FFFFFF"/>
        </w:rPr>
        <w:t>Israel</w:t>
      </w:r>
      <w:r w:rsidRPr="0048391B">
        <w:rPr>
          <w:rFonts w:cs="Arial"/>
          <w:color w:val="222222"/>
          <w:sz w:val="24"/>
          <w:szCs w:val="24"/>
          <w:shd w:val="clear" w:color="auto" w:fill="FFFFFF"/>
        </w:rPr>
        <w:t xml:space="preserve"> and Saudi Arabia have continued to expand their intelligence sharing to combat political enemies in the region.</w:t>
      </w:r>
      <w:r w:rsidRPr="0048391B">
        <w:rPr>
          <w:rStyle w:val="FootnoteReference"/>
          <w:rFonts w:cs="Arial"/>
          <w:color w:val="222222"/>
          <w:sz w:val="24"/>
          <w:szCs w:val="24"/>
          <w:shd w:val="clear" w:color="auto" w:fill="FFFFFF"/>
        </w:rPr>
        <w:footnoteReference w:id="112"/>
      </w:r>
      <w:r w:rsidRPr="0048391B">
        <w:rPr>
          <w:rFonts w:cs="Arial"/>
          <w:color w:val="222222"/>
          <w:sz w:val="24"/>
          <w:szCs w:val="24"/>
          <w:shd w:val="clear" w:color="auto" w:fill="FFFFFF"/>
        </w:rPr>
        <w:t xml:space="preserve"> </w:t>
      </w:r>
    </w:p>
    <w:p w14:paraId="7F086CBA" w14:textId="77777777" w:rsidR="008078FA" w:rsidRPr="0048391B" w:rsidRDefault="008078FA" w:rsidP="008078FA">
      <w:pPr>
        <w:spacing w:after="0" w:line="480" w:lineRule="auto"/>
        <w:ind w:firstLine="720"/>
        <w:jc w:val="both"/>
        <w:rPr>
          <w:sz w:val="24"/>
          <w:szCs w:val="24"/>
        </w:rPr>
      </w:pPr>
      <w:r w:rsidRPr="0048391B">
        <w:rPr>
          <w:sz w:val="24"/>
          <w:szCs w:val="24"/>
        </w:rPr>
        <w:t>Thus, using Israeli technology</w:t>
      </w:r>
      <w:r>
        <w:rPr>
          <w:sz w:val="24"/>
          <w:szCs w:val="24"/>
        </w:rPr>
        <w:t xml:space="preserve"> </w:t>
      </w:r>
      <w:r w:rsidRPr="0048391B">
        <w:rPr>
          <w:sz w:val="24"/>
          <w:szCs w:val="24"/>
        </w:rPr>
        <w:t xml:space="preserve">and support, </w:t>
      </w:r>
      <w:r>
        <w:rPr>
          <w:sz w:val="24"/>
          <w:szCs w:val="24"/>
        </w:rPr>
        <w:t>Saudi Arabia has</w:t>
      </w:r>
      <w:r w:rsidRPr="0048391B">
        <w:rPr>
          <w:sz w:val="24"/>
          <w:szCs w:val="24"/>
        </w:rPr>
        <w:t xml:space="preserve"> been able to target activists, control the internet landscape, and repress the nascent civil society that once existed.</w:t>
      </w:r>
      <w:r w:rsidRPr="0048391B">
        <w:rPr>
          <w:rStyle w:val="FootnoteReference"/>
          <w:sz w:val="24"/>
          <w:szCs w:val="24"/>
        </w:rPr>
        <w:footnoteReference w:id="113"/>
      </w:r>
      <w:r w:rsidRPr="0048391B">
        <w:rPr>
          <w:sz w:val="24"/>
          <w:szCs w:val="24"/>
        </w:rPr>
        <w:t xml:space="preserve"> The Citizen Lab reports that there are no less than 12 Israeli surveillance operators targeting the </w:t>
      </w:r>
      <w:r w:rsidRPr="0048391B">
        <w:rPr>
          <w:sz w:val="24"/>
          <w:szCs w:val="24"/>
        </w:rPr>
        <w:lastRenderedPageBreak/>
        <w:t>Middle East, with a number of specialized operators for Saudi Arabia.</w:t>
      </w:r>
      <w:r w:rsidRPr="0048391B">
        <w:rPr>
          <w:rStyle w:val="FootnoteReference"/>
          <w:sz w:val="24"/>
          <w:szCs w:val="24"/>
        </w:rPr>
        <w:footnoteReference w:id="114"/>
      </w:r>
      <w:r w:rsidRPr="0048391B">
        <w:rPr>
          <w:sz w:val="24"/>
          <w:szCs w:val="24"/>
        </w:rPr>
        <w:t xml:space="preserve"> Israel has reportedly encouraged NSO Group to sell technology to Saudi Arabia, UAE, and Bahrain, but not to Qatar.</w:t>
      </w:r>
      <w:r w:rsidRPr="0048391B">
        <w:rPr>
          <w:rStyle w:val="FootnoteReference"/>
          <w:sz w:val="24"/>
          <w:szCs w:val="24"/>
        </w:rPr>
        <w:footnoteReference w:id="115"/>
      </w:r>
      <w:r w:rsidRPr="0048391B">
        <w:rPr>
          <w:sz w:val="24"/>
          <w:szCs w:val="24"/>
        </w:rPr>
        <w:t xml:space="preserve">  This corroborates the idea that Saudi Arabia is seen as an ally, precisely because these sales have not been blocked</w:t>
      </w:r>
      <w:r>
        <w:rPr>
          <w:sz w:val="24"/>
          <w:szCs w:val="24"/>
        </w:rPr>
        <w:t xml:space="preserve"> but instead facilitated</w:t>
      </w:r>
      <w:r w:rsidRPr="0048391B">
        <w:rPr>
          <w:sz w:val="24"/>
          <w:szCs w:val="24"/>
        </w:rPr>
        <w:t>. Coupled with recent advancements in zero-click hacking</w:t>
      </w:r>
      <w:r>
        <w:rPr>
          <w:sz w:val="24"/>
          <w:szCs w:val="24"/>
        </w:rPr>
        <w:t xml:space="preserve"> by Israeli companies</w:t>
      </w:r>
      <w:r w:rsidRPr="0048391B">
        <w:rPr>
          <w:sz w:val="24"/>
          <w:szCs w:val="24"/>
        </w:rPr>
        <w:t xml:space="preserve">, </w:t>
      </w:r>
      <w:r>
        <w:rPr>
          <w:sz w:val="24"/>
          <w:szCs w:val="24"/>
        </w:rPr>
        <w:t xml:space="preserve">Saudi Arabia’s acquisition of such technologies is set to </w:t>
      </w:r>
      <w:r w:rsidRPr="0048391B">
        <w:rPr>
          <w:sz w:val="24"/>
          <w:szCs w:val="24"/>
        </w:rPr>
        <w:t>continue.</w:t>
      </w:r>
      <w:r w:rsidRPr="0048391B">
        <w:rPr>
          <w:rStyle w:val="FootnoteReference"/>
          <w:sz w:val="24"/>
          <w:szCs w:val="24"/>
        </w:rPr>
        <w:footnoteReference w:id="116"/>
      </w:r>
    </w:p>
    <w:p w14:paraId="014010FD" w14:textId="77777777" w:rsidR="008078FA" w:rsidRPr="0048391B" w:rsidRDefault="008078FA" w:rsidP="008078FA">
      <w:pPr>
        <w:spacing w:after="0" w:line="480" w:lineRule="auto"/>
        <w:jc w:val="both"/>
        <w:rPr>
          <w:rFonts w:cs="Arial"/>
          <w:sz w:val="24"/>
          <w:szCs w:val="24"/>
        </w:rPr>
      </w:pPr>
      <w:r w:rsidRPr="0048391B">
        <w:rPr>
          <w:rFonts w:cs="Arial"/>
          <w:sz w:val="24"/>
          <w:szCs w:val="24"/>
        </w:rPr>
        <w:tab/>
        <w:t xml:space="preserve"> Today, Saudi Arabia has officially stated it still backs the Arab Peace Initiative</w:t>
      </w:r>
      <w:r>
        <w:rPr>
          <w:rFonts w:cs="Arial"/>
          <w:sz w:val="24"/>
          <w:szCs w:val="24"/>
        </w:rPr>
        <w:t xml:space="preserve"> (an agreement between the Arab League countries in support of the two-state solution given certain provisions), and </w:t>
      </w:r>
      <w:r w:rsidRPr="0048391B">
        <w:rPr>
          <w:rFonts w:cs="Arial"/>
          <w:sz w:val="24"/>
          <w:szCs w:val="24"/>
        </w:rPr>
        <w:t>does not intend to pursue changes to its relationship with Israel prior to advancements on the API. Nevertheless, official sources were quick to make clear that Saudi citizens should not criticize the “sovereign” decision</w:t>
      </w:r>
      <w:r>
        <w:rPr>
          <w:rFonts w:cs="Arial"/>
          <w:sz w:val="24"/>
          <w:szCs w:val="24"/>
        </w:rPr>
        <w:t>s of other countries that normalize</w:t>
      </w:r>
      <w:r w:rsidRPr="0048391B">
        <w:rPr>
          <w:rFonts w:cs="Arial"/>
          <w:sz w:val="24"/>
          <w:szCs w:val="24"/>
        </w:rPr>
        <w:t xml:space="preserve">, and notable officials expressed their enthusiasm for </w:t>
      </w:r>
      <w:r>
        <w:rPr>
          <w:rFonts w:cs="Arial"/>
          <w:sz w:val="24"/>
          <w:szCs w:val="24"/>
        </w:rPr>
        <w:t>such steps</w:t>
      </w:r>
      <w:r w:rsidRPr="0048391B">
        <w:rPr>
          <w:rFonts w:cs="Arial"/>
          <w:sz w:val="24"/>
          <w:szCs w:val="24"/>
        </w:rPr>
        <w:t>.</w:t>
      </w:r>
      <w:r w:rsidRPr="0048391B">
        <w:rPr>
          <w:rStyle w:val="FootnoteReference"/>
          <w:rFonts w:cs="Arial"/>
          <w:sz w:val="24"/>
          <w:szCs w:val="24"/>
        </w:rPr>
        <w:footnoteReference w:id="117"/>
      </w:r>
      <w:r w:rsidRPr="0048391B">
        <w:rPr>
          <w:rFonts w:cs="Arial"/>
          <w:sz w:val="24"/>
          <w:szCs w:val="24"/>
        </w:rPr>
        <w:t xml:space="preserve"> A number of Saudi elites tied to the state also publicly stated their support for the UAE’s </w:t>
      </w:r>
      <w:r>
        <w:rPr>
          <w:rFonts w:cs="Arial"/>
          <w:sz w:val="24"/>
          <w:szCs w:val="24"/>
        </w:rPr>
        <w:t>peace agreement with Israel</w:t>
      </w:r>
      <w:r w:rsidRPr="0048391B">
        <w:rPr>
          <w:rFonts w:cs="Arial"/>
          <w:sz w:val="24"/>
          <w:szCs w:val="24"/>
        </w:rPr>
        <w:t xml:space="preserve"> and used similar slogans to Emirati social media influencers</w:t>
      </w:r>
      <w:r>
        <w:rPr>
          <w:rFonts w:cs="Arial"/>
          <w:sz w:val="24"/>
          <w:szCs w:val="24"/>
        </w:rPr>
        <w:t xml:space="preserve"> online.</w:t>
      </w:r>
      <w:r w:rsidRPr="0048391B">
        <w:rPr>
          <w:rFonts w:cs="Arial"/>
          <w:sz w:val="24"/>
          <w:szCs w:val="24"/>
        </w:rPr>
        <w:t xml:space="preserve"> </w:t>
      </w:r>
      <w:r>
        <w:rPr>
          <w:rFonts w:cs="Arial"/>
          <w:sz w:val="24"/>
          <w:szCs w:val="24"/>
        </w:rPr>
        <w:t xml:space="preserve">Experts </w:t>
      </w:r>
      <w:r w:rsidRPr="0048391B">
        <w:rPr>
          <w:rFonts w:cs="Arial"/>
          <w:sz w:val="24"/>
          <w:szCs w:val="24"/>
        </w:rPr>
        <w:t xml:space="preserve">on Gulf affairs presume that </w:t>
      </w:r>
      <w:r w:rsidRPr="0048391B">
        <w:rPr>
          <w:rFonts w:cs="Arial"/>
          <w:sz w:val="24"/>
          <w:szCs w:val="24"/>
        </w:rPr>
        <w:lastRenderedPageBreak/>
        <w:t>under-the-table normalization between Saudi and Israel will continue, and the UAE will serve as a conduit for future coordination without taking unnecessary public steps for the time being.</w:t>
      </w:r>
      <w:r w:rsidRPr="0048391B">
        <w:rPr>
          <w:rStyle w:val="FootnoteReference"/>
          <w:rFonts w:cs="Arial"/>
          <w:sz w:val="24"/>
          <w:szCs w:val="24"/>
        </w:rPr>
        <w:footnoteReference w:id="118"/>
      </w:r>
    </w:p>
    <w:p w14:paraId="11D85F4D" w14:textId="77777777" w:rsidR="008078FA" w:rsidRPr="0048391B" w:rsidRDefault="008078FA" w:rsidP="008078FA">
      <w:pPr>
        <w:spacing w:after="0" w:line="480" w:lineRule="auto"/>
        <w:ind w:firstLine="720"/>
        <w:jc w:val="both"/>
        <w:rPr>
          <w:rFonts w:cs="Arial"/>
          <w:sz w:val="24"/>
          <w:szCs w:val="24"/>
        </w:rPr>
      </w:pPr>
      <w:r>
        <w:rPr>
          <w:rFonts w:cs="Arial"/>
          <w:sz w:val="24"/>
          <w:szCs w:val="24"/>
        </w:rPr>
        <w:t>Finally,</w:t>
      </w:r>
      <w:r w:rsidRPr="0048391B">
        <w:rPr>
          <w:rFonts w:cs="Arial"/>
          <w:sz w:val="24"/>
          <w:szCs w:val="24"/>
        </w:rPr>
        <w:t xml:space="preserve"> there has been Saudi involvement in the new activist group “Gulf Coalition against Normalization,” </w:t>
      </w:r>
      <w:r>
        <w:rPr>
          <w:rFonts w:cs="Arial"/>
          <w:sz w:val="24"/>
          <w:szCs w:val="24"/>
        </w:rPr>
        <w:t>but this</w:t>
      </w:r>
      <w:r w:rsidRPr="0048391B">
        <w:rPr>
          <w:rFonts w:cs="Arial"/>
          <w:sz w:val="24"/>
          <w:szCs w:val="24"/>
        </w:rPr>
        <w:t xml:space="preserve"> has been on an individual basis, with most of those participating living outside of Saudi Arabia.</w:t>
      </w:r>
      <w:r w:rsidRPr="0048391B">
        <w:rPr>
          <w:rStyle w:val="FootnoteReference"/>
          <w:rFonts w:cs="Arial"/>
          <w:sz w:val="24"/>
          <w:szCs w:val="24"/>
        </w:rPr>
        <w:footnoteReference w:id="119"/>
      </w:r>
      <w:r w:rsidRPr="0048391B">
        <w:rPr>
          <w:rFonts w:cs="Arial"/>
          <w:sz w:val="24"/>
          <w:szCs w:val="24"/>
        </w:rPr>
        <w:t xml:space="preserve"> No civil society group from within has been able to take part in this initiative. This is yet another example of how the red lines have shifted in Saudi Arabia; where once Saudi groups were at the helm of civil society activity in the region, today they have taken a backseat.</w:t>
      </w:r>
    </w:p>
    <w:p w14:paraId="34CCD8F4" w14:textId="2663DF31" w:rsidR="008078FA" w:rsidRPr="0048391B" w:rsidRDefault="008078FA" w:rsidP="008078FA">
      <w:pPr>
        <w:spacing w:after="0" w:line="480" w:lineRule="auto"/>
        <w:jc w:val="both"/>
        <w:rPr>
          <w:rFonts w:cs="Arial"/>
          <w:sz w:val="24"/>
          <w:szCs w:val="24"/>
        </w:rPr>
      </w:pPr>
      <w:r w:rsidRPr="0048391B">
        <w:rPr>
          <w:rFonts w:cs="Arial"/>
          <w:sz w:val="24"/>
          <w:szCs w:val="24"/>
        </w:rPr>
        <w:tab/>
        <w:t>Overall, the trajectory of increased normalization with Israel</w:t>
      </w:r>
      <w:r>
        <w:rPr>
          <w:rFonts w:cs="Arial"/>
          <w:sz w:val="24"/>
          <w:szCs w:val="24"/>
        </w:rPr>
        <w:t xml:space="preserve"> </w:t>
      </w:r>
      <w:r w:rsidRPr="0048391B">
        <w:rPr>
          <w:rFonts w:cs="Arial"/>
          <w:sz w:val="24"/>
          <w:szCs w:val="24"/>
        </w:rPr>
        <w:t>is clearly linked to rising repression of Saudi societ</w:t>
      </w:r>
      <w:r>
        <w:rPr>
          <w:rFonts w:cs="Arial"/>
          <w:sz w:val="24"/>
          <w:szCs w:val="24"/>
        </w:rPr>
        <w:t>y</w:t>
      </w:r>
      <w:r w:rsidRPr="0048391B">
        <w:rPr>
          <w:rFonts w:cs="Arial"/>
          <w:sz w:val="24"/>
          <w:szCs w:val="24"/>
        </w:rPr>
        <w:t>. As one Gulf activist noted, Palestine is the “great unifier” among different political factions within the Gulf.</w:t>
      </w:r>
      <w:r w:rsidRPr="0048391B">
        <w:rPr>
          <w:rStyle w:val="FootnoteReference"/>
          <w:rFonts w:cs="Arial"/>
          <w:sz w:val="24"/>
          <w:szCs w:val="24"/>
        </w:rPr>
        <w:footnoteReference w:id="120"/>
      </w:r>
      <w:r w:rsidRPr="0048391B">
        <w:rPr>
          <w:rFonts w:cs="Arial"/>
          <w:sz w:val="24"/>
          <w:szCs w:val="24"/>
        </w:rPr>
        <w:t xml:space="preserve"> As such, the Palestinian cause’s mobilizing </w:t>
      </w:r>
      <w:r w:rsidR="002C314D">
        <w:rPr>
          <w:rFonts w:cs="Arial"/>
          <w:sz w:val="24"/>
          <w:szCs w:val="24"/>
        </w:rPr>
        <w:t>potential</w:t>
      </w:r>
      <w:r w:rsidRPr="0048391B">
        <w:rPr>
          <w:rFonts w:cs="Arial"/>
          <w:sz w:val="24"/>
          <w:szCs w:val="24"/>
        </w:rPr>
        <w:t xml:space="preserve"> will always be a threat to the Saudi state, especially as the official position diverges further from public opinion. </w:t>
      </w:r>
    </w:p>
    <w:p w14:paraId="0A825707" w14:textId="77777777" w:rsidR="00E85E86" w:rsidRPr="0048391B" w:rsidRDefault="00E85E86" w:rsidP="00930254">
      <w:pPr>
        <w:spacing w:after="0" w:line="480" w:lineRule="auto"/>
        <w:jc w:val="both"/>
        <w:rPr>
          <w:sz w:val="24"/>
          <w:szCs w:val="24"/>
        </w:rPr>
      </w:pPr>
    </w:p>
    <w:p w14:paraId="4CCEB64B" w14:textId="77777777" w:rsidR="00B8326C" w:rsidRPr="0048391B" w:rsidRDefault="00B8326C" w:rsidP="00B8326C">
      <w:pPr>
        <w:spacing w:after="0" w:line="480" w:lineRule="auto"/>
        <w:jc w:val="both"/>
        <w:rPr>
          <w:rFonts w:cs="Arial"/>
          <w:b/>
          <w:bCs/>
          <w:i/>
          <w:iCs/>
          <w:sz w:val="24"/>
          <w:szCs w:val="24"/>
        </w:rPr>
      </w:pPr>
      <w:r w:rsidRPr="0048391B">
        <w:rPr>
          <w:rFonts w:cs="Arial"/>
          <w:b/>
          <w:bCs/>
          <w:i/>
          <w:iCs/>
          <w:sz w:val="24"/>
          <w:szCs w:val="24"/>
        </w:rPr>
        <w:t>Signatories to the Abraham Accords: Bahrain and UAE</w:t>
      </w:r>
    </w:p>
    <w:p w14:paraId="65A7F397" w14:textId="3B04FD3E" w:rsidR="00E85E86" w:rsidRPr="0048391B" w:rsidRDefault="00B8326C" w:rsidP="00B8326C">
      <w:pPr>
        <w:spacing w:after="0" w:line="480" w:lineRule="auto"/>
        <w:jc w:val="both"/>
        <w:rPr>
          <w:rFonts w:cs="Arial"/>
          <w:i/>
          <w:iCs/>
          <w:sz w:val="24"/>
          <w:szCs w:val="24"/>
        </w:rPr>
      </w:pPr>
      <w:r w:rsidRPr="0048391B">
        <w:rPr>
          <w:rFonts w:cs="Arial"/>
          <w:i/>
          <w:iCs/>
          <w:sz w:val="24"/>
          <w:szCs w:val="24"/>
        </w:rPr>
        <w:t>Bahrain</w:t>
      </w:r>
      <w:r w:rsidR="00E85E86" w:rsidRPr="0048391B">
        <w:rPr>
          <w:rFonts w:cs="Arial"/>
          <w:i/>
          <w:iCs/>
          <w:sz w:val="24"/>
          <w:szCs w:val="24"/>
        </w:rPr>
        <w:t xml:space="preserve"> </w:t>
      </w:r>
    </w:p>
    <w:p w14:paraId="4D196E87" w14:textId="3C14EAB2" w:rsidR="008234B1" w:rsidRDefault="006702F2" w:rsidP="001E421C">
      <w:pPr>
        <w:spacing w:after="0" w:line="480" w:lineRule="auto"/>
        <w:jc w:val="both"/>
        <w:rPr>
          <w:rFonts w:cs="Arial"/>
          <w:sz w:val="24"/>
          <w:szCs w:val="24"/>
        </w:rPr>
      </w:pPr>
      <w:r w:rsidRPr="0048391B">
        <w:rPr>
          <w:rFonts w:cs="Arial"/>
          <w:sz w:val="24"/>
          <w:szCs w:val="24"/>
        </w:rPr>
        <w:tab/>
        <w:t xml:space="preserve">Bahrain </w:t>
      </w:r>
      <w:r w:rsidR="00A836C5" w:rsidRPr="0048391B">
        <w:rPr>
          <w:rFonts w:cs="Arial"/>
          <w:sz w:val="24"/>
          <w:szCs w:val="24"/>
        </w:rPr>
        <w:t xml:space="preserve">and the UAE caused an uproar when </w:t>
      </w:r>
      <w:r w:rsidR="00637AE9" w:rsidRPr="0048391B">
        <w:rPr>
          <w:rFonts w:cs="Arial"/>
          <w:sz w:val="24"/>
          <w:szCs w:val="24"/>
        </w:rPr>
        <w:t xml:space="preserve">they </w:t>
      </w:r>
      <w:r w:rsidR="00A836C5" w:rsidRPr="0048391B">
        <w:rPr>
          <w:rFonts w:cs="Arial"/>
          <w:sz w:val="24"/>
          <w:szCs w:val="24"/>
        </w:rPr>
        <w:t>moved forward with the Abraham Accords, signing</w:t>
      </w:r>
      <w:r w:rsidRPr="0048391B">
        <w:rPr>
          <w:rFonts w:cs="Arial"/>
          <w:sz w:val="24"/>
          <w:szCs w:val="24"/>
        </w:rPr>
        <w:t xml:space="preserve"> an official peace agr</w:t>
      </w:r>
      <w:r w:rsidR="00A836C5" w:rsidRPr="0048391B">
        <w:rPr>
          <w:rFonts w:cs="Arial"/>
          <w:sz w:val="24"/>
          <w:szCs w:val="24"/>
        </w:rPr>
        <w:t>eement with Israel.</w:t>
      </w:r>
      <w:r w:rsidRPr="0048391B">
        <w:rPr>
          <w:rFonts w:cs="Arial"/>
          <w:sz w:val="24"/>
          <w:szCs w:val="24"/>
        </w:rPr>
        <w:t xml:space="preserve"> </w:t>
      </w:r>
      <w:r w:rsidR="008234B1">
        <w:rPr>
          <w:rFonts w:cs="Arial"/>
          <w:sz w:val="24"/>
          <w:szCs w:val="24"/>
        </w:rPr>
        <w:t xml:space="preserve">The Accords fully normalized relations between Israel and the two signatories, created bilateral agreements on a number of economic </w:t>
      </w:r>
      <w:r w:rsidR="008234B1" w:rsidRPr="00737BE4">
        <w:rPr>
          <w:rFonts w:cs="Arial"/>
          <w:sz w:val="24"/>
          <w:szCs w:val="24"/>
        </w:rPr>
        <w:lastRenderedPageBreak/>
        <w:t>issues, established embassies, and set the stage for the development of a shared “strategic agenda.</w:t>
      </w:r>
      <w:r w:rsidR="00E97DC9" w:rsidRPr="00737BE4">
        <w:rPr>
          <w:rFonts w:cs="Arial"/>
          <w:sz w:val="24"/>
          <w:szCs w:val="24"/>
        </w:rPr>
        <w:t>”</w:t>
      </w:r>
      <w:r w:rsidR="008234B1" w:rsidRPr="00737BE4">
        <w:rPr>
          <w:rStyle w:val="FootnoteReference"/>
          <w:rFonts w:cs="Arial"/>
          <w:sz w:val="24"/>
          <w:szCs w:val="24"/>
        </w:rPr>
        <w:footnoteReference w:id="121"/>
      </w:r>
      <w:r w:rsidR="008234B1">
        <w:rPr>
          <w:rFonts w:cs="Arial"/>
          <w:sz w:val="24"/>
          <w:szCs w:val="24"/>
        </w:rPr>
        <w:t xml:space="preserve"> </w:t>
      </w:r>
    </w:p>
    <w:p w14:paraId="7738E775" w14:textId="618458AB" w:rsidR="00E85E86" w:rsidRPr="0048391B" w:rsidRDefault="006702F2" w:rsidP="008234B1">
      <w:pPr>
        <w:spacing w:after="0" w:line="480" w:lineRule="auto"/>
        <w:ind w:firstLine="720"/>
        <w:jc w:val="both"/>
        <w:rPr>
          <w:rFonts w:cs="Arial"/>
          <w:sz w:val="24"/>
          <w:szCs w:val="24"/>
        </w:rPr>
      </w:pPr>
      <w:r w:rsidRPr="0048391B">
        <w:rPr>
          <w:rFonts w:cs="Arial"/>
          <w:sz w:val="24"/>
          <w:szCs w:val="24"/>
        </w:rPr>
        <w:t xml:space="preserve">But this </w:t>
      </w:r>
      <w:r w:rsidR="00637AE9" w:rsidRPr="0048391B">
        <w:rPr>
          <w:rFonts w:cs="Arial"/>
          <w:sz w:val="24"/>
          <w:szCs w:val="24"/>
        </w:rPr>
        <w:t>development</w:t>
      </w:r>
      <w:r w:rsidRPr="0048391B">
        <w:rPr>
          <w:rFonts w:cs="Arial"/>
          <w:sz w:val="24"/>
          <w:szCs w:val="24"/>
        </w:rPr>
        <w:t xml:space="preserve"> came after steady steps toward</w:t>
      </w:r>
      <w:r w:rsidR="00A836C5" w:rsidRPr="0048391B">
        <w:rPr>
          <w:rFonts w:cs="Arial"/>
          <w:sz w:val="24"/>
          <w:szCs w:val="24"/>
        </w:rPr>
        <w:t>s normalization in recent years from both parties.</w:t>
      </w:r>
      <w:r w:rsidRPr="0048391B">
        <w:rPr>
          <w:rFonts w:cs="Arial"/>
          <w:sz w:val="24"/>
          <w:szCs w:val="24"/>
        </w:rPr>
        <w:t xml:space="preserve"> </w:t>
      </w:r>
      <w:r w:rsidR="001E421C" w:rsidRPr="0048391B">
        <w:rPr>
          <w:rFonts w:cs="Arial"/>
          <w:sz w:val="24"/>
          <w:szCs w:val="24"/>
        </w:rPr>
        <w:t xml:space="preserve">Bahrain for instance </w:t>
      </w:r>
      <w:r w:rsidRPr="0048391B">
        <w:rPr>
          <w:rFonts w:cs="Arial"/>
          <w:sz w:val="24"/>
          <w:szCs w:val="24"/>
        </w:rPr>
        <w:t xml:space="preserve">had </w:t>
      </w:r>
      <w:r w:rsidR="001E421C" w:rsidRPr="0048391B">
        <w:rPr>
          <w:rFonts w:cs="Arial"/>
          <w:sz w:val="24"/>
          <w:szCs w:val="24"/>
        </w:rPr>
        <w:t xml:space="preserve">previously </w:t>
      </w:r>
      <w:r w:rsidR="00E85E86" w:rsidRPr="0048391B">
        <w:rPr>
          <w:rFonts w:cs="Arial"/>
          <w:sz w:val="24"/>
          <w:szCs w:val="24"/>
        </w:rPr>
        <w:t xml:space="preserve">acquiesced to US pressure to close </w:t>
      </w:r>
      <w:r w:rsidR="001E421C" w:rsidRPr="0048391B">
        <w:rPr>
          <w:rFonts w:cs="Arial"/>
          <w:sz w:val="24"/>
          <w:szCs w:val="24"/>
        </w:rPr>
        <w:t>its</w:t>
      </w:r>
      <w:r w:rsidR="00E85E86" w:rsidRPr="0048391B">
        <w:rPr>
          <w:rFonts w:cs="Arial"/>
          <w:sz w:val="24"/>
          <w:szCs w:val="24"/>
        </w:rPr>
        <w:t xml:space="preserve"> </w:t>
      </w:r>
      <w:r w:rsidR="001E421C" w:rsidRPr="0048391B">
        <w:rPr>
          <w:rFonts w:cs="Arial"/>
          <w:sz w:val="24"/>
          <w:szCs w:val="24"/>
        </w:rPr>
        <w:t>“</w:t>
      </w:r>
      <w:r w:rsidR="00E85E86" w:rsidRPr="0048391B">
        <w:rPr>
          <w:rFonts w:cs="Arial"/>
          <w:sz w:val="24"/>
          <w:szCs w:val="24"/>
        </w:rPr>
        <w:t>anti-normalization</w:t>
      </w:r>
      <w:r w:rsidR="001E421C" w:rsidRPr="0048391B">
        <w:rPr>
          <w:rFonts w:cs="Arial"/>
          <w:sz w:val="24"/>
          <w:szCs w:val="24"/>
        </w:rPr>
        <w:t xml:space="preserve">” </w:t>
      </w:r>
      <w:r w:rsidR="00E85E86" w:rsidRPr="0048391B">
        <w:rPr>
          <w:rFonts w:cs="Arial"/>
          <w:sz w:val="24"/>
          <w:szCs w:val="24"/>
        </w:rPr>
        <w:t>office, developed ties with Israeli security companies, and hosted Jared Kushner’s “Peace to Prosperity” conference</w:t>
      </w:r>
      <w:r w:rsidR="00CB0C1B">
        <w:rPr>
          <w:rFonts w:cs="Arial"/>
          <w:sz w:val="24"/>
          <w:szCs w:val="24"/>
        </w:rPr>
        <w:t xml:space="preserve">. </w:t>
      </w:r>
      <w:r w:rsidRPr="0048391B">
        <w:rPr>
          <w:rFonts w:cs="Arial"/>
          <w:sz w:val="24"/>
          <w:szCs w:val="24"/>
        </w:rPr>
        <w:t xml:space="preserve">This normalization </w:t>
      </w:r>
      <w:r w:rsidR="00E85E86" w:rsidRPr="0048391B">
        <w:rPr>
          <w:rFonts w:cs="Arial"/>
          <w:sz w:val="24"/>
          <w:szCs w:val="24"/>
        </w:rPr>
        <w:t>trend in Bahrain picked up pace following the Free Trade Agreement between Bahrain and the US,</w:t>
      </w:r>
      <w:r w:rsidR="00E85E86" w:rsidRPr="0048391B">
        <w:rPr>
          <w:rStyle w:val="FootnoteReference"/>
          <w:rFonts w:cs="Arial"/>
          <w:sz w:val="24"/>
          <w:szCs w:val="24"/>
        </w:rPr>
        <w:footnoteReference w:id="122"/>
      </w:r>
      <w:r w:rsidR="00E85E86" w:rsidRPr="0048391B">
        <w:rPr>
          <w:rFonts w:cs="Arial"/>
          <w:sz w:val="24"/>
          <w:szCs w:val="24"/>
        </w:rPr>
        <w:t xml:space="preserve"> and intensified following the Arab Spring</w:t>
      </w:r>
      <w:r w:rsidRPr="0048391B">
        <w:rPr>
          <w:rFonts w:cs="Arial"/>
          <w:sz w:val="24"/>
          <w:szCs w:val="24"/>
        </w:rPr>
        <w:t xml:space="preserve"> as the regime dealt with challenges to its durability.</w:t>
      </w:r>
      <w:r w:rsidR="00A836C5" w:rsidRPr="0048391B">
        <w:rPr>
          <w:rFonts w:cs="Arial"/>
          <w:sz w:val="24"/>
          <w:szCs w:val="24"/>
        </w:rPr>
        <w:t xml:space="preserve"> </w:t>
      </w:r>
    </w:p>
    <w:p w14:paraId="5D145A27" w14:textId="0791DD93" w:rsidR="00E85E86" w:rsidRPr="0048391B" w:rsidRDefault="00A836C5" w:rsidP="00637AE9">
      <w:pPr>
        <w:spacing w:after="0" w:line="480" w:lineRule="auto"/>
        <w:jc w:val="both"/>
        <w:rPr>
          <w:rFonts w:cs="Arial"/>
          <w:sz w:val="24"/>
          <w:szCs w:val="24"/>
        </w:rPr>
      </w:pPr>
      <w:r w:rsidRPr="0048391B">
        <w:rPr>
          <w:rFonts w:cs="Arial"/>
          <w:sz w:val="24"/>
          <w:szCs w:val="24"/>
        </w:rPr>
        <w:tab/>
      </w:r>
      <w:r w:rsidR="00E85E86" w:rsidRPr="0048391B">
        <w:rPr>
          <w:rFonts w:cs="Arial"/>
          <w:sz w:val="24"/>
          <w:szCs w:val="24"/>
        </w:rPr>
        <w:t>Unlike more repressive states in the region, however, Bahrain has a comparatively vibrant civil society, and citizens have the space to engage in ways that are</w:t>
      </w:r>
      <w:r w:rsidR="006702F2" w:rsidRPr="0048391B">
        <w:rPr>
          <w:rFonts w:cs="Arial"/>
          <w:sz w:val="24"/>
          <w:szCs w:val="24"/>
        </w:rPr>
        <w:t xml:space="preserve"> not</w:t>
      </w:r>
      <w:r w:rsidR="00E85E86" w:rsidRPr="0048391B">
        <w:rPr>
          <w:rFonts w:cs="Arial"/>
          <w:sz w:val="24"/>
          <w:szCs w:val="24"/>
        </w:rPr>
        <w:t xml:space="preserve"> tolerated </w:t>
      </w:r>
      <w:r w:rsidR="00E97DC9">
        <w:rPr>
          <w:rFonts w:cs="Arial"/>
          <w:sz w:val="24"/>
          <w:szCs w:val="24"/>
        </w:rPr>
        <w:t>in</w:t>
      </w:r>
      <w:r w:rsidR="00E85E86" w:rsidRPr="0048391B">
        <w:rPr>
          <w:rFonts w:cs="Arial"/>
          <w:sz w:val="24"/>
          <w:szCs w:val="24"/>
        </w:rPr>
        <w:t xml:space="preserve"> other </w:t>
      </w:r>
      <w:r w:rsidR="00E97DC9">
        <w:rPr>
          <w:rFonts w:cs="Arial"/>
          <w:sz w:val="24"/>
          <w:szCs w:val="24"/>
        </w:rPr>
        <w:t xml:space="preserve">parts of </w:t>
      </w:r>
      <w:r w:rsidR="00E85E86" w:rsidRPr="0048391B">
        <w:rPr>
          <w:rFonts w:cs="Arial"/>
          <w:sz w:val="24"/>
          <w:szCs w:val="24"/>
        </w:rPr>
        <w:t>the region</w:t>
      </w:r>
      <w:r w:rsidR="00CA77E8">
        <w:rPr>
          <w:rFonts w:cs="Arial"/>
          <w:sz w:val="24"/>
          <w:szCs w:val="24"/>
        </w:rPr>
        <w:t xml:space="preserve">. </w:t>
      </w:r>
      <w:r w:rsidR="00CB520C">
        <w:rPr>
          <w:rFonts w:cs="Arial"/>
          <w:sz w:val="24"/>
          <w:szCs w:val="24"/>
        </w:rPr>
        <w:t>Bahraini groups have</w:t>
      </w:r>
      <w:r w:rsidR="00E85E86" w:rsidRPr="0048391B">
        <w:rPr>
          <w:rFonts w:cs="Arial"/>
          <w:sz w:val="24"/>
          <w:szCs w:val="24"/>
        </w:rPr>
        <w:t xml:space="preserve"> a long history of political engagement, many with origins from the early 193</w:t>
      </w:r>
      <w:r w:rsidR="006702F2" w:rsidRPr="0048391B">
        <w:rPr>
          <w:rFonts w:cs="Arial"/>
          <w:sz w:val="24"/>
          <w:szCs w:val="24"/>
        </w:rPr>
        <w:t xml:space="preserve">0’s. The issue of Palestine features prominently, beginning 1939 when Bahrainis organized the </w:t>
      </w:r>
      <w:r w:rsidR="00E85E86" w:rsidRPr="0048391B">
        <w:rPr>
          <w:rFonts w:cs="Arial"/>
          <w:sz w:val="24"/>
          <w:szCs w:val="24"/>
        </w:rPr>
        <w:t>first Committee for the Support of Palestine.</w:t>
      </w:r>
      <w:r w:rsidR="00E85E86" w:rsidRPr="0048391B">
        <w:rPr>
          <w:rStyle w:val="FootnoteReference"/>
          <w:rFonts w:cs="Arial"/>
          <w:sz w:val="24"/>
          <w:szCs w:val="24"/>
        </w:rPr>
        <w:footnoteReference w:id="123"/>
      </w:r>
      <w:r w:rsidR="006702F2" w:rsidRPr="0048391B">
        <w:rPr>
          <w:rFonts w:cs="Arial"/>
          <w:sz w:val="24"/>
          <w:szCs w:val="24"/>
        </w:rPr>
        <w:t xml:space="preserve"> Moreover, t</w:t>
      </w:r>
      <w:r w:rsidR="00E85E86" w:rsidRPr="0048391B">
        <w:rPr>
          <w:rFonts w:cs="Arial"/>
          <w:sz w:val="24"/>
          <w:szCs w:val="24"/>
        </w:rPr>
        <w:t>he anti-n</w:t>
      </w:r>
      <w:r w:rsidR="006702F2" w:rsidRPr="0048391B">
        <w:rPr>
          <w:rFonts w:cs="Arial"/>
          <w:sz w:val="24"/>
          <w:szCs w:val="24"/>
        </w:rPr>
        <w:t xml:space="preserve">ormalization office in Bahrain </w:t>
      </w:r>
      <w:r w:rsidR="00B77066">
        <w:rPr>
          <w:rFonts w:cs="Arial"/>
          <w:sz w:val="24"/>
          <w:szCs w:val="24"/>
        </w:rPr>
        <w:t xml:space="preserve">existed </w:t>
      </w:r>
      <w:r w:rsidR="00637AE9" w:rsidRPr="0048391B">
        <w:rPr>
          <w:rFonts w:cs="Arial"/>
          <w:sz w:val="24"/>
          <w:szCs w:val="24"/>
        </w:rPr>
        <w:t>prior to</w:t>
      </w:r>
      <w:r w:rsidR="006702F2" w:rsidRPr="0048391B">
        <w:rPr>
          <w:rFonts w:cs="Arial"/>
          <w:sz w:val="24"/>
          <w:szCs w:val="24"/>
        </w:rPr>
        <w:t xml:space="preserve"> </w:t>
      </w:r>
      <w:r w:rsidR="00E85E86" w:rsidRPr="0048391B">
        <w:rPr>
          <w:rFonts w:cs="Arial"/>
          <w:sz w:val="24"/>
          <w:szCs w:val="24"/>
        </w:rPr>
        <w:t xml:space="preserve">the </w:t>
      </w:r>
      <w:r w:rsidR="00637AE9" w:rsidRPr="0048391B">
        <w:rPr>
          <w:rFonts w:cs="Arial"/>
          <w:sz w:val="24"/>
          <w:szCs w:val="24"/>
        </w:rPr>
        <w:t xml:space="preserve">state </w:t>
      </w:r>
      <w:r w:rsidR="00E97DC9">
        <w:rPr>
          <w:rFonts w:cs="Arial"/>
          <w:sz w:val="24"/>
          <w:szCs w:val="24"/>
        </w:rPr>
        <w:t>itself</w:t>
      </w:r>
      <w:r w:rsidR="00E85E86" w:rsidRPr="0048391B">
        <w:rPr>
          <w:rFonts w:cs="Arial"/>
          <w:sz w:val="24"/>
          <w:szCs w:val="24"/>
        </w:rPr>
        <w:t xml:space="preserve">. </w:t>
      </w:r>
      <w:r w:rsidR="005C1898">
        <w:rPr>
          <w:rFonts w:cs="Arial"/>
          <w:sz w:val="24"/>
          <w:szCs w:val="24"/>
        </w:rPr>
        <w:t>A</w:t>
      </w:r>
      <w:r w:rsidR="00E85E86" w:rsidRPr="0048391B">
        <w:rPr>
          <w:rFonts w:cs="Arial"/>
          <w:sz w:val="24"/>
          <w:szCs w:val="24"/>
        </w:rPr>
        <w:t xml:space="preserve">lthough the government took major steps on </w:t>
      </w:r>
      <w:r w:rsidR="00E85E86" w:rsidRPr="0048391B">
        <w:rPr>
          <w:rFonts w:cs="Arial"/>
          <w:sz w:val="24"/>
          <w:szCs w:val="24"/>
        </w:rPr>
        <w:lastRenderedPageBreak/>
        <w:t xml:space="preserve">the path to normalization, they faced enormous pressure from civil society for each intensification. </w:t>
      </w:r>
    </w:p>
    <w:p w14:paraId="70D384AC" w14:textId="6C840FEA" w:rsidR="00E85E86" w:rsidRPr="0048391B" w:rsidRDefault="00E85E86" w:rsidP="00D65405">
      <w:pPr>
        <w:spacing w:after="0" w:line="480" w:lineRule="auto"/>
        <w:jc w:val="both"/>
        <w:rPr>
          <w:rFonts w:cs="Arial"/>
          <w:sz w:val="24"/>
          <w:szCs w:val="24"/>
        </w:rPr>
      </w:pPr>
      <w:r w:rsidRPr="0048391B">
        <w:rPr>
          <w:rFonts w:cs="Arial"/>
          <w:sz w:val="24"/>
          <w:szCs w:val="24"/>
        </w:rPr>
        <w:tab/>
      </w:r>
      <w:r w:rsidR="006A3DF0" w:rsidRPr="0048391B">
        <w:rPr>
          <w:rFonts w:cs="Arial"/>
          <w:sz w:val="24"/>
          <w:szCs w:val="24"/>
        </w:rPr>
        <w:t xml:space="preserve">Nevertheless, with each step, </w:t>
      </w:r>
      <w:r w:rsidR="006A3DF0" w:rsidRPr="0048391B">
        <w:rPr>
          <w:rFonts w:cs="Arial"/>
          <w:b/>
          <w:bCs/>
          <w:sz w:val="24"/>
          <w:szCs w:val="24"/>
        </w:rPr>
        <w:t>repression</w:t>
      </w:r>
      <w:r w:rsidR="006A3DF0" w:rsidRPr="0048391B">
        <w:rPr>
          <w:rFonts w:cs="Arial"/>
          <w:sz w:val="24"/>
          <w:szCs w:val="24"/>
        </w:rPr>
        <w:t xml:space="preserve"> became more heavy-handed. </w:t>
      </w:r>
      <w:r w:rsidR="006702F2" w:rsidRPr="0048391B">
        <w:rPr>
          <w:rFonts w:cs="Arial"/>
          <w:sz w:val="24"/>
          <w:szCs w:val="24"/>
        </w:rPr>
        <w:t>For instance, the Bahraini regime has become increasingly restrictive of NGOs via legal mea</w:t>
      </w:r>
      <w:r w:rsidR="00A66EC4" w:rsidRPr="0048391B">
        <w:rPr>
          <w:rFonts w:cs="Arial"/>
          <w:sz w:val="24"/>
          <w:szCs w:val="24"/>
        </w:rPr>
        <w:t xml:space="preserve">ns. This is similar to trends </w:t>
      </w:r>
      <w:r w:rsidR="00637AE9" w:rsidRPr="0048391B">
        <w:rPr>
          <w:rFonts w:cs="Arial"/>
          <w:sz w:val="24"/>
          <w:szCs w:val="24"/>
        </w:rPr>
        <w:t xml:space="preserve">occurring worldwide, </w:t>
      </w:r>
      <w:r w:rsidR="00364019">
        <w:rPr>
          <w:rFonts w:cs="Arial"/>
          <w:sz w:val="24"/>
          <w:szCs w:val="24"/>
        </w:rPr>
        <w:t>often</w:t>
      </w:r>
      <w:r w:rsidR="00637AE9" w:rsidRPr="0048391B">
        <w:rPr>
          <w:rFonts w:cs="Arial"/>
          <w:sz w:val="24"/>
          <w:szCs w:val="24"/>
        </w:rPr>
        <w:t xml:space="preserve"> attributed to linkages between regimes and Russia or China.</w:t>
      </w:r>
      <w:r w:rsidR="00A66EC4" w:rsidRPr="0048391B">
        <w:rPr>
          <w:rStyle w:val="FootnoteReference"/>
          <w:rFonts w:cs="Arial"/>
          <w:sz w:val="24"/>
          <w:szCs w:val="24"/>
        </w:rPr>
        <w:footnoteReference w:id="124"/>
      </w:r>
      <w:r w:rsidR="00A66EC4" w:rsidRPr="0048391B">
        <w:rPr>
          <w:rFonts w:cs="Arial"/>
          <w:sz w:val="24"/>
          <w:szCs w:val="24"/>
        </w:rPr>
        <w:t xml:space="preserve"> </w:t>
      </w:r>
      <w:r w:rsidR="00637AE9" w:rsidRPr="0048391B">
        <w:rPr>
          <w:rFonts w:cs="Arial"/>
          <w:sz w:val="24"/>
          <w:szCs w:val="24"/>
        </w:rPr>
        <w:t>In this case, however, this comes with increased linkages to Israel. Bahraini a</w:t>
      </w:r>
      <w:r w:rsidR="00A66EC4" w:rsidRPr="0048391B">
        <w:rPr>
          <w:rFonts w:cs="Arial"/>
          <w:sz w:val="24"/>
          <w:szCs w:val="24"/>
        </w:rPr>
        <w:t xml:space="preserve">uthorities have enforced barriers to operation </w:t>
      </w:r>
      <w:r w:rsidR="00637AE9" w:rsidRPr="0048391B">
        <w:rPr>
          <w:rFonts w:cs="Arial"/>
          <w:sz w:val="24"/>
          <w:szCs w:val="24"/>
        </w:rPr>
        <w:t xml:space="preserve">for civil society </w:t>
      </w:r>
      <w:r w:rsidR="00A66EC4" w:rsidRPr="0048391B">
        <w:rPr>
          <w:rFonts w:cs="Arial"/>
          <w:sz w:val="24"/>
          <w:szCs w:val="24"/>
        </w:rPr>
        <w:t>i</w:t>
      </w:r>
      <w:r w:rsidR="006702F2" w:rsidRPr="0048391B">
        <w:rPr>
          <w:rFonts w:cs="Arial"/>
          <w:sz w:val="24"/>
          <w:szCs w:val="24"/>
        </w:rPr>
        <w:t xml:space="preserve">n order to decrease the frequency of </w:t>
      </w:r>
      <w:r w:rsidR="00A66EC4" w:rsidRPr="0048391B">
        <w:rPr>
          <w:rFonts w:cs="Arial"/>
          <w:sz w:val="24"/>
          <w:szCs w:val="24"/>
        </w:rPr>
        <w:t>events</w:t>
      </w:r>
      <w:r w:rsidR="006702F2" w:rsidRPr="0048391B">
        <w:rPr>
          <w:rFonts w:cs="Arial"/>
          <w:sz w:val="24"/>
          <w:szCs w:val="24"/>
        </w:rPr>
        <w:t xml:space="preserve"> and diffuse the mobilizing capacity of pro-Palestinian activism. </w:t>
      </w:r>
      <w:r w:rsidR="00A66EC4" w:rsidRPr="0048391B">
        <w:rPr>
          <w:rFonts w:cs="Arial"/>
          <w:sz w:val="24"/>
          <w:szCs w:val="24"/>
        </w:rPr>
        <w:t>This is important because s</w:t>
      </w:r>
      <w:r w:rsidRPr="0048391B">
        <w:rPr>
          <w:rFonts w:cs="Arial"/>
          <w:sz w:val="24"/>
          <w:szCs w:val="24"/>
        </w:rPr>
        <w:t xml:space="preserve">uch </w:t>
      </w:r>
      <w:r w:rsidR="006702F2" w:rsidRPr="0048391B">
        <w:rPr>
          <w:rFonts w:cs="Arial"/>
          <w:sz w:val="24"/>
          <w:szCs w:val="24"/>
        </w:rPr>
        <w:t>activism</w:t>
      </w:r>
      <w:r w:rsidRPr="0048391B">
        <w:rPr>
          <w:rFonts w:cs="Arial"/>
          <w:sz w:val="24"/>
          <w:szCs w:val="24"/>
        </w:rPr>
        <w:t xml:space="preserve"> </w:t>
      </w:r>
      <w:r w:rsidR="00D65405" w:rsidRPr="0048391B">
        <w:rPr>
          <w:rFonts w:cs="Arial"/>
          <w:sz w:val="24"/>
          <w:szCs w:val="24"/>
        </w:rPr>
        <w:t>appeals to</w:t>
      </w:r>
      <w:r w:rsidRPr="0048391B">
        <w:rPr>
          <w:rFonts w:cs="Arial"/>
          <w:sz w:val="24"/>
          <w:szCs w:val="24"/>
        </w:rPr>
        <w:t xml:space="preserve"> </w:t>
      </w:r>
      <w:r w:rsidR="006702F2" w:rsidRPr="0048391B">
        <w:rPr>
          <w:rFonts w:cs="Arial"/>
          <w:sz w:val="24"/>
          <w:szCs w:val="24"/>
        </w:rPr>
        <w:t>groups</w:t>
      </w:r>
      <w:r w:rsidRPr="0048391B">
        <w:rPr>
          <w:rFonts w:cs="Arial"/>
          <w:sz w:val="24"/>
          <w:szCs w:val="24"/>
        </w:rPr>
        <w:t xml:space="preserve"> from across all major political fa</w:t>
      </w:r>
      <w:r w:rsidR="006A3DF0" w:rsidRPr="0048391B">
        <w:rPr>
          <w:rFonts w:cs="Arial"/>
          <w:sz w:val="24"/>
          <w:szCs w:val="24"/>
        </w:rPr>
        <w:t>ctions and sectarian identities</w:t>
      </w:r>
      <w:r w:rsidR="006702F2" w:rsidRPr="0048391B">
        <w:rPr>
          <w:rFonts w:cs="Arial"/>
          <w:sz w:val="24"/>
          <w:szCs w:val="24"/>
        </w:rPr>
        <w:t>.</w:t>
      </w:r>
      <w:r w:rsidRPr="0048391B">
        <w:rPr>
          <w:rStyle w:val="FootnoteReference"/>
          <w:rFonts w:cs="Arial"/>
          <w:sz w:val="24"/>
          <w:szCs w:val="24"/>
        </w:rPr>
        <w:footnoteReference w:id="125"/>
      </w:r>
      <w:r w:rsidRPr="0048391B">
        <w:rPr>
          <w:rFonts w:cs="Arial"/>
          <w:sz w:val="24"/>
          <w:szCs w:val="24"/>
        </w:rPr>
        <w:t xml:space="preserve"> </w:t>
      </w:r>
      <w:r w:rsidR="006702F2" w:rsidRPr="0048391B">
        <w:rPr>
          <w:rFonts w:cs="Arial"/>
          <w:sz w:val="24"/>
          <w:szCs w:val="24"/>
        </w:rPr>
        <w:t xml:space="preserve">As such, </w:t>
      </w:r>
      <w:r w:rsidR="00A66EC4" w:rsidRPr="0048391B">
        <w:rPr>
          <w:rFonts w:cs="Arial"/>
          <w:sz w:val="24"/>
          <w:szCs w:val="24"/>
        </w:rPr>
        <w:t>its</w:t>
      </w:r>
      <w:r w:rsidR="006702F2" w:rsidRPr="0048391B">
        <w:rPr>
          <w:rFonts w:cs="Arial"/>
          <w:sz w:val="24"/>
          <w:szCs w:val="24"/>
        </w:rPr>
        <w:t xml:space="preserve"> unifying potential </w:t>
      </w:r>
      <w:r w:rsidR="00E63F0C">
        <w:rPr>
          <w:rFonts w:cs="Arial"/>
          <w:sz w:val="24"/>
          <w:szCs w:val="24"/>
        </w:rPr>
        <w:t>worries the</w:t>
      </w:r>
      <w:r w:rsidR="006A3DF0" w:rsidRPr="0048391B">
        <w:rPr>
          <w:rFonts w:cs="Arial"/>
          <w:sz w:val="24"/>
          <w:szCs w:val="24"/>
        </w:rPr>
        <w:t xml:space="preserve"> Bahraini regime</w:t>
      </w:r>
      <w:r w:rsidRPr="0048391B">
        <w:rPr>
          <w:rFonts w:cs="Arial"/>
          <w:sz w:val="24"/>
          <w:szCs w:val="24"/>
        </w:rPr>
        <w:t>.</w:t>
      </w:r>
      <w:r w:rsidRPr="0048391B">
        <w:rPr>
          <w:rStyle w:val="FootnoteReference"/>
          <w:rFonts w:cs="Arial"/>
          <w:sz w:val="24"/>
          <w:szCs w:val="24"/>
        </w:rPr>
        <w:footnoteReference w:id="126"/>
      </w:r>
    </w:p>
    <w:p w14:paraId="0D88BC44" w14:textId="39874965" w:rsidR="00D7608A" w:rsidRPr="0048391B" w:rsidRDefault="00D7608A" w:rsidP="00D65405">
      <w:pPr>
        <w:spacing w:after="0" w:line="480" w:lineRule="auto"/>
        <w:jc w:val="both"/>
        <w:rPr>
          <w:rFonts w:cs="Arial"/>
          <w:sz w:val="24"/>
          <w:szCs w:val="24"/>
        </w:rPr>
      </w:pPr>
      <w:r w:rsidRPr="0048391B">
        <w:rPr>
          <w:rFonts w:cs="Arial"/>
          <w:sz w:val="24"/>
          <w:szCs w:val="24"/>
        </w:rPr>
        <w:tab/>
      </w:r>
      <w:r w:rsidR="001E1137" w:rsidRPr="0048391B">
        <w:rPr>
          <w:rFonts w:cs="Arial"/>
          <w:sz w:val="24"/>
          <w:szCs w:val="24"/>
        </w:rPr>
        <w:t xml:space="preserve">Specifically, restrictions have increased by implementing more stringent registration requirements. In Bahrain, </w:t>
      </w:r>
      <w:r w:rsidRPr="0048391B">
        <w:rPr>
          <w:rFonts w:cs="Arial"/>
          <w:sz w:val="24"/>
          <w:szCs w:val="24"/>
        </w:rPr>
        <w:t>civil society organizations must be registered officially</w:t>
      </w:r>
      <w:r w:rsidR="001E1137" w:rsidRPr="0048391B">
        <w:rPr>
          <w:rFonts w:cs="Arial"/>
          <w:sz w:val="24"/>
          <w:szCs w:val="24"/>
        </w:rPr>
        <w:t xml:space="preserve"> through a relevant ministry. </w:t>
      </w:r>
      <w:r w:rsidRPr="0048391B">
        <w:rPr>
          <w:rFonts w:cs="Arial"/>
          <w:sz w:val="24"/>
          <w:szCs w:val="24"/>
        </w:rPr>
        <w:t>Often times, however, the scope of such gr</w:t>
      </w:r>
      <w:r w:rsidR="00637AE9" w:rsidRPr="0048391B">
        <w:rPr>
          <w:rFonts w:cs="Arial"/>
          <w:sz w:val="24"/>
          <w:szCs w:val="24"/>
        </w:rPr>
        <w:t>oups goes beyond their officially stated objectives</w:t>
      </w:r>
      <w:r w:rsidRPr="0048391B">
        <w:rPr>
          <w:rFonts w:cs="Arial"/>
          <w:sz w:val="24"/>
          <w:szCs w:val="24"/>
        </w:rPr>
        <w:t xml:space="preserve">. </w:t>
      </w:r>
      <w:r w:rsidR="001E1137" w:rsidRPr="0048391B">
        <w:rPr>
          <w:rFonts w:cs="Arial"/>
          <w:sz w:val="24"/>
          <w:szCs w:val="24"/>
        </w:rPr>
        <w:t>One example is</w:t>
      </w:r>
      <w:r w:rsidR="00637AE9" w:rsidRPr="0048391B">
        <w:rPr>
          <w:rFonts w:cs="Arial"/>
          <w:sz w:val="24"/>
          <w:szCs w:val="24"/>
        </w:rPr>
        <w:t xml:space="preserve"> Nadi Al Ouruba (</w:t>
      </w:r>
      <w:r w:rsidRPr="0048391B">
        <w:rPr>
          <w:rFonts w:cs="Arial"/>
          <w:sz w:val="24"/>
          <w:szCs w:val="24"/>
        </w:rPr>
        <w:t>Arabism Club</w:t>
      </w:r>
      <w:r w:rsidR="00637AE9" w:rsidRPr="0048391B">
        <w:rPr>
          <w:rFonts w:cs="Arial"/>
          <w:sz w:val="24"/>
          <w:szCs w:val="24"/>
        </w:rPr>
        <w:t>)</w:t>
      </w:r>
      <w:r w:rsidR="001E1137" w:rsidRPr="0048391B">
        <w:rPr>
          <w:rFonts w:cs="Arial"/>
          <w:sz w:val="24"/>
          <w:szCs w:val="24"/>
        </w:rPr>
        <w:t xml:space="preserve">, which is </w:t>
      </w:r>
      <w:r w:rsidRPr="0048391B">
        <w:rPr>
          <w:rFonts w:cs="Arial"/>
          <w:sz w:val="24"/>
          <w:szCs w:val="24"/>
        </w:rPr>
        <w:t>technically a sports club where people c</w:t>
      </w:r>
      <w:r w:rsidR="00637AE9" w:rsidRPr="0048391B">
        <w:rPr>
          <w:rFonts w:cs="Arial"/>
          <w:sz w:val="24"/>
          <w:szCs w:val="24"/>
        </w:rPr>
        <w:t>an meet</w:t>
      </w:r>
      <w:r w:rsidR="001E1137" w:rsidRPr="0048391B">
        <w:rPr>
          <w:rFonts w:cs="Arial"/>
          <w:sz w:val="24"/>
          <w:szCs w:val="24"/>
        </w:rPr>
        <w:t xml:space="preserve"> to play soccer. However, i</w:t>
      </w:r>
      <w:r w:rsidR="00637AE9" w:rsidRPr="0048391B">
        <w:rPr>
          <w:rFonts w:cs="Arial"/>
          <w:sz w:val="24"/>
          <w:szCs w:val="24"/>
        </w:rPr>
        <w:t>t</w:t>
      </w:r>
      <w:r w:rsidR="001E1137" w:rsidRPr="0048391B">
        <w:rPr>
          <w:rFonts w:cs="Arial"/>
          <w:sz w:val="24"/>
          <w:szCs w:val="24"/>
        </w:rPr>
        <w:t xml:space="preserve"> has historically moved beyond that scope, and was known to also hold</w:t>
      </w:r>
      <w:r w:rsidRPr="0048391B">
        <w:rPr>
          <w:rFonts w:cs="Arial"/>
          <w:sz w:val="24"/>
          <w:szCs w:val="24"/>
        </w:rPr>
        <w:t xml:space="preserve"> intellectual activities </w:t>
      </w:r>
      <w:r w:rsidR="001E1137" w:rsidRPr="0048391B">
        <w:rPr>
          <w:rFonts w:cs="Arial"/>
          <w:sz w:val="24"/>
          <w:szCs w:val="24"/>
        </w:rPr>
        <w:t>for its members</w:t>
      </w:r>
      <w:r w:rsidR="00A00B40">
        <w:rPr>
          <w:rFonts w:cs="Arial"/>
          <w:sz w:val="24"/>
          <w:szCs w:val="24"/>
        </w:rPr>
        <w:t xml:space="preserve"> which was </w:t>
      </w:r>
      <w:r w:rsidR="001E1137" w:rsidRPr="0048391B">
        <w:rPr>
          <w:rFonts w:cs="Arial"/>
          <w:sz w:val="24"/>
          <w:szCs w:val="24"/>
        </w:rPr>
        <w:t xml:space="preserve">tolerated </w:t>
      </w:r>
      <w:r w:rsidRPr="0048391B">
        <w:rPr>
          <w:rFonts w:cs="Arial"/>
          <w:sz w:val="24"/>
          <w:szCs w:val="24"/>
        </w:rPr>
        <w:t xml:space="preserve">in the past. </w:t>
      </w:r>
      <w:r w:rsidR="001E1137" w:rsidRPr="0048391B">
        <w:rPr>
          <w:rFonts w:cs="Arial"/>
          <w:sz w:val="24"/>
          <w:szCs w:val="24"/>
        </w:rPr>
        <w:t>Today, the</w:t>
      </w:r>
      <w:r w:rsidRPr="0048391B">
        <w:rPr>
          <w:rFonts w:cs="Arial"/>
          <w:sz w:val="24"/>
          <w:szCs w:val="24"/>
        </w:rPr>
        <w:t xml:space="preserve"> government has exercised greater control over </w:t>
      </w:r>
      <w:r w:rsidR="001E1137" w:rsidRPr="0048391B">
        <w:rPr>
          <w:rFonts w:cs="Arial"/>
          <w:sz w:val="24"/>
          <w:szCs w:val="24"/>
        </w:rPr>
        <w:t>such activities</w:t>
      </w:r>
      <w:r w:rsidRPr="0048391B">
        <w:rPr>
          <w:rFonts w:cs="Arial"/>
          <w:sz w:val="24"/>
          <w:szCs w:val="24"/>
        </w:rPr>
        <w:t xml:space="preserve"> by </w:t>
      </w:r>
      <w:r w:rsidR="001E1137" w:rsidRPr="0048391B">
        <w:rPr>
          <w:rFonts w:cs="Arial"/>
          <w:sz w:val="24"/>
          <w:szCs w:val="24"/>
        </w:rPr>
        <w:t>forcing</w:t>
      </w:r>
      <w:r w:rsidRPr="0048391B">
        <w:rPr>
          <w:rFonts w:cs="Arial"/>
          <w:sz w:val="24"/>
          <w:szCs w:val="24"/>
        </w:rPr>
        <w:t xml:space="preserve"> groups to </w:t>
      </w:r>
      <w:r w:rsidR="001E1137" w:rsidRPr="0048391B">
        <w:rPr>
          <w:rFonts w:cs="Arial"/>
          <w:sz w:val="24"/>
          <w:szCs w:val="24"/>
        </w:rPr>
        <w:t>adhere to their</w:t>
      </w:r>
      <w:r w:rsidRPr="0048391B">
        <w:rPr>
          <w:rFonts w:cs="Arial"/>
          <w:sz w:val="24"/>
          <w:szCs w:val="24"/>
        </w:rPr>
        <w:t xml:space="preserve"> narrow, officially</w:t>
      </w:r>
      <w:r w:rsidR="00E97DC9">
        <w:rPr>
          <w:rFonts w:cs="Arial"/>
          <w:sz w:val="24"/>
          <w:szCs w:val="24"/>
        </w:rPr>
        <w:t>-</w:t>
      </w:r>
      <w:r w:rsidRPr="0048391B">
        <w:rPr>
          <w:rFonts w:cs="Arial"/>
          <w:sz w:val="24"/>
          <w:szCs w:val="24"/>
        </w:rPr>
        <w:t xml:space="preserve">registered objectives. </w:t>
      </w:r>
      <w:r w:rsidR="001E1137" w:rsidRPr="0048391B">
        <w:rPr>
          <w:rFonts w:cs="Arial"/>
          <w:sz w:val="24"/>
          <w:szCs w:val="24"/>
        </w:rPr>
        <w:t xml:space="preserve">The state </w:t>
      </w:r>
      <w:r w:rsidR="0087409D">
        <w:rPr>
          <w:rFonts w:cs="Arial"/>
          <w:sz w:val="24"/>
          <w:szCs w:val="24"/>
        </w:rPr>
        <w:t>aggressively</w:t>
      </w:r>
      <w:r w:rsidR="00A00B40">
        <w:rPr>
          <w:rFonts w:cs="Arial"/>
          <w:sz w:val="24"/>
          <w:szCs w:val="24"/>
        </w:rPr>
        <w:t xml:space="preserve"> shuts down</w:t>
      </w:r>
      <w:r w:rsidR="001E1137" w:rsidRPr="0048391B">
        <w:rPr>
          <w:rFonts w:cs="Arial"/>
          <w:sz w:val="24"/>
          <w:szCs w:val="24"/>
        </w:rPr>
        <w:t xml:space="preserve"> any activity that goes beyond official ministry registration.</w:t>
      </w:r>
      <w:r w:rsidR="00D65405" w:rsidRPr="0048391B">
        <w:rPr>
          <w:rStyle w:val="FootnoteReference"/>
          <w:rFonts w:cs="Arial"/>
          <w:sz w:val="24"/>
          <w:szCs w:val="24"/>
        </w:rPr>
        <w:footnoteReference w:id="127"/>
      </w:r>
      <w:r w:rsidR="001E1137" w:rsidRPr="0048391B">
        <w:rPr>
          <w:rFonts w:cs="Arial"/>
          <w:sz w:val="24"/>
          <w:szCs w:val="24"/>
        </w:rPr>
        <w:t xml:space="preserve"> </w:t>
      </w:r>
    </w:p>
    <w:p w14:paraId="740DE4EC" w14:textId="4CCBFF67" w:rsidR="00E85E86" w:rsidRPr="0048391B" w:rsidRDefault="00D7608A" w:rsidP="00637AE9">
      <w:pPr>
        <w:spacing w:after="0" w:line="480" w:lineRule="auto"/>
        <w:ind w:firstLine="720"/>
        <w:jc w:val="both"/>
        <w:rPr>
          <w:rFonts w:cs="Arial"/>
          <w:sz w:val="24"/>
          <w:szCs w:val="24"/>
        </w:rPr>
      </w:pPr>
      <w:r w:rsidRPr="0048391B">
        <w:rPr>
          <w:rFonts w:cs="Arial"/>
          <w:sz w:val="24"/>
          <w:szCs w:val="24"/>
        </w:rPr>
        <w:lastRenderedPageBreak/>
        <w:t xml:space="preserve">The </w:t>
      </w:r>
      <w:r w:rsidR="00E85E86" w:rsidRPr="0048391B">
        <w:rPr>
          <w:rFonts w:cs="Arial"/>
          <w:sz w:val="24"/>
          <w:szCs w:val="24"/>
        </w:rPr>
        <w:t>crackdown on the Ba</w:t>
      </w:r>
      <w:r w:rsidRPr="0048391B">
        <w:rPr>
          <w:rFonts w:cs="Arial"/>
          <w:sz w:val="24"/>
          <w:szCs w:val="24"/>
        </w:rPr>
        <w:t>hraini Democratic Youth Society is a case in point.</w:t>
      </w:r>
      <w:r w:rsidR="00E85E86" w:rsidRPr="0048391B">
        <w:rPr>
          <w:rFonts w:cs="Arial"/>
          <w:sz w:val="24"/>
          <w:szCs w:val="24"/>
        </w:rPr>
        <w:t xml:space="preserve"> This group is registered through the Ministry of Social Affairs, and attempted to hold an event related to normalization in the Gulf. </w:t>
      </w:r>
      <w:r w:rsidR="00637AE9" w:rsidRPr="0048391B">
        <w:rPr>
          <w:rFonts w:cs="Arial"/>
          <w:sz w:val="24"/>
          <w:szCs w:val="24"/>
        </w:rPr>
        <w:t xml:space="preserve">They were contacted by a representative of the </w:t>
      </w:r>
      <w:r w:rsidR="00E85E86" w:rsidRPr="0048391B">
        <w:rPr>
          <w:rFonts w:cs="Arial"/>
          <w:sz w:val="24"/>
          <w:szCs w:val="24"/>
        </w:rPr>
        <w:t xml:space="preserve">Bahraini government </w:t>
      </w:r>
      <w:r w:rsidR="00637AE9" w:rsidRPr="0048391B">
        <w:rPr>
          <w:rFonts w:cs="Arial"/>
          <w:sz w:val="24"/>
          <w:szCs w:val="24"/>
        </w:rPr>
        <w:t xml:space="preserve">in the midst of the live-feed, </w:t>
      </w:r>
      <w:r w:rsidR="00E85E86" w:rsidRPr="0048391B">
        <w:rPr>
          <w:rFonts w:cs="Arial"/>
          <w:sz w:val="24"/>
          <w:szCs w:val="24"/>
        </w:rPr>
        <w:t xml:space="preserve">and </w:t>
      </w:r>
      <w:r w:rsidR="00637AE9" w:rsidRPr="0048391B">
        <w:rPr>
          <w:rFonts w:cs="Arial"/>
          <w:sz w:val="24"/>
          <w:szCs w:val="24"/>
        </w:rPr>
        <w:t>were ordered</w:t>
      </w:r>
      <w:r w:rsidR="00E85E86" w:rsidRPr="0048391B">
        <w:rPr>
          <w:rFonts w:cs="Arial"/>
          <w:sz w:val="24"/>
          <w:szCs w:val="24"/>
        </w:rPr>
        <w:t xml:space="preserve"> to turn off the cameras and end the discussion. Activists had no recourse but to comply.</w:t>
      </w:r>
      <w:r w:rsidR="00D65405" w:rsidRPr="0048391B">
        <w:rPr>
          <w:rStyle w:val="FootnoteReference"/>
          <w:rFonts w:cs="Arial"/>
          <w:sz w:val="24"/>
          <w:szCs w:val="24"/>
        </w:rPr>
        <w:footnoteReference w:id="128"/>
      </w:r>
      <w:r w:rsidR="00E85E86" w:rsidRPr="0048391B">
        <w:rPr>
          <w:rFonts w:cs="Arial"/>
          <w:sz w:val="24"/>
          <w:szCs w:val="24"/>
        </w:rPr>
        <w:t xml:space="preserve"> Similarly during the Kushner conference, the government ordered normalization activists to cancel an announced event within their own office space.</w:t>
      </w:r>
      <w:r w:rsidR="00875957" w:rsidRPr="0048391B">
        <w:rPr>
          <w:rStyle w:val="FootnoteReference"/>
          <w:rFonts w:cs="Arial"/>
          <w:sz w:val="24"/>
          <w:szCs w:val="24"/>
        </w:rPr>
        <w:footnoteReference w:id="129"/>
      </w:r>
      <w:r w:rsidR="00E85E86" w:rsidRPr="0048391B">
        <w:rPr>
          <w:rFonts w:cs="Arial"/>
          <w:sz w:val="24"/>
          <w:szCs w:val="24"/>
        </w:rPr>
        <w:t xml:space="preserve"> According to activists, this demonstrated that the government’s official line regarding normalization was in tension with public opinion, and so the regime had to exercise a heavier hand in their monitoring</w:t>
      </w:r>
      <w:r w:rsidRPr="0048391B">
        <w:rPr>
          <w:rFonts w:cs="Arial"/>
          <w:sz w:val="24"/>
          <w:szCs w:val="24"/>
        </w:rPr>
        <w:t xml:space="preserve">. </w:t>
      </w:r>
      <w:r w:rsidR="00637AE9" w:rsidRPr="0048391B">
        <w:rPr>
          <w:rFonts w:cs="Arial"/>
          <w:sz w:val="24"/>
          <w:szCs w:val="24"/>
        </w:rPr>
        <w:t>Much like authoritarian regimes engaging in innovative tactics elsewhere, the Bahraini regime does</w:t>
      </w:r>
      <w:r w:rsidRPr="0048391B">
        <w:rPr>
          <w:rFonts w:cs="Arial"/>
          <w:sz w:val="24"/>
          <w:szCs w:val="24"/>
        </w:rPr>
        <w:t xml:space="preserve"> not have to “</w:t>
      </w:r>
      <w:r w:rsidR="00E85E86" w:rsidRPr="0048391B">
        <w:rPr>
          <w:rFonts w:cs="Arial"/>
          <w:sz w:val="24"/>
          <w:szCs w:val="24"/>
        </w:rPr>
        <w:t>either securely forbid or insecurely permit civil society groups,</w:t>
      </w:r>
      <w:r w:rsidRPr="0048391B">
        <w:rPr>
          <w:rFonts w:cs="Arial"/>
          <w:sz w:val="24"/>
          <w:szCs w:val="24"/>
        </w:rPr>
        <w:t>” but rather attempts to “</w:t>
      </w:r>
      <w:r w:rsidR="00E85E86" w:rsidRPr="0048391B">
        <w:rPr>
          <w:rFonts w:cs="Arial"/>
          <w:sz w:val="24"/>
          <w:szCs w:val="24"/>
        </w:rPr>
        <w:t>control them within a self-defined space of accountability.”</w:t>
      </w:r>
      <w:r w:rsidR="00E85E86" w:rsidRPr="0048391B">
        <w:rPr>
          <w:rStyle w:val="FootnoteReference"/>
          <w:rFonts w:cs="Arial"/>
          <w:sz w:val="24"/>
          <w:szCs w:val="24"/>
        </w:rPr>
        <w:footnoteReference w:id="130"/>
      </w:r>
      <w:r w:rsidR="00E85E86" w:rsidRPr="0048391B">
        <w:rPr>
          <w:rFonts w:cs="Arial"/>
          <w:sz w:val="24"/>
          <w:szCs w:val="24"/>
        </w:rPr>
        <w:t xml:space="preserve"> </w:t>
      </w:r>
    </w:p>
    <w:p w14:paraId="541417DC" w14:textId="46386F96" w:rsidR="00E85E86" w:rsidRPr="0048391B" w:rsidRDefault="00E85E86" w:rsidP="00637AE9">
      <w:pPr>
        <w:spacing w:after="0" w:line="480" w:lineRule="auto"/>
        <w:jc w:val="both"/>
        <w:rPr>
          <w:rFonts w:cs="Arial"/>
          <w:sz w:val="24"/>
          <w:szCs w:val="24"/>
        </w:rPr>
      </w:pPr>
      <w:r w:rsidRPr="0048391B">
        <w:rPr>
          <w:rFonts w:cs="Arial"/>
          <w:sz w:val="24"/>
          <w:szCs w:val="24"/>
        </w:rPr>
        <w:tab/>
      </w:r>
      <w:r w:rsidR="00D7608A" w:rsidRPr="0048391B">
        <w:rPr>
          <w:rFonts w:cs="Arial"/>
          <w:sz w:val="24"/>
          <w:szCs w:val="24"/>
        </w:rPr>
        <w:t xml:space="preserve">In the </w:t>
      </w:r>
      <w:r w:rsidRPr="0048391B">
        <w:rPr>
          <w:rFonts w:cs="Arial"/>
          <w:sz w:val="24"/>
          <w:szCs w:val="24"/>
        </w:rPr>
        <w:t xml:space="preserve">lead-up to the </w:t>
      </w:r>
      <w:r w:rsidR="00D7608A" w:rsidRPr="0048391B">
        <w:rPr>
          <w:rFonts w:cs="Arial"/>
          <w:sz w:val="24"/>
          <w:szCs w:val="24"/>
        </w:rPr>
        <w:t>Abraham Accords</w:t>
      </w:r>
      <w:r w:rsidRPr="0048391B">
        <w:rPr>
          <w:rFonts w:cs="Arial"/>
          <w:sz w:val="24"/>
          <w:szCs w:val="24"/>
        </w:rPr>
        <w:t>, the government passed a new bylaw through the Civil Service Bureau</w:t>
      </w:r>
      <w:r w:rsidR="00904D5E">
        <w:rPr>
          <w:rFonts w:cs="Arial"/>
          <w:sz w:val="24"/>
          <w:szCs w:val="24"/>
        </w:rPr>
        <w:t xml:space="preserve"> </w:t>
      </w:r>
      <w:r w:rsidRPr="0048391B">
        <w:rPr>
          <w:rFonts w:cs="Arial"/>
          <w:sz w:val="24"/>
          <w:szCs w:val="24"/>
        </w:rPr>
        <w:t>which stipulated that public employee</w:t>
      </w:r>
      <w:r w:rsidR="00884B08">
        <w:rPr>
          <w:rFonts w:cs="Arial"/>
          <w:sz w:val="24"/>
          <w:szCs w:val="24"/>
        </w:rPr>
        <w:t>s</w:t>
      </w:r>
      <w:r w:rsidRPr="0048391B">
        <w:rPr>
          <w:rFonts w:cs="Arial"/>
          <w:sz w:val="24"/>
          <w:szCs w:val="24"/>
        </w:rPr>
        <w:t xml:space="preserve"> would not be allowed to express an opinion contrary to official policy.</w:t>
      </w:r>
      <w:r w:rsidR="00875957" w:rsidRPr="0048391B">
        <w:rPr>
          <w:rStyle w:val="FootnoteReference"/>
          <w:rFonts w:cs="Arial"/>
          <w:sz w:val="24"/>
          <w:szCs w:val="24"/>
        </w:rPr>
        <w:footnoteReference w:id="131"/>
      </w:r>
      <w:r w:rsidRPr="0048391B">
        <w:rPr>
          <w:rFonts w:cs="Arial"/>
          <w:sz w:val="24"/>
          <w:szCs w:val="24"/>
        </w:rPr>
        <w:t xml:space="preserve"> </w:t>
      </w:r>
      <w:r w:rsidR="00884B08">
        <w:rPr>
          <w:rFonts w:cs="Arial"/>
          <w:sz w:val="24"/>
          <w:szCs w:val="24"/>
        </w:rPr>
        <w:t>P</w:t>
      </w:r>
      <w:r w:rsidRPr="0048391B">
        <w:rPr>
          <w:rFonts w:cs="Arial"/>
          <w:sz w:val="24"/>
          <w:szCs w:val="24"/>
        </w:rPr>
        <w:t>rofessional associations, such as the Association of Journalists and the Association of Lawyers, spoke out against the bylaws, making the claim it was unconstitutional. Many assumed the bylaw was passed to offset public criticism of new economic measures.</w:t>
      </w:r>
      <w:r w:rsidR="00875957" w:rsidRPr="0048391B">
        <w:rPr>
          <w:rStyle w:val="FootnoteReference"/>
          <w:rFonts w:cs="Arial"/>
          <w:sz w:val="24"/>
          <w:szCs w:val="24"/>
        </w:rPr>
        <w:footnoteReference w:id="132"/>
      </w:r>
      <w:r w:rsidRPr="0048391B">
        <w:rPr>
          <w:rFonts w:cs="Arial"/>
          <w:sz w:val="24"/>
          <w:szCs w:val="24"/>
        </w:rPr>
        <w:t xml:space="preserve"> However, it became </w:t>
      </w:r>
      <w:r w:rsidR="00372CF8">
        <w:rPr>
          <w:rFonts w:cs="Arial"/>
          <w:sz w:val="24"/>
          <w:szCs w:val="24"/>
        </w:rPr>
        <w:t>clear</w:t>
      </w:r>
      <w:r w:rsidRPr="0048391B">
        <w:rPr>
          <w:rFonts w:cs="Arial"/>
          <w:sz w:val="24"/>
          <w:szCs w:val="24"/>
        </w:rPr>
        <w:t xml:space="preserve"> that it was in fact passed to offset criticism of the impending normalization announcements. Activists note that even if the government does not </w:t>
      </w:r>
      <w:r w:rsidRPr="0048391B">
        <w:rPr>
          <w:rFonts w:cs="Arial"/>
          <w:sz w:val="24"/>
          <w:szCs w:val="24"/>
        </w:rPr>
        <w:lastRenderedPageBreak/>
        <w:t xml:space="preserve">employ the law to prosecute its citizens, the wording of the bylaw is so vague that it will essentially impose self-censorship on many who do not want to lose their livelihoods for the sake of criticizing foreign policy. </w:t>
      </w:r>
      <w:r w:rsidR="00637AE9" w:rsidRPr="0048391B">
        <w:rPr>
          <w:rFonts w:cs="Arial"/>
          <w:sz w:val="24"/>
          <w:szCs w:val="24"/>
        </w:rPr>
        <w:t xml:space="preserve">This is yet another example of the relationship between </w:t>
      </w:r>
      <w:r w:rsidR="00884B08">
        <w:rPr>
          <w:rFonts w:cs="Arial"/>
          <w:sz w:val="24"/>
          <w:szCs w:val="24"/>
        </w:rPr>
        <w:t>ties</w:t>
      </w:r>
      <w:r w:rsidR="00637AE9" w:rsidRPr="0048391B">
        <w:rPr>
          <w:rFonts w:cs="Arial"/>
          <w:sz w:val="24"/>
          <w:szCs w:val="24"/>
        </w:rPr>
        <w:t xml:space="preserve"> to Israel and </w:t>
      </w:r>
      <w:r w:rsidR="00637AE9" w:rsidRPr="0048391B">
        <w:rPr>
          <w:rFonts w:cs="Arial"/>
          <w:b/>
          <w:bCs/>
          <w:sz w:val="24"/>
          <w:szCs w:val="24"/>
        </w:rPr>
        <w:t>increased repression</w:t>
      </w:r>
      <w:r w:rsidR="00637AE9" w:rsidRPr="0048391B">
        <w:rPr>
          <w:rFonts w:cs="Arial"/>
          <w:sz w:val="24"/>
          <w:szCs w:val="24"/>
        </w:rPr>
        <w:t>.</w:t>
      </w:r>
    </w:p>
    <w:p w14:paraId="17CBFACC" w14:textId="39B7013A" w:rsidR="000B1AB0" w:rsidRPr="0048391B" w:rsidRDefault="00E85E86" w:rsidP="000B1AB0">
      <w:pPr>
        <w:spacing w:after="0" w:line="480" w:lineRule="auto"/>
        <w:jc w:val="both"/>
        <w:rPr>
          <w:rFonts w:cs="Arial"/>
          <w:sz w:val="24"/>
          <w:szCs w:val="24"/>
        </w:rPr>
      </w:pPr>
      <w:r w:rsidRPr="0048391B">
        <w:rPr>
          <w:rFonts w:cs="Arial"/>
          <w:sz w:val="24"/>
          <w:szCs w:val="24"/>
        </w:rPr>
        <w:tab/>
        <w:t xml:space="preserve">The encouragement of self-censorship is particularly harmful in an authoritarian state such as Bahrain, as </w:t>
      </w:r>
      <w:r w:rsidR="00637AE9" w:rsidRPr="0048391B">
        <w:rPr>
          <w:rFonts w:cs="Arial"/>
          <w:sz w:val="24"/>
          <w:szCs w:val="24"/>
        </w:rPr>
        <w:t xml:space="preserve">it obfuscates public opinion and </w:t>
      </w:r>
      <w:r w:rsidR="00637AE9" w:rsidRPr="0048391B">
        <w:rPr>
          <w:rFonts w:cs="Arial"/>
          <w:b/>
          <w:bCs/>
          <w:sz w:val="24"/>
          <w:szCs w:val="24"/>
        </w:rPr>
        <w:t>frays social ties</w:t>
      </w:r>
      <w:r w:rsidR="00637AE9" w:rsidRPr="0048391B">
        <w:rPr>
          <w:rFonts w:cs="Arial"/>
          <w:sz w:val="24"/>
          <w:szCs w:val="24"/>
        </w:rPr>
        <w:t>. Activists say that the space to discuss freely is</w:t>
      </w:r>
      <w:r w:rsidRPr="0048391B">
        <w:rPr>
          <w:rFonts w:cs="Arial"/>
          <w:sz w:val="24"/>
          <w:szCs w:val="24"/>
        </w:rPr>
        <w:t xml:space="preserve"> “more restricted than it was in the past,”</w:t>
      </w:r>
      <w:r w:rsidR="00637AE9" w:rsidRPr="0048391B">
        <w:rPr>
          <w:rFonts w:cs="Arial"/>
          <w:sz w:val="24"/>
          <w:szCs w:val="24"/>
        </w:rPr>
        <w:t xml:space="preserve"> and this is </w:t>
      </w:r>
      <w:r w:rsidR="000B1AB0" w:rsidRPr="0048391B">
        <w:rPr>
          <w:rFonts w:cs="Arial"/>
          <w:sz w:val="24"/>
          <w:szCs w:val="24"/>
        </w:rPr>
        <w:t xml:space="preserve">especially the case </w:t>
      </w:r>
      <w:r w:rsidRPr="0048391B">
        <w:rPr>
          <w:rFonts w:cs="Arial"/>
          <w:sz w:val="24"/>
          <w:szCs w:val="24"/>
        </w:rPr>
        <w:t>given that the media disco</w:t>
      </w:r>
      <w:r w:rsidR="000B1AB0" w:rsidRPr="0048391B">
        <w:rPr>
          <w:rFonts w:cs="Arial"/>
          <w:sz w:val="24"/>
          <w:szCs w:val="24"/>
        </w:rPr>
        <w:t>urse parrots the official line.</w:t>
      </w:r>
      <w:r w:rsidR="00875957" w:rsidRPr="0048391B">
        <w:rPr>
          <w:rStyle w:val="FootnoteReference"/>
          <w:rFonts w:cs="Arial"/>
          <w:sz w:val="24"/>
          <w:szCs w:val="24"/>
        </w:rPr>
        <w:footnoteReference w:id="133"/>
      </w:r>
      <w:r w:rsidR="000B1AB0" w:rsidRPr="0048391B">
        <w:rPr>
          <w:rFonts w:cs="Arial"/>
          <w:sz w:val="24"/>
          <w:szCs w:val="24"/>
        </w:rPr>
        <w:t xml:space="preserve"> </w:t>
      </w:r>
      <w:r w:rsidR="005B60EE">
        <w:rPr>
          <w:rFonts w:cs="Arial"/>
          <w:sz w:val="24"/>
          <w:szCs w:val="24"/>
        </w:rPr>
        <w:t>The public is</w:t>
      </w:r>
      <w:r w:rsidR="000B1AB0" w:rsidRPr="0048391B">
        <w:rPr>
          <w:rFonts w:cs="Arial"/>
          <w:sz w:val="24"/>
          <w:szCs w:val="24"/>
        </w:rPr>
        <w:t xml:space="preserve"> “confuse</w:t>
      </w:r>
      <w:r w:rsidR="005B60EE">
        <w:rPr>
          <w:rFonts w:cs="Arial"/>
          <w:sz w:val="24"/>
          <w:szCs w:val="24"/>
        </w:rPr>
        <w:t>d,</w:t>
      </w:r>
      <w:r w:rsidR="000B1AB0" w:rsidRPr="0048391B">
        <w:rPr>
          <w:rFonts w:cs="Arial"/>
          <w:sz w:val="24"/>
          <w:szCs w:val="24"/>
        </w:rPr>
        <w:t xml:space="preserve">” activists say, </w:t>
      </w:r>
      <w:r w:rsidR="005B60EE">
        <w:rPr>
          <w:rFonts w:cs="Arial"/>
          <w:sz w:val="24"/>
          <w:szCs w:val="24"/>
        </w:rPr>
        <w:t>unsure of</w:t>
      </w:r>
      <w:r w:rsidR="000B1AB0" w:rsidRPr="0048391B">
        <w:rPr>
          <w:rFonts w:cs="Arial"/>
          <w:sz w:val="24"/>
          <w:szCs w:val="24"/>
        </w:rPr>
        <w:t xml:space="preserve"> who is safe to speak to, and who is not.</w:t>
      </w:r>
      <w:r w:rsidR="00875957" w:rsidRPr="0048391B">
        <w:rPr>
          <w:rStyle w:val="FootnoteReference"/>
          <w:rFonts w:cs="Arial"/>
          <w:sz w:val="24"/>
          <w:szCs w:val="24"/>
        </w:rPr>
        <w:footnoteReference w:id="134"/>
      </w:r>
      <w:r w:rsidR="000B1AB0" w:rsidRPr="0048391B">
        <w:rPr>
          <w:rFonts w:cs="Arial"/>
          <w:sz w:val="24"/>
          <w:szCs w:val="24"/>
        </w:rPr>
        <w:t xml:space="preserve"> </w:t>
      </w:r>
      <w:r w:rsidRPr="0048391B">
        <w:rPr>
          <w:rFonts w:cs="Arial"/>
          <w:sz w:val="24"/>
          <w:szCs w:val="24"/>
        </w:rPr>
        <w:t xml:space="preserve">The impact of government restrictions in Bahrain is thus clear, and unsurprising: to discourage mobilization by silencing dissenting voices, either directly or through self-censorship. </w:t>
      </w:r>
    </w:p>
    <w:p w14:paraId="4CE8E03B" w14:textId="7EDB0361" w:rsidR="00E85E86" w:rsidRPr="0048391B" w:rsidRDefault="00BD0726" w:rsidP="00187164">
      <w:pPr>
        <w:spacing w:after="0" w:line="480" w:lineRule="auto"/>
        <w:ind w:firstLine="720"/>
        <w:jc w:val="both"/>
        <w:rPr>
          <w:rFonts w:cs="Arial"/>
          <w:sz w:val="24"/>
          <w:szCs w:val="24"/>
        </w:rPr>
      </w:pPr>
      <w:r>
        <w:rPr>
          <w:rFonts w:cs="Arial"/>
          <w:sz w:val="24"/>
          <w:szCs w:val="24"/>
        </w:rPr>
        <w:t>Bahrain is also actively</w:t>
      </w:r>
      <w:r w:rsidR="00E85E86" w:rsidRPr="0048391B">
        <w:rPr>
          <w:rFonts w:cs="Arial"/>
          <w:sz w:val="24"/>
          <w:szCs w:val="24"/>
        </w:rPr>
        <w:t xml:space="preserve"> </w:t>
      </w:r>
      <w:r w:rsidR="00187164" w:rsidRPr="0048391B">
        <w:rPr>
          <w:rFonts w:cs="Arial"/>
          <w:b/>
          <w:bCs/>
          <w:sz w:val="24"/>
          <w:szCs w:val="24"/>
        </w:rPr>
        <w:t>acquiring repressive technologies</w:t>
      </w:r>
      <w:r w:rsidR="00187164" w:rsidRPr="0048391B">
        <w:rPr>
          <w:rFonts w:cs="Arial"/>
          <w:sz w:val="24"/>
          <w:szCs w:val="24"/>
        </w:rPr>
        <w:t>, becoming</w:t>
      </w:r>
      <w:r w:rsidR="00E85E86" w:rsidRPr="0048391B">
        <w:rPr>
          <w:rFonts w:cs="Arial"/>
          <w:sz w:val="24"/>
          <w:szCs w:val="24"/>
        </w:rPr>
        <w:t xml:space="preserve"> further embroiled with widely-criticized Israeli security companies, such as NSO group. Alongside Saudi Arabia and the Emirates, Bahrain </w:t>
      </w:r>
      <w:r w:rsidR="000B1AB0" w:rsidRPr="0048391B">
        <w:rPr>
          <w:rFonts w:cs="Arial"/>
          <w:sz w:val="24"/>
          <w:szCs w:val="24"/>
        </w:rPr>
        <w:t>has</w:t>
      </w:r>
      <w:r w:rsidR="00E85E86" w:rsidRPr="0048391B">
        <w:rPr>
          <w:rFonts w:cs="Arial"/>
          <w:sz w:val="24"/>
          <w:szCs w:val="24"/>
        </w:rPr>
        <w:t xml:space="preserve"> </w:t>
      </w:r>
      <w:r w:rsidR="00E97DC9">
        <w:rPr>
          <w:rFonts w:cs="Arial"/>
          <w:sz w:val="24"/>
          <w:szCs w:val="24"/>
        </w:rPr>
        <w:t>purchased</w:t>
      </w:r>
      <w:r w:rsidR="00E85E86" w:rsidRPr="0048391B">
        <w:rPr>
          <w:rFonts w:cs="Arial"/>
          <w:sz w:val="24"/>
          <w:szCs w:val="24"/>
        </w:rPr>
        <w:t xml:space="preserve"> the Pegasus program, responsible for “extracting data, messages, browser history and contacts, from phones,” in order to target human rights activists and monitor dissidents. </w:t>
      </w:r>
      <w:r w:rsidR="00187164" w:rsidRPr="0048391B">
        <w:rPr>
          <w:rFonts w:cs="Arial"/>
          <w:sz w:val="24"/>
          <w:szCs w:val="24"/>
        </w:rPr>
        <w:t>Bahrain also uses the “Pearl” surveillance operator, one of 12 in the region, to spy on opposition.</w:t>
      </w:r>
      <w:r w:rsidR="00875957" w:rsidRPr="0048391B">
        <w:rPr>
          <w:rStyle w:val="FootnoteReference"/>
          <w:rFonts w:cs="Arial"/>
          <w:sz w:val="24"/>
          <w:szCs w:val="24"/>
        </w:rPr>
        <w:footnoteReference w:id="135"/>
      </w:r>
    </w:p>
    <w:p w14:paraId="7673DDDA" w14:textId="659A3999" w:rsidR="001A6646" w:rsidRPr="0048391B" w:rsidRDefault="000B1AB0" w:rsidP="001A6646">
      <w:pPr>
        <w:spacing w:after="0" w:line="480" w:lineRule="auto"/>
        <w:ind w:firstLine="720"/>
        <w:jc w:val="both"/>
        <w:rPr>
          <w:rFonts w:cs="Arial"/>
          <w:sz w:val="24"/>
          <w:szCs w:val="24"/>
        </w:rPr>
      </w:pPr>
      <w:r w:rsidRPr="0048391B">
        <w:rPr>
          <w:rFonts w:cs="Arial"/>
          <w:sz w:val="24"/>
          <w:szCs w:val="24"/>
        </w:rPr>
        <w:t>When the Abraham Accords were announced</w:t>
      </w:r>
      <w:r w:rsidR="00BD0726">
        <w:rPr>
          <w:rFonts w:cs="Arial"/>
          <w:sz w:val="24"/>
          <w:szCs w:val="24"/>
        </w:rPr>
        <w:t xml:space="preserve">, </w:t>
      </w:r>
      <w:r w:rsidRPr="0048391B">
        <w:rPr>
          <w:rFonts w:cs="Arial"/>
          <w:sz w:val="24"/>
          <w:szCs w:val="24"/>
        </w:rPr>
        <w:t>p</w:t>
      </w:r>
      <w:r w:rsidR="00E85E86" w:rsidRPr="0048391B">
        <w:rPr>
          <w:rFonts w:cs="Arial"/>
          <w:sz w:val="24"/>
          <w:szCs w:val="24"/>
        </w:rPr>
        <w:t>rotests broke out in a number of Ba</w:t>
      </w:r>
      <w:r w:rsidRPr="0048391B">
        <w:rPr>
          <w:rFonts w:cs="Arial"/>
          <w:sz w:val="24"/>
          <w:szCs w:val="24"/>
        </w:rPr>
        <w:t>hraini towns. O</w:t>
      </w:r>
      <w:r w:rsidR="00E85E86" w:rsidRPr="0048391B">
        <w:rPr>
          <w:rFonts w:cs="Arial"/>
          <w:sz w:val="24"/>
          <w:szCs w:val="24"/>
        </w:rPr>
        <w:t xml:space="preserve">ver 17 civil society organizations, representing a wide spectrum, signed a joint statement </w:t>
      </w:r>
      <w:r w:rsidR="00E85E86" w:rsidRPr="0048391B">
        <w:rPr>
          <w:rFonts w:cs="Arial"/>
          <w:sz w:val="24"/>
          <w:szCs w:val="24"/>
        </w:rPr>
        <w:lastRenderedPageBreak/>
        <w:t>rejecting the normalization of their country's government.</w:t>
      </w:r>
      <w:r w:rsidR="00875957" w:rsidRPr="0048391B">
        <w:rPr>
          <w:rStyle w:val="FootnoteReference"/>
          <w:rFonts w:cs="Arial"/>
          <w:sz w:val="24"/>
          <w:szCs w:val="24"/>
        </w:rPr>
        <w:footnoteReference w:id="136"/>
      </w:r>
      <w:r w:rsidR="00E85E86" w:rsidRPr="0048391B">
        <w:rPr>
          <w:rFonts w:cs="Arial"/>
          <w:sz w:val="24"/>
          <w:szCs w:val="24"/>
        </w:rPr>
        <w:t xml:space="preserve"> Protest</w:t>
      </w:r>
      <w:r w:rsidRPr="0048391B">
        <w:rPr>
          <w:rFonts w:cs="Arial"/>
          <w:sz w:val="24"/>
          <w:szCs w:val="24"/>
        </w:rPr>
        <w:t xml:space="preserve">s were quickly shut down, however. </w:t>
      </w:r>
      <w:r w:rsidR="005B222C">
        <w:rPr>
          <w:rFonts w:cs="Arial"/>
          <w:sz w:val="24"/>
          <w:szCs w:val="24"/>
        </w:rPr>
        <w:t>While a</w:t>
      </w:r>
      <w:r w:rsidRPr="0048391B">
        <w:rPr>
          <w:rFonts w:cs="Arial"/>
          <w:sz w:val="24"/>
          <w:szCs w:val="24"/>
        </w:rPr>
        <w:t xml:space="preserve">ctivists persist in their dissent, </w:t>
      </w:r>
      <w:r w:rsidR="005B222C">
        <w:rPr>
          <w:rFonts w:cs="Arial"/>
          <w:sz w:val="24"/>
          <w:szCs w:val="24"/>
        </w:rPr>
        <w:t>they</w:t>
      </w:r>
      <w:r w:rsidRPr="0048391B">
        <w:rPr>
          <w:rFonts w:cs="Arial"/>
          <w:sz w:val="24"/>
          <w:szCs w:val="24"/>
        </w:rPr>
        <w:t xml:space="preserve"> understand that repercussions are coming. Some have already been called for questioning and “put on notice.” One organizer says: “We will continue in our commitment, but the reality is we must tread lightly</w:t>
      </w:r>
      <w:r w:rsidR="00E85E86" w:rsidRPr="0048391B">
        <w:rPr>
          <w:rFonts w:cs="Arial"/>
          <w:sz w:val="24"/>
          <w:szCs w:val="24"/>
        </w:rPr>
        <w:t>.</w:t>
      </w:r>
      <w:r w:rsidRPr="0048391B">
        <w:rPr>
          <w:rFonts w:cs="Arial"/>
          <w:sz w:val="24"/>
          <w:szCs w:val="24"/>
        </w:rPr>
        <w:t>”</w:t>
      </w:r>
      <w:r w:rsidR="00875957" w:rsidRPr="0048391B">
        <w:rPr>
          <w:rStyle w:val="FootnoteReference"/>
          <w:rFonts w:cs="Arial"/>
          <w:sz w:val="24"/>
          <w:szCs w:val="24"/>
        </w:rPr>
        <w:footnoteReference w:id="137"/>
      </w:r>
      <w:r w:rsidR="001A6646" w:rsidRPr="0048391B">
        <w:rPr>
          <w:rFonts w:cs="Arial"/>
          <w:sz w:val="24"/>
          <w:szCs w:val="24"/>
        </w:rPr>
        <w:t xml:space="preserve"> </w:t>
      </w:r>
    </w:p>
    <w:p w14:paraId="5D5608B5" w14:textId="5612EE67" w:rsidR="004D233C" w:rsidRPr="0048391B" w:rsidRDefault="000B1AB0" w:rsidP="001A6646">
      <w:pPr>
        <w:spacing w:after="0" w:line="480" w:lineRule="auto"/>
        <w:ind w:firstLine="720"/>
        <w:jc w:val="both"/>
        <w:rPr>
          <w:rFonts w:cs="Arial"/>
          <w:sz w:val="24"/>
          <w:szCs w:val="24"/>
        </w:rPr>
      </w:pPr>
      <w:r w:rsidRPr="0048391B">
        <w:rPr>
          <w:rFonts w:cs="Arial"/>
          <w:sz w:val="24"/>
          <w:szCs w:val="24"/>
        </w:rPr>
        <w:tab/>
      </w:r>
    </w:p>
    <w:p w14:paraId="3B089262" w14:textId="77777777" w:rsidR="00961996" w:rsidRPr="0048391B" w:rsidRDefault="00961996" w:rsidP="00961996">
      <w:pPr>
        <w:spacing w:after="0" w:line="480" w:lineRule="auto"/>
        <w:jc w:val="both"/>
        <w:rPr>
          <w:rFonts w:cs="Arial"/>
          <w:i/>
          <w:iCs/>
          <w:sz w:val="24"/>
          <w:szCs w:val="24"/>
        </w:rPr>
      </w:pPr>
      <w:r w:rsidRPr="0048391B">
        <w:rPr>
          <w:rFonts w:cs="Arial"/>
          <w:i/>
          <w:iCs/>
          <w:sz w:val="24"/>
          <w:szCs w:val="24"/>
        </w:rPr>
        <w:t>UAE</w:t>
      </w:r>
    </w:p>
    <w:p w14:paraId="52E49324" w14:textId="0C1C20C8" w:rsidR="00961996" w:rsidRPr="0048391B" w:rsidRDefault="00961996" w:rsidP="00961996">
      <w:pPr>
        <w:spacing w:after="0" w:line="480" w:lineRule="auto"/>
        <w:jc w:val="both"/>
        <w:rPr>
          <w:rFonts w:cs="Arial"/>
          <w:sz w:val="24"/>
          <w:szCs w:val="24"/>
        </w:rPr>
      </w:pPr>
      <w:r w:rsidRPr="0048391B">
        <w:rPr>
          <w:rFonts w:cs="Arial"/>
          <w:sz w:val="24"/>
          <w:szCs w:val="24"/>
        </w:rPr>
        <w:tab/>
        <w:t>In an effort to excise adherents of Muslim Brotherhood ideology in the country and align themselves closer with the US, the UAE has sought out stronger ties with Israel. Their shared animosity to political Islam and democratic uprisings in the region also facilitated th</w:t>
      </w:r>
      <w:r w:rsidR="005138C4">
        <w:rPr>
          <w:rFonts w:cs="Arial"/>
          <w:sz w:val="24"/>
          <w:szCs w:val="24"/>
        </w:rPr>
        <w:t>is</w:t>
      </w:r>
      <w:r w:rsidRPr="0048391B">
        <w:rPr>
          <w:rFonts w:cs="Arial"/>
          <w:sz w:val="24"/>
          <w:szCs w:val="24"/>
        </w:rPr>
        <w:t xml:space="preserve"> convergence. The</w:t>
      </w:r>
      <w:r w:rsidR="005138C4">
        <w:rPr>
          <w:rFonts w:cs="Arial"/>
          <w:sz w:val="24"/>
          <w:szCs w:val="24"/>
        </w:rPr>
        <w:t xml:space="preserve"> UAE explains this alignment in </w:t>
      </w:r>
      <w:r w:rsidRPr="0048391B">
        <w:rPr>
          <w:rFonts w:cs="Arial"/>
          <w:sz w:val="24"/>
          <w:szCs w:val="24"/>
        </w:rPr>
        <w:t xml:space="preserve">terms of “promoting tolerance” and cultural advancement, a key focus of </w:t>
      </w:r>
      <w:r w:rsidR="005138C4">
        <w:rPr>
          <w:rFonts w:cs="Arial"/>
          <w:sz w:val="24"/>
          <w:szCs w:val="24"/>
        </w:rPr>
        <w:t xml:space="preserve">its </w:t>
      </w:r>
      <w:r w:rsidRPr="0048391B">
        <w:rPr>
          <w:rFonts w:cs="Arial"/>
          <w:sz w:val="24"/>
          <w:szCs w:val="24"/>
        </w:rPr>
        <w:t xml:space="preserve">regime since 2013. </w:t>
      </w:r>
    </w:p>
    <w:p w14:paraId="25EDA83E" w14:textId="77777777" w:rsidR="00961996" w:rsidRPr="0048391B" w:rsidRDefault="00961996" w:rsidP="00961996">
      <w:pPr>
        <w:spacing w:after="0" w:line="480" w:lineRule="auto"/>
        <w:ind w:firstLine="720"/>
        <w:jc w:val="both"/>
        <w:rPr>
          <w:rFonts w:cs="Arial"/>
          <w:sz w:val="24"/>
          <w:szCs w:val="24"/>
        </w:rPr>
      </w:pPr>
      <w:r w:rsidRPr="0048391B">
        <w:rPr>
          <w:rFonts w:cs="Arial"/>
          <w:sz w:val="24"/>
          <w:szCs w:val="24"/>
        </w:rPr>
        <w:t xml:space="preserve">The UAE </w:t>
      </w:r>
      <w:r>
        <w:rPr>
          <w:rFonts w:cs="Arial"/>
          <w:sz w:val="24"/>
          <w:szCs w:val="24"/>
        </w:rPr>
        <w:t>enforces the</w:t>
      </w:r>
      <w:r w:rsidRPr="0048391B">
        <w:rPr>
          <w:rFonts w:cs="Arial"/>
          <w:sz w:val="24"/>
          <w:szCs w:val="24"/>
        </w:rPr>
        <w:t xml:space="preserve"> de-politicization of both its citizens and expatriate communities. There are few protests, if any, and no violent mass crackdown; instead, the regime works to demobilize their population through “soft” repression and high degrees of surveillance, to ensure public opinion trends are managed. Their ties to the state of Israel, its intelligence services, and surveillance companies directly facilitates this goal.</w:t>
      </w:r>
    </w:p>
    <w:p w14:paraId="295C1609" w14:textId="493D769E" w:rsidR="00961996" w:rsidRPr="0048391B" w:rsidRDefault="00961996" w:rsidP="00961996">
      <w:pPr>
        <w:spacing w:after="0" w:line="480" w:lineRule="auto"/>
        <w:ind w:firstLine="720"/>
        <w:jc w:val="both"/>
        <w:rPr>
          <w:rFonts w:cs="Arial"/>
          <w:sz w:val="24"/>
          <w:szCs w:val="24"/>
        </w:rPr>
      </w:pPr>
      <w:r>
        <w:rPr>
          <w:rFonts w:cs="Arial"/>
          <w:sz w:val="24"/>
          <w:szCs w:val="24"/>
        </w:rPr>
        <w:t>T</w:t>
      </w:r>
      <w:r w:rsidRPr="0048391B">
        <w:rPr>
          <w:rFonts w:cs="Arial"/>
          <w:sz w:val="24"/>
          <w:szCs w:val="24"/>
        </w:rPr>
        <w:t>h</w:t>
      </w:r>
      <w:r w:rsidR="00615F8F">
        <w:rPr>
          <w:rFonts w:cs="Arial"/>
          <w:sz w:val="24"/>
          <w:szCs w:val="24"/>
        </w:rPr>
        <w:t>us the</w:t>
      </w:r>
      <w:r w:rsidRPr="0048391B">
        <w:rPr>
          <w:rFonts w:cs="Arial"/>
          <w:sz w:val="24"/>
          <w:szCs w:val="24"/>
        </w:rPr>
        <w:t xml:space="preserve"> UAE has acquired a great deal of </w:t>
      </w:r>
      <w:r w:rsidRPr="0048391B">
        <w:rPr>
          <w:rFonts w:cs="Arial"/>
          <w:b/>
          <w:bCs/>
          <w:sz w:val="24"/>
          <w:szCs w:val="24"/>
        </w:rPr>
        <w:t>repressive technology</w:t>
      </w:r>
      <w:r w:rsidRPr="0048391B">
        <w:rPr>
          <w:rFonts w:cs="Arial"/>
          <w:sz w:val="24"/>
          <w:szCs w:val="24"/>
        </w:rPr>
        <w:t xml:space="preserve"> from Israel</w:t>
      </w:r>
      <w:r w:rsidR="00397FA5">
        <w:rPr>
          <w:rFonts w:cs="Arial"/>
          <w:sz w:val="24"/>
          <w:szCs w:val="24"/>
        </w:rPr>
        <w:t xml:space="preserve"> and </w:t>
      </w:r>
      <w:r w:rsidRPr="0048391B">
        <w:rPr>
          <w:rFonts w:cs="Arial"/>
          <w:sz w:val="24"/>
          <w:szCs w:val="24"/>
        </w:rPr>
        <w:t xml:space="preserve">engaged in military-to-military coordination, including joint exercises and shared use of surveillance satellites. This helps the Emiratis develop military effectiveness and position themselves as more stalwart allies to the US-Israel axis than some of their neighbors. These military ties predated the </w:t>
      </w:r>
      <w:r w:rsidRPr="0048391B">
        <w:rPr>
          <w:rFonts w:cs="Arial"/>
          <w:sz w:val="24"/>
          <w:szCs w:val="24"/>
        </w:rPr>
        <w:lastRenderedPageBreak/>
        <w:t>Abraham Accords, as did deals with Israeli surveillance companies. For instance, Emirati</w:t>
      </w:r>
      <w:r>
        <w:rPr>
          <w:rFonts w:cs="Arial"/>
          <w:sz w:val="24"/>
          <w:szCs w:val="24"/>
        </w:rPr>
        <w:t>-</w:t>
      </w:r>
      <w:r w:rsidRPr="0048391B">
        <w:rPr>
          <w:rFonts w:cs="Arial"/>
          <w:sz w:val="24"/>
          <w:szCs w:val="24"/>
        </w:rPr>
        <w:t>registered</w:t>
      </w:r>
      <w:r>
        <w:rPr>
          <w:rFonts w:cs="Arial"/>
          <w:sz w:val="24"/>
          <w:szCs w:val="24"/>
        </w:rPr>
        <w:t xml:space="preserve"> company</w:t>
      </w:r>
      <w:r w:rsidRPr="0048391B">
        <w:rPr>
          <w:rFonts w:cs="Arial"/>
          <w:sz w:val="24"/>
          <w:szCs w:val="24"/>
        </w:rPr>
        <w:t xml:space="preserve"> “Dark Matter” was exposed as being staffed and run by ex-Israel Defense Forces officials.</w:t>
      </w:r>
      <w:r w:rsidRPr="0048391B">
        <w:rPr>
          <w:rStyle w:val="FootnoteReference"/>
          <w:rFonts w:cs="Arial"/>
          <w:sz w:val="24"/>
          <w:szCs w:val="24"/>
        </w:rPr>
        <w:footnoteReference w:id="138"/>
      </w:r>
      <w:r w:rsidRPr="0048391B">
        <w:rPr>
          <w:rFonts w:cs="Arial"/>
          <w:sz w:val="24"/>
          <w:szCs w:val="24"/>
        </w:rPr>
        <w:t xml:space="preserve"> Another example is the UAE’s </w:t>
      </w:r>
      <w:r>
        <w:rPr>
          <w:rFonts w:cs="Arial"/>
          <w:sz w:val="24"/>
          <w:szCs w:val="24"/>
        </w:rPr>
        <w:t>multi-</w:t>
      </w:r>
      <w:r w:rsidRPr="0048391B">
        <w:rPr>
          <w:rFonts w:cs="Arial"/>
          <w:sz w:val="24"/>
          <w:szCs w:val="24"/>
        </w:rPr>
        <w:t>million</w:t>
      </w:r>
      <w:r>
        <w:rPr>
          <w:rFonts w:cs="Arial"/>
          <w:sz w:val="24"/>
          <w:szCs w:val="24"/>
        </w:rPr>
        <w:t>-dollar c</w:t>
      </w:r>
      <w:r w:rsidRPr="0048391B">
        <w:rPr>
          <w:rFonts w:cs="Arial"/>
          <w:sz w:val="24"/>
          <w:szCs w:val="24"/>
        </w:rPr>
        <w:t>ontract with Israeli company “AGT international,” in exchange for drone equipment and surveillance tools.</w:t>
      </w:r>
      <w:r w:rsidRPr="0048391B">
        <w:rPr>
          <w:rStyle w:val="FootnoteReference"/>
          <w:rFonts w:cs="Arial"/>
          <w:sz w:val="24"/>
          <w:szCs w:val="24"/>
        </w:rPr>
        <w:footnoteReference w:id="139"/>
      </w:r>
      <w:r w:rsidRPr="0048391B">
        <w:rPr>
          <w:rFonts w:cs="Arial"/>
          <w:sz w:val="24"/>
          <w:szCs w:val="24"/>
        </w:rPr>
        <w:t xml:space="preserve"> The UAE is also one of the NSO group’s dedicated customers in the region, with the dedicated surveillance operator “Falcon.”</w:t>
      </w:r>
      <w:r w:rsidRPr="0048391B">
        <w:rPr>
          <w:rStyle w:val="FootnoteReference"/>
          <w:rFonts w:cs="Arial"/>
          <w:sz w:val="24"/>
          <w:szCs w:val="24"/>
        </w:rPr>
        <w:footnoteReference w:id="140"/>
      </w:r>
      <w:r w:rsidRPr="0048391B">
        <w:rPr>
          <w:rFonts w:cs="Arial"/>
          <w:sz w:val="24"/>
          <w:szCs w:val="24"/>
        </w:rPr>
        <w:t xml:space="preserve"> </w:t>
      </w:r>
    </w:p>
    <w:p w14:paraId="4CC623FF" w14:textId="491D8472" w:rsidR="00961996" w:rsidRPr="0048391B" w:rsidRDefault="00961996" w:rsidP="00961996">
      <w:pPr>
        <w:spacing w:after="0" w:line="480" w:lineRule="auto"/>
        <w:ind w:firstLine="720"/>
        <w:jc w:val="both"/>
        <w:rPr>
          <w:rFonts w:cs="Arial"/>
          <w:sz w:val="24"/>
          <w:szCs w:val="24"/>
        </w:rPr>
      </w:pPr>
      <w:r w:rsidRPr="0048391B">
        <w:rPr>
          <w:rFonts w:cs="Arial"/>
          <w:sz w:val="24"/>
          <w:szCs w:val="24"/>
        </w:rPr>
        <w:t>The case of Ahmed Mansour is a stark example of the impact of Emirati-Israeli coordination. Mansour is an Emirati human rights activist who exposed the UAE’s use of Pegasus hacking software, when he was targeted by an NSO Group attempt and sought out Amnesty International for guidance. This set in motion an investigation, and revealed the extent of such hacking software and its use in authoritarian states around the world.</w:t>
      </w:r>
      <w:r w:rsidRPr="0048391B">
        <w:rPr>
          <w:rStyle w:val="FootnoteReference"/>
          <w:rFonts w:cs="Arial"/>
          <w:sz w:val="24"/>
          <w:szCs w:val="24"/>
        </w:rPr>
        <w:footnoteReference w:id="141"/>
      </w:r>
      <w:r w:rsidRPr="0048391B">
        <w:rPr>
          <w:rFonts w:cs="Arial"/>
          <w:sz w:val="24"/>
          <w:szCs w:val="24"/>
        </w:rPr>
        <w:t xml:space="preserve"> </w:t>
      </w:r>
      <w:r w:rsidR="001459D6">
        <w:rPr>
          <w:rFonts w:cs="Arial"/>
          <w:sz w:val="24"/>
          <w:szCs w:val="24"/>
        </w:rPr>
        <w:t xml:space="preserve">In response, the </w:t>
      </w:r>
      <w:r w:rsidRPr="0048391B">
        <w:rPr>
          <w:rFonts w:cs="Arial"/>
          <w:sz w:val="24"/>
          <w:szCs w:val="24"/>
        </w:rPr>
        <w:t>UAE prosecuted him for “ruining the UAE’s reputation,” for which he will serve 10 years.</w:t>
      </w:r>
      <w:r w:rsidRPr="0048391B">
        <w:rPr>
          <w:rStyle w:val="FootnoteReference"/>
          <w:rFonts w:cs="Arial"/>
          <w:sz w:val="24"/>
          <w:szCs w:val="24"/>
        </w:rPr>
        <w:footnoteReference w:id="142"/>
      </w:r>
      <w:r w:rsidRPr="0048391B">
        <w:rPr>
          <w:rFonts w:cs="Arial"/>
          <w:sz w:val="24"/>
          <w:szCs w:val="24"/>
        </w:rPr>
        <w:t xml:space="preserve"> </w:t>
      </w:r>
    </w:p>
    <w:p w14:paraId="685FC779" w14:textId="77777777" w:rsidR="00961996" w:rsidRPr="0048391B" w:rsidRDefault="00961996" w:rsidP="00961996">
      <w:pPr>
        <w:spacing w:after="0" w:line="480" w:lineRule="auto"/>
        <w:ind w:firstLine="720"/>
        <w:jc w:val="both"/>
        <w:rPr>
          <w:rFonts w:cs="Arial"/>
          <w:sz w:val="24"/>
          <w:szCs w:val="24"/>
        </w:rPr>
      </w:pPr>
      <w:r w:rsidRPr="0048391B">
        <w:rPr>
          <w:rFonts w:cs="Arial"/>
          <w:sz w:val="24"/>
          <w:szCs w:val="24"/>
        </w:rPr>
        <w:t xml:space="preserve">Mansour’s case is not an aberration. His trial is in line with the </w:t>
      </w:r>
      <w:r w:rsidRPr="0048391B">
        <w:rPr>
          <w:rFonts w:cs="Arial"/>
          <w:b/>
          <w:bCs/>
          <w:sz w:val="24"/>
          <w:szCs w:val="24"/>
        </w:rPr>
        <w:t>increased repression</w:t>
      </w:r>
      <w:r w:rsidRPr="0048391B">
        <w:rPr>
          <w:rFonts w:cs="Arial"/>
          <w:sz w:val="24"/>
          <w:szCs w:val="24"/>
        </w:rPr>
        <w:t xml:space="preserve"> of civil society in general and pro-Palestine activism in particular since the Emirates began its turn towards Israel. The UAE’s normalization office, intended to monitor attempts to engage with the Israeli state or industry, was closed after 2004.</w:t>
      </w:r>
      <w:r w:rsidRPr="0048391B">
        <w:rPr>
          <w:rStyle w:val="FootnoteReference"/>
          <w:rFonts w:cs="Arial"/>
          <w:sz w:val="24"/>
          <w:szCs w:val="24"/>
        </w:rPr>
        <w:footnoteReference w:id="143"/>
      </w:r>
      <w:r w:rsidRPr="0048391B">
        <w:rPr>
          <w:rFonts w:cs="Arial"/>
          <w:sz w:val="24"/>
          <w:szCs w:val="24"/>
        </w:rPr>
        <w:t xml:space="preserve"> The educational curriculum which was once quite pro-Palestinian, stressing the importance of solidarity with Palestine and its centrality to </w:t>
      </w:r>
      <w:r w:rsidRPr="0048391B">
        <w:rPr>
          <w:rFonts w:cs="Arial"/>
          <w:sz w:val="24"/>
          <w:szCs w:val="24"/>
        </w:rPr>
        <w:lastRenderedPageBreak/>
        <w:t>the Muslim faith, changed drastically in the last decade. The regime rapidly tightened the space to organize on all fronts during this time, also closing the labor unions.</w:t>
      </w:r>
      <w:r w:rsidRPr="0048391B">
        <w:rPr>
          <w:rStyle w:val="FootnoteReference"/>
          <w:rFonts w:cs="Arial"/>
          <w:sz w:val="24"/>
          <w:szCs w:val="24"/>
        </w:rPr>
        <w:footnoteReference w:id="144"/>
      </w:r>
      <w:r w:rsidRPr="0048391B">
        <w:rPr>
          <w:rFonts w:cs="Arial"/>
          <w:sz w:val="24"/>
          <w:szCs w:val="24"/>
        </w:rPr>
        <w:t xml:space="preserve"> </w:t>
      </w:r>
    </w:p>
    <w:p w14:paraId="3D7464FE" w14:textId="7D8C38DD" w:rsidR="00961996" w:rsidRPr="0048391B" w:rsidRDefault="00961996" w:rsidP="00961996">
      <w:pPr>
        <w:spacing w:after="0" w:line="480" w:lineRule="auto"/>
        <w:ind w:firstLine="720"/>
        <w:jc w:val="both"/>
        <w:rPr>
          <w:rFonts w:cs="Arial"/>
          <w:sz w:val="24"/>
          <w:szCs w:val="24"/>
        </w:rPr>
      </w:pPr>
      <w:r w:rsidRPr="0048391B">
        <w:rPr>
          <w:rFonts w:cs="Arial"/>
          <w:sz w:val="24"/>
          <w:szCs w:val="24"/>
        </w:rPr>
        <w:t xml:space="preserve">In an attempt to combat this repressive turn, a number of organizers and prominent Islamists formed the “Committee for the Resistance of Normalization” in 2002. They worked to raise awareness about normalization in the UAE and act as whistleblowers on this issue. This committee persisted until 2013, following the Arab Spring, when they received threats and decided to disband. </w:t>
      </w:r>
    </w:p>
    <w:p w14:paraId="35533DAA" w14:textId="77777777" w:rsidR="00961996" w:rsidRPr="0048391B" w:rsidRDefault="00961996" w:rsidP="00961996">
      <w:pPr>
        <w:spacing w:after="0" w:line="480" w:lineRule="auto"/>
        <w:ind w:firstLine="720"/>
        <w:jc w:val="both"/>
        <w:rPr>
          <w:rFonts w:cs="Arial"/>
          <w:sz w:val="24"/>
          <w:szCs w:val="24"/>
        </w:rPr>
      </w:pPr>
      <w:r w:rsidRPr="0048391B">
        <w:rPr>
          <w:rFonts w:cs="Arial"/>
          <w:sz w:val="24"/>
          <w:szCs w:val="24"/>
        </w:rPr>
        <w:t xml:space="preserve">The time period after the Arab Spring was the most outwardly repressive, particularly against Islamists with a reformist position on the UAE’s system of governance. Members of Islah, an organization which openly sympathized with the Muslim Brotherhood, called for free and fair </w:t>
      </w:r>
      <w:r>
        <w:rPr>
          <w:rFonts w:cs="Arial"/>
          <w:sz w:val="24"/>
          <w:szCs w:val="24"/>
        </w:rPr>
        <w:t xml:space="preserve">legislative </w:t>
      </w:r>
      <w:r w:rsidRPr="0048391B">
        <w:rPr>
          <w:rFonts w:cs="Arial"/>
          <w:sz w:val="24"/>
          <w:szCs w:val="24"/>
        </w:rPr>
        <w:t>elections.</w:t>
      </w:r>
      <w:r w:rsidRPr="0048391B">
        <w:rPr>
          <w:rStyle w:val="FootnoteReference"/>
          <w:rFonts w:cs="Arial"/>
          <w:sz w:val="24"/>
          <w:szCs w:val="24"/>
        </w:rPr>
        <w:footnoteReference w:id="145"/>
      </w:r>
      <w:r w:rsidRPr="0048391B">
        <w:rPr>
          <w:rFonts w:cs="Arial"/>
          <w:sz w:val="24"/>
          <w:szCs w:val="24"/>
        </w:rPr>
        <w:t xml:space="preserve"> This provoked authorities, </w:t>
      </w:r>
      <w:r>
        <w:rPr>
          <w:rFonts w:cs="Arial"/>
          <w:sz w:val="24"/>
          <w:szCs w:val="24"/>
        </w:rPr>
        <w:t xml:space="preserve">leading to </w:t>
      </w:r>
      <w:r w:rsidRPr="0048391B">
        <w:rPr>
          <w:rFonts w:cs="Arial"/>
          <w:sz w:val="24"/>
          <w:szCs w:val="24"/>
        </w:rPr>
        <w:t>a</w:t>
      </w:r>
      <w:r>
        <w:rPr>
          <w:rFonts w:cs="Arial"/>
          <w:sz w:val="24"/>
          <w:szCs w:val="24"/>
        </w:rPr>
        <w:t>n</w:t>
      </w:r>
      <w:r w:rsidRPr="0048391B">
        <w:rPr>
          <w:rFonts w:cs="Arial"/>
          <w:sz w:val="24"/>
          <w:szCs w:val="24"/>
        </w:rPr>
        <w:t xml:space="preserve"> </w:t>
      </w:r>
      <w:r>
        <w:rPr>
          <w:rFonts w:cs="Arial"/>
          <w:sz w:val="24"/>
          <w:szCs w:val="24"/>
        </w:rPr>
        <w:t xml:space="preserve">arrest </w:t>
      </w:r>
      <w:r w:rsidRPr="0048391B">
        <w:rPr>
          <w:rFonts w:cs="Arial"/>
          <w:sz w:val="24"/>
          <w:szCs w:val="24"/>
        </w:rPr>
        <w:t xml:space="preserve">campaign against 94 </w:t>
      </w:r>
      <w:r>
        <w:rPr>
          <w:rFonts w:cs="Arial"/>
          <w:sz w:val="24"/>
          <w:szCs w:val="24"/>
        </w:rPr>
        <w:t>individuals</w:t>
      </w:r>
      <w:r w:rsidRPr="0048391B">
        <w:rPr>
          <w:rFonts w:cs="Arial"/>
          <w:sz w:val="24"/>
          <w:szCs w:val="24"/>
        </w:rPr>
        <w:t xml:space="preserve">. </w:t>
      </w:r>
      <w:r>
        <w:rPr>
          <w:rFonts w:cs="Arial"/>
          <w:sz w:val="24"/>
          <w:szCs w:val="24"/>
        </w:rPr>
        <w:t>They</w:t>
      </w:r>
      <w:r w:rsidRPr="0048391B">
        <w:rPr>
          <w:rFonts w:cs="Arial"/>
          <w:sz w:val="24"/>
          <w:szCs w:val="24"/>
        </w:rPr>
        <w:t xml:space="preserve"> were detained in secret locations, tortured, and then sentenced to long imprisonments in what is widely considered a sham trial.</w:t>
      </w:r>
      <w:r w:rsidRPr="0048391B">
        <w:rPr>
          <w:rStyle w:val="FootnoteReference"/>
          <w:rFonts w:cs="Arial"/>
          <w:sz w:val="24"/>
          <w:szCs w:val="24"/>
        </w:rPr>
        <w:footnoteReference w:id="146"/>
      </w:r>
      <w:r w:rsidRPr="0048391B">
        <w:rPr>
          <w:rFonts w:cs="Arial"/>
          <w:sz w:val="24"/>
          <w:szCs w:val="24"/>
        </w:rPr>
        <w:t xml:space="preserve"> At the same time, student groups such as “Youth for Jerusalem” as well as student unions of Emirati universities were closed down.</w:t>
      </w:r>
      <w:r w:rsidRPr="0048391B">
        <w:rPr>
          <w:rStyle w:val="FootnoteReference"/>
          <w:rFonts w:cs="Arial"/>
          <w:sz w:val="24"/>
          <w:szCs w:val="24"/>
        </w:rPr>
        <w:footnoteReference w:id="147"/>
      </w:r>
      <w:r w:rsidRPr="0048391B">
        <w:rPr>
          <w:rFonts w:cs="Arial"/>
          <w:sz w:val="24"/>
          <w:szCs w:val="24"/>
        </w:rPr>
        <w:t xml:space="preserve"> This was the backdrop by which the Committee for Resistance against Normalization met for the last time.</w:t>
      </w:r>
      <w:r w:rsidRPr="0048391B">
        <w:rPr>
          <w:rStyle w:val="FootnoteReference"/>
          <w:rFonts w:cs="Arial"/>
          <w:sz w:val="24"/>
          <w:szCs w:val="24"/>
        </w:rPr>
        <w:footnoteReference w:id="148"/>
      </w:r>
    </w:p>
    <w:p w14:paraId="557170FB" w14:textId="77777777" w:rsidR="00961996" w:rsidRPr="0048391B" w:rsidRDefault="00961996" w:rsidP="00961996">
      <w:pPr>
        <w:spacing w:after="0" w:line="480" w:lineRule="auto"/>
        <w:ind w:firstLine="720"/>
        <w:jc w:val="both"/>
        <w:rPr>
          <w:rFonts w:cs="Arial"/>
          <w:sz w:val="24"/>
          <w:szCs w:val="24"/>
        </w:rPr>
      </w:pPr>
      <w:r w:rsidRPr="0048391B">
        <w:rPr>
          <w:rFonts w:cs="Arial"/>
          <w:sz w:val="24"/>
          <w:szCs w:val="24"/>
        </w:rPr>
        <w:t xml:space="preserve">Since then, civil society has been all but destroyed in the UAE. Those who sympathize with the Palestinian cause, or </w:t>
      </w:r>
      <w:r>
        <w:rPr>
          <w:rFonts w:cs="Arial"/>
          <w:sz w:val="24"/>
          <w:szCs w:val="24"/>
        </w:rPr>
        <w:t>oppose</w:t>
      </w:r>
      <w:r w:rsidRPr="0048391B">
        <w:rPr>
          <w:rFonts w:cs="Arial"/>
          <w:sz w:val="24"/>
          <w:szCs w:val="24"/>
        </w:rPr>
        <w:t xml:space="preserve"> the country’s official peace policy, find themselves attacked as being “intolerant” of others, and their position on Palestine likened to prejudice rather than a </w:t>
      </w:r>
      <w:r w:rsidRPr="0048391B">
        <w:rPr>
          <w:rFonts w:cs="Arial"/>
          <w:sz w:val="24"/>
          <w:szCs w:val="24"/>
        </w:rPr>
        <w:lastRenderedPageBreak/>
        <w:t>stance against the policies of the Israeli state.</w:t>
      </w:r>
      <w:r w:rsidRPr="0048391B">
        <w:rPr>
          <w:rStyle w:val="FootnoteReference"/>
          <w:rFonts w:cs="Arial"/>
          <w:sz w:val="24"/>
          <w:szCs w:val="24"/>
        </w:rPr>
        <w:footnoteReference w:id="149"/>
      </w:r>
      <w:r w:rsidRPr="0048391B">
        <w:rPr>
          <w:rFonts w:cs="Arial"/>
          <w:sz w:val="24"/>
          <w:szCs w:val="24"/>
        </w:rPr>
        <w:t xml:space="preserve"> Many are forced to retreat into their homes, and Emiratis have become much more atomized as a result. </w:t>
      </w:r>
    </w:p>
    <w:p w14:paraId="7C083F4C" w14:textId="329A094B" w:rsidR="00961996" w:rsidRPr="0048391B" w:rsidRDefault="00961996" w:rsidP="00961996">
      <w:pPr>
        <w:spacing w:after="0" w:line="480" w:lineRule="auto"/>
        <w:ind w:firstLine="720"/>
        <w:jc w:val="both"/>
        <w:rPr>
          <w:rFonts w:cs="Arial"/>
          <w:sz w:val="24"/>
          <w:szCs w:val="24"/>
        </w:rPr>
      </w:pPr>
      <w:r w:rsidRPr="0048391B">
        <w:rPr>
          <w:rFonts w:cs="Arial"/>
          <w:sz w:val="24"/>
          <w:szCs w:val="24"/>
        </w:rPr>
        <w:t xml:space="preserve">Particularly in the wake of the UAE’s normalization announcement, the regime has intensified its messaging with regards to what is considered unacceptable discourse. </w:t>
      </w:r>
      <w:r w:rsidR="00F30866">
        <w:rPr>
          <w:rFonts w:cs="Arial"/>
          <w:sz w:val="24"/>
          <w:szCs w:val="24"/>
        </w:rPr>
        <w:t>A</w:t>
      </w:r>
      <w:r w:rsidRPr="0048391B">
        <w:rPr>
          <w:rFonts w:cs="Arial"/>
          <w:sz w:val="24"/>
          <w:szCs w:val="24"/>
        </w:rPr>
        <w:t xml:space="preserve">ctivists report that Emirati </w:t>
      </w:r>
      <w:r>
        <w:rPr>
          <w:rFonts w:cs="Arial"/>
          <w:sz w:val="24"/>
          <w:szCs w:val="24"/>
        </w:rPr>
        <w:t>phone</w:t>
      </w:r>
      <w:r w:rsidRPr="0048391B">
        <w:rPr>
          <w:rFonts w:cs="Arial"/>
          <w:sz w:val="24"/>
          <w:szCs w:val="24"/>
        </w:rPr>
        <w:t xml:space="preserve"> numbers all received a message from the government warning them to not speak out against official policy, alluding to the normalization announcement.</w:t>
      </w:r>
      <w:r w:rsidRPr="0048391B">
        <w:rPr>
          <w:rStyle w:val="FootnoteReference"/>
          <w:rFonts w:cs="Arial"/>
          <w:sz w:val="24"/>
          <w:szCs w:val="24"/>
        </w:rPr>
        <w:footnoteReference w:id="150"/>
      </w:r>
      <w:r w:rsidRPr="0048391B">
        <w:rPr>
          <w:rFonts w:cs="Arial"/>
          <w:sz w:val="24"/>
          <w:szCs w:val="24"/>
        </w:rPr>
        <w:t xml:space="preserve"> A prominent Emirati Twitter account also likened disapproval of the normalization deal with antisemitism, and encouraged </w:t>
      </w:r>
      <w:r>
        <w:rPr>
          <w:rFonts w:cs="Arial"/>
          <w:sz w:val="24"/>
          <w:szCs w:val="24"/>
        </w:rPr>
        <w:t>people</w:t>
      </w:r>
      <w:r w:rsidRPr="0048391B">
        <w:rPr>
          <w:rFonts w:cs="Arial"/>
          <w:sz w:val="24"/>
          <w:szCs w:val="24"/>
        </w:rPr>
        <w:t xml:space="preserve"> to report any such incidents via a designated app.</w:t>
      </w:r>
      <w:r w:rsidRPr="0048391B">
        <w:rPr>
          <w:rStyle w:val="FootnoteReference"/>
          <w:rFonts w:cs="Arial"/>
          <w:sz w:val="24"/>
          <w:szCs w:val="24"/>
        </w:rPr>
        <w:footnoteReference w:id="151"/>
      </w:r>
      <w:r w:rsidRPr="0048391B">
        <w:rPr>
          <w:rFonts w:cs="Arial"/>
          <w:sz w:val="24"/>
          <w:szCs w:val="24"/>
        </w:rPr>
        <w:t xml:space="preserve"> An Emirati author made news by criticizing normalization policy and then being banned from travel.</w:t>
      </w:r>
      <w:r w:rsidRPr="0048391B">
        <w:rPr>
          <w:rStyle w:val="FootnoteReference"/>
          <w:rFonts w:cs="Arial"/>
          <w:sz w:val="24"/>
          <w:szCs w:val="24"/>
        </w:rPr>
        <w:footnoteReference w:id="152"/>
      </w:r>
      <w:r w:rsidRPr="0048391B">
        <w:rPr>
          <w:rFonts w:cs="Arial"/>
          <w:sz w:val="24"/>
          <w:szCs w:val="24"/>
        </w:rPr>
        <w:t xml:space="preserve"> Those who find themselves labeled opposition are becoming estranged from their families, as family members refuse to maintain ties for fear of repercussions.</w:t>
      </w:r>
      <w:r w:rsidRPr="0048391B">
        <w:rPr>
          <w:rStyle w:val="FootnoteReference"/>
          <w:rFonts w:cs="Arial"/>
          <w:sz w:val="24"/>
          <w:szCs w:val="24"/>
        </w:rPr>
        <w:footnoteReference w:id="153"/>
      </w:r>
      <w:r w:rsidRPr="0048391B">
        <w:rPr>
          <w:rFonts w:cs="Arial"/>
          <w:sz w:val="24"/>
          <w:szCs w:val="24"/>
        </w:rPr>
        <w:t xml:space="preserve"> These are all examples of how </w:t>
      </w:r>
      <w:r w:rsidRPr="0048391B">
        <w:rPr>
          <w:rFonts w:cs="Arial"/>
          <w:b/>
          <w:bCs/>
          <w:sz w:val="24"/>
          <w:szCs w:val="24"/>
        </w:rPr>
        <w:t>social ties have frayed</w:t>
      </w:r>
      <w:r w:rsidRPr="0048391B">
        <w:rPr>
          <w:rFonts w:cs="Arial"/>
          <w:sz w:val="24"/>
          <w:szCs w:val="24"/>
        </w:rPr>
        <w:t xml:space="preserve"> in the aftermath of </w:t>
      </w:r>
      <w:r>
        <w:rPr>
          <w:rFonts w:cs="Arial"/>
          <w:sz w:val="24"/>
          <w:szCs w:val="24"/>
        </w:rPr>
        <w:t>peace</w:t>
      </w:r>
      <w:r w:rsidRPr="0048391B">
        <w:rPr>
          <w:rFonts w:cs="Arial"/>
          <w:sz w:val="24"/>
          <w:szCs w:val="24"/>
        </w:rPr>
        <w:t>.</w:t>
      </w:r>
    </w:p>
    <w:p w14:paraId="637138F3" w14:textId="77777777" w:rsidR="00961996" w:rsidRDefault="00961996" w:rsidP="00961996">
      <w:pPr>
        <w:spacing w:after="0" w:line="480" w:lineRule="auto"/>
        <w:ind w:firstLine="720"/>
        <w:jc w:val="both"/>
        <w:rPr>
          <w:rFonts w:cs="Arial"/>
          <w:sz w:val="24"/>
          <w:szCs w:val="24"/>
        </w:rPr>
      </w:pPr>
      <w:r w:rsidRPr="0048391B">
        <w:rPr>
          <w:rFonts w:cs="Arial"/>
          <w:sz w:val="24"/>
          <w:szCs w:val="24"/>
        </w:rPr>
        <w:t>As a result, resistance to official policy mostly comes from Emiratis now in exile. Many activists found themselves outside the UAE, unable to return, following the UAE 94 trial. One activist says many in exile today use the expertise they gained as organizers and members of groups such as Islah to connect with each other and build campaigns.</w:t>
      </w:r>
      <w:r w:rsidRPr="0048391B">
        <w:rPr>
          <w:rStyle w:val="FootnoteReference"/>
          <w:rFonts w:cs="Arial"/>
          <w:sz w:val="24"/>
          <w:szCs w:val="24"/>
        </w:rPr>
        <w:footnoteReference w:id="154"/>
      </w:r>
      <w:r w:rsidRPr="0048391B">
        <w:rPr>
          <w:rFonts w:cs="Arial"/>
          <w:sz w:val="24"/>
          <w:szCs w:val="24"/>
        </w:rPr>
        <w:t xml:space="preserve"> The Emirati government exerts pressure on their families, and this has weakened their personal relationships and </w:t>
      </w:r>
      <w:r w:rsidRPr="0048391B">
        <w:rPr>
          <w:rFonts w:cs="Arial"/>
          <w:sz w:val="24"/>
          <w:szCs w:val="24"/>
        </w:rPr>
        <w:lastRenderedPageBreak/>
        <w:t xml:space="preserve">connections to Emiratis on the ground. Nevertheless, they continue to advocate from their exile on a number of issues related to the detainees, Palestine, and democratic governance. </w:t>
      </w:r>
    </w:p>
    <w:p w14:paraId="09A2A350" w14:textId="35736F93" w:rsidR="00961996" w:rsidRPr="0048391B" w:rsidRDefault="00961996" w:rsidP="00961996">
      <w:pPr>
        <w:spacing w:after="0" w:line="480" w:lineRule="auto"/>
        <w:ind w:firstLine="720"/>
        <w:jc w:val="both"/>
        <w:rPr>
          <w:rFonts w:cs="Arial"/>
          <w:b/>
          <w:bCs/>
          <w:i/>
          <w:iCs/>
          <w:sz w:val="24"/>
          <w:szCs w:val="24"/>
        </w:rPr>
      </w:pPr>
      <w:r w:rsidRPr="0048391B">
        <w:rPr>
          <w:rFonts w:cs="Arial"/>
          <w:sz w:val="24"/>
          <w:szCs w:val="24"/>
        </w:rPr>
        <w:t xml:space="preserve">Hamad al-Shamsi is a founding member of the new Emiratis Against Normalization group, which launched following the UAE’s announcement of a deal with Israel. He says that </w:t>
      </w:r>
      <w:r w:rsidR="006F00FD">
        <w:rPr>
          <w:rFonts w:cs="Arial"/>
          <w:sz w:val="24"/>
          <w:szCs w:val="24"/>
        </w:rPr>
        <w:t>h</w:t>
      </w:r>
      <w:r w:rsidRPr="0048391B">
        <w:rPr>
          <w:rFonts w:cs="Arial"/>
          <w:sz w:val="24"/>
          <w:szCs w:val="24"/>
        </w:rPr>
        <w:t xml:space="preserve">e already sees the impact of increased repression within the UAE as a result of the Abraham Accords, and expects the agreement to push them further away from the goal of accountable government. But, in spite of threats to their safety, </w:t>
      </w:r>
      <w:r>
        <w:rPr>
          <w:rFonts w:cs="Arial"/>
          <w:sz w:val="24"/>
          <w:szCs w:val="24"/>
        </w:rPr>
        <w:t>he notes</w:t>
      </w:r>
      <w:r w:rsidRPr="0048391B">
        <w:rPr>
          <w:rFonts w:cs="Arial"/>
          <w:sz w:val="24"/>
          <w:szCs w:val="24"/>
        </w:rPr>
        <w:t>: “We have nothing to lose anymore. The Emirati government has already gone too far.”</w:t>
      </w:r>
      <w:r w:rsidRPr="0048391B">
        <w:rPr>
          <w:rStyle w:val="FootnoteReference"/>
          <w:rFonts w:cs="Arial"/>
          <w:sz w:val="24"/>
          <w:szCs w:val="24"/>
        </w:rPr>
        <w:footnoteReference w:id="155"/>
      </w:r>
      <w:r w:rsidRPr="0048391B">
        <w:rPr>
          <w:rFonts w:cs="Arial"/>
          <w:sz w:val="24"/>
          <w:szCs w:val="24"/>
        </w:rPr>
        <w:t xml:space="preserve"> </w:t>
      </w:r>
    </w:p>
    <w:p w14:paraId="3F5FF028" w14:textId="7663A097" w:rsidR="00961996" w:rsidRPr="0048391B" w:rsidRDefault="00961996" w:rsidP="00961996">
      <w:pPr>
        <w:spacing w:after="0" w:line="480" w:lineRule="auto"/>
        <w:ind w:firstLine="720"/>
        <w:jc w:val="both"/>
        <w:rPr>
          <w:rFonts w:cs="Arial"/>
          <w:sz w:val="24"/>
          <w:szCs w:val="24"/>
        </w:rPr>
      </w:pPr>
      <w:r w:rsidRPr="0048391B">
        <w:rPr>
          <w:rFonts w:cs="Arial"/>
          <w:sz w:val="24"/>
          <w:szCs w:val="24"/>
        </w:rPr>
        <w:t xml:space="preserve">The coordination between the UAE and Israel was an open secret for a number of years, made official policy following the peace agreement. </w:t>
      </w:r>
      <w:r>
        <w:rPr>
          <w:rFonts w:cs="Arial"/>
          <w:sz w:val="24"/>
          <w:szCs w:val="24"/>
        </w:rPr>
        <w:t>T</w:t>
      </w:r>
      <w:r w:rsidRPr="0048391B">
        <w:rPr>
          <w:rFonts w:cs="Arial"/>
          <w:sz w:val="24"/>
          <w:szCs w:val="24"/>
        </w:rPr>
        <w:t>ies are expected to increase.</w:t>
      </w:r>
      <w:r w:rsidRPr="0048391B">
        <w:rPr>
          <w:rStyle w:val="FootnoteReference"/>
          <w:rFonts w:cs="Arial"/>
          <w:sz w:val="24"/>
          <w:szCs w:val="24"/>
        </w:rPr>
        <w:footnoteReference w:id="156"/>
      </w:r>
      <w:r w:rsidRPr="0048391B">
        <w:rPr>
          <w:rFonts w:cs="Arial"/>
          <w:sz w:val="24"/>
          <w:szCs w:val="24"/>
        </w:rPr>
        <w:t xml:space="preserve"> Authoritarian practices are thus expected to become more effective than ever before.</w:t>
      </w:r>
    </w:p>
    <w:p w14:paraId="5E8CFBEE" w14:textId="77777777" w:rsidR="00961996" w:rsidRPr="0048391B" w:rsidRDefault="00961996" w:rsidP="00961996">
      <w:pPr>
        <w:spacing w:after="0" w:line="480" w:lineRule="auto"/>
        <w:jc w:val="both"/>
        <w:rPr>
          <w:rFonts w:cs="Tahoma"/>
          <w:color w:val="000000"/>
          <w:sz w:val="24"/>
          <w:szCs w:val="24"/>
        </w:rPr>
      </w:pPr>
    </w:p>
    <w:p w14:paraId="7EDCC98A" w14:textId="77777777" w:rsidR="00547537" w:rsidRPr="0048391B" w:rsidRDefault="00547537" w:rsidP="00547537">
      <w:pPr>
        <w:spacing w:after="0" w:line="480" w:lineRule="auto"/>
        <w:jc w:val="both"/>
        <w:rPr>
          <w:rFonts w:cs="Arial"/>
          <w:b/>
          <w:bCs/>
          <w:sz w:val="24"/>
          <w:szCs w:val="24"/>
        </w:rPr>
      </w:pPr>
      <w:r w:rsidRPr="0048391B">
        <w:rPr>
          <w:rFonts w:cs="Arial"/>
          <w:b/>
          <w:bCs/>
          <w:sz w:val="24"/>
          <w:szCs w:val="24"/>
        </w:rPr>
        <w:t>Discussion</w:t>
      </w:r>
    </w:p>
    <w:p w14:paraId="07D27520" w14:textId="5A7717F0" w:rsidR="0091779B" w:rsidRDefault="00547537" w:rsidP="0091779B">
      <w:pPr>
        <w:spacing w:after="0" w:line="480" w:lineRule="auto"/>
        <w:jc w:val="both"/>
        <w:rPr>
          <w:sz w:val="24"/>
          <w:szCs w:val="24"/>
        </w:rPr>
      </w:pPr>
      <w:r w:rsidRPr="0048391B">
        <w:rPr>
          <w:rFonts w:cs="Arial"/>
          <w:b/>
          <w:bCs/>
          <w:sz w:val="24"/>
          <w:szCs w:val="24"/>
        </w:rPr>
        <w:tab/>
      </w:r>
      <w:r w:rsidR="00333586" w:rsidRPr="0048391B">
        <w:rPr>
          <w:rFonts w:cs="Arial"/>
          <w:sz w:val="24"/>
          <w:szCs w:val="24"/>
        </w:rPr>
        <w:t>Th</w:t>
      </w:r>
      <w:r w:rsidR="00BD0E3A" w:rsidRPr="0048391B">
        <w:rPr>
          <w:rFonts w:cs="Arial"/>
          <w:sz w:val="24"/>
          <w:szCs w:val="24"/>
        </w:rPr>
        <w:t>is</w:t>
      </w:r>
      <w:r w:rsidR="00333586" w:rsidRPr="0048391B">
        <w:rPr>
          <w:rFonts w:cs="Arial"/>
          <w:sz w:val="24"/>
          <w:szCs w:val="24"/>
        </w:rPr>
        <w:t xml:space="preserve"> analysis </w:t>
      </w:r>
      <w:r w:rsidR="007A4A80" w:rsidRPr="0048391B">
        <w:rPr>
          <w:rFonts w:cs="Arial"/>
          <w:sz w:val="24"/>
          <w:szCs w:val="24"/>
        </w:rPr>
        <w:t>show</w:t>
      </w:r>
      <w:r w:rsidR="00333586" w:rsidRPr="0048391B">
        <w:rPr>
          <w:rFonts w:cs="Arial"/>
          <w:sz w:val="24"/>
          <w:szCs w:val="24"/>
        </w:rPr>
        <w:t>s</w:t>
      </w:r>
      <w:r w:rsidR="00BD0E3A" w:rsidRPr="0048391B">
        <w:rPr>
          <w:rFonts w:cs="Arial"/>
          <w:sz w:val="24"/>
          <w:szCs w:val="24"/>
        </w:rPr>
        <w:t xml:space="preserve"> that peace </w:t>
      </w:r>
      <w:r w:rsidR="00187164" w:rsidRPr="0048391B">
        <w:rPr>
          <w:rFonts w:cs="Arial"/>
          <w:sz w:val="24"/>
          <w:szCs w:val="24"/>
        </w:rPr>
        <w:t>initiatives</w:t>
      </w:r>
      <w:r w:rsidR="00BD0E3A" w:rsidRPr="0048391B">
        <w:rPr>
          <w:rFonts w:cs="Arial"/>
          <w:sz w:val="24"/>
          <w:szCs w:val="24"/>
        </w:rPr>
        <w:t xml:space="preserve"> </w:t>
      </w:r>
      <w:r w:rsidR="00D67C80">
        <w:rPr>
          <w:rFonts w:cs="Arial"/>
          <w:sz w:val="24"/>
          <w:szCs w:val="24"/>
        </w:rPr>
        <w:t>facilitate</w:t>
      </w:r>
      <w:r w:rsidR="00A9535C">
        <w:rPr>
          <w:rFonts w:cs="Arial"/>
          <w:sz w:val="24"/>
          <w:szCs w:val="24"/>
        </w:rPr>
        <w:t xml:space="preserve"> </w:t>
      </w:r>
      <w:r w:rsidR="00516836" w:rsidRPr="0048391B">
        <w:rPr>
          <w:rFonts w:cs="Arial"/>
          <w:sz w:val="24"/>
          <w:szCs w:val="24"/>
        </w:rPr>
        <w:t>authoritarian practices</w:t>
      </w:r>
      <w:r w:rsidR="00D67C80">
        <w:rPr>
          <w:rFonts w:cs="Arial"/>
          <w:sz w:val="24"/>
          <w:szCs w:val="24"/>
        </w:rPr>
        <w:t xml:space="preserve"> under certain conditions</w:t>
      </w:r>
      <w:r w:rsidR="007A4A80" w:rsidRPr="0048391B">
        <w:rPr>
          <w:rFonts w:cs="Arial"/>
          <w:sz w:val="24"/>
          <w:szCs w:val="24"/>
        </w:rPr>
        <w:t>.</w:t>
      </w:r>
      <w:r w:rsidR="00D44F48" w:rsidRPr="0048391B">
        <w:rPr>
          <w:sz w:val="24"/>
          <w:szCs w:val="24"/>
        </w:rPr>
        <w:t xml:space="preserve"> </w:t>
      </w:r>
      <w:r w:rsidR="00F90136">
        <w:rPr>
          <w:sz w:val="24"/>
          <w:szCs w:val="24"/>
        </w:rPr>
        <w:t>The cases described</w:t>
      </w:r>
      <w:r w:rsidR="00DC0C73" w:rsidRPr="0048391B">
        <w:rPr>
          <w:sz w:val="24"/>
          <w:szCs w:val="24"/>
        </w:rPr>
        <w:t xml:space="preserve"> above</w:t>
      </w:r>
      <w:r w:rsidR="00D44F48" w:rsidRPr="0048391B">
        <w:rPr>
          <w:sz w:val="24"/>
          <w:szCs w:val="24"/>
        </w:rPr>
        <w:t xml:space="preserve"> show how </w:t>
      </w:r>
      <w:r w:rsidR="00F90136">
        <w:rPr>
          <w:sz w:val="24"/>
          <w:szCs w:val="24"/>
        </w:rPr>
        <w:t>such</w:t>
      </w:r>
      <w:r w:rsidR="00BD0E3A" w:rsidRPr="0048391B">
        <w:rPr>
          <w:sz w:val="24"/>
          <w:szCs w:val="24"/>
        </w:rPr>
        <w:t xml:space="preserve"> initiatives</w:t>
      </w:r>
      <w:r w:rsidR="00D91D50" w:rsidRPr="0048391B">
        <w:rPr>
          <w:sz w:val="24"/>
          <w:szCs w:val="24"/>
        </w:rPr>
        <w:t xml:space="preserve"> </w:t>
      </w:r>
      <w:r w:rsidR="00D67C80">
        <w:rPr>
          <w:sz w:val="24"/>
          <w:szCs w:val="24"/>
        </w:rPr>
        <w:t xml:space="preserve">may </w:t>
      </w:r>
      <w:r w:rsidR="00BD0E3A" w:rsidRPr="0048391B">
        <w:rPr>
          <w:sz w:val="24"/>
          <w:szCs w:val="24"/>
        </w:rPr>
        <w:t>lead to increased repression, fraying of social ties, and the proliferation of authoritarian technologies</w:t>
      </w:r>
      <w:r w:rsidR="0064463D">
        <w:rPr>
          <w:sz w:val="24"/>
          <w:szCs w:val="24"/>
        </w:rPr>
        <w:t>.</w:t>
      </w:r>
    </w:p>
    <w:p w14:paraId="7EEC1335" w14:textId="4428FB4E" w:rsidR="0091779B" w:rsidRPr="0048391B" w:rsidRDefault="0091779B" w:rsidP="0091779B">
      <w:pPr>
        <w:spacing w:after="0" w:line="480" w:lineRule="auto"/>
        <w:ind w:firstLine="720"/>
        <w:jc w:val="both"/>
        <w:rPr>
          <w:rFonts w:cs="Arial"/>
          <w:sz w:val="24"/>
          <w:szCs w:val="24"/>
        </w:rPr>
      </w:pPr>
      <w:r w:rsidRPr="0048391B">
        <w:rPr>
          <w:rFonts w:cs="Arial"/>
          <w:sz w:val="24"/>
          <w:szCs w:val="24"/>
        </w:rPr>
        <w:t>This article makes three main contributions. First, it points to the consequences of peace initiatives within authoritarian contexts, and builds on the literature regarding “illiberal peace.” When underlying issues at the heart of the conflict – particularly</w:t>
      </w:r>
      <w:r w:rsidR="009D69C9">
        <w:rPr>
          <w:rFonts w:cs="Arial"/>
          <w:sz w:val="24"/>
          <w:szCs w:val="24"/>
        </w:rPr>
        <w:t>,</w:t>
      </w:r>
      <w:r w:rsidRPr="0048391B">
        <w:rPr>
          <w:rFonts w:cs="Arial"/>
          <w:sz w:val="24"/>
          <w:szCs w:val="24"/>
        </w:rPr>
        <w:t xml:space="preserve"> in this case</w:t>
      </w:r>
      <w:r w:rsidR="009D69C9">
        <w:rPr>
          <w:rFonts w:cs="Arial"/>
          <w:sz w:val="24"/>
          <w:szCs w:val="24"/>
        </w:rPr>
        <w:t>,</w:t>
      </w:r>
      <w:r w:rsidRPr="0048391B">
        <w:rPr>
          <w:rFonts w:cs="Arial"/>
          <w:sz w:val="24"/>
          <w:szCs w:val="24"/>
        </w:rPr>
        <w:t xml:space="preserve"> ongoing occupation </w:t>
      </w:r>
      <w:r w:rsidRPr="0048391B">
        <w:rPr>
          <w:rFonts w:cs="Arial"/>
          <w:sz w:val="24"/>
          <w:szCs w:val="24"/>
        </w:rPr>
        <w:lastRenderedPageBreak/>
        <w:t>and political violence – continue to persist, steps towards peace will reinforce authoritarian practices. Moreover, peace initiatives in authoritarian contexts, without public support, necessitate repression.</w:t>
      </w:r>
    </w:p>
    <w:p w14:paraId="41A9D2E9" w14:textId="77777777" w:rsidR="0091779B" w:rsidRPr="0048391B" w:rsidRDefault="0091779B" w:rsidP="0091779B">
      <w:pPr>
        <w:spacing w:after="0" w:line="480" w:lineRule="auto"/>
        <w:ind w:firstLine="720"/>
        <w:jc w:val="both"/>
        <w:rPr>
          <w:rFonts w:cs="Arial"/>
          <w:sz w:val="24"/>
          <w:szCs w:val="24"/>
        </w:rPr>
      </w:pPr>
      <w:r w:rsidRPr="0048391B">
        <w:rPr>
          <w:rFonts w:cs="Arial"/>
          <w:sz w:val="24"/>
          <w:szCs w:val="24"/>
        </w:rPr>
        <w:t xml:space="preserve">Second, the analysis here also contributes to our understanding of the transregional dimension of authoritarianism, which has thus far been discussed in the context of economic development. Crucially, </w:t>
      </w:r>
      <w:r>
        <w:rPr>
          <w:rFonts w:cs="Arial"/>
          <w:sz w:val="24"/>
          <w:szCs w:val="24"/>
        </w:rPr>
        <w:t>I</w:t>
      </w:r>
      <w:r w:rsidRPr="0048391B">
        <w:rPr>
          <w:rFonts w:cs="Arial"/>
          <w:sz w:val="24"/>
          <w:szCs w:val="24"/>
        </w:rPr>
        <w:t xml:space="preserve"> expand this framework to include the authoritarian consequences of “peace” i</w:t>
      </w:r>
      <w:r>
        <w:rPr>
          <w:rFonts w:cs="Arial"/>
          <w:sz w:val="24"/>
          <w:szCs w:val="24"/>
        </w:rPr>
        <w:t xml:space="preserve">n the name of </w:t>
      </w:r>
      <w:r w:rsidRPr="0048391B">
        <w:rPr>
          <w:rFonts w:cs="Arial"/>
          <w:sz w:val="24"/>
          <w:szCs w:val="24"/>
        </w:rPr>
        <w:t>political</w:t>
      </w:r>
      <w:r>
        <w:rPr>
          <w:rFonts w:cs="Arial"/>
          <w:sz w:val="24"/>
          <w:szCs w:val="24"/>
        </w:rPr>
        <w:t>/</w:t>
      </w:r>
      <w:r w:rsidRPr="0048391B">
        <w:rPr>
          <w:rFonts w:cs="Arial"/>
          <w:sz w:val="24"/>
          <w:szCs w:val="24"/>
        </w:rPr>
        <w:t xml:space="preserve">cultural development. This should give academics who study this topic, as well as practitioners interested in this part of the world, pause. Peace under certain circumstances may not be an optimal outcome. </w:t>
      </w:r>
    </w:p>
    <w:p w14:paraId="2B0D1BD3" w14:textId="77777777" w:rsidR="0091779B" w:rsidRDefault="0091779B" w:rsidP="0091779B">
      <w:pPr>
        <w:spacing w:after="0" w:line="480" w:lineRule="auto"/>
        <w:ind w:firstLine="720"/>
        <w:jc w:val="both"/>
        <w:rPr>
          <w:rFonts w:cs="Arial"/>
          <w:sz w:val="24"/>
          <w:szCs w:val="24"/>
        </w:rPr>
      </w:pPr>
      <w:r w:rsidRPr="0048391B">
        <w:rPr>
          <w:rFonts w:cs="Arial"/>
          <w:sz w:val="24"/>
          <w:szCs w:val="24"/>
        </w:rPr>
        <w:t>Finally, it is worth considering how regime type may have little impact on whether or not a state facilitates authoritarian practices. Israel is defined as a democracy, and thus has received little attention in the literature on counterrevolutionary currents in the region despite how heavily it is implicated in some of these trends. This skews our understanding of the realities of authoritarianism in the Arab world, and neglects the fact that there may indeed be democratic convergence with authoritarianism under certain conditions.</w:t>
      </w:r>
    </w:p>
    <w:p w14:paraId="20F59265" w14:textId="01E5058D" w:rsidR="00D44F48" w:rsidRDefault="00D44F48" w:rsidP="00F75AED">
      <w:pPr>
        <w:spacing w:after="0" w:line="480" w:lineRule="auto"/>
        <w:jc w:val="both"/>
        <w:rPr>
          <w:sz w:val="24"/>
          <w:szCs w:val="24"/>
        </w:rPr>
      </w:pPr>
      <w:r w:rsidRPr="0048391B">
        <w:rPr>
          <w:sz w:val="24"/>
          <w:szCs w:val="24"/>
        </w:rPr>
        <w:tab/>
      </w:r>
      <w:r w:rsidR="00333586" w:rsidRPr="0048391B">
        <w:rPr>
          <w:sz w:val="24"/>
          <w:szCs w:val="24"/>
        </w:rPr>
        <w:t xml:space="preserve"> </w:t>
      </w:r>
    </w:p>
    <w:p w14:paraId="1D273F97" w14:textId="77777777" w:rsidR="00737BE4" w:rsidRDefault="00737BE4" w:rsidP="00F75AED">
      <w:pPr>
        <w:spacing w:after="0" w:line="480" w:lineRule="auto"/>
        <w:jc w:val="both"/>
        <w:rPr>
          <w:sz w:val="24"/>
          <w:szCs w:val="24"/>
        </w:rPr>
      </w:pPr>
    </w:p>
    <w:p w14:paraId="16B44748" w14:textId="77777777" w:rsidR="00737BE4" w:rsidRDefault="00737BE4" w:rsidP="00F75AED">
      <w:pPr>
        <w:spacing w:after="0" w:line="480" w:lineRule="auto"/>
        <w:jc w:val="both"/>
        <w:rPr>
          <w:sz w:val="24"/>
          <w:szCs w:val="24"/>
        </w:rPr>
      </w:pPr>
    </w:p>
    <w:p w14:paraId="5731BDFE" w14:textId="77777777" w:rsidR="00737BE4" w:rsidRDefault="00737BE4" w:rsidP="00F75AED">
      <w:pPr>
        <w:spacing w:after="0" w:line="480" w:lineRule="auto"/>
        <w:jc w:val="both"/>
        <w:rPr>
          <w:sz w:val="24"/>
          <w:szCs w:val="24"/>
        </w:rPr>
      </w:pPr>
    </w:p>
    <w:p w14:paraId="3EA5DCE7" w14:textId="77777777" w:rsidR="00737BE4" w:rsidRDefault="00737BE4" w:rsidP="00F75AED">
      <w:pPr>
        <w:spacing w:after="0" w:line="480" w:lineRule="auto"/>
        <w:jc w:val="both"/>
        <w:rPr>
          <w:sz w:val="24"/>
          <w:szCs w:val="24"/>
        </w:rPr>
      </w:pPr>
    </w:p>
    <w:p w14:paraId="4F6CF300" w14:textId="77777777" w:rsidR="00737BE4" w:rsidRDefault="00737BE4" w:rsidP="00F75AED">
      <w:pPr>
        <w:spacing w:after="0" w:line="480" w:lineRule="auto"/>
        <w:jc w:val="both"/>
        <w:rPr>
          <w:sz w:val="24"/>
          <w:szCs w:val="24"/>
        </w:rPr>
      </w:pPr>
    </w:p>
    <w:p w14:paraId="71475B08" w14:textId="77777777" w:rsidR="00737BE4" w:rsidRPr="0048391B" w:rsidRDefault="00737BE4" w:rsidP="00F75AED">
      <w:pPr>
        <w:spacing w:after="0" w:line="480" w:lineRule="auto"/>
        <w:jc w:val="both"/>
        <w:rPr>
          <w:sz w:val="24"/>
          <w:szCs w:val="24"/>
        </w:rPr>
      </w:pPr>
    </w:p>
    <w:p w14:paraId="07EB1470" w14:textId="5E24B562" w:rsidR="00281810" w:rsidRPr="00281810" w:rsidRDefault="00281810" w:rsidP="008078FA">
      <w:pPr>
        <w:spacing w:after="0" w:line="480" w:lineRule="auto"/>
        <w:jc w:val="both"/>
        <w:rPr>
          <w:rFonts w:cs="Arial"/>
          <w:b/>
          <w:bCs/>
          <w:sz w:val="24"/>
          <w:szCs w:val="24"/>
        </w:rPr>
      </w:pPr>
      <w:r>
        <w:rPr>
          <w:rFonts w:cs="Arial"/>
          <w:b/>
          <w:bCs/>
          <w:sz w:val="24"/>
          <w:szCs w:val="24"/>
        </w:rPr>
        <w:lastRenderedPageBreak/>
        <w:t>Bibliography</w:t>
      </w:r>
    </w:p>
    <w:p w14:paraId="10DAE981" w14:textId="77777777" w:rsidR="00281810" w:rsidRPr="00777DB0" w:rsidRDefault="00281810" w:rsidP="00281810">
      <w:pPr>
        <w:pStyle w:val="FootnoteText"/>
        <w:ind w:left="720" w:hanging="630"/>
        <w:rPr>
          <w:sz w:val="22"/>
          <w:szCs w:val="22"/>
        </w:rPr>
      </w:pPr>
      <w:r w:rsidRPr="00777DB0">
        <w:rPr>
          <w:sz w:val="22"/>
          <w:szCs w:val="22"/>
        </w:rPr>
        <w:t xml:space="preserve">Abrahams, Alexei and Andrew Leber. “Electronic Armies or Cyber Knights? The Sources of Pro -Authoritarian Discourse on Middle East Twitter,” </w:t>
      </w:r>
      <w:r w:rsidRPr="00777DB0">
        <w:rPr>
          <w:i/>
          <w:iCs/>
          <w:sz w:val="22"/>
          <w:szCs w:val="22"/>
        </w:rPr>
        <w:t>International Journal of Communications</w:t>
      </w:r>
      <w:r w:rsidRPr="00777DB0">
        <w:rPr>
          <w:sz w:val="22"/>
          <w:szCs w:val="22"/>
        </w:rPr>
        <w:t xml:space="preserve">, forthcoming. </w:t>
      </w:r>
    </w:p>
    <w:p w14:paraId="393CB2BC" w14:textId="77777777" w:rsidR="00281810" w:rsidRPr="00777DB0" w:rsidRDefault="00281810" w:rsidP="00281810">
      <w:pPr>
        <w:pStyle w:val="FootnoteText"/>
        <w:ind w:left="720" w:hanging="630"/>
        <w:rPr>
          <w:sz w:val="22"/>
          <w:szCs w:val="22"/>
        </w:rPr>
      </w:pPr>
    </w:p>
    <w:p w14:paraId="68A1AAF7" w14:textId="77777777" w:rsidR="00281810" w:rsidRPr="00777DB0" w:rsidRDefault="00281810" w:rsidP="00281810">
      <w:pPr>
        <w:pStyle w:val="FootnoteText"/>
        <w:ind w:left="720" w:hanging="630"/>
        <w:rPr>
          <w:sz w:val="22"/>
          <w:szCs w:val="22"/>
        </w:rPr>
      </w:pPr>
      <w:r w:rsidRPr="00777DB0">
        <w:rPr>
          <w:sz w:val="22"/>
          <w:szCs w:val="22"/>
        </w:rPr>
        <w:t>Al-Ayam, “</w:t>
      </w:r>
      <w:r w:rsidRPr="00777DB0">
        <w:rPr>
          <w:rFonts w:cs="Arial"/>
          <w:sz w:val="22"/>
          <w:szCs w:val="22"/>
          <w:rtl/>
        </w:rPr>
        <w:t>لا لما يُثير الخلافات ونقد سياسة الحكومة</w:t>
      </w:r>
      <w:r w:rsidRPr="00777DB0">
        <w:rPr>
          <w:rFonts w:cs="Arial"/>
          <w:sz w:val="22"/>
          <w:szCs w:val="22"/>
        </w:rPr>
        <w:t xml:space="preserve">,” July 17, 2020, </w:t>
      </w:r>
      <w:hyperlink r:id="rId8" w:history="1">
        <w:r w:rsidRPr="00777DB0">
          <w:rPr>
            <w:rStyle w:val="Hyperlink"/>
            <w:rFonts w:cs="Arial"/>
            <w:sz w:val="22"/>
            <w:szCs w:val="22"/>
          </w:rPr>
          <w:t>https://www.alayam.com/alayam/first/864742/News.html</w:t>
        </w:r>
      </w:hyperlink>
      <w:r w:rsidRPr="00777DB0">
        <w:rPr>
          <w:rFonts w:cs="Arial"/>
          <w:sz w:val="22"/>
          <w:szCs w:val="22"/>
        </w:rPr>
        <w:t xml:space="preserve">. </w:t>
      </w:r>
    </w:p>
    <w:p w14:paraId="1D28A950" w14:textId="77777777" w:rsidR="00281810" w:rsidRPr="00777DB0" w:rsidRDefault="00281810" w:rsidP="00281810">
      <w:pPr>
        <w:pStyle w:val="FootnoteText"/>
        <w:ind w:left="720" w:hanging="630"/>
        <w:rPr>
          <w:sz w:val="22"/>
          <w:szCs w:val="22"/>
        </w:rPr>
      </w:pPr>
    </w:p>
    <w:p w14:paraId="2EB923D0" w14:textId="77777777" w:rsidR="00281810" w:rsidRPr="00777DB0" w:rsidRDefault="00281810" w:rsidP="00281810">
      <w:pPr>
        <w:pStyle w:val="FootnoteText"/>
        <w:ind w:left="720" w:hanging="630"/>
        <w:rPr>
          <w:sz w:val="22"/>
          <w:szCs w:val="22"/>
        </w:rPr>
      </w:pPr>
      <w:r w:rsidRPr="00777DB0">
        <w:rPr>
          <w:sz w:val="22"/>
          <w:szCs w:val="22"/>
        </w:rPr>
        <w:t xml:space="preserve">Allaami, Ohoud. “The actual relationship between Palestine and the Gulf countries.” </w:t>
      </w:r>
      <w:r w:rsidRPr="00777DB0">
        <w:rPr>
          <w:i/>
          <w:iCs/>
          <w:sz w:val="22"/>
          <w:szCs w:val="22"/>
        </w:rPr>
        <w:t>Thmanyah</w:t>
      </w:r>
      <w:r w:rsidRPr="00777DB0">
        <w:rPr>
          <w:sz w:val="22"/>
          <w:szCs w:val="22"/>
        </w:rPr>
        <w:t>, September 17, 2019. https://thmanyah.com/2193/.</w:t>
      </w:r>
    </w:p>
    <w:p w14:paraId="0F9FB0DE" w14:textId="77777777" w:rsidR="00281810" w:rsidRPr="00777DB0" w:rsidRDefault="00281810" w:rsidP="00281810">
      <w:pPr>
        <w:pStyle w:val="FootnoteText"/>
        <w:ind w:left="720" w:hanging="630"/>
        <w:rPr>
          <w:sz w:val="22"/>
          <w:szCs w:val="22"/>
        </w:rPr>
      </w:pPr>
    </w:p>
    <w:p w14:paraId="7C50E101" w14:textId="77777777" w:rsidR="00281810" w:rsidRPr="00281810" w:rsidRDefault="00281810" w:rsidP="00281810">
      <w:pPr>
        <w:pStyle w:val="FootnoteText"/>
        <w:ind w:left="720" w:hanging="630"/>
        <w:rPr>
          <w:sz w:val="22"/>
          <w:szCs w:val="22"/>
          <w:lang w:val="pt-PT"/>
        </w:rPr>
      </w:pPr>
      <w:r w:rsidRPr="00777DB0">
        <w:rPr>
          <w:sz w:val="22"/>
          <w:szCs w:val="22"/>
        </w:rPr>
        <w:t xml:space="preserve">Allinson, Tom. “Will repression in UAE intensify under the Israel deal?” </w:t>
      </w:r>
      <w:r w:rsidRPr="00281810">
        <w:rPr>
          <w:sz w:val="22"/>
          <w:szCs w:val="22"/>
          <w:lang w:val="pt-PT"/>
        </w:rPr>
        <w:t xml:space="preserve">Qantara (August 24, 2020). </w:t>
      </w:r>
      <w:hyperlink r:id="rId9" w:history="1">
        <w:r w:rsidRPr="00281810">
          <w:rPr>
            <w:rStyle w:val="Hyperlink"/>
            <w:sz w:val="22"/>
            <w:szCs w:val="22"/>
            <w:lang w:val="pt-PT"/>
          </w:rPr>
          <w:t>https://en.qantara.de/content/activists-fear-increased-cyber-surveillance-will-repression-in-uae-intensify-under-the</w:t>
        </w:r>
      </w:hyperlink>
      <w:r w:rsidRPr="00281810">
        <w:rPr>
          <w:sz w:val="22"/>
          <w:szCs w:val="22"/>
          <w:lang w:val="pt-PT"/>
        </w:rPr>
        <w:t>.</w:t>
      </w:r>
    </w:p>
    <w:p w14:paraId="45D4D195" w14:textId="77777777" w:rsidR="00281810" w:rsidRPr="00281810" w:rsidRDefault="00281810" w:rsidP="00281810">
      <w:pPr>
        <w:pStyle w:val="FootnoteText"/>
        <w:ind w:left="720" w:hanging="630"/>
        <w:rPr>
          <w:sz w:val="22"/>
          <w:szCs w:val="22"/>
          <w:lang w:val="pt-PT"/>
        </w:rPr>
      </w:pPr>
    </w:p>
    <w:p w14:paraId="10792277" w14:textId="77777777" w:rsidR="00281810" w:rsidRPr="00281810" w:rsidRDefault="00281810" w:rsidP="00281810">
      <w:pPr>
        <w:pStyle w:val="FootnoteText"/>
        <w:ind w:left="720" w:hanging="630"/>
        <w:rPr>
          <w:sz w:val="22"/>
          <w:szCs w:val="22"/>
          <w:lang w:val="de-DE"/>
        </w:rPr>
      </w:pPr>
      <w:r>
        <w:rPr>
          <w:sz w:val="22"/>
          <w:szCs w:val="22"/>
        </w:rPr>
        <w:t>---</w:t>
      </w:r>
      <w:r w:rsidRPr="00777DB0">
        <w:rPr>
          <w:sz w:val="22"/>
          <w:szCs w:val="22"/>
        </w:rPr>
        <w:t xml:space="preserve">, </w:t>
      </w:r>
      <w:r>
        <w:rPr>
          <w:sz w:val="22"/>
          <w:szCs w:val="22"/>
        </w:rPr>
        <w:t>---</w:t>
      </w:r>
      <w:r w:rsidRPr="00777DB0">
        <w:rPr>
          <w:sz w:val="22"/>
          <w:szCs w:val="22"/>
        </w:rPr>
        <w:t xml:space="preserve">. “Will the Israel Deal Pave the Way for Emirati Repression?” </w:t>
      </w:r>
      <w:r w:rsidRPr="00281810">
        <w:rPr>
          <w:sz w:val="22"/>
          <w:szCs w:val="22"/>
          <w:lang w:val="de-DE"/>
        </w:rPr>
        <w:t xml:space="preserve">Deutsche Welle (DW.com), August 21, 2020. </w:t>
      </w:r>
      <w:hyperlink r:id="rId10" w:history="1">
        <w:r w:rsidRPr="00281810">
          <w:rPr>
            <w:rStyle w:val="Hyperlink"/>
            <w:sz w:val="22"/>
            <w:szCs w:val="22"/>
            <w:lang w:val="de-DE"/>
          </w:rPr>
          <w:t>https://www.dw.com/en/will-the-israel-deal-pave-the-way-for-emirati-repression/a-54636945</w:t>
        </w:r>
      </w:hyperlink>
      <w:r w:rsidRPr="00281810">
        <w:rPr>
          <w:sz w:val="22"/>
          <w:szCs w:val="22"/>
          <w:lang w:val="de-DE"/>
        </w:rPr>
        <w:t>.</w:t>
      </w:r>
    </w:p>
    <w:p w14:paraId="69D3D6B8" w14:textId="77777777" w:rsidR="00281810" w:rsidRPr="00B42EBD" w:rsidRDefault="00281810" w:rsidP="00E91806">
      <w:pPr>
        <w:pStyle w:val="FootnoteText"/>
        <w:rPr>
          <w:sz w:val="22"/>
          <w:szCs w:val="22"/>
          <w:lang w:val="de-DE"/>
        </w:rPr>
      </w:pPr>
    </w:p>
    <w:p w14:paraId="7EE13C10" w14:textId="77777777" w:rsidR="00281810" w:rsidRDefault="00281810" w:rsidP="00281810">
      <w:pPr>
        <w:pStyle w:val="FootnoteText"/>
        <w:ind w:left="720" w:hanging="630"/>
        <w:rPr>
          <w:sz w:val="22"/>
          <w:szCs w:val="22"/>
        </w:rPr>
      </w:pPr>
      <w:r w:rsidRPr="00777DB0">
        <w:rPr>
          <w:sz w:val="22"/>
          <w:szCs w:val="22"/>
        </w:rPr>
        <w:t xml:space="preserve">Amnesty International, “Saudi Arabia’s Year of Shame: Crackdown on Critics and Rights Activists Continue,” May 14, 2019. </w:t>
      </w:r>
      <w:hyperlink r:id="rId11" w:anchor=":~:text=Facebook-,Saudi%20Arabia's%20'year%20of%20shame'%3A%20Crackdown%20on,critics%20and%20rights'%20activists%20continues&amp;text=Loujain%20al%2DHathloul%2C%20Iman%20al,rights%20work%20since%20March%202019" w:history="1">
        <w:r w:rsidRPr="00777DB0">
          <w:rPr>
            <w:rStyle w:val="Hyperlink"/>
            <w:sz w:val="22"/>
            <w:szCs w:val="22"/>
          </w:rPr>
          <w:t>https://www.amnesty.org/en/latest/news/2019/05/saudi-arabias-year-of-shame-crackdown-on-critics-and-rights-activists-continues/#:~:text=Facebook-,Saudi%20Arabia's%20'year%20of%20shame'%3A%20Crackdown%20on,critics%20and%20rights'%20activists%20continues&amp;text=Loujain%20al%2DHathloul%2C%20Iman%20al,rights%20work%20since%20March%202019</w:t>
        </w:r>
      </w:hyperlink>
      <w:r w:rsidRPr="00777DB0">
        <w:rPr>
          <w:sz w:val="22"/>
          <w:szCs w:val="22"/>
        </w:rPr>
        <w:t xml:space="preserve">. </w:t>
      </w:r>
    </w:p>
    <w:p w14:paraId="195737CE" w14:textId="77777777" w:rsidR="00281810" w:rsidRPr="00B42EBD" w:rsidRDefault="00281810" w:rsidP="009E464D">
      <w:pPr>
        <w:pStyle w:val="FootnoteText"/>
        <w:rPr>
          <w:sz w:val="22"/>
          <w:szCs w:val="22"/>
        </w:rPr>
      </w:pPr>
    </w:p>
    <w:p w14:paraId="420491F5" w14:textId="77777777" w:rsidR="00281810" w:rsidRPr="00777DB0" w:rsidRDefault="00281810" w:rsidP="00281810">
      <w:pPr>
        <w:pStyle w:val="FootnoteText"/>
        <w:ind w:left="720" w:hanging="630"/>
        <w:rPr>
          <w:sz w:val="22"/>
          <w:szCs w:val="22"/>
        </w:rPr>
      </w:pPr>
      <w:r w:rsidRPr="00777DB0">
        <w:rPr>
          <w:sz w:val="22"/>
          <w:szCs w:val="22"/>
        </w:rPr>
        <w:t xml:space="preserve">“Arab Opinion Index 2019/2020.” Doha, Qatar: Arab Center for Research and Policy Studies, October 3, 2020. </w:t>
      </w:r>
      <w:hyperlink r:id="rId12" w:history="1">
        <w:r w:rsidRPr="00777DB0">
          <w:rPr>
            <w:rStyle w:val="Hyperlink"/>
            <w:sz w:val="22"/>
            <w:szCs w:val="22"/>
          </w:rPr>
          <w:t>https://www.dohainstitute.org/ar/News/Pages/ACRPS-Announces-the-Results-of-the-Arab-Opinion-Index-2019-2020.aspx</w:t>
        </w:r>
      </w:hyperlink>
      <w:r w:rsidRPr="00777DB0">
        <w:rPr>
          <w:sz w:val="22"/>
          <w:szCs w:val="22"/>
        </w:rPr>
        <w:t xml:space="preserve">. </w:t>
      </w:r>
    </w:p>
    <w:p w14:paraId="44603FB7" w14:textId="77777777" w:rsidR="00281810" w:rsidRPr="00777DB0" w:rsidRDefault="00281810" w:rsidP="00281810">
      <w:pPr>
        <w:pStyle w:val="FootnoteText"/>
        <w:ind w:left="720" w:hanging="630"/>
        <w:rPr>
          <w:sz w:val="22"/>
          <w:szCs w:val="22"/>
        </w:rPr>
      </w:pPr>
    </w:p>
    <w:p w14:paraId="3B7935E8" w14:textId="77777777" w:rsidR="00281810" w:rsidRPr="00777DB0" w:rsidRDefault="00281810" w:rsidP="00281810">
      <w:pPr>
        <w:pStyle w:val="FootnoteText"/>
        <w:ind w:left="720" w:hanging="630"/>
        <w:jc w:val="both"/>
        <w:rPr>
          <w:sz w:val="22"/>
          <w:szCs w:val="22"/>
          <w:shd w:val="clear" w:color="auto" w:fill="FFFFFF"/>
        </w:rPr>
      </w:pPr>
      <w:r w:rsidRPr="00777DB0">
        <w:rPr>
          <w:sz w:val="22"/>
          <w:szCs w:val="22"/>
          <w:shd w:val="clear" w:color="auto" w:fill="FFFFFF"/>
        </w:rPr>
        <w:t xml:space="preserve">Aziza, </w:t>
      </w:r>
      <w:r w:rsidRPr="00777DB0">
        <w:rPr>
          <w:sz w:val="22"/>
          <w:szCs w:val="22"/>
        </w:rPr>
        <w:t>Sarah.</w:t>
      </w:r>
      <w:r w:rsidRPr="00777DB0">
        <w:rPr>
          <w:sz w:val="22"/>
          <w:szCs w:val="22"/>
          <w:shd w:val="clear" w:color="auto" w:fill="FFFFFF"/>
        </w:rPr>
        <w:t xml:space="preserve"> "Saudi Women Who Fought for the Right to Drive Are Disappearing and Going Into Exile." The Intercept. October 06, 2018. </w:t>
      </w:r>
      <w:hyperlink r:id="rId13" w:history="1">
        <w:r w:rsidRPr="00777DB0">
          <w:rPr>
            <w:rStyle w:val="Hyperlink"/>
            <w:sz w:val="22"/>
            <w:szCs w:val="22"/>
            <w:shd w:val="clear" w:color="auto" w:fill="FFFFFF"/>
          </w:rPr>
          <w:t>https://theintercept.com/2018/10/06/saudi-arabia-women-driving-activists-exile/</w:t>
        </w:r>
      </w:hyperlink>
      <w:r w:rsidRPr="00777DB0">
        <w:rPr>
          <w:sz w:val="22"/>
          <w:szCs w:val="22"/>
          <w:shd w:val="clear" w:color="auto" w:fill="FFFFFF"/>
        </w:rPr>
        <w:t xml:space="preserve">. </w:t>
      </w:r>
    </w:p>
    <w:p w14:paraId="387DBC44" w14:textId="77777777" w:rsidR="00281810" w:rsidRPr="00777DB0" w:rsidRDefault="00281810" w:rsidP="001D0E0E">
      <w:pPr>
        <w:pStyle w:val="NormalWeb"/>
        <w:spacing w:before="0" w:beforeAutospacing="0" w:after="0" w:afterAutospacing="0"/>
        <w:textAlignment w:val="baseline"/>
        <w:rPr>
          <w:rFonts w:asciiTheme="minorHAnsi" w:hAnsiTheme="minorHAnsi"/>
          <w:color w:val="2A2A2A"/>
          <w:sz w:val="22"/>
          <w:szCs w:val="22"/>
        </w:rPr>
      </w:pPr>
    </w:p>
    <w:p w14:paraId="0172CB35" w14:textId="77777777" w:rsidR="00281810" w:rsidRPr="00777DB0" w:rsidRDefault="00281810" w:rsidP="00281810">
      <w:pPr>
        <w:pStyle w:val="FootnoteText"/>
        <w:ind w:left="720" w:hanging="630"/>
        <w:rPr>
          <w:sz w:val="22"/>
          <w:szCs w:val="22"/>
        </w:rPr>
      </w:pPr>
      <w:r w:rsidRPr="00777DB0">
        <w:rPr>
          <w:sz w:val="22"/>
          <w:szCs w:val="22"/>
        </w:rPr>
        <w:t xml:space="preserve">Barakat, Sultan. “Qatari Mediation: Between Ambition and Achievement.” Brookings Doha Center, no 12 (November 2014): p 11. </w:t>
      </w:r>
      <w:hyperlink r:id="rId14" w:history="1">
        <w:r w:rsidRPr="00777DB0">
          <w:rPr>
            <w:rStyle w:val="Hyperlink"/>
            <w:sz w:val="22"/>
            <w:szCs w:val="22"/>
          </w:rPr>
          <w:t>https://www.brookings.edu/wp-content/uploads/2016/06/Final-PDF-English.pdf</w:t>
        </w:r>
      </w:hyperlink>
      <w:r w:rsidRPr="00777DB0">
        <w:rPr>
          <w:sz w:val="22"/>
          <w:szCs w:val="22"/>
        </w:rPr>
        <w:t xml:space="preserve">. </w:t>
      </w:r>
    </w:p>
    <w:p w14:paraId="2BEA5A37" w14:textId="77777777" w:rsidR="00281810" w:rsidRPr="00777DB0" w:rsidRDefault="00281810" w:rsidP="00281810">
      <w:pPr>
        <w:pStyle w:val="FootnoteText"/>
        <w:ind w:left="720" w:hanging="630"/>
        <w:rPr>
          <w:sz w:val="22"/>
          <w:szCs w:val="22"/>
        </w:rPr>
      </w:pPr>
    </w:p>
    <w:p w14:paraId="5893BF08" w14:textId="77777777" w:rsidR="00281810" w:rsidRPr="00777DB0" w:rsidRDefault="00281810" w:rsidP="00281810">
      <w:pPr>
        <w:pStyle w:val="FootnoteText"/>
        <w:ind w:left="720" w:hanging="630"/>
        <w:rPr>
          <w:sz w:val="22"/>
          <w:szCs w:val="22"/>
        </w:rPr>
      </w:pPr>
      <w:r w:rsidRPr="00777DB0">
        <w:rPr>
          <w:sz w:val="22"/>
          <w:szCs w:val="22"/>
        </w:rPr>
        <w:t xml:space="preserve">Barghouti, Mourid. </w:t>
      </w:r>
      <w:r w:rsidRPr="00777DB0">
        <w:rPr>
          <w:i/>
          <w:iCs/>
          <w:sz w:val="22"/>
          <w:szCs w:val="22"/>
        </w:rPr>
        <w:t>I Saw Ramallah</w:t>
      </w:r>
      <w:r w:rsidRPr="00777DB0">
        <w:rPr>
          <w:sz w:val="22"/>
          <w:szCs w:val="22"/>
        </w:rPr>
        <w:t xml:space="preserve">. Cairo, Egypt: American University of Cairo Press, 2000. </w:t>
      </w:r>
    </w:p>
    <w:p w14:paraId="37146D16" w14:textId="77777777" w:rsidR="00281810" w:rsidRPr="00777DB0" w:rsidRDefault="00281810" w:rsidP="00281810">
      <w:pPr>
        <w:pStyle w:val="FootnoteText"/>
        <w:ind w:left="720" w:hanging="630"/>
        <w:rPr>
          <w:sz w:val="22"/>
          <w:szCs w:val="22"/>
        </w:rPr>
      </w:pPr>
    </w:p>
    <w:p w14:paraId="25A9B89D" w14:textId="77777777" w:rsidR="00281810" w:rsidRPr="00777DB0" w:rsidRDefault="00281810" w:rsidP="00281810">
      <w:pPr>
        <w:pStyle w:val="FootnoteText"/>
        <w:ind w:left="720" w:hanging="630"/>
        <w:rPr>
          <w:sz w:val="22"/>
          <w:szCs w:val="22"/>
        </w:rPr>
      </w:pPr>
      <w:r w:rsidRPr="00777DB0">
        <w:rPr>
          <w:sz w:val="22"/>
          <w:szCs w:val="22"/>
        </w:rPr>
        <w:t xml:space="preserve">Bayard de Volo, Lorraine and Edward Schatz. “From the Inside Out: Ethnographic Methods in Political Research.” </w:t>
      </w:r>
      <w:r w:rsidRPr="00777DB0">
        <w:rPr>
          <w:i/>
          <w:iCs/>
          <w:sz w:val="22"/>
          <w:szCs w:val="22"/>
        </w:rPr>
        <w:t xml:space="preserve">PS: Political Science and Politics </w:t>
      </w:r>
      <w:r w:rsidRPr="00777DB0">
        <w:rPr>
          <w:sz w:val="22"/>
          <w:szCs w:val="22"/>
        </w:rPr>
        <w:t xml:space="preserve">37, no. 2 (2004). </w:t>
      </w:r>
    </w:p>
    <w:p w14:paraId="7B1C2DC8" w14:textId="77777777" w:rsidR="00281810" w:rsidRPr="00777DB0" w:rsidRDefault="00281810" w:rsidP="00281810">
      <w:pPr>
        <w:pStyle w:val="FootnoteText"/>
        <w:ind w:left="720" w:hanging="630"/>
        <w:rPr>
          <w:sz w:val="22"/>
          <w:szCs w:val="22"/>
        </w:rPr>
      </w:pPr>
    </w:p>
    <w:p w14:paraId="03154E31" w14:textId="77777777" w:rsidR="00281810" w:rsidRPr="00777DB0" w:rsidRDefault="00281810" w:rsidP="00281810">
      <w:pPr>
        <w:pStyle w:val="FootnoteText"/>
        <w:ind w:left="720" w:hanging="630"/>
        <w:rPr>
          <w:sz w:val="22"/>
          <w:szCs w:val="22"/>
        </w:rPr>
      </w:pPr>
      <w:r w:rsidRPr="00777DB0">
        <w:rPr>
          <w:sz w:val="22"/>
          <w:szCs w:val="22"/>
        </w:rPr>
        <w:t xml:space="preserve">Binkhunein, Majed. “In memory of the Nakba: The history of Saudi popular movements and the Palestinian cause.” </w:t>
      </w:r>
      <w:r w:rsidRPr="00777DB0">
        <w:rPr>
          <w:i/>
          <w:iCs/>
          <w:sz w:val="22"/>
          <w:szCs w:val="22"/>
        </w:rPr>
        <w:t>Thmanyah</w:t>
      </w:r>
      <w:r w:rsidRPr="00777DB0">
        <w:rPr>
          <w:sz w:val="22"/>
          <w:szCs w:val="22"/>
        </w:rPr>
        <w:t>, May 15, 2020. https://thmanyah.com/5420/.</w:t>
      </w:r>
    </w:p>
    <w:p w14:paraId="63655D14" w14:textId="77777777" w:rsidR="00281810" w:rsidRPr="00777DB0" w:rsidRDefault="00281810" w:rsidP="00281810">
      <w:pPr>
        <w:pStyle w:val="FootnoteText"/>
        <w:ind w:left="720" w:hanging="630"/>
        <w:rPr>
          <w:sz w:val="22"/>
          <w:szCs w:val="22"/>
        </w:rPr>
      </w:pPr>
    </w:p>
    <w:p w14:paraId="42B0B9B6" w14:textId="77777777" w:rsidR="00281810" w:rsidRPr="00777DB0" w:rsidRDefault="00281810" w:rsidP="00281810">
      <w:pPr>
        <w:pStyle w:val="FootnoteText"/>
        <w:ind w:left="720" w:hanging="630"/>
        <w:rPr>
          <w:sz w:val="22"/>
          <w:szCs w:val="22"/>
        </w:rPr>
      </w:pPr>
      <w:r w:rsidRPr="00777DB0">
        <w:rPr>
          <w:sz w:val="22"/>
          <w:szCs w:val="22"/>
        </w:rPr>
        <w:lastRenderedPageBreak/>
        <w:t xml:space="preserve">Black, Ian. “Just below the Surface: Israel, the Arab Gulf States and the Limits of Cooperation,” LSE Middle East Centre Report. Middle East Centre: The London School of Economics and Political Science, 2019. </w:t>
      </w:r>
      <w:hyperlink r:id="rId15" w:history="1">
        <w:r w:rsidRPr="00777DB0">
          <w:rPr>
            <w:rStyle w:val="Hyperlink"/>
            <w:sz w:val="22"/>
            <w:szCs w:val="22"/>
          </w:rPr>
          <w:t>http://eprints.lse.ac.uk/100313/7/JustBelowtheSurface.pdf</w:t>
        </w:r>
      </w:hyperlink>
      <w:r w:rsidRPr="00777DB0">
        <w:rPr>
          <w:sz w:val="22"/>
          <w:szCs w:val="22"/>
        </w:rPr>
        <w:t xml:space="preserve">.  </w:t>
      </w:r>
    </w:p>
    <w:p w14:paraId="4FDE2A6F" w14:textId="77777777" w:rsidR="00281810" w:rsidRPr="00777DB0" w:rsidRDefault="00281810" w:rsidP="009E464D">
      <w:pPr>
        <w:pStyle w:val="FootnoteText"/>
        <w:rPr>
          <w:sz w:val="22"/>
          <w:szCs w:val="22"/>
        </w:rPr>
      </w:pPr>
    </w:p>
    <w:p w14:paraId="190EB33A" w14:textId="77777777" w:rsidR="00281810" w:rsidRPr="00777DB0" w:rsidRDefault="00281810" w:rsidP="00281810">
      <w:pPr>
        <w:pStyle w:val="FootnoteText"/>
        <w:ind w:left="720" w:hanging="630"/>
        <w:rPr>
          <w:sz w:val="22"/>
          <w:szCs w:val="22"/>
        </w:rPr>
      </w:pPr>
      <w:r w:rsidRPr="00777DB0">
        <w:rPr>
          <w:sz w:val="22"/>
          <w:szCs w:val="22"/>
        </w:rPr>
        <w:t xml:space="preserve">Bouillon, Markus. “"Walking the Tightrope: Jordan’s Foreign Policy from the Gulf Crisis to the Peace Process and beyond, 1990-1999," in George Joffé, ed., </w:t>
      </w:r>
      <w:r w:rsidRPr="00777DB0">
        <w:rPr>
          <w:i/>
          <w:iCs/>
          <w:sz w:val="22"/>
          <w:szCs w:val="22"/>
        </w:rPr>
        <w:t>Jordan in Transition: 1990-2000</w:t>
      </w:r>
      <w:r w:rsidRPr="00777DB0">
        <w:rPr>
          <w:sz w:val="22"/>
          <w:szCs w:val="22"/>
        </w:rPr>
        <w:t>. London: Hurst, 2001.</w:t>
      </w:r>
    </w:p>
    <w:p w14:paraId="63FE75CF" w14:textId="77777777" w:rsidR="00281810" w:rsidRPr="00777DB0" w:rsidRDefault="00281810" w:rsidP="00281810">
      <w:pPr>
        <w:pStyle w:val="FootnoteText"/>
        <w:ind w:left="720" w:hanging="630"/>
        <w:rPr>
          <w:rFonts w:cs="Helvetica"/>
          <w:color w:val="000000"/>
          <w:spacing w:val="-5"/>
          <w:sz w:val="22"/>
          <w:szCs w:val="22"/>
          <w:shd w:val="clear" w:color="auto" w:fill="FFFFFF"/>
        </w:rPr>
      </w:pPr>
    </w:p>
    <w:p w14:paraId="33FA79D1" w14:textId="77777777" w:rsidR="00281810" w:rsidRPr="00777DB0" w:rsidRDefault="00281810" w:rsidP="00281810">
      <w:pPr>
        <w:pStyle w:val="FootnoteText"/>
        <w:ind w:left="720" w:hanging="630"/>
        <w:rPr>
          <w:sz w:val="22"/>
          <w:szCs w:val="22"/>
        </w:rPr>
      </w:pPr>
      <w:r w:rsidRPr="00777DB0">
        <w:rPr>
          <w:sz w:val="22"/>
          <w:szCs w:val="22"/>
        </w:rPr>
        <w:t xml:space="preserve">Brand, Laurie. “The Effects of the Peace Process on Political Liberalization in Jordan,” </w:t>
      </w:r>
      <w:r w:rsidRPr="00777DB0">
        <w:rPr>
          <w:i/>
          <w:iCs/>
          <w:sz w:val="22"/>
          <w:szCs w:val="22"/>
        </w:rPr>
        <w:t xml:space="preserve">Journal of Palestine Studies </w:t>
      </w:r>
      <w:r w:rsidRPr="00777DB0">
        <w:rPr>
          <w:sz w:val="22"/>
          <w:szCs w:val="22"/>
        </w:rPr>
        <w:t>28, no 2 (1999): 52-67.</w:t>
      </w:r>
    </w:p>
    <w:p w14:paraId="2B2004D1" w14:textId="77777777" w:rsidR="00281810" w:rsidRPr="00777DB0" w:rsidRDefault="00281810" w:rsidP="00281810">
      <w:pPr>
        <w:pStyle w:val="FootnoteText"/>
        <w:ind w:left="720" w:hanging="630"/>
        <w:rPr>
          <w:sz w:val="22"/>
          <w:szCs w:val="22"/>
          <w:shd w:val="clear" w:color="auto" w:fill="FFFFFF"/>
        </w:rPr>
      </w:pPr>
    </w:p>
    <w:p w14:paraId="0665A11E" w14:textId="77777777" w:rsidR="00281810" w:rsidRPr="00777DB0" w:rsidRDefault="00281810" w:rsidP="00281810">
      <w:pPr>
        <w:pStyle w:val="FootnoteText"/>
        <w:ind w:left="720" w:hanging="630"/>
        <w:rPr>
          <w:sz w:val="22"/>
          <w:szCs w:val="22"/>
          <w:shd w:val="clear" w:color="auto" w:fill="FFFFFF"/>
        </w:rPr>
      </w:pPr>
      <w:r w:rsidRPr="00777DB0">
        <w:rPr>
          <w:sz w:val="22"/>
          <w:szCs w:val="22"/>
          <w:shd w:val="clear" w:color="auto" w:fill="FFFFFF"/>
        </w:rPr>
        <w:t>Brownlee, </w:t>
      </w:r>
      <w:r w:rsidRPr="00777DB0">
        <w:rPr>
          <w:sz w:val="22"/>
          <w:szCs w:val="22"/>
        </w:rPr>
        <w:t xml:space="preserve">Jason. </w:t>
      </w:r>
      <w:r w:rsidRPr="00777DB0">
        <w:rPr>
          <w:i/>
          <w:iCs/>
          <w:sz w:val="22"/>
          <w:szCs w:val="22"/>
        </w:rPr>
        <w:t>Democracy Prevention: The Politics of the U.S.-Egyptian Alliance</w:t>
      </w:r>
      <w:r w:rsidRPr="00777DB0">
        <w:rPr>
          <w:sz w:val="22"/>
          <w:szCs w:val="22"/>
          <w:shd w:val="clear" w:color="auto" w:fill="FFFFFF"/>
        </w:rPr>
        <w:t>. New York, NY: Cambridge University Press, 2012.</w:t>
      </w:r>
    </w:p>
    <w:p w14:paraId="5D2D81D9" w14:textId="77777777" w:rsidR="00281810" w:rsidRPr="00777DB0" w:rsidRDefault="00281810" w:rsidP="00770795">
      <w:pPr>
        <w:pStyle w:val="FootnoteText"/>
        <w:rPr>
          <w:rFonts w:cs="Helvetica"/>
          <w:color w:val="000000"/>
          <w:spacing w:val="-5"/>
          <w:sz w:val="22"/>
          <w:szCs w:val="22"/>
          <w:shd w:val="clear" w:color="auto" w:fill="FFFFFF"/>
        </w:rPr>
      </w:pPr>
    </w:p>
    <w:p w14:paraId="35DB451D" w14:textId="77777777" w:rsidR="00281810" w:rsidRPr="00777DB0" w:rsidRDefault="00281810" w:rsidP="00281810">
      <w:pPr>
        <w:pStyle w:val="FootnoteText"/>
        <w:ind w:left="720" w:hanging="630"/>
        <w:rPr>
          <w:rStyle w:val="Hyperlink"/>
          <w:sz w:val="22"/>
          <w:szCs w:val="22"/>
        </w:rPr>
      </w:pPr>
      <w:r w:rsidRPr="00777DB0">
        <w:rPr>
          <w:sz w:val="22"/>
          <w:szCs w:val="22"/>
        </w:rPr>
        <w:t xml:space="preserve">Bruton, F. Brinley. “Malak Al-Shehri Speaks out after Saudi Arabia Detains Husband,” NBC News (NBC Universal News Group, May 4, 2019), </w:t>
      </w:r>
      <w:hyperlink r:id="rId16" w:history="1">
        <w:r w:rsidRPr="00777DB0">
          <w:rPr>
            <w:rStyle w:val="Hyperlink"/>
            <w:sz w:val="22"/>
            <w:szCs w:val="22"/>
          </w:rPr>
          <w:t>https://www.nbcnews.com/news/world/malak-al-shehri-speaks-out-after-saudi-arabia-detains-husband-n999976</w:t>
        </w:r>
      </w:hyperlink>
      <w:r w:rsidRPr="00777DB0">
        <w:rPr>
          <w:sz w:val="22"/>
          <w:szCs w:val="22"/>
        </w:rPr>
        <w:t xml:space="preserve">. </w:t>
      </w:r>
    </w:p>
    <w:p w14:paraId="37F736DD" w14:textId="77777777" w:rsidR="00281810" w:rsidRPr="00777DB0" w:rsidRDefault="00281810" w:rsidP="00281810">
      <w:pPr>
        <w:pStyle w:val="FootnoteText"/>
        <w:ind w:left="720" w:hanging="630"/>
        <w:rPr>
          <w:rFonts w:cs="Helvetica"/>
          <w:color w:val="000000"/>
          <w:spacing w:val="-5"/>
          <w:sz w:val="22"/>
          <w:szCs w:val="22"/>
          <w:shd w:val="clear" w:color="auto" w:fill="FFFFFF"/>
        </w:rPr>
      </w:pPr>
    </w:p>
    <w:p w14:paraId="22008125" w14:textId="77777777" w:rsidR="00281810" w:rsidRPr="00777DB0" w:rsidRDefault="00281810" w:rsidP="00281810">
      <w:pPr>
        <w:pStyle w:val="FootnoteText"/>
        <w:ind w:left="720" w:hanging="630"/>
        <w:rPr>
          <w:sz w:val="22"/>
          <w:szCs w:val="22"/>
        </w:rPr>
      </w:pPr>
      <w:r w:rsidRPr="00777DB0">
        <w:rPr>
          <w:sz w:val="22"/>
          <w:szCs w:val="22"/>
        </w:rPr>
        <w:t xml:space="preserve">Carlson, Melissa &amp; Barbara Koremenos. "Cooperation Failure or Secret Collusion? Absolute Monarchs and Informal Cooperation," </w:t>
      </w:r>
      <w:r w:rsidRPr="00777DB0">
        <w:rPr>
          <w:i/>
          <w:iCs/>
          <w:sz w:val="22"/>
          <w:szCs w:val="22"/>
        </w:rPr>
        <w:t>The Review of International Organizations</w:t>
      </w:r>
      <w:r w:rsidRPr="00777DB0">
        <w:rPr>
          <w:sz w:val="22"/>
          <w:szCs w:val="22"/>
        </w:rPr>
        <w:t xml:space="preserve"> 16, no 1 (2021): 95-135.</w:t>
      </w:r>
    </w:p>
    <w:p w14:paraId="08673F83" w14:textId="77777777" w:rsidR="00281810" w:rsidRPr="00777DB0" w:rsidRDefault="00281810" w:rsidP="00281810">
      <w:pPr>
        <w:pStyle w:val="FootnoteText"/>
        <w:ind w:left="720" w:hanging="630"/>
        <w:rPr>
          <w:sz w:val="22"/>
          <w:szCs w:val="22"/>
        </w:rPr>
      </w:pPr>
    </w:p>
    <w:p w14:paraId="7BFC3A9C" w14:textId="4A448818" w:rsidR="00281810" w:rsidRDefault="00281810" w:rsidP="00281810">
      <w:pPr>
        <w:pStyle w:val="FootnoteText"/>
        <w:ind w:left="720" w:hanging="630"/>
        <w:rPr>
          <w:sz w:val="22"/>
          <w:szCs w:val="22"/>
        </w:rPr>
      </w:pPr>
      <w:r w:rsidRPr="00777DB0">
        <w:rPr>
          <w:sz w:val="22"/>
          <w:szCs w:val="22"/>
        </w:rPr>
        <w:t xml:space="preserve">Coogle, Adam. “The High Cost of Change: Repression Under Saudi Crown Prince Tarnishes Reforms.” Human Rights Watch, November 4, 2019. </w:t>
      </w:r>
      <w:hyperlink r:id="rId17" w:anchor="_ftn94" w:history="1">
        <w:r w:rsidRPr="00777DB0">
          <w:rPr>
            <w:rStyle w:val="Hyperlink"/>
            <w:sz w:val="22"/>
            <w:szCs w:val="22"/>
          </w:rPr>
          <w:t>https://www.hrw.org/report/2019/11/04/high-cost-change/repression-under-saudi-crown-prince-tarnishes-reforms#_ftn94</w:t>
        </w:r>
      </w:hyperlink>
      <w:r w:rsidRPr="00777DB0">
        <w:rPr>
          <w:sz w:val="22"/>
          <w:szCs w:val="22"/>
        </w:rPr>
        <w:t xml:space="preserve">. </w:t>
      </w:r>
    </w:p>
    <w:p w14:paraId="334A2F81" w14:textId="77777777" w:rsidR="00281810" w:rsidRPr="00777DB0" w:rsidRDefault="00281810" w:rsidP="009E464D">
      <w:pPr>
        <w:pStyle w:val="FootnoteText"/>
        <w:rPr>
          <w:rFonts w:cs="Helvetica"/>
          <w:color w:val="000000"/>
          <w:spacing w:val="-5"/>
          <w:sz w:val="22"/>
          <w:szCs w:val="22"/>
          <w:shd w:val="clear" w:color="auto" w:fill="FFFFFF"/>
        </w:rPr>
      </w:pPr>
    </w:p>
    <w:p w14:paraId="400D42D4" w14:textId="77777777" w:rsidR="00281810" w:rsidRPr="00777DB0" w:rsidRDefault="00281810" w:rsidP="00281810">
      <w:pPr>
        <w:pStyle w:val="FootnoteText"/>
        <w:ind w:left="720" w:hanging="630"/>
        <w:rPr>
          <w:sz w:val="22"/>
          <w:szCs w:val="22"/>
        </w:rPr>
      </w:pPr>
      <w:r w:rsidRPr="00777DB0">
        <w:rPr>
          <w:sz w:val="22"/>
          <w:szCs w:val="22"/>
        </w:rPr>
        <w:t xml:space="preserve">DAWN Report, “‘I'll Kill You... But before That, I'll Rape You’: Loujain Alhathloul's Arrest and Torture for Advocating for the Right to Drive,” February 11, 2021, </w:t>
      </w:r>
      <w:hyperlink r:id="rId18" w:history="1">
        <w:r w:rsidRPr="00777DB0">
          <w:rPr>
            <w:rStyle w:val="Hyperlink"/>
            <w:sz w:val="22"/>
            <w:szCs w:val="22"/>
          </w:rPr>
          <w:t>https://dawnmena.org/ill-kill-you-but-before-that-ill-rape-you-loujain-alhathlouls-torture-in-a-saudi-prison-2/</w:t>
        </w:r>
      </w:hyperlink>
      <w:r w:rsidRPr="00777DB0">
        <w:rPr>
          <w:sz w:val="22"/>
          <w:szCs w:val="22"/>
        </w:rPr>
        <w:t xml:space="preserve">. </w:t>
      </w:r>
    </w:p>
    <w:p w14:paraId="57C9861F" w14:textId="77777777" w:rsidR="00281810" w:rsidRPr="00777DB0" w:rsidRDefault="00281810" w:rsidP="00281810">
      <w:pPr>
        <w:pStyle w:val="FootnoteText"/>
        <w:ind w:left="720" w:hanging="630"/>
        <w:rPr>
          <w:rFonts w:cs="Helvetica"/>
          <w:color w:val="000000"/>
          <w:spacing w:val="-5"/>
          <w:sz w:val="22"/>
          <w:szCs w:val="22"/>
          <w:shd w:val="clear" w:color="auto" w:fill="FFFFFF"/>
        </w:rPr>
      </w:pPr>
    </w:p>
    <w:p w14:paraId="692B3B8F" w14:textId="77777777" w:rsidR="00281810" w:rsidRPr="00777DB0" w:rsidRDefault="00281810" w:rsidP="00281810">
      <w:pPr>
        <w:pStyle w:val="FootnoteText"/>
        <w:ind w:left="720" w:hanging="630"/>
        <w:rPr>
          <w:rFonts w:cs="Helvetica"/>
          <w:color w:val="000000"/>
          <w:spacing w:val="-5"/>
          <w:sz w:val="22"/>
          <w:szCs w:val="22"/>
          <w:shd w:val="clear" w:color="auto" w:fill="FFFFFF"/>
        </w:rPr>
      </w:pPr>
      <w:r w:rsidRPr="00777DB0">
        <w:rPr>
          <w:rFonts w:cs="Helvetica"/>
          <w:color w:val="000000"/>
          <w:spacing w:val="-5"/>
          <w:sz w:val="22"/>
          <w:szCs w:val="22"/>
          <w:shd w:val="clear" w:color="auto" w:fill="FFFFFF"/>
        </w:rPr>
        <w:t xml:space="preserve">DeRouen, </w:t>
      </w:r>
      <w:r w:rsidRPr="00777DB0">
        <w:rPr>
          <w:sz w:val="22"/>
          <w:szCs w:val="22"/>
        </w:rPr>
        <w:t xml:space="preserve">Karl, </w:t>
      </w:r>
      <w:r w:rsidRPr="00777DB0">
        <w:rPr>
          <w:rFonts w:cs="Helvetica"/>
          <w:color w:val="000000"/>
          <w:spacing w:val="-5"/>
          <w:sz w:val="22"/>
          <w:szCs w:val="22"/>
          <w:shd w:val="clear" w:color="auto" w:fill="FFFFFF"/>
        </w:rPr>
        <w:t>Mark J Ferguson, Samuel Norton, Young Hwan Park, Jenna Lea, and Ashley Streat-Bartlett. "Civil War Peace Agreement Implementation and State Capacity." </w:t>
      </w:r>
      <w:r w:rsidRPr="00777DB0">
        <w:rPr>
          <w:rFonts w:cs="Helvetica"/>
          <w:i/>
          <w:iCs/>
          <w:color w:val="000000"/>
          <w:spacing w:val="-5"/>
          <w:sz w:val="22"/>
          <w:szCs w:val="22"/>
          <w:shd w:val="clear" w:color="auto" w:fill="FFFFFF"/>
        </w:rPr>
        <w:t>Journal of Peace Research</w:t>
      </w:r>
      <w:r w:rsidRPr="00777DB0">
        <w:rPr>
          <w:rFonts w:cs="Helvetica"/>
          <w:color w:val="000000"/>
          <w:spacing w:val="-5"/>
          <w:sz w:val="22"/>
          <w:szCs w:val="22"/>
          <w:shd w:val="clear" w:color="auto" w:fill="FFFFFF"/>
        </w:rPr>
        <w:t xml:space="preserve"> 47, no. 3 (2010): 333-46. </w:t>
      </w:r>
    </w:p>
    <w:p w14:paraId="3A98D728" w14:textId="77777777" w:rsidR="00281810" w:rsidRPr="00777DB0" w:rsidRDefault="00281810" w:rsidP="00281810">
      <w:pPr>
        <w:pStyle w:val="FootnoteText"/>
        <w:ind w:left="720" w:hanging="630"/>
        <w:rPr>
          <w:sz w:val="22"/>
          <w:szCs w:val="22"/>
        </w:rPr>
      </w:pPr>
    </w:p>
    <w:p w14:paraId="1482FD30" w14:textId="77777777" w:rsidR="00281810" w:rsidRPr="00777DB0" w:rsidRDefault="00281810" w:rsidP="00281810">
      <w:pPr>
        <w:pStyle w:val="FootnoteText"/>
        <w:ind w:left="720" w:hanging="630"/>
        <w:rPr>
          <w:sz w:val="22"/>
          <w:szCs w:val="22"/>
        </w:rPr>
      </w:pPr>
      <w:r w:rsidRPr="00777DB0">
        <w:rPr>
          <w:sz w:val="22"/>
          <w:szCs w:val="22"/>
        </w:rPr>
        <w:t xml:space="preserve">Dershowitz, Alan. “Why Is Qatar Being Blockaded and Isolated?” The Hill. January 12, 2018. </w:t>
      </w:r>
      <w:hyperlink r:id="rId19" w:history="1">
        <w:r w:rsidRPr="00777DB0">
          <w:rPr>
            <w:rStyle w:val="Hyperlink"/>
            <w:sz w:val="22"/>
            <w:szCs w:val="22"/>
          </w:rPr>
          <w:t>https://thehill.com/opinion/international/368764-why-is-qatar-being-blockaded-and-isolated</w:t>
        </w:r>
      </w:hyperlink>
      <w:r w:rsidRPr="00777DB0">
        <w:rPr>
          <w:sz w:val="22"/>
          <w:szCs w:val="22"/>
        </w:rPr>
        <w:t xml:space="preserve">. </w:t>
      </w:r>
    </w:p>
    <w:p w14:paraId="0037E43F" w14:textId="77777777" w:rsidR="00281810" w:rsidRPr="00777DB0" w:rsidRDefault="00281810" w:rsidP="00281810">
      <w:pPr>
        <w:pStyle w:val="FootnoteText"/>
        <w:ind w:left="720" w:hanging="630"/>
        <w:rPr>
          <w:sz w:val="22"/>
          <w:szCs w:val="22"/>
        </w:rPr>
      </w:pPr>
    </w:p>
    <w:p w14:paraId="7B3BF523" w14:textId="77777777" w:rsidR="00281810" w:rsidRPr="00777DB0" w:rsidRDefault="00281810" w:rsidP="00281810">
      <w:pPr>
        <w:pStyle w:val="FootnoteText"/>
        <w:ind w:left="720" w:hanging="630"/>
        <w:rPr>
          <w:sz w:val="22"/>
          <w:szCs w:val="22"/>
        </w:rPr>
      </w:pPr>
      <w:r w:rsidRPr="00777DB0">
        <w:rPr>
          <w:sz w:val="22"/>
          <w:szCs w:val="22"/>
        </w:rPr>
        <w:t xml:space="preserve">Dogan, Ali. “Saudi Arabia's Neom Diplomacy,” Carnegie Endowment for International Peace, March 3, 2021, </w:t>
      </w:r>
      <w:hyperlink r:id="rId20" w:history="1">
        <w:r w:rsidRPr="00777DB0">
          <w:rPr>
            <w:rStyle w:val="Hyperlink"/>
            <w:sz w:val="22"/>
            <w:szCs w:val="22"/>
          </w:rPr>
          <w:t>https://carnegieendowment.org/sada/83975</w:t>
        </w:r>
      </w:hyperlink>
      <w:r w:rsidRPr="00777DB0">
        <w:rPr>
          <w:sz w:val="22"/>
          <w:szCs w:val="22"/>
        </w:rPr>
        <w:t xml:space="preserve">. </w:t>
      </w:r>
    </w:p>
    <w:p w14:paraId="46383F05" w14:textId="77777777" w:rsidR="00281810" w:rsidRPr="00777DB0" w:rsidRDefault="00281810" w:rsidP="00281810">
      <w:pPr>
        <w:pStyle w:val="FootnoteText"/>
        <w:ind w:left="720" w:hanging="630"/>
        <w:rPr>
          <w:sz w:val="22"/>
          <w:szCs w:val="22"/>
        </w:rPr>
      </w:pPr>
    </w:p>
    <w:p w14:paraId="556925CE" w14:textId="549BE8EF" w:rsidR="00281810" w:rsidRPr="00777DB0" w:rsidRDefault="00B42EBD" w:rsidP="00281810">
      <w:pPr>
        <w:pStyle w:val="FootnoteText"/>
        <w:ind w:left="720" w:hanging="630"/>
        <w:rPr>
          <w:sz w:val="22"/>
          <w:szCs w:val="22"/>
        </w:rPr>
      </w:pPr>
      <w:r>
        <w:rPr>
          <w:sz w:val="22"/>
          <w:szCs w:val="22"/>
        </w:rPr>
        <w:t>El Kurd,</w:t>
      </w:r>
      <w:r w:rsidR="00281810" w:rsidRPr="00777DB0">
        <w:rPr>
          <w:sz w:val="22"/>
          <w:szCs w:val="22"/>
        </w:rPr>
        <w:t xml:space="preserve"> </w:t>
      </w:r>
      <w:r>
        <w:rPr>
          <w:sz w:val="22"/>
          <w:szCs w:val="22"/>
        </w:rPr>
        <w:t>Dana</w:t>
      </w:r>
      <w:r w:rsidR="00281810" w:rsidRPr="00777DB0">
        <w:rPr>
          <w:sz w:val="22"/>
          <w:szCs w:val="22"/>
        </w:rPr>
        <w:t xml:space="preserve">. “What Do Ordinary Arabs Think about Normalizing Relations with Israel?” The Washington Post, October 26, 2020. </w:t>
      </w:r>
      <w:hyperlink r:id="rId21" w:history="1">
        <w:r w:rsidRPr="00352177">
          <w:rPr>
            <w:rStyle w:val="Hyperlink"/>
            <w:sz w:val="22"/>
            <w:szCs w:val="22"/>
          </w:rPr>
          <w:t>https://www.washingtonpost.com/politics/2020/10/26/what-do-ordinary-arabs-think-about-normalizing-relations-with-israel/</w:t>
        </w:r>
      </w:hyperlink>
      <w:r w:rsidR="00281810" w:rsidRPr="00777DB0">
        <w:rPr>
          <w:sz w:val="22"/>
          <w:szCs w:val="22"/>
        </w:rPr>
        <w:t>.</w:t>
      </w:r>
      <w:r>
        <w:rPr>
          <w:sz w:val="22"/>
          <w:szCs w:val="22"/>
        </w:rPr>
        <w:t xml:space="preserve"> </w:t>
      </w:r>
    </w:p>
    <w:p w14:paraId="3DDC2900" w14:textId="77777777" w:rsidR="00281810" w:rsidRPr="00777DB0" w:rsidRDefault="00281810" w:rsidP="00281810">
      <w:pPr>
        <w:pStyle w:val="FootnoteText"/>
        <w:ind w:left="720" w:hanging="630"/>
        <w:rPr>
          <w:sz w:val="22"/>
          <w:szCs w:val="22"/>
        </w:rPr>
      </w:pPr>
    </w:p>
    <w:p w14:paraId="421DC4AF" w14:textId="77777777" w:rsidR="00281810" w:rsidRPr="00777DB0" w:rsidRDefault="00281810" w:rsidP="00281810">
      <w:pPr>
        <w:pStyle w:val="FootnoteText"/>
        <w:ind w:left="720" w:hanging="630"/>
        <w:rPr>
          <w:sz w:val="22"/>
          <w:szCs w:val="22"/>
        </w:rPr>
      </w:pPr>
      <w:r w:rsidRPr="00777DB0">
        <w:rPr>
          <w:sz w:val="22"/>
          <w:szCs w:val="22"/>
        </w:rPr>
        <w:t xml:space="preserve">Ellis, Geraint. “Social exclusion, equality and the Good Friday Peace Agreement: the implications for land use planning.” </w:t>
      </w:r>
      <w:r w:rsidRPr="00777DB0">
        <w:rPr>
          <w:i/>
          <w:iCs/>
          <w:sz w:val="22"/>
          <w:szCs w:val="22"/>
        </w:rPr>
        <w:t xml:space="preserve">Policy and Politics </w:t>
      </w:r>
      <w:r w:rsidRPr="00777DB0">
        <w:rPr>
          <w:sz w:val="22"/>
          <w:szCs w:val="22"/>
        </w:rPr>
        <w:t>29, no 4 (2001): 393-411.</w:t>
      </w:r>
    </w:p>
    <w:p w14:paraId="0B0F45B2" w14:textId="77777777" w:rsidR="00281810" w:rsidRPr="00777DB0" w:rsidRDefault="00281810" w:rsidP="00281810">
      <w:pPr>
        <w:pStyle w:val="FootnoteText"/>
        <w:ind w:left="720" w:hanging="630"/>
        <w:rPr>
          <w:sz w:val="22"/>
          <w:szCs w:val="22"/>
        </w:rPr>
      </w:pPr>
    </w:p>
    <w:p w14:paraId="63F16227" w14:textId="77777777" w:rsidR="00281810" w:rsidRPr="00777DB0" w:rsidRDefault="00281810" w:rsidP="00281810">
      <w:pPr>
        <w:pStyle w:val="EndnoteText"/>
        <w:ind w:left="720" w:hanging="630"/>
        <w:rPr>
          <w:sz w:val="22"/>
          <w:szCs w:val="22"/>
        </w:rPr>
      </w:pPr>
      <w:r w:rsidRPr="00777DB0">
        <w:rPr>
          <w:sz w:val="22"/>
          <w:szCs w:val="22"/>
        </w:rPr>
        <w:lastRenderedPageBreak/>
        <w:t xml:space="preserve">Esmeir, Samera. “Colonial Experiments in Gaza.” </w:t>
      </w:r>
      <w:r w:rsidRPr="00777DB0">
        <w:rPr>
          <w:i/>
          <w:iCs/>
          <w:sz w:val="22"/>
          <w:szCs w:val="22"/>
        </w:rPr>
        <w:t>Jadaliyya</w:t>
      </w:r>
      <w:r w:rsidRPr="00777DB0">
        <w:rPr>
          <w:sz w:val="22"/>
          <w:szCs w:val="22"/>
        </w:rPr>
        <w:t xml:space="preserve"> (July 10, 2017), </w:t>
      </w:r>
      <w:hyperlink r:id="rId22" w:history="1">
        <w:r w:rsidRPr="00777DB0">
          <w:rPr>
            <w:rStyle w:val="Hyperlink"/>
            <w:sz w:val="22"/>
            <w:szCs w:val="22"/>
          </w:rPr>
          <w:t>https://www.jadaliyya.com/Details/27434</w:t>
        </w:r>
      </w:hyperlink>
      <w:r w:rsidRPr="00777DB0">
        <w:rPr>
          <w:sz w:val="22"/>
          <w:szCs w:val="22"/>
        </w:rPr>
        <w:t>.</w:t>
      </w:r>
    </w:p>
    <w:p w14:paraId="3E4F5D9E" w14:textId="77777777" w:rsidR="00281810" w:rsidRPr="00777DB0" w:rsidRDefault="00281810" w:rsidP="00281810">
      <w:pPr>
        <w:pStyle w:val="FootnoteText"/>
        <w:ind w:left="720" w:hanging="630"/>
        <w:rPr>
          <w:sz w:val="22"/>
          <w:szCs w:val="22"/>
        </w:rPr>
      </w:pPr>
    </w:p>
    <w:p w14:paraId="69D235DE" w14:textId="77777777" w:rsidR="00281810" w:rsidRPr="00777DB0" w:rsidRDefault="00281810" w:rsidP="00281810">
      <w:pPr>
        <w:pStyle w:val="FootnoteText"/>
        <w:ind w:left="720" w:hanging="630"/>
        <w:jc w:val="both"/>
        <w:rPr>
          <w:sz w:val="22"/>
          <w:szCs w:val="22"/>
        </w:rPr>
      </w:pPr>
      <w:r w:rsidRPr="00777DB0">
        <w:rPr>
          <w:sz w:val="22"/>
          <w:szCs w:val="22"/>
          <w:shd w:val="clear" w:color="auto" w:fill="FFFFFF"/>
        </w:rPr>
        <w:t xml:space="preserve">Franceschi-Bicchierai, </w:t>
      </w:r>
      <w:r w:rsidRPr="00777DB0">
        <w:rPr>
          <w:sz w:val="22"/>
          <w:szCs w:val="22"/>
        </w:rPr>
        <w:t xml:space="preserve">Lorenzo. </w:t>
      </w:r>
      <w:r w:rsidRPr="00777DB0">
        <w:rPr>
          <w:sz w:val="22"/>
          <w:szCs w:val="22"/>
          <w:shd w:val="clear" w:color="auto" w:fill="FFFFFF"/>
        </w:rPr>
        <w:t xml:space="preserve">"How 'Mr. Hashtag' Helped Saudi Arabia Spy on Dissidents," Motherboard. October 29, 2018. </w:t>
      </w:r>
      <w:hyperlink r:id="rId23" w:history="1">
        <w:r w:rsidRPr="00777DB0">
          <w:rPr>
            <w:rStyle w:val="Hyperlink"/>
            <w:sz w:val="22"/>
            <w:szCs w:val="22"/>
            <w:shd w:val="clear" w:color="auto" w:fill="FFFFFF"/>
          </w:rPr>
          <w:t>https://motherboard.vice.com/en_us/article/kzjmze/saud-al-qahtani-saudi-arabia-hacking-team</w:t>
        </w:r>
      </w:hyperlink>
      <w:r w:rsidRPr="00777DB0">
        <w:rPr>
          <w:sz w:val="22"/>
          <w:szCs w:val="22"/>
          <w:shd w:val="clear" w:color="auto" w:fill="FFFFFF"/>
        </w:rPr>
        <w:t xml:space="preserve">. </w:t>
      </w:r>
    </w:p>
    <w:p w14:paraId="406978BD" w14:textId="77777777" w:rsidR="00281810" w:rsidRPr="00777DB0" w:rsidRDefault="00281810" w:rsidP="00281810">
      <w:pPr>
        <w:pStyle w:val="FootnoteText"/>
        <w:ind w:left="720" w:hanging="630"/>
        <w:rPr>
          <w:rFonts w:cs="Helvetica"/>
          <w:color w:val="000000"/>
          <w:spacing w:val="-5"/>
          <w:sz w:val="22"/>
          <w:szCs w:val="22"/>
          <w:shd w:val="clear" w:color="auto" w:fill="FFFFFF"/>
        </w:rPr>
      </w:pPr>
    </w:p>
    <w:p w14:paraId="539D3B32" w14:textId="77777777" w:rsidR="00281810" w:rsidRPr="00777DB0" w:rsidRDefault="00281810" w:rsidP="00281810">
      <w:pPr>
        <w:pStyle w:val="FootnoteText"/>
        <w:ind w:left="720" w:hanging="630"/>
        <w:rPr>
          <w:sz w:val="22"/>
          <w:szCs w:val="22"/>
        </w:rPr>
      </w:pPr>
      <w:r w:rsidRPr="00777DB0">
        <w:rPr>
          <w:sz w:val="22"/>
          <w:szCs w:val="22"/>
        </w:rPr>
        <w:t xml:space="preserve">Gilbert, Leah and Payam Mohseni. “Disabling Dissent: The Colour Revolutions, Autocratic Linkages, and Civil Society Regulations in Hybrid Regimes.” </w:t>
      </w:r>
      <w:r w:rsidRPr="00777DB0">
        <w:rPr>
          <w:i/>
          <w:iCs/>
          <w:sz w:val="22"/>
          <w:szCs w:val="22"/>
        </w:rPr>
        <w:t>Contemporary Politics</w:t>
      </w:r>
      <w:r w:rsidRPr="00777DB0">
        <w:rPr>
          <w:sz w:val="22"/>
          <w:szCs w:val="22"/>
        </w:rPr>
        <w:t xml:space="preserve"> 24, no. 4 (2018).</w:t>
      </w:r>
    </w:p>
    <w:p w14:paraId="51F4DF81" w14:textId="77777777" w:rsidR="00281810" w:rsidRPr="00777DB0" w:rsidRDefault="00281810" w:rsidP="00281810">
      <w:pPr>
        <w:pStyle w:val="FootnoteText"/>
        <w:ind w:left="720" w:hanging="630"/>
        <w:rPr>
          <w:sz w:val="22"/>
          <w:szCs w:val="22"/>
        </w:rPr>
      </w:pPr>
    </w:p>
    <w:p w14:paraId="3A2F38BF" w14:textId="77777777" w:rsidR="00281810" w:rsidRPr="00777DB0" w:rsidRDefault="00281810" w:rsidP="00281810">
      <w:pPr>
        <w:pStyle w:val="FootnoteText"/>
        <w:ind w:left="720" w:hanging="630"/>
        <w:rPr>
          <w:sz w:val="22"/>
          <w:szCs w:val="22"/>
        </w:rPr>
      </w:pPr>
      <w:r w:rsidRPr="00777DB0">
        <w:rPr>
          <w:sz w:val="22"/>
          <w:szCs w:val="22"/>
        </w:rPr>
        <w:t xml:space="preserve">Glasius, Marlies. “What Authoritarianism Is … and Is Not:* a Practice Perspective.” </w:t>
      </w:r>
      <w:r w:rsidRPr="00777DB0">
        <w:rPr>
          <w:i/>
          <w:iCs/>
          <w:sz w:val="22"/>
          <w:szCs w:val="22"/>
        </w:rPr>
        <w:t>International Affairs</w:t>
      </w:r>
      <w:r w:rsidRPr="00777DB0">
        <w:rPr>
          <w:sz w:val="22"/>
          <w:szCs w:val="22"/>
        </w:rPr>
        <w:t xml:space="preserve"> 94, no. 3 (2018): 515-533.</w:t>
      </w:r>
    </w:p>
    <w:p w14:paraId="40A0CBE8" w14:textId="77777777" w:rsidR="00281810" w:rsidRPr="00777DB0" w:rsidRDefault="00281810" w:rsidP="00281810">
      <w:pPr>
        <w:pStyle w:val="FootnoteText"/>
        <w:ind w:left="720" w:hanging="630"/>
        <w:rPr>
          <w:sz w:val="22"/>
          <w:szCs w:val="22"/>
        </w:rPr>
      </w:pPr>
    </w:p>
    <w:p w14:paraId="73BB58EC" w14:textId="77777777" w:rsidR="00281810" w:rsidRPr="00777DB0" w:rsidRDefault="00281810" w:rsidP="00281810">
      <w:pPr>
        <w:pStyle w:val="FootnoteText"/>
        <w:ind w:left="720" w:hanging="630"/>
        <w:rPr>
          <w:sz w:val="22"/>
          <w:szCs w:val="22"/>
        </w:rPr>
      </w:pPr>
      <w:r w:rsidRPr="00777DB0">
        <w:rPr>
          <w:sz w:val="22"/>
          <w:szCs w:val="22"/>
        </w:rPr>
        <w:t xml:space="preserve">Gulf Coalition, Inaugural Meeting and Talk, YouTube, August 18 2020, </w:t>
      </w:r>
      <w:hyperlink r:id="rId24" w:history="1">
        <w:r w:rsidRPr="00777DB0">
          <w:rPr>
            <w:rStyle w:val="Hyperlink"/>
            <w:sz w:val="22"/>
            <w:szCs w:val="22"/>
          </w:rPr>
          <w:t>https://www.youtube.com/watch?v=TCTySS2_jto</w:t>
        </w:r>
      </w:hyperlink>
      <w:r w:rsidRPr="00777DB0">
        <w:rPr>
          <w:sz w:val="22"/>
          <w:szCs w:val="22"/>
        </w:rPr>
        <w:t xml:space="preserve">. </w:t>
      </w:r>
    </w:p>
    <w:p w14:paraId="754F472C" w14:textId="77777777" w:rsidR="00281810" w:rsidRPr="00777DB0" w:rsidRDefault="00281810" w:rsidP="00281810">
      <w:pPr>
        <w:pStyle w:val="FootnoteText"/>
        <w:ind w:left="720" w:hanging="630"/>
        <w:rPr>
          <w:sz w:val="22"/>
          <w:szCs w:val="22"/>
        </w:rPr>
      </w:pPr>
    </w:p>
    <w:p w14:paraId="7D6A637C" w14:textId="77777777" w:rsidR="00281810" w:rsidRPr="00777DB0" w:rsidRDefault="00281810" w:rsidP="00281810">
      <w:pPr>
        <w:pStyle w:val="FootnoteText"/>
        <w:ind w:left="720" w:hanging="630"/>
        <w:rPr>
          <w:sz w:val="22"/>
          <w:szCs w:val="22"/>
        </w:rPr>
      </w:pPr>
      <w:r w:rsidRPr="00777DB0">
        <w:rPr>
          <w:sz w:val="22"/>
          <w:szCs w:val="22"/>
        </w:rPr>
        <w:t xml:space="preserve">Gulf Coalition, “The Palestinian Cause in Gulf History,” YouTube, September 16 2020, </w:t>
      </w:r>
      <w:hyperlink r:id="rId25" w:history="1">
        <w:r w:rsidRPr="00777DB0">
          <w:rPr>
            <w:rStyle w:val="Hyperlink"/>
            <w:sz w:val="22"/>
            <w:szCs w:val="22"/>
          </w:rPr>
          <w:t>https://www.youtube.com/watch?v=G93pP3lcGTs&amp;t=3192s</w:t>
        </w:r>
      </w:hyperlink>
      <w:r w:rsidRPr="00777DB0">
        <w:rPr>
          <w:sz w:val="22"/>
          <w:szCs w:val="22"/>
        </w:rPr>
        <w:t xml:space="preserve">. </w:t>
      </w:r>
    </w:p>
    <w:p w14:paraId="757779AA" w14:textId="77777777" w:rsidR="00281810" w:rsidRPr="00777DB0" w:rsidRDefault="00281810" w:rsidP="00281810">
      <w:pPr>
        <w:pStyle w:val="FootnoteText"/>
        <w:ind w:left="720" w:hanging="630"/>
        <w:rPr>
          <w:sz w:val="22"/>
          <w:szCs w:val="22"/>
        </w:rPr>
      </w:pPr>
    </w:p>
    <w:p w14:paraId="03836513" w14:textId="77777777" w:rsidR="00281810" w:rsidRPr="00777DB0" w:rsidRDefault="00281810" w:rsidP="00281810">
      <w:pPr>
        <w:pStyle w:val="FootnoteText"/>
        <w:ind w:left="720" w:hanging="630"/>
        <w:rPr>
          <w:rStyle w:val="doilink"/>
          <w:rFonts w:cs="Arial"/>
          <w:color w:val="333333"/>
          <w:sz w:val="22"/>
          <w:szCs w:val="22"/>
          <w:shd w:val="clear" w:color="auto" w:fill="FFFFFF"/>
        </w:rPr>
      </w:pPr>
      <w:r w:rsidRPr="00777DB0">
        <w:rPr>
          <w:rStyle w:val="authors"/>
          <w:rFonts w:cs="Arial"/>
          <w:color w:val="333333"/>
          <w:sz w:val="22"/>
          <w:szCs w:val="22"/>
          <w:shd w:val="clear" w:color="auto" w:fill="FFFFFF"/>
        </w:rPr>
        <w:t>Hitman, Gadi &amp; Moti Zwilling</w:t>
      </w:r>
      <w:r w:rsidRPr="00777DB0">
        <w:rPr>
          <w:rFonts w:cs="Arial"/>
          <w:color w:val="333333"/>
          <w:sz w:val="22"/>
          <w:szCs w:val="22"/>
          <w:shd w:val="clear" w:color="auto" w:fill="FFFFFF"/>
        </w:rPr>
        <w:t>. “</w:t>
      </w:r>
      <w:r w:rsidRPr="00777DB0">
        <w:rPr>
          <w:rStyle w:val="arttitle"/>
          <w:rFonts w:cs="Arial"/>
          <w:color w:val="333333"/>
          <w:sz w:val="22"/>
          <w:szCs w:val="22"/>
          <w:shd w:val="clear" w:color="auto" w:fill="FFFFFF"/>
        </w:rPr>
        <w:t>Normalization with Israel: An Analysis of Social Networks Discourse Within Gulf States.”</w:t>
      </w:r>
      <w:r w:rsidRPr="00777DB0">
        <w:rPr>
          <w:rFonts w:cs="Arial"/>
          <w:color w:val="333333"/>
          <w:sz w:val="22"/>
          <w:szCs w:val="22"/>
          <w:shd w:val="clear" w:color="auto" w:fill="FFFFFF"/>
        </w:rPr>
        <w:t> </w:t>
      </w:r>
      <w:r w:rsidRPr="00777DB0">
        <w:rPr>
          <w:rStyle w:val="serialtitle"/>
          <w:rFonts w:cs="Arial"/>
          <w:i/>
          <w:iCs/>
          <w:color w:val="333333"/>
          <w:sz w:val="22"/>
          <w:szCs w:val="22"/>
          <w:shd w:val="clear" w:color="auto" w:fill="FFFFFF"/>
        </w:rPr>
        <w:t>Ethnopolitics</w:t>
      </w:r>
      <w:r w:rsidRPr="00777DB0">
        <w:rPr>
          <w:rStyle w:val="serialtitle"/>
          <w:rFonts w:cs="Arial"/>
          <w:color w:val="333333"/>
          <w:sz w:val="22"/>
          <w:szCs w:val="22"/>
          <w:shd w:val="clear" w:color="auto" w:fill="FFFFFF"/>
        </w:rPr>
        <w:t xml:space="preserve"> 20, no 3 (2021),</w:t>
      </w:r>
      <w:r w:rsidRPr="00777DB0">
        <w:rPr>
          <w:rFonts w:cs="Arial"/>
          <w:color w:val="333333"/>
          <w:sz w:val="22"/>
          <w:szCs w:val="22"/>
          <w:shd w:val="clear" w:color="auto" w:fill="FFFFFF"/>
        </w:rPr>
        <w:t> </w:t>
      </w:r>
      <w:r w:rsidRPr="00777DB0">
        <w:rPr>
          <w:rStyle w:val="doilink"/>
          <w:rFonts w:cs="Arial"/>
          <w:color w:val="333333"/>
          <w:sz w:val="22"/>
          <w:szCs w:val="22"/>
          <w:shd w:val="clear" w:color="auto" w:fill="FFFFFF"/>
        </w:rPr>
        <w:t>DOI: </w:t>
      </w:r>
      <w:hyperlink r:id="rId26" w:history="1">
        <w:r w:rsidRPr="00777DB0">
          <w:rPr>
            <w:rStyle w:val="Hyperlink"/>
            <w:rFonts w:cs="Arial"/>
            <w:color w:val="333333"/>
            <w:sz w:val="22"/>
            <w:szCs w:val="22"/>
            <w:shd w:val="clear" w:color="auto" w:fill="FFFFFF"/>
          </w:rPr>
          <w:t>10.1080/17449057.2021.1901380</w:t>
        </w:r>
      </w:hyperlink>
      <w:r w:rsidRPr="00777DB0">
        <w:rPr>
          <w:rStyle w:val="doilink"/>
          <w:rFonts w:cs="Arial"/>
          <w:color w:val="333333"/>
          <w:sz w:val="22"/>
          <w:szCs w:val="22"/>
          <w:shd w:val="clear" w:color="auto" w:fill="FFFFFF"/>
        </w:rPr>
        <w:t xml:space="preserve">. </w:t>
      </w:r>
    </w:p>
    <w:p w14:paraId="62C9362F" w14:textId="77777777" w:rsidR="00281810" w:rsidRPr="00777DB0" w:rsidRDefault="00281810" w:rsidP="00281810">
      <w:pPr>
        <w:pStyle w:val="FootnoteText"/>
        <w:ind w:left="720" w:hanging="630"/>
        <w:rPr>
          <w:rStyle w:val="doilink"/>
          <w:rFonts w:cs="Arial"/>
          <w:color w:val="333333"/>
          <w:sz w:val="22"/>
          <w:szCs w:val="22"/>
          <w:shd w:val="clear" w:color="auto" w:fill="FFFFFF"/>
        </w:rPr>
      </w:pPr>
    </w:p>
    <w:p w14:paraId="5C309053" w14:textId="77777777" w:rsidR="00281810" w:rsidRPr="00777DB0" w:rsidRDefault="00281810" w:rsidP="00281810">
      <w:pPr>
        <w:pStyle w:val="FootnoteText"/>
        <w:ind w:left="720" w:hanging="630"/>
        <w:rPr>
          <w:sz w:val="22"/>
          <w:szCs w:val="22"/>
        </w:rPr>
      </w:pPr>
      <w:r w:rsidRPr="00777DB0">
        <w:rPr>
          <w:sz w:val="22"/>
          <w:szCs w:val="22"/>
        </w:rPr>
        <w:t xml:space="preserve">Human Rights Watch, “UAE: Political Detainees Languish Behind Bars,” November 12, 2019. </w:t>
      </w:r>
      <w:hyperlink r:id="rId27" w:history="1">
        <w:r w:rsidRPr="00777DB0">
          <w:rPr>
            <w:rStyle w:val="Hyperlink"/>
            <w:sz w:val="22"/>
            <w:szCs w:val="22"/>
          </w:rPr>
          <w:t>https://www.hrw.org/news/2019/11/12/uae-political-detainees-languish-behind-bars</w:t>
        </w:r>
      </w:hyperlink>
      <w:r w:rsidRPr="00777DB0">
        <w:rPr>
          <w:sz w:val="22"/>
          <w:szCs w:val="22"/>
        </w:rPr>
        <w:t>.</w:t>
      </w:r>
    </w:p>
    <w:p w14:paraId="4E1DA588" w14:textId="77777777" w:rsidR="00281810" w:rsidRPr="00777DB0" w:rsidRDefault="00281810" w:rsidP="00281810">
      <w:pPr>
        <w:pStyle w:val="FootnoteText"/>
        <w:ind w:left="720" w:hanging="630"/>
        <w:rPr>
          <w:sz w:val="22"/>
          <w:szCs w:val="22"/>
        </w:rPr>
      </w:pPr>
    </w:p>
    <w:p w14:paraId="36A0AE77" w14:textId="77777777" w:rsidR="00281810" w:rsidRPr="00FA1F74" w:rsidRDefault="00281810" w:rsidP="00281810">
      <w:pPr>
        <w:pStyle w:val="FootnoteText"/>
        <w:ind w:left="720" w:hanging="630"/>
        <w:rPr>
          <w:rFonts w:cstheme="minorHAnsi"/>
          <w:color w:val="2A2A2A"/>
          <w:sz w:val="22"/>
          <w:szCs w:val="22"/>
        </w:rPr>
      </w:pPr>
      <w:r w:rsidRPr="00777DB0">
        <w:rPr>
          <w:rFonts w:cs="Helvetica"/>
          <w:color w:val="2A2A2A"/>
          <w:sz w:val="22"/>
          <w:szCs w:val="22"/>
        </w:rPr>
        <w:t xml:space="preserve">Jenss, Alke &amp; Benjamin Schuetze. “Rethinking Authoritarian Power: The Logistics Space and </w:t>
      </w:r>
      <w:r w:rsidRPr="00FA1F74">
        <w:rPr>
          <w:rFonts w:cstheme="minorHAnsi"/>
          <w:color w:val="2A2A2A"/>
          <w:sz w:val="22"/>
          <w:szCs w:val="22"/>
        </w:rPr>
        <w:t>Authoritarian Practices in and between Secondary Port Cities of the Global South.” </w:t>
      </w:r>
      <w:r w:rsidRPr="00FA1F74">
        <w:rPr>
          <w:rStyle w:val="Emphasis"/>
          <w:rFonts w:cstheme="minorHAnsi"/>
          <w:color w:val="2A2A2A"/>
          <w:sz w:val="22"/>
          <w:szCs w:val="22"/>
          <w:bdr w:val="none" w:sz="0" w:space="0" w:color="auto" w:frame="1"/>
        </w:rPr>
        <w:t>International Studies Quarterly</w:t>
      </w:r>
      <w:r w:rsidRPr="00FA1F74">
        <w:rPr>
          <w:rFonts w:cstheme="minorHAnsi"/>
          <w:color w:val="2A2A2A"/>
          <w:sz w:val="22"/>
          <w:szCs w:val="22"/>
        </w:rPr>
        <w:t>, 65, no 1 (March 2021): 82–94.</w:t>
      </w:r>
    </w:p>
    <w:p w14:paraId="4D51ECC9" w14:textId="77777777" w:rsidR="00281810" w:rsidRPr="00FA1F74" w:rsidRDefault="00281810" w:rsidP="00281810">
      <w:pPr>
        <w:pStyle w:val="NormalWeb"/>
        <w:spacing w:before="0" w:beforeAutospacing="0" w:after="0" w:afterAutospacing="0"/>
        <w:ind w:left="720" w:hanging="630"/>
        <w:textAlignment w:val="baseline"/>
        <w:rPr>
          <w:rFonts w:asciiTheme="minorHAnsi" w:hAnsiTheme="minorHAnsi" w:cstheme="minorHAnsi"/>
          <w:color w:val="2A2A2A"/>
          <w:sz w:val="22"/>
          <w:szCs w:val="22"/>
        </w:rPr>
      </w:pPr>
    </w:p>
    <w:p w14:paraId="5AF5C7E4"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Jerolmack, Colin and Shamus Khan. “Talk Is Cheap: Ethnography and the Attitudinal Fallacy.” </w:t>
      </w:r>
      <w:r w:rsidRPr="00FA1F74">
        <w:rPr>
          <w:rFonts w:cstheme="minorHAnsi"/>
          <w:i/>
          <w:iCs/>
          <w:sz w:val="22"/>
          <w:szCs w:val="22"/>
        </w:rPr>
        <w:t>Sociological Methods and Research</w:t>
      </w:r>
      <w:r w:rsidRPr="00FA1F74">
        <w:rPr>
          <w:rFonts w:cstheme="minorHAnsi"/>
          <w:sz w:val="22"/>
          <w:szCs w:val="22"/>
        </w:rPr>
        <w:t xml:space="preserve"> 43, no. 2 (2014): 178–209.  </w:t>
      </w:r>
    </w:p>
    <w:p w14:paraId="22024CBF" w14:textId="77777777" w:rsidR="00281810" w:rsidRPr="00FA1F74" w:rsidRDefault="00281810" w:rsidP="00281810">
      <w:pPr>
        <w:pStyle w:val="NormalWeb"/>
        <w:spacing w:before="0" w:beforeAutospacing="0" w:after="0" w:afterAutospacing="0"/>
        <w:ind w:left="720" w:hanging="630"/>
        <w:textAlignment w:val="baseline"/>
        <w:rPr>
          <w:rFonts w:asciiTheme="minorHAnsi" w:hAnsiTheme="minorHAnsi" w:cstheme="minorHAnsi"/>
          <w:sz w:val="22"/>
          <w:szCs w:val="22"/>
        </w:rPr>
      </w:pPr>
    </w:p>
    <w:p w14:paraId="22A456EA" w14:textId="4F8367EE" w:rsidR="00281810" w:rsidRPr="00FA1F74" w:rsidRDefault="00281810" w:rsidP="009E464D">
      <w:pPr>
        <w:pStyle w:val="FootnoteText"/>
        <w:ind w:left="720" w:hanging="630"/>
        <w:rPr>
          <w:rFonts w:cstheme="minorHAnsi"/>
          <w:sz w:val="22"/>
          <w:szCs w:val="22"/>
        </w:rPr>
      </w:pPr>
      <w:r w:rsidRPr="00FA1F74">
        <w:rPr>
          <w:rFonts w:cstheme="minorHAnsi"/>
          <w:sz w:val="22"/>
          <w:szCs w:val="22"/>
        </w:rPr>
        <w:t xml:space="preserve">Jibril, Ubaidi. “Emirati Peace Is a Sovereign Decision.” Asharq Al-Awsat. August 25, 2020. </w:t>
      </w:r>
      <w:hyperlink r:id="rId28" w:history="1">
        <w:r w:rsidRPr="00FA1F74">
          <w:rPr>
            <w:rStyle w:val="Hyperlink"/>
            <w:rFonts w:cstheme="minorHAnsi"/>
            <w:sz w:val="22"/>
            <w:szCs w:val="22"/>
          </w:rPr>
          <w:t>https://rb.gy/rrokt8</w:t>
        </w:r>
      </w:hyperlink>
      <w:r w:rsidRPr="00FA1F74">
        <w:rPr>
          <w:rStyle w:val="Hyperlink"/>
          <w:rFonts w:cstheme="minorHAnsi"/>
          <w:sz w:val="22"/>
          <w:szCs w:val="22"/>
        </w:rPr>
        <w:t xml:space="preserve">. </w:t>
      </w:r>
    </w:p>
    <w:p w14:paraId="7F36E854" w14:textId="77777777" w:rsidR="009E464D" w:rsidRPr="00FA1F74" w:rsidRDefault="009E464D" w:rsidP="009E464D">
      <w:pPr>
        <w:pStyle w:val="FootnoteText"/>
        <w:ind w:left="720" w:hanging="630"/>
        <w:rPr>
          <w:rFonts w:cstheme="minorHAnsi"/>
          <w:sz w:val="22"/>
          <w:szCs w:val="22"/>
        </w:rPr>
      </w:pPr>
    </w:p>
    <w:p w14:paraId="15A718F7"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Kaussler, Bernd. “Tracing Qatar’s Foreign Policy Trajectory and its Impact on Regional Security.” Arab Center for Research and Policy Studies, Research Paper (September 2015): </w:t>
      </w:r>
      <w:hyperlink r:id="rId29" w:anchor="metadata_info_tab_contents" w:history="1">
        <w:r w:rsidRPr="00FA1F74">
          <w:rPr>
            <w:rStyle w:val="Hyperlink"/>
            <w:rFonts w:cstheme="minorHAnsi"/>
            <w:sz w:val="22"/>
            <w:szCs w:val="22"/>
          </w:rPr>
          <w:t>https://www.jstor.org/stable/resrep12689?seq=21#metadata_info_tab_contents</w:t>
        </w:r>
      </w:hyperlink>
      <w:r w:rsidRPr="00FA1F74">
        <w:rPr>
          <w:rStyle w:val="Hyperlink"/>
          <w:rFonts w:cstheme="minorHAnsi"/>
          <w:sz w:val="22"/>
          <w:szCs w:val="22"/>
        </w:rPr>
        <w:t xml:space="preserve">. </w:t>
      </w:r>
    </w:p>
    <w:p w14:paraId="467579EC" w14:textId="77777777" w:rsidR="00281810" w:rsidRPr="00FA1F74" w:rsidRDefault="00281810" w:rsidP="00281810">
      <w:pPr>
        <w:pStyle w:val="FootnoteText"/>
        <w:ind w:left="720" w:hanging="630"/>
        <w:rPr>
          <w:rFonts w:cstheme="minorHAnsi"/>
          <w:sz w:val="22"/>
          <w:szCs w:val="22"/>
        </w:rPr>
      </w:pPr>
    </w:p>
    <w:p w14:paraId="23D3236F"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lang w:val="it-IT"/>
        </w:rPr>
        <w:t xml:space="preserve">Kharaz, Hani and Mariam Al-Hajri. “Pro-Palestine Movement in Qatar.” </w:t>
      </w:r>
      <w:r w:rsidRPr="00FA1F74">
        <w:rPr>
          <w:rFonts w:cstheme="minorHAnsi"/>
          <w:i/>
          <w:iCs/>
          <w:sz w:val="22"/>
          <w:szCs w:val="22"/>
        </w:rPr>
        <w:t xml:space="preserve">Al-Adab, </w:t>
      </w:r>
      <w:r w:rsidRPr="00FA1F74">
        <w:rPr>
          <w:rFonts w:cstheme="minorHAnsi"/>
          <w:sz w:val="22"/>
          <w:szCs w:val="22"/>
        </w:rPr>
        <w:t xml:space="preserve">March 12, 2018, </w:t>
      </w:r>
      <w:hyperlink r:id="rId30" w:history="1">
        <w:r w:rsidRPr="00FA1F74">
          <w:rPr>
            <w:rStyle w:val="Hyperlink"/>
            <w:rFonts w:cstheme="minorHAnsi"/>
            <w:sz w:val="22"/>
            <w:szCs w:val="22"/>
          </w:rPr>
          <w:t>https://rb.gy/zgz3ha</w:t>
        </w:r>
      </w:hyperlink>
      <w:r w:rsidRPr="00FA1F74">
        <w:rPr>
          <w:rStyle w:val="Hyperlink"/>
          <w:rFonts w:cstheme="minorHAnsi"/>
          <w:sz w:val="22"/>
          <w:szCs w:val="22"/>
        </w:rPr>
        <w:t xml:space="preserve">. </w:t>
      </w:r>
    </w:p>
    <w:p w14:paraId="760324D9" w14:textId="77777777" w:rsidR="00281810" w:rsidRPr="00FA1F74" w:rsidRDefault="00281810" w:rsidP="00281810">
      <w:pPr>
        <w:pStyle w:val="FootnoteText"/>
        <w:ind w:left="720" w:hanging="630"/>
        <w:rPr>
          <w:rFonts w:cstheme="minorHAnsi"/>
          <w:sz w:val="22"/>
          <w:szCs w:val="22"/>
        </w:rPr>
      </w:pPr>
    </w:p>
    <w:p w14:paraId="71A99CA1"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Kinninmont, Jane. “The Gulf Divided: The Impact of the Qatar Crisis.” Research Paper. Future Dynamics in the Gulf. London, UK: Chatham House (May 2019): </w:t>
      </w:r>
      <w:hyperlink r:id="rId31" w:history="1">
        <w:r w:rsidRPr="00FA1F74">
          <w:rPr>
            <w:rStyle w:val="Hyperlink"/>
            <w:rFonts w:cstheme="minorHAnsi"/>
            <w:sz w:val="22"/>
            <w:szCs w:val="22"/>
          </w:rPr>
          <w:t>https://www.chathamhouse.org/sites/default/files/publications/research/2019-05-30-Gulf%20Crisis_0.pdf</w:t>
        </w:r>
      </w:hyperlink>
      <w:r w:rsidRPr="00FA1F74">
        <w:rPr>
          <w:rFonts w:cstheme="minorHAnsi"/>
          <w:sz w:val="22"/>
          <w:szCs w:val="22"/>
        </w:rPr>
        <w:t xml:space="preserve">. </w:t>
      </w:r>
    </w:p>
    <w:p w14:paraId="12EAB9D0" w14:textId="77777777" w:rsidR="00281810" w:rsidRPr="00FA1F74" w:rsidRDefault="00281810" w:rsidP="00281810">
      <w:pPr>
        <w:pStyle w:val="FootnoteText"/>
        <w:ind w:left="720" w:hanging="630"/>
        <w:rPr>
          <w:rFonts w:cstheme="minorHAnsi"/>
          <w:sz w:val="22"/>
          <w:szCs w:val="22"/>
        </w:rPr>
      </w:pPr>
    </w:p>
    <w:p w14:paraId="51E714A3"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lastRenderedPageBreak/>
        <w:t xml:space="preserve">Kirchgaessner, Stephanie and Michael Safi. “Dozens of Al Jazeera Journalists Allegedly Hacked Using Israeli Firm's Spyware.” The Guardian (Guardian News and Media, December 20, 2020), </w:t>
      </w:r>
      <w:hyperlink r:id="rId32" w:history="1">
        <w:r w:rsidRPr="00FA1F74">
          <w:rPr>
            <w:rStyle w:val="Hyperlink"/>
            <w:rFonts w:cstheme="minorHAnsi"/>
            <w:sz w:val="22"/>
            <w:szCs w:val="22"/>
          </w:rPr>
          <w:t>https://www.theguardian.com/media/2020/dec/20/citizen-lab-nso-dozens-of-aljazeera-journalists-allegedly-hacked-using-israeli-firm-spyware</w:t>
        </w:r>
      </w:hyperlink>
      <w:r w:rsidRPr="00FA1F74">
        <w:rPr>
          <w:rFonts w:cstheme="minorHAnsi"/>
          <w:sz w:val="22"/>
          <w:szCs w:val="22"/>
        </w:rPr>
        <w:t xml:space="preserve">. </w:t>
      </w:r>
    </w:p>
    <w:p w14:paraId="290F9446" w14:textId="77777777" w:rsidR="00281810" w:rsidRPr="00FA1F74" w:rsidRDefault="00281810" w:rsidP="00281810">
      <w:pPr>
        <w:pStyle w:val="FootnoteText"/>
        <w:ind w:left="720" w:hanging="630"/>
        <w:jc w:val="both"/>
        <w:rPr>
          <w:rFonts w:cstheme="minorHAnsi"/>
          <w:sz w:val="22"/>
          <w:szCs w:val="22"/>
          <w:shd w:val="clear" w:color="auto" w:fill="FFFFFF"/>
        </w:rPr>
      </w:pPr>
    </w:p>
    <w:p w14:paraId="55B7F9DA" w14:textId="77777777" w:rsidR="00281810" w:rsidRPr="00FA1F74" w:rsidRDefault="00281810" w:rsidP="00281810">
      <w:pPr>
        <w:pStyle w:val="FootnoteText"/>
        <w:ind w:left="720" w:hanging="630"/>
        <w:jc w:val="both"/>
        <w:rPr>
          <w:rFonts w:cstheme="minorHAnsi"/>
          <w:sz w:val="22"/>
          <w:szCs w:val="22"/>
        </w:rPr>
      </w:pPr>
      <w:r w:rsidRPr="00FA1F74">
        <w:rPr>
          <w:rFonts w:cstheme="minorHAnsi"/>
          <w:sz w:val="22"/>
          <w:szCs w:val="22"/>
          <w:shd w:val="clear" w:color="auto" w:fill="FFFFFF"/>
        </w:rPr>
        <w:t xml:space="preserve">Kirkpatrick, David. "Israeli Software Helped Saudis Spy on Khashoggi, Lawsuit Says," The New York Times. December 02, 2018. </w:t>
      </w:r>
      <w:hyperlink r:id="rId33" w:history="1">
        <w:r w:rsidRPr="00FA1F74">
          <w:rPr>
            <w:rStyle w:val="Hyperlink"/>
            <w:rFonts w:cstheme="minorHAnsi"/>
            <w:sz w:val="22"/>
            <w:szCs w:val="22"/>
            <w:shd w:val="clear" w:color="auto" w:fill="FFFFFF"/>
          </w:rPr>
          <w:t>https://www.nytimes.com/2018/12/02/world/middleeast/saudi-khashoggi-spyware-israel.html</w:t>
        </w:r>
      </w:hyperlink>
      <w:r w:rsidRPr="00FA1F74">
        <w:rPr>
          <w:rFonts w:cstheme="minorHAnsi"/>
          <w:sz w:val="22"/>
          <w:szCs w:val="22"/>
          <w:shd w:val="clear" w:color="auto" w:fill="FFFFFF"/>
        </w:rPr>
        <w:t xml:space="preserve">. </w:t>
      </w:r>
    </w:p>
    <w:p w14:paraId="4EFEF183" w14:textId="77777777" w:rsidR="00281810" w:rsidRPr="00FA1F74" w:rsidRDefault="00281810" w:rsidP="0055415C">
      <w:pPr>
        <w:pStyle w:val="FootnoteText"/>
        <w:rPr>
          <w:rFonts w:cstheme="minorHAnsi"/>
          <w:sz w:val="22"/>
          <w:szCs w:val="22"/>
        </w:rPr>
      </w:pPr>
    </w:p>
    <w:p w14:paraId="59A7FD18"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Levingston, Ivan, Nicolas Parasie, and Archana Narayanan. “Israeli Peace Deal Coaxes UAE Investors Out of the Shadows,” Bloomberg.com (Bloomberg, August 18, 2020). </w:t>
      </w:r>
      <w:hyperlink r:id="rId34" w:history="1">
        <w:r w:rsidRPr="00FA1F74">
          <w:rPr>
            <w:rStyle w:val="Hyperlink"/>
            <w:rFonts w:cstheme="minorHAnsi"/>
            <w:sz w:val="22"/>
            <w:szCs w:val="22"/>
          </w:rPr>
          <w:t>www.bloomberg.com/news/articles/2020-08-18/israeli-peace-deal-coaxes-emirati-investors-out-of-the-shadows?sref=SQDBOtxO</w:t>
        </w:r>
      </w:hyperlink>
      <w:r w:rsidRPr="00FA1F74">
        <w:rPr>
          <w:rFonts w:cstheme="minorHAnsi"/>
          <w:sz w:val="22"/>
          <w:szCs w:val="22"/>
        </w:rPr>
        <w:t>.</w:t>
      </w:r>
    </w:p>
    <w:p w14:paraId="1CA5715D" w14:textId="77777777" w:rsidR="00281810" w:rsidRPr="00FA1F74" w:rsidRDefault="00281810" w:rsidP="00281810">
      <w:pPr>
        <w:pStyle w:val="FootnoteText"/>
        <w:ind w:left="720" w:hanging="630"/>
        <w:rPr>
          <w:rFonts w:cstheme="minorHAnsi"/>
          <w:color w:val="181817"/>
          <w:sz w:val="22"/>
          <w:szCs w:val="22"/>
          <w:shd w:val="clear" w:color="auto" w:fill="FFFFFF"/>
        </w:rPr>
      </w:pPr>
    </w:p>
    <w:p w14:paraId="11FAC8FE" w14:textId="77777777" w:rsidR="00281810" w:rsidRPr="00FA1F74" w:rsidRDefault="00281810" w:rsidP="00281810">
      <w:pPr>
        <w:pStyle w:val="FootnoteText"/>
        <w:ind w:left="720" w:hanging="630"/>
        <w:rPr>
          <w:rFonts w:cstheme="minorHAnsi"/>
          <w:color w:val="181817"/>
          <w:sz w:val="22"/>
          <w:szCs w:val="22"/>
          <w:shd w:val="clear" w:color="auto" w:fill="FFFFFF"/>
        </w:rPr>
      </w:pPr>
      <w:r w:rsidRPr="00FA1F74">
        <w:rPr>
          <w:rFonts w:cstheme="minorHAnsi"/>
          <w:color w:val="181817"/>
          <w:sz w:val="22"/>
          <w:szCs w:val="22"/>
          <w:shd w:val="clear" w:color="auto" w:fill="FFFFFF"/>
        </w:rPr>
        <w:t xml:space="preserve">Levitsky, Steven and Lucan Way. </w:t>
      </w:r>
      <w:r w:rsidRPr="00FA1F74">
        <w:rPr>
          <w:rFonts w:cstheme="minorHAnsi"/>
          <w:i/>
          <w:iCs/>
          <w:color w:val="181817"/>
          <w:sz w:val="22"/>
          <w:szCs w:val="22"/>
          <w:bdr w:val="none" w:sz="0" w:space="0" w:color="auto" w:frame="1"/>
          <w:shd w:val="clear" w:color="auto" w:fill="FFFFFF"/>
        </w:rPr>
        <w:t>Competitive Authoritarianism: Hybrid Regimes after the Cold War</w:t>
      </w:r>
      <w:r w:rsidRPr="00FA1F74">
        <w:rPr>
          <w:rFonts w:cstheme="minorHAnsi"/>
          <w:color w:val="181817"/>
          <w:sz w:val="22"/>
          <w:szCs w:val="22"/>
          <w:shd w:val="clear" w:color="auto" w:fill="FFFFFF"/>
        </w:rPr>
        <w:t xml:space="preserve">. Cambridge: Cambridge University Press, 2010. </w:t>
      </w:r>
    </w:p>
    <w:p w14:paraId="5CFD6155" w14:textId="77777777" w:rsidR="00281810" w:rsidRPr="00FA1F74" w:rsidRDefault="00281810" w:rsidP="00281810">
      <w:pPr>
        <w:pStyle w:val="FootnoteText"/>
        <w:ind w:left="720" w:hanging="630"/>
        <w:rPr>
          <w:rFonts w:cstheme="minorHAnsi"/>
          <w:color w:val="181817"/>
          <w:sz w:val="22"/>
          <w:szCs w:val="22"/>
          <w:shd w:val="clear" w:color="auto" w:fill="FFFFFF"/>
        </w:rPr>
      </w:pPr>
    </w:p>
    <w:p w14:paraId="7F8BE865"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Lewis, David, John Heathershaw, and Nick Megoran. “Illiberal Peace? Authoritarian Modes of Conflict Management,” </w:t>
      </w:r>
      <w:r w:rsidRPr="00FA1F74">
        <w:rPr>
          <w:rFonts w:cstheme="minorHAnsi"/>
          <w:i/>
          <w:iCs/>
          <w:sz w:val="22"/>
          <w:szCs w:val="22"/>
        </w:rPr>
        <w:t>Cooperation and Conflict</w:t>
      </w:r>
      <w:r w:rsidRPr="00FA1F74">
        <w:rPr>
          <w:rFonts w:cstheme="minorHAnsi"/>
          <w:sz w:val="22"/>
          <w:szCs w:val="22"/>
        </w:rPr>
        <w:t xml:space="preserve"> 53, no. 4 (December 2018): 486–506.</w:t>
      </w:r>
    </w:p>
    <w:p w14:paraId="355F67D3" w14:textId="77777777" w:rsidR="00281810" w:rsidRPr="00FA1F74" w:rsidRDefault="00281810" w:rsidP="00281810">
      <w:pPr>
        <w:pStyle w:val="FootnoteText"/>
        <w:ind w:left="720" w:hanging="630"/>
        <w:rPr>
          <w:rFonts w:cstheme="minorHAnsi"/>
          <w:color w:val="181817"/>
          <w:sz w:val="22"/>
          <w:szCs w:val="22"/>
          <w:shd w:val="clear" w:color="auto" w:fill="FFFFFF"/>
        </w:rPr>
      </w:pPr>
    </w:p>
    <w:p w14:paraId="281ECA51" w14:textId="77777777" w:rsidR="00281810" w:rsidRPr="00FA1F74" w:rsidRDefault="00281810" w:rsidP="00281810">
      <w:pPr>
        <w:pStyle w:val="EndnoteText"/>
        <w:ind w:left="720" w:hanging="630"/>
        <w:rPr>
          <w:rFonts w:cstheme="minorHAnsi"/>
          <w:sz w:val="22"/>
          <w:szCs w:val="22"/>
        </w:rPr>
      </w:pPr>
      <w:r w:rsidRPr="00FA1F74">
        <w:rPr>
          <w:rFonts w:cstheme="minorHAnsi"/>
          <w:sz w:val="22"/>
          <w:szCs w:val="22"/>
        </w:rPr>
        <w:t xml:space="preserve">Li, Darryl. “The Gaza Strip as Laboratory: Notes in the Wake of Disengagement.” </w:t>
      </w:r>
      <w:r w:rsidRPr="00FA1F74">
        <w:rPr>
          <w:rFonts w:cstheme="minorHAnsi"/>
          <w:i/>
          <w:iCs/>
          <w:sz w:val="22"/>
          <w:szCs w:val="22"/>
        </w:rPr>
        <w:t>Journal of Palestine Studies</w:t>
      </w:r>
      <w:r w:rsidRPr="00FA1F74">
        <w:rPr>
          <w:rFonts w:cstheme="minorHAnsi"/>
          <w:sz w:val="22"/>
          <w:szCs w:val="22"/>
        </w:rPr>
        <w:t xml:space="preserve"> 35, no. 2 (2006): 38–55. </w:t>
      </w:r>
    </w:p>
    <w:p w14:paraId="48714817" w14:textId="77777777" w:rsidR="00281810" w:rsidRPr="00FA1F74" w:rsidRDefault="00281810" w:rsidP="009E464D">
      <w:pPr>
        <w:pStyle w:val="FootnoteText"/>
        <w:rPr>
          <w:rFonts w:cstheme="minorHAnsi"/>
          <w:sz w:val="22"/>
          <w:szCs w:val="22"/>
        </w:rPr>
      </w:pPr>
    </w:p>
    <w:p w14:paraId="3CE76BA7" w14:textId="77777777" w:rsidR="00281810" w:rsidRPr="00FA1F74" w:rsidRDefault="00281810" w:rsidP="00281810">
      <w:pPr>
        <w:pStyle w:val="FootnoteText"/>
        <w:ind w:left="720" w:hanging="630"/>
        <w:jc w:val="both"/>
        <w:rPr>
          <w:rFonts w:cstheme="minorHAnsi"/>
          <w:sz w:val="22"/>
          <w:szCs w:val="22"/>
        </w:rPr>
      </w:pPr>
      <w:r w:rsidRPr="00FA1F74">
        <w:rPr>
          <w:rFonts w:cstheme="minorHAnsi"/>
          <w:sz w:val="22"/>
          <w:szCs w:val="22"/>
          <w:shd w:val="clear" w:color="auto" w:fill="FFFFFF"/>
        </w:rPr>
        <w:t xml:space="preserve">Marczak, </w:t>
      </w:r>
      <w:r w:rsidRPr="00FA1F74">
        <w:rPr>
          <w:rFonts w:cstheme="minorHAnsi"/>
          <w:sz w:val="22"/>
          <w:szCs w:val="22"/>
        </w:rPr>
        <w:t xml:space="preserve">Bill, </w:t>
      </w:r>
      <w:r w:rsidRPr="00FA1F74">
        <w:rPr>
          <w:rFonts w:cstheme="minorHAnsi"/>
          <w:sz w:val="22"/>
          <w:szCs w:val="22"/>
          <w:shd w:val="clear" w:color="auto" w:fill="FFFFFF"/>
        </w:rPr>
        <w:t xml:space="preserve">John Scott-Railton, Sarah McKune, Bahr Abdul Razzak, and Ron Deibert. "Hide and Seek: Tracking NSO Group's Pegasus Spyware to Operations in 45 Countries." The Citizen Lab at the University of Toronto, Research Report 113. </w:t>
      </w:r>
      <w:hyperlink r:id="rId35" w:history="1">
        <w:r w:rsidRPr="00FA1F74">
          <w:rPr>
            <w:rStyle w:val="Hyperlink"/>
            <w:rFonts w:cstheme="minorHAnsi"/>
            <w:sz w:val="22"/>
            <w:szCs w:val="22"/>
            <w:shd w:val="clear" w:color="auto" w:fill="FFFFFF"/>
          </w:rPr>
          <w:t>https://tspace.library.utoronto.ca/bitstream/1807/95391/1/Report%23113--hide%20and%20seek.pdf</w:t>
        </w:r>
      </w:hyperlink>
      <w:r w:rsidRPr="00FA1F74">
        <w:rPr>
          <w:rFonts w:cstheme="minorHAnsi"/>
          <w:sz w:val="22"/>
          <w:szCs w:val="22"/>
          <w:shd w:val="clear" w:color="auto" w:fill="FFFFFF"/>
        </w:rPr>
        <w:t xml:space="preserve">. </w:t>
      </w:r>
    </w:p>
    <w:p w14:paraId="1519C295" w14:textId="77777777" w:rsidR="00281810" w:rsidRPr="00FA1F74" w:rsidRDefault="00281810" w:rsidP="00281810">
      <w:pPr>
        <w:pStyle w:val="FootnoteText"/>
        <w:ind w:left="720" w:hanging="630"/>
        <w:rPr>
          <w:rFonts w:cstheme="minorHAnsi"/>
          <w:sz w:val="22"/>
          <w:szCs w:val="22"/>
        </w:rPr>
      </w:pPr>
    </w:p>
    <w:p w14:paraId="184A8A99" w14:textId="77777777" w:rsidR="00281810" w:rsidRPr="00FA1F74" w:rsidRDefault="00281810" w:rsidP="00281810">
      <w:pPr>
        <w:pStyle w:val="FootnoteText"/>
        <w:ind w:left="720" w:hanging="630"/>
        <w:rPr>
          <w:rStyle w:val="Hyperlink"/>
          <w:rFonts w:cstheme="minorHAnsi"/>
          <w:sz w:val="22"/>
          <w:szCs w:val="22"/>
        </w:rPr>
      </w:pPr>
      <w:r w:rsidRPr="00FA1F74">
        <w:rPr>
          <w:rFonts w:cstheme="minorHAnsi"/>
          <w:sz w:val="22"/>
          <w:szCs w:val="22"/>
          <w:shd w:val="clear" w:color="auto" w:fill="FFFFFF"/>
        </w:rPr>
        <w:t xml:space="preserve">---, </w:t>
      </w:r>
      <w:r w:rsidRPr="00FA1F74">
        <w:rPr>
          <w:rFonts w:cstheme="minorHAnsi"/>
          <w:sz w:val="22"/>
          <w:szCs w:val="22"/>
        </w:rPr>
        <w:t xml:space="preserve">---, </w:t>
      </w:r>
      <w:r w:rsidRPr="00FA1F74">
        <w:rPr>
          <w:rFonts w:cstheme="minorHAnsi"/>
          <w:sz w:val="22"/>
          <w:szCs w:val="22"/>
          <w:shd w:val="clear" w:color="auto" w:fill="FFFFFF"/>
        </w:rPr>
        <w:t xml:space="preserve">John Scott-Railton, Noura Al-Jizawi, Siena Anstis, and Ron Deibert. "The Great iPwn Journalists Hacked with Suspected NSO Group iMessage ‘Zero-Click’ Exploit." The Citizen Lab at the University of Toronto, Research Report </w:t>
      </w:r>
      <w:hyperlink r:id="rId36" w:history="1">
        <w:r w:rsidRPr="00FA1F74">
          <w:rPr>
            <w:rStyle w:val="Hyperlink"/>
            <w:rFonts w:cstheme="minorHAnsi"/>
            <w:sz w:val="22"/>
            <w:szCs w:val="22"/>
          </w:rPr>
          <w:t>https://citizenlab.ca/2020/12/the-great-ipwn-journalists-hacked-with-suspected-nso-group-imessage-zero-click-exploit/</w:t>
        </w:r>
      </w:hyperlink>
      <w:r w:rsidRPr="00FA1F74">
        <w:rPr>
          <w:rStyle w:val="Hyperlink"/>
          <w:rFonts w:cstheme="minorHAnsi"/>
          <w:sz w:val="22"/>
          <w:szCs w:val="22"/>
        </w:rPr>
        <w:t xml:space="preserve">. </w:t>
      </w:r>
    </w:p>
    <w:p w14:paraId="7EB3D975" w14:textId="77777777" w:rsidR="00281810" w:rsidRPr="00FA1F74" w:rsidRDefault="00281810" w:rsidP="00281810">
      <w:pPr>
        <w:pStyle w:val="FootnoteText"/>
        <w:ind w:left="720" w:hanging="630"/>
        <w:rPr>
          <w:rStyle w:val="Hyperlink"/>
          <w:rFonts w:cstheme="minorHAnsi"/>
          <w:sz w:val="22"/>
          <w:szCs w:val="22"/>
        </w:rPr>
      </w:pPr>
    </w:p>
    <w:p w14:paraId="54AA6174"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 and John Scott-Railton. “The Million Dollar Dissident.” Research Report. The Citizen Lab, University of Toronto, August 24, 2016: 8-11.</w:t>
      </w:r>
    </w:p>
    <w:p w14:paraId="27697409" w14:textId="77777777" w:rsidR="00281810" w:rsidRPr="00FA1F74" w:rsidRDefault="00281810" w:rsidP="00281810">
      <w:pPr>
        <w:pStyle w:val="FootnoteText"/>
        <w:ind w:left="720" w:hanging="630"/>
        <w:rPr>
          <w:rFonts w:cstheme="minorHAnsi"/>
          <w:sz w:val="22"/>
          <w:szCs w:val="22"/>
          <w:shd w:val="clear" w:color="auto" w:fill="FFFFFF"/>
        </w:rPr>
      </w:pPr>
    </w:p>
    <w:p w14:paraId="13954F65"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Morgenbesser, Lee. “The Menu of Autocratic Innovation,” </w:t>
      </w:r>
      <w:r w:rsidRPr="00FA1F74">
        <w:rPr>
          <w:rFonts w:cstheme="minorHAnsi"/>
          <w:i/>
          <w:iCs/>
          <w:sz w:val="22"/>
          <w:szCs w:val="22"/>
        </w:rPr>
        <w:t>Democratization</w:t>
      </w:r>
      <w:r w:rsidRPr="00FA1F74">
        <w:rPr>
          <w:rFonts w:cstheme="minorHAnsi"/>
          <w:sz w:val="22"/>
          <w:szCs w:val="22"/>
        </w:rPr>
        <w:t xml:space="preserve"> 27, no. 6 (2020).</w:t>
      </w:r>
    </w:p>
    <w:p w14:paraId="62138C2A" w14:textId="77777777" w:rsidR="00281810" w:rsidRPr="00FA1F74" w:rsidRDefault="00281810" w:rsidP="00281810">
      <w:pPr>
        <w:pStyle w:val="FootnoteText"/>
        <w:ind w:left="720" w:hanging="630"/>
        <w:rPr>
          <w:rFonts w:cstheme="minorHAnsi"/>
          <w:sz w:val="22"/>
          <w:szCs w:val="22"/>
        </w:rPr>
      </w:pPr>
    </w:p>
    <w:p w14:paraId="22F5031F" w14:textId="77777777" w:rsidR="00281810" w:rsidRPr="00FA1F74" w:rsidRDefault="00281810" w:rsidP="00281810">
      <w:pPr>
        <w:pStyle w:val="FootnoteText"/>
        <w:ind w:left="720" w:hanging="630"/>
        <w:rPr>
          <w:rFonts w:cstheme="minorHAnsi"/>
          <w:sz w:val="22"/>
          <w:szCs w:val="22"/>
          <w:lang w:val="de-DE"/>
        </w:rPr>
      </w:pPr>
      <w:r w:rsidRPr="00FA1F74">
        <w:rPr>
          <w:rFonts w:cstheme="minorHAnsi"/>
          <w:sz w:val="22"/>
          <w:szCs w:val="22"/>
        </w:rPr>
        <w:t xml:space="preserve">Nereim, Vivian and Patrick Donahue. “Saudi Support for 2002 Plan Shows It Won’t Copy UAE-Israel Pact.” </w:t>
      </w:r>
      <w:r w:rsidRPr="00FA1F74">
        <w:rPr>
          <w:rFonts w:cstheme="minorHAnsi"/>
          <w:sz w:val="22"/>
          <w:szCs w:val="22"/>
          <w:lang w:val="de-DE"/>
        </w:rPr>
        <w:t xml:space="preserve">Bloomberg, August 19, 2020. </w:t>
      </w:r>
      <w:hyperlink r:id="rId37" w:history="1">
        <w:r w:rsidRPr="00FA1F74">
          <w:rPr>
            <w:rStyle w:val="Hyperlink"/>
            <w:rFonts w:cstheme="minorHAnsi"/>
            <w:sz w:val="22"/>
            <w:szCs w:val="22"/>
            <w:lang w:val="de-DE"/>
          </w:rPr>
          <w:t>https://www.bloomberg.com/news/articles/2020-08-18/saudi-arabia-avoids-reference-to-uae-normalization-with-israel</w:t>
        </w:r>
      </w:hyperlink>
      <w:r w:rsidRPr="00FA1F74">
        <w:rPr>
          <w:rFonts w:cstheme="minorHAnsi"/>
          <w:sz w:val="22"/>
          <w:szCs w:val="22"/>
          <w:lang w:val="de-DE"/>
        </w:rPr>
        <w:t xml:space="preserve">. </w:t>
      </w:r>
    </w:p>
    <w:p w14:paraId="2C858A43" w14:textId="77777777" w:rsidR="00281810" w:rsidRPr="00FA1F74" w:rsidRDefault="00281810" w:rsidP="00281810">
      <w:pPr>
        <w:pStyle w:val="FootnoteText"/>
        <w:ind w:left="720" w:hanging="630"/>
        <w:rPr>
          <w:rFonts w:cstheme="minorHAnsi"/>
          <w:color w:val="000000"/>
          <w:spacing w:val="-5"/>
          <w:sz w:val="22"/>
          <w:szCs w:val="22"/>
          <w:shd w:val="clear" w:color="auto" w:fill="FFFFFF"/>
          <w:lang w:val="de-DE"/>
        </w:rPr>
      </w:pPr>
    </w:p>
    <w:p w14:paraId="1A16098E"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lang w:val="de-DE"/>
        </w:rPr>
        <w:t xml:space="preserve">Ogden, Mark. </w:t>
      </w:r>
      <w:r w:rsidRPr="00FA1F74">
        <w:rPr>
          <w:rFonts w:cstheme="minorHAnsi"/>
          <w:sz w:val="22"/>
          <w:szCs w:val="22"/>
        </w:rPr>
        <w:t xml:space="preserve">“Qatar's Hosting of Club World Cup Was Smooth, but Will It Be Ready for Bigger Size and Scale of 2022 World Cup?” ESPN. ESPN Internet Ventures, December 23, 2019. </w:t>
      </w:r>
      <w:hyperlink r:id="rId38" w:history="1">
        <w:r w:rsidRPr="00FA1F74">
          <w:rPr>
            <w:rStyle w:val="Hyperlink"/>
            <w:rFonts w:cstheme="minorHAnsi"/>
            <w:sz w:val="22"/>
            <w:szCs w:val="22"/>
          </w:rPr>
          <w:t>https://www.espn.com/soccer/fifa-world-cup/story/4019777/qatars-hosting-of-club-world-cup-was-smoothbut-will-it-be-ready-for-bigger-size-and-scale-of-2022-world-cup</w:t>
        </w:r>
      </w:hyperlink>
      <w:r w:rsidRPr="00FA1F74">
        <w:rPr>
          <w:rFonts w:cstheme="minorHAnsi"/>
          <w:sz w:val="22"/>
          <w:szCs w:val="22"/>
        </w:rPr>
        <w:t xml:space="preserve">. </w:t>
      </w:r>
    </w:p>
    <w:p w14:paraId="5A793E90" w14:textId="77777777" w:rsidR="00281810" w:rsidRPr="00FA1F74" w:rsidRDefault="00281810" w:rsidP="00281810">
      <w:pPr>
        <w:pStyle w:val="FootnoteText"/>
        <w:ind w:left="720" w:hanging="630"/>
        <w:rPr>
          <w:rFonts w:cstheme="minorHAnsi"/>
          <w:color w:val="000000"/>
          <w:spacing w:val="-5"/>
          <w:sz w:val="22"/>
          <w:szCs w:val="22"/>
          <w:shd w:val="clear" w:color="auto" w:fill="FFFFFF"/>
        </w:rPr>
      </w:pPr>
    </w:p>
    <w:p w14:paraId="7861FA11" w14:textId="77777777" w:rsidR="00281810" w:rsidRPr="00FA1F74" w:rsidRDefault="00281810" w:rsidP="00281810">
      <w:pPr>
        <w:pStyle w:val="FootnoteText"/>
        <w:ind w:left="720" w:hanging="630"/>
        <w:rPr>
          <w:rFonts w:cstheme="minorHAnsi"/>
          <w:color w:val="000000"/>
          <w:spacing w:val="-5"/>
          <w:sz w:val="22"/>
          <w:szCs w:val="22"/>
          <w:shd w:val="clear" w:color="auto" w:fill="FFFFFF"/>
        </w:rPr>
      </w:pPr>
      <w:r w:rsidRPr="00FA1F74">
        <w:rPr>
          <w:rFonts w:cstheme="minorHAnsi"/>
          <w:color w:val="000000"/>
          <w:spacing w:val="-5"/>
          <w:sz w:val="22"/>
          <w:szCs w:val="22"/>
          <w:shd w:val="clear" w:color="auto" w:fill="FFFFFF"/>
        </w:rPr>
        <w:lastRenderedPageBreak/>
        <w:t>Oneal, John R, Bruce Russett, and Michael L. Berbaum. "Causes of Peace: Democracy, Interdependence, and International Organizations, 1885-1992." </w:t>
      </w:r>
      <w:r w:rsidRPr="00FA1F74">
        <w:rPr>
          <w:rFonts w:cstheme="minorHAnsi"/>
          <w:i/>
          <w:iCs/>
          <w:color w:val="000000"/>
          <w:spacing w:val="-5"/>
          <w:sz w:val="22"/>
          <w:szCs w:val="22"/>
          <w:shd w:val="clear" w:color="auto" w:fill="FFFFFF"/>
        </w:rPr>
        <w:t>International Studies Quarterly</w:t>
      </w:r>
      <w:r w:rsidRPr="00FA1F74">
        <w:rPr>
          <w:rFonts w:cstheme="minorHAnsi"/>
          <w:color w:val="000000"/>
          <w:spacing w:val="-5"/>
          <w:sz w:val="22"/>
          <w:szCs w:val="22"/>
          <w:shd w:val="clear" w:color="auto" w:fill="FFFFFF"/>
        </w:rPr>
        <w:t xml:space="preserve"> 47, no. 3 (2003): 371-93. </w:t>
      </w:r>
    </w:p>
    <w:p w14:paraId="61C3639F" w14:textId="77777777" w:rsidR="00281810" w:rsidRPr="00FA1F74" w:rsidRDefault="00281810" w:rsidP="00281810">
      <w:pPr>
        <w:pStyle w:val="FootnoteText"/>
        <w:ind w:left="720" w:hanging="630"/>
        <w:rPr>
          <w:rFonts w:cstheme="minorHAnsi"/>
          <w:sz w:val="22"/>
          <w:szCs w:val="22"/>
        </w:rPr>
      </w:pPr>
    </w:p>
    <w:p w14:paraId="1FD1B7EF" w14:textId="77777777" w:rsidR="00281810" w:rsidRPr="00FA1F74" w:rsidRDefault="00281810" w:rsidP="00281810">
      <w:pPr>
        <w:pStyle w:val="FootnoteText"/>
        <w:ind w:left="720" w:hanging="630"/>
        <w:rPr>
          <w:rFonts w:cstheme="minorHAnsi"/>
          <w:b/>
          <w:bCs/>
          <w:sz w:val="22"/>
          <w:szCs w:val="22"/>
        </w:rPr>
      </w:pPr>
      <w:r w:rsidRPr="00FA1F74">
        <w:rPr>
          <w:rFonts w:cstheme="minorHAnsi"/>
          <w:color w:val="333333"/>
          <w:sz w:val="22"/>
          <w:szCs w:val="22"/>
          <w:shd w:val="clear" w:color="auto" w:fill="FFFFFF"/>
        </w:rPr>
        <w:t>Pettersson, Therése and Peter Wallensteen. “Armed Conflicts, 1946–2014.” </w:t>
      </w:r>
      <w:r w:rsidRPr="00FA1F74">
        <w:rPr>
          <w:rFonts w:cstheme="minorHAnsi"/>
          <w:i/>
          <w:iCs/>
          <w:color w:val="333333"/>
          <w:sz w:val="22"/>
          <w:szCs w:val="22"/>
          <w:shd w:val="clear" w:color="auto" w:fill="FFFFFF"/>
        </w:rPr>
        <w:t>Journal of Peace Research</w:t>
      </w:r>
      <w:r w:rsidRPr="00FA1F74">
        <w:rPr>
          <w:rFonts w:cstheme="minorHAnsi"/>
          <w:color w:val="333333"/>
          <w:sz w:val="22"/>
          <w:szCs w:val="22"/>
          <w:shd w:val="clear" w:color="auto" w:fill="FFFFFF"/>
        </w:rPr>
        <w:t> 52, no. 4 (July 2015): 536–50.</w:t>
      </w:r>
    </w:p>
    <w:p w14:paraId="4B8A1840" w14:textId="77777777" w:rsidR="00281810" w:rsidRPr="00FA1F74" w:rsidRDefault="00281810" w:rsidP="00281810">
      <w:pPr>
        <w:autoSpaceDE w:val="0"/>
        <w:autoSpaceDN w:val="0"/>
        <w:adjustRightInd w:val="0"/>
        <w:spacing w:after="0" w:line="240" w:lineRule="auto"/>
        <w:ind w:left="720" w:hanging="630"/>
        <w:rPr>
          <w:rFonts w:cstheme="minorHAnsi"/>
        </w:rPr>
      </w:pPr>
    </w:p>
    <w:p w14:paraId="0BD13395" w14:textId="77777777" w:rsidR="00281810" w:rsidRPr="00FA1F74" w:rsidRDefault="00281810" w:rsidP="00281810">
      <w:pPr>
        <w:autoSpaceDE w:val="0"/>
        <w:autoSpaceDN w:val="0"/>
        <w:adjustRightInd w:val="0"/>
        <w:spacing w:after="0" w:line="240" w:lineRule="auto"/>
        <w:ind w:left="720" w:hanging="630"/>
        <w:rPr>
          <w:rFonts w:cstheme="minorHAnsi"/>
        </w:rPr>
      </w:pPr>
      <w:r w:rsidRPr="00FA1F74">
        <w:rPr>
          <w:rFonts w:cstheme="minorHAnsi"/>
        </w:rPr>
        <w:t xml:space="preserve">Phelan, Alexandra. “Engaging Insurgency: The Impact of the 2016 Colombian Peace Agreement on FARC's Political Participation.” </w:t>
      </w:r>
      <w:r w:rsidRPr="00FA1F74">
        <w:rPr>
          <w:rFonts w:cstheme="minorHAnsi"/>
          <w:i/>
          <w:iCs/>
        </w:rPr>
        <w:t>Studies in Conflict &amp;</w:t>
      </w:r>
      <w:r w:rsidRPr="00FA1F74">
        <w:rPr>
          <w:rFonts w:cstheme="minorHAnsi"/>
        </w:rPr>
        <w:t xml:space="preserve"> </w:t>
      </w:r>
      <w:r w:rsidRPr="00FA1F74">
        <w:rPr>
          <w:rFonts w:cstheme="minorHAnsi"/>
          <w:i/>
          <w:iCs/>
        </w:rPr>
        <w:t>Terrorism</w:t>
      </w:r>
      <w:r w:rsidRPr="00FA1F74">
        <w:rPr>
          <w:rFonts w:cstheme="minorHAnsi"/>
        </w:rPr>
        <w:t xml:space="preserve"> 42, no 9 (2018): 836-852.</w:t>
      </w:r>
    </w:p>
    <w:p w14:paraId="73B496EB" w14:textId="77777777" w:rsidR="00281810" w:rsidRPr="00FA1F74" w:rsidRDefault="00281810" w:rsidP="00281810">
      <w:pPr>
        <w:pStyle w:val="FootnoteText"/>
        <w:ind w:left="720" w:hanging="630"/>
        <w:rPr>
          <w:rFonts w:cstheme="minorHAnsi"/>
          <w:sz w:val="22"/>
          <w:szCs w:val="22"/>
        </w:rPr>
      </w:pPr>
    </w:p>
    <w:p w14:paraId="720EB39F"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Rabi, Uzi. “Qatar’s Relations with Israel: Challenging Arab and Gulf Norms.” </w:t>
      </w:r>
      <w:r w:rsidRPr="00FA1F74">
        <w:rPr>
          <w:rFonts w:cstheme="minorHAnsi"/>
          <w:i/>
          <w:iCs/>
          <w:sz w:val="22"/>
          <w:szCs w:val="22"/>
        </w:rPr>
        <w:t>The Middle East Journal</w:t>
      </w:r>
      <w:r w:rsidRPr="00FA1F74">
        <w:rPr>
          <w:rFonts w:cstheme="minorHAnsi"/>
          <w:sz w:val="22"/>
          <w:szCs w:val="22"/>
        </w:rPr>
        <w:t xml:space="preserve"> 63, no. 3 (Summer 2009): 443–59.</w:t>
      </w:r>
    </w:p>
    <w:p w14:paraId="390DDD83" w14:textId="77777777" w:rsidR="00281810" w:rsidRPr="00FA1F74" w:rsidRDefault="00281810" w:rsidP="00281810">
      <w:pPr>
        <w:pStyle w:val="FootnoteText"/>
        <w:ind w:left="720" w:hanging="630"/>
        <w:rPr>
          <w:rFonts w:cstheme="minorHAnsi"/>
          <w:sz w:val="22"/>
          <w:szCs w:val="22"/>
        </w:rPr>
      </w:pPr>
    </w:p>
    <w:p w14:paraId="63F7C314"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“Report: Israel Pushed NSO Spyware to Gulf States to Help Track Dissidents.” Times of Israel. August 23, 2020. </w:t>
      </w:r>
      <w:hyperlink r:id="rId39" w:history="1">
        <w:r w:rsidRPr="00FA1F74">
          <w:rPr>
            <w:rStyle w:val="Hyperlink"/>
            <w:rFonts w:cstheme="minorHAnsi"/>
            <w:sz w:val="22"/>
            <w:szCs w:val="22"/>
          </w:rPr>
          <w:t>https://www.timesofisrael.com/report-israel-pushed-nso-spyware-to-gulf-states-to-help-track-dissidents/</w:t>
        </w:r>
      </w:hyperlink>
      <w:r w:rsidRPr="00FA1F74">
        <w:rPr>
          <w:rFonts w:cstheme="minorHAnsi"/>
          <w:sz w:val="22"/>
          <w:szCs w:val="22"/>
        </w:rPr>
        <w:t xml:space="preserve">. </w:t>
      </w:r>
    </w:p>
    <w:p w14:paraId="3303C3F6" w14:textId="77777777" w:rsidR="00281810" w:rsidRPr="00FA1F74" w:rsidRDefault="00281810" w:rsidP="00281810">
      <w:pPr>
        <w:pStyle w:val="FootnoteText"/>
        <w:ind w:left="720" w:hanging="630"/>
        <w:rPr>
          <w:rFonts w:cstheme="minorHAnsi"/>
          <w:sz w:val="22"/>
          <w:szCs w:val="22"/>
        </w:rPr>
      </w:pPr>
    </w:p>
    <w:p w14:paraId="32818B36" w14:textId="77777777" w:rsidR="00281810" w:rsidRPr="00FA1F74" w:rsidRDefault="00281810" w:rsidP="00281810">
      <w:pPr>
        <w:autoSpaceDE w:val="0"/>
        <w:autoSpaceDN w:val="0"/>
        <w:adjustRightInd w:val="0"/>
        <w:spacing w:after="0" w:line="240" w:lineRule="auto"/>
        <w:ind w:left="720" w:hanging="630"/>
        <w:rPr>
          <w:rFonts w:cstheme="minorHAnsi"/>
        </w:rPr>
      </w:pPr>
      <w:r w:rsidRPr="00FA1F74">
        <w:rPr>
          <w:rFonts w:cstheme="minorHAnsi"/>
        </w:rPr>
        <w:t xml:space="preserve">Richmond, Oliver. </w:t>
      </w:r>
      <w:r w:rsidRPr="00FA1F74">
        <w:rPr>
          <w:rFonts w:cstheme="minorHAnsi"/>
          <w:i/>
          <w:iCs/>
        </w:rPr>
        <w:t>Peace Formation: Political Order in Conflict-Affected Societies</w:t>
      </w:r>
      <w:r w:rsidRPr="00FA1F74">
        <w:rPr>
          <w:rFonts w:cstheme="minorHAnsi"/>
        </w:rPr>
        <w:t>. Oxford: Oxford University Press, 2016.</w:t>
      </w:r>
    </w:p>
    <w:p w14:paraId="2EC65E1A" w14:textId="77777777" w:rsidR="00281810" w:rsidRPr="00FA1F74" w:rsidRDefault="00281810" w:rsidP="00281810">
      <w:pPr>
        <w:pStyle w:val="FootnoteText"/>
        <w:ind w:left="720" w:hanging="630"/>
        <w:rPr>
          <w:rFonts w:cstheme="minorHAnsi"/>
          <w:color w:val="000000"/>
          <w:spacing w:val="-5"/>
          <w:sz w:val="22"/>
          <w:szCs w:val="22"/>
          <w:shd w:val="clear" w:color="auto" w:fill="FFFFFF"/>
        </w:rPr>
      </w:pPr>
    </w:p>
    <w:p w14:paraId="0B14C9DD" w14:textId="77777777" w:rsidR="00281810" w:rsidRPr="00FA1F74" w:rsidRDefault="00281810" w:rsidP="00281810">
      <w:pPr>
        <w:autoSpaceDE w:val="0"/>
        <w:autoSpaceDN w:val="0"/>
        <w:adjustRightInd w:val="0"/>
        <w:spacing w:after="0" w:line="240" w:lineRule="auto"/>
        <w:ind w:left="720" w:hanging="630"/>
        <w:rPr>
          <w:rFonts w:cstheme="minorHAnsi"/>
        </w:rPr>
      </w:pPr>
      <w:r w:rsidRPr="00FA1F74">
        <w:rPr>
          <w:rFonts w:cstheme="minorHAnsi"/>
        </w:rPr>
        <w:t xml:space="preserve">---, ---. “The dilemmas of a hybrid peace: Negative or positive?” </w:t>
      </w:r>
      <w:r w:rsidRPr="00FA1F74">
        <w:rPr>
          <w:rFonts w:cstheme="minorHAnsi"/>
          <w:i/>
          <w:iCs/>
        </w:rPr>
        <w:t xml:space="preserve">Cooperation and Conflict </w:t>
      </w:r>
      <w:r w:rsidRPr="00FA1F74">
        <w:rPr>
          <w:rFonts w:cstheme="minorHAnsi"/>
        </w:rPr>
        <w:t>50, no 1 (2015): 50–68.</w:t>
      </w:r>
    </w:p>
    <w:p w14:paraId="10C713D1" w14:textId="77777777" w:rsidR="00281810" w:rsidRPr="00FA1F74" w:rsidRDefault="00281810" w:rsidP="001D0E0E">
      <w:pPr>
        <w:pStyle w:val="FootnoteText"/>
        <w:rPr>
          <w:rFonts w:cstheme="minorHAnsi"/>
          <w:sz w:val="22"/>
          <w:szCs w:val="22"/>
        </w:rPr>
      </w:pPr>
    </w:p>
    <w:p w14:paraId="404FF53E"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Russett, Bruce and John R Oneal. </w:t>
      </w:r>
      <w:r w:rsidRPr="00FA1F74">
        <w:rPr>
          <w:rFonts w:cstheme="minorHAnsi"/>
          <w:i/>
          <w:iCs/>
          <w:sz w:val="22"/>
          <w:szCs w:val="22"/>
        </w:rPr>
        <w:t>Triangulating Peace: Democracy, Interdependence, and International Organizations</w:t>
      </w:r>
      <w:r w:rsidRPr="00FA1F74">
        <w:rPr>
          <w:rFonts w:cstheme="minorHAnsi"/>
          <w:sz w:val="22"/>
          <w:szCs w:val="22"/>
        </w:rPr>
        <w:t>. New York: W. W. Norton and Company, 1999.</w:t>
      </w:r>
    </w:p>
    <w:p w14:paraId="56802DD4" w14:textId="77777777" w:rsidR="00281810" w:rsidRPr="00FA1F74" w:rsidRDefault="00281810" w:rsidP="00281810">
      <w:pPr>
        <w:pStyle w:val="FootnoteText"/>
        <w:ind w:left="720" w:hanging="630"/>
        <w:rPr>
          <w:rFonts w:cstheme="minorHAnsi"/>
          <w:sz w:val="22"/>
          <w:szCs w:val="22"/>
        </w:rPr>
      </w:pPr>
    </w:p>
    <w:p w14:paraId="0E6B03D9" w14:textId="7B4C209E" w:rsidR="00281810" w:rsidRPr="00FA1F74" w:rsidRDefault="00281810" w:rsidP="00281810">
      <w:pPr>
        <w:pStyle w:val="FootnoteText"/>
        <w:ind w:left="720" w:hanging="630"/>
        <w:rPr>
          <w:rFonts w:cstheme="minorHAnsi"/>
          <w:sz w:val="22"/>
          <w:szCs w:val="22"/>
        </w:rPr>
      </w:pPr>
      <w:r w:rsidRPr="00FA1F74">
        <w:rPr>
          <w:rFonts w:cstheme="minorHAnsi"/>
          <w:sz w:val="22"/>
          <w:szCs w:val="22"/>
        </w:rPr>
        <w:t>Sachs, Natan and Tamara Cofman</w:t>
      </w:r>
      <w:r w:rsidR="00144735" w:rsidRPr="00FA1F74">
        <w:rPr>
          <w:rFonts w:cstheme="minorHAnsi"/>
          <w:sz w:val="22"/>
          <w:szCs w:val="22"/>
        </w:rPr>
        <w:t>-</w:t>
      </w:r>
      <w:r w:rsidRPr="00FA1F74">
        <w:rPr>
          <w:rFonts w:cstheme="minorHAnsi"/>
          <w:sz w:val="22"/>
          <w:szCs w:val="22"/>
        </w:rPr>
        <w:t xml:space="preserve">Wittes. “Saudi-Israeli Relations: The Curious Case of a NEOM Meeting Denied.” Brookings (Brookings, November 29, 2020), </w:t>
      </w:r>
      <w:hyperlink r:id="rId40" w:history="1">
        <w:r w:rsidRPr="00FA1F74">
          <w:rPr>
            <w:rStyle w:val="Hyperlink"/>
            <w:rFonts w:cstheme="minorHAnsi"/>
            <w:sz w:val="22"/>
            <w:szCs w:val="22"/>
          </w:rPr>
          <w:t>https://www.brookings.edu/blog/order-from-chaos/2020/11/25/saudi-israeli-relations-the-curious-case-of-a-neom-meeting-denied/</w:t>
        </w:r>
      </w:hyperlink>
      <w:r w:rsidRPr="00FA1F74">
        <w:rPr>
          <w:rFonts w:cstheme="minorHAnsi"/>
          <w:sz w:val="22"/>
          <w:szCs w:val="22"/>
        </w:rPr>
        <w:t xml:space="preserve">. </w:t>
      </w:r>
    </w:p>
    <w:p w14:paraId="1A67D040" w14:textId="77777777" w:rsidR="00203767" w:rsidRPr="00FA1F74" w:rsidRDefault="00203767" w:rsidP="00203767">
      <w:pPr>
        <w:pStyle w:val="FootnoteText"/>
        <w:rPr>
          <w:rFonts w:cstheme="minorHAnsi"/>
          <w:sz w:val="22"/>
          <w:szCs w:val="22"/>
        </w:rPr>
      </w:pPr>
    </w:p>
    <w:p w14:paraId="40350554"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“Saudi Crown Prince Says Israelis Have Right to Their Own Land,” Reuters (Thomson Reuters, April 2, 2018), </w:t>
      </w:r>
      <w:hyperlink r:id="rId41" w:history="1">
        <w:r w:rsidRPr="00FA1F74">
          <w:rPr>
            <w:rStyle w:val="Hyperlink"/>
            <w:rFonts w:cstheme="minorHAnsi"/>
            <w:sz w:val="22"/>
            <w:szCs w:val="22"/>
          </w:rPr>
          <w:t>https://www.reuters.com/article/us-saudi-prince-israel-idUSKCN1H91SQ</w:t>
        </w:r>
      </w:hyperlink>
      <w:r w:rsidRPr="00FA1F74">
        <w:rPr>
          <w:rFonts w:cstheme="minorHAnsi"/>
          <w:sz w:val="22"/>
          <w:szCs w:val="22"/>
        </w:rPr>
        <w:t xml:space="preserve">. </w:t>
      </w:r>
    </w:p>
    <w:p w14:paraId="4D1A4B52" w14:textId="77777777" w:rsidR="00281810" w:rsidRPr="00FA1F74" w:rsidRDefault="00281810" w:rsidP="00281810">
      <w:pPr>
        <w:pStyle w:val="FootnoteText"/>
        <w:ind w:left="720" w:hanging="630"/>
        <w:rPr>
          <w:rFonts w:cstheme="minorHAnsi"/>
          <w:sz w:val="22"/>
          <w:szCs w:val="22"/>
        </w:rPr>
      </w:pPr>
    </w:p>
    <w:p w14:paraId="04C86089"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Schuetze, Benjamin. </w:t>
      </w:r>
      <w:r w:rsidRPr="00FA1F74">
        <w:rPr>
          <w:rFonts w:cstheme="minorHAnsi"/>
          <w:i/>
          <w:iCs/>
          <w:sz w:val="22"/>
          <w:szCs w:val="22"/>
        </w:rPr>
        <w:t xml:space="preserve">Promoting Democracy, Reinforcing Authoritarianism. </w:t>
      </w:r>
      <w:r w:rsidRPr="00FA1F74">
        <w:rPr>
          <w:rFonts w:cstheme="minorHAnsi"/>
          <w:sz w:val="22"/>
          <w:szCs w:val="22"/>
        </w:rPr>
        <w:t>Cambridge, UK: Cambridge University Press, 2019.</w:t>
      </w:r>
    </w:p>
    <w:p w14:paraId="162C0FC9" w14:textId="77777777" w:rsidR="00281810" w:rsidRPr="00FA1F74" w:rsidRDefault="00281810" w:rsidP="00281810">
      <w:pPr>
        <w:pStyle w:val="FootnoteText"/>
        <w:ind w:left="720" w:hanging="630"/>
        <w:rPr>
          <w:rFonts w:cstheme="minorHAnsi"/>
          <w:sz w:val="22"/>
          <w:szCs w:val="22"/>
        </w:rPr>
      </w:pPr>
    </w:p>
    <w:p w14:paraId="33664559" w14:textId="77777777" w:rsidR="00281810" w:rsidRPr="00FA1F74" w:rsidRDefault="00281810" w:rsidP="00281810">
      <w:pPr>
        <w:pStyle w:val="FootnoteText"/>
        <w:ind w:left="720" w:hanging="630"/>
        <w:jc w:val="both"/>
        <w:rPr>
          <w:rFonts w:cstheme="minorHAnsi"/>
          <w:sz w:val="22"/>
          <w:szCs w:val="22"/>
        </w:rPr>
      </w:pPr>
      <w:r w:rsidRPr="00FA1F74">
        <w:rPr>
          <w:rFonts w:cstheme="minorHAnsi"/>
          <w:sz w:val="22"/>
          <w:szCs w:val="22"/>
          <w:shd w:val="clear" w:color="auto" w:fill="FFFFFF"/>
        </w:rPr>
        <w:t xml:space="preserve">Schwartz, </w:t>
      </w:r>
      <w:r w:rsidRPr="00FA1F74">
        <w:rPr>
          <w:rFonts w:cstheme="minorHAnsi"/>
          <w:sz w:val="22"/>
          <w:szCs w:val="22"/>
        </w:rPr>
        <w:t xml:space="preserve">Felicia, </w:t>
      </w:r>
      <w:r w:rsidRPr="00FA1F74">
        <w:rPr>
          <w:rFonts w:cstheme="minorHAnsi"/>
          <w:sz w:val="22"/>
          <w:szCs w:val="22"/>
          <w:shd w:val="clear" w:color="auto" w:fill="FFFFFF"/>
        </w:rPr>
        <w:t xml:space="preserve">Margherita Stancati, and Summer Said. "Covert Saudi Outreach to Israel Sputters After Journalist's Murder." The Wall Street Journal. December 18, 2018. </w:t>
      </w:r>
      <w:hyperlink r:id="rId42" w:history="1">
        <w:r w:rsidRPr="00FA1F74">
          <w:rPr>
            <w:rStyle w:val="Hyperlink"/>
            <w:rFonts w:cstheme="minorHAnsi"/>
            <w:sz w:val="22"/>
            <w:szCs w:val="22"/>
            <w:shd w:val="clear" w:color="auto" w:fill="FFFFFF"/>
          </w:rPr>
          <w:t>https://www.wsj.com/articles/covert-saudi-outreach-to-israel-sputters-after-journalists-murder-11545129001</w:t>
        </w:r>
      </w:hyperlink>
      <w:r w:rsidRPr="00FA1F74">
        <w:rPr>
          <w:rFonts w:cstheme="minorHAnsi"/>
          <w:sz w:val="22"/>
          <w:szCs w:val="22"/>
          <w:shd w:val="clear" w:color="auto" w:fill="FFFFFF"/>
        </w:rPr>
        <w:t xml:space="preserve">. </w:t>
      </w:r>
    </w:p>
    <w:p w14:paraId="757F2B10" w14:textId="77777777" w:rsidR="00281810" w:rsidRPr="00FA1F74" w:rsidRDefault="00281810" w:rsidP="00281810">
      <w:pPr>
        <w:pStyle w:val="FootnoteText"/>
        <w:ind w:left="720" w:hanging="630"/>
        <w:rPr>
          <w:rFonts w:cstheme="minorHAnsi"/>
          <w:sz w:val="22"/>
          <w:szCs w:val="22"/>
        </w:rPr>
      </w:pPr>
    </w:p>
    <w:p w14:paraId="2AA40CCF"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Shihabi, Ali. Twitter Post. June 27, 2018. </w:t>
      </w:r>
      <w:hyperlink r:id="rId43" w:history="1">
        <w:r w:rsidRPr="00FA1F74">
          <w:rPr>
            <w:rStyle w:val="Hyperlink"/>
            <w:rFonts w:cstheme="minorHAnsi"/>
            <w:sz w:val="22"/>
            <w:szCs w:val="22"/>
          </w:rPr>
          <w:t>https://twitter.com/aliShihabi/status/1011717572473995264</w:t>
        </w:r>
      </w:hyperlink>
      <w:r w:rsidRPr="00FA1F74">
        <w:rPr>
          <w:rFonts w:cstheme="minorHAnsi"/>
          <w:sz w:val="22"/>
          <w:szCs w:val="22"/>
        </w:rPr>
        <w:t>.</w:t>
      </w:r>
    </w:p>
    <w:p w14:paraId="728C2EBF" w14:textId="77777777" w:rsidR="00281810" w:rsidRPr="00FA1F74" w:rsidRDefault="00281810" w:rsidP="00281810">
      <w:pPr>
        <w:pStyle w:val="FootnoteText"/>
        <w:ind w:left="720" w:hanging="630"/>
        <w:rPr>
          <w:rFonts w:cstheme="minorHAnsi"/>
          <w:sz w:val="22"/>
          <w:szCs w:val="22"/>
        </w:rPr>
      </w:pPr>
    </w:p>
    <w:p w14:paraId="06EA5585"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“SIPRI Yearbook 2020: Armaments, Disarmament and International Security,” Stockholm, Sweden: Stockholm International Peace Research Institute (2020): 13. </w:t>
      </w:r>
      <w:hyperlink r:id="rId44" w:history="1">
        <w:r w:rsidRPr="00FA1F74">
          <w:rPr>
            <w:rStyle w:val="Hyperlink"/>
            <w:rFonts w:cstheme="minorHAnsi"/>
            <w:sz w:val="22"/>
            <w:szCs w:val="22"/>
          </w:rPr>
          <w:t>https://www.sipri.org/sites/default/files/2020-06/yb20_summary_en_v2.pdf</w:t>
        </w:r>
      </w:hyperlink>
      <w:r w:rsidRPr="00FA1F74">
        <w:rPr>
          <w:rStyle w:val="Hyperlink"/>
          <w:rFonts w:cstheme="minorHAnsi"/>
          <w:sz w:val="22"/>
          <w:szCs w:val="22"/>
        </w:rPr>
        <w:t>.</w:t>
      </w:r>
    </w:p>
    <w:p w14:paraId="66DF73CE" w14:textId="77777777" w:rsidR="00281810" w:rsidRPr="00FA1F74" w:rsidRDefault="00281810" w:rsidP="00281810">
      <w:pPr>
        <w:pStyle w:val="FootnoteText"/>
        <w:ind w:left="720" w:hanging="630"/>
        <w:rPr>
          <w:rFonts w:cstheme="minorHAnsi"/>
          <w:sz w:val="22"/>
          <w:szCs w:val="22"/>
        </w:rPr>
      </w:pPr>
    </w:p>
    <w:p w14:paraId="256A9149"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lastRenderedPageBreak/>
        <w:t xml:space="preserve">Stork, Joe. “Unrelenting Repression in the UAE.” Carnegie Endowment for International Peace, May 21, 2019, </w:t>
      </w:r>
      <w:hyperlink r:id="rId45" w:history="1">
        <w:r w:rsidRPr="00FA1F74">
          <w:rPr>
            <w:rStyle w:val="Hyperlink"/>
            <w:rFonts w:cstheme="minorHAnsi"/>
            <w:sz w:val="22"/>
            <w:szCs w:val="22"/>
          </w:rPr>
          <w:t>https://carnegieendowment.org/sada/79173</w:t>
        </w:r>
      </w:hyperlink>
      <w:r w:rsidRPr="00FA1F74">
        <w:rPr>
          <w:rFonts w:cstheme="minorHAnsi"/>
          <w:sz w:val="22"/>
          <w:szCs w:val="22"/>
        </w:rPr>
        <w:t>.</w:t>
      </w:r>
    </w:p>
    <w:p w14:paraId="04546322" w14:textId="77777777" w:rsidR="00281810" w:rsidRPr="00FA1F74" w:rsidRDefault="00281810" w:rsidP="00281810">
      <w:pPr>
        <w:pStyle w:val="FootnoteText"/>
        <w:ind w:left="720" w:hanging="630"/>
        <w:rPr>
          <w:rFonts w:cstheme="minorHAnsi"/>
          <w:sz w:val="22"/>
          <w:szCs w:val="22"/>
        </w:rPr>
      </w:pPr>
    </w:p>
    <w:p w14:paraId="346BB903" w14:textId="77777777" w:rsidR="00281810" w:rsidRPr="00FA1F74" w:rsidRDefault="00281810" w:rsidP="00281810">
      <w:pPr>
        <w:pStyle w:val="FootnoteText"/>
        <w:ind w:left="720" w:hanging="630"/>
        <w:rPr>
          <w:rFonts w:cstheme="minorHAnsi"/>
          <w:sz w:val="22"/>
          <w:szCs w:val="22"/>
          <w:highlight w:val="yellow"/>
        </w:rPr>
      </w:pPr>
      <w:r w:rsidRPr="00FA1F74">
        <w:rPr>
          <w:rFonts w:cstheme="minorHAnsi"/>
          <w:color w:val="2A2A2A"/>
          <w:sz w:val="22"/>
          <w:szCs w:val="22"/>
          <w:shd w:val="clear" w:color="auto" w:fill="FFFFFF"/>
        </w:rPr>
        <w:t>Stravers, Andrew and Dana El Kurd. “Strategic Autocracy: American Military Forces and Regime Type.” </w:t>
      </w:r>
      <w:r w:rsidRPr="00FA1F74">
        <w:rPr>
          <w:rStyle w:val="Emphasis"/>
          <w:rFonts w:cstheme="minorHAnsi"/>
          <w:color w:val="2A2A2A"/>
          <w:sz w:val="22"/>
          <w:szCs w:val="22"/>
          <w:bdr w:val="none" w:sz="0" w:space="0" w:color="auto" w:frame="1"/>
          <w:shd w:val="clear" w:color="auto" w:fill="FFFFFF"/>
        </w:rPr>
        <w:t>Journal of Global Security Studies</w:t>
      </w:r>
      <w:r w:rsidRPr="00FA1F74">
        <w:rPr>
          <w:rFonts w:cstheme="minorHAnsi"/>
          <w:color w:val="2A2A2A"/>
          <w:sz w:val="22"/>
          <w:szCs w:val="22"/>
          <w:shd w:val="clear" w:color="auto" w:fill="FFFFFF"/>
        </w:rPr>
        <w:t xml:space="preserve"> 5, no 3 (2020): 427–442. </w:t>
      </w:r>
      <w:r w:rsidRPr="00FA1F74">
        <w:rPr>
          <w:rFonts w:cstheme="minorHAnsi"/>
          <w:sz w:val="22"/>
          <w:szCs w:val="22"/>
          <w:highlight w:val="yellow"/>
        </w:rPr>
        <w:t xml:space="preserve"> </w:t>
      </w:r>
    </w:p>
    <w:p w14:paraId="23A581A2" w14:textId="77777777" w:rsidR="00281810" w:rsidRPr="00FA1F74" w:rsidRDefault="00281810" w:rsidP="00281810">
      <w:pPr>
        <w:pStyle w:val="FootnoteText"/>
        <w:ind w:left="720" w:hanging="630"/>
        <w:rPr>
          <w:rFonts w:cstheme="minorHAnsi"/>
          <w:sz w:val="22"/>
          <w:szCs w:val="22"/>
        </w:rPr>
      </w:pPr>
    </w:p>
    <w:p w14:paraId="1F6AD9A7"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Tansey, Oisín. “The Problem with Autocracy Promotion.” </w:t>
      </w:r>
      <w:r w:rsidRPr="00FA1F74">
        <w:rPr>
          <w:rFonts w:cstheme="minorHAnsi"/>
          <w:i/>
          <w:iCs/>
          <w:sz w:val="22"/>
          <w:szCs w:val="22"/>
        </w:rPr>
        <w:t>Democratization</w:t>
      </w:r>
      <w:r w:rsidRPr="00FA1F74">
        <w:rPr>
          <w:rFonts w:cstheme="minorHAnsi"/>
          <w:sz w:val="22"/>
          <w:szCs w:val="22"/>
        </w:rPr>
        <w:t xml:space="preserve"> 23, no. 1 (2016): 141-163.</w:t>
      </w:r>
    </w:p>
    <w:p w14:paraId="3BF6C687" w14:textId="77777777" w:rsidR="00281810" w:rsidRPr="00FA1F74" w:rsidRDefault="00281810" w:rsidP="006A0DAD">
      <w:pPr>
        <w:autoSpaceDE w:val="0"/>
        <w:autoSpaceDN w:val="0"/>
        <w:adjustRightInd w:val="0"/>
        <w:spacing w:after="0" w:line="240" w:lineRule="auto"/>
        <w:rPr>
          <w:rStyle w:val="pagerange"/>
          <w:rFonts w:cstheme="minorHAnsi"/>
          <w:color w:val="333333"/>
          <w:shd w:val="clear" w:color="auto" w:fill="FFFFFF"/>
        </w:rPr>
      </w:pPr>
    </w:p>
    <w:p w14:paraId="052AFAB8"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The New Arab Staff, “Prominent Emirati Writer Banned from Leaving UAE over Anti-Normalisation Stance,” Al-Araby (The New Arab, September 27, 2020), </w:t>
      </w:r>
      <w:hyperlink r:id="rId46" w:history="1">
        <w:r w:rsidRPr="00FA1F74">
          <w:rPr>
            <w:rStyle w:val="Hyperlink"/>
            <w:rFonts w:cstheme="minorHAnsi"/>
            <w:sz w:val="22"/>
            <w:szCs w:val="22"/>
          </w:rPr>
          <w:t>https://english.alaraby.co.uk/english/news/2020/9/27/prominent-emirati-writer-banned-from-travelling-over-anti-normalisation-stance</w:t>
        </w:r>
      </w:hyperlink>
      <w:r w:rsidRPr="00FA1F74">
        <w:rPr>
          <w:rFonts w:cstheme="minorHAnsi"/>
          <w:sz w:val="22"/>
          <w:szCs w:val="22"/>
        </w:rPr>
        <w:t xml:space="preserve">. </w:t>
      </w:r>
    </w:p>
    <w:p w14:paraId="5CE117DE" w14:textId="77777777" w:rsidR="00281810" w:rsidRPr="00FA1F74" w:rsidRDefault="00281810" w:rsidP="00281810">
      <w:pPr>
        <w:pStyle w:val="FootnoteText"/>
        <w:ind w:left="720" w:hanging="630"/>
        <w:rPr>
          <w:rFonts w:cstheme="minorHAnsi"/>
          <w:sz w:val="22"/>
          <w:szCs w:val="22"/>
        </w:rPr>
      </w:pPr>
    </w:p>
    <w:p w14:paraId="425D943D"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Toosi, Nahal. “How a Smooth Saudi Operative Charms Washington and Defends 'the Indefensible',” </w:t>
      </w:r>
      <w:r w:rsidRPr="00FA1F74">
        <w:rPr>
          <w:rFonts w:cstheme="minorHAnsi"/>
          <w:i/>
          <w:iCs/>
          <w:sz w:val="22"/>
          <w:szCs w:val="22"/>
        </w:rPr>
        <w:t>POLITICO</w:t>
      </w:r>
      <w:r w:rsidRPr="00FA1F74">
        <w:rPr>
          <w:rFonts w:cstheme="minorHAnsi"/>
          <w:sz w:val="22"/>
          <w:szCs w:val="22"/>
        </w:rPr>
        <w:t xml:space="preserve">, October 23, 2018, </w:t>
      </w:r>
      <w:hyperlink r:id="rId47" w:history="1">
        <w:r w:rsidRPr="00FA1F74">
          <w:rPr>
            <w:rStyle w:val="Hyperlink"/>
            <w:rFonts w:cstheme="minorHAnsi"/>
            <w:sz w:val="22"/>
            <w:szCs w:val="22"/>
          </w:rPr>
          <w:t>https://www.politico.com/story/2018/10/23/shihabi-saudi-arabia-washington-ambassador-933951</w:t>
        </w:r>
      </w:hyperlink>
      <w:r w:rsidRPr="00FA1F74">
        <w:rPr>
          <w:rFonts w:cstheme="minorHAnsi"/>
          <w:sz w:val="22"/>
          <w:szCs w:val="22"/>
        </w:rPr>
        <w:t xml:space="preserve">. </w:t>
      </w:r>
    </w:p>
    <w:p w14:paraId="1B0CB3EA" w14:textId="77777777" w:rsidR="00281810" w:rsidRPr="00FA1F74" w:rsidRDefault="00281810" w:rsidP="00281810">
      <w:pPr>
        <w:pStyle w:val="FootnoteText"/>
        <w:ind w:left="720" w:hanging="630"/>
        <w:rPr>
          <w:rFonts w:cstheme="minorHAnsi"/>
          <w:sz w:val="22"/>
          <w:szCs w:val="22"/>
        </w:rPr>
      </w:pPr>
    </w:p>
    <w:p w14:paraId="515EE3FC"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United States- Bahrain Free Trade Agreement Implementation Act, Congressional Record Vol. 151, No. 156 (House of Representatives – December 7, 2005), </w:t>
      </w:r>
      <w:hyperlink r:id="rId48" w:history="1">
        <w:r w:rsidRPr="00FA1F74">
          <w:rPr>
            <w:rStyle w:val="Hyperlink"/>
            <w:rFonts w:cstheme="minorHAnsi"/>
            <w:sz w:val="22"/>
            <w:szCs w:val="22"/>
          </w:rPr>
          <w:t>https://www.congress.gov/109/crec/2005/12/07/CREC-2005-12-07-pt1-PgH11163-2.pdf</w:t>
        </w:r>
      </w:hyperlink>
      <w:r w:rsidRPr="00FA1F74">
        <w:rPr>
          <w:rFonts w:cstheme="minorHAnsi"/>
          <w:sz w:val="22"/>
          <w:szCs w:val="22"/>
        </w:rPr>
        <w:t xml:space="preserve">. </w:t>
      </w:r>
    </w:p>
    <w:p w14:paraId="405D1B6E" w14:textId="77777777" w:rsidR="00281810" w:rsidRPr="00FA1F74" w:rsidRDefault="00281810" w:rsidP="00281810">
      <w:pPr>
        <w:pStyle w:val="FootnoteText"/>
        <w:ind w:left="720" w:hanging="630"/>
        <w:rPr>
          <w:rFonts w:cstheme="minorHAnsi"/>
          <w:sz w:val="22"/>
          <w:szCs w:val="22"/>
        </w:rPr>
      </w:pPr>
    </w:p>
    <w:p w14:paraId="4EF21F7B" w14:textId="77777777" w:rsidR="00281810" w:rsidRPr="00FA1F74" w:rsidRDefault="00281810" w:rsidP="00281810">
      <w:pPr>
        <w:pStyle w:val="FootnoteText"/>
        <w:ind w:left="720" w:hanging="630"/>
        <w:jc w:val="both"/>
        <w:rPr>
          <w:rFonts w:cstheme="minorHAnsi"/>
          <w:sz w:val="22"/>
          <w:szCs w:val="22"/>
        </w:rPr>
      </w:pPr>
      <w:r w:rsidRPr="00FA1F74">
        <w:rPr>
          <w:rFonts w:cstheme="minorHAnsi"/>
          <w:sz w:val="22"/>
          <w:szCs w:val="22"/>
        </w:rPr>
        <w:t xml:space="preserve">Weyland, Kurt. “Autocratic Diffusion and Cooperation: The Impact of Interests vs. Ideology.” </w:t>
      </w:r>
      <w:r w:rsidRPr="00FA1F74">
        <w:rPr>
          <w:rFonts w:cstheme="minorHAnsi"/>
          <w:i/>
          <w:iCs/>
          <w:sz w:val="22"/>
          <w:szCs w:val="22"/>
        </w:rPr>
        <w:t>Democratization</w:t>
      </w:r>
      <w:r w:rsidRPr="00FA1F74">
        <w:rPr>
          <w:rFonts w:cstheme="minorHAnsi"/>
          <w:sz w:val="22"/>
          <w:szCs w:val="22"/>
        </w:rPr>
        <w:t xml:space="preserve"> 24, no. 7 (2017): 1235-1252.</w:t>
      </w:r>
    </w:p>
    <w:p w14:paraId="39AE8754" w14:textId="77777777" w:rsidR="00281810" w:rsidRPr="00FA1F74" w:rsidRDefault="00281810" w:rsidP="00281810">
      <w:pPr>
        <w:pStyle w:val="FootnoteText"/>
        <w:ind w:left="720" w:hanging="630"/>
        <w:rPr>
          <w:rFonts w:cstheme="minorHAnsi"/>
          <w:sz w:val="22"/>
          <w:szCs w:val="22"/>
        </w:rPr>
      </w:pPr>
    </w:p>
    <w:p w14:paraId="778A6C97" w14:textId="77777777" w:rsidR="00281810" w:rsidRPr="00FA1F74" w:rsidRDefault="00281810" w:rsidP="00281810">
      <w:pPr>
        <w:pStyle w:val="FootnoteText"/>
        <w:ind w:left="720" w:hanging="630"/>
        <w:rPr>
          <w:rFonts w:cstheme="minorHAnsi"/>
          <w:sz w:val="22"/>
          <w:szCs w:val="22"/>
        </w:rPr>
      </w:pPr>
      <w:r w:rsidRPr="00FA1F74">
        <w:rPr>
          <w:rFonts w:cstheme="minorHAnsi"/>
          <w:sz w:val="22"/>
          <w:szCs w:val="22"/>
        </w:rPr>
        <w:t xml:space="preserve">Worth, Robert F. “Mohammed Bin Zayed's Dark Vision of the Middle East's Future.” </w:t>
      </w:r>
      <w:r w:rsidRPr="00FA1F74">
        <w:rPr>
          <w:rFonts w:cstheme="minorHAnsi"/>
          <w:i/>
          <w:iCs/>
          <w:sz w:val="22"/>
          <w:szCs w:val="22"/>
        </w:rPr>
        <w:t>The New York Times,</w:t>
      </w:r>
      <w:r w:rsidRPr="00FA1F74">
        <w:rPr>
          <w:rFonts w:cstheme="minorHAnsi"/>
          <w:sz w:val="22"/>
          <w:szCs w:val="22"/>
        </w:rPr>
        <w:t xml:space="preserve"> January 9, 2020, </w:t>
      </w:r>
      <w:hyperlink r:id="rId49" w:history="1">
        <w:r w:rsidRPr="00FA1F74">
          <w:rPr>
            <w:rStyle w:val="Hyperlink"/>
            <w:rFonts w:cstheme="minorHAnsi"/>
            <w:sz w:val="22"/>
            <w:szCs w:val="22"/>
          </w:rPr>
          <w:t>https://www.nytimes.com/2020/01/09/magazine/united-arab-emirates-mohammed-bin-zayed.html</w:t>
        </w:r>
      </w:hyperlink>
      <w:r w:rsidRPr="00FA1F74">
        <w:rPr>
          <w:rFonts w:cstheme="minorHAnsi"/>
          <w:sz w:val="22"/>
          <w:szCs w:val="22"/>
        </w:rPr>
        <w:t xml:space="preserve">. </w:t>
      </w:r>
    </w:p>
    <w:p w14:paraId="1474DD36" w14:textId="77777777" w:rsidR="00281810" w:rsidRPr="00FA1F74" w:rsidRDefault="00281810" w:rsidP="00281810">
      <w:pPr>
        <w:autoSpaceDE w:val="0"/>
        <w:autoSpaceDN w:val="0"/>
        <w:adjustRightInd w:val="0"/>
        <w:spacing w:after="0" w:line="240" w:lineRule="auto"/>
        <w:ind w:left="720" w:hanging="630"/>
        <w:rPr>
          <w:rFonts w:cstheme="minorHAnsi"/>
        </w:rPr>
      </w:pPr>
    </w:p>
    <w:p w14:paraId="625719F0" w14:textId="77777777" w:rsidR="00281810" w:rsidRPr="00FA1F74" w:rsidRDefault="00281810" w:rsidP="00281810">
      <w:pPr>
        <w:pStyle w:val="FootnoteText"/>
        <w:ind w:left="720" w:hanging="630"/>
        <w:rPr>
          <w:rFonts w:cstheme="minorHAnsi"/>
          <w:sz w:val="22"/>
          <w:szCs w:val="22"/>
        </w:rPr>
      </w:pPr>
      <w:r w:rsidRPr="00FA1F74">
        <w:rPr>
          <w:rStyle w:val="authors"/>
          <w:rFonts w:cstheme="minorHAnsi"/>
          <w:color w:val="333333"/>
          <w:sz w:val="22"/>
          <w:szCs w:val="22"/>
          <w:shd w:val="clear" w:color="auto" w:fill="FFFFFF"/>
        </w:rPr>
        <w:t>Xiaojun, Yan &amp; Mohammed Alsudairi</w:t>
      </w:r>
      <w:r w:rsidRPr="00FA1F74">
        <w:rPr>
          <w:rFonts w:cstheme="minorHAnsi"/>
          <w:color w:val="333333"/>
          <w:sz w:val="22"/>
          <w:szCs w:val="22"/>
          <w:shd w:val="clear" w:color="auto" w:fill="FFFFFF"/>
        </w:rPr>
        <w:t>. “</w:t>
      </w:r>
      <w:r w:rsidRPr="00FA1F74">
        <w:rPr>
          <w:rStyle w:val="arttitle"/>
          <w:rFonts w:cstheme="minorHAnsi"/>
          <w:color w:val="333333"/>
          <w:sz w:val="22"/>
          <w:szCs w:val="22"/>
          <w:shd w:val="clear" w:color="auto" w:fill="FFFFFF"/>
        </w:rPr>
        <w:t>Guarding Against the Threat of a Westernising Education: A Comparative Study of Chinese and Saudi Cultural Security Discourses and Practices Towards Overseas Study.”</w:t>
      </w:r>
      <w:r w:rsidRPr="00FA1F74">
        <w:rPr>
          <w:rFonts w:cstheme="minorHAnsi"/>
          <w:color w:val="333333"/>
          <w:sz w:val="22"/>
          <w:szCs w:val="22"/>
          <w:shd w:val="clear" w:color="auto" w:fill="FFFFFF"/>
        </w:rPr>
        <w:t> </w:t>
      </w:r>
      <w:r w:rsidRPr="00FA1F74">
        <w:rPr>
          <w:rStyle w:val="serialtitle"/>
          <w:rFonts w:cstheme="minorHAnsi"/>
          <w:i/>
          <w:iCs/>
          <w:color w:val="333333"/>
          <w:sz w:val="22"/>
          <w:szCs w:val="22"/>
          <w:shd w:val="clear" w:color="auto" w:fill="FFFFFF"/>
        </w:rPr>
        <w:t>Journal of Contemporary China</w:t>
      </w:r>
      <w:r w:rsidRPr="00FA1F74">
        <w:rPr>
          <w:rStyle w:val="serialtitle"/>
          <w:rFonts w:cstheme="minorHAnsi"/>
          <w:color w:val="333333"/>
          <w:sz w:val="22"/>
          <w:szCs w:val="22"/>
          <w:shd w:val="clear" w:color="auto" w:fill="FFFFFF"/>
        </w:rPr>
        <w:t xml:space="preserve"> 29, no 128 (2021)</w:t>
      </w:r>
      <w:r w:rsidRPr="00FA1F74">
        <w:rPr>
          <w:rStyle w:val="doilink"/>
          <w:rFonts w:cstheme="minorHAnsi"/>
          <w:color w:val="333333"/>
          <w:sz w:val="22"/>
          <w:szCs w:val="22"/>
          <w:shd w:val="clear" w:color="auto" w:fill="FFFFFF"/>
        </w:rPr>
        <w:t>.</w:t>
      </w:r>
    </w:p>
    <w:p w14:paraId="428AE44E" w14:textId="77777777" w:rsidR="00281810" w:rsidRPr="00FA1F74" w:rsidRDefault="00281810" w:rsidP="00281810">
      <w:pPr>
        <w:pStyle w:val="FootnoteText"/>
        <w:ind w:left="720" w:hanging="630"/>
        <w:rPr>
          <w:rFonts w:cstheme="minorHAnsi"/>
          <w:color w:val="000000"/>
          <w:spacing w:val="-5"/>
          <w:sz w:val="22"/>
          <w:szCs w:val="22"/>
          <w:shd w:val="clear" w:color="auto" w:fill="FFFFFF"/>
        </w:rPr>
      </w:pPr>
    </w:p>
    <w:p w14:paraId="244C2F40" w14:textId="5A138C4A" w:rsidR="00203767" w:rsidRPr="00FA1F74" w:rsidRDefault="00203767" w:rsidP="00203767">
      <w:pPr>
        <w:pStyle w:val="FootnoteText"/>
        <w:ind w:left="720" w:hanging="720"/>
        <w:rPr>
          <w:rFonts w:cstheme="minorHAnsi"/>
          <w:sz w:val="22"/>
          <w:szCs w:val="22"/>
        </w:rPr>
      </w:pPr>
      <w:r w:rsidRPr="00FA1F74">
        <w:rPr>
          <w:rFonts w:cstheme="minorHAnsi"/>
          <w:sz w:val="22"/>
          <w:szCs w:val="22"/>
        </w:rPr>
        <w:t xml:space="preserve">Yiftachel, Oren. </w:t>
      </w:r>
      <w:r w:rsidRPr="00FA1F74">
        <w:rPr>
          <w:rFonts w:cstheme="minorHAnsi"/>
          <w:i/>
          <w:iCs/>
          <w:sz w:val="22"/>
          <w:szCs w:val="22"/>
        </w:rPr>
        <w:t>Ethnocracy</w:t>
      </w:r>
      <w:r w:rsidRPr="00FA1F74">
        <w:rPr>
          <w:rFonts w:cstheme="minorHAnsi"/>
          <w:sz w:val="22"/>
          <w:szCs w:val="22"/>
        </w:rPr>
        <w:t xml:space="preserve">: </w:t>
      </w:r>
      <w:r w:rsidRPr="00FA1F74">
        <w:rPr>
          <w:rFonts w:cstheme="minorHAnsi"/>
          <w:i/>
          <w:iCs/>
          <w:sz w:val="22"/>
          <w:szCs w:val="22"/>
        </w:rPr>
        <w:t>Land and Identity Politics in Israel/Palestine</w:t>
      </w:r>
      <w:r w:rsidRPr="00FA1F74">
        <w:rPr>
          <w:rFonts w:cstheme="minorHAnsi"/>
          <w:sz w:val="22"/>
          <w:szCs w:val="22"/>
        </w:rPr>
        <w:t>. Philadelphia, PA: University of Pennsylvania Press, 2006.</w:t>
      </w:r>
    </w:p>
    <w:p w14:paraId="45D22197" w14:textId="5100BC7F" w:rsidR="00203767" w:rsidRPr="00FA1F74" w:rsidRDefault="00203767" w:rsidP="00281810">
      <w:pPr>
        <w:pStyle w:val="FootnoteText"/>
        <w:ind w:left="720" w:hanging="630"/>
        <w:rPr>
          <w:rFonts w:cstheme="minorHAnsi"/>
          <w:color w:val="000000"/>
          <w:spacing w:val="-5"/>
          <w:sz w:val="22"/>
          <w:szCs w:val="22"/>
          <w:shd w:val="clear" w:color="auto" w:fill="FFFFFF"/>
        </w:rPr>
      </w:pPr>
    </w:p>
    <w:p w14:paraId="0CEA3AB5" w14:textId="01010B70" w:rsidR="00281810" w:rsidRDefault="00281810" w:rsidP="006A0DAD">
      <w:pPr>
        <w:pStyle w:val="FootnoteText"/>
        <w:ind w:left="720" w:hanging="630"/>
        <w:rPr>
          <w:rFonts w:cs="Helvetica"/>
          <w:color w:val="000000"/>
          <w:spacing w:val="-5"/>
          <w:sz w:val="22"/>
          <w:szCs w:val="22"/>
          <w:shd w:val="clear" w:color="auto" w:fill="FFFFFF"/>
        </w:rPr>
      </w:pPr>
      <w:r w:rsidRPr="00FA1F74">
        <w:rPr>
          <w:rFonts w:cstheme="minorHAnsi"/>
          <w:color w:val="000000"/>
          <w:spacing w:val="-5"/>
          <w:sz w:val="22"/>
          <w:szCs w:val="22"/>
          <w:shd w:val="clear" w:color="auto" w:fill="FFFFFF"/>
        </w:rPr>
        <w:t>Zhukov, Yuri and Brandon M. Stewart. "Choosing Your Neighbors: Networks of Diffusion in International Relations." </w:t>
      </w:r>
      <w:r w:rsidRPr="00FA1F74">
        <w:rPr>
          <w:rFonts w:cstheme="minorHAnsi"/>
          <w:i/>
          <w:iCs/>
          <w:color w:val="000000"/>
          <w:spacing w:val="-5"/>
          <w:sz w:val="22"/>
          <w:szCs w:val="22"/>
          <w:shd w:val="clear" w:color="auto" w:fill="FFFFFF"/>
        </w:rPr>
        <w:t>International Studies Quarterly</w:t>
      </w:r>
      <w:r w:rsidRPr="00FA1F74">
        <w:rPr>
          <w:rFonts w:cstheme="minorHAnsi"/>
          <w:color w:val="000000"/>
          <w:spacing w:val="-5"/>
          <w:sz w:val="22"/>
          <w:szCs w:val="22"/>
          <w:shd w:val="clear" w:color="auto" w:fill="FFFFFF"/>
        </w:rPr>
        <w:t> 57, no. 2 (2013):</w:t>
      </w:r>
      <w:r w:rsidRPr="00777DB0">
        <w:rPr>
          <w:rFonts w:cs="Helvetica"/>
          <w:color w:val="000000"/>
          <w:spacing w:val="-5"/>
          <w:sz w:val="22"/>
          <w:szCs w:val="22"/>
          <w:shd w:val="clear" w:color="auto" w:fill="FFFFFF"/>
        </w:rPr>
        <w:t xml:space="preserve"> 271-87. </w:t>
      </w:r>
    </w:p>
    <w:p w14:paraId="2E5FDCA8" w14:textId="77777777" w:rsidR="00C652BB" w:rsidRDefault="00C652BB" w:rsidP="006A0DAD">
      <w:pPr>
        <w:pStyle w:val="FootnoteText"/>
        <w:ind w:left="720" w:hanging="630"/>
        <w:rPr>
          <w:rFonts w:cs="Helvetica"/>
          <w:color w:val="000000"/>
          <w:spacing w:val="-5"/>
          <w:sz w:val="22"/>
          <w:szCs w:val="22"/>
          <w:shd w:val="clear" w:color="auto" w:fill="FFFFFF"/>
        </w:rPr>
      </w:pPr>
    </w:p>
    <w:p w14:paraId="21876003" w14:textId="77777777" w:rsidR="00737BE4" w:rsidRDefault="00737BE4" w:rsidP="00737BE4">
      <w:pPr>
        <w:rPr>
          <w:b/>
          <w:bCs/>
        </w:rPr>
      </w:pPr>
    </w:p>
    <w:p w14:paraId="4BFEE913" w14:textId="77777777" w:rsidR="00737BE4" w:rsidRDefault="00737BE4" w:rsidP="00737BE4">
      <w:pPr>
        <w:rPr>
          <w:b/>
          <w:bCs/>
        </w:rPr>
      </w:pPr>
    </w:p>
    <w:p w14:paraId="78CC01AF" w14:textId="77777777" w:rsidR="00737BE4" w:rsidRDefault="00737BE4" w:rsidP="00737BE4">
      <w:pPr>
        <w:rPr>
          <w:b/>
          <w:bCs/>
        </w:rPr>
      </w:pPr>
    </w:p>
    <w:p w14:paraId="7CD31898" w14:textId="77777777" w:rsidR="00737BE4" w:rsidRDefault="00737BE4" w:rsidP="00737BE4">
      <w:pPr>
        <w:rPr>
          <w:b/>
          <w:bCs/>
        </w:rPr>
      </w:pPr>
    </w:p>
    <w:p w14:paraId="07E2D228" w14:textId="77777777" w:rsidR="00737BE4" w:rsidRDefault="00737BE4" w:rsidP="00737BE4">
      <w:pPr>
        <w:rPr>
          <w:b/>
          <w:bCs/>
        </w:rPr>
      </w:pPr>
    </w:p>
    <w:p w14:paraId="0BBDC665" w14:textId="77777777" w:rsidR="00737BE4" w:rsidRDefault="00737BE4" w:rsidP="00737BE4">
      <w:pPr>
        <w:rPr>
          <w:b/>
          <w:bCs/>
        </w:rPr>
      </w:pPr>
    </w:p>
    <w:p w14:paraId="35701B41" w14:textId="23A4FE55" w:rsidR="00C652BB" w:rsidRPr="00CE3A9E" w:rsidRDefault="00CE3A9E" w:rsidP="00737BE4">
      <w:pPr>
        <w:rPr>
          <w:b/>
          <w:bCs/>
        </w:rPr>
      </w:pPr>
      <w:r>
        <w:rPr>
          <w:b/>
          <w:bCs/>
        </w:rPr>
        <w:lastRenderedPageBreak/>
        <w:t>Appendix</w:t>
      </w:r>
    </w:p>
    <w:p w14:paraId="00455C91" w14:textId="6FF8C37A" w:rsidR="00C652BB" w:rsidRPr="00C56BBA" w:rsidRDefault="00C652BB" w:rsidP="00C652BB">
      <w:pPr>
        <w:rPr>
          <w:u w:val="single"/>
        </w:rPr>
      </w:pPr>
      <w:r w:rsidRPr="008078FA">
        <w:rPr>
          <w:u w:val="single"/>
        </w:rPr>
        <w:t>Section 1: List of Interviews</w:t>
      </w:r>
    </w:p>
    <w:tbl>
      <w:tblPr>
        <w:tblStyle w:val="TableGrid"/>
        <w:tblW w:w="0" w:type="auto"/>
        <w:tblLook w:val="04A0" w:firstRow="1" w:lastRow="0" w:firstColumn="1" w:lastColumn="0" w:noHBand="0" w:noVBand="1"/>
      </w:tblPr>
      <w:tblGrid>
        <w:gridCol w:w="1867"/>
        <w:gridCol w:w="1948"/>
        <w:gridCol w:w="2044"/>
        <w:gridCol w:w="1879"/>
        <w:gridCol w:w="1612"/>
      </w:tblGrid>
      <w:tr w:rsidR="00C652BB" w14:paraId="77DF1383"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7FFCCF5C" w14:textId="77777777" w:rsidR="00C652BB" w:rsidRDefault="00C652BB" w:rsidP="00D3663D">
            <w:pPr>
              <w:rPr>
                <w:b/>
                <w:bCs/>
              </w:rPr>
            </w:pPr>
            <w:r>
              <w:rPr>
                <w:b/>
                <w:bCs/>
              </w:rPr>
              <w:t>Number</w:t>
            </w:r>
          </w:p>
        </w:tc>
        <w:tc>
          <w:tcPr>
            <w:tcW w:w="1948" w:type="dxa"/>
            <w:tcBorders>
              <w:top w:val="single" w:sz="4" w:space="0" w:color="auto"/>
              <w:left w:val="single" w:sz="4" w:space="0" w:color="auto"/>
              <w:bottom w:val="single" w:sz="4" w:space="0" w:color="auto"/>
              <w:right w:val="single" w:sz="4" w:space="0" w:color="auto"/>
            </w:tcBorders>
            <w:hideMark/>
          </w:tcPr>
          <w:p w14:paraId="20ABEE77" w14:textId="77777777" w:rsidR="00C652BB" w:rsidRDefault="00C652BB" w:rsidP="00D3663D">
            <w:pPr>
              <w:rPr>
                <w:b/>
                <w:bCs/>
              </w:rPr>
            </w:pPr>
            <w:r>
              <w:rPr>
                <w:b/>
                <w:bCs/>
              </w:rPr>
              <w:t>Date</w:t>
            </w:r>
          </w:p>
        </w:tc>
        <w:tc>
          <w:tcPr>
            <w:tcW w:w="2044" w:type="dxa"/>
            <w:tcBorders>
              <w:top w:val="single" w:sz="4" w:space="0" w:color="auto"/>
              <w:left w:val="single" w:sz="4" w:space="0" w:color="auto"/>
              <w:bottom w:val="single" w:sz="4" w:space="0" w:color="auto"/>
              <w:right w:val="single" w:sz="4" w:space="0" w:color="auto"/>
            </w:tcBorders>
            <w:hideMark/>
          </w:tcPr>
          <w:p w14:paraId="7EE81E9F" w14:textId="77777777" w:rsidR="00C652BB" w:rsidRDefault="00C652BB" w:rsidP="00D3663D">
            <w:pPr>
              <w:rPr>
                <w:b/>
                <w:bCs/>
              </w:rPr>
            </w:pPr>
            <w:r>
              <w:rPr>
                <w:b/>
                <w:bCs/>
              </w:rPr>
              <w:t>Individual</w:t>
            </w:r>
          </w:p>
        </w:tc>
        <w:tc>
          <w:tcPr>
            <w:tcW w:w="1879" w:type="dxa"/>
            <w:tcBorders>
              <w:top w:val="single" w:sz="4" w:space="0" w:color="auto"/>
              <w:left w:val="single" w:sz="4" w:space="0" w:color="auto"/>
              <w:bottom w:val="single" w:sz="4" w:space="0" w:color="auto"/>
              <w:right w:val="single" w:sz="4" w:space="0" w:color="auto"/>
            </w:tcBorders>
            <w:hideMark/>
          </w:tcPr>
          <w:p w14:paraId="29EBC056" w14:textId="77777777" w:rsidR="00C652BB" w:rsidRDefault="00C652BB" w:rsidP="00D3663D">
            <w:pPr>
              <w:rPr>
                <w:b/>
                <w:bCs/>
              </w:rPr>
            </w:pPr>
            <w:r>
              <w:rPr>
                <w:b/>
                <w:bCs/>
              </w:rPr>
              <w:t>Place</w:t>
            </w:r>
          </w:p>
        </w:tc>
        <w:tc>
          <w:tcPr>
            <w:tcW w:w="1612" w:type="dxa"/>
            <w:tcBorders>
              <w:top w:val="single" w:sz="4" w:space="0" w:color="auto"/>
              <w:left w:val="single" w:sz="4" w:space="0" w:color="auto"/>
              <w:bottom w:val="single" w:sz="4" w:space="0" w:color="auto"/>
              <w:right w:val="single" w:sz="4" w:space="0" w:color="auto"/>
            </w:tcBorders>
            <w:hideMark/>
          </w:tcPr>
          <w:p w14:paraId="543E5F69" w14:textId="77777777" w:rsidR="00C652BB" w:rsidRDefault="00C652BB" w:rsidP="00D3663D">
            <w:pPr>
              <w:rPr>
                <w:b/>
                <w:bCs/>
              </w:rPr>
            </w:pPr>
            <w:r>
              <w:rPr>
                <w:b/>
                <w:bCs/>
              </w:rPr>
              <w:t>Name</w:t>
            </w:r>
          </w:p>
        </w:tc>
      </w:tr>
      <w:tr w:rsidR="00C652BB" w14:paraId="5D8E24D1"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43FC76A9" w14:textId="77777777" w:rsidR="00C652BB" w:rsidRDefault="00C652BB" w:rsidP="00D3663D">
            <w:r>
              <w:t>2019.1</w:t>
            </w:r>
          </w:p>
        </w:tc>
        <w:tc>
          <w:tcPr>
            <w:tcW w:w="1948" w:type="dxa"/>
            <w:tcBorders>
              <w:top w:val="single" w:sz="4" w:space="0" w:color="auto"/>
              <w:left w:val="single" w:sz="4" w:space="0" w:color="auto"/>
              <w:bottom w:val="single" w:sz="4" w:space="0" w:color="auto"/>
              <w:right w:val="single" w:sz="4" w:space="0" w:color="auto"/>
            </w:tcBorders>
            <w:hideMark/>
          </w:tcPr>
          <w:p w14:paraId="476104CA" w14:textId="77777777" w:rsidR="00C652BB" w:rsidRDefault="00C652BB" w:rsidP="00D3663D">
            <w:r>
              <w:t>October 13, 2019</w:t>
            </w:r>
          </w:p>
        </w:tc>
        <w:tc>
          <w:tcPr>
            <w:tcW w:w="2044" w:type="dxa"/>
            <w:tcBorders>
              <w:top w:val="single" w:sz="4" w:space="0" w:color="auto"/>
              <w:left w:val="single" w:sz="4" w:space="0" w:color="auto"/>
              <w:bottom w:val="single" w:sz="4" w:space="0" w:color="auto"/>
              <w:right w:val="single" w:sz="4" w:space="0" w:color="auto"/>
            </w:tcBorders>
            <w:hideMark/>
          </w:tcPr>
          <w:p w14:paraId="70019997" w14:textId="77777777" w:rsidR="00C652BB" w:rsidRDefault="00C652BB" w:rsidP="00D3663D">
            <w:r>
              <w:t>Activist, QAYON</w:t>
            </w:r>
          </w:p>
        </w:tc>
        <w:tc>
          <w:tcPr>
            <w:tcW w:w="1879" w:type="dxa"/>
            <w:tcBorders>
              <w:top w:val="single" w:sz="4" w:space="0" w:color="auto"/>
              <w:left w:val="single" w:sz="4" w:space="0" w:color="auto"/>
              <w:bottom w:val="single" w:sz="4" w:space="0" w:color="auto"/>
              <w:right w:val="single" w:sz="4" w:space="0" w:color="auto"/>
            </w:tcBorders>
            <w:hideMark/>
          </w:tcPr>
          <w:p w14:paraId="086E1864" w14:textId="77777777" w:rsidR="00C652BB" w:rsidRDefault="00C652BB" w:rsidP="00D3663D">
            <w:r>
              <w:t>Qatar</w:t>
            </w:r>
          </w:p>
        </w:tc>
        <w:tc>
          <w:tcPr>
            <w:tcW w:w="1612" w:type="dxa"/>
            <w:tcBorders>
              <w:top w:val="single" w:sz="4" w:space="0" w:color="auto"/>
              <w:left w:val="single" w:sz="4" w:space="0" w:color="auto"/>
              <w:bottom w:val="single" w:sz="4" w:space="0" w:color="auto"/>
              <w:right w:val="single" w:sz="4" w:space="0" w:color="auto"/>
            </w:tcBorders>
            <w:hideMark/>
          </w:tcPr>
          <w:p w14:paraId="02AA626A" w14:textId="77777777" w:rsidR="00C652BB" w:rsidRDefault="00C652BB" w:rsidP="00D3663D">
            <w:r>
              <w:t>Anonymous</w:t>
            </w:r>
          </w:p>
        </w:tc>
      </w:tr>
      <w:tr w:rsidR="00C652BB" w14:paraId="636CE71F"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31275B7E" w14:textId="77777777" w:rsidR="00C652BB" w:rsidRDefault="00C652BB" w:rsidP="00D3663D">
            <w:r>
              <w:t>2019.2</w:t>
            </w:r>
          </w:p>
        </w:tc>
        <w:tc>
          <w:tcPr>
            <w:tcW w:w="1948" w:type="dxa"/>
            <w:tcBorders>
              <w:top w:val="single" w:sz="4" w:space="0" w:color="auto"/>
              <w:left w:val="single" w:sz="4" w:space="0" w:color="auto"/>
              <w:bottom w:val="single" w:sz="4" w:space="0" w:color="auto"/>
              <w:right w:val="single" w:sz="4" w:space="0" w:color="auto"/>
            </w:tcBorders>
            <w:hideMark/>
          </w:tcPr>
          <w:p w14:paraId="4DEDBB07" w14:textId="77777777" w:rsidR="00C652BB" w:rsidRDefault="00C652BB" w:rsidP="00D3663D">
            <w:r>
              <w:t>October 27, 2019</w:t>
            </w:r>
          </w:p>
        </w:tc>
        <w:tc>
          <w:tcPr>
            <w:tcW w:w="2044" w:type="dxa"/>
            <w:tcBorders>
              <w:top w:val="single" w:sz="4" w:space="0" w:color="auto"/>
              <w:left w:val="single" w:sz="4" w:space="0" w:color="auto"/>
              <w:bottom w:val="single" w:sz="4" w:space="0" w:color="auto"/>
              <w:right w:val="single" w:sz="4" w:space="0" w:color="auto"/>
            </w:tcBorders>
            <w:hideMark/>
          </w:tcPr>
          <w:p w14:paraId="342CD59C" w14:textId="77777777" w:rsidR="00C652BB" w:rsidRDefault="00C652BB" w:rsidP="00D3663D">
            <w:r>
              <w:t>Activist, QAYON</w:t>
            </w:r>
          </w:p>
        </w:tc>
        <w:tc>
          <w:tcPr>
            <w:tcW w:w="1879" w:type="dxa"/>
            <w:tcBorders>
              <w:top w:val="single" w:sz="4" w:space="0" w:color="auto"/>
              <w:left w:val="single" w:sz="4" w:space="0" w:color="auto"/>
              <w:bottom w:val="single" w:sz="4" w:space="0" w:color="auto"/>
              <w:right w:val="single" w:sz="4" w:space="0" w:color="auto"/>
            </w:tcBorders>
            <w:hideMark/>
          </w:tcPr>
          <w:p w14:paraId="370B81E3" w14:textId="77777777" w:rsidR="00C652BB" w:rsidRDefault="00C652BB" w:rsidP="00D3663D">
            <w:r>
              <w:t>Qatar</w:t>
            </w:r>
          </w:p>
        </w:tc>
        <w:tc>
          <w:tcPr>
            <w:tcW w:w="1612" w:type="dxa"/>
            <w:tcBorders>
              <w:top w:val="single" w:sz="4" w:space="0" w:color="auto"/>
              <w:left w:val="single" w:sz="4" w:space="0" w:color="auto"/>
              <w:bottom w:val="single" w:sz="4" w:space="0" w:color="auto"/>
              <w:right w:val="single" w:sz="4" w:space="0" w:color="auto"/>
            </w:tcBorders>
            <w:hideMark/>
          </w:tcPr>
          <w:p w14:paraId="4F82AE7E" w14:textId="77777777" w:rsidR="00C652BB" w:rsidRDefault="00C652BB" w:rsidP="00D3663D">
            <w:r>
              <w:t>Anonymous</w:t>
            </w:r>
          </w:p>
        </w:tc>
      </w:tr>
      <w:tr w:rsidR="00C652BB" w14:paraId="38FE1AF4"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63EB77D0" w14:textId="77777777" w:rsidR="00C652BB" w:rsidRDefault="00C652BB" w:rsidP="00D3663D">
            <w:r>
              <w:t>2019.3</w:t>
            </w:r>
          </w:p>
        </w:tc>
        <w:tc>
          <w:tcPr>
            <w:tcW w:w="1948" w:type="dxa"/>
            <w:tcBorders>
              <w:top w:val="single" w:sz="4" w:space="0" w:color="auto"/>
              <w:left w:val="single" w:sz="4" w:space="0" w:color="auto"/>
              <w:bottom w:val="single" w:sz="4" w:space="0" w:color="auto"/>
              <w:right w:val="single" w:sz="4" w:space="0" w:color="auto"/>
            </w:tcBorders>
            <w:hideMark/>
          </w:tcPr>
          <w:p w14:paraId="5B604173" w14:textId="77777777" w:rsidR="00C652BB" w:rsidRDefault="00C652BB" w:rsidP="00D3663D">
            <w:r>
              <w:t>November 3, 2019</w:t>
            </w:r>
          </w:p>
        </w:tc>
        <w:tc>
          <w:tcPr>
            <w:tcW w:w="2044" w:type="dxa"/>
            <w:tcBorders>
              <w:top w:val="single" w:sz="4" w:space="0" w:color="auto"/>
              <w:left w:val="single" w:sz="4" w:space="0" w:color="auto"/>
              <w:bottom w:val="single" w:sz="4" w:space="0" w:color="auto"/>
              <w:right w:val="single" w:sz="4" w:space="0" w:color="auto"/>
            </w:tcBorders>
            <w:hideMark/>
          </w:tcPr>
          <w:p w14:paraId="16BBBF48" w14:textId="77777777" w:rsidR="00C652BB" w:rsidRDefault="00C652BB" w:rsidP="00D3663D">
            <w:r>
              <w:t>Activist, Founding member, QAYON</w:t>
            </w:r>
          </w:p>
        </w:tc>
        <w:tc>
          <w:tcPr>
            <w:tcW w:w="1879" w:type="dxa"/>
            <w:tcBorders>
              <w:top w:val="single" w:sz="4" w:space="0" w:color="auto"/>
              <w:left w:val="single" w:sz="4" w:space="0" w:color="auto"/>
              <w:bottom w:val="single" w:sz="4" w:space="0" w:color="auto"/>
              <w:right w:val="single" w:sz="4" w:space="0" w:color="auto"/>
            </w:tcBorders>
            <w:hideMark/>
          </w:tcPr>
          <w:p w14:paraId="3BA5F337" w14:textId="77777777" w:rsidR="00C652BB" w:rsidRDefault="00C652BB" w:rsidP="00D3663D">
            <w:r>
              <w:t>Qatar</w:t>
            </w:r>
          </w:p>
        </w:tc>
        <w:tc>
          <w:tcPr>
            <w:tcW w:w="1612" w:type="dxa"/>
            <w:tcBorders>
              <w:top w:val="single" w:sz="4" w:space="0" w:color="auto"/>
              <w:left w:val="single" w:sz="4" w:space="0" w:color="auto"/>
              <w:bottom w:val="single" w:sz="4" w:space="0" w:color="auto"/>
              <w:right w:val="single" w:sz="4" w:space="0" w:color="auto"/>
            </w:tcBorders>
            <w:hideMark/>
          </w:tcPr>
          <w:p w14:paraId="68705873" w14:textId="77777777" w:rsidR="00C652BB" w:rsidRDefault="00C652BB" w:rsidP="00D3663D">
            <w:r>
              <w:t>Anonymous</w:t>
            </w:r>
          </w:p>
        </w:tc>
      </w:tr>
      <w:tr w:rsidR="00C652BB" w14:paraId="3736582B"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075CE10E" w14:textId="77777777" w:rsidR="00C652BB" w:rsidRDefault="00C652BB" w:rsidP="00D3663D">
            <w:r>
              <w:t>2020.1</w:t>
            </w:r>
          </w:p>
        </w:tc>
        <w:tc>
          <w:tcPr>
            <w:tcW w:w="1948" w:type="dxa"/>
            <w:tcBorders>
              <w:top w:val="single" w:sz="4" w:space="0" w:color="auto"/>
              <w:left w:val="single" w:sz="4" w:space="0" w:color="auto"/>
              <w:bottom w:val="single" w:sz="4" w:space="0" w:color="auto"/>
              <w:right w:val="single" w:sz="4" w:space="0" w:color="auto"/>
            </w:tcBorders>
            <w:hideMark/>
          </w:tcPr>
          <w:p w14:paraId="11328478" w14:textId="77777777" w:rsidR="00C652BB" w:rsidRDefault="00C652BB" w:rsidP="00D3663D">
            <w:r>
              <w:t>August 26, 2020</w:t>
            </w:r>
          </w:p>
        </w:tc>
        <w:tc>
          <w:tcPr>
            <w:tcW w:w="2044" w:type="dxa"/>
            <w:tcBorders>
              <w:top w:val="single" w:sz="4" w:space="0" w:color="auto"/>
              <w:left w:val="single" w:sz="4" w:space="0" w:color="auto"/>
              <w:bottom w:val="single" w:sz="4" w:space="0" w:color="auto"/>
              <w:right w:val="single" w:sz="4" w:space="0" w:color="auto"/>
            </w:tcBorders>
            <w:hideMark/>
          </w:tcPr>
          <w:p w14:paraId="5A10B3C7" w14:textId="77777777" w:rsidR="00C652BB" w:rsidRDefault="00C652BB" w:rsidP="00D3663D">
            <w:r>
              <w:t>Activist, Gulf Can</w:t>
            </w:r>
          </w:p>
        </w:tc>
        <w:tc>
          <w:tcPr>
            <w:tcW w:w="1879" w:type="dxa"/>
            <w:tcBorders>
              <w:top w:val="single" w:sz="4" w:space="0" w:color="auto"/>
              <w:left w:val="single" w:sz="4" w:space="0" w:color="auto"/>
              <w:bottom w:val="single" w:sz="4" w:space="0" w:color="auto"/>
              <w:right w:val="single" w:sz="4" w:space="0" w:color="auto"/>
            </w:tcBorders>
            <w:hideMark/>
          </w:tcPr>
          <w:p w14:paraId="4DCDBE5F" w14:textId="77777777" w:rsidR="00C652BB" w:rsidRDefault="00C652BB" w:rsidP="00D3663D">
            <w:r>
              <w:t>Bahrain</w:t>
            </w:r>
          </w:p>
        </w:tc>
        <w:tc>
          <w:tcPr>
            <w:tcW w:w="1612" w:type="dxa"/>
            <w:tcBorders>
              <w:top w:val="single" w:sz="4" w:space="0" w:color="auto"/>
              <w:left w:val="single" w:sz="4" w:space="0" w:color="auto"/>
              <w:bottom w:val="single" w:sz="4" w:space="0" w:color="auto"/>
              <w:right w:val="single" w:sz="4" w:space="0" w:color="auto"/>
            </w:tcBorders>
            <w:hideMark/>
          </w:tcPr>
          <w:p w14:paraId="690D1D9F" w14:textId="77777777" w:rsidR="00C652BB" w:rsidRDefault="00C652BB" w:rsidP="00D3663D">
            <w:r>
              <w:t>Anonymous</w:t>
            </w:r>
          </w:p>
        </w:tc>
      </w:tr>
      <w:tr w:rsidR="00C652BB" w14:paraId="16CDC27C"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3AE149AE" w14:textId="77777777" w:rsidR="00C652BB" w:rsidRDefault="00C652BB" w:rsidP="00D3663D">
            <w:r>
              <w:t>2020.2</w:t>
            </w:r>
          </w:p>
        </w:tc>
        <w:tc>
          <w:tcPr>
            <w:tcW w:w="1948" w:type="dxa"/>
            <w:tcBorders>
              <w:top w:val="single" w:sz="4" w:space="0" w:color="auto"/>
              <w:left w:val="single" w:sz="4" w:space="0" w:color="auto"/>
              <w:bottom w:val="single" w:sz="4" w:space="0" w:color="auto"/>
              <w:right w:val="single" w:sz="4" w:space="0" w:color="auto"/>
            </w:tcBorders>
            <w:hideMark/>
          </w:tcPr>
          <w:p w14:paraId="6FD46CCD" w14:textId="77777777" w:rsidR="00C652BB" w:rsidRDefault="00C652BB" w:rsidP="00D3663D">
            <w:r>
              <w:t>September 18, 2020</w:t>
            </w:r>
          </w:p>
        </w:tc>
        <w:tc>
          <w:tcPr>
            <w:tcW w:w="2044" w:type="dxa"/>
            <w:tcBorders>
              <w:top w:val="single" w:sz="4" w:space="0" w:color="auto"/>
              <w:left w:val="single" w:sz="4" w:space="0" w:color="auto"/>
              <w:bottom w:val="single" w:sz="4" w:space="0" w:color="auto"/>
              <w:right w:val="single" w:sz="4" w:space="0" w:color="auto"/>
            </w:tcBorders>
            <w:hideMark/>
          </w:tcPr>
          <w:p w14:paraId="435EF773" w14:textId="77777777" w:rsidR="00C652BB" w:rsidRDefault="00C652BB" w:rsidP="00D3663D">
            <w:r>
              <w:t>Activist, Gulf Can</w:t>
            </w:r>
          </w:p>
        </w:tc>
        <w:tc>
          <w:tcPr>
            <w:tcW w:w="1879" w:type="dxa"/>
            <w:tcBorders>
              <w:top w:val="single" w:sz="4" w:space="0" w:color="auto"/>
              <w:left w:val="single" w:sz="4" w:space="0" w:color="auto"/>
              <w:bottom w:val="single" w:sz="4" w:space="0" w:color="auto"/>
              <w:right w:val="single" w:sz="4" w:space="0" w:color="auto"/>
            </w:tcBorders>
            <w:hideMark/>
          </w:tcPr>
          <w:p w14:paraId="2D47BDBC" w14:textId="77777777" w:rsidR="00C652BB" w:rsidRDefault="00C652BB" w:rsidP="00D3663D">
            <w:r>
              <w:t>Emirates</w:t>
            </w:r>
          </w:p>
        </w:tc>
        <w:tc>
          <w:tcPr>
            <w:tcW w:w="1612" w:type="dxa"/>
            <w:tcBorders>
              <w:top w:val="single" w:sz="4" w:space="0" w:color="auto"/>
              <w:left w:val="single" w:sz="4" w:space="0" w:color="auto"/>
              <w:bottom w:val="single" w:sz="4" w:space="0" w:color="auto"/>
              <w:right w:val="single" w:sz="4" w:space="0" w:color="auto"/>
            </w:tcBorders>
            <w:hideMark/>
          </w:tcPr>
          <w:p w14:paraId="3446AFA9" w14:textId="77777777" w:rsidR="00C652BB" w:rsidRDefault="00C652BB" w:rsidP="00D3663D">
            <w:r>
              <w:t>Alaa al-Siddiq</w:t>
            </w:r>
          </w:p>
        </w:tc>
      </w:tr>
      <w:tr w:rsidR="00C652BB" w14:paraId="310262F1"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6EAACB96" w14:textId="77777777" w:rsidR="00C652BB" w:rsidRDefault="00C652BB" w:rsidP="00D3663D">
            <w:r>
              <w:t>2020.3</w:t>
            </w:r>
          </w:p>
        </w:tc>
        <w:tc>
          <w:tcPr>
            <w:tcW w:w="1948" w:type="dxa"/>
            <w:tcBorders>
              <w:top w:val="single" w:sz="4" w:space="0" w:color="auto"/>
              <w:left w:val="single" w:sz="4" w:space="0" w:color="auto"/>
              <w:bottom w:val="single" w:sz="4" w:space="0" w:color="auto"/>
              <w:right w:val="single" w:sz="4" w:space="0" w:color="auto"/>
            </w:tcBorders>
            <w:hideMark/>
          </w:tcPr>
          <w:p w14:paraId="295130B4" w14:textId="77777777" w:rsidR="00C652BB" w:rsidRDefault="00C652BB" w:rsidP="00D3663D">
            <w:r>
              <w:t>September 25, 2020</w:t>
            </w:r>
          </w:p>
        </w:tc>
        <w:tc>
          <w:tcPr>
            <w:tcW w:w="2044" w:type="dxa"/>
            <w:tcBorders>
              <w:top w:val="single" w:sz="4" w:space="0" w:color="auto"/>
              <w:left w:val="single" w:sz="4" w:space="0" w:color="auto"/>
              <w:bottom w:val="single" w:sz="4" w:space="0" w:color="auto"/>
              <w:right w:val="single" w:sz="4" w:space="0" w:color="auto"/>
            </w:tcBorders>
            <w:hideMark/>
          </w:tcPr>
          <w:p w14:paraId="2AC642EE" w14:textId="77777777" w:rsidR="00C652BB" w:rsidRDefault="00C652BB" w:rsidP="00D3663D">
            <w:r>
              <w:t>Activist, Emiratis Against Normalization</w:t>
            </w:r>
          </w:p>
        </w:tc>
        <w:tc>
          <w:tcPr>
            <w:tcW w:w="1879" w:type="dxa"/>
            <w:tcBorders>
              <w:top w:val="single" w:sz="4" w:space="0" w:color="auto"/>
              <w:left w:val="single" w:sz="4" w:space="0" w:color="auto"/>
              <w:bottom w:val="single" w:sz="4" w:space="0" w:color="auto"/>
              <w:right w:val="single" w:sz="4" w:space="0" w:color="auto"/>
            </w:tcBorders>
            <w:hideMark/>
          </w:tcPr>
          <w:p w14:paraId="130280A0" w14:textId="77777777" w:rsidR="00C652BB" w:rsidRDefault="00C652BB" w:rsidP="00D3663D">
            <w:r>
              <w:t>Emirates</w:t>
            </w:r>
          </w:p>
        </w:tc>
        <w:tc>
          <w:tcPr>
            <w:tcW w:w="1612" w:type="dxa"/>
            <w:tcBorders>
              <w:top w:val="single" w:sz="4" w:space="0" w:color="auto"/>
              <w:left w:val="single" w:sz="4" w:space="0" w:color="auto"/>
              <w:bottom w:val="single" w:sz="4" w:space="0" w:color="auto"/>
              <w:right w:val="single" w:sz="4" w:space="0" w:color="auto"/>
            </w:tcBorders>
            <w:hideMark/>
          </w:tcPr>
          <w:p w14:paraId="620D3DA2" w14:textId="77777777" w:rsidR="00C652BB" w:rsidRDefault="00C652BB" w:rsidP="00D3663D">
            <w:r>
              <w:t>Hamad al-Shamsi</w:t>
            </w:r>
          </w:p>
        </w:tc>
      </w:tr>
      <w:tr w:rsidR="00C652BB" w14:paraId="2C31FEA9"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439A9164" w14:textId="77777777" w:rsidR="00C652BB" w:rsidRDefault="00C652BB" w:rsidP="00D3663D">
            <w:r>
              <w:t>2020.4</w:t>
            </w:r>
          </w:p>
        </w:tc>
        <w:tc>
          <w:tcPr>
            <w:tcW w:w="1948" w:type="dxa"/>
            <w:tcBorders>
              <w:top w:val="single" w:sz="4" w:space="0" w:color="auto"/>
              <w:left w:val="single" w:sz="4" w:space="0" w:color="auto"/>
              <w:bottom w:val="single" w:sz="4" w:space="0" w:color="auto"/>
              <w:right w:val="single" w:sz="4" w:space="0" w:color="auto"/>
            </w:tcBorders>
            <w:hideMark/>
          </w:tcPr>
          <w:p w14:paraId="1BC87B01" w14:textId="77777777" w:rsidR="00C652BB" w:rsidRDefault="00C652BB" w:rsidP="00D3663D">
            <w:r>
              <w:t>October 1, 2020</w:t>
            </w:r>
          </w:p>
        </w:tc>
        <w:tc>
          <w:tcPr>
            <w:tcW w:w="2044" w:type="dxa"/>
            <w:tcBorders>
              <w:top w:val="single" w:sz="4" w:space="0" w:color="auto"/>
              <w:left w:val="single" w:sz="4" w:space="0" w:color="auto"/>
              <w:bottom w:val="single" w:sz="4" w:space="0" w:color="auto"/>
              <w:right w:val="single" w:sz="4" w:space="0" w:color="auto"/>
            </w:tcBorders>
            <w:hideMark/>
          </w:tcPr>
          <w:p w14:paraId="75238863" w14:textId="77777777" w:rsidR="00C652BB" w:rsidRDefault="00C652BB" w:rsidP="00D3663D">
            <w:r>
              <w:t xml:space="preserve">Activist, QAYON </w:t>
            </w:r>
          </w:p>
        </w:tc>
        <w:tc>
          <w:tcPr>
            <w:tcW w:w="1879" w:type="dxa"/>
            <w:tcBorders>
              <w:top w:val="single" w:sz="4" w:space="0" w:color="auto"/>
              <w:left w:val="single" w:sz="4" w:space="0" w:color="auto"/>
              <w:bottom w:val="single" w:sz="4" w:space="0" w:color="auto"/>
              <w:right w:val="single" w:sz="4" w:space="0" w:color="auto"/>
            </w:tcBorders>
            <w:hideMark/>
          </w:tcPr>
          <w:p w14:paraId="6F34328D" w14:textId="77777777" w:rsidR="00C652BB" w:rsidRDefault="00C652BB" w:rsidP="00D3663D">
            <w:r>
              <w:t>Qatar</w:t>
            </w:r>
          </w:p>
        </w:tc>
        <w:tc>
          <w:tcPr>
            <w:tcW w:w="1612" w:type="dxa"/>
            <w:tcBorders>
              <w:top w:val="single" w:sz="4" w:space="0" w:color="auto"/>
              <w:left w:val="single" w:sz="4" w:space="0" w:color="auto"/>
              <w:bottom w:val="single" w:sz="4" w:space="0" w:color="auto"/>
              <w:right w:val="single" w:sz="4" w:space="0" w:color="auto"/>
            </w:tcBorders>
            <w:hideMark/>
          </w:tcPr>
          <w:p w14:paraId="40843D57" w14:textId="77777777" w:rsidR="00C652BB" w:rsidRDefault="00C652BB" w:rsidP="00D3663D">
            <w:r>
              <w:t xml:space="preserve">Anonymous </w:t>
            </w:r>
          </w:p>
        </w:tc>
      </w:tr>
      <w:tr w:rsidR="00C652BB" w14:paraId="7F22C2F4"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15035AE3" w14:textId="77777777" w:rsidR="00C652BB" w:rsidRDefault="00C652BB" w:rsidP="00D3663D">
            <w:r>
              <w:t>2020.5</w:t>
            </w:r>
          </w:p>
        </w:tc>
        <w:tc>
          <w:tcPr>
            <w:tcW w:w="1948" w:type="dxa"/>
            <w:tcBorders>
              <w:top w:val="single" w:sz="4" w:space="0" w:color="auto"/>
              <w:left w:val="single" w:sz="4" w:space="0" w:color="auto"/>
              <w:bottom w:val="single" w:sz="4" w:space="0" w:color="auto"/>
              <w:right w:val="single" w:sz="4" w:space="0" w:color="auto"/>
            </w:tcBorders>
            <w:hideMark/>
          </w:tcPr>
          <w:p w14:paraId="3CC26080" w14:textId="77777777" w:rsidR="00C652BB" w:rsidRDefault="00C652BB" w:rsidP="00D3663D">
            <w:r>
              <w:t>October 10, 2020</w:t>
            </w:r>
          </w:p>
        </w:tc>
        <w:tc>
          <w:tcPr>
            <w:tcW w:w="2044" w:type="dxa"/>
            <w:tcBorders>
              <w:top w:val="single" w:sz="4" w:space="0" w:color="auto"/>
              <w:left w:val="single" w:sz="4" w:space="0" w:color="auto"/>
              <w:bottom w:val="single" w:sz="4" w:space="0" w:color="auto"/>
              <w:right w:val="single" w:sz="4" w:space="0" w:color="auto"/>
            </w:tcBorders>
            <w:hideMark/>
          </w:tcPr>
          <w:p w14:paraId="07FCE485" w14:textId="77777777" w:rsidR="00C652BB" w:rsidRDefault="00C652BB" w:rsidP="00D3663D">
            <w:r>
              <w:t>Scholar</w:t>
            </w:r>
          </w:p>
        </w:tc>
        <w:tc>
          <w:tcPr>
            <w:tcW w:w="1879" w:type="dxa"/>
            <w:tcBorders>
              <w:top w:val="single" w:sz="4" w:space="0" w:color="auto"/>
              <w:left w:val="single" w:sz="4" w:space="0" w:color="auto"/>
              <w:bottom w:val="single" w:sz="4" w:space="0" w:color="auto"/>
              <w:right w:val="single" w:sz="4" w:space="0" w:color="auto"/>
            </w:tcBorders>
            <w:hideMark/>
          </w:tcPr>
          <w:p w14:paraId="0BD789E0" w14:textId="77777777" w:rsidR="00C652BB" w:rsidRDefault="00C652BB" w:rsidP="00D3663D">
            <w:r>
              <w:t>Saudi Arabia</w:t>
            </w:r>
          </w:p>
        </w:tc>
        <w:tc>
          <w:tcPr>
            <w:tcW w:w="1612" w:type="dxa"/>
            <w:tcBorders>
              <w:top w:val="single" w:sz="4" w:space="0" w:color="auto"/>
              <w:left w:val="single" w:sz="4" w:space="0" w:color="auto"/>
              <w:bottom w:val="single" w:sz="4" w:space="0" w:color="auto"/>
              <w:right w:val="single" w:sz="4" w:space="0" w:color="auto"/>
            </w:tcBorders>
            <w:hideMark/>
          </w:tcPr>
          <w:p w14:paraId="66D11BC2" w14:textId="77777777" w:rsidR="00C652BB" w:rsidRDefault="00C652BB" w:rsidP="00D3663D">
            <w:r>
              <w:t xml:space="preserve">Anonymous </w:t>
            </w:r>
          </w:p>
        </w:tc>
      </w:tr>
      <w:tr w:rsidR="00C652BB" w14:paraId="3914C2DB"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739E16E7" w14:textId="77777777" w:rsidR="00C652BB" w:rsidRDefault="00C652BB" w:rsidP="00D3663D">
            <w:r>
              <w:t>2021.1</w:t>
            </w:r>
          </w:p>
        </w:tc>
        <w:tc>
          <w:tcPr>
            <w:tcW w:w="1948" w:type="dxa"/>
            <w:tcBorders>
              <w:top w:val="single" w:sz="4" w:space="0" w:color="auto"/>
              <w:left w:val="single" w:sz="4" w:space="0" w:color="auto"/>
              <w:bottom w:val="single" w:sz="4" w:space="0" w:color="auto"/>
              <w:right w:val="single" w:sz="4" w:space="0" w:color="auto"/>
            </w:tcBorders>
            <w:hideMark/>
          </w:tcPr>
          <w:p w14:paraId="12E19D52" w14:textId="77777777" w:rsidR="00C652BB" w:rsidRDefault="00C652BB" w:rsidP="00D3663D">
            <w:r>
              <w:t>February 1, 2021</w:t>
            </w:r>
          </w:p>
        </w:tc>
        <w:tc>
          <w:tcPr>
            <w:tcW w:w="2044" w:type="dxa"/>
            <w:tcBorders>
              <w:top w:val="single" w:sz="4" w:space="0" w:color="auto"/>
              <w:left w:val="single" w:sz="4" w:space="0" w:color="auto"/>
              <w:bottom w:val="single" w:sz="4" w:space="0" w:color="auto"/>
              <w:right w:val="single" w:sz="4" w:space="0" w:color="auto"/>
            </w:tcBorders>
            <w:hideMark/>
          </w:tcPr>
          <w:p w14:paraId="745D20F0" w14:textId="77777777" w:rsidR="00C652BB" w:rsidRDefault="00C652BB" w:rsidP="00D3663D">
            <w:r>
              <w:t>Activist, Gulf Can</w:t>
            </w:r>
          </w:p>
        </w:tc>
        <w:tc>
          <w:tcPr>
            <w:tcW w:w="1879" w:type="dxa"/>
            <w:tcBorders>
              <w:top w:val="single" w:sz="4" w:space="0" w:color="auto"/>
              <w:left w:val="single" w:sz="4" w:space="0" w:color="auto"/>
              <w:bottom w:val="single" w:sz="4" w:space="0" w:color="auto"/>
              <w:right w:val="single" w:sz="4" w:space="0" w:color="auto"/>
            </w:tcBorders>
            <w:hideMark/>
          </w:tcPr>
          <w:p w14:paraId="33C58256" w14:textId="77777777" w:rsidR="00C652BB" w:rsidRDefault="00C652BB" w:rsidP="00D3663D">
            <w:r>
              <w:t>Bahrain</w:t>
            </w:r>
          </w:p>
        </w:tc>
        <w:tc>
          <w:tcPr>
            <w:tcW w:w="1612" w:type="dxa"/>
            <w:tcBorders>
              <w:top w:val="single" w:sz="4" w:space="0" w:color="auto"/>
              <w:left w:val="single" w:sz="4" w:space="0" w:color="auto"/>
              <w:bottom w:val="single" w:sz="4" w:space="0" w:color="auto"/>
              <w:right w:val="single" w:sz="4" w:space="0" w:color="auto"/>
            </w:tcBorders>
            <w:hideMark/>
          </w:tcPr>
          <w:p w14:paraId="3B25ED7E" w14:textId="77777777" w:rsidR="00C652BB" w:rsidRDefault="00C652BB" w:rsidP="00D3663D">
            <w:r>
              <w:t xml:space="preserve">Anonymous </w:t>
            </w:r>
          </w:p>
        </w:tc>
      </w:tr>
      <w:tr w:rsidR="00C652BB" w14:paraId="4AF676F9"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6C841B5B" w14:textId="77777777" w:rsidR="00C652BB" w:rsidRDefault="00C652BB" w:rsidP="00D3663D">
            <w:r>
              <w:t>2021.2</w:t>
            </w:r>
          </w:p>
        </w:tc>
        <w:tc>
          <w:tcPr>
            <w:tcW w:w="1948" w:type="dxa"/>
            <w:tcBorders>
              <w:top w:val="single" w:sz="4" w:space="0" w:color="auto"/>
              <w:left w:val="single" w:sz="4" w:space="0" w:color="auto"/>
              <w:bottom w:val="single" w:sz="4" w:space="0" w:color="auto"/>
              <w:right w:val="single" w:sz="4" w:space="0" w:color="auto"/>
            </w:tcBorders>
            <w:hideMark/>
          </w:tcPr>
          <w:p w14:paraId="231A5D0F" w14:textId="77777777" w:rsidR="00C652BB" w:rsidRDefault="00C652BB" w:rsidP="00D3663D">
            <w:r>
              <w:t>February 6, 2021</w:t>
            </w:r>
          </w:p>
        </w:tc>
        <w:tc>
          <w:tcPr>
            <w:tcW w:w="2044" w:type="dxa"/>
            <w:tcBorders>
              <w:top w:val="single" w:sz="4" w:space="0" w:color="auto"/>
              <w:left w:val="single" w:sz="4" w:space="0" w:color="auto"/>
              <w:bottom w:val="single" w:sz="4" w:space="0" w:color="auto"/>
              <w:right w:val="single" w:sz="4" w:space="0" w:color="auto"/>
            </w:tcBorders>
            <w:hideMark/>
          </w:tcPr>
          <w:p w14:paraId="4570CA9C" w14:textId="77777777" w:rsidR="00C652BB" w:rsidRDefault="00C652BB" w:rsidP="00D3663D">
            <w:r>
              <w:t>Activist, QAYON</w:t>
            </w:r>
          </w:p>
        </w:tc>
        <w:tc>
          <w:tcPr>
            <w:tcW w:w="1879" w:type="dxa"/>
            <w:tcBorders>
              <w:top w:val="single" w:sz="4" w:space="0" w:color="auto"/>
              <w:left w:val="single" w:sz="4" w:space="0" w:color="auto"/>
              <w:bottom w:val="single" w:sz="4" w:space="0" w:color="auto"/>
              <w:right w:val="single" w:sz="4" w:space="0" w:color="auto"/>
            </w:tcBorders>
            <w:hideMark/>
          </w:tcPr>
          <w:p w14:paraId="1319AB6D" w14:textId="77777777" w:rsidR="00C652BB" w:rsidRDefault="00C652BB" w:rsidP="00D3663D">
            <w:r>
              <w:t>Qatar</w:t>
            </w:r>
          </w:p>
        </w:tc>
        <w:tc>
          <w:tcPr>
            <w:tcW w:w="1612" w:type="dxa"/>
            <w:tcBorders>
              <w:top w:val="single" w:sz="4" w:space="0" w:color="auto"/>
              <w:left w:val="single" w:sz="4" w:space="0" w:color="auto"/>
              <w:bottom w:val="single" w:sz="4" w:space="0" w:color="auto"/>
              <w:right w:val="single" w:sz="4" w:space="0" w:color="auto"/>
            </w:tcBorders>
            <w:hideMark/>
          </w:tcPr>
          <w:p w14:paraId="5AD22586" w14:textId="77777777" w:rsidR="00C652BB" w:rsidRDefault="00C652BB" w:rsidP="00D3663D">
            <w:r>
              <w:t xml:space="preserve">Anonymous </w:t>
            </w:r>
          </w:p>
        </w:tc>
      </w:tr>
      <w:tr w:rsidR="00C652BB" w14:paraId="4A8EFCFC"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6C3EFA82" w14:textId="77777777" w:rsidR="00C652BB" w:rsidRDefault="00C652BB" w:rsidP="00D3663D">
            <w:r>
              <w:t>2021.3</w:t>
            </w:r>
          </w:p>
        </w:tc>
        <w:tc>
          <w:tcPr>
            <w:tcW w:w="1948" w:type="dxa"/>
            <w:tcBorders>
              <w:top w:val="single" w:sz="4" w:space="0" w:color="auto"/>
              <w:left w:val="single" w:sz="4" w:space="0" w:color="auto"/>
              <w:bottom w:val="single" w:sz="4" w:space="0" w:color="auto"/>
              <w:right w:val="single" w:sz="4" w:space="0" w:color="auto"/>
            </w:tcBorders>
            <w:hideMark/>
          </w:tcPr>
          <w:p w14:paraId="471D3514" w14:textId="77777777" w:rsidR="00C652BB" w:rsidRDefault="00C652BB" w:rsidP="00D3663D">
            <w:r>
              <w:t>February 13, 2021</w:t>
            </w:r>
          </w:p>
        </w:tc>
        <w:tc>
          <w:tcPr>
            <w:tcW w:w="2044" w:type="dxa"/>
            <w:tcBorders>
              <w:top w:val="single" w:sz="4" w:space="0" w:color="auto"/>
              <w:left w:val="single" w:sz="4" w:space="0" w:color="auto"/>
              <w:bottom w:val="single" w:sz="4" w:space="0" w:color="auto"/>
              <w:right w:val="single" w:sz="4" w:space="0" w:color="auto"/>
            </w:tcBorders>
            <w:hideMark/>
          </w:tcPr>
          <w:p w14:paraId="468A10D0" w14:textId="77777777" w:rsidR="00C652BB" w:rsidRDefault="00C652BB" w:rsidP="00D3663D">
            <w:r>
              <w:t>Activist, QAYON</w:t>
            </w:r>
          </w:p>
        </w:tc>
        <w:tc>
          <w:tcPr>
            <w:tcW w:w="1879" w:type="dxa"/>
            <w:tcBorders>
              <w:top w:val="single" w:sz="4" w:space="0" w:color="auto"/>
              <w:left w:val="single" w:sz="4" w:space="0" w:color="auto"/>
              <w:bottom w:val="single" w:sz="4" w:space="0" w:color="auto"/>
              <w:right w:val="single" w:sz="4" w:space="0" w:color="auto"/>
            </w:tcBorders>
            <w:hideMark/>
          </w:tcPr>
          <w:p w14:paraId="39B3DF84" w14:textId="77777777" w:rsidR="00C652BB" w:rsidRDefault="00C652BB" w:rsidP="00D3663D">
            <w:r>
              <w:t>Qatar</w:t>
            </w:r>
          </w:p>
        </w:tc>
        <w:tc>
          <w:tcPr>
            <w:tcW w:w="1612" w:type="dxa"/>
            <w:tcBorders>
              <w:top w:val="single" w:sz="4" w:space="0" w:color="auto"/>
              <w:left w:val="single" w:sz="4" w:space="0" w:color="auto"/>
              <w:bottom w:val="single" w:sz="4" w:space="0" w:color="auto"/>
              <w:right w:val="single" w:sz="4" w:space="0" w:color="auto"/>
            </w:tcBorders>
            <w:hideMark/>
          </w:tcPr>
          <w:p w14:paraId="4492B0A2" w14:textId="77777777" w:rsidR="00C652BB" w:rsidRDefault="00C652BB" w:rsidP="00D3663D">
            <w:r>
              <w:t xml:space="preserve">Anonymous </w:t>
            </w:r>
          </w:p>
        </w:tc>
      </w:tr>
      <w:tr w:rsidR="00C652BB" w14:paraId="76FF10E8"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6A8C29FC" w14:textId="77777777" w:rsidR="00C652BB" w:rsidRDefault="00C652BB" w:rsidP="00D3663D">
            <w:r>
              <w:t>2021.4</w:t>
            </w:r>
          </w:p>
        </w:tc>
        <w:tc>
          <w:tcPr>
            <w:tcW w:w="1948" w:type="dxa"/>
            <w:tcBorders>
              <w:top w:val="single" w:sz="4" w:space="0" w:color="auto"/>
              <w:left w:val="single" w:sz="4" w:space="0" w:color="auto"/>
              <w:bottom w:val="single" w:sz="4" w:space="0" w:color="auto"/>
              <w:right w:val="single" w:sz="4" w:space="0" w:color="auto"/>
            </w:tcBorders>
            <w:hideMark/>
          </w:tcPr>
          <w:p w14:paraId="1E338B9B" w14:textId="77777777" w:rsidR="00C652BB" w:rsidRDefault="00C652BB" w:rsidP="00D3663D">
            <w:r>
              <w:t>February 24, 2021</w:t>
            </w:r>
          </w:p>
        </w:tc>
        <w:tc>
          <w:tcPr>
            <w:tcW w:w="2044" w:type="dxa"/>
            <w:tcBorders>
              <w:top w:val="single" w:sz="4" w:space="0" w:color="auto"/>
              <w:left w:val="single" w:sz="4" w:space="0" w:color="auto"/>
              <w:bottom w:val="single" w:sz="4" w:space="0" w:color="auto"/>
              <w:right w:val="single" w:sz="4" w:space="0" w:color="auto"/>
            </w:tcBorders>
            <w:hideMark/>
          </w:tcPr>
          <w:p w14:paraId="3A7F71BB" w14:textId="77777777" w:rsidR="00C652BB" w:rsidRDefault="00C652BB" w:rsidP="00D3663D">
            <w:r>
              <w:t>Activist, QAYON</w:t>
            </w:r>
          </w:p>
        </w:tc>
        <w:tc>
          <w:tcPr>
            <w:tcW w:w="1879" w:type="dxa"/>
            <w:tcBorders>
              <w:top w:val="single" w:sz="4" w:space="0" w:color="auto"/>
              <w:left w:val="single" w:sz="4" w:space="0" w:color="auto"/>
              <w:bottom w:val="single" w:sz="4" w:space="0" w:color="auto"/>
              <w:right w:val="single" w:sz="4" w:space="0" w:color="auto"/>
            </w:tcBorders>
            <w:hideMark/>
          </w:tcPr>
          <w:p w14:paraId="463AE428" w14:textId="77777777" w:rsidR="00C652BB" w:rsidRDefault="00C652BB" w:rsidP="00D3663D">
            <w:r>
              <w:t>Qatar</w:t>
            </w:r>
          </w:p>
        </w:tc>
        <w:tc>
          <w:tcPr>
            <w:tcW w:w="1612" w:type="dxa"/>
            <w:tcBorders>
              <w:top w:val="single" w:sz="4" w:space="0" w:color="auto"/>
              <w:left w:val="single" w:sz="4" w:space="0" w:color="auto"/>
              <w:bottom w:val="single" w:sz="4" w:space="0" w:color="auto"/>
              <w:right w:val="single" w:sz="4" w:space="0" w:color="auto"/>
            </w:tcBorders>
            <w:hideMark/>
          </w:tcPr>
          <w:p w14:paraId="5C4FA879" w14:textId="77777777" w:rsidR="00C652BB" w:rsidRDefault="00C652BB" w:rsidP="00D3663D">
            <w:r>
              <w:t xml:space="preserve">Anonymous </w:t>
            </w:r>
          </w:p>
        </w:tc>
      </w:tr>
      <w:tr w:rsidR="00C652BB" w14:paraId="309C5991" w14:textId="77777777" w:rsidTr="00D3663D">
        <w:tc>
          <w:tcPr>
            <w:tcW w:w="1867" w:type="dxa"/>
            <w:tcBorders>
              <w:top w:val="single" w:sz="4" w:space="0" w:color="auto"/>
              <w:left w:val="single" w:sz="4" w:space="0" w:color="auto"/>
              <w:bottom w:val="single" w:sz="4" w:space="0" w:color="auto"/>
              <w:right w:val="single" w:sz="4" w:space="0" w:color="auto"/>
            </w:tcBorders>
            <w:hideMark/>
          </w:tcPr>
          <w:p w14:paraId="32388426" w14:textId="77777777" w:rsidR="00C652BB" w:rsidRDefault="00C652BB" w:rsidP="00D3663D">
            <w:r>
              <w:t>2021.5</w:t>
            </w:r>
          </w:p>
        </w:tc>
        <w:tc>
          <w:tcPr>
            <w:tcW w:w="1948" w:type="dxa"/>
            <w:tcBorders>
              <w:top w:val="single" w:sz="4" w:space="0" w:color="auto"/>
              <w:left w:val="single" w:sz="4" w:space="0" w:color="auto"/>
              <w:bottom w:val="single" w:sz="4" w:space="0" w:color="auto"/>
              <w:right w:val="single" w:sz="4" w:space="0" w:color="auto"/>
            </w:tcBorders>
            <w:hideMark/>
          </w:tcPr>
          <w:p w14:paraId="3D3286FD" w14:textId="77777777" w:rsidR="00C652BB" w:rsidRDefault="00C652BB" w:rsidP="00D3663D">
            <w:r>
              <w:t>March 6, 2021</w:t>
            </w:r>
          </w:p>
        </w:tc>
        <w:tc>
          <w:tcPr>
            <w:tcW w:w="2044" w:type="dxa"/>
            <w:tcBorders>
              <w:top w:val="single" w:sz="4" w:space="0" w:color="auto"/>
              <w:left w:val="single" w:sz="4" w:space="0" w:color="auto"/>
              <w:bottom w:val="single" w:sz="4" w:space="0" w:color="auto"/>
              <w:right w:val="single" w:sz="4" w:space="0" w:color="auto"/>
            </w:tcBorders>
            <w:hideMark/>
          </w:tcPr>
          <w:p w14:paraId="567161F0" w14:textId="77777777" w:rsidR="00C652BB" w:rsidRDefault="00C652BB" w:rsidP="00D3663D">
            <w:r>
              <w:t>Activist, Founding member, Youth for Jerusalem</w:t>
            </w:r>
          </w:p>
        </w:tc>
        <w:tc>
          <w:tcPr>
            <w:tcW w:w="1879" w:type="dxa"/>
            <w:tcBorders>
              <w:top w:val="single" w:sz="4" w:space="0" w:color="auto"/>
              <w:left w:val="single" w:sz="4" w:space="0" w:color="auto"/>
              <w:bottom w:val="single" w:sz="4" w:space="0" w:color="auto"/>
              <w:right w:val="single" w:sz="4" w:space="0" w:color="auto"/>
            </w:tcBorders>
            <w:hideMark/>
          </w:tcPr>
          <w:p w14:paraId="56C71FB5" w14:textId="77777777" w:rsidR="00C652BB" w:rsidRDefault="00C652BB" w:rsidP="00D3663D">
            <w:r>
              <w:t>Bahrain</w:t>
            </w:r>
          </w:p>
        </w:tc>
        <w:tc>
          <w:tcPr>
            <w:tcW w:w="1612" w:type="dxa"/>
            <w:tcBorders>
              <w:top w:val="single" w:sz="4" w:space="0" w:color="auto"/>
              <w:left w:val="single" w:sz="4" w:space="0" w:color="auto"/>
              <w:bottom w:val="single" w:sz="4" w:space="0" w:color="auto"/>
              <w:right w:val="single" w:sz="4" w:space="0" w:color="auto"/>
            </w:tcBorders>
            <w:hideMark/>
          </w:tcPr>
          <w:p w14:paraId="301855B2" w14:textId="77777777" w:rsidR="00C652BB" w:rsidRDefault="00C652BB" w:rsidP="00D3663D">
            <w:r>
              <w:t xml:space="preserve">Anonymous </w:t>
            </w:r>
          </w:p>
        </w:tc>
      </w:tr>
    </w:tbl>
    <w:p w14:paraId="7277FD82" w14:textId="77777777" w:rsidR="00C652BB" w:rsidRDefault="00C652BB" w:rsidP="006A0DAD">
      <w:pPr>
        <w:pStyle w:val="FootnoteText"/>
        <w:ind w:left="720" w:hanging="630"/>
        <w:rPr>
          <w:rFonts w:cs="Helvetica"/>
          <w:color w:val="000000"/>
          <w:spacing w:val="-5"/>
          <w:sz w:val="22"/>
          <w:szCs w:val="22"/>
          <w:shd w:val="clear" w:color="auto" w:fill="FFFFFF"/>
        </w:rPr>
      </w:pPr>
    </w:p>
    <w:p w14:paraId="17A5C71F" w14:textId="4DD4B33F" w:rsidR="0037569E" w:rsidRDefault="0037569E" w:rsidP="006A0DAD">
      <w:pPr>
        <w:pStyle w:val="FootnoteText"/>
        <w:ind w:left="720" w:hanging="630"/>
        <w:rPr>
          <w:rFonts w:cs="Helvetica"/>
          <w:color w:val="000000"/>
          <w:spacing w:val="-5"/>
          <w:sz w:val="22"/>
          <w:szCs w:val="22"/>
          <w:shd w:val="clear" w:color="auto" w:fill="FFFFFF"/>
        </w:rPr>
      </w:pPr>
    </w:p>
    <w:p w14:paraId="73ED608F" w14:textId="749E44A2" w:rsidR="0037569E" w:rsidRDefault="0037569E" w:rsidP="006A0DAD">
      <w:pPr>
        <w:pStyle w:val="FootnoteText"/>
        <w:ind w:left="720" w:hanging="630"/>
        <w:rPr>
          <w:rFonts w:cs="Helvetica"/>
          <w:color w:val="000000"/>
          <w:spacing w:val="-5"/>
          <w:sz w:val="22"/>
          <w:szCs w:val="22"/>
          <w:shd w:val="clear" w:color="auto" w:fill="FFFFFF"/>
        </w:rPr>
      </w:pPr>
    </w:p>
    <w:p w14:paraId="7DD75965" w14:textId="77777777" w:rsidR="0074065B" w:rsidRDefault="0074065B" w:rsidP="006A0DAD">
      <w:pPr>
        <w:pStyle w:val="FootnoteText"/>
        <w:ind w:left="720" w:hanging="630"/>
        <w:rPr>
          <w:rFonts w:cs="Helvetica"/>
          <w:color w:val="000000"/>
          <w:spacing w:val="-5"/>
          <w:sz w:val="22"/>
          <w:szCs w:val="22"/>
          <w:shd w:val="clear" w:color="auto" w:fill="FFFFFF"/>
        </w:rPr>
      </w:pPr>
    </w:p>
    <w:p w14:paraId="520CABA5" w14:textId="77777777" w:rsidR="0074065B" w:rsidRDefault="0074065B" w:rsidP="006A0DAD">
      <w:pPr>
        <w:pStyle w:val="FootnoteText"/>
        <w:ind w:left="720" w:hanging="630"/>
        <w:rPr>
          <w:rFonts w:cs="Helvetica"/>
          <w:color w:val="000000"/>
          <w:spacing w:val="-5"/>
          <w:sz w:val="22"/>
          <w:szCs w:val="22"/>
          <w:shd w:val="clear" w:color="auto" w:fill="FFFFFF"/>
        </w:rPr>
      </w:pPr>
    </w:p>
    <w:sectPr w:rsidR="0074065B">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2AA4" w14:textId="77777777" w:rsidR="004A6DCD" w:rsidRDefault="004A6DCD" w:rsidP="00AA0C8B">
      <w:pPr>
        <w:spacing w:after="0" w:line="240" w:lineRule="auto"/>
      </w:pPr>
      <w:r>
        <w:separator/>
      </w:r>
    </w:p>
  </w:endnote>
  <w:endnote w:type="continuationSeparator" w:id="0">
    <w:p w14:paraId="4E0F8BBC" w14:textId="77777777" w:rsidR="004A6DCD" w:rsidRDefault="004A6DCD" w:rsidP="00AA0C8B">
      <w:pPr>
        <w:spacing w:after="0" w:line="240" w:lineRule="auto"/>
      </w:pPr>
      <w:r>
        <w:continuationSeparator/>
      </w:r>
    </w:p>
  </w:endnote>
  <w:endnote w:type="continuationNotice" w:id="1">
    <w:p w14:paraId="08D5CE18" w14:textId="77777777" w:rsidR="004A6DCD" w:rsidRDefault="004A6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068050"/>
      <w:docPartObj>
        <w:docPartGallery w:val="Page Numbers (Bottom of Page)"/>
        <w:docPartUnique/>
      </w:docPartObj>
    </w:sdtPr>
    <w:sdtEndPr>
      <w:rPr>
        <w:noProof/>
      </w:rPr>
    </w:sdtEndPr>
    <w:sdtContent>
      <w:p w14:paraId="78991EB0" w14:textId="6EA27D60" w:rsidR="00CE10C7" w:rsidRDefault="00CE10C7">
        <w:pPr>
          <w:pStyle w:val="Footer"/>
          <w:jc w:val="center"/>
        </w:pPr>
        <w:r>
          <w:fldChar w:fldCharType="begin"/>
        </w:r>
        <w:r>
          <w:instrText xml:space="preserve"> PAGE   \* MERGEFORMAT </w:instrText>
        </w:r>
        <w:r>
          <w:fldChar w:fldCharType="separate"/>
        </w:r>
        <w:r w:rsidR="00135248">
          <w:rPr>
            <w:noProof/>
          </w:rPr>
          <w:t>52</w:t>
        </w:r>
        <w:r>
          <w:rPr>
            <w:noProof/>
          </w:rPr>
          <w:fldChar w:fldCharType="end"/>
        </w:r>
      </w:p>
    </w:sdtContent>
  </w:sdt>
  <w:p w14:paraId="11A31AA3" w14:textId="77777777" w:rsidR="00CE10C7" w:rsidRDefault="00CE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C690" w14:textId="77777777" w:rsidR="004A6DCD" w:rsidRDefault="004A6DCD" w:rsidP="00AA0C8B">
      <w:pPr>
        <w:spacing w:after="0" w:line="240" w:lineRule="auto"/>
      </w:pPr>
      <w:r>
        <w:separator/>
      </w:r>
    </w:p>
  </w:footnote>
  <w:footnote w:type="continuationSeparator" w:id="0">
    <w:p w14:paraId="331B1CF8" w14:textId="77777777" w:rsidR="004A6DCD" w:rsidRDefault="004A6DCD" w:rsidP="00AA0C8B">
      <w:pPr>
        <w:spacing w:after="0" w:line="240" w:lineRule="auto"/>
      </w:pPr>
      <w:r>
        <w:continuationSeparator/>
      </w:r>
    </w:p>
  </w:footnote>
  <w:footnote w:type="continuationNotice" w:id="1">
    <w:p w14:paraId="712A30D6" w14:textId="77777777" w:rsidR="004A6DCD" w:rsidRDefault="004A6DCD">
      <w:pPr>
        <w:spacing w:after="0" w:line="240" w:lineRule="auto"/>
      </w:pPr>
    </w:p>
  </w:footnote>
  <w:footnote w:id="2">
    <w:p w14:paraId="598C0D00" w14:textId="16EBC97F" w:rsidR="00CE10C7" w:rsidRPr="00B745BC" w:rsidRDefault="00CE10C7" w:rsidP="00AE7C06">
      <w:pPr>
        <w:pStyle w:val="FootnoteText"/>
        <w:ind w:firstLine="720"/>
        <w:rPr>
          <w:rFonts w:cstheme="minorHAnsi"/>
          <w:color w:val="2A2A2A"/>
        </w:rPr>
      </w:pPr>
      <w:r w:rsidRPr="00B745BC">
        <w:rPr>
          <w:rStyle w:val="FootnoteReference"/>
          <w:rFonts w:cstheme="minorHAnsi"/>
        </w:rPr>
        <w:footnoteRef/>
      </w:r>
      <w:r w:rsidRPr="00B745BC">
        <w:rPr>
          <w:rFonts w:cstheme="minorHAnsi"/>
        </w:rPr>
        <w:t xml:space="preserve"> Marlies Glasius, “What Authoritarianism Is … and Is Not:* a Practice Perspective,” </w:t>
      </w:r>
      <w:r w:rsidRPr="00B745BC">
        <w:rPr>
          <w:rFonts w:cstheme="minorHAnsi"/>
          <w:i/>
          <w:iCs/>
        </w:rPr>
        <w:t>International Affairs</w:t>
      </w:r>
      <w:r w:rsidRPr="00B745BC">
        <w:rPr>
          <w:rFonts w:cstheme="minorHAnsi"/>
        </w:rPr>
        <w:t xml:space="preserve"> 94, no. 3 (2018): 515-533.</w:t>
      </w:r>
      <w:r w:rsidR="007F19FC" w:rsidRPr="00B745BC">
        <w:rPr>
          <w:rFonts w:cstheme="minorHAnsi"/>
        </w:rPr>
        <w:t xml:space="preserve">; </w:t>
      </w:r>
      <w:r w:rsidRPr="00B745BC">
        <w:rPr>
          <w:rFonts w:cstheme="minorHAnsi"/>
          <w:color w:val="2A2A2A"/>
        </w:rPr>
        <w:t>Alke Jenss &amp; Benjamin Schuetze, “Rethinking Authoritarian Power: The Logistics Space and Authoritarian Practices in and between Secondary Port Cities of the Global South,” </w:t>
      </w:r>
      <w:r w:rsidRPr="00B745BC">
        <w:rPr>
          <w:rStyle w:val="Emphasis"/>
          <w:rFonts w:cstheme="minorHAnsi"/>
          <w:color w:val="2A2A2A"/>
          <w:bdr w:val="none" w:sz="0" w:space="0" w:color="auto" w:frame="1"/>
        </w:rPr>
        <w:t>International Studies Quarterly</w:t>
      </w:r>
      <w:r w:rsidRPr="00B745BC">
        <w:rPr>
          <w:rFonts w:cstheme="minorHAnsi"/>
          <w:color w:val="2A2A2A"/>
        </w:rPr>
        <w:t>, 65, no 1 (March 2021): 82–94.</w:t>
      </w:r>
    </w:p>
  </w:footnote>
  <w:footnote w:id="3">
    <w:p w14:paraId="4E63BB88" w14:textId="6B21D629"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Glasius, pp 517-518.</w:t>
      </w:r>
    </w:p>
  </w:footnote>
  <w:footnote w:id="4">
    <w:p w14:paraId="5AD12958" w14:textId="545827F7"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Ian Black, “Just below the Surface: Israel, the Arab Gulf States and the Limits of Cooperation,” LSE Middle East Centre Report. Middle East Centre: The London School of Economics and Political Science, 2019. </w:t>
      </w:r>
      <w:hyperlink r:id="rId1" w:history="1">
        <w:r w:rsidRPr="00B745BC">
          <w:rPr>
            <w:rStyle w:val="Hyperlink"/>
            <w:rFonts w:cstheme="minorHAnsi"/>
          </w:rPr>
          <w:t>http://eprints.lse.ac.uk/100313/7/JustBelowtheSurface.pdf</w:t>
        </w:r>
      </w:hyperlink>
      <w:r w:rsidRPr="00B745BC">
        <w:rPr>
          <w:rFonts w:cstheme="minorHAnsi"/>
        </w:rPr>
        <w:t xml:space="preserve">, p 9. </w:t>
      </w:r>
    </w:p>
  </w:footnote>
  <w:footnote w:id="5">
    <w:p w14:paraId="50547FC9" w14:textId="753BDC58"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Economic interdependence via trade, membership in international organizations, and ideological linkages have all been found to reduce the likelihood of conflict. There is a vast literature on this, but see for instance:</w:t>
      </w:r>
      <w:r w:rsidR="007F19FC" w:rsidRPr="00B745BC">
        <w:rPr>
          <w:rFonts w:cstheme="minorHAnsi"/>
        </w:rPr>
        <w:t xml:space="preserve"> </w:t>
      </w:r>
      <w:r w:rsidRPr="00B745BC">
        <w:rPr>
          <w:rFonts w:cstheme="minorHAnsi"/>
          <w:color w:val="000000"/>
          <w:spacing w:val="-5"/>
          <w:shd w:val="clear" w:color="auto" w:fill="FFFFFF"/>
        </w:rPr>
        <w:t xml:space="preserve">Bruce </w:t>
      </w:r>
      <w:r w:rsidRPr="00B745BC">
        <w:rPr>
          <w:rFonts w:cstheme="minorHAnsi"/>
        </w:rPr>
        <w:t xml:space="preserve">Russett and John R Oneal, </w:t>
      </w:r>
      <w:r w:rsidRPr="00B745BC">
        <w:rPr>
          <w:rFonts w:cstheme="minorHAnsi"/>
          <w:i/>
          <w:iCs/>
        </w:rPr>
        <w:t>Triangulating Peace: Democracy, Interdependence, and International Organizations</w:t>
      </w:r>
      <w:r w:rsidRPr="00B745BC">
        <w:rPr>
          <w:rFonts w:cstheme="minorHAnsi"/>
        </w:rPr>
        <w:t xml:space="preserve"> (New York: W. W. Norton and Company, 1999)</w:t>
      </w:r>
      <w:r w:rsidR="007F19FC" w:rsidRPr="00B745BC">
        <w:rPr>
          <w:rFonts w:cstheme="minorHAnsi"/>
        </w:rPr>
        <w:t xml:space="preserve">.; </w:t>
      </w:r>
      <w:r w:rsidRPr="00B745BC">
        <w:rPr>
          <w:rFonts w:cstheme="minorHAnsi"/>
          <w:color w:val="000000"/>
          <w:spacing w:val="-5"/>
          <w:shd w:val="clear" w:color="auto" w:fill="FFFFFF"/>
        </w:rPr>
        <w:t>John R Oneal, Bruce Russett, and Michael L. Berbaum, "Causes of Peace: Democracy, Interdependence, and International Organizations, 1885-1992," </w:t>
      </w:r>
      <w:r w:rsidRPr="00B745BC">
        <w:rPr>
          <w:rFonts w:cstheme="minorHAnsi"/>
          <w:i/>
          <w:iCs/>
          <w:color w:val="000000"/>
          <w:spacing w:val="-5"/>
          <w:shd w:val="clear" w:color="auto" w:fill="FFFFFF"/>
        </w:rPr>
        <w:t>International Studies Quarterly</w:t>
      </w:r>
      <w:r w:rsidR="007F19FC" w:rsidRPr="00B745BC">
        <w:rPr>
          <w:rFonts w:cstheme="minorHAnsi"/>
          <w:color w:val="000000"/>
          <w:spacing w:val="-5"/>
          <w:shd w:val="clear" w:color="auto" w:fill="FFFFFF"/>
        </w:rPr>
        <w:t xml:space="preserve"> 47, no. 3 (2003): 371-93.; </w:t>
      </w:r>
      <w:r w:rsidRPr="00B745BC">
        <w:rPr>
          <w:rFonts w:cstheme="minorHAnsi"/>
          <w:color w:val="181817"/>
          <w:shd w:val="clear" w:color="auto" w:fill="FFFFFF"/>
        </w:rPr>
        <w:t xml:space="preserve">Steven Levitsky and Lucan Way, </w:t>
      </w:r>
      <w:r w:rsidRPr="00B745BC">
        <w:rPr>
          <w:rFonts w:cstheme="minorHAnsi"/>
          <w:i/>
          <w:iCs/>
          <w:color w:val="181817"/>
          <w:bdr w:val="none" w:sz="0" w:space="0" w:color="auto" w:frame="1"/>
          <w:shd w:val="clear" w:color="auto" w:fill="FFFFFF"/>
        </w:rPr>
        <w:t>Competitive Authoritarianism: Hybrid Regimes after the Cold War</w:t>
      </w:r>
      <w:r w:rsidRPr="00B745BC">
        <w:rPr>
          <w:rFonts w:cstheme="minorHAnsi"/>
          <w:color w:val="181817"/>
          <w:shd w:val="clear" w:color="auto" w:fill="FFFFFF"/>
        </w:rPr>
        <w:t xml:space="preserve"> (Cambridge: Cambridge University Press, 2010). </w:t>
      </w:r>
    </w:p>
  </w:footnote>
  <w:footnote w:id="6">
    <w:p w14:paraId="4B6D5157" w14:textId="02319023"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Melissa Carlson &amp; Barbara Koremenos, "Cooperation Failure or Secret Collusion? Absolute Monarchs and Informal Cooperation," </w:t>
      </w:r>
      <w:r w:rsidRPr="00B745BC">
        <w:rPr>
          <w:rFonts w:cstheme="minorHAnsi"/>
          <w:i/>
          <w:iCs/>
        </w:rPr>
        <w:t>The Review of International Organizations</w:t>
      </w:r>
      <w:r w:rsidRPr="00B745BC">
        <w:rPr>
          <w:rFonts w:cstheme="minorHAnsi"/>
        </w:rPr>
        <w:t xml:space="preserve"> 16, no 1 (2021): 95-135.</w:t>
      </w:r>
    </w:p>
  </w:footnote>
  <w:footnote w:id="7">
    <w:p w14:paraId="49CB4312" w14:textId="3F76B14D"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Dana El Kurd, “What Do Ordinary Arabs Think about Normalizing Relations with Israel?” The Washington Post, October 26, 2020. https://www.washingtonpost.com/politics/2020/10/26/what-do-ordinary-arabs-think-about-normalizing-relations-with-israel/.</w:t>
      </w:r>
    </w:p>
  </w:footnote>
  <w:footnote w:id="8">
    <w:p w14:paraId="17107C4C" w14:textId="0E928DED"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9">
    <w:p w14:paraId="7C9E0AAE" w14:textId="15CD6CF3" w:rsidR="00CE10C7" w:rsidRPr="00B745BC" w:rsidRDefault="00CE10C7" w:rsidP="00AE7C06">
      <w:pPr>
        <w:pStyle w:val="FootnoteText"/>
        <w:ind w:firstLine="720"/>
        <w:rPr>
          <w:rFonts w:cstheme="minorHAnsi"/>
          <w:lang w:val="de-DE"/>
        </w:rPr>
      </w:pPr>
      <w:r w:rsidRPr="00B745BC">
        <w:rPr>
          <w:rStyle w:val="FootnoteReference"/>
          <w:rFonts w:cstheme="minorHAnsi"/>
        </w:rPr>
        <w:footnoteRef/>
      </w:r>
      <w:r w:rsidRPr="00B745BC">
        <w:rPr>
          <w:rFonts w:cstheme="minorHAnsi"/>
        </w:rPr>
        <w:t xml:space="preserve"> Tom Allinson, “Will the Israel Deal Pave the Way for Emirati Repression?” </w:t>
      </w:r>
      <w:r w:rsidRPr="00B745BC">
        <w:rPr>
          <w:rFonts w:cstheme="minorHAnsi"/>
          <w:lang w:val="de-DE"/>
        </w:rPr>
        <w:t>Deutsche Welle (DW.com), August 21, 2020. https://www.dw.com/en/will-the-israel-deal-pave-the-way-for-emirati-repression/a-54636945.</w:t>
      </w:r>
    </w:p>
  </w:footnote>
  <w:footnote w:id="10">
    <w:p w14:paraId="091F1CB2" w14:textId="10BBF84A" w:rsidR="00CE10C7" w:rsidRPr="00B745BC" w:rsidRDefault="00CE10C7" w:rsidP="00AE7C06">
      <w:pPr>
        <w:pStyle w:val="FootnoteText"/>
        <w:ind w:firstLine="720"/>
        <w:rPr>
          <w:rFonts w:cstheme="minorHAnsi"/>
          <w:lang w:val="de-DE"/>
        </w:rPr>
      </w:pPr>
      <w:r w:rsidRPr="00B745BC">
        <w:rPr>
          <w:rStyle w:val="FootnoteReference"/>
          <w:rFonts w:cstheme="minorHAnsi"/>
        </w:rPr>
        <w:footnoteRef/>
      </w:r>
      <w:r w:rsidRPr="00B745BC">
        <w:rPr>
          <w:rFonts w:cstheme="minorHAnsi"/>
          <w:lang w:val="de-DE"/>
        </w:rPr>
        <w:t xml:space="preserve"> Leah Gilbert and Payam Mohseni, “Disabling Dissent: The Colour Revolutions, Autocratic Linkages, and Civil Society Regulations in Hybrid Regimes,” </w:t>
      </w:r>
      <w:r w:rsidRPr="00B745BC">
        <w:rPr>
          <w:rFonts w:cstheme="minorHAnsi"/>
          <w:i/>
          <w:iCs/>
          <w:lang w:val="de-DE"/>
        </w:rPr>
        <w:t>Contemporary Politics</w:t>
      </w:r>
      <w:r w:rsidR="007F19FC" w:rsidRPr="00B745BC">
        <w:rPr>
          <w:rFonts w:cstheme="minorHAnsi"/>
          <w:lang w:val="de-DE"/>
        </w:rPr>
        <w:t xml:space="preserve"> 24, no. 4 (2018): 463.; </w:t>
      </w:r>
      <w:r w:rsidRPr="00B745BC">
        <w:rPr>
          <w:rFonts w:cstheme="minorHAnsi"/>
          <w:color w:val="000000"/>
          <w:spacing w:val="-5"/>
          <w:shd w:val="clear" w:color="auto" w:fill="FFFFFF"/>
          <w:lang w:val="de-DE"/>
        </w:rPr>
        <w:t>Yuri Zhukov and Brandon M. Stewart, "Choosing Your Neighbors: Networks of Diffusion in International Relations," </w:t>
      </w:r>
      <w:r w:rsidRPr="00B745BC">
        <w:rPr>
          <w:rFonts w:cstheme="minorHAnsi"/>
          <w:i/>
          <w:iCs/>
          <w:color w:val="000000"/>
          <w:spacing w:val="-5"/>
          <w:shd w:val="clear" w:color="auto" w:fill="FFFFFF"/>
          <w:lang w:val="de-DE"/>
        </w:rPr>
        <w:t>International Studies Quarterly</w:t>
      </w:r>
      <w:r w:rsidRPr="00B745BC">
        <w:rPr>
          <w:rFonts w:cstheme="minorHAnsi"/>
          <w:color w:val="000000"/>
          <w:spacing w:val="-5"/>
          <w:shd w:val="clear" w:color="auto" w:fill="FFFFFF"/>
          <w:lang w:val="de-DE"/>
        </w:rPr>
        <w:t xml:space="preserve"> 57, no. 2 (2013): 271-87. </w:t>
      </w:r>
    </w:p>
  </w:footnote>
  <w:footnote w:id="11">
    <w:p w14:paraId="30E16CF2" w14:textId="2E63A8D3"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Jenss &amp; Schuetze, p 3. </w:t>
      </w:r>
    </w:p>
  </w:footnote>
  <w:footnote w:id="12">
    <w:p w14:paraId="6ADCB423" w14:textId="476E92D2"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It is true that there has not been armed conflict between Israel and these states recently. But, until the signing of the Abraham Accords, all four countries considered themselves a party to the Arab-Israeli conflict, and were signatories of the Arab Peace Initiative. Furthermore, some of these countries sent forces to take part in the 1948 war, as well as the October War/Yom Kippur War of 1967. </w:t>
      </w:r>
    </w:p>
  </w:footnote>
  <w:footnote w:id="13">
    <w:p w14:paraId="3FF40830" w14:textId="01FD301E"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Jane Kinninmont, “The Gulf Divided: The Impact of the Qatar Crisis.” Research Paper. Future Dynamics in the Gulf. London, UK: Chatham House (May 2019): 12. </w:t>
      </w:r>
      <w:hyperlink r:id="rId2" w:history="1">
        <w:r w:rsidRPr="00B745BC">
          <w:rPr>
            <w:rStyle w:val="Hyperlink"/>
            <w:rFonts w:cstheme="minorHAnsi"/>
          </w:rPr>
          <w:t>https://www.chathamhouse.org/sites/default/files/publications/research/2019-05-30-Gulf%20Crisis_0.pdf</w:t>
        </w:r>
      </w:hyperlink>
      <w:r w:rsidRPr="00B745BC">
        <w:rPr>
          <w:rFonts w:cstheme="minorHAnsi"/>
        </w:rPr>
        <w:t xml:space="preserve">. </w:t>
      </w:r>
    </w:p>
  </w:footnote>
  <w:footnote w:id="14">
    <w:p w14:paraId="0AC18A15" w14:textId="09BFFA12"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Lee Morgenbesser, “The Menu of Autocratic Innovation,” </w:t>
      </w:r>
      <w:r w:rsidRPr="00B745BC">
        <w:rPr>
          <w:rFonts w:cstheme="minorHAnsi"/>
          <w:i/>
          <w:iCs/>
        </w:rPr>
        <w:t>Democratization</w:t>
      </w:r>
      <w:r w:rsidRPr="00B745BC">
        <w:rPr>
          <w:rFonts w:cstheme="minorHAnsi"/>
        </w:rPr>
        <w:t xml:space="preserve"> 27, no. 6 (2020): 1053-1054, 1067.</w:t>
      </w:r>
      <w:r w:rsidR="007F19FC" w:rsidRPr="00B745BC">
        <w:rPr>
          <w:rFonts w:cstheme="minorHAnsi"/>
        </w:rPr>
        <w:t xml:space="preserve">; </w:t>
      </w:r>
      <w:r w:rsidRPr="00B745BC">
        <w:rPr>
          <w:rFonts w:cstheme="minorHAnsi"/>
        </w:rPr>
        <w:t>See also Gilbert and Mohseni, pp 7-9.</w:t>
      </w:r>
    </w:p>
  </w:footnote>
  <w:footnote w:id="15">
    <w:p w14:paraId="57A2ED31" w14:textId="204AD7D2" w:rsidR="00CE10C7" w:rsidRPr="00B745BC" w:rsidRDefault="00CE10C7" w:rsidP="00AE7C06">
      <w:pPr>
        <w:pStyle w:val="FootnoteText"/>
        <w:ind w:firstLine="720"/>
        <w:jc w:val="both"/>
        <w:rPr>
          <w:rFonts w:cstheme="minorHAnsi"/>
        </w:rPr>
      </w:pPr>
      <w:r w:rsidRPr="00B745BC">
        <w:rPr>
          <w:rStyle w:val="FootnoteReference"/>
          <w:rFonts w:cstheme="minorHAnsi"/>
        </w:rPr>
        <w:footnoteRef/>
      </w:r>
      <w:r w:rsidRPr="00B745BC">
        <w:rPr>
          <w:rFonts w:cstheme="minorHAnsi"/>
        </w:rPr>
        <w:t xml:space="preserve"> Kurt Weyland, “Autocratic Diffusion and Cooperation: The Impact of Interests vs. Ideology,” </w:t>
      </w:r>
      <w:r w:rsidRPr="00B745BC">
        <w:rPr>
          <w:rFonts w:cstheme="minorHAnsi"/>
          <w:i/>
          <w:iCs/>
        </w:rPr>
        <w:t>Democratization</w:t>
      </w:r>
      <w:r w:rsidRPr="00B745BC">
        <w:rPr>
          <w:rFonts w:cstheme="minorHAnsi"/>
        </w:rPr>
        <w:t xml:space="preserve"> 24, no. 7 (2017): 1235-1252.</w:t>
      </w:r>
      <w:r w:rsidR="007F19FC" w:rsidRPr="00B745BC">
        <w:rPr>
          <w:rFonts w:cstheme="minorHAnsi"/>
        </w:rPr>
        <w:t xml:space="preserve">; </w:t>
      </w:r>
      <w:r w:rsidRPr="00B745BC">
        <w:rPr>
          <w:rFonts w:cstheme="minorHAnsi"/>
        </w:rPr>
        <w:t xml:space="preserve">Oisín Tansey, “The Problem with Autocracy Promotion,” </w:t>
      </w:r>
      <w:r w:rsidRPr="00B745BC">
        <w:rPr>
          <w:rFonts w:cstheme="minorHAnsi"/>
          <w:i/>
          <w:iCs/>
        </w:rPr>
        <w:t>Democratization</w:t>
      </w:r>
      <w:r w:rsidRPr="00B745BC">
        <w:rPr>
          <w:rFonts w:cstheme="minorHAnsi"/>
        </w:rPr>
        <w:t xml:space="preserve"> 23, no. 1 (2016): 141-163.</w:t>
      </w:r>
    </w:p>
  </w:footnote>
  <w:footnote w:id="16">
    <w:p w14:paraId="68CE722C" w14:textId="0EC3948F" w:rsidR="00CE10C7" w:rsidRPr="00B745BC" w:rsidRDefault="00CE10C7" w:rsidP="00AE7C06">
      <w:pPr>
        <w:pStyle w:val="FootnoteText"/>
        <w:ind w:firstLine="720"/>
        <w:rPr>
          <w:rFonts w:cstheme="minorHAnsi"/>
          <w:lang w:val="de-DE"/>
        </w:rPr>
      </w:pPr>
      <w:r w:rsidRPr="00B745BC">
        <w:rPr>
          <w:rStyle w:val="FootnoteReference"/>
          <w:rFonts w:cstheme="minorHAnsi"/>
        </w:rPr>
        <w:footnoteRef/>
      </w:r>
      <w:r w:rsidRPr="00B745BC">
        <w:rPr>
          <w:rFonts w:cstheme="minorHAnsi"/>
          <w:lang w:val="de-DE"/>
        </w:rPr>
        <w:t xml:space="preserve"> Gilbert &amp; Mohseni 2018.</w:t>
      </w:r>
    </w:p>
  </w:footnote>
  <w:footnote w:id="17">
    <w:p w14:paraId="4A6633EF" w14:textId="7169FF2D" w:rsidR="00CE10C7" w:rsidRPr="00B745BC" w:rsidRDefault="00CE10C7" w:rsidP="00AE7C06">
      <w:pPr>
        <w:pStyle w:val="FootnoteText"/>
        <w:ind w:firstLine="720"/>
        <w:rPr>
          <w:rFonts w:cstheme="minorHAnsi"/>
          <w:lang w:val="de-DE"/>
        </w:rPr>
      </w:pPr>
      <w:r w:rsidRPr="00B745BC">
        <w:rPr>
          <w:rStyle w:val="FootnoteReference"/>
          <w:rFonts w:cstheme="minorHAnsi"/>
        </w:rPr>
        <w:footnoteRef/>
      </w:r>
      <w:r w:rsidRPr="00B745BC">
        <w:rPr>
          <w:rFonts w:cstheme="minorHAnsi"/>
          <w:lang w:val="de-DE"/>
        </w:rPr>
        <w:t xml:space="preserve"> Morgenbesser, p 1054.</w:t>
      </w:r>
    </w:p>
  </w:footnote>
  <w:footnote w:id="18">
    <w:p w14:paraId="4DE33509" w14:textId="77777777" w:rsidR="00CE10C7" w:rsidRPr="00B745BC" w:rsidRDefault="00CE10C7" w:rsidP="00AE7C06">
      <w:pPr>
        <w:pStyle w:val="FootnoteText"/>
        <w:ind w:firstLine="720"/>
        <w:rPr>
          <w:rFonts w:cstheme="minorHAnsi"/>
          <w:lang w:val="de-DE"/>
        </w:rPr>
      </w:pPr>
      <w:r w:rsidRPr="00B745BC">
        <w:rPr>
          <w:rStyle w:val="FootnoteReference"/>
          <w:rFonts w:cstheme="minorHAnsi"/>
        </w:rPr>
        <w:footnoteRef/>
      </w:r>
      <w:r w:rsidRPr="00B745BC">
        <w:rPr>
          <w:rFonts w:cstheme="minorHAnsi"/>
          <w:lang w:val="de-DE"/>
        </w:rPr>
        <w:t xml:space="preserve"> Ibid, 1056.</w:t>
      </w:r>
    </w:p>
  </w:footnote>
  <w:footnote w:id="19">
    <w:p w14:paraId="333C09FB" w14:textId="258804F0" w:rsidR="00CE10C7" w:rsidRPr="00B745BC" w:rsidRDefault="00CE10C7" w:rsidP="00AE7C06">
      <w:pPr>
        <w:pStyle w:val="FootnoteText"/>
        <w:ind w:firstLine="720"/>
        <w:rPr>
          <w:rFonts w:cstheme="minorHAnsi"/>
          <w:lang w:val="de-DE"/>
        </w:rPr>
      </w:pPr>
      <w:r w:rsidRPr="00B745BC">
        <w:rPr>
          <w:rStyle w:val="FootnoteReference"/>
          <w:rFonts w:cstheme="minorHAnsi"/>
        </w:rPr>
        <w:footnoteRef/>
      </w:r>
      <w:r w:rsidRPr="00B745BC">
        <w:rPr>
          <w:rFonts w:cstheme="minorHAnsi"/>
          <w:lang w:val="de-DE"/>
        </w:rPr>
        <w:t xml:space="preserve"> Jason </w:t>
      </w:r>
      <w:r w:rsidRPr="00B745BC">
        <w:rPr>
          <w:rFonts w:cstheme="minorHAnsi"/>
          <w:shd w:val="clear" w:color="auto" w:fill="FFFFFF"/>
          <w:lang w:val="de-DE"/>
        </w:rPr>
        <w:t>Brownlee, </w:t>
      </w:r>
      <w:r w:rsidRPr="00B745BC">
        <w:rPr>
          <w:rFonts w:cstheme="minorHAnsi"/>
          <w:i/>
          <w:iCs/>
          <w:lang w:val="de-DE"/>
        </w:rPr>
        <w:t>Democracy Prevention: The Politics of the U.S.-Egyptian Alliance</w:t>
      </w:r>
      <w:r w:rsidRPr="00B745BC">
        <w:rPr>
          <w:rFonts w:cstheme="minorHAnsi"/>
          <w:shd w:val="clear" w:color="auto" w:fill="FFFFFF"/>
          <w:lang w:val="de-DE"/>
        </w:rPr>
        <w:t xml:space="preserve"> (New York, NY: Cambridge University Press, 2012); </w:t>
      </w:r>
      <w:r w:rsidRPr="00B745BC">
        <w:rPr>
          <w:rFonts w:cstheme="minorHAnsi"/>
          <w:lang w:val="de-DE"/>
        </w:rPr>
        <w:t xml:space="preserve">Benjamin Schuetze, </w:t>
      </w:r>
      <w:r w:rsidRPr="00B745BC">
        <w:rPr>
          <w:rFonts w:cstheme="minorHAnsi"/>
          <w:i/>
          <w:iCs/>
          <w:lang w:val="de-DE"/>
        </w:rPr>
        <w:t xml:space="preserve">Promoting Democracy, Reinforcing Authoritarianism </w:t>
      </w:r>
      <w:r w:rsidRPr="00B745BC">
        <w:rPr>
          <w:rFonts w:cstheme="minorHAnsi"/>
          <w:lang w:val="de-DE"/>
        </w:rPr>
        <w:t>(Cambridge, UK: Cam</w:t>
      </w:r>
      <w:r w:rsidR="007F19FC" w:rsidRPr="00B745BC">
        <w:rPr>
          <w:rFonts w:cstheme="minorHAnsi"/>
          <w:lang w:val="de-DE"/>
        </w:rPr>
        <w:t xml:space="preserve">bridge University Press, 2019).; </w:t>
      </w:r>
      <w:r w:rsidRPr="00B745BC">
        <w:rPr>
          <w:rFonts w:cstheme="minorHAnsi"/>
          <w:color w:val="2A2A2A"/>
          <w:shd w:val="clear" w:color="auto" w:fill="FFFFFF"/>
          <w:lang w:val="de-DE"/>
        </w:rPr>
        <w:t>Andrew Stravers and Dana El Kurd, “Strategic Autocracy: American Military Forces and Regime Type,” </w:t>
      </w:r>
      <w:r w:rsidRPr="00B745BC">
        <w:rPr>
          <w:rStyle w:val="Emphasis"/>
          <w:rFonts w:cstheme="minorHAnsi"/>
          <w:color w:val="2A2A2A"/>
          <w:bdr w:val="none" w:sz="0" w:space="0" w:color="auto" w:frame="1"/>
          <w:shd w:val="clear" w:color="auto" w:fill="FFFFFF"/>
          <w:lang w:val="de-DE"/>
        </w:rPr>
        <w:t>Journal of Global Security Studies</w:t>
      </w:r>
      <w:r w:rsidR="007F19FC" w:rsidRPr="00B745BC">
        <w:rPr>
          <w:rFonts w:cstheme="minorHAnsi"/>
          <w:color w:val="2A2A2A"/>
          <w:shd w:val="clear" w:color="auto" w:fill="FFFFFF"/>
          <w:lang w:val="de-DE"/>
        </w:rPr>
        <w:t xml:space="preserve"> 5, no 3 (2020): 427–442</w:t>
      </w:r>
      <w:r w:rsidR="00B42EBD" w:rsidRPr="00B745BC">
        <w:rPr>
          <w:rFonts w:cstheme="minorHAnsi"/>
          <w:color w:val="2A2A2A"/>
          <w:shd w:val="clear" w:color="auto" w:fill="FFFFFF"/>
          <w:lang w:val="de-DE"/>
        </w:rPr>
        <w:t>.</w:t>
      </w:r>
    </w:p>
  </w:footnote>
  <w:footnote w:id="20">
    <w:p w14:paraId="13E60701" w14:textId="60CDA3AB" w:rsidR="001C45F8" w:rsidRPr="00B745BC" w:rsidRDefault="001C45F8"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 use this definition with the full understanding that this is a contested issue, with some Israeli and Palestinian critics instead defining Israel as an “ethnocracy.” However, for the purposes of this paper, it is useful to continue using the mainstream definition of Israel as a democratic state – which is so often found in the literature and in how Israel is measured in quantitative datasets – precisely to demonstrate how such definitions come with assumptions that may be unfounded. See Oren Yiftachel, </w:t>
      </w:r>
      <w:r w:rsidRPr="00B745BC">
        <w:rPr>
          <w:rFonts w:cstheme="minorHAnsi"/>
          <w:i/>
          <w:iCs/>
        </w:rPr>
        <w:t>Ethnocracy</w:t>
      </w:r>
      <w:r w:rsidRPr="00B745BC">
        <w:rPr>
          <w:rFonts w:cstheme="minorHAnsi"/>
        </w:rPr>
        <w:t xml:space="preserve">: </w:t>
      </w:r>
      <w:r w:rsidRPr="00B745BC">
        <w:rPr>
          <w:rFonts w:cstheme="minorHAnsi"/>
          <w:i/>
          <w:iCs/>
        </w:rPr>
        <w:t>Land and Identity Politics in Israel/Palestine</w:t>
      </w:r>
      <w:r w:rsidRPr="00B745BC">
        <w:rPr>
          <w:rFonts w:cstheme="minorHAnsi"/>
        </w:rPr>
        <w:t xml:space="preserve"> (Philadelphia, PA: University of Pennsylvania Press, 2006). </w:t>
      </w:r>
    </w:p>
  </w:footnote>
  <w:footnote w:id="21">
    <w:p w14:paraId="3CA4FB73" w14:textId="5C1881CB"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Glasius, p 517.</w:t>
      </w:r>
    </w:p>
  </w:footnote>
  <w:footnote w:id="22">
    <w:p w14:paraId="60EDA672" w14:textId="0DB7EA50"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Jenss &amp; Schuetze, p 2. </w:t>
      </w:r>
    </w:p>
  </w:footnote>
  <w:footnote w:id="23">
    <w:p w14:paraId="422FD362" w14:textId="0165E6B8"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24">
    <w:p w14:paraId="5B05385C" w14:textId="56580F0D"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Geraint Ellis, “Social exclusion, equality and the Good Friday Peace Agreement: the implications for land use planning,” </w:t>
      </w:r>
      <w:r w:rsidRPr="00B745BC">
        <w:rPr>
          <w:rFonts w:cstheme="minorHAnsi"/>
          <w:i/>
          <w:iCs/>
        </w:rPr>
        <w:t xml:space="preserve">Policy and Politics </w:t>
      </w:r>
      <w:r w:rsidRPr="00B745BC">
        <w:rPr>
          <w:rFonts w:cstheme="minorHAnsi"/>
        </w:rPr>
        <w:t>29, no 4 (2001): 393-411.</w:t>
      </w:r>
    </w:p>
  </w:footnote>
  <w:footnote w:id="25">
    <w:p w14:paraId="2A56171F" w14:textId="451EED6B" w:rsidR="00CE10C7" w:rsidRPr="00B745BC" w:rsidRDefault="00CE10C7" w:rsidP="00AE7C06">
      <w:pPr>
        <w:autoSpaceDE w:val="0"/>
        <w:autoSpaceDN w:val="0"/>
        <w:adjustRightInd w:val="0"/>
        <w:spacing w:after="0" w:line="240" w:lineRule="auto"/>
        <w:ind w:firstLine="720"/>
        <w:rPr>
          <w:rFonts w:cstheme="minorHAnsi"/>
          <w:sz w:val="20"/>
          <w:szCs w:val="20"/>
        </w:rPr>
      </w:pPr>
      <w:r w:rsidRPr="00B745BC">
        <w:rPr>
          <w:rStyle w:val="FootnoteReference"/>
          <w:rFonts w:cstheme="minorHAnsi"/>
          <w:sz w:val="20"/>
          <w:szCs w:val="20"/>
        </w:rPr>
        <w:footnoteRef/>
      </w:r>
      <w:r w:rsidRPr="00B745BC">
        <w:rPr>
          <w:rFonts w:cstheme="minorHAnsi"/>
          <w:sz w:val="20"/>
          <w:szCs w:val="20"/>
        </w:rPr>
        <w:t xml:space="preserve"> Alexandra Phelan, “Engaging Insurgency: The Impact of the 2016 Colombian Peace Agreement on FARC's Political Participation,” </w:t>
      </w:r>
      <w:r w:rsidRPr="00B745BC">
        <w:rPr>
          <w:rFonts w:cstheme="minorHAnsi"/>
          <w:i/>
          <w:iCs/>
          <w:sz w:val="20"/>
          <w:szCs w:val="20"/>
        </w:rPr>
        <w:t>Studies in Conflict &amp;</w:t>
      </w:r>
      <w:r w:rsidRPr="00B745BC">
        <w:rPr>
          <w:rFonts w:cstheme="minorHAnsi"/>
          <w:sz w:val="20"/>
          <w:szCs w:val="20"/>
        </w:rPr>
        <w:t xml:space="preserve"> </w:t>
      </w:r>
      <w:r w:rsidRPr="00B745BC">
        <w:rPr>
          <w:rFonts w:cstheme="minorHAnsi"/>
          <w:i/>
          <w:iCs/>
          <w:sz w:val="20"/>
          <w:szCs w:val="20"/>
        </w:rPr>
        <w:t>Terrorism</w:t>
      </w:r>
      <w:r w:rsidRPr="00B745BC">
        <w:rPr>
          <w:rFonts w:cstheme="minorHAnsi"/>
          <w:sz w:val="20"/>
          <w:szCs w:val="20"/>
        </w:rPr>
        <w:t xml:space="preserve"> 42, no 9 (2018): 836-852.</w:t>
      </w:r>
    </w:p>
  </w:footnote>
  <w:footnote w:id="26">
    <w:p w14:paraId="6663008E" w14:textId="2B9B8D9D" w:rsidR="00CE10C7" w:rsidRPr="00B745BC" w:rsidRDefault="00CE10C7" w:rsidP="00AE7C06">
      <w:pPr>
        <w:pStyle w:val="FootnoteText"/>
        <w:ind w:firstLine="720"/>
        <w:rPr>
          <w:rFonts w:cstheme="minorHAnsi"/>
          <w:b/>
          <w:bCs/>
        </w:rPr>
      </w:pPr>
      <w:r w:rsidRPr="00B745BC">
        <w:rPr>
          <w:rStyle w:val="FootnoteReference"/>
          <w:rFonts w:cstheme="minorHAnsi"/>
        </w:rPr>
        <w:footnoteRef/>
      </w:r>
      <w:r w:rsidRPr="00B745BC">
        <w:rPr>
          <w:rFonts w:cstheme="minorHAnsi"/>
        </w:rPr>
        <w:t xml:space="preserve"> Kreutz 2010. See also </w:t>
      </w:r>
      <w:r w:rsidRPr="00B745BC">
        <w:rPr>
          <w:rFonts w:cstheme="minorHAnsi"/>
          <w:color w:val="333333"/>
          <w:shd w:val="clear" w:color="auto" w:fill="FFFFFF"/>
        </w:rPr>
        <w:t>Therése Pettersson, and Peter Wallensteen, “Armed Conflicts, 1946–2014,” </w:t>
      </w:r>
      <w:r w:rsidRPr="00B745BC">
        <w:rPr>
          <w:rFonts w:cstheme="minorHAnsi"/>
          <w:i/>
          <w:iCs/>
          <w:color w:val="333333"/>
          <w:shd w:val="clear" w:color="auto" w:fill="FFFFFF"/>
        </w:rPr>
        <w:t>Journal of Peace Research</w:t>
      </w:r>
      <w:r w:rsidRPr="00B745BC">
        <w:rPr>
          <w:rFonts w:cstheme="minorHAnsi"/>
          <w:color w:val="333333"/>
          <w:shd w:val="clear" w:color="auto" w:fill="FFFFFF"/>
        </w:rPr>
        <w:t> 52, no. 4 (July 2015): 536–50.</w:t>
      </w:r>
    </w:p>
  </w:footnote>
  <w:footnote w:id="27">
    <w:p w14:paraId="088EBB24" w14:textId="0277C8B1" w:rsidR="00CE10C7" w:rsidRPr="00B745BC" w:rsidRDefault="00CE10C7" w:rsidP="00AE7C06">
      <w:pPr>
        <w:autoSpaceDE w:val="0"/>
        <w:autoSpaceDN w:val="0"/>
        <w:adjustRightInd w:val="0"/>
        <w:spacing w:after="0" w:line="240" w:lineRule="auto"/>
        <w:ind w:firstLine="720"/>
        <w:rPr>
          <w:rFonts w:cstheme="minorHAnsi"/>
          <w:sz w:val="20"/>
          <w:szCs w:val="20"/>
        </w:rPr>
      </w:pPr>
      <w:r w:rsidRPr="00B745BC">
        <w:rPr>
          <w:rStyle w:val="FootnoteReference"/>
          <w:rFonts w:cstheme="minorHAnsi"/>
          <w:sz w:val="20"/>
          <w:szCs w:val="20"/>
        </w:rPr>
        <w:footnoteRef/>
      </w:r>
      <w:r w:rsidRPr="00B745BC">
        <w:rPr>
          <w:rFonts w:cstheme="minorHAnsi"/>
          <w:sz w:val="20"/>
          <w:szCs w:val="20"/>
        </w:rPr>
        <w:t xml:space="preserve"> Oliver Richmond, </w:t>
      </w:r>
      <w:r w:rsidRPr="00B745BC">
        <w:rPr>
          <w:rFonts w:cstheme="minorHAnsi"/>
          <w:i/>
          <w:iCs/>
          <w:sz w:val="20"/>
          <w:szCs w:val="20"/>
        </w:rPr>
        <w:t>Peace Formation: Political Order in Conflict-Affected Societies</w:t>
      </w:r>
      <w:r w:rsidRPr="00B745BC">
        <w:rPr>
          <w:rFonts w:cstheme="minorHAnsi"/>
          <w:sz w:val="20"/>
          <w:szCs w:val="20"/>
        </w:rPr>
        <w:t xml:space="preserve"> (Oxford: Oxford University Press, 2016).</w:t>
      </w:r>
    </w:p>
  </w:footnote>
  <w:footnote w:id="28">
    <w:p w14:paraId="418A6F22" w14:textId="1F919CA8" w:rsidR="00CE10C7" w:rsidRPr="00B745BC" w:rsidRDefault="00CE10C7" w:rsidP="00AE7C06">
      <w:pPr>
        <w:autoSpaceDE w:val="0"/>
        <w:autoSpaceDN w:val="0"/>
        <w:adjustRightInd w:val="0"/>
        <w:spacing w:after="0" w:line="240" w:lineRule="auto"/>
        <w:ind w:firstLine="720"/>
        <w:rPr>
          <w:rFonts w:cstheme="minorHAnsi"/>
          <w:sz w:val="20"/>
          <w:szCs w:val="20"/>
        </w:rPr>
      </w:pPr>
      <w:r w:rsidRPr="00B745BC">
        <w:rPr>
          <w:rStyle w:val="FootnoteReference"/>
          <w:rFonts w:cstheme="minorHAnsi"/>
          <w:sz w:val="20"/>
          <w:szCs w:val="20"/>
        </w:rPr>
        <w:footnoteRef/>
      </w:r>
      <w:r w:rsidRPr="00B745BC">
        <w:rPr>
          <w:rFonts w:cstheme="minorHAnsi"/>
          <w:sz w:val="20"/>
          <w:szCs w:val="20"/>
        </w:rPr>
        <w:t xml:space="preserve"> Oliver Richmond, “The dilemmas of a hybrid peace: Negative or positive?” </w:t>
      </w:r>
      <w:r w:rsidRPr="00B745BC">
        <w:rPr>
          <w:rFonts w:cstheme="minorHAnsi"/>
          <w:i/>
          <w:iCs/>
          <w:sz w:val="20"/>
          <w:szCs w:val="20"/>
        </w:rPr>
        <w:t xml:space="preserve">Cooperation and Conflict </w:t>
      </w:r>
      <w:r w:rsidRPr="00B745BC">
        <w:rPr>
          <w:rFonts w:cstheme="minorHAnsi"/>
          <w:sz w:val="20"/>
          <w:szCs w:val="20"/>
        </w:rPr>
        <w:t>50, no 1 (2015): 50–68.</w:t>
      </w:r>
    </w:p>
  </w:footnote>
  <w:footnote w:id="29">
    <w:p w14:paraId="2A87EC6F" w14:textId="10F30155"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David Lewis, John Heathershaw, and Nick Megoran, “Illiberal Peace? Authoritarian Modes of Conflict Management,” </w:t>
      </w:r>
      <w:r w:rsidRPr="00B745BC">
        <w:rPr>
          <w:rFonts w:cstheme="minorHAnsi"/>
          <w:i/>
          <w:iCs/>
        </w:rPr>
        <w:t>Cooperation and Conflict</w:t>
      </w:r>
      <w:r w:rsidRPr="00B745BC">
        <w:rPr>
          <w:rFonts w:cstheme="minorHAnsi"/>
        </w:rPr>
        <w:t xml:space="preserve"> 53, no. 4 (December 2018): 486–506.</w:t>
      </w:r>
    </w:p>
  </w:footnote>
  <w:footnote w:id="30">
    <w:p w14:paraId="7AE42FAF" w14:textId="553158A0"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 488.</w:t>
      </w:r>
    </w:p>
  </w:footnote>
  <w:footnote w:id="31">
    <w:p w14:paraId="68725636" w14:textId="11D4D215"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Laurie Brand, “The Effects of the Peace Process on Political Liberalization in Jordan,” </w:t>
      </w:r>
      <w:r w:rsidRPr="00B745BC">
        <w:rPr>
          <w:rFonts w:cstheme="minorHAnsi"/>
          <w:i/>
          <w:iCs/>
        </w:rPr>
        <w:t xml:space="preserve">Journal of Palestine Studies </w:t>
      </w:r>
      <w:r w:rsidRPr="00B745BC">
        <w:rPr>
          <w:rFonts w:cstheme="minorHAnsi"/>
        </w:rPr>
        <w:t>28, no 2 (1999): 52-67.</w:t>
      </w:r>
    </w:p>
  </w:footnote>
  <w:footnote w:id="32">
    <w:p w14:paraId="1C1E55D2" w14:textId="721B4AFE"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Markus Bouillon, “"Walking the Tightrope: Jordan’s Foreign Policy from the Gulf Crisis to the Peace Process and beyond, 1990-1999," in George Joffé, ed., Jordan in Transition: 1990-2000 (London: Hurst, 2001): 12.</w:t>
      </w:r>
    </w:p>
  </w:footnote>
  <w:footnote w:id="33">
    <w:p w14:paraId="623C3BFE" w14:textId="18F23772"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Mourid Barghouti, </w:t>
      </w:r>
      <w:r w:rsidRPr="00B745BC">
        <w:rPr>
          <w:rFonts w:cstheme="minorHAnsi"/>
          <w:i/>
          <w:iCs/>
        </w:rPr>
        <w:t>I Saw Ramallah</w:t>
      </w:r>
      <w:r w:rsidRPr="00B745BC">
        <w:rPr>
          <w:rFonts w:cstheme="minorHAnsi"/>
        </w:rPr>
        <w:t xml:space="preserve"> (Cairo, Egypt: American University of Cairo Press, 2000), pp 90, 127. </w:t>
      </w:r>
    </w:p>
  </w:footnote>
  <w:footnote w:id="34">
    <w:p w14:paraId="3E288CF8" w14:textId="77777777" w:rsidR="00570535" w:rsidRPr="00B745BC" w:rsidRDefault="00570535"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Jenss &amp; Schuetze, pp 7-8.</w:t>
      </w:r>
    </w:p>
  </w:footnote>
  <w:footnote w:id="35">
    <w:p w14:paraId="2813CB36" w14:textId="518D1E1B"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Robert F Worth, “Mohammed Bin Zayed's Dark Vision of the Middle East's Future,” </w:t>
      </w:r>
      <w:r w:rsidRPr="00B745BC">
        <w:rPr>
          <w:rFonts w:cstheme="minorHAnsi"/>
          <w:i/>
          <w:iCs/>
        </w:rPr>
        <w:t>The New York Times,</w:t>
      </w:r>
      <w:r w:rsidRPr="00B745BC">
        <w:rPr>
          <w:rFonts w:cstheme="minorHAnsi"/>
        </w:rPr>
        <w:t xml:space="preserve"> January 9, 2020, </w:t>
      </w:r>
      <w:hyperlink r:id="rId3" w:history="1">
        <w:r w:rsidRPr="00B745BC">
          <w:rPr>
            <w:rStyle w:val="Hyperlink"/>
            <w:rFonts w:cstheme="minorHAnsi"/>
          </w:rPr>
          <w:t>https://www.nytimes.com/2020/01/09/magazine/united-arab-emirates-mohammed-bin-zayed.html</w:t>
        </w:r>
      </w:hyperlink>
      <w:r w:rsidRPr="00B745BC">
        <w:rPr>
          <w:rFonts w:cstheme="minorHAnsi"/>
        </w:rPr>
        <w:t xml:space="preserve">. </w:t>
      </w:r>
    </w:p>
  </w:footnote>
  <w:footnote w:id="36">
    <w:p w14:paraId="1D39E745" w14:textId="766F1BA5" w:rsidR="00CE10C7" w:rsidRPr="00B745BC" w:rsidRDefault="00CE10C7" w:rsidP="00AE7C06">
      <w:pPr>
        <w:pStyle w:val="EndnoteText"/>
        <w:ind w:firstLine="720"/>
        <w:rPr>
          <w:rFonts w:cstheme="minorHAnsi"/>
        </w:rPr>
      </w:pPr>
      <w:r w:rsidRPr="00B745BC">
        <w:rPr>
          <w:rStyle w:val="FootnoteReference"/>
          <w:rFonts w:cstheme="minorHAnsi"/>
        </w:rPr>
        <w:footnoteRef/>
      </w:r>
      <w:r w:rsidRPr="00B745BC">
        <w:rPr>
          <w:rFonts w:cstheme="minorHAnsi"/>
        </w:rPr>
        <w:t xml:space="preserve"> Darryl Li, “The Gaza Strip as Laboratory: Notes in the Wake of Disengagement,” </w:t>
      </w:r>
      <w:r w:rsidRPr="00B745BC">
        <w:rPr>
          <w:rFonts w:cstheme="minorHAnsi"/>
          <w:i/>
          <w:iCs/>
        </w:rPr>
        <w:t>Journal of Palestine Studies</w:t>
      </w:r>
      <w:r w:rsidRPr="00B745BC">
        <w:rPr>
          <w:rFonts w:cstheme="minorHAnsi"/>
        </w:rPr>
        <w:t xml:space="preserve"> 35, no. 2 (2006): 38–55. See also Samera Esmeir, “Colonial Experiments in Gaza,” </w:t>
      </w:r>
      <w:r w:rsidRPr="00B745BC">
        <w:rPr>
          <w:rFonts w:cstheme="minorHAnsi"/>
          <w:i/>
          <w:iCs/>
        </w:rPr>
        <w:t>Jadaliyya</w:t>
      </w:r>
      <w:r w:rsidRPr="00B745BC">
        <w:rPr>
          <w:rFonts w:cstheme="minorHAnsi"/>
        </w:rPr>
        <w:t xml:space="preserve"> (July 10, 2017), </w:t>
      </w:r>
      <w:hyperlink r:id="rId4" w:history="1">
        <w:r w:rsidRPr="00B745BC">
          <w:rPr>
            <w:rStyle w:val="Hyperlink"/>
            <w:rFonts w:cstheme="minorHAnsi"/>
          </w:rPr>
          <w:t>https://www.jadaliyya.com/Details/27434</w:t>
        </w:r>
      </w:hyperlink>
      <w:r w:rsidRPr="00B745BC">
        <w:rPr>
          <w:rFonts w:cstheme="minorHAnsi"/>
        </w:rPr>
        <w:t>.</w:t>
      </w:r>
    </w:p>
  </w:footnote>
  <w:footnote w:id="37">
    <w:p w14:paraId="03B934FC" w14:textId="2A20304E"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“SIPRI Yearbook 2020: Armaments, Disarmament and International Security,” Stockholm, Sweden: Stockholm International Peace Research Institute (2020): 13. </w:t>
      </w:r>
      <w:hyperlink r:id="rId5" w:history="1">
        <w:r w:rsidRPr="00B745BC">
          <w:rPr>
            <w:rStyle w:val="Hyperlink"/>
            <w:rFonts w:cstheme="minorHAnsi"/>
          </w:rPr>
          <w:t>https://www.sipri.org/sites/default/files/2020-06/yb20_summary_en_v2.pdf</w:t>
        </w:r>
      </w:hyperlink>
      <w:r w:rsidRPr="00B745BC">
        <w:rPr>
          <w:rStyle w:val="Hyperlink"/>
          <w:rFonts w:cstheme="minorHAnsi"/>
        </w:rPr>
        <w:t>.</w:t>
      </w:r>
    </w:p>
  </w:footnote>
  <w:footnote w:id="38">
    <w:p w14:paraId="4154AE0B" w14:textId="75E704F9"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A list of interviews can be found in the </w:t>
      </w:r>
      <w:r w:rsidR="002C314D" w:rsidRPr="00B745BC">
        <w:rPr>
          <w:rFonts w:cstheme="minorHAnsi"/>
        </w:rPr>
        <w:t>included print appendix</w:t>
      </w:r>
      <w:r w:rsidRPr="00B745BC">
        <w:rPr>
          <w:rFonts w:cstheme="minorHAnsi"/>
        </w:rPr>
        <w:t>.</w:t>
      </w:r>
    </w:p>
  </w:footnote>
  <w:footnote w:id="39">
    <w:p w14:paraId="6ACBF099" w14:textId="7EA19533" w:rsidR="002E7472" w:rsidRPr="00B745BC" w:rsidRDefault="002E7472"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Mario Luis Small, “`How Many Cases Do I Need?',” </w:t>
      </w:r>
      <w:r w:rsidRPr="00B745BC">
        <w:rPr>
          <w:rFonts w:cstheme="minorHAnsi"/>
          <w:i/>
          <w:iCs/>
        </w:rPr>
        <w:t>Ethnography</w:t>
      </w:r>
      <w:r w:rsidRPr="00B745BC">
        <w:rPr>
          <w:rFonts w:cstheme="minorHAnsi"/>
        </w:rPr>
        <w:t xml:space="preserve"> 10, no. 1 (March 2009): pp. </w:t>
      </w:r>
      <w:r w:rsidR="00B61F73" w:rsidRPr="00B745BC">
        <w:rPr>
          <w:rFonts w:cstheme="minorHAnsi"/>
        </w:rPr>
        <w:t>24-25</w:t>
      </w:r>
      <w:r w:rsidRPr="00B745BC">
        <w:rPr>
          <w:rFonts w:cstheme="minorHAnsi"/>
        </w:rPr>
        <w:t>, https://doi.org/10.1177/1466138108099586.</w:t>
      </w:r>
    </w:p>
  </w:footnote>
  <w:footnote w:id="40">
    <w:p w14:paraId="65696279" w14:textId="02261425" w:rsidR="00B61F73" w:rsidRPr="00B745BC" w:rsidRDefault="00B61F73"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41">
    <w:p w14:paraId="68BB36E6" w14:textId="00614F1A"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Lorraine Bayard de Volo and Edward Schatz, “From the Inside Out: Ethnographic Methods in Political Research,” </w:t>
      </w:r>
      <w:r w:rsidRPr="00B745BC">
        <w:rPr>
          <w:rFonts w:cstheme="minorHAnsi"/>
          <w:i/>
          <w:iCs/>
        </w:rPr>
        <w:t xml:space="preserve">PS: Political Science and Politics </w:t>
      </w:r>
      <w:r w:rsidRPr="00B745BC">
        <w:rPr>
          <w:rFonts w:cstheme="minorHAnsi"/>
        </w:rPr>
        <w:t>37, no. 2 (2004): p 268.</w:t>
      </w:r>
    </w:p>
  </w:footnote>
  <w:footnote w:id="42">
    <w:p w14:paraId="2F39108B" w14:textId="4400AAF6" w:rsidR="00D931B2"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Colin Jerolmack and Shamus Khan, “Talk Is Cheap: Ethnography and the Attitudinal Fallacy,” </w:t>
      </w:r>
      <w:r w:rsidRPr="00B745BC">
        <w:rPr>
          <w:rFonts w:cstheme="minorHAnsi"/>
          <w:i/>
          <w:iCs/>
        </w:rPr>
        <w:t>Sociological Methods and Research</w:t>
      </w:r>
      <w:r w:rsidRPr="00B745BC">
        <w:rPr>
          <w:rFonts w:cstheme="minorHAnsi"/>
        </w:rPr>
        <w:t xml:space="preserve"> 43, no. 2 (2014): 178–209.  </w:t>
      </w:r>
    </w:p>
  </w:footnote>
  <w:footnote w:id="43">
    <w:p w14:paraId="74CF516B" w14:textId="77777777" w:rsidR="00E70407" w:rsidRPr="00B745BC" w:rsidRDefault="00E7040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 </w:t>
      </w:r>
    </w:p>
  </w:footnote>
  <w:footnote w:id="44">
    <w:p w14:paraId="3A9987F1" w14:textId="65AE81EE" w:rsidR="002B4522" w:rsidRPr="00B745BC" w:rsidRDefault="002B4522"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w:t>
      </w:r>
      <w:r w:rsidR="00FB1F18" w:rsidRPr="00B745BC">
        <w:rPr>
          <w:rFonts w:cstheme="minorHAnsi"/>
        </w:rPr>
        <w:t xml:space="preserve">Diana Fu and Erica S. Simmons, “Ethnographic Approaches to Contentious Politics: The What, How, and Why,” </w:t>
      </w:r>
      <w:r w:rsidR="00FB1F18" w:rsidRPr="00B745BC">
        <w:rPr>
          <w:rFonts w:cstheme="minorHAnsi"/>
          <w:i/>
          <w:iCs/>
        </w:rPr>
        <w:t>Comparative Political Studies</w:t>
      </w:r>
      <w:r w:rsidR="00FB1F18" w:rsidRPr="00B745BC">
        <w:rPr>
          <w:rFonts w:cstheme="minorHAnsi"/>
        </w:rPr>
        <w:t xml:space="preserve"> 54, no. 10 (2021): pp. </w:t>
      </w:r>
      <w:r w:rsidR="0034311B" w:rsidRPr="00B745BC">
        <w:rPr>
          <w:rFonts w:cstheme="minorHAnsi"/>
        </w:rPr>
        <w:t>1697</w:t>
      </w:r>
      <w:r w:rsidR="00FB1F18" w:rsidRPr="00B745BC">
        <w:rPr>
          <w:rFonts w:cstheme="minorHAnsi"/>
        </w:rPr>
        <w:t>, https://doi.org/10.1177/00104140211025544.</w:t>
      </w:r>
    </w:p>
  </w:footnote>
  <w:footnote w:id="45">
    <w:p w14:paraId="4485598B" w14:textId="13CD63C1" w:rsidR="00323C67" w:rsidRPr="00B745BC" w:rsidRDefault="00323C6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w:t>
      </w:r>
      <w:r w:rsidR="005F6303" w:rsidRPr="00B745BC">
        <w:rPr>
          <w:rFonts w:cstheme="minorHAnsi"/>
        </w:rPr>
        <w:t xml:space="preserve">Sidney Tarrow, “Progress Outside of Paradise: Old and New Comparative Approaches to Contentious Politics,” </w:t>
      </w:r>
      <w:r w:rsidR="005F6303" w:rsidRPr="00B745BC">
        <w:rPr>
          <w:rFonts w:cstheme="minorHAnsi"/>
          <w:i/>
          <w:iCs/>
        </w:rPr>
        <w:t>Comparative Political Studies</w:t>
      </w:r>
      <w:r w:rsidR="005F6303" w:rsidRPr="00B745BC">
        <w:rPr>
          <w:rFonts w:cstheme="minorHAnsi"/>
        </w:rPr>
        <w:t xml:space="preserve"> 54, no. 10 (2021): pp. 1885-1901, https://doi.org/10.1177/00104140211024297.</w:t>
      </w:r>
    </w:p>
  </w:footnote>
  <w:footnote w:id="46">
    <w:p w14:paraId="13867BB2" w14:textId="656C37D8"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w:t>
      </w:r>
      <w:r w:rsidR="00FC609F" w:rsidRPr="00B745BC">
        <w:rPr>
          <w:rFonts w:cstheme="minorHAnsi"/>
        </w:rPr>
        <w:t>Jerolmack &amp; Khan (2014)</w:t>
      </w:r>
      <w:r w:rsidRPr="00B745BC">
        <w:rPr>
          <w:rFonts w:cstheme="minorHAnsi"/>
        </w:rPr>
        <w:t>, p 268.</w:t>
      </w:r>
    </w:p>
  </w:footnote>
  <w:footnote w:id="47">
    <w:p w14:paraId="3C980E95" w14:textId="4FCC7D6F"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Uzi Rabi, “Qatar’s Relations with Israel: Challenging Arab and Gulf Norms.” </w:t>
      </w:r>
      <w:r w:rsidRPr="00B745BC">
        <w:rPr>
          <w:rFonts w:cstheme="minorHAnsi"/>
          <w:i/>
          <w:iCs/>
        </w:rPr>
        <w:t>The Middle East Journal</w:t>
      </w:r>
      <w:r w:rsidRPr="00B745BC">
        <w:rPr>
          <w:rFonts w:cstheme="minorHAnsi"/>
        </w:rPr>
        <w:t xml:space="preserve"> 63, no. 3 (Summer 2009): 443–59.</w:t>
      </w:r>
    </w:p>
  </w:footnote>
  <w:footnote w:id="48">
    <w:p w14:paraId="65E806D8" w14:textId="77777777"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 452-453.</w:t>
      </w:r>
    </w:p>
  </w:footnote>
  <w:footnote w:id="49">
    <w:p w14:paraId="23A485FC" w14:textId="181FBC4E"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Hani Kharaz and Mariam Al-Hajri, “Pro-Palestine Movement in Qatar,” </w:t>
      </w:r>
      <w:r w:rsidRPr="00B745BC">
        <w:rPr>
          <w:rFonts w:cstheme="minorHAnsi"/>
          <w:i/>
          <w:iCs/>
        </w:rPr>
        <w:t xml:space="preserve">Al-Adab, </w:t>
      </w:r>
      <w:r w:rsidRPr="00B745BC">
        <w:rPr>
          <w:rFonts w:cstheme="minorHAnsi"/>
        </w:rPr>
        <w:t xml:space="preserve">March 12, 2018, </w:t>
      </w:r>
      <w:hyperlink r:id="rId6" w:history="1">
        <w:r w:rsidRPr="00B745BC">
          <w:rPr>
            <w:rStyle w:val="Hyperlink"/>
            <w:rFonts w:cstheme="minorHAnsi"/>
          </w:rPr>
          <w:t>https://rb.gy/zgz3ha</w:t>
        </w:r>
      </w:hyperlink>
      <w:r w:rsidRPr="00B745BC">
        <w:rPr>
          <w:rStyle w:val="Hyperlink"/>
          <w:rFonts w:cstheme="minorHAnsi"/>
        </w:rPr>
        <w:t xml:space="preserve">. </w:t>
      </w:r>
    </w:p>
  </w:footnote>
  <w:footnote w:id="50">
    <w:p w14:paraId="07DB39CD" w14:textId="2AB21346"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#2019.3.</w:t>
      </w:r>
    </w:p>
  </w:footnote>
  <w:footnote w:id="51">
    <w:p w14:paraId="1D5B612D" w14:textId="1487C2EC"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Rabi, p 450.</w:t>
      </w:r>
    </w:p>
  </w:footnote>
  <w:footnote w:id="52">
    <w:p w14:paraId="3FB5A331" w14:textId="357DA14E"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“The Arab Opinion Index 2019/2020.” Doha, Qatar: Arab Center for Research and Policy Studies, October 3, 2020. </w:t>
      </w:r>
      <w:hyperlink r:id="rId7" w:history="1">
        <w:r w:rsidRPr="00B745BC">
          <w:rPr>
            <w:rStyle w:val="Hyperlink"/>
            <w:rFonts w:cstheme="minorHAnsi"/>
          </w:rPr>
          <w:t>https://www.dohainstitute.org/ar/News/Pages/ACRPS-Announces-the-Results-of-the-Arab-Opinion-Index-2019-2020.aspx</w:t>
        </w:r>
      </w:hyperlink>
      <w:r w:rsidRPr="00B745BC">
        <w:rPr>
          <w:rFonts w:cstheme="minorHAnsi"/>
        </w:rPr>
        <w:t xml:space="preserve">, p 54. </w:t>
      </w:r>
    </w:p>
  </w:footnote>
  <w:footnote w:id="53">
    <w:p w14:paraId="4717B9CA" w14:textId="7B8B1F13"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Primary documents, provided by founding member Ali Kuwari and available on his website: </w:t>
      </w:r>
      <w:hyperlink r:id="rId8" w:history="1">
        <w:r w:rsidRPr="00B745BC">
          <w:rPr>
            <w:rStyle w:val="Hyperlink"/>
            <w:rFonts w:cstheme="minorHAnsi"/>
          </w:rPr>
          <w:t>http://dr-alkuwari.net/QaCommIntefadh88.html</w:t>
        </w:r>
      </w:hyperlink>
      <w:r w:rsidRPr="00B745BC">
        <w:rPr>
          <w:rFonts w:cstheme="minorHAnsi"/>
        </w:rPr>
        <w:t xml:space="preserve">.  </w:t>
      </w:r>
    </w:p>
  </w:footnote>
  <w:footnote w:id="54">
    <w:p w14:paraId="2252A4A2" w14:textId="22C24BB5"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Mark Ogden, “Qatar's Hosting of Club World Cup Was Smooth, but Will It Be Ready for Bigger Size and Scale of 2022 World Cup?” ESPN. ESPN Internet Ventures, December 23, 2019. </w:t>
      </w:r>
      <w:hyperlink r:id="rId9" w:history="1">
        <w:r w:rsidRPr="00B745BC">
          <w:rPr>
            <w:rStyle w:val="Hyperlink"/>
            <w:rFonts w:cstheme="minorHAnsi"/>
          </w:rPr>
          <w:t>https://www.espn.com/soccer/fifa-world-cup/story/4019777/qatars-hosting-of-club-world-cup-was-smoothbut-will-it-be-ready-for-bigger-size-and-scale-of-2022-world-cup</w:t>
        </w:r>
      </w:hyperlink>
      <w:r w:rsidRPr="00B745BC">
        <w:rPr>
          <w:rFonts w:cstheme="minorHAnsi"/>
        </w:rPr>
        <w:t xml:space="preserve">. </w:t>
      </w:r>
    </w:p>
  </w:footnote>
  <w:footnote w:id="55">
    <w:p w14:paraId="42FE31AD" w14:textId="0D15EA10"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Bernd Kaussler, “Tracing Qatar’s Foreign Policy Trajectory and its Impact on Regional Security,” Arab Center for Research and Policy Studies, Research Paper (September 2015): p 17. </w:t>
      </w:r>
      <w:hyperlink r:id="rId10" w:anchor="metadata_info_tab_contents" w:history="1">
        <w:r w:rsidR="007F19FC" w:rsidRPr="00B745BC">
          <w:rPr>
            <w:rStyle w:val="Hyperlink"/>
            <w:rFonts w:cstheme="minorHAnsi"/>
          </w:rPr>
          <w:t>https://www.jstor.org/stable/resrep12689?seq=21#metadata_info_tab_contents</w:t>
        </w:r>
      </w:hyperlink>
      <w:r w:rsidR="007F19FC" w:rsidRPr="00B745BC">
        <w:rPr>
          <w:rStyle w:val="Hyperlink"/>
          <w:rFonts w:cstheme="minorHAnsi"/>
        </w:rPr>
        <w:t xml:space="preserve">.; </w:t>
      </w:r>
      <w:r w:rsidRPr="00B745BC">
        <w:rPr>
          <w:rFonts w:cstheme="minorHAnsi"/>
        </w:rPr>
        <w:t xml:space="preserve">Sultan Barakat, “Qatari Mediation: Between Ambition and Achievement,” Brookings Doha Center, no 12 (November 2014): p 11. </w:t>
      </w:r>
      <w:hyperlink r:id="rId11" w:history="1">
        <w:r w:rsidRPr="00B745BC">
          <w:rPr>
            <w:rStyle w:val="Hyperlink"/>
            <w:rFonts w:cstheme="minorHAnsi"/>
          </w:rPr>
          <w:t>https://www.brookings.edu/wp-content/uploads/2016/06/Final-PDF-English.pdf</w:t>
        </w:r>
      </w:hyperlink>
      <w:r w:rsidRPr="00B745BC">
        <w:rPr>
          <w:rFonts w:cstheme="minorHAnsi"/>
        </w:rPr>
        <w:t xml:space="preserve">. </w:t>
      </w:r>
    </w:p>
  </w:footnote>
  <w:footnote w:id="56">
    <w:p w14:paraId="572E6F91" w14:textId="7E02440F"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“Report: Israel Pushed NSO Spyware to Gulf States to Help Track Dissidents.” Times of Israel. August 23, 2020. </w:t>
      </w:r>
      <w:hyperlink r:id="rId12" w:history="1">
        <w:r w:rsidRPr="00B745BC">
          <w:rPr>
            <w:rStyle w:val="Hyperlink"/>
            <w:rFonts w:cstheme="minorHAnsi"/>
          </w:rPr>
          <w:t>https://www.timesofisrael.com/report-israel-pushed-nso-spyware-to-gulf-states-to-help-track-dissidents/</w:t>
        </w:r>
      </w:hyperlink>
      <w:r w:rsidRPr="00B745BC">
        <w:rPr>
          <w:rFonts w:cstheme="minorHAnsi"/>
        </w:rPr>
        <w:t xml:space="preserve">. </w:t>
      </w:r>
    </w:p>
  </w:footnote>
  <w:footnote w:id="57">
    <w:p w14:paraId="665B30A7" w14:textId="09932972"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Black, 30-32.</w:t>
      </w:r>
    </w:p>
  </w:footnote>
  <w:footnote w:id="58">
    <w:p w14:paraId="3DD073CA" w14:textId="17A0F3FD"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Alan Dershowitz, “Why Is Qatar Being Blockaded and Isolated?” The Hill. January 12, 2018. </w:t>
      </w:r>
      <w:hyperlink r:id="rId13" w:history="1">
        <w:r w:rsidRPr="00B745BC">
          <w:rPr>
            <w:rStyle w:val="Hyperlink"/>
            <w:rFonts w:cstheme="minorHAnsi"/>
          </w:rPr>
          <w:t>https://thehill.com/opinion/international/368764-why-is-qatar-being-blockaded-and-isolated</w:t>
        </w:r>
      </w:hyperlink>
      <w:r w:rsidRPr="00B745BC">
        <w:rPr>
          <w:rFonts w:cstheme="minorHAnsi"/>
        </w:rPr>
        <w:t xml:space="preserve">. </w:t>
      </w:r>
    </w:p>
  </w:footnote>
  <w:footnote w:id="59">
    <w:p w14:paraId="3DB97D87" w14:textId="77777777"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Black, 30-32.</w:t>
      </w:r>
    </w:p>
  </w:footnote>
  <w:footnote w:id="60">
    <w:p w14:paraId="5782A5EE" w14:textId="0C9A3B5A"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#2019.3. </w:t>
      </w:r>
    </w:p>
  </w:footnote>
  <w:footnote w:id="61">
    <w:p w14:paraId="0F5ADDA6" w14:textId="13E393C9"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#2019.3, #2019.2.</w:t>
      </w:r>
    </w:p>
  </w:footnote>
  <w:footnote w:id="62">
    <w:p w14:paraId="73BA9C62" w14:textId="3F708E5C" w:rsidR="00CE10C7" w:rsidRPr="00B745BC" w:rsidRDefault="00CE10C7" w:rsidP="00AE7C06">
      <w:pPr>
        <w:pStyle w:val="FootnoteText"/>
        <w:tabs>
          <w:tab w:val="left" w:pos="4850"/>
        </w:tabs>
        <w:ind w:firstLine="720"/>
        <w:rPr>
          <w:rFonts w:cstheme="minorHAnsi"/>
        </w:rPr>
      </w:pPr>
      <w:r w:rsidRPr="00B745BC">
        <w:rPr>
          <w:rStyle w:val="FootnoteReference"/>
          <w:rFonts w:cstheme="minorHAnsi"/>
        </w:rPr>
        <w:footnoteRef/>
      </w:r>
      <w:r w:rsidRPr="00B745BC">
        <w:rPr>
          <w:rFonts w:cstheme="minorHAnsi"/>
        </w:rPr>
        <w:t xml:space="preserve"> #2019.2 </w:t>
      </w:r>
      <w:r w:rsidRPr="00B745BC">
        <w:rPr>
          <w:rFonts w:cstheme="minorHAnsi"/>
        </w:rPr>
        <w:tab/>
      </w:r>
    </w:p>
  </w:footnote>
  <w:footnote w:id="63">
    <w:p w14:paraId="56A34379" w14:textId="784825D0"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 One example is the support of key officials in the QAYON campaign against the Wonder Woman film for its feature of Israeli actress Gal Gadot. </w:t>
      </w:r>
    </w:p>
  </w:footnote>
  <w:footnote w:id="64">
    <w:p w14:paraId="3EC0E16A" w14:textId="5C1246E5"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#2021.3</w:t>
      </w:r>
    </w:p>
  </w:footnote>
  <w:footnote w:id="65">
    <w:p w14:paraId="4E85B2A3" w14:textId="4436B979"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#2021.4</w:t>
      </w:r>
    </w:p>
  </w:footnote>
  <w:footnote w:id="66">
    <w:p w14:paraId="15C68F3C" w14:textId="02764196"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#2019.1, #2021.2</w:t>
      </w:r>
    </w:p>
  </w:footnote>
  <w:footnote w:id="67">
    <w:p w14:paraId="706963E7" w14:textId="0DBEB6D1"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#2019.1</w:t>
      </w:r>
    </w:p>
  </w:footnote>
  <w:footnote w:id="68">
    <w:p w14:paraId="590E531C" w14:textId="1CA94051"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#2019.1, #2019.3, #2021.3</w:t>
      </w:r>
    </w:p>
  </w:footnote>
  <w:footnote w:id="69">
    <w:p w14:paraId="1E38C85D" w14:textId="2415230B"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#2021.3</w:t>
      </w:r>
    </w:p>
  </w:footnote>
  <w:footnote w:id="70">
    <w:p w14:paraId="15B870E6" w14:textId="59EE18A3"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#2019.3, #2021.3</w:t>
      </w:r>
    </w:p>
  </w:footnote>
  <w:footnote w:id="71">
    <w:p w14:paraId="5EEDF287" w14:textId="1E341589"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#2019.1, #2019.2</w:t>
      </w:r>
    </w:p>
  </w:footnote>
  <w:footnote w:id="72">
    <w:p w14:paraId="49DD3F5A" w14:textId="4F2AE6F6"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#2019.3, #2021.2</w:t>
      </w:r>
    </w:p>
  </w:footnote>
  <w:footnote w:id="73">
    <w:p w14:paraId="15974E96" w14:textId="3BEB3C11"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#2019.3 </w:t>
      </w:r>
    </w:p>
  </w:footnote>
  <w:footnote w:id="74">
    <w:p w14:paraId="4AC11B21" w14:textId="4A6C23B4"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#2021.3</w:t>
      </w:r>
    </w:p>
  </w:footnote>
  <w:footnote w:id="75">
    <w:p w14:paraId="69AAA9AB" w14:textId="31A28DD4"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#2021.3</w:t>
      </w:r>
    </w:p>
  </w:footnote>
  <w:footnote w:id="76">
    <w:p w14:paraId="159D19D5" w14:textId="4427C4E6"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#2020.4</w:t>
      </w:r>
    </w:p>
  </w:footnote>
  <w:footnote w:id="77">
    <w:p w14:paraId="7B9C6010" w14:textId="77777777" w:rsidR="00492B89"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Black, 30-32.</w:t>
      </w:r>
      <w:r w:rsidR="003135F4" w:rsidRPr="00B745BC">
        <w:rPr>
          <w:rFonts w:cstheme="minorHAnsi"/>
        </w:rPr>
        <w:t xml:space="preserve"> </w:t>
      </w:r>
    </w:p>
    <w:p w14:paraId="2558AEFE" w14:textId="30D650C0" w:rsidR="00CE10C7" w:rsidRPr="00B745BC" w:rsidRDefault="003135F4" w:rsidP="00AE7C06">
      <w:pPr>
        <w:pStyle w:val="FootnoteText"/>
        <w:ind w:firstLine="720"/>
        <w:rPr>
          <w:rFonts w:cstheme="minorHAnsi"/>
        </w:rPr>
      </w:pPr>
      <w:r w:rsidRPr="00B745BC">
        <w:rPr>
          <w:rFonts w:cstheme="minorHAnsi"/>
        </w:rPr>
        <w:t xml:space="preserve">This </w:t>
      </w:r>
      <w:r w:rsidR="00311A31" w:rsidRPr="00B745BC">
        <w:rPr>
          <w:rFonts w:cstheme="minorHAnsi"/>
        </w:rPr>
        <w:t>had to do with Qatar’s interest in projecting power regionally</w:t>
      </w:r>
      <w:r w:rsidR="00492B89" w:rsidRPr="00B745BC">
        <w:rPr>
          <w:rFonts w:cstheme="minorHAnsi"/>
        </w:rPr>
        <w:t>,</w:t>
      </w:r>
      <w:r w:rsidR="00311A31" w:rsidRPr="00B745BC">
        <w:rPr>
          <w:rFonts w:cstheme="minorHAnsi"/>
        </w:rPr>
        <w:t xml:space="preserve"> </w:t>
      </w:r>
      <w:r w:rsidR="00522A12" w:rsidRPr="00B745BC">
        <w:rPr>
          <w:rFonts w:cstheme="minorHAnsi"/>
        </w:rPr>
        <w:t>in addition to</w:t>
      </w:r>
      <w:r w:rsidR="00311A31" w:rsidRPr="00B745BC">
        <w:rPr>
          <w:rFonts w:cstheme="minorHAnsi"/>
        </w:rPr>
        <w:t xml:space="preserve"> </w:t>
      </w:r>
      <w:r w:rsidR="000B0C34" w:rsidRPr="00B745BC">
        <w:rPr>
          <w:rFonts w:cstheme="minorHAnsi"/>
        </w:rPr>
        <w:t>presenting themselves as stalwart American allies</w:t>
      </w:r>
      <w:r w:rsidR="00522A12" w:rsidRPr="00B745BC">
        <w:rPr>
          <w:rFonts w:cstheme="minorHAnsi"/>
        </w:rPr>
        <w:t xml:space="preserve"> during the Gulf crisis, </w:t>
      </w:r>
      <w:r w:rsidR="000B0C34" w:rsidRPr="00B745BC">
        <w:rPr>
          <w:rFonts w:cstheme="minorHAnsi"/>
        </w:rPr>
        <w:t>willing to engage with Israel</w:t>
      </w:r>
      <w:r w:rsidR="00266B1A" w:rsidRPr="00B745BC">
        <w:rPr>
          <w:rFonts w:cstheme="minorHAnsi"/>
        </w:rPr>
        <w:t xml:space="preserve"> in exchange for American support.</w:t>
      </w:r>
    </w:p>
  </w:footnote>
  <w:footnote w:id="78">
    <w:p w14:paraId="31ABCEAA"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Majed Binkhunein, “In memory of the Nakba: The history of Saudi popular movements and the Palestinian cause.” </w:t>
      </w:r>
      <w:r w:rsidRPr="00B745BC">
        <w:rPr>
          <w:rFonts w:cstheme="minorHAnsi"/>
          <w:i/>
          <w:iCs/>
        </w:rPr>
        <w:t>Thmanyah</w:t>
      </w:r>
      <w:r w:rsidRPr="00B745BC">
        <w:rPr>
          <w:rFonts w:cstheme="minorHAnsi"/>
        </w:rPr>
        <w:t>, May 15, 2020. https://thmanyah.com/5420/.</w:t>
      </w:r>
    </w:p>
  </w:footnote>
  <w:footnote w:id="79">
    <w:p w14:paraId="27240C90"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Interview #2020.5.</w:t>
      </w:r>
    </w:p>
  </w:footnote>
  <w:footnote w:id="80">
    <w:p w14:paraId="2D02C65E"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81">
    <w:p w14:paraId="5E80E25F"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 </w:t>
      </w:r>
    </w:p>
  </w:footnote>
  <w:footnote w:id="82">
    <w:p w14:paraId="11792D05"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“The Arab Opinion Index 2019/2020.” Doha, Qatar: Arab Center for Research and Policy Studies, October 3, 2020. </w:t>
      </w:r>
      <w:hyperlink r:id="rId14" w:history="1">
        <w:r w:rsidRPr="00B745BC">
          <w:rPr>
            <w:rStyle w:val="Hyperlink"/>
            <w:rFonts w:cstheme="minorHAnsi"/>
          </w:rPr>
          <w:t>https://www.dohainstitute.org/ar/News/Pages/ACRPS-Announces-the-Results-of-the-Arab-Opinion-Index-2019-2020.aspx</w:t>
        </w:r>
      </w:hyperlink>
      <w:r w:rsidRPr="00B745BC">
        <w:rPr>
          <w:rFonts w:cstheme="minorHAnsi"/>
        </w:rPr>
        <w:t xml:space="preserve">. </w:t>
      </w:r>
    </w:p>
  </w:footnote>
  <w:footnote w:id="83">
    <w:p w14:paraId="70C0D428" w14:textId="3E6664BF"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The only recent shift has been in nonresponse rates, as the state has signaled policy shifts on issues such as Palestine. For more information on tests of response bias, </w:t>
      </w:r>
      <w:r w:rsidR="005B18CC" w:rsidRPr="00B745BC">
        <w:rPr>
          <w:rFonts w:cstheme="minorHAnsi"/>
        </w:rPr>
        <w:t>see section 2 of the online appendix</w:t>
      </w:r>
      <w:r w:rsidRPr="00B745BC">
        <w:rPr>
          <w:rFonts w:cstheme="minorHAnsi"/>
        </w:rPr>
        <w:t>.</w:t>
      </w:r>
    </w:p>
  </w:footnote>
  <w:footnote w:id="84">
    <w:p w14:paraId="3097FD57"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Ohoud Allaami, “The actual relationship between Palestine and the Gulf countries.” </w:t>
      </w:r>
      <w:r w:rsidRPr="00B745BC">
        <w:rPr>
          <w:rFonts w:cstheme="minorHAnsi"/>
          <w:i/>
          <w:iCs/>
        </w:rPr>
        <w:t>Thmanyah</w:t>
      </w:r>
      <w:r w:rsidRPr="00B745BC">
        <w:rPr>
          <w:rFonts w:cstheme="minorHAnsi"/>
        </w:rPr>
        <w:t>, September 17, 2019. https://thmanyah.com/2193/.</w:t>
      </w:r>
    </w:p>
  </w:footnote>
  <w:footnote w:id="85">
    <w:p w14:paraId="51DEC15B"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Black, p 6. </w:t>
      </w:r>
    </w:p>
  </w:footnote>
  <w:footnote w:id="86">
    <w:p w14:paraId="69AC9639"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#2020.5.</w:t>
      </w:r>
    </w:p>
  </w:footnote>
  <w:footnote w:id="87">
    <w:p w14:paraId="1D0C0491"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Amnesty International, “Saudi Arabia’s Year of Shame: Crackdown on Critics and Rights Activists Continue,” May 14, 2019. </w:t>
      </w:r>
      <w:hyperlink r:id="rId15" w:anchor=":~:text=Facebook-,Saudi%20Arabia's%20'year%20of%20shame'%3A%20Crackdown%20on,critics%20and%20rights'%20activists%20continues&amp;text=Loujain%20al%2DHathloul%2C%20Iman%20al,rights%20work%20since%20March%202019" w:history="1">
        <w:r w:rsidRPr="00B745BC">
          <w:rPr>
            <w:rStyle w:val="Hyperlink"/>
            <w:rFonts w:cstheme="minorHAnsi"/>
          </w:rPr>
          <w:t>https://www.amnesty.org/en/latest/news/2019/05/saudi-arabias-year-of-shame-crackdown-on-critics-and-rights-activists-continues/#:~:text=Facebook-,Saudi%20Arabia's%20'year%20of%20shame'%3A%20Crackdown%20on,critics%20and%20rights'%20activists%20continues&amp;text=Loujain%20al%2DHathloul%2C%20Iman%20al,rights%20work%20since%20March%202019</w:t>
        </w:r>
      </w:hyperlink>
      <w:r w:rsidRPr="00B745BC">
        <w:rPr>
          <w:rFonts w:cstheme="minorHAnsi"/>
        </w:rPr>
        <w:t xml:space="preserve">. </w:t>
      </w:r>
    </w:p>
  </w:footnote>
  <w:footnote w:id="88">
    <w:p w14:paraId="7117EBD1"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Nahal Toosi, “How a Smooth Saudi Operative Charms Washington and Defends 'the Indefensible',” </w:t>
      </w:r>
      <w:r w:rsidRPr="00B745BC">
        <w:rPr>
          <w:rFonts w:cstheme="minorHAnsi"/>
          <w:i/>
          <w:iCs/>
        </w:rPr>
        <w:t>POLITICO</w:t>
      </w:r>
      <w:r w:rsidRPr="00B745BC">
        <w:rPr>
          <w:rFonts w:cstheme="minorHAnsi"/>
        </w:rPr>
        <w:t xml:space="preserve">, October 23, 2018, </w:t>
      </w:r>
      <w:hyperlink r:id="rId16" w:history="1">
        <w:r w:rsidRPr="00B745BC">
          <w:rPr>
            <w:rStyle w:val="Hyperlink"/>
            <w:rFonts w:cstheme="minorHAnsi"/>
          </w:rPr>
          <w:t>https://www.politico.com/story/2018/10/23/shihabi-saudi-arabia-washington-ambassador-933951</w:t>
        </w:r>
      </w:hyperlink>
      <w:r w:rsidRPr="00B745BC">
        <w:rPr>
          <w:rFonts w:cstheme="minorHAnsi"/>
        </w:rPr>
        <w:t xml:space="preserve">.; </w:t>
      </w:r>
      <w:r w:rsidRPr="00B745BC">
        <w:rPr>
          <w:rStyle w:val="authors"/>
          <w:rFonts w:cstheme="minorHAnsi"/>
          <w:color w:val="333333"/>
          <w:shd w:val="clear" w:color="auto" w:fill="FFFFFF"/>
        </w:rPr>
        <w:t>Yan Xiaojun &amp; Mohammed Alsudairi</w:t>
      </w:r>
      <w:r w:rsidRPr="00B745BC">
        <w:rPr>
          <w:rFonts w:cstheme="minorHAnsi"/>
          <w:color w:val="333333"/>
          <w:shd w:val="clear" w:color="auto" w:fill="FFFFFF"/>
        </w:rPr>
        <w:t>, “</w:t>
      </w:r>
      <w:r w:rsidRPr="00B745BC">
        <w:rPr>
          <w:rStyle w:val="arttitle"/>
          <w:rFonts w:cstheme="minorHAnsi"/>
          <w:color w:val="333333"/>
          <w:shd w:val="clear" w:color="auto" w:fill="FFFFFF"/>
        </w:rPr>
        <w:t>Guarding Against the Threat of a Westernising Education: A Comparative Study of Chinese and Saudi Cultural Security Discourses and Practices Towards Overseas Study,”</w:t>
      </w:r>
      <w:r w:rsidRPr="00B745BC">
        <w:rPr>
          <w:rFonts w:cstheme="minorHAnsi"/>
          <w:color w:val="333333"/>
          <w:shd w:val="clear" w:color="auto" w:fill="FFFFFF"/>
        </w:rPr>
        <w:t> </w:t>
      </w:r>
      <w:r w:rsidRPr="00B745BC">
        <w:rPr>
          <w:rStyle w:val="serialtitle"/>
          <w:rFonts w:cstheme="minorHAnsi"/>
          <w:i/>
          <w:iCs/>
          <w:color w:val="333333"/>
          <w:shd w:val="clear" w:color="auto" w:fill="FFFFFF"/>
        </w:rPr>
        <w:t>Journal of Contemporary China</w:t>
      </w:r>
      <w:r w:rsidRPr="00B745BC">
        <w:rPr>
          <w:rStyle w:val="serialtitle"/>
          <w:rFonts w:cstheme="minorHAnsi"/>
          <w:color w:val="333333"/>
          <w:shd w:val="clear" w:color="auto" w:fill="FFFFFF"/>
        </w:rPr>
        <w:t xml:space="preserve"> 29, no 128 (2021): </w:t>
      </w:r>
      <w:r w:rsidRPr="00B745BC">
        <w:rPr>
          <w:rStyle w:val="doilink"/>
          <w:rFonts w:cstheme="minorHAnsi"/>
          <w:color w:val="333333"/>
          <w:shd w:val="clear" w:color="auto" w:fill="FFFFFF"/>
        </w:rPr>
        <w:t>p 15.</w:t>
      </w:r>
    </w:p>
  </w:footnote>
  <w:footnote w:id="89">
    <w:p w14:paraId="3DBE9328"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Ali Shihabi. Twitter Post. June 27, 2018. </w:t>
      </w:r>
      <w:hyperlink r:id="rId17" w:history="1">
        <w:r w:rsidRPr="00B745BC">
          <w:rPr>
            <w:rStyle w:val="Hyperlink"/>
            <w:rFonts w:cstheme="minorHAnsi"/>
          </w:rPr>
          <w:t>https://twitter.com/aliShihabi/status/1011717572473995264</w:t>
        </w:r>
      </w:hyperlink>
      <w:r w:rsidRPr="00B745BC">
        <w:rPr>
          <w:rFonts w:cstheme="minorHAnsi"/>
        </w:rPr>
        <w:t xml:space="preserve">. </w:t>
      </w:r>
    </w:p>
  </w:footnote>
  <w:footnote w:id="90">
    <w:p w14:paraId="53204477"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Xiaojun &amp; Alsudairi, p 16. </w:t>
      </w:r>
    </w:p>
  </w:footnote>
  <w:footnote w:id="91">
    <w:p w14:paraId="17EF6864"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“Saudi Crown Prince Says Israelis Have Right to Their Own Land,” Reuters (Thomson Reuters, April 2, 2018), </w:t>
      </w:r>
      <w:hyperlink r:id="rId18" w:history="1">
        <w:r w:rsidRPr="00B745BC">
          <w:rPr>
            <w:rStyle w:val="Hyperlink"/>
            <w:rFonts w:cstheme="minorHAnsi"/>
          </w:rPr>
          <w:t>https://www.reuters.com/article/us-saudi-prince-israel-idUSKCN1H91SQ</w:t>
        </w:r>
      </w:hyperlink>
      <w:r w:rsidRPr="00B745BC">
        <w:rPr>
          <w:rFonts w:cstheme="minorHAnsi"/>
        </w:rPr>
        <w:t xml:space="preserve">. </w:t>
      </w:r>
    </w:p>
  </w:footnote>
  <w:footnote w:id="92">
    <w:p w14:paraId="56849207"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Ali Dogan, “Saudi Arabia's Neom Diplomacy,” Carnegie Endowment for International Peace, March 3, 2021, </w:t>
      </w:r>
      <w:hyperlink r:id="rId19" w:history="1">
        <w:r w:rsidRPr="00B745BC">
          <w:rPr>
            <w:rStyle w:val="Hyperlink"/>
            <w:rFonts w:cstheme="minorHAnsi"/>
          </w:rPr>
          <w:t>https://carnegieendowment.org/sada/83975</w:t>
        </w:r>
      </w:hyperlink>
      <w:r w:rsidRPr="00B745BC">
        <w:rPr>
          <w:rFonts w:cstheme="minorHAnsi"/>
        </w:rPr>
        <w:t xml:space="preserve">. </w:t>
      </w:r>
    </w:p>
  </w:footnote>
  <w:footnote w:id="93">
    <w:p w14:paraId="36E2FE3F"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Natan Sachs and Tamara Cofman-Wittes, “Saudi-Israeli Relations: The Curious Case of a NEOM Meeting Denied,” Brookings (Brookings, November 29, 2020), </w:t>
      </w:r>
      <w:hyperlink r:id="rId20" w:history="1">
        <w:r w:rsidRPr="00B745BC">
          <w:rPr>
            <w:rStyle w:val="Hyperlink"/>
            <w:rFonts w:cstheme="minorHAnsi"/>
          </w:rPr>
          <w:t>https://www.brookings.edu/blog/order-from-chaos/2020/11/25/saudi-israeli-relations-the-curious-case-of-a-neom-meeting-denied/</w:t>
        </w:r>
      </w:hyperlink>
      <w:r w:rsidRPr="00B745BC">
        <w:rPr>
          <w:rFonts w:cstheme="minorHAnsi"/>
        </w:rPr>
        <w:t xml:space="preserve">. </w:t>
      </w:r>
    </w:p>
  </w:footnote>
  <w:footnote w:id="94">
    <w:p w14:paraId="3D407959"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#2020.5</w:t>
      </w:r>
    </w:p>
  </w:footnote>
  <w:footnote w:id="95">
    <w:p w14:paraId="09719F85" w14:textId="22DD6078" w:rsidR="00AE7C06" w:rsidRDefault="00AE7C06" w:rsidP="00AE7C06">
      <w:pPr>
        <w:pStyle w:val="FootnoteText"/>
        <w:ind w:firstLine="720"/>
      </w:pPr>
      <w:r>
        <w:rPr>
          <w:rStyle w:val="FootnoteReference"/>
        </w:rPr>
        <w:footnoteRef/>
      </w:r>
      <w:r>
        <w:t xml:space="preserve"> “Palestinians under the Whip of the Saudi Judiciary...the Absence of Justice?” (Al-Mayadeen, October 2, 2021), </w:t>
      </w:r>
      <w:hyperlink r:id="rId21" w:history="1">
        <w:r w:rsidRPr="00372D23">
          <w:rPr>
            <w:rStyle w:val="Hyperlink"/>
          </w:rPr>
          <w:t>https://rb.gy/lzfvkm</w:t>
        </w:r>
      </w:hyperlink>
      <w:r>
        <w:t xml:space="preserve">. </w:t>
      </w:r>
    </w:p>
  </w:footnote>
  <w:footnote w:id="96">
    <w:p w14:paraId="6D7C2997"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97">
    <w:p w14:paraId="4F547306"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Adam Coogle, “The High Cost of Change: Repression Under Saudi Crown Prince Tarnishes Reforms.” Human Rights Watch, November 4, 2019. </w:t>
      </w:r>
      <w:hyperlink r:id="rId22" w:anchor="_ftn94" w:history="1">
        <w:r w:rsidRPr="00B745BC">
          <w:rPr>
            <w:rStyle w:val="Hyperlink"/>
            <w:rFonts w:cstheme="minorHAnsi"/>
          </w:rPr>
          <w:t>https://www.hrw.org/report/2019/11/04/high-cost-change/repression-under-saudi-crown-prince-tarnishes-reforms#_ftn94</w:t>
        </w:r>
      </w:hyperlink>
      <w:r w:rsidRPr="00B745BC">
        <w:rPr>
          <w:rFonts w:cstheme="minorHAnsi"/>
        </w:rPr>
        <w:t xml:space="preserve">.; Alexei Abrahams and Andrew Leber, “Electronic Armies or Cyber Knights? The Sources of Pro-Authoritarian Discourse on Middle East Twitter,” </w:t>
      </w:r>
      <w:r w:rsidRPr="00B745BC">
        <w:rPr>
          <w:rFonts w:cstheme="minorHAnsi"/>
          <w:i/>
          <w:iCs/>
        </w:rPr>
        <w:t>International Journal of Communications</w:t>
      </w:r>
      <w:r w:rsidRPr="00B745BC">
        <w:rPr>
          <w:rFonts w:cstheme="minorHAnsi"/>
        </w:rPr>
        <w:t>, forthcoming.</w:t>
      </w:r>
    </w:p>
  </w:footnote>
  <w:footnote w:id="98">
    <w:p w14:paraId="75CDA00B"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 </w:t>
      </w:r>
    </w:p>
  </w:footnote>
  <w:footnote w:id="99">
    <w:p w14:paraId="6C81B14A"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“Saudi Petition in Refusal of Normalization.” </w:t>
      </w:r>
      <w:r w:rsidRPr="00B745BC">
        <w:rPr>
          <w:rFonts w:cstheme="minorHAnsi"/>
          <w:i/>
          <w:iCs/>
        </w:rPr>
        <w:t xml:space="preserve">Almayadeen, </w:t>
      </w:r>
      <w:r w:rsidRPr="00B745BC">
        <w:rPr>
          <w:rFonts w:cstheme="minorHAnsi"/>
        </w:rPr>
        <w:t xml:space="preserve">August 3, 2016. </w:t>
      </w:r>
      <w:hyperlink r:id="rId23" w:history="1">
        <w:r w:rsidRPr="00B745BC">
          <w:rPr>
            <w:rStyle w:val="Hyperlink"/>
            <w:rFonts w:cstheme="minorHAnsi"/>
          </w:rPr>
          <w:t>https://rb.gy/jdh9vn</w:t>
        </w:r>
      </w:hyperlink>
      <w:r w:rsidRPr="00B745BC">
        <w:rPr>
          <w:rFonts w:cstheme="minorHAnsi"/>
        </w:rPr>
        <w:t xml:space="preserve">. </w:t>
      </w:r>
    </w:p>
  </w:footnote>
  <w:footnote w:id="100">
    <w:p w14:paraId="467B6848"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Among the notable Saudis who signed on, these included Esam Zamel (economist and public intellectual), Ali Dufairi (media figure), Abdullah Odeh (activist), Abdullah Malki (writer), Yaser Matrafi (head of research institute Namaa’), Aziza Alyousef (prominent feminist), and many more. Many of these figures are now outside the country or in prison. </w:t>
      </w:r>
    </w:p>
  </w:footnote>
  <w:footnote w:id="101">
    <w:p w14:paraId="075C6A80"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#2020.5</w:t>
      </w:r>
    </w:p>
  </w:footnote>
  <w:footnote w:id="102">
    <w:p w14:paraId="7F6E69E4"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Comments by Gulf Coalition members during inaugural meeting and talk, August 18 2020, </w:t>
      </w:r>
      <w:hyperlink r:id="rId24" w:history="1">
        <w:r w:rsidRPr="00B745BC">
          <w:rPr>
            <w:rStyle w:val="Hyperlink"/>
            <w:rFonts w:cstheme="minorHAnsi"/>
          </w:rPr>
          <w:t>https://www.youtube.com/watch?v=TCTySS2_jto</w:t>
        </w:r>
      </w:hyperlink>
      <w:r w:rsidRPr="00B745BC">
        <w:rPr>
          <w:rFonts w:cstheme="minorHAnsi"/>
        </w:rPr>
        <w:t xml:space="preserve">. </w:t>
      </w:r>
    </w:p>
  </w:footnote>
  <w:footnote w:id="103">
    <w:p w14:paraId="49E15546"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 </w:t>
      </w:r>
    </w:p>
  </w:footnote>
  <w:footnote w:id="104">
    <w:p w14:paraId="64914B99"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Prominent examples include Loujain al-Hathloul and Fahad al-Butairi, as well as Malak al-Shehri and Ayman al-Drees. See F. Brinley Bruton, “Malak Al-Shehri Speaks out after Saudi Arabia Detains Husband,” NBC News (NBC Universal News Group, May 4, 2019), </w:t>
      </w:r>
      <w:hyperlink r:id="rId25" w:history="1">
        <w:r w:rsidRPr="00B745BC">
          <w:rPr>
            <w:rStyle w:val="Hyperlink"/>
            <w:rFonts w:cstheme="minorHAnsi"/>
          </w:rPr>
          <w:t>https://www.nbcnews.com/news/world/malak-al-shehri-speaks-out-after-saudi-arabia-detains-husband-n999976</w:t>
        </w:r>
      </w:hyperlink>
      <w:r w:rsidRPr="00B745BC">
        <w:rPr>
          <w:rFonts w:cstheme="minorHAnsi"/>
        </w:rPr>
        <w:t xml:space="preserve">.;  DAWN Report, “‘I'll Kill You... But before That, I'll Rape You’: Loujain Alhathloul's Arrest and Torture for Advocating for the Right to Drive,” February 11, 2021, </w:t>
      </w:r>
      <w:hyperlink r:id="rId26" w:history="1">
        <w:r w:rsidRPr="00B745BC">
          <w:rPr>
            <w:rStyle w:val="Hyperlink"/>
            <w:rFonts w:cstheme="minorHAnsi"/>
          </w:rPr>
          <w:t>https://dawnmena.org/ill-kill-you-but-before-that-ill-rape-you-loujain-alhathlouls-torture-in-a-saudi-prison-2/</w:t>
        </w:r>
      </w:hyperlink>
      <w:r w:rsidRPr="00B745BC">
        <w:rPr>
          <w:rFonts w:cstheme="minorHAnsi"/>
        </w:rPr>
        <w:t xml:space="preserve">. </w:t>
      </w:r>
    </w:p>
  </w:footnote>
  <w:footnote w:id="105">
    <w:p w14:paraId="350E1F60"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Black, “Just below the Surface: Israel, the Arab Gulf States and the Limits of Cooperation,” 2019. </w:t>
      </w:r>
    </w:p>
  </w:footnote>
  <w:footnote w:id="106">
    <w:p w14:paraId="79D663D6"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Black, 19.</w:t>
      </w:r>
    </w:p>
  </w:footnote>
  <w:footnote w:id="107">
    <w:p w14:paraId="30C11143"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 13, 17-18.</w:t>
      </w:r>
    </w:p>
  </w:footnote>
  <w:footnote w:id="108">
    <w:p w14:paraId="79C00F61" w14:textId="77777777" w:rsidR="008078FA" w:rsidRPr="00B745BC" w:rsidRDefault="008078FA" w:rsidP="00AE7C06">
      <w:pPr>
        <w:pStyle w:val="FootnoteText"/>
        <w:ind w:firstLine="720"/>
        <w:jc w:val="both"/>
        <w:rPr>
          <w:rFonts w:cstheme="minorHAnsi"/>
        </w:rPr>
      </w:pPr>
      <w:r w:rsidRPr="00B745BC">
        <w:rPr>
          <w:rStyle w:val="FootnoteReference"/>
          <w:rFonts w:cstheme="minorHAnsi"/>
        </w:rPr>
        <w:footnoteRef/>
      </w:r>
      <w:r w:rsidRPr="00B745BC">
        <w:rPr>
          <w:rFonts w:cstheme="minorHAnsi"/>
        </w:rPr>
        <w:t xml:space="preserve"> Lorenzo </w:t>
      </w:r>
      <w:r w:rsidRPr="00B745BC">
        <w:rPr>
          <w:rFonts w:cstheme="minorHAnsi"/>
          <w:shd w:val="clear" w:color="auto" w:fill="FFFFFF"/>
        </w:rPr>
        <w:t xml:space="preserve">Franceschi-Bicchierai, "How 'Mr. Hashtag' Helped Saudi Arabia Spy on Dissidents," Motherboard. October 29, 2018. </w:t>
      </w:r>
      <w:hyperlink r:id="rId27" w:history="1">
        <w:r w:rsidRPr="00B745BC">
          <w:rPr>
            <w:rStyle w:val="Hyperlink"/>
            <w:rFonts w:cstheme="minorHAnsi"/>
            <w:shd w:val="clear" w:color="auto" w:fill="FFFFFF"/>
          </w:rPr>
          <w:t>https://motherboard.vice.com/en_us/article/kzjmze/saud-al-qahtani-saudi-arabia-hacking-team</w:t>
        </w:r>
      </w:hyperlink>
      <w:r w:rsidRPr="00B745BC">
        <w:rPr>
          <w:rFonts w:cstheme="minorHAnsi"/>
          <w:shd w:val="clear" w:color="auto" w:fill="FFFFFF"/>
        </w:rPr>
        <w:t xml:space="preserve">. </w:t>
      </w:r>
    </w:p>
  </w:footnote>
  <w:footnote w:id="109">
    <w:p w14:paraId="581AE67C" w14:textId="77777777" w:rsidR="008078FA" w:rsidRPr="00B745BC" w:rsidRDefault="008078FA" w:rsidP="00AE7C06">
      <w:pPr>
        <w:pStyle w:val="FootnoteText"/>
        <w:ind w:firstLine="720"/>
        <w:jc w:val="both"/>
        <w:rPr>
          <w:rFonts w:cstheme="minorHAnsi"/>
        </w:rPr>
      </w:pPr>
      <w:r w:rsidRPr="00B745BC">
        <w:rPr>
          <w:rStyle w:val="FootnoteReference"/>
          <w:rFonts w:cstheme="minorHAnsi"/>
        </w:rPr>
        <w:footnoteRef/>
      </w:r>
      <w:r w:rsidRPr="00B745BC">
        <w:rPr>
          <w:rFonts w:cstheme="minorHAnsi"/>
        </w:rPr>
        <w:t xml:space="preserve"> </w:t>
      </w:r>
      <w:r w:rsidRPr="00B745BC">
        <w:rPr>
          <w:rFonts w:cstheme="minorHAnsi"/>
          <w:shd w:val="clear" w:color="auto" w:fill="FFFFFF"/>
        </w:rPr>
        <w:t xml:space="preserve">David Kirkpatrick, "Israeli Software Helped Saudis Spy on Khashoggi, Lawsuit Says," The New York Times. December 02, 2018. </w:t>
      </w:r>
      <w:hyperlink r:id="rId28" w:history="1">
        <w:r w:rsidRPr="00B745BC">
          <w:rPr>
            <w:rStyle w:val="Hyperlink"/>
            <w:rFonts w:cstheme="minorHAnsi"/>
            <w:shd w:val="clear" w:color="auto" w:fill="FFFFFF"/>
          </w:rPr>
          <w:t>https://www.nytimes.com/2018/12/02/world/middleeast/saudi-khashoggi-spyware-israel.html</w:t>
        </w:r>
      </w:hyperlink>
      <w:r w:rsidRPr="00B745BC">
        <w:rPr>
          <w:rFonts w:cstheme="minorHAnsi"/>
          <w:shd w:val="clear" w:color="auto" w:fill="FFFFFF"/>
        </w:rPr>
        <w:t xml:space="preserve">. </w:t>
      </w:r>
    </w:p>
  </w:footnote>
  <w:footnote w:id="110">
    <w:p w14:paraId="1B0912C4" w14:textId="77777777" w:rsidR="008078FA" w:rsidRPr="00B745BC" w:rsidRDefault="008078FA" w:rsidP="00AE7C06">
      <w:pPr>
        <w:pStyle w:val="FootnoteText"/>
        <w:ind w:firstLine="720"/>
        <w:jc w:val="both"/>
        <w:rPr>
          <w:rFonts w:cstheme="minorHAnsi"/>
        </w:rPr>
      </w:pPr>
      <w:r w:rsidRPr="00B745BC">
        <w:rPr>
          <w:rStyle w:val="FootnoteReference"/>
          <w:rFonts w:cstheme="minorHAnsi"/>
        </w:rPr>
        <w:footnoteRef/>
      </w:r>
      <w:r w:rsidRPr="00B745BC">
        <w:rPr>
          <w:rFonts w:cstheme="minorHAnsi"/>
        </w:rPr>
        <w:t xml:space="preserve"> Felicia </w:t>
      </w:r>
      <w:r w:rsidRPr="00B745BC">
        <w:rPr>
          <w:rFonts w:cstheme="minorHAnsi"/>
          <w:shd w:val="clear" w:color="auto" w:fill="FFFFFF"/>
        </w:rPr>
        <w:t xml:space="preserve">Schwartz, Margherita Stancati, and Summer Said, "Covert Saudi Outreach to Israel Sputters After Journalist's Murder," The Wall Street Journal. December 18, 2018. </w:t>
      </w:r>
      <w:hyperlink r:id="rId29" w:history="1">
        <w:r w:rsidRPr="00B745BC">
          <w:rPr>
            <w:rStyle w:val="Hyperlink"/>
            <w:rFonts w:cstheme="minorHAnsi"/>
            <w:shd w:val="clear" w:color="auto" w:fill="FFFFFF"/>
          </w:rPr>
          <w:t>https://www.wsj.com/articles/covert-saudi-outreach-to-israel-sputters-after-journalists-murder-11545129001</w:t>
        </w:r>
      </w:hyperlink>
      <w:r w:rsidRPr="00B745BC">
        <w:rPr>
          <w:rFonts w:cstheme="minorHAnsi"/>
          <w:shd w:val="clear" w:color="auto" w:fill="FFFFFF"/>
        </w:rPr>
        <w:t xml:space="preserve">. </w:t>
      </w:r>
    </w:p>
  </w:footnote>
  <w:footnote w:id="111">
    <w:p w14:paraId="4621BC60" w14:textId="77777777" w:rsidR="008078FA" w:rsidRPr="00B745BC" w:rsidRDefault="008078FA" w:rsidP="00AE7C06">
      <w:pPr>
        <w:pStyle w:val="FootnoteText"/>
        <w:ind w:firstLine="720"/>
        <w:jc w:val="both"/>
        <w:rPr>
          <w:rFonts w:cstheme="minorHAnsi"/>
        </w:rPr>
      </w:pPr>
      <w:r w:rsidRPr="00B745BC">
        <w:rPr>
          <w:rStyle w:val="FootnoteReference"/>
          <w:rFonts w:cstheme="minorHAnsi"/>
        </w:rPr>
        <w:footnoteRef/>
      </w:r>
      <w:r w:rsidRPr="00B745BC">
        <w:rPr>
          <w:rFonts w:cstheme="minorHAnsi"/>
        </w:rPr>
        <w:t xml:space="preserve"> </w:t>
      </w:r>
      <w:r w:rsidRPr="00B745BC">
        <w:rPr>
          <w:rFonts w:cstheme="minorHAnsi"/>
          <w:shd w:val="clear" w:color="auto" w:fill="FFFFFF"/>
        </w:rPr>
        <w:t xml:space="preserve">Ibid. </w:t>
      </w:r>
    </w:p>
  </w:footnote>
  <w:footnote w:id="112">
    <w:p w14:paraId="17447A2E" w14:textId="77777777" w:rsidR="008078FA" w:rsidRPr="00B745BC" w:rsidRDefault="008078FA" w:rsidP="00AE7C06">
      <w:pPr>
        <w:pStyle w:val="FootnoteText"/>
        <w:ind w:firstLine="720"/>
        <w:jc w:val="both"/>
        <w:rPr>
          <w:rFonts w:cstheme="minorHAnsi"/>
        </w:rPr>
      </w:pPr>
      <w:r w:rsidRPr="00B745BC">
        <w:rPr>
          <w:rStyle w:val="FootnoteReference"/>
          <w:rFonts w:cstheme="minorHAnsi"/>
        </w:rPr>
        <w:footnoteRef/>
      </w:r>
      <w:r w:rsidRPr="00B745BC">
        <w:rPr>
          <w:rFonts w:cstheme="minorHAnsi"/>
          <w:shd w:val="clear" w:color="auto" w:fill="FFFFFF"/>
        </w:rPr>
        <w:t xml:space="preserve"> Ibid. </w:t>
      </w:r>
      <w:hyperlink r:id="rId30" w:history="1"/>
      <w:r w:rsidRPr="00B745BC">
        <w:rPr>
          <w:rFonts w:cstheme="minorHAnsi"/>
        </w:rPr>
        <w:t xml:space="preserve"> </w:t>
      </w:r>
    </w:p>
  </w:footnote>
  <w:footnote w:id="113">
    <w:p w14:paraId="390FFF3E" w14:textId="77777777" w:rsidR="008078FA" w:rsidRPr="00B745BC" w:rsidRDefault="008078FA" w:rsidP="00AE7C06">
      <w:pPr>
        <w:pStyle w:val="FootnoteText"/>
        <w:ind w:firstLine="720"/>
        <w:jc w:val="both"/>
        <w:rPr>
          <w:rFonts w:cstheme="minorHAnsi"/>
        </w:rPr>
      </w:pPr>
      <w:r w:rsidRPr="00B745BC">
        <w:rPr>
          <w:rStyle w:val="FootnoteReference"/>
          <w:rFonts w:cstheme="minorHAnsi"/>
        </w:rPr>
        <w:footnoteRef/>
      </w:r>
      <w:r w:rsidRPr="00B745BC">
        <w:rPr>
          <w:rFonts w:cstheme="minorHAnsi"/>
        </w:rPr>
        <w:t xml:space="preserve"> Sarah </w:t>
      </w:r>
      <w:r w:rsidRPr="00B745BC">
        <w:rPr>
          <w:rFonts w:cstheme="minorHAnsi"/>
          <w:shd w:val="clear" w:color="auto" w:fill="FFFFFF"/>
        </w:rPr>
        <w:t xml:space="preserve">Aziza, "Saudi Women Who Fought for the Right to Drive Are Disappearing and Going Into Exile." The Intercept. October 06, 2018. </w:t>
      </w:r>
      <w:hyperlink r:id="rId31" w:history="1">
        <w:r w:rsidRPr="00B745BC">
          <w:rPr>
            <w:rStyle w:val="Hyperlink"/>
            <w:rFonts w:cstheme="minorHAnsi"/>
            <w:shd w:val="clear" w:color="auto" w:fill="FFFFFF"/>
          </w:rPr>
          <w:t>https://theintercept.com/2018/10/06/saudi-arabia-women-driving-activists-exile/</w:t>
        </w:r>
      </w:hyperlink>
      <w:r w:rsidRPr="00B745BC">
        <w:rPr>
          <w:rFonts w:cstheme="minorHAnsi"/>
          <w:shd w:val="clear" w:color="auto" w:fill="FFFFFF"/>
        </w:rPr>
        <w:t xml:space="preserve">. </w:t>
      </w:r>
    </w:p>
  </w:footnote>
  <w:footnote w:id="114">
    <w:p w14:paraId="35BFC0C5" w14:textId="77777777" w:rsidR="008078FA" w:rsidRPr="00B745BC" w:rsidRDefault="008078FA" w:rsidP="00AE7C06">
      <w:pPr>
        <w:pStyle w:val="FootnoteText"/>
        <w:ind w:firstLine="720"/>
        <w:jc w:val="both"/>
        <w:rPr>
          <w:rFonts w:cstheme="minorHAnsi"/>
        </w:rPr>
      </w:pPr>
      <w:r w:rsidRPr="00B745BC">
        <w:rPr>
          <w:rStyle w:val="FootnoteReference"/>
          <w:rFonts w:cstheme="minorHAnsi"/>
        </w:rPr>
        <w:footnoteRef/>
      </w:r>
      <w:r w:rsidRPr="00B745BC">
        <w:rPr>
          <w:rFonts w:cstheme="minorHAnsi"/>
        </w:rPr>
        <w:t xml:space="preserve"> Bill </w:t>
      </w:r>
      <w:r w:rsidRPr="00B745BC">
        <w:rPr>
          <w:rFonts w:cstheme="minorHAnsi"/>
          <w:shd w:val="clear" w:color="auto" w:fill="FFFFFF"/>
        </w:rPr>
        <w:t xml:space="preserve">Marczak, John Scott-Railton, Sarah McKune, Bahr Abdul Razzak, and Ron Deibert. "Hide and Seek: Tracking NSO Group's Pegasus Spyware to Operations in 45 Countries." The Citizen Lab at the University of Toronto, Research Report 113. </w:t>
      </w:r>
      <w:hyperlink r:id="rId32" w:history="1">
        <w:r w:rsidRPr="00B745BC">
          <w:rPr>
            <w:rStyle w:val="Hyperlink"/>
            <w:rFonts w:cstheme="minorHAnsi"/>
            <w:shd w:val="clear" w:color="auto" w:fill="FFFFFF"/>
          </w:rPr>
          <w:t>https://tspace.library.utoronto.ca/bitstream/1807/95391/1/Report%23113--hide%20and%20seek.pdf</w:t>
        </w:r>
      </w:hyperlink>
      <w:r w:rsidRPr="00B745BC">
        <w:rPr>
          <w:rFonts w:cstheme="minorHAnsi"/>
          <w:shd w:val="clear" w:color="auto" w:fill="FFFFFF"/>
        </w:rPr>
        <w:t xml:space="preserve">. </w:t>
      </w:r>
    </w:p>
  </w:footnote>
  <w:footnote w:id="115">
    <w:p w14:paraId="185317D7"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Stephanie Kirchgaessner and Michael Safi, “Dozens of Al Jazeera Journalists Allegedly Hacked Using Israeli Firm's Spyware,” The Guardian (Guardian News and Media, December 20, 2020), </w:t>
      </w:r>
      <w:hyperlink r:id="rId33" w:history="1">
        <w:r w:rsidRPr="00B745BC">
          <w:rPr>
            <w:rStyle w:val="Hyperlink"/>
            <w:rFonts w:cstheme="minorHAnsi"/>
          </w:rPr>
          <w:t>https://www.theguardian.com/media/2020/dec/20/citizen-lab-nso-dozens-of-aljazeera-journalists-allegedly-hacked-using-israeli-firm-spyware</w:t>
        </w:r>
      </w:hyperlink>
      <w:r w:rsidRPr="00B745BC">
        <w:rPr>
          <w:rFonts w:cstheme="minorHAnsi"/>
        </w:rPr>
        <w:t xml:space="preserve">. </w:t>
      </w:r>
    </w:p>
  </w:footnote>
  <w:footnote w:id="116">
    <w:p w14:paraId="46C65784" w14:textId="77777777" w:rsidR="008078FA" w:rsidRPr="00B745BC" w:rsidRDefault="008078FA" w:rsidP="00AE7C06">
      <w:pPr>
        <w:pStyle w:val="FootnoteText"/>
        <w:ind w:firstLine="720"/>
        <w:rPr>
          <w:rFonts w:cstheme="minorHAnsi"/>
          <w:shd w:val="clear" w:color="auto" w:fill="FFFFFF"/>
        </w:rPr>
      </w:pPr>
      <w:r w:rsidRPr="00B745BC">
        <w:rPr>
          <w:rStyle w:val="FootnoteReference"/>
          <w:rFonts w:cstheme="minorHAnsi"/>
        </w:rPr>
        <w:footnoteRef/>
      </w:r>
      <w:r w:rsidRPr="00B745BC">
        <w:rPr>
          <w:rFonts w:cstheme="minorHAnsi"/>
        </w:rPr>
        <w:t xml:space="preserve"> Bill </w:t>
      </w:r>
      <w:r w:rsidRPr="00B745BC">
        <w:rPr>
          <w:rFonts w:cstheme="minorHAnsi"/>
          <w:shd w:val="clear" w:color="auto" w:fill="FFFFFF"/>
        </w:rPr>
        <w:t xml:space="preserve">Marczak, John Scott-Railton, Noura Al-Jizawi, Siena Anstis, and Ron Deibert. "The Great iPwn: Journalists Hacked with Suspected NSO Group iMessage ‘Zero-Click’ Exploit." The Citizen Lab. </w:t>
      </w:r>
      <w:hyperlink r:id="rId34" w:history="1">
        <w:r w:rsidRPr="00B745BC">
          <w:rPr>
            <w:rStyle w:val="Hyperlink"/>
            <w:rFonts w:cstheme="minorHAnsi"/>
          </w:rPr>
          <w:t>https://citizenlab.ca/2020/12/the-great-ipwn-journalists-hacked-with-suspected-nso-group-imessage-zero-click-exploit/</w:t>
        </w:r>
      </w:hyperlink>
      <w:r w:rsidRPr="00B745BC">
        <w:rPr>
          <w:rStyle w:val="Hyperlink"/>
          <w:rFonts w:cstheme="minorHAnsi"/>
        </w:rPr>
        <w:t xml:space="preserve">. </w:t>
      </w:r>
    </w:p>
  </w:footnote>
  <w:footnote w:id="117">
    <w:p w14:paraId="42183693"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Ubaidi Jibril, “Emirati Peace Is a Sovereign Decision.” Asharq Al-Awsat. August 25, 2020. </w:t>
      </w:r>
      <w:hyperlink r:id="rId35" w:history="1">
        <w:r w:rsidRPr="00B745BC">
          <w:rPr>
            <w:rStyle w:val="Hyperlink"/>
            <w:rFonts w:cstheme="minorHAnsi"/>
          </w:rPr>
          <w:t>https://rb.gy/rrokt8</w:t>
        </w:r>
      </w:hyperlink>
      <w:r w:rsidRPr="00B745BC">
        <w:rPr>
          <w:rStyle w:val="Hyperlink"/>
          <w:rFonts w:cstheme="minorHAnsi"/>
        </w:rPr>
        <w:t xml:space="preserve">.; </w:t>
      </w:r>
      <w:r w:rsidRPr="00B745BC">
        <w:rPr>
          <w:rFonts w:cstheme="minorHAnsi"/>
        </w:rPr>
        <w:t xml:space="preserve">Vivian Nereim and Patrick Donahue, “Saudi Support for 2002 Plan Shows It Won’t Copy UAE-Israel Pact.” Bloomberg, August 19, 2020. </w:t>
      </w:r>
      <w:hyperlink r:id="rId36" w:history="1">
        <w:r w:rsidRPr="00B745BC">
          <w:rPr>
            <w:rStyle w:val="Hyperlink"/>
            <w:rFonts w:cstheme="minorHAnsi"/>
          </w:rPr>
          <w:t>https://www.bloomberg.com/news/articles/2020-08-18/saudi-arabia-avoids-reference-to-uae-normalization-with-israel</w:t>
        </w:r>
      </w:hyperlink>
      <w:r w:rsidRPr="00B745BC">
        <w:rPr>
          <w:rFonts w:cstheme="minorHAnsi"/>
        </w:rPr>
        <w:t xml:space="preserve">. </w:t>
      </w:r>
    </w:p>
  </w:footnote>
  <w:footnote w:id="118">
    <w:p w14:paraId="35F27427"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#2020.1.</w:t>
      </w:r>
    </w:p>
  </w:footnote>
  <w:footnote w:id="119">
    <w:p w14:paraId="315ED256"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#2020.5. </w:t>
      </w:r>
    </w:p>
  </w:footnote>
  <w:footnote w:id="120">
    <w:p w14:paraId="1DB802BD" w14:textId="77777777" w:rsidR="008078FA" w:rsidRPr="00B745BC" w:rsidRDefault="008078FA"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121">
    <w:p w14:paraId="3E4489B3" w14:textId="6ACF2D6B" w:rsidR="008234B1" w:rsidRPr="00B745BC" w:rsidRDefault="008234B1" w:rsidP="0069124D">
      <w:pPr>
        <w:pStyle w:val="FootnoteText"/>
        <w:ind w:firstLine="720"/>
        <w:rPr>
          <w:rFonts w:cstheme="minorHAnsi"/>
        </w:rPr>
      </w:pPr>
      <w:r w:rsidRPr="00B745BC">
        <w:rPr>
          <w:rStyle w:val="FootnoteReference"/>
          <w:rFonts w:cstheme="minorHAnsi"/>
        </w:rPr>
        <w:footnoteRef/>
      </w:r>
      <w:r w:rsidRPr="00B745BC">
        <w:rPr>
          <w:rFonts w:cstheme="minorHAnsi"/>
        </w:rPr>
        <w:t xml:space="preserve"> </w:t>
      </w:r>
      <w:r w:rsidR="00192804">
        <w:rPr>
          <w:rFonts w:cstheme="minorHAnsi"/>
        </w:rPr>
        <w:t>“</w:t>
      </w:r>
      <w:r w:rsidR="00302880">
        <w:rPr>
          <w:rFonts w:cstheme="minorHAnsi"/>
        </w:rPr>
        <w:t xml:space="preserve">Abraham Accords Peace Agreement: Treaty of Peace, Diplomatic Relations and Full Normalization between the United Arab Emirates and the State of Israel.” </w:t>
      </w:r>
      <w:r w:rsidR="00A53DFD">
        <w:rPr>
          <w:rFonts w:cstheme="minorHAnsi"/>
        </w:rPr>
        <w:t>Opened for signature September 15, 2020</w:t>
      </w:r>
      <w:r w:rsidR="0069124D">
        <w:rPr>
          <w:rFonts w:cstheme="minorHAnsi"/>
        </w:rPr>
        <w:t xml:space="preserve">, </w:t>
      </w:r>
      <w:hyperlink r:id="rId37" w:history="1">
        <w:r w:rsidR="00192804" w:rsidRPr="00372D23">
          <w:rPr>
            <w:rStyle w:val="Hyperlink"/>
            <w:rFonts w:cstheme="minorHAnsi"/>
          </w:rPr>
          <w:t>https://www.state.gov/wp-content/uploads/2020/09/UAE_Israel-treaty-signed-FINAL-15-Sept-2020-508.pdf</w:t>
        </w:r>
      </w:hyperlink>
      <w:r w:rsidR="0069124D">
        <w:rPr>
          <w:rFonts w:cstheme="minorHAnsi"/>
        </w:rPr>
        <w:t>.</w:t>
      </w:r>
    </w:p>
    <w:p w14:paraId="5D92D92B" w14:textId="737C6511" w:rsidR="008234B1" w:rsidRPr="00B745BC" w:rsidRDefault="00737BE4" w:rsidP="00737BE4">
      <w:pPr>
        <w:pStyle w:val="FootnoteText"/>
        <w:ind w:firstLine="720"/>
        <w:rPr>
          <w:rFonts w:cstheme="minorHAnsi"/>
        </w:rPr>
      </w:pPr>
      <w:r>
        <w:rPr>
          <w:rFonts w:cstheme="minorHAnsi"/>
        </w:rPr>
        <w:t xml:space="preserve">“Abraham Accords: Declaration of Peace, Cooperation, and Constructive Diplomatic and Friendly Relations.” Opened for signature September 15, 2020, </w:t>
      </w:r>
      <w:hyperlink r:id="rId38" w:history="1">
        <w:r w:rsidRPr="00372D23">
          <w:rPr>
            <w:rStyle w:val="Hyperlink"/>
            <w:rFonts w:cstheme="minorHAnsi"/>
          </w:rPr>
          <w:t>https://www.state.gov/wp-content/uploads/2020/09/Bahrain_Israel-Agreement-signed-FINAL-15-Sept-2020-508.pdf</w:t>
        </w:r>
      </w:hyperlink>
      <w:r>
        <w:rPr>
          <w:rFonts w:cstheme="minorHAnsi"/>
        </w:rPr>
        <w:t xml:space="preserve">. </w:t>
      </w:r>
    </w:p>
  </w:footnote>
  <w:footnote w:id="122">
    <w:p w14:paraId="00C4149B" w14:textId="59BFEBBE"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Congressional records of the debate around the US-Bahrain Free Trade Agreement shows that ending Bahrain’s involvement in economic boycott of Israel was a key issue in garnering support for the FTA among legislators at that time. </w:t>
      </w:r>
      <w:r w:rsidR="00615918" w:rsidRPr="00B745BC">
        <w:rPr>
          <w:rFonts w:cstheme="minorHAnsi"/>
        </w:rPr>
        <w:t>As a result,</w:t>
      </w:r>
      <w:r w:rsidRPr="00B745BC">
        <w:rPr>
          <w:rFonts w:cstheme="minorHAnsi"/>
        </w:rPr>
        <w:t xml:space="preserve"> Bahrain’s official anti-normalization office was closed, and</w:t>
      </w:r>
      <w:r w:rsidR="007F19FC" w:rsidRPr="00B745BC">
        <w:rPr>
          <w:rFonts w:cstheme="minorHAnsi"/>
        </w:rPr>
        <w:t xml:space="preserve"> it remains closed to this day.; </w:t>
      </w:r>
      <w:r w:rsidRPr="00B745BC">
        <w:rPr>
          <w:rFonts w:cstheme="minorHAnsi"/>
        </w:rPr>
        <w:t xml:space="preserve">United States- Bahrain Free Trade Agreement Implementation Act, Congressional Record Vol. 151, No. 156 (House of Representatives – December 7, 2005), </w:t>
      </w:r>
      <w:hyperlink r:id="rId39" w:history="1">
        <w:r w:rsidRPr="00B745BC">
          <w:rPr>
            <w:rStyle w:val="Hyperlink"/>
            <w:rFonts w:cstheme="minorHAnsi"/>
          </w:rPr>
          <w:t>https://www.congress.gov/109/crec/2005/12/07/CREC-2005-12-07-pt1-PgH11163-2.pdf</w:t>
        </w:r>
      </w:hyperlink>
      <w:r w:rsidRPr="00B745BC">
        <w:rPr>
          <w:rFonts w:cstheme="minorHAnsi"/>
        </w:rPr>
        <w:t xml:space="preserve">. </w:t>
      </w:r>
    </w:p>
  </w:footnote>
  <w:footnote w:id="123">
    <w:p w14:paraId="7D573574" w14:textId="459BDBC9"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Comments by Gulf Coalition members during meeting on “The Palestinian Cause in Gulf History,” September 16 2020, </w:t>
      </w:r>
      <w:hyperlink r:id="rId40" w:history="1">
        <w:r w:rsidRPr="00B745BC">
          <w:rPr>
            <w:rStyle w:val="Hyperlink"/>
            <w:rFonts w:cstheme="minorHAnsi"/>
          </w:rPr>
          <w:t>https://www.youtube.com/watch?v=G93pP3lcGTs&amp;t=3192s</w:t>
        </w:r>
      </w:hyperlink>
      <w:r w:rsidRPr="00B745BC">
        <w:rPr>
          <w:rFonts w:cstheme="minorHAnsi"/>
        </w:rPr>
        <w:t xml:space="preserve">. </w:t>
      </w:r>
    </w:p>
  </w:footnote>
  <w:footnote w:id="124">
    <w:p w14:paraId="53C43732" w14:textId="7346D5FB"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Gilbert &amp; Mohseni, p 3. </w:t>
      </w:r>
    </w:p>
  </w:footnote>
  <w:footnote w:id="125">
    <w:p w14:paraId="15AA975C" w14:textId="69A9BFA1"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Ghassan Chehabi comments, Ibid.  </w:t>
      </w:r>
    </w:p>
  </w:footnote>
  <w:footnote w:id="126">
    <w:p w14:paraId="4C7D58F2" w14:textId="4115ECD9"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127">
    <w:p w14:paraId="0EFC7285" w14:textId="44B97EF3"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#2021.1</w:t>
      </w:r>
    </w:p>
  </w:footnote>
  <w:footnote w:id="128">
    <w:p w14:paraId="02135E79" w14:textId="60813B56"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The author was in attendance, and it was later reported in Arab media: </w:t>
      </w:r>
      <w:hyperlink r:id="rId41" w:history="1">
        <w:r w:rsidRPr="00B745BC">
          <w:rPr>
            <w:rStyle w:val="Hyperlink"/>
            <w:rFonts w:cstheme="minorHAnsi"/>
          </w:rPr>
          <w:t>https://rb.gy/o9jh5f</w:t>
        </w:r>
      </w:hyperlink>
      <w:r w:rsidRPr="00B745BC">
        <w:rPr>
          <w:rFonts w:cstheme="minorHAnsi"/>
        </w:rPr>
        <w:t xml:space="preserve">. </w:t>
      </w:r>
    </w:p>
  </w:footnote>
  <w:footnote w:id="129">
    <w:p w14:paraId="0DAA3F43" w14:textId="1B48107D"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#2020.1</w:t>
      </w:r>
    </w:p>
  </w:footnote>
  <w:footnote w:id="130">
    <w:p w14:paraId="2A0A0602" w14:textId="77777777"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Morgenbesser 1061</w:t>
      </w:r>
    </w:p>
  </w:footnote>
  <w:footnote w:id="131">
    <w:p w14:paraId="596C42A5" w14:textId="5C92A87C"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Al-Ayam, “</w:t>
      </w:r>
      <w:r w:rsidRPr="00B745BC">
        <w:rPr>
          <w:rFonts w:cstheme="minorHAnsi"/>
          <w:rtl/>
        </w:rPr>
        <w:t>لا لما يُثير الخلافات ونقد سياسة الحكومة</w:t>
      </w:r>
      <w:r w:rsidRPr="00B745BC">
        <w:rPr>
          <w:rFonts w:cstheme="minorHAnsi"/>
        </w:rPr>
        <w:t xml:space="preserve">,” July 17, 2020, </w:t>
      </w:r>
      <w:hyperlink r:id="rId42" w:history="1">
        <w:r w:rsidRPr="00B745BC">
          <w:rPr>
            <w:rStyle w:val="Hyperlink"/>
            <w:rFonts w:cstheme="minorHAnsi"/>
          </w:rPr>
          <w:t>https://www.alayam.com/alayam/first/864742/News.html</w:t>
        </w:r>
      </w:hyperlink>
      <w:r w:rsidRPr="00B745BC">
        <w:rPr>
          <w:rFonts w:cstheme="minorHAnsi"/>
        </w:rPr>
        <w:t xml:space="preserve">. </w:t>
      </w:r>
    </w:p>
  </w:footnote>
  <w:footnote w:id="132">
    <w:p w14:paraId="7340AA7F" w14:textId="36AD4794"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#2021.1</w:t>
      </w:r>
    </w:p>
  </w:footnote>
  <w:footnote w:id="133">
    <w:p w14:paraId="14EFE2F3" w14:textId="309FCD23"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#2021.1, #2021.5</w:t>
      </w:r>
    </w:p>
  </w:footnote>
  <w:footnote w:id="134">
    <w:p w14:paraId="7542864E" w14:textId="18F813CB"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135">
    <w:p w14:paraId="4E9D6513" w14:textId="1C77BA8E"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w:t>
      </w:r>
      <w:r w:rsidRPr="00B745BC">
        <w:rPr>
          <w:rFonts w:cstheme="minorHAnsi"/>
          <w:shd w:val="clear" w:color="auto" w:fill="FFFFFF"/>
        </w:rPr>
        <w:t xml:space="preserve">Marczak et al 2018. </w:t>
      </w:r>
    </w:p>
  </w:footnote>
  <w:footnote w:id="136">
    <w:p w14:paraId="066503C9" w14:textId="01F56668"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Joint statement included in </w:t>
      </w:r>
      <w:r w:rsidR="00EB7F4C" w:rsidRPr="00B745BC">
        <w:rPr>
          <w:rFonts w:cstheme="minorHAnsi"/>
        </w:rPr>
        <w:t xml:space="preserve">section 3 of </w:t>
      </w:r>
      <w:r w:rsidR="0022528A" w:rsidRPr="00B745BC">
        <w:rPr>
          <w:rFonts w:cstheme="minorHAnsi"/>
        </w:rPr>
        <w:t>online appendix</w:t>
      </w:r>
      <w:r w:rsidRPr="00B745BC">
        <w:rPr>
          <w:rFonts w:cstheme="minorHAnsi"/>
        </w:rPr>
        <w:t xml:space="preserve">. </w:t>
      </w:r>
    </w:p>
  </w:footnote>
  <w:footnote w:id="137">
    <w:p w14:paraId="4AC9E113" w14:textId="7D8D7F6B" w:rsidR="00CE10C7" w:rsidRPr="00B745BC" w:rsidRDefault="00CE10C7"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#2021.5</w:t>
      </w:r>
    </w:p>
  </w:footnote>
  <w:footnote w:id="138">
    <w:p w14:paraId="61A9CBA6" w14:textId="77777777" w:rsidR="00961996" w:rsidRPr="00B745BC" w:rsidRDefault="00961996" w:rsidP="00AE7C06">
      <w:pPr>
        <w:pStyle w:val="FootnoteText"/>
        <w:ind w:firstLine="720"/>
        <w:rPr>
          <w:rFonts w:cstheme="minorHAnsi"/>
          <w:lang w:val="pt-PT"/>
        </w:rPr>
      </w:pPr>
      <w:r w:rsidRPr="00B745BC">
        <w:rPr>
          <w:rStyle w:val="FootnoteReference"/>
          <w:rFonts w:cstheme="minorHAnsi"/>
        </w:rPr>
        <w:footnoteRef/>
      </w:r>
      <w:r w:rsidRPr="00B745BC">
        <w:rPr>
          <w:rFonts w:cstheme="minorHAnsi"/>
        </w:rPr>
        <w:t xml:space="preserve"> Tom Allinson, “Will repression in UAE intensify under the Israel deal?” </w:t>
      </w:r>
      <w:r w:rsidRPr="00B745BC">
        <w:rPr>
          <w:rFonts w:cstheme="minorHAnsi"/>
          <w:lang w:val="pt-PT"/>
        </w:rPr>
        <w:t xml:space="preserve">Qantara (August 24, 2020). </w:t>
      </w:r>
      <w:hyperlink r:id="rId43" w:history="1">
        <w:r w:rsidRPr="00B745BC">
          <w:rPr>
            <w:rStyle w:val="Hyperlink"/>
            <w:rFonts w:cstheme="minorHAnsi"/>
            <w:lang w:val="pt-PT"/>
          </w:rPr>
          <w:t>https://en.qantara.de/content/activists-fear-increased-cyber-surveillance-will-repression-in-uae-intensify-under-the</w:t>
        </w:r>
      </w:hyperlink>
      <w:r w:rsidRPr="00B745BC">
        <w:rPr>
          <w:rFonts w:cstheme="minorHAnsi"/>
          <w:lang w:val="pt-PT"/>
        </w:rPr>
        <w:t>.</w:t>
      </w:r>
    </w:p>
  </w:footnote>
  <w:footnote w:id="139">
    <w:p w14:paraId="49F6989D" w14:textId="77777777" w:rsidR="00961996" w:rsidRPr="00B745BC" w:rsidRDefault="00961996" w:rsidP="00AE7C06">
      <w:pPr>
        <w:pStyle w:val="FootnoteText"/>
        <w:ind w:firstLine="720"/>
        <w:rPr>
          <w:rFonts w:cstheme="minorHAnsi"/>
          <w:lang w:val="nb-NO"/>
        </w:rPr>
      </w:pPr>
      <w:r w:rsidRPr="00B745BC">
        <w:rPr>
          <w:rStyle w:val="FootnoteReference"/>
          <w:rFonts w:cstheme="minorHAnsi"/>
        </w:rPr>
        <w:footnoteRef/>
      </w:r>
      <w:r w:rsidRPr="00B745BC">
        <w:rPr>
          <w:rFonts w:cstheme="minorHAnsi"/>
          <w:lang w:val="nb-NO"/>
        </w:rPr>
        <w:t xml:space="preserve"> Black, p 19.</w:t>
      </w:r>
    </w:p>
  </w:footnote>
  <w:footnote w:id="140">
    <w:p w14:paraId="14499BCD" w14:textId="77777777" w:rsidR="00961996" w:rsidRPr="00B745BC" w:rsidRDefault="00961996" w:rsidP="00AE7C06">
      <w:pPr>
        <w:pStyle w:val="FootnoteText"/>
        <w:ind w:firstLine="720"/>
        <w:rPr>
          <w:rFonts w:cstheme="minorHAnsi"/>
          <w:lang w:val="nb-NO"/>
        </w:rPr>
      </w:pPr>
      <w:r w:rsidRPr="00B745BC">
        <w:rPr>
          <w:rStyle w:val="FootnoteReference"/>
          <w:rFonts w:cstheme="minorHAnsi"/>
        </w:rPr>
        <w:footnoteRef/>
      </w:r>
      <w:r w:rsidRPr="00B745BC">
        <w:rPr>
          <w:rFonts w:cstheme="minorHAnsi"/>
          <w:lang w:val="nb-NO"/>
        </w:rPr>
        <w:t xml:space="preserve"> Marczak et al, p 15.</w:t>
      </w:r>
    </w:p>
  </w:footnote>
  <w:footnote w:id="141">
    <w:p w14:paraId="66EAB600"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Bill Marczak and John Scott-Railton, “The Million Dollar Dissident,” Research Report. The Citizen Lab, University of Toronto, August 24, 2016: 8-11.</w:t>
      </w:r>
    </w:p>
  </w:footnote>
  <w:footnote w:id="142">
    <w:p w14:paraId="5555167C"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Human Rights Watch, “UAE: Political Detainees Languish Behind Bars,” November 12, 2019. </w:t>
      </w:r>
      <w:hyperlink r:id="rId44" w:history="1">
        <w:r w:rsidRPr="00B745BC">
          <w:rPr>
            <w:rStyle w:val="Hyperlink"/>
            <w:rFonts w:cstheme="minorHAnsi"/>
          </w:rPr>
          <w:t>https://www.hrw.org/news/2019/11/12/uae-political-detainees-languish-behind-bars</w:t>
        </w:r>
      </w:hyperlink>
      <w:r w:rsidRPr="00B745BC">
        <w:rPr>
          <w:rFonts w:cstheme="minorHAnsi"/>
        </w:rPr>
        <w:t>.</w:t>
      </w:r>
    </w:p>
  </w:footnote>
  <w:footnote w:id="143">
    <w:p w14:paraId="3C4C6FE2"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#2020.3</w:t>
      </w:r>
    </w:p>
  </w:footnote>
  <w:footnote w:id="144">
    <w:p w14:paraId="5B6D0CF6"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#2020.2, #2020.3</w:t>
      </w:r>
    </w:p>
  </w:footnote>
  <w:footnote w:id="145">
    <w:p w14:paraId="01972DBC"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#2020.3. See also Joe Stork, “Unrelenting Repression in the UAE,” Carnegie Endowment for International Peace, May 21, 2019, </w:t>
      </w:r>
      <w:hyperlink r:id="rId45" w:history="1">
        <w:r w:rsidRPr="00B745BC">
          <w:rPr>
            <w:rStyle w:val="Hyperlink"/>
            <w:rFonts w:cstheme="minorHAnsi"/>
          </w:rPr>
          <w:t>https://carnegieendowment.org/sada/79173</w:t>
        </w:r>
      </w:hyperlink>
      <w:r w:rsidRPr="00B745BC">
        <w:rPr>
          <w:rFonts w:cstheme="minorHAnsi"/>
        </w:rPr>
        <w:t>.</w:t>
      </w:r>
    </w:p>
  </w:footnote>
  <w:footnote w:id="146">
    <w:p w14:paraId="1FC23C26"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147">
    <w:p w14:paraId="798A2FC8"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#2020.2</w:t>
      </w:r>
    </w:p>
  </w:footnote>
  <w:footnote w:id="148">
    <w:p w14:paraId="4557F6EB"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#2020.3</w:t>
      </w:r>
    </w:p>
  </w:footnote>
  <w:footnote w:id="149">
    <w:p w14:paraId="5AA85CC7"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#2020.2</w:t>
      </w:r>
    </w:p>
  </w:footnote>
  <w:footnote w:id="150">
    <w:p w14:paraId="07FC1C1B"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Ibid</w:t>
      </w:r>
    </w:p>
  </w:footnote>
  <w:footnote w:id="151">
    <w:p w14:paraId="6DCEFB2B" w14:textId="207635C3"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See </w:t>
      </w:r>
      <w:r w:rsidR="0022528A" w:rsidRPr="00B745BC">
        <w:rPr>
          <w:rFonts w:cstheme="minorHAnsi"/>
        </w:rPr>
        <w:t xml:space="preserve">section </w:t>
      </w:r>
      <w:r w:rsidR="00EB7F4C" w:rsidRPr="00B745BC">
        <w:rPr>
          <w:rFonts w:cstheme="minorHAnsi"/>
        </w:rPr>
        <w:t xml:space="preserve">4 </w:t>
      </w:r>
      <w:r w:rsidR="0022528A" w:rsidRPr="00B745BC">
        <w:rPr>
          <w:rFonts w:cstheme="minorHAnsi"/>
        </w:rPr>
        <w:t>of online appendix</w:t>
      </w:r>
      <w:r w:rsidRPr="00B745BC">
        <w:rPr>
          <w:rFonts w:cstheme="minorHAnsi"/>
        </w:rPr>
        <w:t>.</w:t>
      </w:r>
    </w:p>
  </w:footnote>
  <w:footnote w:id="152">
    <w:p w14:paraId="388685C6"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The New Arab Staff, “Prominent Emirati Writer Banned from Leaving UAE over Anti-Normalisation Stance,” Al-Araby (The New Arab, September 27, 2020), </w:t>
      </w:r>
      <w:hyperlink r:id="rId46" w:history="1">
        <w:r w:rsidRPr="00B745BC">
          <w:rPr>
            <w:rStyle w:val="Hyperlink"/>
            <w:rFonts w:cstheme="minorHAnsi"/>
          </w:rPr>
          <w:t>https://english.alaraby.co.uk/english/news/2020/9/27/prominent-emirati-writer-banned-from-travelling-over-anti-normalisation-stance</w:t>
        </w:r>
      </w:hyperlink>
      <w:r w:rsidRPr="00B745BC">
        <w:rPr>
          <w:rFonts w:cstheme="minorHAnsi"/>
        </w:rPr>
        <w:t xml:space="preserve">. </w:t>
      </w:r>
    </w:p>
  </w:footnote>
  <w:footnote w:id="153">
    <w:p w14:paraId="1BC6DF2A"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#2020.2, #2020.3</w:t>
      </w:r>
    </w:p>
  </w:footnote>
  <w:footnote w:id="154">
    <w:p w14:paraId="376C06C1"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#2020.2</w:t>
      </w:r>
    </w:p>
  </w:footnote>
  <w:footnote w:id="155">
    <w:p w14:paraId="464BF24E"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#2020.3</w:t>
      </w:r>
    </w:p>
  </w:footnote>
  <w:footnote w:id="156">
    <w:p w14:paraId="6A9B6C28" w14:textId="77777777" w:rsidR="00961996" w:rsidRPr="00B745BC" w:rsidRDefault="00961996" w:rsidP="00AE7C06">
      <w:pPr>
        <w:pStyle w:val="FootnoteText"/>
        <w:ind w:firstLine="720"/>
        <w:rPr>
          <w:rFonts w:cstheme="minorHAnsi"/>
        </w:rPr>
      </w:pPr>
      <w:r w:rsidRPr="00B745BC">
        <w:rPr>
          <w:rStyle w:val="FootnoteReference"/>
          <w:rFonts w:cstheme="minorHAnsi"/>
        </w:rPr>
        <w:footnoteRef/>
      </w:r>
      <w:r w:rsidRPr="00B745BC">
        <w:rPr>
          <w:rFonts w:cstheme="minorHAnsi"/>
        </w:rPr>
        <w:t xml:space="preserve"> Ivan Levingston, Nicolas Parasie, and Archana Narayanan, “Israeli Peace Deal Coaxes UAE Investors Out of the Shadows,” Bloomberg.com (Bloomberg, August 18, 2020). </w:t>
      </w:r>
      <w:hyperlink r:id="rId47" w:history="1">
        <w:r w:rsidRPr="00B745BC">
          <w:rPr>
            <w:rStyle w:val="Hyperlink"/>
            <w:rFonts w:cstheme="minorHAnsi"/>
          </w:rPr>
          <w:t>www.bloomberg.com/news/articles/2020-08-18/israeli-peace-deal-coaxes-emirati-investors-out-of-the-shadows?sref=SQDBOtxO</w:t>
        </w:r>
      </w:hyperlink>
      <w:r w:rsidRPr="00B745BC">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F794" w14:textId="77777777" w:rsidR="005C2BE8" w:rsidRPr="0048391B" w:rsidRDefault="005C2BE8" w:rsidP="005C2BE8">
    <w:pPr>
      <w:rPr>
        <w:b/>
        <w:bCs/>
        <w:sz w:val="24"/>
        <w:szCs w:val="24"/>
      </w:rPr>
    </w:pPr>
    <w:r w:rsidRPr="0048391B">
      <w:rPr>
        <w:b/>
        <w:bCs/>
        <w:sz w:val="24"/>
        <w:szCs w:val="24"/>
      </w:rPr>
      <w:t>Peace and Authoritarian Practices: The Impact of Normalization with Israel on the Arab World</w:t>
    </w:r>
  </w:p>
  <w:p w14:paraId="22F38370" w14:textId="77777777" w:rsidR="005C2BE8" w:rsidRDefault="005C2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197"/>
    <w:multiLevelType w:val="hybridMultilevel"/>
    <w:tmpl w:val="3D766276"/>
    <w:lvl w:ilvl="0" w:tplc="09FA1790">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80"/>
    <w:rsid w:val="000050EC"/>
    <w:rsid w:val="000079C4"/>
    <w:rsid w:val="00014A5A"/>
    <w:rsid w:val="000152CC"/>
    <w:rsid w:val="0001572E"/>
    <w:rsid w:val="000158CC"/>
    <w:rsid w:val="00017161"/>
    <w:rsid w:val="00023105"/>
    <w:rsid w:val="00025B17"/>
    <w:rsid w:val="00030CFF"/>
    <w:rsid w:val="00035D95"/>
    <w:rsid w:val="000429AB"/>
    <w:rsid w:val="00044BEE"/>
    <w:rsid w:val="00047702"/>
    <w:rsid w:val="000504CE"/>
    <w:rsid w:val="00051677"/>
    <w:rsid w:val="00051EB1"/>
    <w:rsid w:val="00056AC4"/>
    <w:rsid w:val="00062B82"/>
    <w:rsid w:val="00063596"/>
    <w:rsid w:val="00064D96"/>
    <w:rsid w:val="000670B3"/>
    <w:rsid w:val="000706BC"/>
    <w:rsid w:val="0007075C"/>
    <w:rsid w:val="00073C39"/>
    <w:rsid w:val="000761AB"/>
    <w:rsid w:val="000764AA"/>
    <w:rsid w:val="000803E2"/>
    <w:rsid w:val="00083067"/>
    <w:rsid w:val="00084611"/>
    <w:rsid w:val="000854F7"/>
    <w:rsid w:val="00092607"/>
    <w:rsid w:val="00092B99"/>
    <w:rsid w:val="00092D90"/>
    <w:rsid w:val="000A09CC"/>
    <w:rsid w:val="000A1648"/>
    <w:rsid w:val="000A2A0A"/>
    <w:rsid w:val="000B0C34"/>
    <w:rsid w:val="000B1AB0"/>
    <w:rsid w:val="000B4DEA"/>
    <w:rsid w:val="000B6415"/>
    <w:rsid w:val="000B716E"/>
    <w:rsid w:val="000B7F17"/>
    <w:rsid w:val="000C34C5"/>
    <w:rsid w:val="000C62F9"/>
    <w:rsid w:val="000D13BA"/>
    <w:rsid w:val="000D38EE"/>
    <w:rsid w:val="000D77EC"/>
    <w:rsid w:val="000E0B56"/>
    <w:rsid w:val="000E0F71"/>
    <w:rsid w:val="000E201E"/>
    <w:rsid w:val="000E4A16"/>
    <w:rsid w:val="000E67E7"/>
    <w:rsid w:val="000F51DD"/>
    <w:rsid w:val="000F5CD6"/>
    <w:rsid w:val="000F6025"/>
    <w:rsid w:val="001012BB"/>
    <w:rsid w:val="001077EF"/>
    <w:rsid w:val="001126FD"/>
    <w:rsid w:val="00115540"/>
    <w:rsid w:val="001230A5"/>
    <w:rsid w:val="001236DA"/>
    <w:rsid w:val="0013113B"/>
    <w:rsid w:val="001327E6"/>
    <w:rsid w:val="00134B25"/>
    <w:rsid w:val="00135248"/>
    <w:rsid w:val="001363CF"/>
    <w:rsid w:val="0013797F"/>
    <w:rsid w:val="0014067F"/>
    <w:rsid w:val="001430B2"/>
    <w:rsid w:val="00143677"/>
    <w:rsid w:val="00144735"/>
    <w:rsid w:val="0014496C"/>
    <w:rsid w:val="001459D6"/>
    <w:rsid w:val="001464BD"/>
    <w:rsid w:val="001521C8"/>
    <w:rsid w:val="00154F57"/>
    <w:rsid w:val="00155D9D"/>
    <w:rsid w:val="00160B16"/>
    <w:rsid w:val="0016137F"/>
    <w:rsid w:val="001642A7"/>
    <w:rsid w:val="00166244"/>
    <w:rsid w:val="00174787"/>
    <w:rsid w:val="00176104"/>
    <w:rsid w:val="0017652D"/>
    <w:rsid w:val="00184614"/>
    <w:rsid w:val="00185E0B"/>
    <w:rsid w:val="00187164"/>
    <w:rsid w:val="00192804"/>
    <w:rsid w:val="001947DC"/>
    <w:rsid w:val="001A0D67"/>
    <w:rsid w:val="001A37EA"/>
    <w:rsid w:val="001A6646"/>
    <w:rsid w:val="001A6A41"/>
    <w:rsid w:val="001B077A"/>
    <w:rsid w:val="001B1BF8"/>
    <w:rsid w:val="001B43F9"/>
    <w:rsid w:val="001B527F"/>
    <w:rsid w:val="001B6DD1"/>
    <w:rsid w:val="001B6FD6"/>
    <w:rsid w:val="001C3B7D"/>
    <w:rsid w:val="001C3C5E"/>
    <w:rsid w:val="001C45F8"/>
    <w:rsid w:val="001C661B"/>
    <w:rsid w:val="001D0E0E"/>
    <w:rsid w:val="001E1137"/>
    <w:rsid w:val="001E3AFF"/>
    <w:rsid w:val="001E421C"/>
    <w:rsid w:val="001E6BA3"/>
    <w:rsid w:val="001F2D5A"/>
    <w:rsid w:val="001F64D2"/>
    <w:rsid w:val="001F6B70"/>
    <w:rsid w:val="002032D6"/>
    <w:rsid w:val="00203488"/>
    <w:rsid w:val="00203767"/>
    <w:rsid w:val="002118B2"/>
    <w:rsid w:val="0021290D"/>
    <w:rsid w:val="00214188"/>
    <w:rsid w:val="00215027"/>
    <w:rsid w:val="002212D3"/>
    <w:rsid w:val="0022251E"/>
    <w:rsid w:val="0022274B"/>
    <w:rsid w:val="0022297D"/>
    <w:rsid w:val="0022398D"/>
    <w:rsid w:val="0022528A"/>
    <w:rsid w:val="00227CF2"/>
    <w:rsid w:val="00230579"/>
    <w:rsid w:val="002334DB"/>
    <w:rsid w:val="00233B48"/>
    <w:rsid w:val="00235110"/>
    <w:rsid w:val="00237215"/>
    <w:rsid w:val="00237DA1"/>
    <w:rsid w:val="002415E8"/>
    <w:rsid w:val="00243791"/>
    <w:rsid w:val="0025521D"/>
    <w:rsid w:val="00255FD1"/>
    <w:rsid w:val="00257427"/>
    <w:rsid w:val="00257B6B"/>
    <w:rsid w:val="00261BA8"/>
    <w:rsid w:val="0026283D"/>
    <w:rsid w:val="00262AA8"/>
    <w:rsid w:val="002636CE"/>
    <w:rsid w:val="00265309"/>
    <w:rsid w:val="00265C27"/>
    <w:rsid w:val="00266B1A"/>
    <w:rsid w:val="00267F2B"/>
    <w:rsid w:val="002721E3"/>
    <w:rsid w:val="00272ABE"/>
    <w:rsid w:val="002735FC"/>
    <w:rsid w:val="00274E63"/>
    <w:rsid w:val="002762BF"/>
    <w:rsid w:val="0028170D"/>
    <w:rsid w:val="00281810"/>
    <w:rsid w:val="00281F15"/>
    <w:rsid w:val="0028327E"/>
    <w:rsid w:val="00292C72"/>
    <w:rsid w:val="00294D48"/>
    <w:rsid w:val="00296AB1"/>
    <w:rsid w:val="002A60A5"/>
    <w:rsid w:val="002B0522"/>
    <w:rsid w:val="002B38F9"/>
    <w:rsid w:val="002B391B"/>
    <w:rsid w:val="002B4522"/>
    <w:rsid w:val="002B48B6"/>
    <w:rsid w:val="002B52CD"/>
    <w:rsid w:val="002B5F19"/>
    <w:rsid w:val="002C2B45"/>
    <w:rsid w:val="002C314D"/>
    <w:rsid w:val="002C37B5"/>
    <w:rsid w:val="002C45F3"/>
    <w:rsid w:val="002C524A"/>
    <w:rsid w:val="002C5520"/>
    <w:rsid w:val="002C73D0"/>
    <w:rsid w:val="002C73D1"/>
    <w:rsid w:val="002C7D4F"/>
    <w:rsid w:val="002D1FDB"/>
    <w:rsid w:val="002D4943"/>
    <w:rsid w:val="002D4F97"/>
    <w:rsid w:val="002D5D91"/>
    <w:rsid w:val="002D6E09"/>
    <w:rsid w:val="002E7472"/>
    <w:rsid w:val="002E775B"/>
    <w:rsid w:val="002F04D2"/>
    <w:rsid w:val="002F196B"/>
    <w:rsid w:val="002F2925"/>
    <w:rsid w:val="002F5788"/>
    <w:rsid w:val="002F7B25"/>
    <w:rsid w:val="00300883"/>
    <w:rsid w:val="00300DB7"/>
    <w:rsid w:val="003013A2"/>
    <w:rsid w:val="00302793"/>
    <w:rsid w:val="00302880"/>
    <w:rsid w:val="00311658"/>
    <w:rsid w:val="00311A31"/>
    <w:rsid w:val="00312417"/>
    <w:rsid w:val="00312FA3"/>
    <w:rsid w:val="003135F4"/>
    <w:rsid w:val="003145BF"/>
    <w:rsid w:val="00314F3B"/>
    <w:rsid w:val="00315E89"/>
    <w:rsid w:val="003217D0"/>
    <w:rsid w:val="003235F9"/>
    <w:rsid w:val="00323C67"/>
    <w:rsid w:val="00324DDE"/>
    <w:rsid w:val="00327EB0"/>
    <w:rsid w:val="00333586"/>
    <w:rsid w:val="00336305"/>
    <w:rsid w:val="00341C97"/>
    <w:rsid w:val="0034311B"/>
    <w:rsid w:val="00344247"/>
    <w:rsid w:val="0034542D"/>
    <w:rsid w:val="00347B5F"/>
    <w:rsid w:val="0035291B"/>
    <w:rsid w:val="00353EE5"/>
    <w:rsid w:val="003615C1"/>
    <w:rsid w:val="00363595"/>
    <w:rsid w:val="00364019"/>
    <w:rsid w:val="00367284"/>
    <w:rsid w:val="003720EE"/>
    <w:rsid w:val="00372CF8"/>
    <w:rsid w:val="003743DF"/>
    <w:rsid w:val="0037569E"/>
    <w:rsid w:val="00381DEE"/>
    <w:rsid w:val="00386BCB"/>
    <w:rsid w:val="003960B9"/>
    <w:rsid w:val="00397FA5"/>
    <w:rsid w:val="003A1E6A"/>
    <w:rsid w:val="003A3120"/>
    <w:rsid w:val="003B4190"/>
    <w:rsid w:val="003B4E0D"/>
    <w:rsid w:val="003C01F1"/>
    <w:rsid w:val="003C04F0"/>
    <w:rsid w:val="003C3C53"/>
    <w:rsid w:val="003C5207"/>
    <w:rsid w:val="003C6AFA"/>
    <w:rsid w:val="003D2B7D"/>
    <w:rsid w:val="003D312B"/>
    <w:rsid w:val="003D7F44"/>
    <w:rsid w:val="003E147E"/>
    <w:rsid w:val="003E1A23"/>
    <w:rsid w:val="003E36D1"/>
    <w:rsid w:val="003F4FCF"/>
    <w:rsid w:val="003F674A"/>
    <w:rsid w:val="00405815"/>
    <w:rsid w:val="004062D8"/>
    <w:rsid w:val="00407ADE"/>
    <w:rsid w:val="00417D79"/>
    <w:rsid w:val="00417F8F"/>
    <w:rsid w:val="00420BA2"/>
    <w:rsid w:val="00424C3A"/>
    <w:rsid w:val="004264DF"/>
    <w:rsid w:val="00434B02"/>
    <w:rsid w:val="00437691"/>
    <w:rsid w:val="00437DBB"/>
    <w:rsid w:val="00441CCA"/>
    <w:rsid w:val="0044577B"/>
    <w:rsid w:val="00447D2B"/>
    <w:rsid w:val="0045277B"/>
    <w:rsid w:val="004532C6"/>
    <w:rsid w:val="004534F5"/>
    <w:rsid w:val="00453D46"/>
    <w:rsid w:val="00464B0B"/>
    <w:rsid w:val="00464FD9"/>
    <w:rsid w:val="00467D3D"/>
    <w:rsid w:val="00471E4F"/>
    <w:rsid w:val="00482740"/>
    <w:rsid w:val="0048286D"/>
    <w:rsid w:val="004838E0"/>
    <w:rsid w:val="0048391B"/>
    <w:rsid w:val="00485095"/>
    <w:rsid w:val="004876FE"/>
    <w:rsid w:val="00492129"/>
    <w:rsid w:val="00492428"/>
    <w:rsid w:val="00492B89"/>
    <w:rsid w:val="004A3456"/>
    <w:rsid w:val="004A4337"/>
    <w:rsid w:val="004A6DCD"/>
    <w:rsid w:val="004A6ED6"/>
    <w:rsid w:val="004B4927"/>
    <w:rsid w:val="004B6B69"/>
    <w:rsid w:val="004B7A73"/>
    <w:rsid w:val="004C1D8C"/>
    <w:rsid w:val="004C2103"/>
    <w:rsid w:val="004C4F4B"/>
    <w:rsid w:val="004C6CF6"/>
    <w:rsid w:val="004D028C"/>
    <w:rsid w:val="004D15A2"/>
    <w:rsid w:val="004D233C"/>
    <w:rsid w:val="004D3283"/>
    <w:rsid w:val="004D7235"/>
    <w:rsid w:val="004D799F"/>
    <w:rsid w:val="004E2360"/>
    <w:rsid w:val="004E257B"/>
    <w:rsid w:val="004E5111"/>
    <w:rsid w:val="004E5F71"/>
    <w:rsid w:val="004E677F"/>
    <w:rsid w:val="004E78A4"/>
    <w:rsid w:val="004F19D8"/>
    <w:rsid w:val="004F6CB8"/>
    <w:rsid w:val="00502FD2"/>
    <w:rsid w:val="0050335E"/>
    <w:rsid w:val="00505022"/>
    <w:rsid w:val="005073A8"/>
    <w:rsid w:val="00512A34"/>
    <w:rsid w:val="0051381B"/>
    <w:rsid w:val="005138C4"/>
    <w:rsid w:val="00515CD0"/>
    <w:rsid w:val="00516836"/>
    <w:rsid w:val="00517272"/>
    <w:rsid w:val="00517342"/>
    <w:rsid w:val="005216FE"/>
    <w:rsid w:val="005227F1"/>
    <w:rsid w:val="00522A12"/>
    <w:rsid w:val="00523E3E"/>
    <w:rsid w:val="00525762"/>
    <w:rsid w:val="0053187F"/>
    <w:rsid w:val="00531F94"/>
    <w:rsid w:val="005341ED"/>
    <w:rsid w:val="0054404D"/>
    <w:rsid w:val="00547537"/>
    <w:rsid w:val="00552468"/>
    <w:rsid w:val="0055415C"/>
    <w:rsid w:val="005542EF"/>
    <w:rsid w:val="005612E8"/>
    <w:rsid w:val="0056261A"/>
    <w:rsid w:val="0056647E"/>
    <w:rsid w:val="00570535"/>
    <w:rsid w:val="00571A9F"/>
    <w:rsid w:val="0057304D"/>
    <w:rsid w:val="0057346B"/>
    <w:rsid w:val="00577345"/>
    <w:rsid w:val="00583D0A"/>
    <w:rsid w:val="00586396"/>
    <w:rsid w:val="005877DA"/>
    <w:rsid w:val="00590304"/>
    <w:rsid w:val="00594A24"/>
    <w:rsid w:val="00596601"/>
    <w:rsid w:val="005A10E4"/>
    <w:rsid w:val="005A30CC"/>
    <w:rsid w:val="005B08A6"/>
    <w:rsid w:val="005B14C6"/>
    <w:rsid w:val="005B18CC"/>
    <w:rsid w:val="005B222C"/>
    <w:rsid w:val="005B5F42"/>
    <w:rsid w:val="005B60EE"/>
    <w:rsid w:val="005C1898"/>
    <w:rsid w:val="005C2BE8"/>
    <w:rsid w:val="005C3810"/>
    <w:rsid w:val="005C3A29"/>
    <w:rsid w:val="005C6875"/>
    <w:rsid w:val="005D374B"/>
    <w:rsid w:val="005E103E"/>
    <w:rsid w:val="005E169C"/>
    <w:rsid w:val="005E7190"/>
    <w:rsid w:val="005F5662"/>
    <w:rsid w:val="005F6303"/>
    <w:rsid w:val="005F665D"/>
    <w:rsid w:val="005F7673"/>
    <w:rsid w:val="00600D07"/>
    <w:rsid w:val="006025CB"/>
    <w:rsid w:val="0060366F"/>
    <w:rsid w:val="00603A36"/>
    <w:rsid w:val="00604B8D"/>
    <w:rsid w:val="0060505D"/>
    <w:rsid w:val="00606B7D"/>
    <w:rsid w:val="00612A6A"/>
    <w:rsid w:val="00612B35"/>
    <w:rsid w:val="0061541F"/>
    <w:rsid w:val="00615918"/>
    <w:rsid w:val="00615E28"/>
    <w:rsid w:val="00615F8F"/>
    <w:rsid w:val="00622E67"/>
    <w:rsid w:val="0062315D"/>
    <w:rsid w:val="00623451"/>
    <w:rsid w:val="0062415B"/>
    <w:rsid w:val="0062530C"/>
    <w:rsid w:val="00627752"/>
    <w:rsid w:val="00627EBC"/>
    <w:rsid w:val="00633698"/>
    <w:rsid w:val="006375D0"/>
    <w:rsid w:val="00637AE9"/>
    <w:rsid w:val="0064463D"/>
    <w:rsid w:val="00652CFF"/>
    <w:rsid w:val="006532FD"/>
    <w:rsid w:val="006536A9"/>
    <w:rsid w:val="00655353"/>
    <w:rsid w:val="00657592"/>
    <w:rsid w:val="0066295D"/>
    <w:rsid w:val="00663FD2"/>
    <w:rsid w:val="00664015"/>
    <w:rsid w:val="00664790"/>
    <w:rsid w:val="00664A31"/>
    <w:rsid w:val="00666065"/>
    <w:rsid w:val="006702F2"/>
    <w:rsid w:val="0067137B"/>
    <w:rsid w:val="00680688"/>
    <w:rsid w:val="00680761"/>
    <w:rsid w:val="0068098D"/>
    <w:rsid w:val="006815D4"/>
    <w:rsid w:val="00682754"/>
    <w:rsid w:val="0068351E"/>
    <w:rsid w:val="0069124D"/>
    <w:rsid w:val="0069124F"/>
    <w:rsid w:val="006912E6"/>
    <w:rsid w:val="00691FE6"/>
    <w:rsid w:val="00692174"/>
    <w:rsid w:val="006A09B9"/>
    <w:rsid w:val="006A0DAD"/>
    <w:rsid w:val="006A1D03"/>
    <w:rsid w:val="006A3DF0"/>
    <w:rsid w:val="006A6006"/>
    <w:rsid w:val="006B02D3"/>
    <w:rsid w:val="006C26A3"/>
    <w:rsid w:val="006C2D7F"/>
    <w:rsid w:val="006C3082"/>
    <w:rsid w:val="006C7A00"/>
    <w:rsid w:val="006D16F4"/>
    <w:rsid w:val="006E410D"/>
    <w:rsid w:val="006E6719"/>
    <w:rsid w:val="006E6733"/>
    <w:rsid w:val="006E7459"/>
    <w:rsid w:val="006F00FD"/>
    <w:rsid w:val="006F23F1"/>
    <w:rsid w:val="006F4E9B"/>
    <w:rsid w:val="006F639D"/>
    <w:rsid w:val="006F691A"/>
    <w:rsid w:val="00703431"/>
    <w:rsid w:val="007044E7"/>
    <w:rsid w:val="00704A75"/>
    <w:rsid w:val="00704F37"/>
    <w:rsid w:val="007102CC"/>
    <w:rsid w:val="0071112C"/>
    <w:rsid w:val="0071328A"/>
    <w:rsid w:val="00723862"/>
    <w:rsid w:val="00726477"/>
    <w:rsid w:val="00726AF2"/>
    <w:rsid w:val="007278D1"/>
    <w:rsid w:val="00727913"/>
    <w:rsid w:val="0073153E"/>
    <w:rsid w:val="00736A09"/>
    <w:rsid w:val="00737BE4"/>
    <w:rsid w:val="0074027A"/>
    <w:rsid w:val="0074065B"/>
    <w:rsid w:val="007547AC"/>
    <w:rsid w:val="00754E64"/>
    <w:rsid w:val="0076054A"/>
    <w:rsid w:val="00760FA4"/>
    <w:rsid w:val="00761307"/>
    <w:rsid w:val="007640B6"/>
    <w:rsid w:val="00764276"/>
    <w:rsid w:val="0076635B"/>
    <w:rsid w:val="00767D57"/>
    <w:rsid w:val="00770795"/>
    <w:rsid w:val="00771BEE"/>
    <w:rsid w:val="00775F64"/>
    <w:rsid w:val="007774B1"/>
    <w:rsid w:val="00781C81"/>
    <w:rsid w:val="00783518"/>
    <w:rsid w:val="007837F7"/>
    <w:rsid w:val="00783CFD"/>
    <w:rsid w:val="007852B2"/>
    <w:rsid w:val="00785401"/>
    <w:rsid w:val="00785ACF"/>
    <w:rsid w:val="00786639"/>
    <w:rsid w:val="007929F3"/>
    <w:rsid w:val="00795CB9"/>
    <w:rsid w:val="007974C6"/>
    <w:rsid w:val="007A152B"/>
    <w:rsid w:val="007A43D7"/>
    <w:rsid w:val="007A4A80"/>
    <w:rsid w:val="007B00DE"/>
    <w:rsid w:val="007B39B8"/>
    <w:rsid w:val="007B3E9E"/>
    <w:rsid w:val="007C1663"/>
    <w:rsid w:val="007C41C8"/>
    <w:rsid w:val="007D34D1"/>
    <w:rsid w:val="007D6524"/>
    <w:rsid w:val="007D6C13"/>
    <w:rsid w:val="007E4401"/>
    <w:rsid w:val="007F19FC"/>
    <w:rsid w:val="007F3F94"/>
    <w:rsid w:val="007F5B85"/>
    <w:rsid w:val="007F60A6"/>
    <w:rsid w:val="008014AC"/>
    <w:rsid w:val="00803445"/>
    <w:rsid w:val="00804E7F"/>
    <w:rsid w:val="008078FA"/>
    <w:rsid w:val="00812284"/>
    <w:rsid w:val="008234B1"/>
    <w:rsid w:val="00827DE6"/>
    <w:rsid w:val="00834257"/>
    <w:rsid w:val="00836A69"/>
    <w:rsid w:val="008457F2"/>
    <w:rsid w:val="00845A9C"/>
    <w:rsid w:val="00846137"/>
    <w:rsid w:val="00846693"/>
    <w:rsid w:val="00852835"/>
    <w:rsid w:val="00855A79"/>
    <w:rsid w:val="0086127C"/>
    <w:rsid w:val="00866386"/>
    <w:rsid w:val="0086750F"/>
    <w:rsid w:val="00870F10"/>
    <w:rsid w:val="0087409D"/>
    <w:rsid w:val="00875957"/>
    <w:rsid w:val="00884334"/>
    <w:rsid w:val="00884B08"/>
    <w:rsid w:val="008859EF"/>
    <w:rsid w:val="00890F19"/>
    <w:rsid w:val="0089334C"/>
    <w:rsid w:val="00893B9C"/>
    <w:rsid w:val="008942B5"/>
    <w:rsid w:val="00894A9E"/>
    <w:rsid w:val="00895230"/>
    <w:rsid w:val="008963C0"/>
    <w:rsid w:val="00896C0E"/>
    <w:rsid w:val="008A0D1B"/>
    <w:rsid w:val="008A1239"/>
    <w:rsid w:val="008A2DC1"/>
    <w:rsid w:val="008A37E3"/>
    <w:rsid w:val="008A4B38"/>
    <w:rsid w:val="008A6150"/>
    <w:rsid w:val="008A7D30"/>
    <w:rsid w:val="008B198E"/>
    <w:rsid w:val="008B4FC9"/>
    <w:rsid w:val="008B5CF8"/>
    <w:rsid w:val="008B6856"/>
    <w:rsid w:val="008C624D"/>
    <w:rsid w:val="008D39BA"/>
    <w:rsid w:val="008D4CBD"/>
    <w:rsid w:val="008D5003"/>
    <w:rsid w:val="008D6A53"/>
    <w:rsid w:val="008E02FC"/>
    <w:rsid w:val="008E398E"/>
    <w:rsid w:val="008E43CE"/>
    <w:rsid w:val="008E45F4"/>
    <w:rsid w:val="008E691A"/>
    <w:rsid w:val="008E71B9"/>
    <w:rsid w:val="008F1362"/>
    <w:rsid w:val="008F1D68"/>
    <w:rsid w:val="008F1D69"/>
    <w:rsid w:val="008F4BD9"/>
    <w:rsid w:val="008F5E21"/>
    <w:rsid w:val="00900666"/>
    <w:rsid w:val="00904D5E"/>
    <w:rsid w:val="009105E9"/>
    <w:rsid w:val="00914528"/>
    <w:rsid w:val="0091779B"/>
    <w:rsid w:val="00920634"/>
    <w:rsid w:val="009243F2"/>
    <w:rsid w:val="0092503B"/>
    <w:rsid w:val="00926B45"/>
    <w:rsid w:val="00930254"/>
    <w:rsid w:val="00931060"/>
    <w:rsid w:val="009377E8"/>
    <w:rsid w:val="009424CD"/>
    <w:rsid w:val="009424FD"/>
    <w:rsid w:val="0094376D"/>
    <w:rsid w:val="00943818"/>
    <w:rsid w:val="00946251"/>
    <w:rsid w:val="00946BCD"/>
    <w:rsid w:val="00951435"/>
    <w:rsid w:val="009559CF"/>
    <w:rsid w:val="00955F79"/>
    <w:rsid w:val="00961996"/>
    <w:rsid w:val="00961F06"/>
    <w:rsid w:val="00962F70"/>
    <w:rsid w:val="0096307A"/>
    <w:rsid w:val="0096491E"/>
    <w:rsid w:val="00967EF9"/>
    <w:rsid w:val="00974951"/>
    <w:rsid w:val="00976B27"/>
    <w:rsid w:val="009770FA"/>
    <w:rsid w:val="009814D1"/>
    <w:rsid w:val="009852D3"/>
    <w:rsid w:val="00985FEA"/>
    <w:rsid w:val="0098732E"/>
    <w:rsid w:val="00990B4C"/>
    <w:rsid w:val="0099172B"/>
    <w:rsid w:val="0099377F"/>
    <w:rsid w:val="00993EF3"/>
    <w:rsid w:val="0099528E"/>
    <w:rsid w:val="009A130D"/>
    <w:rsid w:val="009A15E7"/>
    <w:rsid w:val="009A3924"/>
    <w:rsid w:val="009A5E86"/>
    <w:rsid w:val="009B1544"/>
    <w:rsid w:val="009B3964"/>
    <w:rsid w:val="009B4B0C"/>
    <w:rsid w:val="009C3C28"/>
    <w:rsid w:val="009D04E5"/>
    <w:rsid w:val="009D12C7"/>
    <w:rsid w:val="009D16E9"/>
    <w:rsid w:val="009D33C6"/>
    <w:rsid w:val="009D684E"/>
    <w:rsid w:val="009D69C9"/>
    <w:rsid w:val="009D6F92"/>
    <w:rsid w:val="009D7516"/>
    <w:rsid w:val="009E0AD6"/>
    <w:rsid w:val="009E308A"/>
    <w:rsid w:val="009E464D"/>
    <w:rsid w:val="009F52DE"/>
    <w:rsid w:val="00A00B40"/>
    <w:rsid w:val="00A01E26"/>
    <w:rsid w:val="00A0378D"/>
    <w:rsid w:val="00A06069"/>
    <w:rsid w:val="00A07418"/>
    <w:rsid w:val="00A10533"/>
    <w:rsid w:val="00A14D0A"/>
    <w:rsid w:val="00A152C9"/>
    <w:rsid w:val="00A17A91"/>
    <w:rsid w:val="00A21BA0"/>
    <w:rsid w:val="00A25DA0"/>
    <w:rsid w:val="00A26547"/>
    <w:rsid w:val="00A2753B"/>
    <w:rsid w:val="00A27D5C"/>
    <w:rsid w:val="00A32696"/>
    <w:rsid w:val="00A365C6"/>
    <w:rsid w:val="00A40DB5"/>
    <w:rsid w:val="00A41FF8"/>
    <w:rsid w:val="00A43EE4"/>
    <w:rsid w:val="00A456C8"/>
    <w:rsid w:val="00A5343E"/>
    <w:rsid w:val="00A53DFD"/>
    <w:rsid w:val="00A56746"/>
    <w:rsid w:val="00A56B2B"/>
    <w:rsid w:val="00A609FB"/>
    <w:rsid w:val="00A66EC4"/>
    <w:rsid w:val="00A73D6D"/>
    <w:rsid w:val="00A74B4D"/>
    <w:rsid w:val="00A74C87"/>
    <w:rsid w:val="00A80E90"/>
    <w:rsid w:val="00A81537"/>
    <w:rsid w:val="00A836C5"/>
    <w:rsid w:val="00A87C70"/>
    <w:rsid w:val="00A93D0D"/>
    <w:rsid w:val="00A9535C"/>
    <w:rsid w:val="00A95E1E"/>
    <w:rsid w:val="00AA0C8B"/>
    <w:rsid w:val="00AA28E6"/>
    <w:rsid w:val="00AA2AEB"/>
    <w:rsid w:val="00AA3969"/>
    <w:rsid w:val="00AA461E"/>
    <w:rsid w:val="00AA4F7D"/>
    <w:rsid w:val="00AB05D6"/>
    <w:rsid w:val="00AB1378"/>
    <w:rsid w:val="00AB15A9"/>
    <w:rsid w:val="00AB1E55"/>
    <w:rsid w:val="00AB43E5"/>
    <w:rsid w:val="00AB44C3"/>
    <w:rsid w:val="00AB4787"/>
    <w:rsid w:val="00AB6C36"/>
    <w:rsid w:val="00AB7436"/>
    <w:rsid w:val="00AB7488"/>
    <w:rsid w:val="00AB7CC0"/>
    <w:rsid w:val="00AC082B"/>
    <w:rsid w:val="00AC3A4A"/>
    <w:rsid w:val="00AC6C8E"/>
    <w:rsid w:val="00AC754E"/>
    <w:rsid w:val="00AD18DE"/>
    <w:rsid w:val="00AD1B58"/>
    <w:rsid w:val="00AD3F91"/>
    <w:rsid w:val="00AD72D5"/>
    <w:rsid w:val="00AE1342"/>
    <w:rsid w:val="00AE3C78"/>
    <w:rsid w:val="00AE4313"/>
    <w:rsid w:val="00AE6265"/>
    <w:rsid w:val="00AE6793"/>
    <w:rsid w:val="00AE7C06"/>
    <w:rsid w:val="00AF120E"/>
    <w:rsid w:val="00AF2460"/>
    <w:rsid w:val="00AF261E"/>
    <w:rsid w:val="00AF46A8"/>
    <w:rsid w:val="00AF5115"/>
    <w:rsid w:val="00AF6FDC"/>
    <w:rsid w:val="00AF7036"/>
    <w:rsid w:val="00AF7E14"/>
    <w:rsid w:val="00B0079C"/>
    <w:rsid w:val="00B00899"/>
    <w:rsid w:val="00B10423"/>
    <w:rsid w:val="00B14F01"/>
    <w:rsid w:val="00B15E09"/>
    <w:rsid w:val="00B1660A"/>
    <w:rsid w:val="00B21274"/>
    <w:rsid w:val="00B22E77"/>
    <w:rsid w:val="00B240C4"/>
    <w:rsid w:val="00B2435B"/>
    <w:rsid w:val="00B24A1A"/>
    <w:rsid w:val="00B256A2"/>
    <w:rsid w:val="00B25F2C"/>
    <w:rsid w:val="00B26CB5"/>
    <w:rsid w:val="00B30371"/>
    <w:rsid w:val="00B3107A"/>
    <w:rsid w:val="00B34ED5"/>
    <w:rsid w:val="00B365E1"/>
    <w:rsid w:val="00B4066F"/>
    <w:rsid w:val="00B42EBD"/>
    <w:rsid w:val="00B45241"/>
    <w:rsid w:val="00B452A2"/>
    <w:rsid w:val="00B5034D"/>
    <w:rsid w:val="00B55961"/>
    <w:rsid w:val="00B56101"/>
    <w:rsid w:val="00B57AC4"/>
    <w:rsid w:val="00B60C89"/>
    <w:rsid w:val="00B618F8"/>
    <w:rsid w:val="00B61F73"/>
    <w:rsid w:val="00B671E5"/>
    <w:rsid w:val="00B70ECA"/>
    <w:rsid w:val="00B73219"/>
    <w:rsid w:val="00B74450"/>
    <w:rsid w:val="00B745BC"/>
    <w:rsid w:val="00B77066"/>
    <w:rsid w:val="00B81D12"/>
    <w:rsid w:val="00B8326C"/>
    <w:rsid w:val="00B86297"/>
    <w:rsid w:val="00B87E43"/>
    <w:rsid w:val="00B91A03"/>
    <w:rsid w:val="00B934E0"/>
    <w:rsid w:val="00B95CE2"/>
    <w:rsid w:val="00BA0219"/>
    <w:rsid w:val="00BA398F"/>
    <w:rsid w:val="00BA4D48"/>
    <w:rsid w:val="00BA640D"/>
    <w:rsid w:val="00BB03CC"/>
    <w:rsid w:val="00BB1F2A"/>
    <w:rsid w:val="00BB49FB"/>
    <w:rsid w:val="00BB53EC"/>
    <w:rsid w:val="00BB6EC9"/>
    <w:rsid w:val="00BC0B71"/>
    <w:rsid w:val="00BC16EE"/>
    <w:rsid w:val="00BC3634"/>
    <w:rsid w:val="00BC5097"/>
    <w:rsid w:val="00BC6CE0"/>
    <w:rsid w:val="00BC6E5A"/>
    <w:rsid w:val="00BC730A"/>
    <w:rsid w:val="00BD0726"/>
    <w:rsid w:val="00BD0E3A"/>
    <w:rsid w:val="00BD1863"/>
    <w:rsid w:val="00BD466C"/>
    <w:rsid w:val="00BE0BED"/>
    <w:rsid w:val="00BE2CF6"/>
    <w:rsid w:val="00BE34B1"/>
    <w:rsid w:val="00BE4E0C"/>
    <w:rsid w:val="00BE7897"/>
    <w:rsid w:val="00BF26D4"/>
    <w:rsid w:val="00BF2F37"/>
    <w:rsid w:val="00BF50D7"/>
    <w:rsid w:val="00BF618B"/>
    <w:rsid w:val="00BF63CB"/>
    <w:rsid w:val="00BF6D8B"/>
    <w:rsid w:val="00C0091D"/>
    <w:rsid w:val="00C03CBB"/>
    <w:rsid w:val="00C07A14"/>
    <w:rsid w:val="00C116B2"/>
    <w:rsid w:val="00C13FE2"/>
    <w:rsid w:val="00C17C47"/>
    <w:rsid w:val="00C236A5"/>
    <w:rsid w:val="00C25101"/>
    <w:rsid w:val="00C30C80"/>
    <w:rsid w:val="00C314F9"/>
    <w:rsid w:val="00C36943"/>
    <w:rsid w:val="00C40B4F"/>
    <w:rsid w:val="00C443FF"/>
    <w:rsid w:val="00C46B1C"/>
    <w:rsid w:val="00C5100C"/>
    <w:rsid w:val="00C51D92"/>
    <w:rsid w:val="00C54EB4"/>
    <w:rsid w:val="00C574F7"/>
    <w:rsid w:val="00C60363"/>
    <w:rsid w:val="00C63B35"/>
    <w:rsid w:val="00C651C0"/>
    <w:rsid w:val="00C652BB"/>
    <w:rsid w:val="00C7220A"/>
    <w:rsid w:val="00C74ED1"/>
    <w:rsid w:val="00C828E2"/>
    <w:rsid w:val="00C84077"/>
    <w:rsid w:val="00C84AC1"/>
    <w:rsid w:val="00C85B8C"/>
    <w:rsid w:val="00C86512"/>
    <w:rsid w:val="00C90161"/>
    <w:rsid w:val="00C90735"/>
    <w:rsid w:val="00C91EEC"/>
    <w:rsid w:val="00C961A5"/>
    <w:rsid w:val="00C97B86"/>
    <w:rsid w:val="00CA2166"/>
    <w:rsid w:val="00CA77E8"/>
    <w:rsid w:val="00CB0046"/>
    <w:rsid w:val="00CB0C1B"/>
    <w:rsid w:val="00CB1315"/>
    <w:rsid w:val="00CB245C"/>
    <w:rsid w:val="00CB4309"/>
    <w:rsid w:val="00CB4667"/>
    <w:rsid w:val="00CB520C"/>
    <w:rsid w:val="00CB6A63"/>
    <w:rsid w:val="00CC2D2E"/>
    <w:rsid w:val="00CC5C9C"/>
    <w:rsid w:val="00CC7FD0"/>
    <w:rsid w:val="00CD7786"/>
    <w:rsid w:val="00CE02E3"/>
    <w:rsid w:val="00CE10C7"/>
    <w:rsid w:val="00CE3A9E"/>
    <w:rsid w:val="00CE7929"/>
    <w:rsid w:val="00CF15F8"/>
    <w:rsid w:val="00CF1E6F"/>
    <w:rsid w:val="00CF20D6"/>
    <w:rsid w:val="00D01AEA"/>
    <w:rsid w:val="00D01BCF"/>
    <w:rsid w:val="00D04A52"/>
    <w:rsid w:val="00D21B24"/>
    <w:rsid w:val="00D2458F"/>
    <w:rsid w:val="00D34A77"/>
    <w:rsid w:val="00D409AB"/>
    <w:rsid w:val="00D44F48"/>
    <w:rsid w:val="00D455CD"/>
    <w:rsid w:val="00D50073"/>
    <w:rsid w:val="00D501F7"/>
    <w:rsid w:val="00D5184C"/>
    <w:rsid w:val="00D53700"/>
    <w:rsid w:val="00D56C6E"/>
    <w:rsid w:val="00D616E8"/>
    <w:rsid w:val="00D62C28"/>
    <w:rsid w:val="00D64038"/>
    <w:rsid w:val="00D64886"/>
    <w:rsid w:val="00D65405"/>
    <w:rsid w:val="00D660BD"/>
    <w:rsid w:val="00D6658B"/>
    <w:rsid w:val="00D67C80"/>
    <w:rsid w:val="00D71D09"/>
    <w:rsid w:val="00D73B5B"/>
    <w:rsid w:val="00D75680"/>
    <w:rsid w:val="00D7608A"/>
    <w:rsid w:val="00D76B47"/>
    <w:rsid w:val="00D778F3"/>
    <w:rsid w:val="00D80567"/>
    <w:rsid w:val="00D832F2"/>
    <w:rsid w:val="00D83E4A"/>
    <w:rsid w:val="00D90E68"/>
    <w:rsid w:val="00D91D50"/>
    <w:rsid w:val="00D931B2"/>
    <w:rsid w:val="00D9619F"/>
    <w:rsid w:val="00D97CA5"/>
    <w:rsid w:val="00DA5C1A"/>
    <w:rsid w:val="00DB28C2"/>
    <w:rsid w:val="00DB3B1C"/>
    <w:rsid w:val="00DB4C94"/>
    <w:rsid w:val="00DB749C"/>
    <w:rsid w:val="00DC0C60"/>
    <w:rsid w:val="00DC0C73"/>
    <w:rsid w:val="00DC5569"/>
    <w:rsid w:val="00DC7109"/>
    <w:rsid w:val="00DC7B97"/>
    <w:rsid w:val="00DD3C68"/>
    <w:rsid w:val="00DD3E03"/>
    <w:rsid w:val="00DF1554"/>
    <w:rsid w:val="00DF3668"/>
    <w:rsid w:val="00DF3694"/>
    <w:rsid w:val="00DF3836"/>
    <w:rsid w:val="00DF3BE1"/>
    <w:rsid w:val="00DF4690"/>
    <w:rsid w:val="00DF634C"/>
    <w:rsid w:val="00E01093"/>
    <w:rsid w:val="00E05F45"/>
    <w:rsid w:val="00E07067"/>
    <w:rsid w:val="00E10EB5"/>
    <w:rsid w:val="00E15C42"/>
    <w:rsid w:val="00E16879"/>
    <w:rsid w:val="00E177A9"/>
    <w:rsid w:val="00E264F5"/>
    <w:rsid w:val="00E26B69"/>
    <w:rsid w:val="00E26E44"/>
    <w:rsid w:val="00E270A9"/>
    <w:rsid w:val="00E30E7C"/>
    <w:rsid w:val="00E32E25"/>
    <w:rsid w:val="00E33E63"/>
    <w:rsid w:val="00E356F4"/>
    <w:rsid w:val="00E40504"/>
    <w:rsid w:val="00E442CB"/>
    <w:rsid w:val="00E444C5"/>
    <w:rsid w:val="00E44574"/>
    <w:rsid w:val="00E45E65"/>
    <w:rsid w:val="00E47169"/>
    <w:rsid w:val="00E5356F"/>
    <w:rsid w:val="00E54544"/>
    <w:rsid w:val="00E56EB3"/>
    <w:rsid w:val="00E57DD0"/>
    <w:rsid w:val="00E608EC"/>
    <w:rsid w:val="00E624C1"/>
    <w:rsid w:val="00E63F0C"/>
    <w:rsid w:val="00E6596A"/>
    <w:rsid w:val="00E70407"/>
    <w:rsid w:val="00E70722"/>
    <w:rsid w:val="00E70951"/>
    <w:rsid w:val="00E70A4A"/>
    <w:rsid w:val="00E72D30"/>
    <w:rsid w:val="00E74D7E"/>
    <w:rsid w:val="00E75DE2"/>
    <w:rsid w:val="00E809B2"/>
    <w:rsid w:val="00E82B21"/>
    <w:rsid w:val="00E85E86"/>
    <w:rsid w:val="00E861B7"/>
    <w:rsid w:val="00E91730"/>
    <w:rsid w:val="00E91806"/>
    <w:rsid w:val="00E97DC9"/>
    <w:rsid w:val="00EA609A"/>
    <w:rsid w:val="00EB14C5"/>
    <w:rsid w:val="00EB2DF9"/>
    <w:rsid w:val="00EB2EDA"/>
    <w:rsid w:val="00EB3C40"/>
    <w:rsid w:val="00EB60D1"/>
    <w:rsid w:val="00EB6913"/>
    <w:rsid w:val="00EB7F4C"/>
    <w:rsid w:val="00EC4809"/>
    <w:rsid w:val="00EC667A"/>
    <w:rsid w:val="00ED0FA1"/>
    <w:rsid w:val="00ED1DAE"/>
    <w:rsid w:val="00ED4204"/>
    <w:rsid w:val="00ED4FA7"/>
    <w:rsid w:val="00EE1A9D"/>
    <w:rsid w:val="00EE446C"/>
    <w:rsid w:val="00EE4865"/>
    <w:rsid w:val="00EE5451"/>
    <w:rsid w:val="00EE7CDC"/>
    <w:rsid w:val="00EF049A"/>
    <w:rsid w:val="00EF0BA3"/>
    <w:rsid w:val="00EF1815"/>
    <w:rsid w:val="00F004D3"/>
    <w:rsid w:val="00F00962"/>
    <w:rsid w:val="00F02D6D"/>
    <w:rsid w:val="00F050C0"/>
    <w:rsid w:val="00F070B9"/>
    <w:rsid w:val="00F07374"/>
    <w:rsid w:val="00F075AD"/>
    <w:rsid w:val="00F10F55"/>
    <w:rsid w:val="00F1798F"/>
    <w:rsid w:val="00F21077"/>
    <w:rsid w:val="00F224DA"/>
    <w:rsid w:val="00F256AF"/>
    <w:rsid w:val="00F30866"/>
    <w:rsid w:val="00F35CEF"/>
    <w:rsid w:val="00F429BC"/>
    <w:rsid w:val="00F44E90"/>
    <w:rsid w:val="00F45AD2"/>
    <w:rsid w:val="00F4765B"/>
    <w:rsid w:val="00F504C4"/>
    <w:rsid w:val="00F51AAF"/>
    <w:rsid w:val="00F533B0"/>
    <w:rsid w:val="00F56455"/>
    <w:rsid w:val="00F60157"/>
    <w:rsid w:val="00F6337D"/>
    <w:rsid w:val="00F67A61"/>
    <w:rsid w:val="00F67BA7"/>
    <w:rsid w:val="00F702DD"/>
    <w:rsid w:val="00F72C7B"/>
    <w:rsid w:val="00F75AED"/>
    <w:rsid w:val="00F77442"/>
    <w:rsid w:val="00F82DBA"/>
    <w:rsid w:val="00F84829"/>
    <w:rsid w:val="00F84A36"/>
    <w:rsid w:val="00F85100"/>
    <w:rsid w:val="00F86327"/>
    <w:rsid w:val="00F90136"/>
    <w:rsid w:val="00F91E29"/>
    <w:rsid w:val="00F93D16"/>
    <w:rsid w:val="00F949B4"/>
    <w:rsid w:val="00F95760"/>
    <w:rsid w:val="00F96035"/>
    <w:rsid w:val="00F97B12"/>
    <w:rsid w:val="00FA11E7"/>
    <w:rsid w:val="00FA1F74"/>
    <w:rsid w:val="00FB064F"/>
    <w:rsid w:val="00FB1F18"/>
    <w:rsid w:val="00FB3290"/>
    <w:rsid w:val="00FB57C8"/>
    <w:rsid w:val="00FB57F8"/>
    <w:rsid w:val="00FB794E"/>
    <w:rsid w:val="00FC449E"/>
    <w:rsid w:val="00FC609F"/>
    <w:rsid w:val="00FC6AD7"/>
    <w:rsid w:val="00FC6F76"/>
    <w:rsid w:val="00FD0A2E"/>
    <w:rsid w:val="00FD199D"/>
    <w:rsid w:val="00FD272C"/>
    <w:rsid w:val="00FD5CCB"/>
    <w:rsid w:val="00FE2A90"/>
    <w:rsid w:val="00FE43DF"/>
    <w:rsid w:val="00FE5303"/>
    <w:rsid w:val="00FE7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B082"/>
  <w15:chartTrackingRefBased/>
  <w15:docId w15:val="{8967758F-A131-47FF-A2B9-896E68CB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D48"/>
    <w:pPr>
      <w:ind w:left="720"/>
      <w:contextualSpacing/>
    </w:pPr>
  </w:style>
  <w:style w:type="paragraph" w:styleId="FootnoteText">
    <w:name w:val="footnote text"/>
    <w:basedOn w:val="Normal"/>
    <w:link w:val="FootnoteTextChar"/>
    <w:uiPriority w:val="99"/>
    <w:unhideWhenUsed/>
    <w:rsid w:val="00AA0C8B"/>
    <w:pPr>
      <w:spacing w:after="0" w:line="240" w:lineRule="auto"/>
    </w:pPr>
    <w:rPr>
      <w:sz w:val="20"/>
      <w:szCs w:val="20"/>
    </w:rPr>
  </w:style>
  <w:style w:type="character" w:customStyle="1" w:styleId="FootnoteTextChar">
    <w:name w:val="Footnote Text Char"/>
    <w:basedOn w:val="DefaultParagraphFont"/>
    <w:link w:val="FootnoteText"/>
    <w:uiPriority w:val="99"/>
    <w:rsid w:val="00AA0C8B"/>
    <w:rPr>
      <w:sz w:val="20"/>
      <w:szCs w:val="20"/>
    </w:rPr>
  </w:style>
  <w:style w:type="character" w:styleId="FootnoteReference">
    <w:name w:val="footnote reference"/>
    <w:basedOn w:val="DefaultParagraphFont"/>
    <w:uiPriority w:val="99"/>
    <w:semiHidden/>
    <w:unhideWhenUsed/>
    <w:rsid w:val="00AA0C8B"/>
    <w:rPr>
      <w:vertAlign w:val="superscript"/>
    </w:rPr>
  </w:style>
  <w:style w:type="character" w:styleId="Hyperlink">
    <w:name w:val="Hyperlink"/>
    <w:basedOn w:val="DefaultParagraphFont"/>
    <w:uiPriority w:val="99"/>
    <w:unhideWhenUsed/>
    <w:rsid w:val="00AA0C8B"/>
    <w:rPr>
      <w:color w:val="0563C1" w:themeColor="hyperlink"/>
      <w:u w:val="single"/>
    </w:rPr>
  </w:style>
  <w:style w:type="character" w:customStyle="1" w:styleId="apple-converted-space">
    <w:name w:val="apple-converted-space"/>
    <w:basedOn w:val="DefaultParagraphFont"/>
    <w:rsid w:val="00AA0C8B"/>
  </w:style>
  <w:style w:type="character" w:styleId="FollowedHyperlink">
    <w:name w:val="FollowedHyperlink"/>
    <w:basedOn w:val="DefaultParagraphFont"/>
    <w:uiPriority w:val="99"/>
    <w:semiHidden/>
    <w:unhideWhenUsed/>
    <w:rsid w:val="00AF6FDC"/>
    <w:rPr>
      <w:color w:val="954F72" w:themeColor="followedHyperlink"/>
      <w:u w:val="single"/>
    </w:rPr>
  </w:style>
  <w:style w:type="paragraph" w:styleId="Header">
    <w:name w:val="header"/>
    <w:basedOn w:val="Normal"/>
    <w:link w:val="HeaderChar"/>
    <w:uiPriority w:val="99"/>
    <w:unhideWhenUsed/>
    <w:rsid w:val="00D44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48"/>
  </w:style>
  <w:style w:type="paragraph" w:styleId="Footer">
    <w:name w:val="footer"/>
    <w:basedOn w:val="Normal"/>
    <w:link w:val="FooterChar"/>
    <w:uiPriority w:val="99"/>
    <w:unhideWhenUsed/>
    <w:rsid w:val="00D44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48"/>
  </w:style>
  <w:style w:type="paragraph" w:styleId="EndnoteText">
    <w:name w:val="endnote text"/>
    <w:basedOn w:val="Normal"/>
    <w:link w:val="EndnoteTextChar"/>
    <w:uiPriority w:val="99"/>
    <w:unhideWhenUsed/>
    <w:rsid w:val="00962F70"/>
    <w:pPr>
      <w:spacing w:after="0" w:line="240" w:lineRule="auto"/>
    </w:pPr>
    <w:rPr>
      <w:sz w:val="20"/>
      <w:szCs w:val="20"/>
    </w:rPr>
  </w:style>
  <w:style w:type="character" w:customStyle="1" w:styleId="EndnoteTextChar">
    <w:name w:val="Endnote Text Char"/>
    <w:basedOn w:val="DefaultParagraphFont"/>
    <w:link w:val="EndnoteText"/>
    <w:uiPriority w:val="99"/>
    <w:rsid w:val="00962F70"/>
    <w:rPr>
      <w:sz w:val="20"/>
      <w:szCs w:val="20"/>
    </w:rPr>
  </w:style>
  <w:style w:type="character" w:styleId="EndnoteReference">
    <w:name w:val="endnote reference"/>
    <w:basedOn w:val="DefaultParagraphFont"/>
    <w:uiPriority w:val="99"/>
    <w:semiHidden/>
    <w:unhideWhenUsed/>
    <w:rsid w:val="00962F70"/>
    <w:rPr>
      <w:vertAlign w:val="superscript"/>
    </w:rPr>
  </w:style>
  <w:style w:type="character" w:styleId="CommentReference">
    <w:name w:val="annotation reference"/>
    <w:basedOn w:val="DefaultParagraphFont"/>
    <w:uiPriority w:val="99"/>
    <w:semiHidden/>
    <w:unhideWhenUsed/>
    <w:rsid w:val="00EB60D1"/>
    <w:rPr>
      <w:sz w:val="16"/>
      <w:szCs w:val="16"/>
    </w:rPr>
  </w:style>
  <w:style w:type="paragraph" w:styleId="CommentText">
    <w:name w:val="annotation text"/>
    <w:basedOn w:val="Normal"/>
    <w:link w:val="CommentTextChar"/>
    <w:uiPriority w:val="99"/>
    <w:semiHidden/>
    <w:unhideWhenUsed/>
    <w:rsid w:val="00EB60D1"/>
    <w:pPr>
      <w:spacing w:line="240" w:lineRule="auto"/>
    </w:pPr>
    <w:rPr>
      <w:sz w:val="20"/>
      <w:szCs w:val="20"/>
    </w:rPr>
  </w:style>
  <w:style w:type="character" w:customStyle="1" w:styleId="CommentTextChar">
    <w:name w:val="Comment Text Char"/>
    <w:basedOn w:val="DefaultParagraphFont"/>
    <w:link w:val="CommentText"/>
    <w:uiPriority w:val="99"/>
    <w:semiHidden/>
    <w:rsid w:val="00EB60D1"/>
    <w:rPr>
      <w:sz w:val="20"/>
      <w:szCs w:val="20"/>
    </w:rPr>
  </w:style>
  <w:style w:type="paragraph" w:styleId="CommentSubject">
    <w:name w:val="annotation subject"/>
    <w:basedOn w:val="CommentText"/>
    <w:next w:val="CommentText"/>
    <w:link w:val="CommentSubjectChar"/>
    <w:uiPriority w:val="99"/>
    <w:semiHidden/>
    <w:unhideWhenUsed/>
    <w:rsid w:val="00EB60D1"/>
    <w:rPr>
      <w:b/>
      <w:bCs/>
    </w:rPr>
  </w:style>
  <w:style w:type="character" w:customStyle="1" w:styleId="CommentSubjectChar">
    <w:name w:val="Comment Subject Char"/>
    <w:basedOn w:val="CommentTextChar"/>
    <w:link w:val="CommentSubject"/>
    <w:uiPriority w:val="99"/>
    <w:semiHidden/>
    <w:rsid w:val="00EB60D1"/>
    <w:rPr>
      <w:b/>
      <w:bCs/>
      <w:sz w:val="20"/>
      <w:szCs w:val="20"/>
    </w:rPr>
  </w:style>
  <w:style w:type="paragraph" w:styleId="BalloonText">
    <w:name w:val="Balloon Text"/>
    <w:basedOn w:val="Normal"/>
    <w:link w:val="BalloonTextChar"/>
    <w:uiPriority w:val="99"/>
    <w:semiHidden/>
    <w:unhideWhenUsed/>
    <w:rsid w:val="00EB6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D1"/>
    <w:rPr>
      <w:rFonts w:ascii="Segoe UI" w:hAnsi="Segoe UI" w:cs="Segoe UI"/>
      <w:sz w:val="18"/>
      <w:szCs w:val="18"/>
    </w:rPr>
  </w:style>
  <w:style w:type="paragraph" w:styleId="NormalWeb">
    <w:name w:val="Normal (Web)"/>
    <w:basedOn w:val="Normal"/>
    <w:uiPriority w:val="99"/>
    <w:unhideWhenUsed/>
    <w:rsid w:val="002C73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73D0"/>
    <w:rPr>
      <w:i/>
      <w:iCs/>
    </w:rPr>
  </w:style>
  <w:style w:type="character" w:customStyle="1" w:styleId="authors">
    <w:name w:val="authors"/>
    <w:basedOn w:val="DefaultParagraphFont"/>
    <w:rsid w:val="00855A79"/>
  </w:style>
  <w:style w:type="character" w:customStyle="1" w:styleId="Date1">
    <w:name w:val="Date1"/>
    <w:basedOn w:val="DefaultParagraphFont"/>
    <w:rsid w:val="00855A79"/>
  </w:style>
  <w:style w:type="character" w:customStyle="1" w:styleId="arttitle">
    <w:name w:val="art_title"/>
    <w:basedOn w:val="DefaultParagraphFont"/>
    <w:rsid w:val="00855A79"/>
  </w:style>
  <w:style w:type="character" w:customStyle="1" w:styleId="serialtitle">
    <w:name w:val="serial_title"/>
    <w:basedOn w:val="DefaultParagraphFont"/>
    <w:rsid w:val="00855A79"/>
  </w:style>
  <w:style w:type="character" w:customStyle="1" w:styleId="volumeissue">
    <w:name w:val="volume_issue"/>
    <w:basedOn w:val="DefaultParagraphFont"/>
    <w:rsid w:val="00855A79"/>
  </w:style>
  <w:style w:type="character" w:customStyle="1" w:styleId="pagerange">
    <w:name w:val="page_range"/>
    <w:basedOn w:val="DefaultParagraphFont"/>
    <w:rsid w:val="00855A79"/>
  </w:style>
  <w:style w:type="character" w:customStyle="1" w:styleId="doilink">
    <w:name w:val="doi_link"/>
    <w:basedOn w:val="DefaultParagraphFont"/>
    <w:rsid w:val="00855A79"/>
  </w:style>
  <w:style w:type="table" w:styleId="TableGrid">
    <w:name w:val="Table Grid"/>
    <w:basedOn w:val="TableNormal"/>
    <w:uiPriority w:val="39"/>
    <w:rsid w:val="0005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DefaultParagraphFont"/>
    <w:rsid w:val="00875957"/>
  </w:style>
  <w:style w:type="character" w:styleId="UnresolvedMention">
    <w:name w:val="Unresolved Mention"/>
    <w:basedOn w:val="DefaultParagraphFont"/>
    <w:uiPriority w:val="99"/>
    <w:semiHidden/>
    <w:unhideWhenUsed/>
    <w:rsid w:val="00823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334">
      <w:bodyDiv w:val="1"/>
      <w:marLeft w:val="0"/>
      <w:marRight w:val="0"/>
      <w:marTop w:val="0"/>
      <w:marBottom w:val="0"/>
      <w:divBdr>
        <w:top w:val="none" w:sz="0" w:space="0" w:color="auto"/>
        <w:left w:val="none" w:sz="0" w:space="0" w:color="auto"/>
        <w:bottom w:val="none" w:sz="0" w:space="0" w:color="auto"/>
        <w:right w:val="none" w:sz="0" w:space="0" w:color="auto"/>
      </w:divBdr>
    </w:div>
    <w:div w:id="7488108">
      <w:bodyDiv w:val="1"/>
      <w:marLeft w:val="0"/>
      <w:marRight w:val="0"/>
      <w:marTop w:val="0"/>
      <w:marBottom w:val="0"/>
      <w:divBdr>
        <w:top w:val="none" w:sz="0" w:space="0" w:color="auto"/>
        <w:left w:val="none" w:sz="0" w:space="0" w:color="auto"/>
        <w:bottom w:val="none" w:sz="0" w:space="0" w:color="auto"/>
        <w:right w:val="none" w:sz="0" w:space="0" w:color="auto"/>
      </w:divBdr>
      <w:divsChild>
        <w:div w:id="1803383950">
          <w:marLeft w:val="0"/>
          <w:marRight w:val="0"/>
          <w:marTop w:val="0"/>
          <w:marBottom w:val="0"/>
          <w:divBdr>
            <w:top w:val="none" w:sz="0" w:space="0" w:color="auto"/>
            <w:left w:val="none" w:sz="0" w:space="0" w:color="auto"/>
            <w:bottom w:val="none" w:sz="0" w:space="0" w:color="auto"/>
            <w:right w:val="none" w:sz="0" w:space="0" w:color="auto"/>
          </w:divBdr>
        </w:div>
      </w:divsChild>
    </w:div>
    <w:div w:id="102499619">
      <w:bodyDiv w:val="1"/>
      <w:marLeft w:val="0"/>
      <w:marRight w:val="0"/>
      <w:marTop w:val="0"/>
      <w:marBottom w:val="0"/>
      <w:divBdr>
        <w:top w:val="none" w:sz="0" w:space="0" w:color="auto"/>
        <w:left w:val="none" w:sz="0" w:space="0" w:color="auto"/>
        <w:bottom w:val="none" w:sz="0" w:space="0" w:color="auto"/>
        <w:right w:val="none" w:sz="0" w:space="0" w:color="auto"/>
      </w:divBdr>
      <w:divsChild>
        <w:div w:id="696780027">
          <w:marLeft w:val="0"/>
          <w:marRight w:val="0"/>
          <w:marTop w:val="0"/>
          <w:marBottom w:val="0"/>
          <w:divBdr>
            <w:top w:val="none" w:sz="0" w:space="0" w:color="auto"/>
            <w:left w:val="none" w:sz="0" w:space="0" w:color="auto"/>
            <w:bottom w:val="none" w:sz="0" w:space="0" w:color="auto"/>
            <w:right w:val="none" w:sz="0" w:space="0" w:color="auto"/>
          </w:divBdr>
        </w:div>
      </w:divsChild>
    </w:div>
    <w:div w:id="149031203">
      <w:bodyDiv w:val="1"/>
      <w:marLeft w:val="0"/>
      <w:marRight w:val="0"/>
      <w:marTop w:val="0"/>
      <w:marBottom w:val="0"/>
      <w:divBdr>
        <w:top w:val="none" w:sz="0" w:space="0" w:color="auto"/>
        <w:left w:val="none" w:sz="0" w:space="0" w:color="auto"/>
        <w:bottom w:val="none" w:sz="0" w:space="0" w:color="auto"/>
        <w:right w:val="none" w:sz="0" w:space="0" w:color="auto"/>
      </w:divBdr>
      <w:divsChild>
        <w:div w:id="1449936744">
          <w:marLeft w:val="480"/>
          <w:marRight w:val="0"/>
          <w:marTop w:val="0"/>
          <w:marBottom w:val="0"/>
          <w:divBdr>
            <w:top w:val="none" w:sz="0" w:space="0" w:color="auto"/>
            <w:left w:val="none" w:sz="0" w:space="0" w:color="auto"/>
            <w:bottom w:val="none" w:sz="0" w:space="0" w:color="auto"/>
            <w:right w:val="none" w:sz="0" w:space="0" w:color="auto"/>
          </w:divBdr>
          <w:divsChild>
            <w:div w:id="14644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6566">
      <w:bodyDiv w:val="1"/>
      <w:marLeft w:val="0"/>
      <w:marRight w:val="0"/>
      <w:marTop w:val="0"/>
      <w:marBottom w:val="0"/>
      <w:divBdr>
        <w:top w:val="none" w:sz="0" w:space="0" w:color="auto"/>
        <w:left w:val="none" w:sz="0" w:space="0" w:color="auto"/>
        <w:bottom w:val="none" w:sz="0" w:space="0" w:color="auto"/>
        <w:right w:val="none" w:sz="0" w:space="0" w:color="auto"/>
      </w:divBdr>
    </w:div>
    <w:div w:id="288166653">
      <w:bodyDiv w:val="1"/>
      <w:marLeft w:val="0"/>
      <w:marRight w:val="0"/>
      <w:marTop w:val="0"/>
      <w:marBottom w:val="0"/>
      <w:divBdr>
        <w:top w:val="none" w:sz="0" w:space="0" w:color="auto"/>
        <w:left w:val="none" w:sz="0" w:space="0" w:color="auto"/>
        <w:bottom w:val="none" w:sz="0" w:space="0" w:color="auto"/>
        <w:right w:val="none" w:sz="0" w:space="0" w:color="auto"/>
      </w:divBdr>
      <w:divsChild>
        <w:div w:id="1078095713">
          <w:marLeft w:val="480"/>
          <w:marRight w:val="0"/>
          <w:marTop w:val="0"/>
          <w:marBottom w:val="0"/>
          <w:divBdr>
            <w:top w:val="none" w:sz="0" w:space="0" w:color="auto"/>
            <w:left w:val="none" w:sz="0" w:space="0" w:color="auto"/>
            <w:bottom w:val="none" w:sz="0" w:space="0" w:color="auto"/>
            <w:right w:val="none" w:sz="0" w:space="0" w:color="auto"/>
          </w:divBdr>
          <w:divsChild>
            <w:div w:id="4794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5035">
      <w:bodyDiv w:val="1"/>
      <w:marLeft w:val="0"/>
      <w:marRight w:val="0"/>
      <w:marTop w:val="0"/>
      <w:marBottom w:val="0"/>
      <w:divBdr>
        <w:top w:val="none" w:sz="0" w:space="0" w:color="auto"/>
        <w:left w:val="none" w:sz="0" w:space="0" w:color="auto"/>
        <w:bottom w:val="none" w:sz="0" w:space="0" w:color="auto"/>
        <w:right w:val="none" w:sz="0" w:space="0" w:color="auto"/>
      </w:divBdr>
    </w:div>
    <w:div w:id="305546312">
      <w:bodyDiv w:val="1"/>
      <w:marLeft w:val="0"/>
      <w:marRight w:val="0"/>
      <w:marTop w:val="0"/>
      <w:marBottom w:val="0"/>
      <w:divBdr>
        <w:top w:val="none" w:sz="0" w:space="0" w:color="auto"/>
        <w:left w:val="none" w:sz="0" w:space="0" w:color="auto"/>
        <w:bottom w:val="none" w:sz="0" w:space="0" w:color="auto"/>
        <w:right w:val="none" w:sz="0" w:space="0" w:color="auto"/>
      </w:divBdr>
      <w:divsChild>
        <w:div w:id="1843662759">
          <w:marLeft w:val="480"/>
          <w:marRight w:val="0"/>
          <w:marTop w:val="0"/>
          <w:marBottom w:val="0"/>
          <w:divBdr>
            <w:top w:val="none" w:sz="0" w:space="0" w:color="auto"/>
            <w:left w:val="none" w:sz="0" w:space="0" w:color="auto"/>
            <w:bottom w:val="none" w:sz="0" w:space="0" w:color="auto"/>
            <w:right w:val="none" w:sz="0" w:space="0" w:color="auto"/>
          </w:divBdr>
          <w:divsChild>
            <w:div w:id="20152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4383">
      <w:bodyDiv w:val="1"/>
      <w:marLeft w:val="0"/>
      <w:marRight w:val="0"/>
      <w:marTop w:val="0"/>
      <w:marBottom w:val="0"/>
      <w:divBdr>
        <w:top w:val="none" w:sz="0" w:space="0" w:color="auto"/>
        <w:left w:val="none" w:sz="0" w:space="0" w:color="auto"/>
        <w:bottom w:val="none" w:sz="0" w:space="0" w:color="auto"/>
        <w:right w:val="none" w:sz="0" w:space="0" w:color="auto"/>
      </w:divBdr>
      <w:divsChild>
        <w:div w:id="1201473133">
          <w:marLeft w:val="480"/>
          <w:marRight w:val="0"/>
          <w:marTop w:val="0"/>
          <w:marBottom w:val="0"/>
          <w:divBdr>
            <w:top w:val="none" w:sz="0" w:space="0" w:color="auto"/>
            <w:left w:val="none" w:sz="0" w:space="0" w:color="auto"/>
            <w:bottom w:val="none" w:sz="0" w:space="0" w:color="auto"/>
            <w:right w:val="none" w:sz="0" w:space="0" w:color="auto"/>
          </w:divBdr>
          <w:divsChild>
            <w:div w:id="17481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6346">
      <w:bodyDiv w:val="1"/>
      <w:marLeft w:val="0"/>
      <w:marRight w:val="0"/>
      <w:marTop w:val="0"/>
      <w:marBottom w:val="0"/>
      <w:divBdr>
        <w:top w:val="none" w:sz="0" w:space="0" w:color="auto"/>
        <w:left w:val="none" w:sz="0" w:space="0" w:color="auto"/>
        <w:bottom w:val="none" w:sz="0" w:space="0" w:color="auto"/>
        <w:right w:val="none" w:sz="0" w:space="0" w:color="auto"/>
      </w:divBdr>
      <w:divsChild>
        <w:div w:id="2144152353">
          <w:marLeft w:val="480"/>
          <w:marRight w:val="0"/>
          <w:marTop w:val="0"/>
          <w:marBottom w:val="0"/>
          <w:divBdr>
            <w:top w:val="none" w:sz="0" w:space="0" w:color="auto"/>
            <w:left w:val="none" w:sz="0" w:space="0" w:color="auto"/>
            <w:bottom w:val="none" w:sz="0" w:space="0" w:color="auto"/>
            <w:right w:val="none" w:sz="0" w:space="0" w:color="auto"/>
          </w:divBdr>
          <w:divsChild>
            <w:div w:id="17474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961">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5">
          <w:marLeft w:val="480"/>
          <w:marRight w:val="0"/>
          <w:marTop w:val="0"/>
          <w:marBottom w:val="0"/>
          <w:divBdr>
            <w:top w:val="none" w:sz="0" w:space="0" w:color="auto"/>
            <w:left w:val="none" w:sz="0" w:space="0" w:color="auto"/>
            <w:bottom w:val="none" w:sz="0" w:space="0" w:color="auto"/>
            <w:right w:val="none" w:sz="0" w:space="0" w:color="auto"/>
          </w:divBdr>
          <w:divsChild>
            <w:div w:id="6213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463">
      <w:bodyDiv w:val="1"/>
      <w:marLeft w:val="0"/>
      <w:marRight w:val="0"/>
      <w:marTop w:val="0"/>
      <w:marBottom w:val="0"/>
      <w:divBdr>
        <w:top w:val="none" w:sz="0" w:space="0" w:color="auto"/>
        <w:left w:val="none" w:sz="0" w:space="0" w:color="auto"/>
        <w:bottom w:val="none" w:sz="0" w:space="0" w:color="auto"/>
        <w:right w:val="none" w:sz="0" w:space="0" w:color="auto"/>
      </w:divBdr>
    </w:div>
    <w:div w:id="453984789">
      <w:bodyDiv w:val="1"/>
      <w:marLeft w:val="0"/>
      <w:marRight w:val="0"/>
      <w:marTop w:val="0"/>
      <w:marBottom w:val="0"/>
      <w:divBdr>
        <w:top w:val="none" w:sz="0" w:space="0" w:color="auto"/>
        <w:left w:val="none" w:sz="0" w:space="0" w:color="auto"/>
        <w:bottom w:val="none" w:sz="0" w:space="0" w:color="auto"/>
        <w:right w:val="none" w:sz="0" w:space="0" w:color="auto"/>
      </w:divBdr>
      <w:divsChild>
        <w:div w:id="1622305430">
          <w:marLeft w:val="480"/>
          <w:marRight w:val="0"/>
          <w:marTop w:val="0"/>
          <w:marBottom w:val="0"/>
          <w:divBdr>
            <w:top w:val="none" w:sz="0" w:space="0" w:color="auto"/>
            <w:left w:val="none" w:sz="0" w:space="0" w:color="auto"/>
            <w:bottom w:val="none" w:sz="0" w:space="0" w:color="auto"/>
            <w:right w:val="none" w:sz="0" w:space="0" w:color="auto"/>
          </w:divBdr>
          <w:divsChild>
            <w:div w:id="2022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58945">
      <w:bodyDiv w:val="1"/>
      <w:marLeft w:val="0"/>
      <w:marRight w:val="0"/>
      <w:marTop w:val="0"/>
      <w:marBottom w:val="0"/>
      <w:divBdr>
        <w:top w:val="none" w:sz="0" w:space="0" w:color="auto"/>
        <w:left w:val="none" w:sz="0" w:space="0" w:color="auto"/>
        <w:bottom w:val="none" w:sz="0" w:space="0" w:color="auto"/>
        <w:right w:val="none" w:sz="0" w:space="0" w:color="auto"/>
      </w:divBdr>
    </w:div>
    <w:div w:id="525289016">
      <w:bodyDiv w:val="1"/>
      <w:marLeft w:val="0"/>
      <w:marRight w:val="0"/>
      <w:marTop w:val="0"/>
      <w:marBottom w:val="0"/>
      <w:divBdr>
        <w:top w:val="none" w:sz="0" w:space="0" w:color="auto"/>
        <w:left w:val="none" w:sz="0" w:space="0" w:color="auto"/>
        <w:bottom w:val="none" w:sz="0" w:space="0" w:color="auto"/>
        <w:right w:val="none" w:sz="0" w:space="0" w:color="auto"/>
      </w:divBdr>
      <w:divsChild>
        <w:div w:id="1134181374">
          <w:marLeft w:val="480"/>
          <w:marRight w:val="0"/>
          <w:marTop w:val="0"/>
          <w:marBottom w:val="0"/>
          <w:divBdr>
            <w:top w:val="none" w:sz="0" w:space="0" w:color="auto"/>
            <w:left w:val="none" w:sz="0" w:space="0" w:color="auto"/>
            <w:bottom w:val="none" w:sz="0" w:space="0" w:color="auto"/>
            <w:right w:val="none" w:sz="0" w:space="0" w:color="auto"/>
          </w:divBdr>
          <w:divsChild>
            <w:div w:id="3955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2853">
      <w:bodyDiv w:val="1"/>
      <w:marLeft w:val="0"/>
      <w:marRight w:val="0"/>
      <w:marTop w:val="0"/>
      <w:marBottom w:val="0"/>
      <w:divBdr>
        <w:top w:val="none" w:sz="0" w:space="0" w:color="auto"/>
        <w:left w:val="none" w:sz="0" w:space="0" w:color="auto"/>
        <w:bottom w:val="none" w:sz="0" w:space="0" w:color="auto"/>
        <w:right w:val="none" w:sz="0" w:space="0" w:color="auto"/>
      </w:divBdr>
    </w:div>
    <w:div w:id="882790188">
      <w:bodyDiv w:val="1"/>
      <w:marLeft w:val="0"/>
      <w:marRight w:val="0"/>
      <w:marTop w:val="0"/>
      <w:marBottom w:val="0"/>
      <w:divBdr>
        <w:top w:val="none" w:sz="0" w:space="0" w:color="auto"/>
        <w:left w:val="none" w:sz="0" w:space="0" w:color="auto"/>
        <w:bottom w:val="none" w:sz="0" w:space="0" w:color="auto"/>
        <w:right w:val="none" w:sz="0" w:space="0" w:color="auto"/>
      </w:divBdr>
      <w:divsChild>
        <w:div w:id="187330906">
          <w:marLeft w:val="480"/>
          <w:marRight w:val="0"/>
          <w:marTop w:val="0"/>
          <w:marBottom w:val="0"/>
          <w:divBdr>
            <w:top w:val="none" w:sz="0" w:space="0" w:color="auto"/>
            <w:left w:val="none" w:sz="0" w:space="0" w:color="auto"/>
            <w:bottom w:val="none" w:sz="0" w:space="0" w:color="auto"/>
            <w:right w:val="none" w:sz="0" w:space="0" w:color="auto"/>
          </w:divBdr>
          <w:divsChild>
            <w:div w:id="213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1383">
      <w:bodyDiv w:val="1"/>
      <w:marLeft w:val="0"/>
      <w:marRight w:val="0"/>
      <w:marTop w:val="0"/>
      <w:marBottom w:val="0"/>
      <w:divBdr>
        <w:top w:val="none" w:sz="0" w:space="0" w:color="auto"/>
        <w:left w:val="none" w:sz="0" w:space="0" w:color="auto"/>
        <w:bottom w:val="none" w:sz="0" w:space="0" w:color="auto"/>
        <w:right w:val="none" w:sz="0" w:space="0" w:color="auto"/>
      </w:divBdr>
    </w:div>
    <w:div w:id="983392194">
      <w:bodyDiv w:val="1"/>
      <w:marLeft w:val="0"/>
      <w:marRight w:val="0"/>
      <w:marTop w:val="0"/>
      <w:marBottom w:val="0"/>
      <w:divBdr>
        <w:top w:val="none" w:sz="0" w:space="0" w:color="auto"/>
        <w:left w:val="none" w:sz="0" w:space="0" w:color="auto"/>
        <w:bottom w:val="none" w:sz="0" w:space="0" w:color="auto"/>
        <w:right w:val="none" w:sz="0" w:space="0" w:color="auto"/>
      </w:divBdr>
    </w:div>
    <w:div w:id="1083603412">
      <w:bodyDiv w:val="1"/>
      <w:marLeft w:val="0"/>
      <w:marRight w:val="0"/>
      <w:marTop w:val="0"/>
      <w:marBottom w:val="0"/>
      <w:divBdr>
        <w:top w:val="none" w:sz="0" w:space="0" w:color="auto"/>
        <w:left w:val="none" w:sz="0" w:space="0" w:color="auto"/>
        <w:bottom w:val="none" w:sz="0" w:space="0" w:color="auto"/>
        <w:right w:val="none" w:sz="0" w:space="0" w:color="auto"/>
      </w:divBdr>
    </w:div>
    <w:div w:id="1206478658">
      <w:bodyDiv w:val="1"/>
      <w:marLeft w:val="0"/>
      <w:marRight w:val="0"/>
      <w:marTop w:val="0"/>
      <w:marBottom w:val="0"/>
      <w:divBdr>
        <w:top w:val="none" w:sz="0" w:space="0" w:color="auto"/>
        <w:left w:val="none" w:sz="0" w:space="0" w:color="auto"/>
        <w:bottom w:val="none" w:sz="0" w:space="0" w:color="auto"/>
        <w:right w:val="none" w:sz="0" w:space="0" w:color="auto"/>
      </w:divBdr>
    </w:div>
    <w:div w:id="1264728748">
      <w:bodyDiv w:val="1"/>
      <w:marLeft w:val="0"/>
      <w:marRight w:val="0"/>
      <w:marTop w:val="0"/>
      <w:marBottom w:val="0"/>
      <w:divBdr>
        <w:top w:val="none" w:sz="0" w:space="0" w:color="auto"/>
        <w:left w:val="none" w:sz="0" w:space="0" w:color="auto"/>
        <w:bottom w:val="none" w:sz="0" w:space="0" w:color="auto"/>
        <w:right w:val="none" w:sz="0" w:space="0" w:color="auto"/>
      </w:divBdr>
    </w:div>
    <w:div w:id="1302231246">
      <w:bodyDiv w:val="1"/>
      <w:marLeft w:val="0"/>
      <w:marRight w:val="0"/>
      <w:marTop w:val="0"/>
      <w:marBottom w:val="0"/>
      <w:divBdr>
        <w:top w:val="none" w:sz="0" w:space="0" w:color="auto"/>
        <w:left w:val="none" w:sz="0" w:space="0" w:color="auto"/>
        <w:bottom w:val="none" w:sz="0" w:space="0" w:color="auto"/>
        <w:right w:val="none" w:sz="0" w:space="0" w:color="auto"/>
      </w:divBdr>
      <w:divsChild>
        <w:div w:id="1399284668">
          <w:marLeft w:val="480"/>
          <w:marRight w:val="0"/>
          <w:marTop w:val="0"/>
          <w:marBottom w:val="0"/>
          <w:divBdr>
            <w:top w:val="none" w:sz="0" w:space="0" w:color="auto"/>
            <w:left w:val="none" w:sz="0" w:space="0" w:color="auto"/>
            <w:bottom w:val="none" w:sz="0" w:space="0" w:color="auto"/>
            <w:right w:val="none" w:sz="0" w:space="0" w:color="auto"/>
          </w:divBdr>
          <w:divsChild>
            <w:div w:id="17156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3708">
      <w:bodyDiv w:val="1"/>
      <w:marLeft w:val="0"/>
      <w:marRight w:val="0"/>
      <w:marTop w:val="0"/>
      <w:marBottom w:val="0"/>
      <w:divBdr>
        <w:top w:val="none" w:sz="0" w:space="0" w:color="auto"/>
        <w:left w:val="none" w:sz="0" w:space="0" w:color="auto"/>
        <w:bottom w:val="none" w:sz="0" w:space="0" w:color="auto"/>
        <w:right w:val="none" w:sz="0" w:space="0" w:color="auto"/>
      </w:divBdr>
    </w:div>
    <w:div w:id="1414354688">
      <w:bodyDiv w:val="1"/>
      <w:marLeft w:val="0"/>
      <w:marRight w:val="0"/>
      <w:marTop w:val="0"/>
      <w:marBottom w:val="0"/>
      <w:divBdr>
        <w:top w:val="none" w:sz="0" w:space="0" w:color="auto"/>
        <w:left w:val="none" w:sz="0" w:space="0" w:color="auto"/>
        <w:bottom w:val="none" w:sz="0" w:space="0" w:color="auto"/>
        <w:right w:val="none" w:sz="0" w:space="0" w:color="auto"/>
      </w:divBdr>
      <w:divsChild>
        <w:div w:id="851845364">
          <w:marLeft w:val="0"/>
          <w:marRight w:val="0"/>
          <w:marTop w:val="0"/>
          <w:marBottom w:val="0"/>
          <w:divBdr>
            <w:top w:val="none" w:sz="0" w:space="0" w:color="auto"/>
            <w:left w:val="none" w:sz="0" w:space="0" w:color="auto"/>
            <w:bottom w:val="none" w:sz="0" w:space="0" w:color="auto"/>
            <w:right w:val="none" w:sz="0" w:space="0" w:color="auto"/>
          </w:divBdr>
        </w:div>
      </w:divsChild>
    </w:div>
    <w:div w:id="1484732357">
      <w:bodyDiv w:val="1"/>
      <w:marLeft w:val="0"/>
      <w:marRight w:val="0"/>
      <w:marTop w:val="0"/>
      <w:marBottom w:val="0"/>
      <w:divBdr>
        <w:top w:val="none" w:sz="0" w:space="0" w:color="auto"/>
        <w:left w:val="none" w:sz="0" w:space="0" w:color="auto"/>
        <w:bottom w:val="none" w:sz="0" w:space="0" w:color="auto"/>
        <w:right w:val="none" w:sz="0" w:space="0" w:color="auto"/>
      </w:divBdr>
      <w:divsChild>
        <w:div w:id="1584220464">
          <w:marLeft w:val="480"/>
          <w:marRight w:val="0"/>
          <w:marTop w:val="0"/>
          <w:marBottom w:val="0"/>
          <w:divBdr>
            <w:top w:val="none" w:sz="0" w:space="0" w:color="auto"/>
            <w:left w:val="none" w:sz="0" w:space="0" w:color="auto"/>
            <w:bottom w:val="none" w:sz="0" w:space="0" w:color="auto"/>
            <w:right w:val="none" w:sz="0" w:space="0" w:color="auto"/>
          </w:divBdr>
          <w:divsChild>
            <w:div w:id="11166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159">
      <w:bodyDiv w:val="1"/>
      <w:marLeft w:val="0"/>
      <w:marRight w:val="0"/>
      <w:marTop w:val="0"/>
      <w:marBottom w:val="0"/>
      <w:divBdr>
        <w:top w:val="none" w:sz="0" w:space="0" w:color="auto"/>
        <w:left w:val="none" w:sz="0" w:space="0" w:color="auto"/>
        <w:bottom w:val="none" w:sz="0" w:space="0" w:color="auto"/>
        <w:right w:val="none" w:sz="0" w:space="0" w:color="auto"/>
      </w:divBdr>
    </w:div>
    <w:div w:id="1542328849">
      <w:bodyDiv w:val="1"/>
      <w:marLeft w:val="0"/>
      <w:marRight w:val="0"/>
      <w:marTop w:val="0"/>
      <w:marBottom w:val="0"/>
      <w:divBdr>
        <w:top w:val="none" w:sz="0" w:space="0" w:color="auto"/>
        <w:left w:val="none" w:sz="0" w:space="0" w:color="auto"/>
        <w:bottom w:val="none" w:sz="0" w:space="0" w:color="auto"/>
        <w:right w:val="none" w:sz="0" w:space="0" w:color="auto"/>
      </w:divBdr>
      <w:divsChild>
        <w:div w:id="2015185944">
          <w:marLeft w:val="480"/>
          <w:marRight w:val="0"/>
          <w:marTop w:val="0"/>
          <w:marBottom w:val="0"/>
          <w:divBdr>
            <w:top w:val="none" w:sz="0" w:space="0" w:color="auto"/>
            <w:left w:val="none" w:sz="0" w:space="0" w:color="auto"/>
            <w:bottom w:val="none" w:sz="0" w:space="0" w:color="auto"/>
            <w:right w:val="none" w:sz="0" w:space="0" w:color="auto"/>
          </w:divBdr>
          <w:divsChild>
            <w:div w:id="18891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5351">
      <w:bodyDiv w:val="1"/>
      <w:marLeft w:val="0"/>
      <w:marRight w:val="0"/>
      <w:marTop w:val="0"/>
      <w:marBottom w:val="0"/>
      <w:divBdr>
        <w:top w:val="none" w:sz="0" w:space="0" w:color="auto"/>
        <w:left w:val="none" w:sz="0" w:space="0" w:color="auto"/>
        <w:bottom w:val="none" w:sz="0" w:space="0" w:color="auto"/>
        <w:right w:val="none" w:sz="0" w:space="0" w:color="auto"/>
      </w:divBdr>
      <w:divsChild>
        <w:div w:id="1082679225">
          <w:marLeft w:val="480"/>
          <w:marRight w:val="0"/>
          <w:marTop w:val="0"/>
          <w:marBottom w:val="0"/>
          <w:divBdr>
            <w:top w:val="none" w:sz="0" w:space="0" w:color="auto"/>
            <w:left w:val="none" w:sz="0" w:space="0" w:color="auto"/>
            <w:bottom w:val="none" w:sz="0" w:space="0" w:color="auto"/>
            <w:right w:val="none" w:sz="0" w:space="0" w:color="auto"/>
          </w:divBdr>
          <w:divsChild>
            <w:div w:id="20716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51608">
      <w:bodyDiv w:val="1"/>
      <w:marLeft w:val="0"/>
      <w:marRight w:val="0"/>
      <w:marTop w:val="0"/>
      <w:marBottom w:val="0"/>
      <w:divBdr>
        <w:top w:val="none" w:sz="0" w:space="0" w:color="auto"/>
        <w:left w:val="none" w:sz="0" w:space="0" w:color="auto"/>
        <w:bottom w:val="none" w:sz="0" w:space="0" w:color="auto"/>
        <w:right w:val="none" w:sz="0" w:space="0" w:color="auto"/>
      </w:divBdr>
    </w:div>
    <w:div w:id="1618295170">
      <w:bodyDiv w:val="1"/>
      <w:marLeft w:val="0"/>
      <w:marRight w:val="0"/>
      <w:marTop w:val="0"/>
      <w:marBottom w:val="0"/>
      <w:divBdr>
        <w:top w:val="none" w:sz="0" w:space="0" w:color="auto"/>
        <w:left w:val="none" w:sz="0" w:space="0" w:color="auto"/>
        <w:bottom w:val="none" w:sz="0" w:space="0" w:color="auto"/>
        <w:right w:val="none" w:sz="0" w:space="0" w:color="auto"/>
      </w:divBdr>
    </w:div>
    <w:div w:id="1697736542">
      <w:bodyDiv w:val="1"/>
      <w:marLeft w:val="0"/>
      <w:marRight w:val="0"/>
      <w:marTop w:val="0"/>
      <w:marBottom w:val="0"/>
      <w:divBdr>
        <w:top w:val="none" w:sz="0" w:space="0" w:color="auto"/>
        <w:left w:val="none" w:sz="0" w:space="0" w:color="auto"/>
        <w:bottom w:val="none" w:sz="0" w:space="0" w:color="auto"/>
        <w:right w:val="none" w:sz="0" w:space="0" w:color="auto"/>
      </w:divBdr>
    </w:div>
    <w:div w:id="1724137530">
      <w:bodyDiv w:val="1"/>
      <w:marLeft w:val="0"/>
      <w:marRight w:val="0"/>
      <w:marTop w:val="0"/>
      <w:marBottom w:val="0"/>
      <w:divBdr>
        <w:top w:val="none" w:sz="0" w:space="0" w:color="auto"/>
        <w:left w:val="none" w:sz="0" w:space="0" w:color="auto"/>
        <w:bottom w:val="none" w:sz="0" w:space="0" w:color="auto"/>
        <w:right w:val="none" w:sz="0" w:space="0" w:color="auto"/>
      </w:divBdr>
    </w:div>
    <w:div w:id="1754352736">
      <w:bodyDiv w:val="1"/>
      <w:marLeft w:val="0"/>
      <w:marRight w:val="0"/>
      <w:marTop w:val="0"/>
      <w:marBottom w:val="0"/>
      <w:divBdr>
        <w:top w:val="none" w:sz="0" w:space="0" w:color="auto"/>
        <w:left w:val="none" w:sz="0" w:space="0" w:color="auto"/>
        <w:bottom w:val="none" w:sz="0" w:space="0" w:color="auto"/>
        <w:right w:val="none" w:sz="0" w:space="0" w:color="auto"/>
      </w:divBdr>
      <w:divsChild>
        <w:div w:id="1646885359">
          <w:marLeft w:val="480"/>
          <w:marRight w:val="0"/>
          <w:marTop w:val="0"/>
          <w:marBottom w:val="0"/>
          <w:divBdr>
            <w:top w:val="none" w:sz="0" w:space="0" w:color="auto"/>
            <w:left w:val="none" w:sz="0" w:space="0" w:color="auto"/>
            <w:bottom w:val="none" w:sz="0" w:space="0" w:color="auto"/>
            <w:right w:val="none" w:sz="0" w:space="0" w:color="auto"/>
          </w:divBdr>
          <w:divsChild>
            <w:div w:id="14595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6687">
      <w:bodyDiv w:val="1"/>
      <w:marLeft w:val="0"/>
      <w:marRight w:val="0"/>
      <w:marTop w:val="0"/>
      <w:marBottom w:val="0"/>
      <w:divBdr>
        <w:top w:val="none" w:sz="0" w:space="0" w:color="auto"/>
        <w:left w:val="none" w:sz="0" w:space="0" w:color="auto"/>
        <w:bottom w:val="none" w:sz="0" w:space="0" w:color="auto"/>
        <w:right w:val="none" w:sz="0" w:space="0" w:color="auto"/>
      </w:divBdr>
      <w:divsChild>
        <w:div w:id="42562824">
          <w:marLeft w:val="480"/>
          <w:marRight w:val="0"/>
          <w:marTop w:val="0"/>
          <w:marBottom w:val="0"/>
          <w:divBdr>
            <w:top w:val="none" w:sz="0" w:space="0" w:color="auto"/>
            <w:left w:val="none" w:sz="0" w:space="0" w:color="auto"/>
            <w:bottom w:val="none" w:sz="0" w:space="0" w:color="auto"/>
            <w:right w:val="none" w:sz="0" w:space="0" w:color="auto"/>
          </w:divBdr>
          <w:divsChild>
            <w:div w:id="9924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0634">
      <w:bodyDiv w:val="1"/>
      <w:marLeft w:val="0"/>
      <w:marRight w:val="0"/>
      <w:marTop w:val="0"/>
      <w:marBottom w:val="0"/>
      <w:divBdr>
        <w:top w:val="none" w:sz="0" w:space="0" w:color="auto"/>
        <w:left w:val="none" w:sz="0" w:space="0" w:color="auto"/>
        <w:bottom w:val="none" w:sz="0" w:space="0" w:color="auto"/>
        <w:right w:val="none" w:sz="0" w:space="0" w:color="auto"/>
      </w:divBdr>
    </w:div>
    <w:div w:id="1993825414">
      <w:bodyDiv w:val="1"/>
      <w:marLeft w:val="0"/>
      <w:marRight w:val="0"/>
      <w:marTop w:val="0"/>
      <w:marBottom w:val="0"/>
      <w:divBdr>
        <w:top w:val="none" w:sz="0" w:space="0" w:color="auto"/>
        <w:left w:val="none" w:sz="0" w:space="0" w:color="auto"/>
        <w:bottom w:val="none" w:sz="0" w:space="0" w:color="auto"/>
        <w:right w:val="none" w:sz="0" w:space="0" w:color="auto"/>
      </w:divBdr>
      <w:divsChild>
        <w:div w:id="973947078">
          <w:marLeft w:val="480"/>
          <w:marRight w:val="0"/>
          <w:marTop w:val="0"/>
          <w:marBottom w:val="0"/>
          <w:divBdr>
            <w:top w:val="none" w:sz="0" w:space="0" w:color="auto"/>
            <w:left w:val="none" w:sz="0" w:space="0" w:color="auto"/>
            <w:bottom w:val="none" w:sz="0" w:space="0" w:color="auto"/>
            <w:right w:val="none" w:sz="0" w:space="0" w:color="auto"/>
          </w:divBdr>
          <w:divsChild>
            <w:div w:id="17060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0816">
      <w:bodyDiv w:val="1"/>
      <w:marLeft w:val="0"/>
      <w:marRight w:val="0"/>
      <w:marTop w:val="0"/>
      <w:marBottom w:val="0"/>
      <w:divBdr>
        <w:top w:val="none" w:sz="0" w:space="0" w:color="auto"/>
        <w:left w:val="none" w:sz="0" w:space="0" w:color="auto"/>
        <w:bottom w:val="none" w:sz="0" w:space="0" w:color="auto"/>
        <w:right w:val="none" w:sz="0" w:space="0" w:color="auto"/>
      </w:divBdr>
    </w:div>
    <w:div w:id="20480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intercept.com/2018/10/06/saudi-arabia-women-driving-activists-exile/" TargetMode="External"/><Relationship Id="rId18" Type="http://schemas.openxmlformats.org/officeDocument/2006/relationships/hyperlink" Target="https://dawnmena.org/ill-kill-you-but-before-that-ill-rape-you-loujain-alhathlouls-torture-in-a-saudi-prison-2/" TargetMode="External"/><Relationship Id="rId26" Type="http://schemas.openxmlformats.org/officeDocument/2006/relationships/hyperlink" Target="https://doi.org/10.1080/17449057.2021.1901380" TargetMode="External"/><Relationship Id="rId39" Type="http://schemas.openxmlformats.org/officeDocument/2006/relationships/hyperlink" Target="https://www.timesofisrael.com/report-israel-pushed-nso-spyware-to-gulf-states-to-help-track-dissidents/" TargetMode="External"/><Relationship Id="rId21" Type="http://schemas.openxmlformats.org/officeDocument/2006/relationships/hyperlink" Target="https://www.washingtonpost.com/politics/2020/10/26/what-do-ordinary-arabs-think-about-normalizing-relations-with-israel/" TargetMode="External"/><Relationship Id="rId34" Type="http://schemas.openxmlformats.org/officeDocument/2006/relationships/hyperlink" Target="http://www.bloomberg.com/news/articles/2020-08-18/israeli-peace-deal-coaxes-emirati-investors-out-of-the-shadows?sref=SQDBOtxO" TargetMode="External"/><Relationship Id="rId42" Type="http://schemas.openxmlformats.org/officeDocument/2006/relationships/hyperlink" Target="https://www.wsj.com/articles/covert-saudi-outreach-to-israel-sputters-after-journalists-murder-11545129001" TargetMode="External"/><Relationship Id="rId47" Type="http://schemas.openxmlformats.org/officeDocument/2006/relationships/hyperlink" Target="https://www.politico.com/story/2018/10/23/shihabi-saudi-arabia-washington-ambassador-933951"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bcnews.com/news/world/malak-al-shehri-speaks-out-after-saudi-arabia-detains-husband-n999976" TargetMode="External"/><Relationship Id="rId29" Type="http://schemas.openxmlformats.org/officeDocument/2006/relationships/hyperlink" Target="https://www.jstor.org/stable/resrep12689?seq=21" TargetMode="External"/><Relationship Id="rId11" Type="http://schemas.openxmlformats.org/officeDocument/2006/relationships/hyperlink" Target="https://www.amnesty.org/en/latest/news/2019/05/saudi-arabias-year-of-shame-crackdown-on-critics-and-rights-activists-continues/" TargetMode="External"/><Relationship Id="rId24" Type="http://schemas.openxmlformats.org/officeDocument/2006/relationships/hyperlink" Target="https://www.youtube.com/watch?v=TCTySS2_jto" TargetMode="External"/><Relationship Id="rId32" Type="http://schemas.openxmlformats.org/officeDocument/2006/relationships/hyperlink" Target="https://www.theguardian.com/media/2020/dec/20/citizen-lab-nso-dozens-of-aljazeera-journalists-allegedly-hacked-using-israeli-firm-spyware" TargetMode="External"/><Relationship Id="rId37" Type="http://schemas.openxmlformats.org/officeDocument/2006/relationships/hyperlink" Target="https://www.bloomberg.com/news/articles/2020-08-18/saudi-arabia-avoids-reference-to-uae-normalization-with-israel" TargetMode="External"/><Relationship Id="rId40" Type="http://schemas.openxmlformats.org/officeDocument/2006/relationships/hyperlink" Target="https://www.brookings.edu/blog/order-from-chaos/2020/11/25/saudi-israeli-relations-the-curious-case-of-a-neom-meeting-denied/" TargetMode="External"/><Relationship Id="rId45" Type="http://schemas.openxmlformats.org/officeDocument/2006/relationships/hyperlink" Target="https://carnegieendowment.org/sada/7917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dw.com/en/will-the-israel-deal-pave-the-way-for-emirati-repression/a-54636945" TargetMode="External"/><Relationship Id="rId19" Type="http://schemas.openxmlformats.org/officeDocument/2006/relationships/hyperlink" Target="https://thehill.com/opinion/international/368764-why-is-qatar-being-blockaded-and-isolated" TargetMode="External"/><Relationship Id="rId31" Type="http://schemas.openxmlformats.org/officeDocument/2006/relationships/hyperlink" Target="https://www.chathamhouse.org/sites/default/files/publications/research/2019-05-30-Gulf%20Crisis_0.pdf" TargetMode="External"/><Relationship Id="rId44" Type="http://schemas.openxmlformats.org/officeDocument/2006/relationships/hyperlink" Target="https://www.sipri.org/sites/default/files/2020-06/yb20_summary_en_v2.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qantara.de/content/activists-fear-increased-cyber-surveillance-will-repression-in-uae-intensify-under-the" TargetMode="External"/><Relationship Id="rId14" Type="http://schemas.openxmlformats.org/officeDocument/2006/relationships/hyperlink" Target="https://www.brookings.edu/wp-content/uploads/2016/06/Final-PDF-English.pdf" TargetMode="External"/><Relationship Id="rId22" Type="http://schemas.openxmlformats.org/officeDocument/2006/relationships/hyperlink" Target="https://www.jadaliyya.com/Details/27434" TargetMode="External"/><Relationship Id="rId27" Type="http://schemas.openxmlformats.org/officeDocument/2006/relationships/hyperlink" Target="https://www.hrw.org/news/2019/11/12/uae-political-detainees-languish-behind-bars" TargetMode="External"/><Relationship Id="rId30" Type="http://schemas.openxmlformats.org/officeDocument/2006/relationships/hyperlink" Target="https://rb.gy/zgz3ha" TargetMode="External"/><Relationship Id="rId35" Type="http://schemas.openxmlformats.org/officeDocument/2006/relationships/hyperlink" Target="https://tspace.library.utoronto.ca/bitstream/1807/95391/1/Report%23113--hide%20and%20seek.pdf" TargetMode="External"/><Relationship Id="rId43" Type="http://schemas.openxmlformats.org/officeDocument/2006/relationships/hyperlink" Target="https://twitter.com/aliShihabi/status/1011717572473995264" TargetMode="External"/><Relationship Id="rId48" Type="http://schemas.openxmlformats.org/officeDocument/2006/relationships/hyperlink" Target="https://www.congress.gov/109/crec/2005/12/07/CREC-2005-12-07-pt1-PgH11163-2.pdf" TargetMode="External"/><Relationship Id="rId8" Type="http://schemas.openxmlformats.org/officeDocument/2006/relationships/hyperlink" Target="https://www.alayam.com/alayam/first/864742/News.htm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dohainstitute.org/ar/News/Pages/ACRPS-Announces-the-Results-of-the-Arab-Opinion-Index-2019-2020.aspx" TargetMode="External"/><Relationship Id="rId17" Type="http://schemas.openxmlformats.org/officeDocument/2006/relationships/hyperlink" Target="https://www.hrw.org/report/2019/11/04/high-cost-change/repression-under-saudi-crown-prince-tarnishes-reforms" TargetMode="External"/><Relationship Id="rId25" Type="http://schemas.openxmlformats.org/officeDocument/2006/relationships/hyperlink" Target="https://www.youtube.com/watch?v=G93pP3lcGTs&amp;t=3192s" TargetMode="External"/><Relationship Id="rId33" Type="http://schemas.openxmlformats.org/officeDocument/2006/relationships/hyperlink" Target="https://www.nytimes.com/2018/12/02/world/middleeast/saudi-khashoggi-spyware-israel.html" TargetMode="External"/><Relationship Id="rId38" Type="http://schemas.openxmlformats.org/officeDocument/2006/relationships/hyperlink" Target="https://www.espn.com/soccer/fifa-world-cup/story/4019777/qatars-hosting-of-club-world-cup-was-smoothbut-will-it-be-ready-for-bigger-size-and-scale-of-2022-world-cup" TargetMode="External"/><Relationship Id="rId46" Type="http://schemas.openxmlformats.org/officeDocument/2006/relationships/hyperlink" Target="https://english.alaraby.co.uk/english/news/2020/9/27/prominent-emirati-writer-banned-from-travelling-over-anti-normalisation-stance" TargetMode="External"/><Relationship Id="rId20" Type="http://schemas.openxmlformats.org/officeDocument/2006/relationships/hyperlink" Target="https://carnegieendowment.org/sada/83975" TargetMode="External"/><Relationship Id="rId41" Type="http://schemas.openxmlformats.org/officeDocument/2006/relationships/hyperlink" Target="https://www.reuters.com/article/us-saudi-prince-israel-idUSKCN1H91S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prints.lse.ac.uk/100313/7/JustBelowtheSurface.pdf" TargetMode="External"/><Relationship Id="rId23" Type="http://schemas.openxmlformats.org/officeDocument/2006/relationships/hyperlink" Target="https://motherboard.vice.com/en_us/article/kzjmze/saud-al-qahtani-saudi-arabia-hacking-team" TargetMode="External"/><Relationship Id="rId28" Type="http://schemas.openxmlformats.org/officeDocument/2006/relationships/hyperlink" Target="https://rb.gy/rrokt8" TargetMode="External"/><Relationship Id="rId36" Type="http://schemas.openxmlformats.org/officeDocument/2006/relationships/hyperlink" Target="https://citizenlab.ca/2020/12/the-great-ipwn-journalists-hacked-with-suspected-nso-group-imessage-zero-click-exploit/" TargetMode="External"/><Relationship Id="rId49" Type="http://schemas.openxmlformats.org/officeDocument/2006/relationships/hyperlink" Target="https://www.nytimes.com/2020/01/09/magazine/united-arab-emirates-mohammed-bin-zayed.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thehill.com/opinion/international/368764-why-is-qatar-being-blockaded-and-isolated" TargetMode="External"/><Relationship Id="rId18" Type="http://schemas.openxmlformats.org/officeDocument/2006/relationships/hyperlink" Target="https://www.reuters.com/article/us-saudi-prince-israel-idUSKCN1H91SQ" TargetMode="External"/><Relationship Id="rId26" Type="http://schemas.openxmlformats.org/officeDocument/2006/relationships/hyperlink" Target="https://dawnmena.org/ill-kill-you-but-before-that-ill-rape-you-loujain-alhathlouls-torture-in-a-saudi-prison-2/" TargetMode="External"/><Relationship Id="rId39" Type="http://schemas.openxmlformats.org/officeDocument/2006/relationships/hyperlink" Target="https://www.congress.gov/109/crec/2005/12/07/CREC-2005-12-07-pt1-PgH11163-2.pdf" TargetMode="External"/><Relationship Id="rId21" Type="http://schemas.openxmlformats.org/officeDocument/2006/relationships/hyperlink" Target="https://rb.gy/lzfvkm" TargetMode="External"/><Relationship Id="rId34" Type="http://schemas.openxmlformats.org/officeDocument/2006/relationships/hyperlink" Target="https://citizenlab.ca/2020/12/the-great-ipwn-journalists-hacked-with-suspected-nso-group-imessage-zero-click-exploit/" TargetMode="External"/><Relationship Id="rId42" Type="http://schemas.openxmlformats.org/officeDocument/2006/relationships/hyperlink" Target="https://www.alayam.com/alayam/first/864742/News.html" TargetMode="External"/><Relationship Id="rId47" Type="http://schemas.openxmlformats.org/officeDocument/2006/relationships/hyperlink" Target="http://www.bloomberg.com/news/articles/2020-08-18/israeli-peace-deal-coaxes-emirati-investors-out-of-the-shadows?sref=SQDBOtxO" TargetMode="External"/><Relationship Id="rId7" Type="http://schemas.openxmlformats.org/officeDocument/2006/relationships/hyperlink" Target="https://www.dohainstitute.org/ar/News/Pages/ACRPS-Announces-the-Results-of-the-Arab-Opinion-Index-2019-2020.aspx" TargetMode="External"/><Relationship Id="rId2" Type="http://schemas.openxmlformats.org/officeDocument/2006/relationships/hyperlink" Target="https://www.chathamhouse.org/sites/default/files/publications/research/2019-05-30-Gulf%20Crisis_0.pdf" TargetMode="External"/><Relationship Id="rId16" Type="http://schemas.openxmlformats.org/officeDocument/2006/relationships/hyperlink" Target="https://www.politico.com/story/2018/10/23/shihabi-saudi-arabia-washington-ambassador-933951" TargetMode="External"/><Relationship Id="rId29" Type="http://schemas.openxmlformats.org/officeDocument/2006/relationships/hyperlink" Target="https://www.wsj.com/articles/covert-saudi-outreach-to-israel-sputters-after-journalists-murder-11545129001" TargetMode="External"/><Relationship Id="rId1" Type="http://schemas.openxmlformats.org/officeDocument/2006/relationships/hyperlink" Target="http://eprints.lse.ac.uk/100313/7/JustBelowtheSurface.pdf" TargetMode="External"/><Relationship Id="rId6" Type="http://schemas.openxmlformats.org/officeDocument/2006/relationships/hyperlink" Target="https://rb.gy/zgz3ha" TargetMode="External"/><Relationship Id="rId11" Type="http://schemas.openxmlformats.org/officeDocument/2006/relationships/hyperlink" Target="https://www.brookings.edu/wp-content/uploads/2016/06/Final-PDF-English.pdf" TargetMode="External"/><Relationship Id="rId24" Type="http://schemas.openxmlformats.org/officeDocument/2006/relationships/hyperlink" Target="https://www.youtube.com/watch?v=TCTySS2_jto" TargetMode="External"/><Relationship Id="rId32" Type="http://schemas.openxmlformats.org/officeDocument/2006/relationships/hyperlink" Target="https://tspace.library.utoronto.ca/bitstream/1807/95391/1/Report%23113--hide%20and%20seek.pdf" TargetMode="External"/><Relationship Id="rId37" Type="http://schemas.openxmlformats.org/officeDocument/2006/relationships/hyperlink" Target="https://www.state.gov/wp-content/uploads/2020/09/UAE_Israel-treaty-signed-FINAL-15-Sept-2020-508.pdf" TargetMode="External"/><Relationship Id="rId40" Type="http://schemas.openxmlformats.org/officeDocument/2006/relationships/hyperlink" Target="https://www.youtube.com/watch?v=G93pP3lcGTs&amp;t=3192s" TargetMode="External"/><Relationship Id="rId45" Type="http://schemas.openxmlformats.org/officeDocument/2006/relationships/hyperlink" Target="https://carnegieendowment.org/sada/79173" TargetMode="External"/><Relationship Id="rId5" Type="http://schemas.openxmlformats.org/officeDocument/2006/relationships/hyperlink" Target="https://www.sipri.org/sites/default/files/2020-06/yb20_summary_en_v2.pdf" TargetMode="External"/><Relationship Id="rId15" Type="http://schemas.openxmlformats.org/officeDocument/2006/relationships/hyperlink" Target="https://www.amnesty.org/en/latest/news/2019/05/saudi-arabias-year-of-shame-crackdown-on-critics-and-rights-activists-continues/" TargetMode="External"/><Relationship Id="rId23" Type="http://schemas.openxmlformats.org/officeDocument/2006/relationships/hyperlink" Target="https://rb.gy/jdh9vn" TargetMode="External"/><Relationship Id="rId28" Type="http://schemas.openxmlformats.org/officeDocument/2006/relationships/hyperlink" Target="https://www.nytimes.com/2018/12/02/world/middleeast/saudi-khashoggi-spyware-israel.html" TargetMode="External"/><Relationship Id="rId36" Type="http://schemas.openxmlformats.org/officeDocument/2006/relationships/hyperlink" Target="https://www.bloomberg.com/news/articles/2020-08-18/saudi-arabia-avoids-reference-to-uae-normalization-with-israel" TargetMode="External"/><Relationship Id="rId10" Type="http://schemas.openxmlformats.org/officeDocument/2006/relationships/hyperlink" Target="https://www.jstor.org/stable/resrep12689?seq=21" TargetMode="External"/><Relationship Id="rId19" Type="http://schemas.openxmlformats.org/officeDocument/2006/relationships/hyperlink" Target="https://carnegieendowment.org/sada/83975" TargetMode="External"/><Relationship Id="rId31" Type="http://schemas.openxmlformats.org/officeDocument/2006/relationships/hyperlink" Target="https://theintercept.com/2018/10/06/saudi-arabia-women-driving-activists-exile/" TargetMode="External"/><Relationship Id="rId44" Type="http://schemas.openxmlformats.org/officeDocument/2006/relationships/hyperlink" Target="https://www.hrw.org/news/2019/11/12/uae-political-detainees-languish-behind-bars" TargetMode="External"/><Relationship Id="rId4" Type="http://schemas.openxmlformats.org/officeDocument/2006/relationships/hyperlink" Target="https://www.jadaliyya.com/Details/27434" TargetMode="External"/><Relationship Id="rId9" Type="http://schemas.openxmlformats.org/officeDocument/2006/relationships/hyperlink" Target="https://www.espn.com/soccer/fifa-world-cup/story/4019777/qatars-hosting-of-club-world-cup-was-smoothbut-will-it-be-ready-for-bigger-size-and-scale-of-2022-world-cup" TargetMode="External"/><Relationship Id="rId14" Type="http://schemas.openxmlformats.org/officeDocument/2006/relationships/hyperlink" Target="https://www.dohainstitute.org/ar/News/Pages/ACRPS-Announces-the-Results-of-the-Arab-Opinion-Index-2019-2020.aspx" TargetMode="External"/><Relationship Id="rId22" Type="http://schemas.openxmlformats.org/officeDocument/2006/relationships/hyperlink" Target="https://www.hrw.org/report/2019/11/04/high-cost-change/repression-under-saudi-crown-prince-tarnishes-reforms" TargetMode="External"/><Relationship Id="rId27" Type="http://schemas.openxmlformats.org/officeDocument/2006/relationships/hyperlink" Target="https://motherboard.vice.com/en_us/article/kzjmze/saud-al-qahtani-saudi-arabia-hacking-team" TargetMode="External"/><Relationship Id="rId30" Type="http://schemas.openxmlformats.org/officeDocument/2006/relationships/hyperlink" Target="https://www.wsj.com/articles/covert-saudi-outreach-to-israel-sputters-after-journalists-murder-11545129001" TargetMode="External"/><Relationship Id="rId35" Type="http://schemas.openxmlformats.org/officeDocument/2006/relationships/hyperlink" Target="https://rb.gy/rrokt8" TargetMode="External"/><Relationship Id="rId43" Type="http://schemas.openxmlformats.org/officeDocument/2006/relationships/hyperlink" Target="https://en.qantara.de/content/activists-fear-increased-cyber-surveillance-will-repression-in-uae-intensify-under-the" TargetMode="External"/><Relationship Id="rId8" Type="http://schemas.openxmlformats.org/officeDocument/2006/relationships/hyperlink" Target="http://dr-alkuwari.net/QaCommIntefadh88.html" TargetMode="External"/><Relationship Id="rId3" Type="http://schemas.openxmlformats.org/officeDocument/2006/relationships/hyperlink" Target="https://www.nytimes.com/2020/01/09/magazine/united-arab-emirates-mohammed-bin-zayed.html" TargetMode="External"/><Relationship Id="rId12" Type="http://schemas.openxmlformats.org/officeDocument/2006/relationships/hyperlink" Target="https://www.timesofisrael.com/report-israel-pushed-nso-spyware-to-gulf-states-to-help-track-dissidents/" TargetMode="External"/><Relationship Id="rId17" Type="http://schemas.openxmlformats.org/officeDocument/2006/relationships/hyperlink" Target="https://twitter.com/aliShihabi/status/1011717572473995264" TargetMode="External"/><Relationship Id="rId25" Type="http://schemas.openxmlformats.org/officeDocument/2006/relationships/hyperlink" Target="https://www.nbcnews.com/news/world/malak-al-shehri-speaks-out-after-saudi-arabia-detains-husband-n999976" TargetMode="External"/><Relationship Id="rId33" Type="http://schemas.openxmlformats.org/officeDocument/2006/relationships/hyperlink" Target="https://www.theguardian.com/media/2020/dec/20/citizen-lab-nso-dozens-of-aljazeera-journalists-allegedly-hacked-using-israeli-firm-spyware" TargetMode="External"/><Relationship Id="rId38" Type="http://schemas.openxmlformats.org/officeDocument/2006/relationships/hyperlink" Target="https://www.state.gov/wp-content/uploads/2020/09/Bahrain_Israel-Agreement-signed-FINAL-15-Sept-2020-508.pdf" TargetMode="External"/><Relationship Id="rId46" Type="http://schemas.openxmlformats.org/officeDocument/2006/relationships/hyperlink" Target="https://english.alaraby.co.uk/english/news/2020/9/27/prominent-emirati-writer-banned-from-travelling-over-anti-normalisation-stance" TargetMode="External"/><Relationship Id="rId20" Type="http://schemas.openxmlformats.org/officeDocument/2006/relationships/hyperlink" Target="https://www.brookings.edu/blog/order-from-chaos/2020/11/25/saudi-israeli-relations-the-curious-case-of-a-neom-meeting-denied/" TargetMode="External"/><Relationship Id="rId41" Type="http://schemas.openxmlformats.org/officeDocument/2006/relationships/hyperlink" Target="https://rb.gy/o9jh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0672-5CD5-47E8-A27B-8C98BD5D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11096</Words>
  <Characters>63253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74201</CharactersWithSpaces>
  <SharedDoc>false</SharedDoc>
  <HLinks>
    <vt:vector size="522" baseType="variant">
      <vt:variant>
        <vt:i4>5832783</vt:i4>
      </vt:variant>
      <vt:variant>
        <vt:i4>120</vt:i4>
      </vt:variant>
      <vt:variant>
        <vt:i4>0</vt:i4>
      </vt:variant>
      <vt:variant>
        <vt:i4>5</vt:i4>
      </vt:variant>
      <vt:variant>
        <vt:lpwstr>https://www.nytimes.com/2020/01/09/magazine/united-arab-emirates-mohammed-bin-zayed.html</vt:lpwstr>
      </vt:variant>
      <vt:variant>
        <vt:lpwstr/>
      </vt:variant>
      <vt:variant>
        <vt:i4>7733362</vt:i4>
      </vt:variant>
      <vt:variant>
        <vt:i4>117</vt:i4>
      </vt:variant>
      <vt:variant>
        <vt:i4>0</vt:i4>
      </vt:variant>
      <vt:variant>
        <vt:i4>5</vt:i4>
      </vt:variant>
      <vt:variant>
        <vt:lpwstr>https://www.congress.gov/109/crec/2005/12/07/CREC-2005-12-07-pt1-PgH11163-2.pdf</vt:lpwstr>
      </vt:variant>
      <vt:variant>
        <vt:lpwstr/>
      </vt:variant>
      <vt:variant>
        <vt:i4>2752564</vt:i4>
      </vt:variant>
      <vt:variant>
        <vt:i4>114</vt:i4>
      </vt:variant>
      <vt:variant>
        <vt:i4>0</vt:i4>
      </vt:variant>
      <vt:variant>
        <vt:i4>5</vt:i4>
      </vt:variant>
      <vt:variant>
        <vt:lpwstr>https://www.politico.com/story/2018/10/23/shihabi-saudi-arabia-washington-ambassador-933951</vt:lpwstr>
      </vt:variant>
      <vt:variant>
        <vt:lpwstr/>
      </vt:variant>
      <vt:variant>
        <vt:i4>6881381</vt:i4>
      </vt:variant>
      <vt:variant>
        <vt:i4>111</vt:i4>
      </vt:variant>
      <vt:variant>
        <vt:i4>0</vt:i4>
      </vt:variant>
      <vt:variant>
        <vt:i4>5</vt:i4>
      </vt:variant>
      <vt:variant>
        <vt:lpwstr>https://english.alaraby.co.uk/english/news/2020/9/27/prominent-emirati-writer-banned-from-travelling-over-anti-normalisation-stance</vt:lpwstr>
      </vt:variant>
      <vt:variant>
        <vt:lpwstr/>
      </vt:variant>
      <vt:variant>
        <vt:i4>5767172</vt:i4>
      </vt:variant>
      <vt:variant>
        <vt:i4>108</vt:i4>
      </vt:variant>
      <vt:variant>
        <vt:i4>0</vt:i4>
      </vt:variant>
      <vt:variant>
        <vt:i4>5</vt:i4>
      </vt:variant>
      <vt:variant>
        <vt:lpwstr>https://carnegieendowment.org/sada/79173</vt:lpwstr>
      </vt:variant>
      <vt:variant>
        <vt:lpwstr/>
      </vt:variant>
      <vt:variant>
        <vt:i4>3276868</vt:i4>
      </vt:variant>
      <vt:variant>
        <vt:i4>105</vt:i4>
      </vt:variant>
      <vt:variant>
        <vt:i4>0</vt:i4>
      </vt:variant>
      <vt:variant>
        <vt:i4>5</vt:i4>
      </vt:variant>
      <vt:variant>
        <vt:lpwstr>https://www.sipri.org/sites/default/files/2020-06/yb20_summary_en_v2.pdf</vt:lpwstr>
      </vt:variant>
      <vt:variant>
        <vt:lpwstr/>
      </vt:variant>
      <vt:variant>
        <vt:i4>1376344</vt:i4>
      </vt:variant>
      <vt:variant>
        <vt:i4>102</vt:i4>
      </vt:variant>
      <vt:variant>
        <vt:i4>0</vt:i4>
      </vt:variant>
      <vt:variant>
        <vt:i4>5</vt:i4>
      </vt:variant>
      <vt:variant>
        <vt:lpwstr>https://twitter.com/aliShihabi/status/1011717572473995264</vt:lpwstr>
      </vt:variant>
      <vt:variant>
        <vt:lpwstr/>
      </vt:variant>
      <vt:variant>
        <vt:i4>3407984</vt:i4>
      </vt:variant>
      <vt:variant>
        <vt:i4>99</vt:i4>
      </vt:variant>
      <vt:variant>
        <vt:i4>0</vt:i4>
      </vt:variant>
      <vt:variant>
        <vt:i4>5</vt:i4>
      </vt:variant>
      <vt:variant>
        <vt:lpwstr>https://www.wsj.com/articles/covert-saudi-outreach-to-israel-sputters-after-journalists-murder-11545129001</vt:lpwstr>
      </vt:variant>
      <vt:variant>
        <vt:lpwstr/>
      </vt:variant>
      <vt:variant>
        <vt:i4>1638425</vt:i4>
      </vt:variant>
      <vt:variant>
        <vt:i4>96</vt:i4>
      </vt:variant>
      <vt:variant>
        <vt:i4>0</vt:i4>
      </vt:variant>
      <vt:variant>
        <vt:i4>5</vt:i4>
      </vt:variant>
      <vt:variant>
        <vt:lpwstr>https://www.reuters.com/article/us-saudi-prince-israel-idUSKCN1H91SQ</vt:lpwstr>
      </vt:variant>
      <vt:variant>
        <vt:lpwstr/>
      </vt:variant>
      <vt:variant>
        <vt:i4>5570560</vt:i4>
      </vt:variant>
      <vt:variant>
        <vt:i4>93</vt:i4>
      </vt:variant>
      <vt:variant>
        <vt:i4>0</vt:i4>
      </vt:variant>
      <vt:variant>
        <vt:i4>5</vt:i4>
      </vt:variant>
      <vt:variant>
        <vt:lpwstr>https://www.brookings.edu/blog/order-from-chaos/2020/11/25/saudi-israeli-relations-the-curious-case-of-a-neom-meeting-denied/</vt:lpwstr>
      </vt:variant>
      <vt:variant>
        <vt:lpwstr/>
      </vt:variant>
      <vt:variant>
        <vt:i4>6881333</vt:i4>
      </vt:variant>
      <vt:variant>
        <vt:i4>90</vt:i4>
      </vt:variant>
      <vt:variant>
        <vt:i4>0</vt:i4>
      </vt:variant>
      <vt:variant>
        <vt:i4>5</vt:i4>
      </vt:variant>
      <vt:variant>
        <vt:lpwstr>https://www.timesofisrael.com/report-israel-pushed-nso-spyware-to-gulf-states-to-help-track-dissidents/</vt:lpwstr>
      </vt:variant>
      <vt:variant>
        <vt:lpwstr/>
      </vt:variant>
      <vt:variant>
        <vt:i4>1507404</vt:i4>
      </vt:variant>
      <vt:variant>
        <vt:i4>87</vt:i4>
      </vt:variant>
      <vt:variant>
        <vt:i4>0</vt:i4>
      </vt:variant>
      <vt:variant>
        <vt:i4>5</vt:i4>
      </vt:variant>
      <vt:variant>
        <vt:lpwstr>https://www.espn.com/soccer/fifa-world-cup/story/4019777/qatars-hosting-of-club-world-cup-was-smoothbut-will-it-be-ready-for-bigger-size-and-scale-of-2022-world-cup</vt:lpwstr>
      </vt:variant>
      <vt:variant>
        <vt:lpwstr/>
      </vt:variant>
      <vt:variant>
        <vt:i4>5767185</vt:i4>
      </vt:variant>
      <vt:variant>
        <vt:i4>84</vt:i4>
      </vt:variant>
      <vt:variant>
        <vt:i4>0</vt:i4>
      </vt:variant>
      <vt:variant>
        <vt:i4>5</vt:i4>
      </vt:variant>
      <vt:variant>
        <vt:lpwstr>https://www.bloomberg.com/news/articles/2020-08-18/saudi-arabia-avoids-reference-to-uae-normalization-with-israel</vt:lpwstr>
      </vt:variant>
      <vt:variant>
        <vt:lpwstr/>
      </vt:variant>
      <vt:variant>
        <vt:i4>5111826</vt:i4>
      </vt:variant>
      <vt:variant>
        <vt:i4>81</vt:i4>
      </vt:variant>
      <vt:variant>
        <vt:i4>0</vt:i4>
      </vt:variant>
      <vt:variant>
        <vt:i4>5</vt:i4>
      </vt:variant>
      <vt:variant>
        <vt:lpwstr>https://citizenlab.ca/2020/12/the-great-ipwn-journalists-hacked-with-suspected-nso-group-imessage-zero-click-exploit/</vt:lpwstr>
      </vt:variant>
      <vt:variant>
        <vt:lpwstr/>
      </vt:variant>
      <vt:variant>
        <vt:i4>4194368</vt:i4>
      </vt:variant>
      <vt:variant>
        <vt:i4>78</vt:i4>
      </vt:variant>
      <vt:variant>
        <vt:i4>0</vt:i4>
      </vt:variant>
      <vt:variant>
        <vt:i4>5</vt:i4>
      </vt:variant>
      <vt:variant>
        <vt:lpwstr>https://tspace.library.utoronto.ca/bitstream/1807/95391/1/Report%23113--hide and seek.pdf</vt:lpwstr>
      </vt:variant>
      <vt:variant>
        <vt:lpwstr/>
      </vt:variant>
      <vt:variant>
        <vt:i4>2162741</vt:i4>
      </vt:variant>
      <vt:variant>
        <vt:i4>75</vt:i4>
      </vt:variant>
      <vt:variant>
        <vt:i4>0</vt:i4>
      </vt:variant>
      <vt:variant>
        <vt:i4>5</vt:i4>
      </vt:variant>
      <vt:variant>
        <vt:lpwstr>http://www.bloomberg.com/news/articles/2020-08-18/israeli-peace-deal-coaxes-emirati-investors-out-of-the-shadows?sref=SQDBOtxO</vt:lpwstr>
      </vt:variant>
      <vt:variant>
        <vt:lpwstr/>
      </vt:variant>
      <vt:variant>
        <vt:i4>8323123</vt:i4>
      </vt:variant>
      <vt:variant>
        <vt:i4>72</vt:i4>
      </vt:variant>
      <vt:variant>
        <vt:i4>0</vt:i4>
      </vt:variant>
      <vt:variant>
        <vt:i4>5</vt:i4>
      </vt:variant>
      <vt:variant>
        <vt:lpwstr>https://www.nytimes.com/2018/12/02/world/middleeast/saudi-khashoggi-spyware-israel.html</vt:lpwstr>
      </vt:variant>
      <vt:variant>
        <vt:lpwstr/>
      </vt:variant>
      <vt:variant>
        <vt:i4>851973</vt:i4>
      </vt:variant>
      <vt:variant>
        <vt:i4>69</vt:i4>
      </vt:variant>
      <vt:variant>
        <vt:i4>0</vt:i4>
      </vt:variant>
      <vt:variant>
        <vt:i4>5</vt:i4>
      </vt:variant>
      <vt:variant>
        <vt:lpwstr>https://www.theguardian.com/media/2020/dec/20/citizen-lab-nso-dozens-of-aljazeera-journalists-allegedly-hacked-using-israeli-firm-spyware</vt:lpwstr>
      </vt:variant>
      <vt:variant>
        <vt:lpwstr/>
      </vt:variant>
      <vt:variant>
        <vt:i4>196716</vt:i4>
      </vt:variant>
      <vt:variant>
        <vt:i4>66</vt:i4>
      </vt:variant>
      <vt:variant>
        <vt:i4>0</vt:i4>
      </vt:variant>
      <vt:variant>
        <vt:i4>5</vt:i4>
      </vt:variant>
      <vt:variant>
        <vt:lpwstr>https://www.chathamhouse.org/sites/default/files/publications/research/2019-05-30-Gulf Crisis_0.pdf</vt:lpwstr>
      </vt:variant>
      <vt:variant>
        <vt:lpwstr/>
      </vt:variant>
      <vt:variant>
        <vt:i4>917517</vt:i4>
      </vt:variant>
      <vt:variant>
        <vt:i4>63</vt:i4>
      </vt:variant>
      <vt:variant>
        <vt:i4>0</vt:i4>
      </vt:variant>
      <vt:variant>
        <vt:i4>5</vt:i4>
      </vt:variant>
      <vt:variant>
        <vt:lpwstr>https://rb.gy/zgz3ha</vt:lpwstr>
      </vt:variant>
      <vt:variant>
        <vt:lpwstr/>
      </vt:variant>
      <vt:variant>
        <vt:i4>5373986</vt:i4>
      </vt:variant>
      <vt:variant>
        <vt:i4>60</vt:i4>
      </vt:variant>
      <vt:variant>
        <vt:i4>0</vt:i4>
      </vt:variant>
      <vt:variant>
        <vt:i4>5</vt:i4>
      </vt:variant>
      <vt:variant>
        <vt:lpwstr>https://www.jstor.org/stable/resrep12689?seq=21</vt:lpwstr>
      </vt:variant>
      <vt:variant>
        <vt:lpwstr>metadata_info_tab_contents</vt:lpwstr>
      </vt:variant>
      <vt:variant>
        <vt:i4>1703948</vt:i4>
      </vt:variant>
      <vt:variant>
        <vt:i4>57</vt:i4>
      </vt:variant>
      <vt:variant>
        <vt:i4>0</vt:i4>
      </vt:variant>
      <vt:variant>
        <vt:i4>5</vt:i4>
      </vt:variant>
      <vt:variant>
        <vt:lpwstr>https://rb.gy/rrokt8</vt:lpwstr>
      </vt:variant>
      <vt:variant>
        <vt:lpwstr/>
      </vt:variant>
      <vt:variant>
        <vt:i4>5046285</vt:i4>
      </vt:variant>
      <vt:variant>
        <vt:i4>54</vt:i4>
      </vt:variant>
      <vt:variant>
        <vt:i4>0</vt:i4>
      </vt:variant>
      <vt:variant>
        <vt:i4>5</vt:i4>
      </vt:variant>
      <vt:variant>
        <vt:lpwstr>https://www.hrw.org/news/2019/11/12/uae-political-detainees-languish-behind-bars</vt:lpwstr>
      </vt:variant>
      <vt:variant>
        <vt:lpwstr/>
      </vt:variant>
      <vt:variant>
        <vt:i4>65614</vt:i4>
      </vt:variant>
      <vt:variant>
        <vt:i4>51</vt:i4>
      </vt:variant>
      <vt:variant>
        <vt:i4>0</vt:i4>
      </vt:variant>
      <vt:variant>
        <vt:i4>5</vt:i4>
      </vt:variant>
      <vt:variant>
        <vt:lpwstr>https://doi.org/10.1080/17449057.2021.1901380</vt:lpwstr>
      </vt:variant>
      <vt:variant>
        <vt:lpwstr/>
      </vt:variant>
      <vt:variant>
        <vt:i4>2752621</vt:i4>
      </vt:variant>
      <vt:variant>
        <vt:i4>48</vt:i4>
      </vt:variant>
      <vt:variant>
        <vt:i4>0</vt:i4>
      </vt:variant>
      <vt:variant>
        <vt:i4>5</vt:i4>
      </vt:variant>
      <vt:variant>
        <vt:lpwstr>https://www.youtube.com/watch?v=G93pP3lcGTs&amp;t=3192s</vt:lpwstr>
      </vt:variant>
      <vt:variant>
        <vt:lpwstr/>
      </vt:variant>
      <vt:variant>
        <vt:i4>1900644</vt:i4>
      </vt:variant>
      <vt:variant>
        <vt:i4>45</vt:i4>
      </vt:variant>
      <vt:variant>
        <vt:i4>0</vt:i4>
      </vt:variant>
      <vt:variant>
        <vt:i4>5</vt:i4>
      </vt:variant>
      <vt:variant>
        <vt:lpwstr>https://www.youtube.com/watch?v=TCTySS2_jto</vt:lpwstr>
      </vt:variant>
      <vt:variant>
        <vt:lpwstr/>
      </vt:variant>
      <vt:variant>
        <vt:i4>852079</vt:i4>
      </vt:variant>
      <vt:variant>
        <vt:i4>42</vt:i4>
      </vt:variant>
      <vt:variant>
        <vt:i4>0</vt:i4>
      </vt:variant>
      <vt:variant>
        <vt:i4>5</vt:i4>
      </vt:variant>
      <vt:variant>
        <vt:lpwstr>https://motherboard.vice.com/en_us/article/kzjmze/saud-al-qahtani-saudi-arabia-hacking-team</vt:lpwstr>
      </vt:variant>
      <vt:variant>
        <vt:lpwstr/>
      </vt:variant>
      <vt:variant>
        <vt:i4>7667768</vt:i4>
      </vt:variant>
      <vt:variant>
        <vt:i4>39</vt:i4>
      </vt:variant>
      <vt:variant>
        <vt:i4>0</vt:i4>
      </vt:variant>
      <vt:variant>
        <vt:i4>5</vt:i4>
      </vt:variant>
      <vt:variant>
        <vt:lpwstr>https://www.jadaliyya.com/Details/27434</vt:lpwstr>
      </vt:variant>
      <vt:variant>
        <vt:lpwstr/>
      </vt:variant>
      <vt:variant>
        <vt:i4>5832718</vt:i4>
      </vt:variant>
      <vt:variant>
        <vt:i4>36</vt:i4>
      </vt:variant>
      <vt:variant>
        <vt:i4>0</vt:i4>
      </vt:variant>
      <vt:variant>
        <vt:i4>5</vt:i4>
      </vt:variant>
      <vt:variant>
        <vt:lpwstr>https://carnegieendowment.org/sada/83975</vt:lpwstr>
      </vt:variant>
      <vt:variant>
        <vt:lpwstr/>
      </vt:variant>
      <vt:variant>
        <vt:i4>6488162</vt:i4>
      </vt:variant>
      <vt:variant>
        <vt:i4>33</vt:i4>
      </vt:variant>
      <vt:variant>
        <vt:i4>0</vt:i4>
      </vt:variant>
      <vt:variant>
        <vt:i4>5</vt:i4>
      </vt:variant>
      <vt:variant>
        <vt:lpwstr>https://thehill.com/opinion/international/368764-why-is-qatar-being-blockaded-and-isolated</vt:lpwstr>
      </vt:variant>
      <vt:variant>
        <vt:lpwstr/>
      </vt:variant>
      <vt:variant>
        <vt:i4>3276839</vt:i4>
      </vt:variant>
      <vt:variant>
        <vt:i4>30</vt:i4>
      </vt:variant>
      <vt:variant>
        <vt:i4>0</vt:i4>
      </vt:variant>
      <vt:variant>
        <vt:i4>5</vt:i4>
      </vt:variant>
      <vt:variant>
        <vt:lpwstr>https://dawnmena.org/ill-kill-you-but-before-that-ill-rape-you-loujain-alhathlouls-torture-in-a-saudi-prison-2/</vt:lpwstr>
      </vt:variant>
      <vt:variant>
        <vt:lpwstr/>
      </vt:variant>
      <vt:variant>
        <vt:i4>4063299</vt:i4>
      </vt:variant>
      <vt:variant>
        <vt:i4>27</vt:i4>
      </vt:variant>
      <vt:variant>
        <vt:i4>0</vt:i4>
      </vt:variant>
      <vt:variant>
        <vt:i4>5</vt:i4>
      </vt:variant>
      <vt:variant>
        <vt:lpwstr>https://www.hrw.org/report/2019/11/04/high-cost-change/repression-under-saudi-crown-prince-tarnishes-reforms</vt:lpwstr>
      </vt:variant>
      <vt:variant>
        <vt:lpwstr>_ftn94</vt:lpwstr>
      </vt:variant>
      <vt:variant>
        <vt:i4>5636182</vt:i4>
      </vt:variant>
      <vt:variant>
        <vt:i4>24</vt:i4>
      </vt:variant>
      <vt:variant>
        <vt:i4>0</vt:i4>
      </vt:variant>
      <vt:variant>
        <vt:i4>5</vt:i4>
      </vt:variant>
      <vt:variant>
        <vt:lpwstr>https://www.nbcnews.com/news/world/malak-al-shehri-speaks-out-after-saudi-arabia-detains-husband-n999976</vt:lpwstr>
      </vt:variant>
      <vt:variant>
        <vt:lpwstr/>
      </vt:variant>
      <vt:variant>
        <vt:i4>1835092</vt:i4>
      </vt:variant>
      <vt:variant>
        <vt:i4>21</vt:i4>
      </vt:variant>
      <vt:variant>
        <vt:i4>0</vt:i4>
      </vt:variant>
      <vt:variant>
        <vt:i4>5</vt:i4>
      </vt:variant>
      <vt:variant>
        <vt:lpwstr>http://eprints.lse.ac.uk/100313/7/JustBelowtheSurface.pdf</vt:lpwstr>
      </vt:variant>
      <vt:variant>
        <vt:lpwstr/>
      </vt:variant>
      <vt:variant>
        <vt:i4>2359345</vt:i4>
      </vt:variant>
      <vt:variant>
        <vt:i4>18</vt:i4>
      </vt:variant>
      <vt:variant>
        <vt:i4>0</vt:i4>
      </vt:variant>
      <vt:variant>
        <vt:i4>5</vt:i4>
      </vt:variant>
      <vt:variant>
        <vt:lpwstr>https://www.brookings.edu/wp-content/uploads/2016/06/Final-PDF-English.pdf</vt:lpwstr>
      </vt:variant>
      <vt:variant>
        <vt:lpwstr/>
      </vt:variant>
      <vt:variant>
        <vt:i4>3014754</vt:i4>
      </vt:variant>
      <vt:variant>
        <vt:i4>15</vt:i4>
      </vt:variant>
      <vt:variant>
        <vt:i4>0</vt:i4>
      </vt:variant>
      <vt:variant>
        <vt:i4>5</vt:i4>
      </vt:variant>
      <vt:variant>
        <vt:lpwstr>https://theintercept.com/2018/10/06/saudi-arabia-women-driving-activists-exile/</vt:lpwstr>
      </vt:variant>
      <vt:variant>
        <vt:lpwstr/>
      </vt:variant>
      <vt:variant>
        <vt:i4>5832770</vt:i4>
      </vt:variant>
      <vt:variant>
        <vt:i4>12</vt:i4>
      </vt:variant>
      <vt:variant>
        <vt:i4>0</vt:i4>
      </vt:variant>
      <vt:variant>
        <vt:i4>5</vt:i4>
      </vt:variant>
      <vt:variant>
        <vt:lpwstr>https://www.dohainstitute.org/ar/News/Pages/ACRPS-Announces-the-Results-of-the-Arab-Opinion-Index-2019-2020.aspx</vt:lpwstr>
      </vt:variant>
      <vt:variant>
        <vt:lpwstr/>
      </vt:variant>
      <vt:variant>
        <vt:i4>2949227</vt:i4>
      </vt:variant>
      <vt:variant>
        <vt:i4>9</vt:i4>
      </vt:variant>
      <vt:variant>
        <vt:i4>0</vt:i4>
      </vt:variant>
      <vt:variant>
        <vt:i4>5</vt:i4>
      </vt:variant>
      <vt:variant>
        <vt:lpwstr>https://www.amnesty.org/en/latest/news/2019/05/saudi-arabias-year-of-shame-crackdown-on-critics-and-rights-activists-continues/</vt:lpwstr>
      </vt:variant>
      <vt:variant>
        <vt:lpwstr>:~:text=Facebook-,Saudi%20Arabia's%20'year%20of%20shame'%3A%20Crackdown%20on,critics%20and%20rights'%20activists%20continues&amp;text=Loujain%20al%2DHathloul%2C%20Iman%20al,rights%20work%20since%20March%202019</vt:lpwstr>
      </vt:variant>
      <vt:variant>
        <vt:i4>1048653</vt:i4>
      </vt:variant>
      <vt:variant>
        <vt:i4>6</vt:i4>
      </vt:variant>
      <vt:variant>
        <vt:i4>0</vt:i4>
      </vt:variant>
      <vt:variant>
        <vt:i4>5</vt:i4>
      </vt:variant>
      <vt:variant>
        <vt:lpwstr>https://www.dw.com/en/will-the-israel-deal-pave-the-way-for-emirati-repression/a-54636945</vt:lpwstr>
      </vt:variant>
      <vt:variant>
        <vt:lpwstr/>
      </vt:variant>
      <vt:variant>
        <vt:i4>4980827</vt:i4>
      </vt:variant>
      <vt:variant>
        <vt:i4>3</vt:i4>
      </vt:variant>
      <vt:variant>
        <vt:i4>0</vt:i4>
      </vt:variant>
      <vt:variant>
        <vt:i4>5</vt:i4>
      </vt:variant>
      <vt:variant>
        <vt:lpwstr>https://en.qantara.de/content/activists-fear-increased-cyber-surveillance-will-repression-in-uae-intensify-under-the</vt:lpwstr>
      </vt:variant>
      <vt:variant>
        <vt:lpwstr/>
      </vt:variant>
      <vt:variant>
        <vt:i4>5832787</vt:i4>
      </vt:variant>
      <vt:variant>
        <vt:i4>0</vt:i4>
      </vt:variant>
      <vt:variant>
        <vt:i4>0</vt:i4>
      </vt:variant>
      <vt:variant>
        <vt:i4>5</vt:i4>
      </vt:variant>
      <vt:variant>
        <vt:lpwstr>https://www.alayam.com/alayam/first/864742/News.html</vt:lpwstr>
      </vt:variant>
      <vt:variant>
        <vt:lpwstr/>
      </vt:variant>
      <vt:variant>
        <vt:i4>2162741</vt:i4>
      </vt:variant>
      <vt:variant>
        <vt:i4>135</vt:i4>
      </vt:variant>
      <vt:variant>
        <vt:i4>0</vt:i4>
      </vt:variant>
      <vt:variant>
        <vt:i4>5</vt:i4>
      </vt:variant>
      <vt:variant>
        <vt:lpwstr>http://www.bloomberg.com/news/articles/2020-08-18/israeli-peace-deal-coaxes-emirati-investors-out-of-the-shadows?sref=SQDBOtxO</vt:lpwstr>
      </vt:variant>
      <vt:variant>
        <vt:lpwstr/>
      </vt:variant>
      <vt:variant>
        <vt:i4>6881381</vt:i4>
      </vt:variant>
      <vt:variant>
        <vt:i4>132</vt:i4>
      </vt:variant>
      <vt:variant>
        <vt:i4>0</vt:i4>
      </vt:variant>
      <vt:variant>
        <vt:i4>5</vt:i4>
      </vt:variant>
      <vt:variant>
        <vt:lpwstr>https://english.alaraby.co.uk/english/news/2020/9/27/prominent-emirati-writer-banned-from-travelling-over-anti-normalisation-stance</vt:lpwstr>
      </vt:variant>
      <vt:variant>
        <vt:lpwstr/>
      </vt:variant>
      <vt:variant>
        <vt:i4>5767172</vt:i4>
      </vt:variant>
      <vt:variant>
        <vt:i4>129</vt:i4>
      </vt:variant>
      <vt:variant>
        <vt:i4>0</vt:i4>
      </vt:variant>
      <vt:variant>
        <vt:i4>5</vt:i4>
      </vt:variant>
      <vt:variant>
        <vt:lpwstr>https://carnegieendowment.org/sada/79173</vt:lpwstr>
      </vt:variant>
      <vt:variant>
        <vt:lpwstr/>
      </vt:variant>
      <vt:variant>
        <vt:i4>5046285</vt:i4>
      </vt:variant>
      <vt:variant>
        <vt:i4>126</vt:i4>
      </vt:variant>
      <vt:variant>
        <vt:i4>0</vt:i4>
      </vt:variant>
      <vt:variant>
        <vt:i4>5</vt:i4>
      </vt:variant>
      <vt:variant>
        <vt:lpwstr>https://www.hrw.org/news/2019/11/12/uae-political-detainees-languish-behind-bars</vt:lpwstr>
      </vt:variant>
      <vt:variant>
        <vt:lpwstr/>
      </vt:variant>
      <vt:variant>
        <vt:i4>4980827</vt:i4>
      </vt:variant>
      <vt:variant>
        <vt:i4>123</vt:i4>
      </vt:variant>
      <vt:variant>
        <vt:i4>0</vt:i4>
      </vt:variant>
      <vt:variant>
        <vt:i4>5</vt:i4>
      </vt:variant>
      <vt:variant>
        <vt:lpwstr>https://en.qantara.de/content/activists-fear-increased-cyber-surveillance-will-repression-in-uae-intensify-under-the</vt:lpwstr>
      </vt:variant>
      <vt:variant>
        <vt:lpwstr/>
      </vt:variant>
      <vt:variant>
        <vt:i4>5832787</vt:i4>
      </vt:variant>
      <vt:variant>
        <vt:i4>120</vt:i4>
      </vt:variant>
      <vt:variant>
        <vt:i4>0</vt:i4>
      </vt:variant>
      <vt:variant>
        <vt:i4>5</vt:i4>
      </vt:variant>
      <vt:variant>
        <vt:lpwstr>https://www.alayam.com/alayam/first/864742/News.html</vt:lpwstr>
      </vt:variant>
      <vt:variant>
        <vt:lpwstr/>
      </vt:variant>
      <vt:variant>
        <vt:i4>786517</vt:i4>
      </vt:variant>
      <vt:variant>
        <vt:i4>117</vt:i4>
      </vt:variant>
      <vt:variant>
        <vt:i4>0</vt:i4>
      </vt:variant>
      <vt:variant>
        <vt:i4>5</vt:i4>
      </vt:variant>
      <vt:variant>
        <vt:lpwstr>https://rb.gy/o9jh5f</vt:lpwstr>
      </vt:variant>
      <vt:variant>
        <vt:lpwstr/>
      </vt:variant>
      <vt:variant>
        <vt:i4>2752621</vt:i4>
      </vt:variant>
      <vt:variant>
        <vt:i4>114</vt:i4>
      </vt:variant>
      <vt:variant>
        <vt:i4>0</vt:i4>
      </vt:variant>
      <vt:variant>
        <vt:i4>5</vt:i4>
      </vt:variant>
      <vt:variant>
        <vt:lpwstr>https://www.youtube.com/watch?v=G93pP3lcGTs&amp;t=3192s</vt:lpwstr>
      </vt:variant>
      <vt:variant>
        <vt:lpwstr/>
      </vt:variant>
      <vt:variant>
        <vt:i4>7733362</vt:i4>
      </vt:variant>
      <vt:variant>
        <vt:i4>111</vt:i4>
      </vt:variant>
      <vt:variant>
        <vt:i4>0</vt:i4>
      </vt:variant>
      <vt:variant>
        <vt:i4>5</vt:i4>
      </vt:variant>
      <vt:variant>
        <vt:lpwstr>https://www.congress.gov/109/crec/2005/12/07/CREC-2005-12-07-pt1-PgH11163-2.pdf</vt:lpwstr>
      </vt:variant>
      <vt:variant>
        <vt:lpwstr/>
      </vt:variant>
      <vt:variant>
        <vt:i4>7340110</vt:i4>
      </vt:variant>
      <vt:variant>
        <vt:i4>108</vt:i4>
      </vt:variant>
      <vt:variant>
        <vt:i4>0</vt:i4>
      </vt:variant>
      <vt:variant>
        <vt:i4>5</vt:i4>
      </vt:variant>
      <vt:variant>
        <vt:lpwstr>https://www.state.gov/wp-content/uploads/2020/09/Bahrain_Israel-Agreement-signed-FINAL-15-Sept-2020-508.pdf</vt:lpwstr>
      </vt:variant>
      <vt:variant>
        <vt:lpwstr/>
      </vt:variant>
      <vt:variant>
        <vt:i4>458808</vt:i4>
      </vt:variant>
      <vt:variant>
        <vt:i4>105</vt:i4>
      </vt:variant>
      <vt:variant>
        <vt:i4>0</vt:i4>
      </vt:variant>
      <vt:variant>
        <vt:i4>5</vt:i4>
      </vt:variant>
      <vt:variant>
        <vt:lpwstr>https://www.state.gov/wp-content/uploads/2020/09/UAE_Israel-treaty-signed-FINAL-15-Sept-2020-508.pdf</vt:lpwstr>
      </vt:variant>
      <vt:variant>
        <vt:lpwstr/>
      </vt:variant>
      <vt:variant>
        <vt:i4>6488162</vt:i4>
      </vt:variant>
      <vt:variant>
        <vt:i4>102</vt:i4>
      </vt:variant>
      <vt:variant>
        <vt:i4>0</vt:i4>
      </vt:variant>
      <vt:variant>
        <vt:i4>5</vt:i4>
      </vt:variant>
      <vt:variant>
        <vt:lpwstr>https://thehill.com/opinion/international/368764-why-is-qatar-being-blockaded-and-isolated</vt:lpwstr>
      </vt:variant>
      <vt:variant>
        <vt:lpwstr/>
      </vt:variant>
      <vt:variant>
        <vt:i4>6881333</vt:i4>
      </vt:variant>
      <vt:variant>
        <vt:i4>99</vt:i4>
      </vt:variant>
      <vt:variant>
        <vt:i4>0</vt:i4>
      </vt:variant>
      <vt:variant>
        <vt:i4>5</vt:i4>
      </vt:variant>
      <vt:variant>
        <vt:lpwstr>https://www.timesofisrael.com/report-israel-pushed-nso-spyware-to-gulf-states-to-help-track-dissidents/</vt:lpwstr>
      </vt:variant>
      <vt:variant>
        <vt:lpwstr/>
      </vt:variant>
      <vt:variant>
        <vt:i4>2359345</vt:i4>
      </vt:variant>
      <vt:variant>
        <vt:i4>96</vt:i4>
      </vt:variant>
      <vt:variant>
        <vt:i4>0</vt:i4>
      </vt:variant>
      <vt:variant>
        <vt:i4>5</vt:i4>
      </vt:variant>
      <vt:variant>
        <vt:lpwstr>https://www.brookings.edu/wp-content/uploads/2016/06/Final-PDF-English.pdf</vt:lpwstr>
      </vt:variant>
      <vt:variant>
        <vt:lpwstr/>
      </vt:variant>
      <vt:variant>
        <vt:i4>5373986</vt:i4>
      </vt:variant>
      <vt:variant>
        <vt:i4>93</vt:i4>
      </vt:variant>
      <vt:variant>
        <vt:i4>0</vt:i4>
      </vt:variant>
      <vt:variant>
        <vt:i4>5</vt:i4>
      </vt:variant>
      <vt:variant>
        <vt:lpwstr>https://www.jstor.org/stable/resrep12689?seq=21</vt:lpwstr>
      </vt:variant>
      <vt:variant>
        <vt:lpwstr>metadata_info_tab_contents</vt:lpwstr>
      </vt:variant>
      <vt:variant>
        <vt:i4>1507404</vt:i4>
      </vt:variant>
      <vt:variant>
        <vt:i4>90</vt:i4>
      </vt:variant>
      <vt:variant>
        <vt:i4>0</vt:i4>
      </vt:variant>
      <vt:variant>
        <vt:i4>5</vt:i4>
      </vt:variant>
      <vt:variant>
        <vt:lpwstr>https://www.espn.com/soccer/fifa-world-cup/story/4019777/qatars-hosting-of-club-world-cup-was-smoothbut-will-it-be-ready-for-bigger-size-and-scale-of-2022-world-cup</vt:lpwstr>
      </vt:variant>
      <vt:variant>
        <vt:lpwstr/>
      </vt:variant>
      <vt:variant>
        <vt:i4>458828</vt:i4>
      </vt:variant>
      <vt:variant>
        <vt:i4>87</vt:i4>
      </vt:variant>
      <vt:variant>
        <vt:i4>0</vt:i4>
      </vt:variant>
      <vt:variant>
        <vt:i4>5</vt:i4>
      </vt:variant>
      <vt:variant>
        <vt:lpwstr>http://dr-alkuwari.net/QaCommIntefadh88.html</vt:lpwstr>
      </vt:variant>
      <vt:variant>
        <vt:lpwstr/>
      </vt:variant>
      <vt:variant>
        <vt:i4>5832770</vt:i4>
      </vt:variant>
      <vt:variant>
        <vt:i4>84</vt:i4>
      </vt:variant>
      <vt:variant>
        <vt:i4>0</vt:i4>
      </vt:variant>
      <vt:variant>
        <vt:i4>5</vt:i4>
      </vt:variant>
      <vt:variant>
        <vt:lpwstr>https://www.dohainstitute.org/ar/News/Pages/ACRPS-Announces-the-Results-of-the-Arab-Opinion-Index-2019-2020.aspx</vt:lpwstr>
      </vt:variant>
      <vt:variant>
        <vt:lpwstr/>
      </vt:variant>
      <vt:variant>
        <vt:i4>917517</vt:i4>
      </vt:variant>
      <vt:variant>
        <vt:i4>81</vt:i4>
      </vt:variant>
      <vt:variant>
        <vt:i4>0</vt:i4>
      </vt:variant>
      <vt:variant>
        <vt:i4>5</vt:i4>
      </vt:variant>
      <vt:variant>
        <vt:lpwstr>https://rb.gy/zgz3ha</vt:lpwstr>
      </vt:variant>
      <vt:variant>
        <vt:lpwstr/>
      </vt:variant>
      <vt:variant>
        <vt:i4>5767185</vt:i4>
      </vt:variant>
      <vt:variant>
        <vt:i4>78</vt:i4>
      </vt:variant>
      <vt:variant>
        <vt:i4>0</vt:i4>
      </vt:variant>
      <vt:variant>
        <vt:i4>5</vt:i4>
      </vt:variant>
      <vt:variant>
        <vt:lpwstr>https://www.bloomberg.com/news/articles/2020-08-18/saudi-arabia-avoids-reference-to-uae-normalization-with-israel</vt:lpwstr>
      </vt:variant>
      <vt:variant>
        <vt:lpwstr/>
      </vt:variant>
      <vt:variant>
        <vt:i4>1703948</vt:i4>
      </vt:variant>
      <vt:variant>
        <vt:i4>75</vt:i4>
      </vt:variant>
      <vt:variant>
        <vt:i4>0</vt:i4>
      </vt:variant>
      <vt:variant>
        <vt:i4>5</vt:i4>
      </vt:variant>
      <vt:variant>
        <vt:lpwstr>https://rb.gy/rrokt8</vt:lpwstr>
      </vt:variant>
      <vt:variant>
        <vt:lpwstr/>
      </vt:variant>
      <vt:variant>
        <vt:i4>5111826</vt:i4>
      </vt:variant>
      <vt:variant>
        <vt:i4>72</vt:i4>
      </vt:variant>
      <vt:variant>
        <vt:i4>0</vt:i4>
      </vt:variant>
      <vt:variant>
        <vt:i4>5</vt:i4>
      </vt:variant>
      <vt:variant>
        <vt:lpwstr>https://citizenlab.ca/2020/12/the-great-ipwn-journalists-hacked-with-suspected-nso-group-imessage-zero-click-exploit/</vt:lpwstr>
      </vt:variant>
      <vt:variant>
        <vt:lpwstr/>
      </vt:variant>
      <vt:variant>
        <vt:i4>851973</vt:i4>
      </vt:variant>
      <vt:variant>
        <vt:i4>69</vt:i4>
      </vt:variant>
      <vt:variant>
        <vt:i4>0</vt:i4>
      </vt:variant>
      <vt:variant>
        <vt:i4>5</vt:i4>
      </vt:variant>
      <vt:variant>
        <vt:lpwstr>https://www.theguardian.com/media/2020/dec/20/citizen-lab-nso-dozens-of-aljazeera-journalists-allegedly-hacked-using-israeli-firm-spyware</vt:lpwstr>
      </vt:variant>
      <vt:variant>
        <vt:lpwstr/>
      </vt:variant>
      <vt:variant>
        <vt:i4>4194368</vt:i4>
      </vt:variant>
      <vt:variant>
        <vt:i4>66</vt:i4>
      </vt:variant>
      <vt:variant>
        <vt:i4>0</vt:i4>
      </vt:variant>
      <vt:variant>
        <vt:i4>5</vt:i4>
      </vt:variant>
      <vt:variant>
        <vt:lpwstr>https://tspace.library.utoronto.ca/bitstream/1807/95391/1/Report%23113--hide and seek.pdf</vt:lpwstr>
      </vt:variant>
      <vt:variant>
        <vt:lpwstr/>
      </vt:variant>
      <vt:variant>
        <vt:i4>3014754</vt:i4>
      </vt:variant>
      <vt:variant>
        <vt:i4>63</vt:i4>
      </vt:variant>
      <vt:variant>
        <vt:i4>0</vt:i4>
      </vt:variant>
      <vt:variant>
        <vt:i4>5</vt:i4>
      </vt:variant>
      <vt:variant>
        <vt:lpwstr>https://theintercept.com/2018/10/06/saudi-arabia-women-driving-activists-exile/</vt:lpwstr>
      </vt:variant>
      <vt:variant>
        <vt:lpwstr/>
      </vt:variant>
      <vt:variant>
        <vt:i4>3407984</vt:i4>
      </vt:variant>
      <vt:variant>
        <vt:i4>60</vt:i4>
      </vt:variant>
      <vt:variant>
        <vt:i4>0</vt:i4>
      </vt:variant>
      <vt:variant>
        <vt:i4>5</vt:i4>
      </vt:variant>
      <vt:variant>
        <vt:lpwstr>https://www.wsj.com/articles/covert-saudi-outreach-to-israel-sputters-after-journalists-murder-11545129001</vt:lpwstr>
      </vt:variant>
      <vt:variant>
        <vt:lpwstr/>
      </vt:variant>
      <vt:variant>
        <vt:i4>3407984</vt:i4>
      </vt:variant>
      <vt:variant>
        <vt:i4>57</vt:i4>
      </vt:variant>
      <vt:variant>
        <vt:i4>0</vt:i4>
      </vt:variant>
      <vt:variant>
        <vt:i4>5</vt:i4>
      </vt:variant>
      <vt:variant>
        <vt:lpwstr>https://www.wsj.com/articles/covert-saudi-outreach-to-israel-sputters-after-journalists-murder-11545129001</vt:lpwstr>
      </vt:variant>
      <vt:variant>
        <vt:lpwstr/>
      </vt:variant>
      <vt:variant>
        <vt:i4>8323123</vt:i4>
      </vt:variant>
      <vt:variant>
        <vt:i4>54</vt:i4>
      </vt:variant>
      <vt:variant>
        <vt:i4>0</vt:i4>
      </vt:variant>
      <vt:variant>
        <vt:i4>5</vt:i4>
      </vt:variant>
      <vt:variant>
        <vt:lpwstr>https://www.nytimes.com/2018/12/02/world/middleeast/saudi-khashoggi-spyware-israel.html</vt:lpwstr>
      </vt:variant>
      <vt:variant>
        <vt:lpwstr/>
      </vt:variant>
      <vt:variant>
        <vt:i4>852079</vt:i4>
      </vt:variant>
      <vt:variant>
        <vt:i4>51</vt:i4>
      </vt:variant>
      <vt:variant>
        <vt:i4>0</vt:i4>
      </vt:variant>
      <vt:variant>
        <vt:i4>5</vt:i4>
      </vt:variant>
      <vt:variant>
        <vt:lpwstr>https://motherboard.vice.com/en_us/article/kzjmze/saud-al-qahtani-saudi-arabia-hacking-team</vt:lpwstr>
      </vt:variant>
      <vt:variant>
        <vt:lpwstr/>
      </vt:variant>
      <vt:variant>
        <vt:i4>3276839</vt:i4>
      </vt:variant>
      <vt:variant>
        <vt:i4>48</vt:i4>
      </vt:variant>
      <vt:variant>
        <vt:i4>0</vt:i4>
      </vt:variant>
      <vt:variant>
        <vt:i4>5</vt:i4>
      </vt:variant>
      <vt:variant>
        <vt:lpwstr>https://dawnmena.org/ill-kill-you-but-before-that-ill-rape-you-loujain-alhathlouls-torture-in-a-saudi-prison-2/</vt:lpwstr>
      </vt:variant>
      <vt:variant>
        <vt:lpwstr/>
      </vt:variant>
      <vt:variant>
        <vt:i4>5636182</vt:i4>
      </vt:variant>
      <vt:variant>
        <vt:i4>45</vt:i4>
      </vt:variant>
      <vt:variant>
        <vt:i4>0</vt:i4>
      </vt:variant>
      <vt:variant>
        <vt:i4>5</vt:i4>
      </vt:variant>
      <vt:variant>
        <vt:lpwstr>https://www.nbcnews.com/news/world/malak-al-shehri-speaks-out-after-saudi-arabia-detains-husband-n999976</vt:lpwstr>
      </vt:variant>
      <vt:variant>
        <vt:lpwstr/>
      </vt:variant>
      <vt:variant>
        <vt:i4>1900644</vt:i4>
      </vt:variant>
      <vt:variant>
        <vt:i4>42</vt:i4>
      </vt:variant>
      <vt:variant>
        <vt:i4>0</vt:i4>
      </vt:variant>
      <vt:variant>
        <vt:i4>5</vt:i4>
      </vt:variant>
      <vt:variant>
        <vt:lpwstr>https://www.youtube.com/watch?v=TCTySS2_jto</vt:lpwstr>
      </vt:variant>
      <vt:variant>
        <vt:lpwstr/>
      </vt:variant>
      <vt:variant>
        <vt:i4>524305</vt:i4>
      </vt:variant>
      <vt:variant>
        <vt:i4>39</vt:i4>
      </vt:variant>
      <vt:variant>
        <vt:i4>0</vt:i4>
      </vt:variant>
      <vt:variant>
        <vt:i4>5</vt:i4>
      </vt:variant>
      <vt:variant>
        <vt:lpwstr>https://rb.gy/jdh9vn</vt:lpwstr>
      </vt:variant>
      <vt:variant>
        <vt:lpwstr/>
      </vt:variant>
      <vt:variant>
        <vt:i4>4063299</vt:i4>
      </vt:variant>
      <vt:variant>
        <vt:i4>36</vt:i4>
      </vt:variant>
      <vt:variant>
        <vt:i4>0</vt:i4>
      </vt:variant>
      <vt:variant>
        <vt:i4>5</vt:i4>
      </vt:variant>
      <vt:variant>
        <vt:lpwstr>https://www.hrw.org/report/2019/11/04/high-cost-change/repression-under-saudi-crown-prince-tarnishes-reforms</vt:lpwstr>
      </vt:variant>
      <vt:variant>
        <vt:lpwstr>_ftn94</vt:lpwstr>
      </vt:variant>
      <vt:variant>
        <vt:i4>5570560</vt:i4>
      </vt:variant>
      <vt:variant>
        <vt:i4>33</vt:i4>
      </vt:variant>
      <vt:variant>
        <vt:i4>0</vt:i4>
      </vt:variant>
      <vt:variant>
        <vt:i4>5</vt:i4>
      </vt:variant>
      <vt:variant>
        <vt:lpwstr>https://www.brookings.edu/blog/order-from-chaos/2020/11/25/saudi-israeli-relations-the-curious-case-of-a-neom-meeting-denied/</vt:lpwstr>
      </vt:variant>
      <vt:variant>
        <vt:lpwstr/>
      </vt:variant>
      <vt:variant>
        <vt:i4>5832718</vt:i4>
      </vt:variant>
      <vt:variant>
        <vt:i4>30</vt:i4>
      </vt:variant>
      <vt:variant>
        <vt:i4>0</vt:i4>
      </vt:variant>
      <vt:variant>
        <vt:i4>5</vt:i4>
      </vt:variant>
      <vt:variant>
        <vt:lpwstr>https://carnegieendowment.org/sada/83975</vt:lpwstr>
      </vt:variant>
      <vt:variant>
        <vt:lpwstr/>
      </vt:variant>
      <vt:variant>
        <vt:i4>1638425</vt:i4>
      </vt:variant>
      <vt:variant>
        <vt:i4>27</vt:i4>
      </vt:variant>
      <vt:variant>
        <vt:i4>0</vt:i4>
      </vt:variant>
      <vt:variant>
        <vt:i4>5</vt:i4>
      </vt:variant>
      <vt:variant>
        <vt:lpwstr>https://www.reuters.com/article/us-saudi-prince-israel-idUSKCN1H91SQ</vt:lpwstr>
      </vt:variant>
      <vt:variant>
        <vt:lpwstr/>
      </vt:variant>
      <vt:variant>
        <vt:i4>1376344</vt:i4>
      </vt:variant>
      <vt:variant>
        <vt:i4>24</vt:i4>
      </vt:variant>
      <vt:variant>
        <vt:i4>0</vt:i4>
      </vt:variant>
      <vt:variant>
        <vt:i4>5</vt:i4>
      </vt:variant>
      <vt:variant>
        <vt:lpwstr>https://twitter.com/aliShihabi/status/1011717572473995264</vt:lpwstr>
      </vt:variant>
      <vt:variant>
        <vt:lpwstr/>
      </vt:variant>
      <vt:variant>
        <vt:i4>2752564</vt:i4>
      </vt:variant>
      <vt:variant>
        <vt:i4>21</vt:i4>
      </vt:variant>
      <vt:variant>
        <vt:i4>0</vt:i4>
      </vt:variant>
      <vt:variant>
        <vt:i4>5</vt:i4>
      </vt:variant>
      <vt:variant>
        <vt:lpwstr>https://www.politico.com/story/2018/10/23/shihabi-saudi-arabia-washington-ambassador-933951</vt:lpwstr>
      </vt:variant>
      <vt:variant>
        <vt:lpwstr/>
      </vt:variant>
      <vt:variant>
        <vt:i4>2949227</vt:i4>
      </vt:variant>
      <vt:variant>
        <vt:i4>18</vt:i4>
      </vt:variant>
      <vt:variant>
        <vt:i4>0</vt:i4>
      </vt:variant>
      <vt:variant>
        <vt:i4>5</vt:i4>
      </vt:variant>
      <vt:variant>
        <vt:lpwstr>https://www.amnesty.org/en/latest/news/2019/05/saudi-arabias-year-of-shame-crackdown-on-critics-and-rights-activists-continues/</vt:lpwstr>
      </vt:variant>
      <vt:variant>
        <vt:lpwstr>:~:text=Facebook-,Saudi%20Arabia's%20'year%20of%20shame'%3A%20Crackdown%20on,critics%20and%20rights'%20activists%20continues&amp;text=Loujain%20al%2DHathloul%2C%20Iman%20al,rights%20work%20since%20March%202019</vt:lpwstr>
      </vt:variant>
      <vt:variant>
        <vt:i4>5832770</vt:i4>
      </vt:variant>
      <vt:variant>
        <vt:i4>15</vt:i4>
      </vt:variant>
      <vt:variant>
        <vt:i4>0</vt:i4>
      </vt:variant>
      <vt:variant>
        <vt:i4>5</vt:i4>
      </vt:variant>
      <vt:variant>
        <vt:lpwstr>https://www.dohainstitute.org/ar/News/Pages/ACRPS-Announces-the-Results-of-the-Arab-Opinion-Index-2019-2020.aspx</vt:lpwstr>
      </vt:variant>
      <vt:variant>
        <vt:lpwstr/>
      </vt:variant>
      <vt:variant>
        <vt:i4>3276868</vt:i4>
      </vt:variant>
      <vt:variant>
        <vt:i4>12</vt:i4>
      </vt:variant>
      <vt:variant>
        <vt:i4>0</vt:i4>
      </vt:variant>
      <vt:variant>
        <vt:i4>5</vt:i4>
      </vt:variant>
      <vt:variant>
        <vt:lpwstr>https://www.sipri.org/sites/default/files/2020-06/yb20_summary_en_v2.pdf</vt:lpwstr>
      </vt:variant>
      <vt:variant>
        <vt:lpwstr/>
      </vt:variant>
      <vt:variant>
        <vt:i4>7667768</vt:i4>
      </vt:variant>
      <vt:variant>
        <vt:i4>9</vt:i4>
      </vt:variant>
      <vt:variant>
        <vt:i4>0</vt:i4>
      </vt:variant>
      <vt:variant>
        <vt:i4>5</vt:i4>
      </vt:variant>
      <vt:variant>
        <vt:lpwstr>https://www.jadaliyya.com/Details/27434</vt:lpwstr>
      </vt:variant>
      <vt:variant>
        <vt:lpwstr/>
      </vt:variant>
      <vt:variant>
        <vt:i4>5832783</vt:i4>
      </vt:variant>
      <vt:variant>
        <vt:i4>6</vt:i4>
      </vt:variant>
      <vt:variant>
        <vt:i4>0</vt:i4>
      </vt:variant>
      <vt:variant>
        <vt:i4>5</vt:i4>
      </vt:variant>
      <vt:variant>
        <vt:lpwstr>https://www.nytimes.com/2020/01/09/magazine/united-arab-emirates-mohammed-bin-zayed.html</vt:lpwstr>
      </vt:variant>
      <vt:variant>
        <vt:lpwstr/>
      </vt:variant>
      <vt:variant>
        <vt:i4>196716</vt:i4>
      </vt:variant>
      <vt:variant>
        <vt:i4>3</vt:i4>
      </vt:variant>
      <vt:variant>
        <vt:i4>0</vt:i4>
      </vt:variant>
      <vt:variant>
        <vt:i4>5</vt:i4>
      </vt:variant>
      <vt:variant>
        <vt:lpwstr>https://www.chathamhouse.org/sites/default/files/publications/research/2019-05-30-Gulf Crisis_0.pdf</vt:lpwstr>
      </vt:variant>
      <vt:variant>
        <vt:lpwstr/>
      </vt:variant>
      <vt:variant>
        <vt:i4>1835092</vt:i4>
      </vt:variant>
      <vt:variant>
        <vt:i4>0</vt:i4>
      </vt:variant>
      <vt:variant>
        <vt:i4>0</vt:i4>
      </vt:variant>
      <vt:variant>
        <vt:i4>5</vt:i4>
      </vt:variant>
      <vt:variant>
        <vt:lpwstr>http://eprints.lse.ac.uk/100313/7/JustBelowtheSurface.pdf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El Kurd</dc:creator>
  <cp:keywords/>
  <dc:description/>
  <cp:lastModifiedBy>Dana El Kurd</cp:lastModifiedBy>
  <cp:revision>2</cp:revision>
  <dcterms:created xsi:type="dcterms:W3CDTF">2022-02-28T17:54:00Z</dcterms:created>
  <dcterms:modified xsi:type="dcterms:W3CDTF">2022-02-28T17:54:00Z</dcterms:modified>
</cp:coreProperties>
</file>