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E7095" w14:textId="0B748A13" w:rsidR="00AD0892" w:rsidRPr="00F367CF" w:rsidRDefault="00CD04EB">
      <w:pPr>
        <w:rPr>
          <w:rFonts w:ascii="Cambria" w:hAnsi="Cambria"/>
        </w:rPr>
      </w:pPr>
      <w:r w:rsidRPr="00F367CF">
        <w:rPr>
          <w:rFonts w:ascii="Cambria" w:hAnsi="Cambria"/>
        </w:rPr>
        <w:t>Lauren Shaffer</w:t>
      </w:r>
    </w:p>
    <w:p w14:paraId="32B95812" w14:textId="405289BA" w:rsidR="00CD04EB" w:rsidRPr="00F367CF" w:rsidRDefault="00CD04EB">
      <w:pPr>
        <w:rPr>
          <w:rFonts w:ascii="Cambria" w:hAnsi="Cambria"/>
        </w:rPr>
      </w:pPr>
      <w:r w:rsidRPr="00F367CF">
        <w:rPr>
          <w:rFonts w:ascii="Cambria" w:hAnsi="Cambria"/>
        </w:rPr>
        <w:t>WPSA Conference</w:t>
      </w:r>
    </w:p>
    <w:p w14:paraId="10E1C516" w14:textId="397A68E8" w:rsidR="00CD04EB" w:rsidRDefault="00CD04EB">
      <w:pPr>
        <w:rPr>
          <w:rFonts w:ascii="Cambria" w:hAnsi="Cambria"/>
        </w:rPr>
      </w:pPr>
      <w:r w:rsidRPr="00F367CF">
        <w:rPr>
          <w:rFonts w:ascii="Cambria" w:hAnsi="Cambria"/>
        </w:rPr>
        <w:t>20 April 2019</w:t>
      </w:r>
    </w:p>
    <w:p w14:paraId="1F218EF3" w14:textId="77777777" w:rsidR="00BE5611" w:rsidRDefault="00BE5611">
      <w:pPr>
        <w:rPr>
          <w:rFonts w:ascii="Cambria" w:hAnsi="Cambria"/>
        </w:rPr>
      </w:pPr>
    </w:p>
    <w:p w14:paraId="6575B879" w14:textId="7032DCA3" w:rsidR="00BE5611" w:rsidRPr="00BE5611" w:rsidRDefault="00BE5611" w:rsidP="00BE5611">
      <w:pPr>
        <w:pStyle w:val="Title"/>
        <w:jc w:val="center"/>
        <w:rPr>
          <w:sz w:val="48"/>
        </w:rPr>
      </w:pPr>
      <w:r w:rsidRPr="00BE5611">
        <w:rPr>
          <w:sz w:val="48"/>
        </w:rPr>
        <w:t>The Impact of Science, Technology, and Innovation on Economic Growth in the MENA Region</w:t>
      </w:r>
    </w:p>
    <w:p w14:paraId="6A473B85" w14:textId="77777777" w:rsidR="00BE5611" w:rsidRDefault="00BE5611" w:rsidP="00BE5611"/>
    <w:p w14:paraId="0FB8FC85" w14:textId="78DF4A9D" w:rsidR="00963FF5" w:rsidRPr="00F367CF" w:rsidRDefault="00963FF5" w:rsidP="00CD04EB">
      <w:pPr>
        <w:pStyle w:val="Heading1"/>
        <w:rPr>
          <w:rFonts w:ascii="Cambria" w:hAnsi="Cambria"/>
        </w:rPr>
      </w:pPr>
      <w:r w:rsidRPr="00F367CF">
        <w:rPr>
          <w:rFonts w:ascii="Cambria" w:hAnsi="Cambria"/>
        </w:rPr>
        <w:t>INTRODUCTION</w:t>
      </w:r>
    </w:p>
    <w:p w14:paraId="5324ADEC" w14:textId="6996AC57" w:rsidR="00646AD4" w:rsidRPr="00F367CF" w:rsidRDefault="00646AD4" w:rsidP="00646AD4">
      <w:pPr>
        <w:rPr>
          <w:rFonts w:ascii="Cambria" w:hAnsi="Cambria"/>
        </w:rPr>
      </w:pPr>
    </w:p>
    <w:p w14:paraId="1B210FA2" w14:textId="175601C9" w:rsidR="00D01394" w:rsidRPr="00F367CF" w:rsidRDefault="007D33B0" w:rsidP="00EF57FF">
      <w:pPr>
        <w:ind w:firstLine="720"/>
        <w:rPr>
          <w:rFonts w:ascii="Cambria" w:hAnsi="Cambria"/>
        </w:rPr>
      </w:pPr>
      <w:r w:rsidRPr="00F367CF">
        <w:rPr>
          <w:rFonts w:ascii="Cambria" w:hAnsi="Cambria"/>
        </w:rPr>
        <w:t xml:space="preserve">Science, Technology, and Innovation (STI) has become an important subject </w:t>
      </w:r>
      <w:r w:rsidR="00BB1A14" w:rsidRPr="00F367CF">
        <w:rPr>
          <w:rFonts w:ascii="Cambria" w:hAnsi="Cambria"/>
        </w:rPr>
        <w:t xml:space="preserve">within </w:t>
      </w:r>
      <w:r w:rsidR="00CD04EB" w:rsidRPr="00F367CF">
        <w:rPr>
          <w:rFonts w:ascii="Cambria" w:hAnsi="Cambria"/>
        </w:rPr>
        <w:t xml:space="preserve">the field of </w:t>
      </w:r>
      <w:r w:rsidR="00D41EE7" w:rsidRPr="00F367CF">
        <w:rPr>
          <w:rFonts w:ascii="Cambria" w:hAnsi="Cambria"/>
        </w:rPr>
        <w:t xml:space="preserve">international political economy. </w:t>
      </w:r>
      <w:r w:rsidR="00953D61" w:rsidRPr="00F367CF">
        <w:rPr>
          <w:rFonts w:ascii="Cambria" w:hAnsi="Cambria"/>
        </w:rPr>
        <w:t xml:space="preserve">Technology has changed our world impacted our lives in so many ways. </w:t>
      </w:r>
      <w:r w:rsidR="00CD04EB" w:rsidRPr="00F367CF">
        <w:rPr>
          <w:rFonts w:ascii="Cambria" w:hAnsi="Cambria"/>
        </w:rPr>
        <w:t>Technology has increased access to information, education, and employment. However, the question remains: Does STI always spur economic growth? This study examines this question in the context of the Middle East and North Africa Region</w:t>
      </w:r>
      <w:r w:rsidR="00EF57FF">
        <w:rPr>
          <w:rFonts w:ascii="Cambria" w:hAnsi="Cambria"/>
        </w:rPr>
        <w:t>,</w:t>
      </w:r>
      <w:r w:rsidR="00CD04EB" w:rsidRPr="00F367CF">
        <w:rPr>
          <w:rFonts w:ascii="Cambria" w:hAnsi="Cambria"/>
        </w:rPr>
        <w:t xml:space="preserve"> and determines that STI does </w:t>
      </w:r>
      <w:r w:rsidR="00CD04EB" w:rsidRPr="00EF57FF">
        <w:rPr>
          <w:rFonts w:ascii="Cambria" w:hAnsi="Cambria"/>
          <w:i/>
        </w:rPr>
        <w:t>not</w:t>
      </w:r>
      <w:r w:rsidR="00CD04EB" w:rsidRPr="00F367CF">
        <w:rPr>
          <w:rFonts w:ascii="Cambria" w:hAnsi="Cambria"/>
        </w:rPr>
        <w:t xml:space="preserve"> have a positive correlation with economic growth in this region.</w:t>
      </w:r>
    </w:p>
    <w:p w14:paraId="64DFD9D4" w14:textId="77777777" w:rsidR="008E5A82" w:rsidRPr="00F367CF" w:rsidRDefault="008E5A82" w:rsidP="00CD04EB">
      <w:pPr>
        <w:ind w:firstLine="720"/>
        <w:rPr>
          <w:rFonts w:ascii="Cambria" w:hAnsi="Cambria"/>
        </w:rPr>
      </w:pPr>
    </w:p>
    <w:p w14:paraId="7AB47BCB" w14:textId="5F260A8E" w:rsidR="008E5A82" w:rsidRPr="00F367CF" w:rsidRDefault="008E5A82" w:rsidP="00CD04EB">
      <w:pPr>
        <w:ind w:firstLine="720"/>
        <w:rPr>
          <w:rFonts w:ascii="Cambria" w:hAnsi="Cambria"/>
        </w:rPr>
      </w:pPr>
      <w:r w:rsidRPr="00F367CF">
        <w:rPr>
          <w:rFonts w:ascii="Cambria" w:hAnsi="Cambria"/>
        </w:rPr>
        <w:t xml:space="preserve">There are various </w:t>
      </w:r>
      <w:r w:rsidR="00EF57FF">
        <w:rPr>
          <w:rFonts w:ascii="Cambria" w:hAnsi="Cambria"/>
        </w:rPr>
        <w:t>explanations for these results</w:t>
      </w:r>
      <w:r w:rsidRPr="00F367CF">
        <w:rPr>
          <w:rFonts w:ascii="Cambria" w:hAnsi="Cambria"/>
        </w:rPr>
        <w:t>. There could be a delayed effect of these STI indicators in the MENA region that has not yet appeared in the data. Or, it could be that the economic structure of MENA countries does not</w:t>
      </w:r>
      <w:r w:rsidR="00EF57FF">
        <w:rPr>
          <w:rFonts w:ascii="Cambria" w:hAnsi="Cambria"/>
        </w:rPr>
        <w:t xml:space="preserve"> yet</w:t>
      </w:r>
      <w:r w:rsidRPr="00F367CF">
        <w:rPr>
          <w:rFonts w:ascii="Cambria" w:hAnsi="Cambria"/>
        </w:rPr>
        <w:t xml:space="preserve"> support privatization and competition. Without these characteristics, which are known to facilitate economic growth, it may be more difficult for STI indicators in the MENA region to successfully produce economic development. </w:t>
      </w:r>
    </w:p>
    <w:p w14:paraId="556C31B6" w14:textId="77777777" w:rsidR="008E5A82" w:rsidRPr="00F367CF" w:rsidRDefault="008E5A82" w:rsidP="00CD04EB">
      <w:pPr>
        <w:ind w:firstLine="720"/>
        <w:rPr>
          <w:rFonts w:ascii="Cambria" w:hAnsi="Cambria"/>
        </w:rPr>
      </w:pPr>
    </w:p>
    <w:p w14:paraId="6D4D9262" w14:textId="2C75F7FB" w:rsidR="008E5A82" w:rsidRPr="00F367CF" w:rsidRDefault="00C249D7" w:rsidP="00EF57FF">
      <w:pPr>
        <w:ind w:firstLine="720"/>
        <w:rPr>
          <w:rFonts w:ascii="Cambria" w:hAnsi="Cambria"/>
        </w:rPr>
      </w:pPr>
      <w:r w:rsidRPr="00F367CF">
        <w:rPr>
          <w:rFonts w:ascii="Cambria" w:hAnsi="Cambria"/>
        </w:rPr>
        <w:t xml:space="preserve">This preliminary study illustrates that there is a negative and relatively insignificant relationship between STI and economic development in MENA countries. </w:t>
      </w:r>
      <w:r w:rsidR="00EF57FF">
        <w:rPr>
          <w:rFonts w:ascii="Cambria" w:hAnsi="Cambria"/>
        </w:rPr>
        <w:t>W</w:t>
      </w:r>
      <w:r w:rsidR="00EF57FF" w:rsidRPr="00EF57FF">
        <w:rPr>
          <w:rFonts w:ascii="Cambria" w:hAnsi="Cambria"/>
        </w:rPr>
        <w:t xml:space="preserve"> </w:t>
      </w:r>
      <w:proofErr w:type="spellStart"/>
      <w:r w:rsidR="00EF57FF" w:rsidRPr="00F367CF">
        <w:rPr>
          <w:rFonts w:ascii="Cambria" w:hAnsi="Cambria"/>
        </w:rPr>
        <w:t>hatever</w:t>
      </w:r>
      <w:proofErr w:type="spellEnd"/>
      <w:r w:rsidR="00EF57FF" w:rsidRPr="00F367CF">
        <w:rPr>
          <w:rFonts w:ascii="Cambria" w:hAnsi="Cambria"/>
        </w:rPr>
        <w:t xml:space="preserve"> the reason may be, it is evident from this study that there is a very complicated relationship between STI and economic growth in MENA.</w:t>
      </w:r>
    </w:p>
    <w:p w14:paraId="7FC03B30" w14:textId="77777777" w:rsidR="00CD04EB" w:rsidRPr="00F367CF" w:rsidRDefault="00CD04EB" w:rsidP="00CD04EB">
      <w:pPr>
        <w:ind w:firstLine="720"/>
        <w:rPr>
          <w:rFonts w:ascii="Cambria" w:hAnsi="Cambria"/>
        </w:rPr>
      </w:pPr>
    </w:p>
    <w:p w14:paraId="1FCD7B48" w14:textId="52EE5C83" w:rsidR="0007229A" w:rsidRPr="00F367CF" w:rsidRDefault="0007229A" w:rsidP="00CD04EB">
      <w:pPr>
        <w:pStyle w:val="Heading1"/>
        <w:rPr>
          <w:rFonts w:ascii="Cambria" w:hAnsi="Cambria"/>
        </w:rPr>
      </w:pPr>
      <w:r w:rsidRPr="00F367CF">
        <w:rPr>
          <w:rFonts w:ascii="Cambria" w:hAnsi="Cambria"/>
        </w:rPr>
        <w:t>LITERATURE REVIEW</w:t>
      </w:r>
    </w:p>
    <w:p w14:paraId="176F0B13" w14:textId="77777777" w:rsidR="00CD04EB" w:rsidRPr="00F367CF" w:rsidRDefault="00CD04EB" w:rsidP="00D01394">
      <w:pPr>
        <w:rPr>
          <w:rFonts w:ascii="Cambria" w:hAnsi="Cambria"/>
        </w:rPr>
      </w:pPr>
    </w:p>
    <w:p w14:paraId="1F6791A7" w14:textId="6951EA60" w:rsidR="00CD04EB" w:rsidRPr="00F367CF" w:rsidRDefault="00CD04EB" w:rsidP="00CD04EB">
      <w:pPr>
        <w:ind w:firstLine="720"/>
        <w:rPr>
          <w:rFonts w:ascii="Cambria" w:hAnsi="Cambria"/>
        </w:rPr>
      </w:pPr>
      <w:r w:rsidRPr="00F367CF">
        <w:rPr>
          <w:rFonts w:ascii="Cambria" w:hAnsi="Cambria"/>
        </w:rPr>
        <w:t>In the field of political science, the relationship betw</w:t>
      </w:r>
      <w:r w:rsidR="00C547DA">
        <w:rPr>
          <w:rFonts w:ascii="Cambria" w:hAnsi="Cambria"/>
        </w:rPr>
        <w:t>een economic development and STI</w:t>
      </w:r>
      <w:r w:rsidRPr="00F367CF">
        <w:rPr>
          <w:rFonts w:ascii="Cambria" w:hAnsi="Cambria"/>
        </w:rPr>
        <w:t xml:space="preserve"> has been frequently studied over the years. This literature review </w:t>
      </w:r>
      <w:r w:rsidR="00C547DA">
        <w:rPr>
          <w:rFonts w:ascii="Cambria" w:hAnsi="Cambria"/>
        </w:rPr>
        <w:t xml:space="preserve">summarizes </w:t>
      </w:r>
      <w:r w:rsidR="001F5C28" w:rsidRPr="00F367CF">
        <w:rPr>
          <w:rFonts w:ascii="Cambria" w:hAnsi="Cambria"/>
        </w:rPr>
        <w:t>various authors and</w:t>
      </w:r>
      <w:r w:rsidR="00C547DA">
        <w:rPr>
          <w:rFonts w:ascii="Cambria" w:hAnsi="Cambria"/>
        </w:rPr>
        <w:t xml:space="preserve"> research</w:t>
      </w:r>
      <w:r w:rsidR="001F5C28" w:rsidRPr="00F367CF">
        <w:rPr>
          <w:rFonts w:ascii="Cambria" w:hAnsi="Cambria"/>
        </w:rPr>
        <w:t xml:space="preserve"> institutions</w:t>
      </w:r>
      <w:r w:rsidR="00C547DA">
        <w:rPr>
          <w:rFonts w:ascii="Cambria" w:hAnsi="Cambria"/>
        </w:rPr>
        <w:t xml:space="preserve"> that have studied this subject</w:t>
      </w:r>
      <w:r w:rsidR="001F5C28" w:rsidRPr="00F367CF">
        <w:rPr>
          <w:rFonts w:ascii="Cambria" w:hAnsi="Cambria"/>
        </w:rPr>
        <w:t xml:space="preserve">. This review includes theories on the general relationship between STI and economic growth, as well as </w:t>
      </w:r>
      <w:r w:rsidR="00C547DA">
        <w:rPr>
          <w:rFonts w:ascii="Cambria" w:hAnsi="Cambria"/>
        </w:rPr>
        <w:t xml:space="preserve">information on </w:t>
      </w:r>
      <w:r w:rsidR="001F5C28" w:rsidRPr="00F367CF">
        <w:rPr>
          <w:rFonts w:ascii="Cambria" w:hAnsi="Cambria"/>
        </w:rPr>
        <w:t xml:space="preserve">how political scientists have dealt with these two indicators in the MENA region. </w:t>
      </w:r>
    </w:p>
    <w:p w14:paraId="56998B08" w14:textId="77777777" w:rsidR="00CD04EB" w:rsidRPr="00F367CF" w:rsidRDefault="00CD04EB" w:rsidP="00D01394">
      <w:pPr>
        <w:rPr>
          <w:rFonts w:ascii="Cambria" w:hAnsi="Cambria"/>
        </w:rPr>
      </w:pPr>
    </w:p>
    <w:p w14:paraId="4C3A7CDE" w14:textId="7A0B5277" w:rsidR="001B4DEB" w:rsidRPr="00F367CF" w:rsidRDefault="00D01394" w:rsidP="00CD04EB">
      <w:pPr>
        <w:pStyle w:val="Subtitle"/>
        <w:jc w:val="center"/>
        <w:rPr>
          <w:rFonts w:ascii="Cambria" w:hAnsi="Cambria"/>
          <w:i/>
          <w:iCs/>
        </w:rPr>
      </w:pPr>
      <w:r w:rsidRPr="00F367CF">
        <w:rPr>
          <w:rStyle w:val="Emphasis"/>
          <w:rFonts w:ascii="Cambria" w:hAnsi="Cambria"/>
        </w:rPr>
        <w:t>STI &amp; Economic Growth</w:t>
      </w:r>
    </w:p>
    <w:p w14:paraId="386E3A30" w14:textId="7F344242" w:rsidR="009F5118" w:rsidRPr="00F367CF" w:rsidRDefault="009F5118" w:rsidP="009F5118">
      <w:pPr>
        <w:rPr>
          <w:rFonts w:ascii="Cambria" w:hAnsi="Cambria"/>
        </w:rPr>
      </w:pPr>
      <w:r w:rsidRPr="00F367CF">
        <w:rPr>
          <w:rFonts w:ascii="Cambria" w:hAnsi="Cambria"/>
        </w:rPr>
        <w:tab/>
      </w:r>
      <w:r w:rsidR="00C82821" w:rsidRPr="00F367CF">
        <w:rPr>
          <w:rFonts w:ascii="Cambria" w:hAnsi="Cambria"/>
        </w:rPr>
        <w:t xml:space="preserve"> </w:t>
      </w:r>
    </w:p>
    <w:p w14:paraId="026F63B1" w14:textId="45E440A5" w:rsidR="009F095E" w:rsidRPr="00F367CF" w:rsidRDefault="002173EC" w:rsidP="009F5118">
      <w:pPr>
        <w:rPr>
          <w:rFonts w:ascii="Cambria" w:hAnsi="Cambria"/>
        </w:rPr>
      </w:pPr>
      <w:r w:rsidRPr="00F367CF">
        <w:rPr>
          <w:rFonts w:ascii="Cambria" w:hAnsi="Cambria"/>
        </w:rPr>
        <w:lastRenderedPageBreak/>
        <w:tab/>
        <w:t xml:space="preserve">Various </w:t>
      </w:r>
      <w:r w:rsidR="009F238D" w:rsidRPr="00F367CF">
        <w:rPr>
          <w:rFonts w:ascii="Cambria" w:hAnsi="Cambria"/>
        </w:rPr>
        <w:t xml:space="preserve">researchers and institutions have </w:t>
      </w:r>
      <w:r w:rsidR="00C547DA">
        <w:rPr>
          <w:rFonts w:ascii="Cambria" w:hAnsi="Cambria"/>
        </w:rPr>
        <w:t>argued</w:t>
      </w:r>
      <w:r w:rsidR="00214190" w:rsidRPr="00F367CF">
        <w:rPr>
          <w:rFonts w:ascii="Cambria" w:hAnsi="Cambria"/>
        </w:rPr>
        <w:t xml:space="preserve"> that S</w:t>
      </w:r>
      <w:r w:rsidR="006C6837" w:rsidRPr="00F367CF">
        <w:rPr>
          <w:rFonts w:ascii="Cambria" w:hAnsi="Cambria"/>
        </w:rPr>
        <w:t>cience, Technolo</w:t>
      </w:r>
      <w:r w:rsidR="00E81CF9" w:rsidRPr="00F367CF">
        <w:rPr>
          <w:rFonts w:ascii="Cambria" w:hAnsi="Cambria"/>
        </w:rPr>
        <w:t>gy, and Innovation</w:t>
      </w:r>
      <w:r w:rsidR="00214190" w:rsidRPr="00F367CF">
        <w:rPr>
          <w:rFonts w:ascii="Cambria" w:hAnsi="Cambria"/>
        </w:rPr>
        <w:t xml:space="preserve"> drives economic growth. </w:t>
      </w:r>
      <w:r w:rsidR="00CD0310" w:rsidRPr="00F367CF">
        <w:rPr>
          <w:rFonts w:ascii="Cambria" w:hAnsi="Cambria"/>
        </w:rPr>
        <w:t xml:space="preserve">International institutions such as the United Nations, the World Bank, and IMF all purport that </w:t>
      </w:r>
      <w:r w:rsidR="00956259" w:rsidRPr="00F367CF">
        <w:rPr>
          <w:rFonts w:ascii="Cambria" w:hAnsi="Cambria"/>
        </w:rPr>
        <w:t xml:space="preserve">science, technology, and innovation are key factors for economic growth. </w:t>
      </w:r>
    </w:p>
    <w:p w14:paraId="262F1B55" w14:textId="77777777" w:rsidR="00CD04EB" w:rsidRPr="00F367CF" w:rsidRDefault="00CD04EB" w:rsidP="009F5118">
      <w:pPr>
        <w:rPr>
          <w:rFonts w:ascii="Cambria" w:hAnsi="Cambria"/>
        </w:rPr>
      </w:pPr>
    </w:p>
    <w:p w14:paraId="5F9546F8" w14:textId="6E54454E" w:rsidR="0063639F" w:rsidRPr="00F367CF" w:rsidRDefault="00C547DA" w:rsidP="00CD04EB">
      <w:pPr>
        <w:ind w:firstLine="720"/>
        <w:rPr>
          <w:rFonts w:ascii="Cambria" w:hAnsi="Cambria"/>
        </w:rPr>
      </w:pPr>
      <w:r>
        <w:rPr>
          <w:rFonts w:ascii="Cambria" w:hAnsi="Cambria"/>
        </w:rPr>
        <w:t>The United Nations represents a</w:t>
      </w:r>
      <w:r w:rsidR="00F30C9A" w:rsidRPr="00F367CF">
        <w:rPr>
          <w:rFonts w:ascii="Cambria" w:hAnsi="Cambria"/>
        </w:rPr>
        <w:t xml:space="preserve"> “traditional” model of science, technology, and innovation</w:t>
      </w:r>
      <w:r w:rsidR="00EB4F30" w:rsidRPr="00F367CF">
        <w:rPr>
          <w:rFonts w:ascii="Cambria" w:hAnsi="Cambria"/>
        </w:rPr>
        <w:t>. The UN argues that</w:t>
      </w:r>
      <w:r w:rsidR="005947F5" w:rsidRPr="00F367CF">
        <w:rPr>
          <w:rFonts w:ascii="Cambria" w:hAnsi="Cambria"/>
        </w:rPr>
        <w:t xml:space="preserve"> STI growth leads to productivity growth, which then results in economic growth</w:t>
      </w:r>
      <w:r w:rsidR="007A1C53" w:rsidRPr="00F367CF">
        <w:rPr>
          <w:rFonts w:ascii="Cambria" w:hAnsi="Cambria"/>
        </w:rPr>
        <w:t xml:space="preserve"> </w:t>
      </w:r>
      <w:r w:rsidR="007A1C53" w:rsidRPr="00F367CF">
        <w:rPr>
          <w:rFonts w:ascii="Cambria" w:hAnsi="Cambria"/>
          <w:noProof/>
        </w:rPr>
        <w:t>(Online Information Repository n.d.)</w:t>
      </w:r>
      <w:r w:rsidR="005947F5" w:rsidRPr="00F367CF">
        <w:rPr>
          <w:rFonts w:ascii="Cambria" w:hAnsi="Cambria"/>
        </w:rPr>
        <w:t xml:space="preserve">. </w:t>
      </w:r>
      <w:r w:rsidR="006732AA" w:rsidRPr="00F367CF">
        <w:rPr>
          <w:rFonts w:ascii="Cambria" w:hAnsi="Cambria"/>
        </w:rPr>
        <w:t xml:space="preserve">The institution maintains that STI </w:t>
      </w:r>
      <w:r w:rsidR="007A7C44" w:rsidRPr="00F367CF">
        <w:rPr>
          <w:rFonts w:ascii="Cambria" w:hAnsi="Cambria"/>
        </w:rPr>
        <w:t>impacts the three pillars of economic growth</w:t>
      </w:r>
      <w:r>
        <w:rPr>
          <w:rFonts w:ascii="Cambria" w:hAnsi="Cambria"/>
        </w:rPr>
        <w:t xml:space="preserve">: </w:t>
      </w:r>
      <w:r w:rsidRPr="00F367CF">
        <w:rPr>
          <w:rFonts w:ascii="Cambria" w:hAnsi="Cambria"/>
        </w:rPr>
        <w:t>economic, social, and environmental</w:t>
      </w:r>
      <w:r>
        <w:rPr>
          <w:rFonts w:ascii="Cambria" w:hAnsi="Cambria"/>
        </w:rPr>
        <w:t>.</w:t>
      </w:r>
      <w:r>
        <w:rPr>
          <w:rStyle w:val="EndnoteReference"/>
          <w:rFonts w:ascii="Cambria" w:hAnsi="Cambria"/>
        </w:rPr>
        <w:endnoteReference w:id="1"/>
      </w:r>
      <w:r w:rsidR="007A7C44" w:rsidRPr="00F367CF">
        <w:rPr>
          <w:rFonts w:ascii="Cambria" w:hAnsi="Cambria"/>
        </w:rPr>
        <w:t xml:space="preserve"> STI capacities, the UN underlines, are important prerequisites for structural and social transformation that enable economic growth, </w:t>
      </w:r>
      <w:r w:rsidR="00362C26" w:rsidRPr="00F367CF">
        <w:rPr>
          <w:rFonts w:ascii="Cambria" w:hAnsi="Cambria"/>
        </w:rPr>
        <w:t>human development, and poverty reduction</w:t>
      </w:r>
      <w:r w:rsidR="005E2D88" w:rsidRPr="00F367CF">
        <w:rPr>
          <w:rFonts w:ascii="Cambria" w:hAnsi="Cambria"/>
        </w:rPr>
        <w:t xml:space="preserve"> </w:t>
      </w:r>
      <w:r w:rsidR="005E2D88" w:rsidRPr="00F367CF">
        <w:rPr>
          <w:rFonts w:ascii="Cambria" w:hAnsi="Cambria"/>
          <w:noProof/>
        </w:rPr>
        <w:t>(Report of the Secretary-General)</w:t>
      </w:r>
      <w:r w:rsidR="00362C26" w:rsidRPr="00F367CF">
        <w:rPr>
          <w:rFonts w:ascii="Cambria" w:hAnsi="Cambria"/>
        </w:rPr>
        <w:t xml:space="preserve">. </w:t>
      </w:r>
    </w:p>
    <w:p w14:paraId="34616C6D" w14:textId="77777777" w:rsidR="00CD04EB" w:rsidRPr="00F367CF" w:rsidRDefault="00CD04EB" w:rsidP="005A5CB4">
      <w:pPr>
        <w:rPr>
          <w:rFonts w:ascii="Cambria" w:hAnsi="Cambria"/>
        </w:rPr>
      </w:pPr>
    </w:p>
    <w:p w14:paraId="43EBD4E5" w14:textId="77777777" w:rsidR="005A5CB4" w:rsidRDefault="00322E00" w:rsidP="005A5CB4">
      <w:pPr>
        <w:ind w:firstLine="720"/>
        <w:rPr>
          <w:rFonts w:ascii="Cambria" w:hAnsi="Cambria"/>
        </w:rPr>
      </w:pPr>
      <w:r w:rsidRPr="00F367CF">
        <w:rPr>
          <w:rFonts w:ascii="Cambria" w:hAnsi="Cambria"/>
        </w:rPr>
        <w:t xml:space="preserve">The IMF </w:t>
      </w:r>
      <w:r w:rsidR="00A57E6A" w:rsidRPr="00F367CF">
        <w:rPr>
          <w:rFonts w:ascii="Cambria" w:hAnsi="Cambria"/>
        </w:rPr>
        <w:t xml:space="preserve">agrees that the digital transformation of our world </w:t>
      </w:r>
      <w:r w:rsidR="006401C8" w:rsidRPr="00F367CF">
        <w:rPr>
          <w:rFonts w:ascii="Cambria" w:hAnsi="Cambria"/>
        </w:rPr>
        <w:t>has the potential to pro</w:t>
      </w:r>
      <w:r w:rsidR="005A5CB4">
        <w:rPr>
          <w:rFonts w:ascii="Cambria" w:hAnsi="Cambria"/>
        </w:rPr>
        <w:t xml:space="preserve">mote economic growth, but </w:t>
      </w:r>
      <w:r w:rsidR="006401C8" w:rsidRPr="00F367CF">
        <w:rPr>
          <w:rFonts w:ascii="Cambria" w:hAnsi="Cambria"/>
        </w:rPr>
        <w:t xml:space="preserve">not without reservations. </w:t>
      </w:r>
      <w:r w:rsidR="00B67853" w:rsidRPr="00F367CF">
        <w:rPr>
          <w:rFonts w:ascii="Cambria" w:hAnsi="Cambria"/>
        </w:rPr>
        <w:t>A</w:t>
      </w:r>
      <w:r w:rsidR="007106AF" w:rsidRPr="00F367CF">
        <w:rPr>
          <w:rFonts w:ascii="Cambria" w:hAnsi="Cambria"/>
        </w:rPr>
        <w:t xml:space="preserve">n IMF article </w:t>
      </w:r>
      <w:r w:rsidR="007106AF" w:rsidRPr="00F367CF">
        <w:rPr>
          <w:rFonts w:ascii="Cambria" w:hAnsi="Cambria"/>
          <w:i/>
        </w:rPr>
        <w:t xml:space="preserve">entitled The Long and Short of </w:t>
      </w:r>
      <w:proofErr w:type="gramStart"/>
      <w:r w:rsidR="007106AF" w:rsidRPr="00F367CF">
        <w:rPr>
          <w:rFonts w:ascii="Cambria" w:hAnsi="Cambria"/>
          <w:i/>
        </w:rPr>
        <w:t>The</w:t>
      </w:r>
      <w:proofErr w:type="gramEnd"/>
      <w:r w:rsidR="007106AF" w:rsidRPr="00F367CF">
        <w:rPr>
          <w:rFonts w:ascii="Cambria" w:hAnsi="Cambria"/>
          <w:i/>
        </w:rPr>
        <w:t xml:space="preserve"> Digital Revolution</w:t>
      </w:r>
      <w:r w:rsidR="007106AF" w:rsidRPr="00F367CF">
        <w:rPr>
          <w:rFonts w:ascii="Cambria" w:hAnsi="Cambria"/>
        </w:rPr>
        <w:t xml:space="preserve">, by </w:t>
      </w:r>
      <w:r w:rsidR="00B67853" w:rsidRPr="00F367CF">
        <w:rPr>
          <w:rFonts w:ascii="Cambria" w:hAnsi="Cambria"/>
        </w:rPr>
        <w:t xml:space="preserve">Martin </w:t>
      </w:r>
      <w:proofErr w:type="spellStart"/>
      <w:r w:rsidR="00B67853" w:rsidRPr="00F367CF">
        <w:rPr>
          <w:rFonts w:ascii="Cambria" w:hAnsi="Cambria"/>
        </w:rPr>
        <w:t>Mühleisen</w:t>
      </w:r>
      <w:proofErr w:type="spellEnd"/>
      <w:r w:rsidR="00B67853" w:rsidRPr="00F367CF">
        <w:rPr>
          <w:rFonts w:ascii="Cambria" w:hAnsi="Cambria"/>
        </w:rPr>
        <w:t>, highlights</w:t>
      </w:r>
      <w:r w:rsidR="007106AF" w:rsidRPr="00F367CF">
        <w:rPr>
          <w:rFonts w:ascii="Cambria" w:hAnsi="Cambria"/>
        </w:rPr>
        <w:t xml:space="preserve"> </w:t>
      </w:r>
      <w:r w:rsidR="00097259" w:rsidRPr="00F367CF">
        <w:rPr>
          <w:rFonts w:ascii="Cambria" w:hAnsi="Cambria"/>
        </w:rPr>
        <w:t>the importance of digital technology and the spread of STI, but warns that all major technologi</w:t>
      </w:r>
      <w:r w:rsidR="00CF3755" w:rsidRPr="00F367CF">
        <w:rPr>
          <w:rFonts w:ascii="Cambria" w:hAnsi="Cambria"/>
        </w:rPr>
        <w:t xml:space="preserve">cal changes are disruptive and may cause negative economic outcomes in the short run. </w:t>
      </w:r>
    </w:p>
    <w:p w14:paraId="16F3EB0C" w14:textId="77777777" w:rsidR="005A5CB4" w:rsidRDefault="005A5CB4" w:rsidP="005A5CB4">
      <w:pPr>
        <w:ind w:firstLine="720"/>
        <w:rPr>
          <w:rFonts w:ascii="Cambria" w:hAnsi="Cambria"/>
        </w:rPr>
      </w:pPr>
    </w:p>
    <w:p w14:paraId="09073EF5" w14:textId="49532D0B" w:rsidR="00A137E4" w:rsidRDefault="00CF3755" w:rsidP="005A5CB4">
      <w:pPr>
        <w:ind w:firstLine="720"/>
        <w:rPr>
          <w:rFonts w:ascii="Cambria" w:hAnsi="Cambria"/>
        </w:rPr>
      </w:pPr>
      <w:r w:rsidRPr="00F367CF">
        <w:rPr>
          <w:rFonts w:ascii="Cambria" w:hAnsi="Cambria"/>
        </w:rPr>
        <w:t>This article gives the advice “Adopt, but Adapt,”</w:t>
      </w:r>
      <w:r w:rsidR="00F7535E" w:rsidRPr="00F367CF">
        <w:rPr>
          <w:rFonts w:ascii="Cambria" w:hAnsi="Cambria"/>
        </w:rPr>
        <w:t xml:space="preserve"> reminding us that </w:t>
      </w:r>
      <w:r w:rsidR="00DE6C99" w:rsidRPr="00F367CF">
        <w:rPr>
          <w:rFonts w:ascii="Cambria" w:hAnsi="Cambria"/>
        </w:rPr>
        <w:t xml:space="preserve">new technologies can be disruptive, and therefore many benefits come not simply from “adopting” the new technology but “adapting” to </w:t>
      </w:r>
      <w:r w:rsidR="00C3005F" w:rsidRPr="00F367CF">
        <w:rPr>
          <w:rFonts w:ascii="Cambria" w:hAnsi="Cambria"/>
        </w:rPr>
        <w:t>them</w:t>
      </w:r>
      <w:r w:rsidR="00DE6C99" w:rsidRPr="00F367CF">
        <w:rPr>
          <w:rFonts w:ascii="Cambria" w:hAnsi="Cambria"/>
        </w:rPr>
        <w:t xml:space="preserve"> as well</w:t>
      </w:r>
      <w:r w:rsidR="00C3005F" w:rsidRPr="00F367CF">
        <w:rPr>
          <w:rFonts w:ascii="Cambria" w:hAnsi="Cambria"/>
        </w:rPr>
        <w:t xml:space="preserve"> </w:t>
      </w:r>
      <w:sdt>
        <w:sdtPr>
          <w:rPr>
            <w:rFonts w:ascii="Cambria" w:hAnsi="Cambria"/>
          </w:rPr>
          <w:id w:val="-1352797358"/>
          <w:citation/>
        </w:sdtPr>
        <w:sdtEndPr/>
        <w:sdtContent>
          <w:r w:rsidR="00C3005F" w:rsidRPr="00F367CF">
            <w:rPr>
              <w:rFonts w:ascii="Cambria" w:hAnsi="Cambria"/>
            </w:rPr>
            <w:fldChar w:fldCharType="begin"/>
          </w:r>
          <w:r w:rsidR="00C3005F" w:rsidRPr="00F367CF">
            <w:rPr>
              <w:rFonts w:ascii="Cambria" w:hAnsi="Cambria"/>
            </w:rPr>
            <w:instrText xml:space="preserve"> CITATION Mar18 \l 1033 </w:instrText>
          </w:r>
          <w:r w:rsidR="00C3005F" w:rsidRPr="00F367CF">
            <w:rPr>
              <w:rFonts w:ascii="Cambria" w:hAnsi="Cambria"/>
            </w:rPr>
            <w:fldChar w:fldCharType="separate"/>
          </w:r>
          <w:r w:rsidR="00C3005F" w:rsidRPr="00F367CF">
            <w:rPr>
              <w:rFonts w:ascii="Cambria" w:hAnsi="Cambria"/>
              <w:noProof/>
            </w:rPr>
            <w:t>(Mühleisen 2018)</w:t>
          </w:r>
          <w:r w:rsidR="00C3005F" w:rsidRPr="00F367CF">
            <w:rPr>
              <w:rFonts w:ascii="Cambria" w:hAnsi="Cambria"/>
            </w:rPr>
            <w:fldChar w:fldCharType="end"/>
          </w:r>
        </w:sdtContent>
      </w:sdt>
      <w:r w:rsidR="00DE6C99" w:rsidRPr="00F367CF">
        <w:rPr>
          <w:rFonts w:ascii="Cambria" w:hAnsi="Cambria"/>
        </w:rPr>
        <w:t xml:space="preserve">. </w:t>
      </w:r>
      <w:r w:rsidR="005A5CB4">
        <w:rPr>
          <w:rFonts w:ascii="Cambria" w:hAnsi="Cambria"/>
        </w:rPr>
        <w:t xml:space="preserve"> </w:t>
      </w:r>
      <w:r w:rsidR="005A5CB4" w:rsidRPr="00F367CF">
        <w:rPr>
          <w:rFonts w:ascii="Cambria" w:hAnsi="Cambria"/>
        </w:rPr>
        <w:t xml:space="preserve">In the short term, new technologies may in fact be disruptive, but in the long term, new technologies create new platforms for economic growth. The IMF concludes that long term benefits of new technologies are worth the wait due to the high level of economic growth the technology will eventually create </w:t>
      </w:r>
      <w:sdt>
        <w:sdtPr>
          <w:rPr>
            <w:rFonts w:ascii="Cambria" w:hAnsi="Cambria"/>
          </w:rPr>
          <w:id w:val="518670969"/>
          <w:citation/>
        </w:sdtPr>
        <w:sdtContent>
          <w:r w:rsidR="005A5CB4" w:rsidRPr="00F367CF">
            <w:rPr>
              <w:rFonts w:ascii="Cambria" w:hAnsi="Cambria"/>
            </w:rPr>
            <w:fldChar w:fldCharType="begin"/>
          </w:r>
          <w:r w:rsidR="005A5CB4" w:rsidRPr="00F367CF">
            <w:rPr>
              <w:rFonts w:ascii="Cambria" w:hAnsi="Cambria"/>
            </w:rPr>
            <w:instrText xml:space="preserve"> CITATION Joe18 \l 1033 </w:instrText>
          </w:r>
          <w:r w:rsidR="005A5CB4" w:rsidRPr="00F367CF">
            <w:rPr>
              <w:rFonts w:ascii="Cambria" w:hAnsi="Cambria"/>
            </w:rPr>
            <w:fldChar w:fldCharType="separate"/>
          </w:r>
          <w:r w:rsidR="005A5CB4" w:rsidRPr="005A5CB4">
            <w:rPr>
              <w:rFonts w:ascii="Cambria" w:hAnsi="Cambria"/>
              <w:noProof/>
            </w:rPr>
            <w:t>(Mokyr 2018)</w:t>
          </w:r>
          <w:r w:rsidR="005A5CB4" w:rsidRPr="00F367CF">
            <w:rPr>
              <w:rFonts w:ascii="Cambria" w:hAnsi="Cambria"/>
            </w:rPr>
            <w:fldChar w:fldCharType="end"/>
          </w:r>
        </w:sdtContent>
      </w:sdt>
      <w:r w:rsidR="005A5CB4" w:rsidRPr="00F367CF">
        <w:rPr>
          <w:rFonts w:ascii="Cambria" w:hAnsi="Cambria"/>
        </w:rPr>
        <w:t xml:space="preserve">.  </w:t>
      </w:r>
    </w:p>
    <w:p w14:paraId="72C8F48E" w14:textId="77777777" w:rsidR="005A5CB4" w:rsidRDefault="005A5CB4" w:rsidP="00A137E4">
      <w:pPr>
        <w:ind w:firstLine="720"/>
        <w:rPr>
          <w:rFonts w:ascii="Cambria" w:hAnsi="Cambria"/>
        </w:rPr>
      </w:pPr>
    </w:p>
    <w:p w14:paraId="7E448D70" w14:textId="268CDBFD" w:rsidR="005A5CB4" w:rsidRPr="00F367CF" w:rsidRDefault="005A5CB4" w:rsidP="005A5CB4">
      <w:pPr>
        <w:ind w:firstLine="720"/>
        <w:rPr>
          <w:rFonts w:ascii="Cambria" w:hAnsi="Cambria"/>
        </w:rPr>
      </w:pPr>
      <w:r w:rsidRPr="00F367CF">
        <w:rPr>
          <w:rFonts w:ascii="Cambria" w:hAnsi="Cambria"/>
        </w:rPr>
        <w:t xml:space="preserve">The World Bank </w:t>
      </w:r>
      <w:r>
        <w:rPr>
          <w:rFonts w:ascii="Cambria" w:hAnsi="Cambria"/>
        </w:rPr>
        <w:t xml:space="preserve">similarly </w:t>
      </w:r>
      <w:r w:rsidRPr="00F367CF">
        <w:rPr>
          <w:rFonts w:ascii="Cambria" w:hAnsi="Cambria"/>
        </w:rPr>
        <w:t>reports that digital technologies improve economic growth by promoting inclusion, efficiency, and innovation. STI</w:t>
      </w:r>
      <w:r>
        <w:rPr>
          <w:rFonts w:ascii="Cambria" w:hAnsi="Cambria"/>
        </w:rPr>
        <w:t>, the institution claims,</w:t>
      </w:r>
      <w:r w:rsidRPr="00F367CF">
        <w:rPr>
          <w:rFonts w:ascii="Cambria" w:hAnsi="Cambria"/>
        </w:rPr>
        <w:t xml:space="preserve"> has boosted growth, expanded opportunities, and improved service. They also admit, however, that the dividends and benefits from digital technologies have not spread evenly across populations. As a solution, they propose measures such as strengthening regulations that ensure competition and adapting workers’ skills to the demands of new technologies </w:t>
      </w:r>
      <w:sdt>
        <w:sdtPr>
          <w:rPr>
            <w:rFonts w:ascii="Cambria" w:hAnsi="Cambria"/>
          </w:rPr>
          <w:id w:val="474884566"/>
          <w:citation/>
        </w:sdtPr>
        <w:sdtContent>
          <w:r w:rsidRPr="00F367CF">
            <w:rPr>
              <w:rFonts w:ascii="Cambria" w:hAnsi="Cambria"/>
            </w:rPr>
            <w:fldChar w:fldCharType="begin"/>
          </w:r>
          <w:r w:rsidRPr="00F367CF">
            <w:rPr>
              <w:rFonts w:ascii="Cambria" w:hAnsi="Cambria"/>
            </w:rPr>
            <w:instrText xml:space="preserve"> CITATION DrT16 \l 1033 </w:instrText>
          </w:r>
          <w:r w:rsidRPr="00F367CF">
            <w:rPr>
              <w:rFonts w:ascii="Cambria" w:hAnsi="Cambria"/>
            </w:rPr>
            <w:fldChar w:fldCharType="separate"/>
          </w:r>
          <w:r w:rsidRPr="005A5CB4">
            <w:rPr>
              <w:rFonts w:ascii="Cambria" w:hAnsi="Cambria"/>
              <w:noProof/>
            </w:rPr>
            <w:t>(Kelly and Firestone 2016)</w:t>
          </w:r>
          <w:r w:rsidRPr="00F367CF">
            <w:rPr>
              <w:rFonts w:ascii="Cambria" w:hAnsi="Cambria"/>
            </w:rPr>
            <w:fldChar w:fldCharType="end"/>
          </w:r>
        </w:sdtContent>
      </w:sdt>
      <w:r w:rsidRPr="00F367CF">
        <w:rPr>
          <w:rFonts w:ascii="Cambria" w:hAnsi="Cambria"/>
        </w:rPr>
        <w:t>. Even though the World Bank concedes that the spread of digital technologies has not quite produced economic development</w:t>
      </w:r>
      <w:r>
        <w:rPr>
          <w:rFonts w:ascii="Cambria" w:hAnsi="Cambria"/>
        </w:rPr>
        <w:t xml:space="preserve"> for MENA countries in the past, they maintain that STI is</w:t>
      </w:r>
      <w:r w:rsidRPr="00F367CF">
        <w:rPr>
          <w:rFonts w:ascii="Cambria" w:hAnsi="Cambria"/>
        </w:rPr>
        <w:t xml:space="preserve"> still is a fundamental part of development when executed properly.</w:t>
      </w:r>
    </w:p>
    <w:p w14:paraId="0F9D6192" w14:textId="6070EDC1" w:rsidR="00322E00" w:rsidRPr="00F367CF" w:rsidRDefault="00322E00" w:rsidP="005A5CB4">
      <w:pPr>
        <w:rPr>
          <w:rFonts w:ascii="Cambria" w:hAnsi="Cambria"/>
        </w:rPr>
      </w:pPr>
    </w:p>
    <w:p w14:paraId="4EEBD0CA" w14:textId="2C29C90E" w:rsidR="00C72275" w:rsidRPr="00F367CF" w:rsidRDefault="00CD04EB" w:rsidP="009F5118">
      <w:pPr>
        <w:rPr>
          <w:rFonts w:ascii="Cambria" w:hAnsi="Cambria"/>
        </w:rPr>
      </w:pPr>
      <w:r w:rsidRPr="00F367CF">
        <w:rPr>
          <w:rFonts w:ascii="Cambria" w:hAnsi="Cambria"/>
        </w:rPr>
        <w:tab/>
        <w:t xml:space="preserve">In addition to these institutions, various authors important to the field have written about the traditional model of STI </w:t>
      </w:r>
      <w:r w:rsidR="005A5CB4">
        <w:rPr>
          <w:rFonts w:ascii="Cambria" w:hAnsi="Cambria"/>
        </w:rPr>
        <w:t>and</w:t>
      </w:r>
      <w:r w:rsidRPr="00F367CF">
        <w:rPr>
          <w:rFonts w:ascii="Cambria" w:hAnsi="Cambria"/>
        </w:rPr>
        <w:t xml:space="preserve"> economic growth. </w:t>
      </w:r>
      <w:r w:rsidR="006C41ED" w:rsidRPr="00F367CF">
        <w:rPr>
          <w:rFonts w:ascii="Cambria" w:hAnsi="Cambria"/>
        </w:rPr>
        <w:t>Robert Solow</w:t>
      </w:r>
      <w:r w:rsidR="00B24CFC" w:rsidRPr="00F367CF">
        <w:rPr>
          <w:rFonts w:ascii="Cambria" w:hAnsi="Cambria"/>
        </w:rPr>
        <w:t>’s theory of economic growth insist</w:t>
      </w:r>
      <w:r w:rsidRPr="00F367CF">
        <w:rPr>
          <w:rFonts w:ascii="Cambria" w:hAnsi="Cambria"/>
        </w:rPr>
        <w:t>s</w:t>
      </w:r>
      <w:r w:rsidR="00B24CFC" w:rsidRPr="00F367CF">
        <w:rPr>
          <w:rFonts w:ascii="Cambria" w:hAnsi="Cambria"/>
        </w:rPr>
        <w:t xml:space="preserve"> that economic growth is </w:t>
      </w:r>
      <w:r w:rsidR="007360A1" w:rsidRPr="00F367CF">
        <w:rPr>
          <w:rFonts w:ascii="Cambria" w:hAnsi="Cambria"/>
        </w:rPr>
        <w:t xml:space="preserve">caused by a combination of capital accumulation, population growth (which </w:t>
      </w:r>
      <w:r w:rsidR="00CE55BA" w:rsidRPr="00F367CF">
        <w:rPr>
          <w:rFonts w:ascii="Cambria" w:hAnsi="Cambria"/>
        </w:rPr>
        <w:t>determines labor), and productivity</w:t>
      </w:r>
      <w:r w:rsidR="00566548" w:rsidRPr="00F367CF">
        <w:rPr>
          <w:rFonts w:ascii="Cambria" w:hAnsi="Cambria"/>
        </w:rPr>
        <w:t>, which h</w:t>
      </w:r>
      <w:r w:rsidR="00FE56F7" w:rsidRPr="00F367CF">
        <w:rPr>
          <w:rFonts w:ascii="Cambria" w:hAnsi="Cambria"/>
        </w:rPr>
        <w:t xml:space="preserve">e </w:t>
      </w:r>
      <w:r w:rsidR="00566548" w:rsidRPr="00F367CF">
        <w:rPr>
          <w:rFonts w:ascii="Cambria" w:hAnsi="Cambria"/>
        </w:rPr>
        <w:t>equates</w:t>
      </w:r>
      <w:r w:rsidR="00EA6BA1" w:rsidRPr="00F367CF">
        <w:rPr>
          <w:rFonts w:ascii="Cambria" w:hAnsi="Cambria"/>
        </w:rPr>
        <w:t xml:space="preserve"> with technological progress. </w:t>
      </w:r>
      <w:r w:rsidR="00BB7C5B" w:rsidRPr="00F367CF">
        <w:rPr>
          <w:rFonts w:ascii="Cambria" w:hAnsi="Cambria"/>
        </w:rPr>
        <w:t xml:space="preserve">The Solow model </w:t>
      </w:r>
      <w:r w:rsidR="00497EBB" w:rsidRPr="00F367CF">
        <w:rPr>
          <w:rFonts w:ascii="Cambria" w:hAnsi="Cambria"/>
        </w:rPr>
        <w:t>posits that, in the long run, economies converge to their steady state equilibrium</w:t>
      </w:r>
      <w:r w:rsidR="00193859" w:rsidRPr="00F367CF">
        <w:rPr>
          <w:rFonts w:ascii="Cambria" w:hAnsi="Cambria"/>
        </w:rPr>
        <w:t xml:space="preserve"> and that long-term economic growth </w:t>
      </w:r>
      <w:r w:rsidR="00F167B5" w:rsidRPr="00F367CF">
        <w:rPr>
          <w:rFonts w:ascii="Cambria" w:hAnsi="Cambria"/>
        </w:rPr>
        <w:t>is only achievable through technological progress</w:t>
      </w:r>
      <w:r w:rsidR="003D0470" w:rsidRPr="00F367CF">
        <w:rPr>
          <w:rFonts w:ascii="Cambria" w:hAnsi="Cambria"/>
        </w:rPr>
        <w:t xml:space="preserve"> </w:t>
      </w:r>
      <w:sdt>
        <w:sdtPr>
          <w:rPr>
            <w:rFonts w:ascii="Cambria" w:hAnsi="Cambria"/>
          </w:rPr>
          <w:id w:val="-1691981298"/>
          <w:citation/>
        </w:sdtPr>
        <w:sdtEndPr/>
        <w:sdtContent>
          <w:r w:rsidR="003D0470" w:rsidRPr="00F367CF">
            <w:rPr>
              <w:rFonts w:ascii="Cambria" w:hAnsi="Cambria"/>
            </w:rPr>
            <w:fldChar w:fldCharType="begin"/>
          </w:r>
          <w:r w:rsidR="003D0470" w:rsidRPr="00F367CF">
            <w:rPr>
              <w:rFonts w:ascii="Cambria" w:hAnsi="Cambria"/>
            </w:rPr>
            <w:instrText xml:space="preserve"> CITATION Sol19 \l 1033 </w:instrText>
          </w:r>
          <w:r w:rsidR="003D0470" w:rsidRPr="00F367CF">
            <w:rPr>
              <w:rFonts w:ascii="Cambria" w:hAnsi="Cambria"/>
            </w:rPr>
            <w:fldChar w:fldCharType="separate"/>
          </w:r>
          <w:r w:rsidR="003D0470" w:rsidRPr="00F367CF">
            <w:rPr>
              <w:rFonts w:ascii="Cambria" w:hAnsi="Cambria"/>
              <w:noProof/>
            </w:rPr>
            <w:t>(Solow Growth Model n.d.)</w:t>
          </w:r>
          <w:r w:rsidR="003D0470" w:rsidRPr="00F367CF">
            <w:rPr>
              <w:rFonts w:ascii="Cambria" w:hAnsi="Cambria"/>
            </w:rPr>
            <w:fldChar w:fldCharType="end"/>
          </w:r>
        </w:sdtContent>
      </w:sdt>
      <w:r w:rsidR="00591150" w:rsidRPr="00F367CF">
        <w:rPr>
          <w:rFonts w:ascii="Cambria" w:hAnsi="Cambria"/>
        </w:rPr>
        <w:t xml:space="preserve"> </w:t>
      </w:r>
      <w:sdt>
        <w:sdtPr>
          <w:rPr>
            <w:rFonts w:ascii="Cambria" w:hAnsi="Cambria"/>
          </w:rPr>
          <w:id w:val="-30425133"/>
          <w:citation/>
        </w:sdtPr>
        <w:sdtEndPr/>
        <w:sdtContent>
          <w:r w:rsidR="00591150" w:rsidRPr="00F367CF">
            <w:rPr>
              <w:rFonts w:ascii="Cambria" w:hAnsi="Cambria"/>
            </w:rPr>
            <w:fldChar w:fldCharType="begin"/>
          </w:r>
          <w:r w:rsidR="00591150" w:rsidRPr="00F367CF">
            <w:rPr>
              <w:rFonts w:ascii="Cambria" w:hAnsi="Cambria"/>
            </w:rPr>
            <w:instrText xml:space="preserve"> CITATION Dar11 \l 1033 </w:instrText>
          </w:r>
          <w:r w:rsidR="00591150" w:rsidRPr="00F367CF">
            <w:rPr>
              <w:rFonts w:ascii="Cambria" w:hAnsi="Cambria"/>
            </w:rPr>
            <w:fldChar w:fldCharType="separate"/>
          </w:r>
          <w:r w:rsidR="00591150" w:rsidRPr="00F367CF">
            <w:rPr>
              <w:rFonts w:ascii="Cambria" w:hAnsi="Cambria"/>
              <w:noProof/>
            </w:rPr>
            <w:t>(Acemoglu 2011)</w:t>
          </w:r>
          <w:r w:rsidR="00591150" w:rsidRPr="00F367CF">
            <w:rPr>
              <w:rFonts w:ascii="Cambria" w:hAnsi="Cambria"/>
            </w:rPr>
            <w:fldChar w:fldCharType="end"/>
          </w:r>
        </w:sdtContent>
      </w:sdt>
      <w:r w:rsidR="00F167B5" w:rsidRPr="00F367CF">
        <w:rPr>
          <w:rFonts w:ascii="Cambria" w:hAnsi="Cambria"/>
        </w:rPr>
        <w:t xml:space="preserve">. </w:t>
      </w:r>
    </w:p>
    <w:p w14:paraId="1EF4469C" w14:textId="77777777" w:rsidR="00CD04EB" w:rsidRPr="00F367CF" w:rsidRDefault="00CD04EB" w:rsidP="009F5118">
      <w:pPr>
        <w:rPr>
          <w:rFonts w:ascii="Cambria" w:hAnsi="Cambria"/>
        </w:rPr>
      </w:pPr>
    </w:p>
    <w:p w14:paraId="493B9B81" w14:textId="1A089592" w:rsidR="008005AE" w:rsidRPr="00F367CF" w:rsidRDefault="004D1FC4" w:rsidP="00CD04EB">
      <w:pPr>
        <w:ind w:firstLine="720"/>
        <w:rPr>
          <w:rFonts w:ascii="Cambria" w:hAnsi="Cambria"/>
        </w:rPr>
      </w:pPr>
      <w:r w:rsidRPr="00F367CF">
        <w:rPr>
          <w:rFonts w:ascii="Cambria" w:hAnsi="Cambria"/>
        </w:rPr>
        <w:t xml:space="preserve">In the </w:t>
      </w:r>
      <w:r w:rsidR="00CD04EB" w:rsidRPr="00F367CF">
        <w:rPr>
          <w:rFonts w:ascii="Cambria" w:hAnsi="Cambria"/>
        </w:rPr>
        <w:t xml:space="preserve">book </w:t>
      </w:r>
      <w:r w:rsidR="00CD04EB" w:rsidRPr="00F367CF">
        <w:rPr>
          <w:rFonts w:ascii="Cambria" w:hAnsi="Cambria"/>
          <w:i/>
        </w:rPr>
        <w:t>Information T</w:t>
      </w:r>
      <w:r w:rsidRPr="00F367CF">
        <w:rPr>
          <w:rFonts w:ascii="Cambria" w:hAnsi="Cambria"/>
          <w:i/>
        </w:rPr>
        <w:t>echnology, Productivity, and Economic Growth: International Evidence and Implications for Economic Development</w:t>
      </w:r>
      <w:r w:rsidRPr="00F367CF">
        <w:rPr>
          <w:rFonts w:ascii="Cambria" w:hAnsi="Cambria"/>
        </w:rPr>
        <w:t>, Matti Pohjola prescribes that developing countries invest highly in information technology. He expresses that there is now a concern that information is becoming a factor, like income and wealth, that determine whether a country is categorizes as rich or poor. To prevent this from happening, Pohjola recommends that countries form national IT strategies to promote the use of new technologies (</w:t>
      </w:r>
      <w:proofErr w:type="spellStart"/>
      <w:r w:rsidRPr="00F367CF">
        <w:rPr>
          <w:rFonts w:ascii="Cambria" w:hAnsi="Cambria"/>
        </w:rPr>
        <w:t>Pohjola</w:t>
      </w:r>
      <w:proofErr w:type="spellEnd"/>
      <w:r w:rsidRPr="00F367CF">
        <w:rPr>
          <w:rFonts w:ascii="Cambria" w:hAnsi="Cambria"/>
        </w:rPr>
        <w:t xml:space="preserve"> 2001).</w:t>
      </w:r>
    </w:p>
    <w:p w14:paraId="1C459B7A" w14:textId="77777777" w:rsidR="00CD04EB" w:rsidRPr="00F367CF" w:rsidRDefault="00CD04EB" w:rsidP="00CD04EB">
      <w:pPr>
        <w:ind w:firstLine="720"/>
        <w:rPr>
          <w:rFonts w:ascii="Cambria" w:hAnsi="Cambria"/>
        </w:rPr>
      </w:pPr>
    </w:p>
    <w:p w14:paraId="533E1201" w14:textId="2C4D98D8" w:rsidR="00CD04EB" w:rsidRPr="00F367CF" w:rsidRDefault="0047744D" w:rsidP="007A7781">
      <w:pPr>
        <w:rPr>
          <w:rFonts w:ascii="Cambria" w:hAnsi="Cambria"/>
        </w:rPr>
      </w:pPr>
      <w:r w:rsidRPr="00F367CF">
        <w:rPr>
          <w:rFonts w:ascii="Cambria" w:hAnsi="Cambria"/>
        </w:rPr>
        <w:tab/>
      </w:r>
      <w:r w:rsidR="00CD04EB" w:rsidRPr="00F367CF">
        <w:rPr>
          <w:rFonts w:ascii="Cambria" w:hAnsi="Cambria"/>
        </w:rPr>
        <w:t xml:space="preserve">This traditional model has been studied and updated by various authors over the last few decades. </w:t>
      </w:r>
      <w:r w:rsidR="005A5CB4">
        <w:rPr>
          <w:rFonts w:ascii="Cambria" w:hAnsi="Cambria"/>
        </w:rPr>
        <w:t>However, more updated</w:t>
      </w:r>
      <w:r w:rsidR="00CD04EB" w:rsidRPr="00F367CF">
        <w:rPr>
          <w:rFonts w:ascii="Cambria" w:hAnsi="Cambria"/>
        </w:rPr>
        <w:t xml:space="preserve"> model</w:t>
      </w:r>
      <w:r w:rsidR="005A5CB4">
        <w:rPr>
          <w:rFonts w:ascii="Cambria" w:hAnsi="Cambria"/>
        </w:rPr>
        <w:t>s</w:t>
      </w:r>
      <w:r w:rsidR="00CD04EB" w:rsidRPr="00F367CF">
        <w:rPr>
          <w:rFonts w:ascii="Cambria" w:hAnsi="Cambria"/>
        </w:rPr>
        <w:t xml:space="preserve"> </w:t>
      </w:r>
      <w:r w:rsidR="005A5CB4">
        <w:rPr>
          <w:rFonts w:ascii="Cambria" w:hAnsi="Cambria"/>
        </w:rPr>
        <w:t>assert</w:t>
      </w:r>
      <w:r w:rsidR="00CD04EB" w:rsidRPr="00F367CF">
        <w:rPr>
          <w:rFonts w:ascii="Cambria" w:hAnsi="Cambria"/>
        </w:rPr>
        <w:t xml:space="preserve"> that the relationship between economic growth and STI is more complicated than the traditional model reports.  </w:t>
      </w:r>
    </w:p>
    <w:p w14:paraId="356A51C4" w14:textId="77777777" w:rsidR="00CD04EB" w:rsidRPr="00F367CF" w:rsidRDefault="00CD04EB" w:rsidP="007A7781">
      <w:pPr>
        <w:rPr>
          <w:rFonts w:ascii="Cambria" w:hAnsi="Cambria"/>
        </w:rPr>
      </w:pPr>
    </w:p>
    <w:p w14:paraId="3C28D6B2" w14:textId="5D7B1974" w:rsidR="00291429" w:rsidRPr="00F367CF" w:rsidRDefault="005A5CB4" w:rsidP="00CD04EB">
      <w:pPr>
        <w:ind w:firstLine="720"/>
        <w:rPr>
          <w:rFonts w:ascii="Cambria" w:hAnsi="Cambria"/>
        </w:rPr>
      </w:pPr>
      <w:r>
        <w:rPr>
          <w:rFonts w:ascii="Cambria" w:hAnsi="Cambria"/>
        </w:rPr>
        <w:t>One of these updated models appears in the</w:t>
      </w:r>
      <w:r w:rsidR="007F4583" w:rsidRPr="00F367CF">
        <w:rPr>
          <w:rFonts w:ascii="Cambria" w:hAnsi="Cambria"/>
        </w:rPr>
        <w:t xml:space="preserve"> article </w:t>
      </w:r>
      <w:r w:rsidR="00A0407D" w:rsidRPr="00F367CF">
        <w:rPr>
          <w:rFonts w:ascii="Cambria" w:hAnsi="Cambria"/>
          <w:i/>
        </w:rPr>
        <w:t>Research and Development: Source of Economic Growth</w:t>
      </w:r>
      <w:r w:rsidR="007F4583" w:rsidRPr="00F367CF">
        <w:rPr>
          <w:rFonts w:ascii="Cambria" w:hAnsi="Cambria"/>
        </w:rPr>
        <w:t xml:space="preserve">. </w:t>
      </w:r>
      <w:r>
        <w:rPr>
          <w:rFonts w:ascii="Cambria" w:hAnsi="Cambria"/>
        </w:rPr>
        <w:t xml:space="preserve">The authors, </w:t>
      </w:r>
      <w:proofErr w:type="spellStart"/>
      <w:r w:rsidR="007F4583" w:rsidRPr="00F367CF">
        <w:rPr>
          <w:rFonts w:ascii="Cambria" w:hAnsi="Cambria"/>
        </w:rPr>
        <w:t>Ebru</w:t>
      </w:r>
      <w:proofErr w:type="spellEnd"/>
      <w:r w:rsidR="007F4583" w:rsidRPr="00F367CF">
        <w:rPr>
          <w:rFonts w:ascii="Cambria" w:hAnsi="Cambria"/>
        </w:rPr>
        <w:t xml:space="preserve"> </w:t>
      </w:r>
      <w:proofErr w:type="spellStart"/>
      <w:r w:rsidR="007F4583" w:rsidRPr="00F367CF">
        <w:rPr>
          <w:rFonts w:ascii="Cambria" w:hAnsi="Cambria"/>
        </w:rPr>
        <w:t>Beyza</w:t>
      </w:r>
      <w:proofErr w:type="spellEnd"/>
      <w:r w:rsidR="00C02F3C" w:rsidRPr="00F367CF">
        <w:rPr>
          <w:rFonts w:ascii="Cambria" w:hAnsi="Cambria"/>
        </w:rPr>
        <w:t xml:space="preserve"> </w:t>
      </w:r>
      <w:proofErr w:type="spellStart"/>
      <w:r w:rsidR="00C02F3C" w:rsidRPr="00F367CF">
        <w:rPr>
          <w:rFonts w:ascii="Cambria" w:hAnsi="Cambria"/>
        </w:rPr>
        <w:t>Bayarcelik</w:t>
      </w:r>
      <w:proofErr w:type="spellEnd"/>
      <w:r w:rsidR="00C02F3C" w:rsidRPr="00F367CF">
        <w:rPr>
          <w:rFonts w:ascii="Cambria" w:hAnsi="Cambria"/>
        </w:rPr>
        <w:t xml:space="preserve"> and </w:t>
      </w:r>
      <w:proofErr w:type="spellStart"/>
      <w:r w:rsidR="00C02F3C" w:rsidRPr="00F367CF">
        <w:rPr>
          <w:rFonts w:ascii="Cambria" w:hAnsi="Cambria"/>
        </w:rPr>
        <w:t>Fulya</w:t>
      </w:r>
      <w:proofErr w:type="spellEnd"/>
      <w:r w:rsidR="00C02F3C" w:rsidRPr="00F367CF">
        <w:rPr>
          <w:rFonts w:ascii="Cambria" w:hAnsi="Cambria"/>
        </w:rPr>
        <w:t xml:space="preserve"> </w:t>
      </w:r>
      <w:proofErr w:type="spellStart"/>
      <w:r w:rsidR="00C02F3C" w:rsidRPr="00F367CF">
        <w:rPr>
          <w:rFonts w:ascii="Cambria" w:hAnsi="Cambria"/>
        </w:rPr>
        <w:t>Tasel</w:t>
      </w:r>
      <w:proofErr w:type="spellEnd"/>
      <w:r>
        <w:rPr>
          <w:rFonts w:ascii="Cambria" w:hAnsi="Cambria"/>
        </w:rPr>
        <w:t>,</w:t>
      </w:r>
      <w:r w:rsidR="008834D7" w:rsidRPr="00F367CF">
        <w:rPr>
          <w:rFonts w:ascii="Cambria" w:hAnsi="Cambria"/>
        </w:rPr>
        <w:t xml:space="preserve"> assert that “technological progress” is one of the three pillars of economic growth</w:t>
      </w:r>
      <w:r w:rsidR="00D7021C" w:rsidRPr="00F367CF">
        <w:rPr>
          <w:rFonts w:ascii="Cambria" w:hAnsi="Cambria"/>
        </w:rPr>
        <w:t>, along with</w:t>
      </w:r>
      <w:r w:rsidR="00AA3C85" w:rsidRPr="00F367CF">
        <w:rPr>
          <w:rFonts w:ascii="Cambria" w:hAnsi="Cambria"/>
        </w:rPr>
        <w:t xml:space="preserve"> capital accumulation and population growth </w:t>
      </w:r>
      <w:sdt>
        <w:sdtPr>
          <w:rPr>
            <w:rFonts w:ascii="Cambria" w:hAnsi="Cambria"/>
          </w:rPr>
          <w:id w:val="1265957479"/>
          <w:citation/>
        </w:sdtPr>
        <w:sdtEndPr/>
        <w:sdtContent>
          <w:r w:rsidR="00DE758B" w:rsidRPr="00F367CF">
            <w:rPr>
              <w:rFonts w:ascii="Cambria" w:hAnsi="Cambria"/>
            </w:rPr>
            <w:fldChar w:fldCharType="begin"/>
          </w:r>
          <w:r w:rsidR="00DE758B" w:rsidRPr="00F367CF">
            <w:rPr>
              <w:rFonts w:ascii="Cambria" w:hAnsi="Cambria"/>
            </w:rPr>
            <w:instrText xml:space="preserve"> CITATION Bey12 \l 1033 </w:instrText>
          </w:r>
          <w:r w:rsidR="00DE758B" w:rsidRPr="00F367CF">
            <w:rPr>
              <w:rFonts w:ascii="Cambria" w:hAnsi="Cambria"/>
            </w:rPr>
            <w:fldChar w:fldCharType="separate"/>
          </w:r>
          <w:r w:rsidR="00DE758B" w:rsidRPr="00F367CF">
            <w:rPr>
              <w:rFonts w:ascii="Cambria" w:hAnsi="Cambria"/>
              <w:noProof/>
            </w:rPr>
            <w:t>(Beyza Bayarcelik and Tasel 2012)</w:t>
          </w:r>
          <w:r w:rsidR="00DE758B" w:rsidRPr="00F367CF">
            <w:rPr>
              <w:rFonts w:ascii="Cambria" w:hAnsi="Cambria"/>
            </w:rPr>
            <w:fldChar w:fldCharType="end"/>
          </w:r>
        </w:sdtContent>
      </w:sdt>
      <w:r w:rsidR="00F03E42" w:rsidRPr="00F367CF">
        <w:rPr>
          <w:rFonts w:ascii="Cambria" w:hAnsi="Cambria"/>
        </w:rPr>
        <w:t xml:space="preserve">. </w:t>
      </w:r>
      <w:r w:rsidR="007A7781" w:rsidRPr="00F367CF">
        <w:rPr>
          <w:rFonts w:ascii="Cambria" w:hAnsi="Cambria"/>
        </w:rPr>
        <w:t xml:space="preserve">They study </w:t>
      </w:r>
      <w:r w:rsidR="009C2061" w:rsidRPr="00F367CF">
        <w:rPr>
          <w:rFonts w:ascii="Cambria" w:hAnsi="Cambria"/>
        </w:rPr>
        <w:t>indicators</w:t>
      </w:r>
      <w:r w:rsidR="007A7781" w:rsidRPr="00F367CF">
        <w:rPr>
          <w:rFonts w:ascii="Cambria" w:hAnsi="Cambria"/>
        </w:rPr>
        <w:t xml:space="preserve"> </w:t>
      </w:r>
      <w:r w:rsidR="009C2061" w:rsidRPr="00F367CF">
        <w:rPr>
          <w:rFonts w:ascii="Cambria" w:hAnsi="Cambria"/>
        </w:rPr>
        <w:t>related to</w:t>
      </w:r>
      <w:r w:rsidR="007A7781" w:rsidRPr="00F367CF">
        <w:rPr>
          <w:rFonts w:ascii="Cambria" w:hAnsi="Cambria"/>
        </w:rPr>
        <w:t xml:space="preserve"> Research &amp; Development (R&amp;D) activities, such as number of R&amp;D employees, R&amp;D expenditures, and patents</w:t>
      </w:r>
      <w:r w:rsidR="00183A78" w:rsidRPr="00F367CF">
        <w:rPr>
          <w:rFonts w:ascii="Cambria" w:hAnsi="Cambria"/>
        </w:rPr>
        <w:t>. The authors</w:t>
      </w:r>
      <w:r w:rsidR="009C2061" w:rsidRPr="00F367CF">
        <w:rPr>
          <w:rFonts w:ascii="Cambria" w:hAnsi="Cambria"/>
        </w:rPr>
        <w:t xml:space="preserve"> measure the relationship between these indicators and Gross Domestic Product (GDP). </w:t>
      </w:r>
      <w:r w:rsidR="008161E5" w:rsidRPr="00F367CF">
        <w:rPr>
          <w:rFonts w:ascii="Cambria" w:hAnsi="Cambria"/>
        </w:rPr>
        <w:t xml:space="preserve">They find that </w:t>
      </w:r>
      <w:r w:rsidR="00C61999" w:rsidRPr="00F367CF">
        <w:rPr>
          <w:rFonts w:ascii="Cambria" w:hAnsi="Cambria"/>
        </w:rPr>
        <w:t xml:space="preserve">there is a positive </w:t>
      </w:r>
      <w:r w:rsidR="00C86AE8" w:rsidRPr="00F367CF">
        <w:rPr>
          <w:rFonts w:ascii="Cambria" w:hAnsi="Cambria"/>
        </w:rPr>
        <w:t>relationship</w:t>
      </w:r>
      <w:r w:rsidR="00C61999" w:rsidRPr="00F367CF">
        <w:rPr>
          <w:rFonts w:ascii="Cambria" w:hAnsi="Cambria"/>
        </w:rPr>
        <w:t xml:space="preserve"> between R&amp;D and number of employees in R&amp;D departments; </w:t>
      </w:r>
      <w:r w:rsidR="00C86AE8" w:rsidRPr="00F367CF">
        <w:rPr>
          <w:rFonts w:ascii="Cambria" w:hAnsi="Cambria"/>
        </w:rPr>
        <w:t>and</w:t>
      </w:r>
      <w:r w:rsidR="00C61999" w:rsidRPr="00F367CF">
        <w:rPr>
          <w:rFonts w:ascii="Cambria" w:hAnsi="Cambria"/>
        </w:rPr>
        <w:t xml:space="preserve"> there is a negative relationship</w:t>
      </w:r>
      <w:r w:rsidR="00175D6B" w:rsidRPr="00F367CF">
        <w:rPr>
          <w:rFonts w:ascii="Cambria" w:hAnsi="Cambria"/>
        </w:rPr>
        <w:t xml:space="preserve"> between GDP and number of patents. </w:t>
      </w:r>
      <w:r w:rsidR="0020409F" w:rsidRPr="00F367CF">
        <w:rPr>
          <w:rFonts w:ascii="Cambria" w:hAnsi="Cambria"/>
        </w:rPr>
        <w:t>These results suggest that STI may be correlated</w:t>
      </w:r>
      <w:r w:rsidR="007E74C4" w:rsidRPr="00F367CF">
        <w:rPr>
          <w:rFonts w:ascii="Cambria" w:hAnsi="Cambria"/>
        </w:rPr>
        <w:t xml:space="preserve"> increased employment, but not economic growth. </w:t>
      </w:r>
      <w:r w:rsidR="004F7F6D" w:rsidRPr="00F367CF">
        <w:rPr>
          <w:rFonts w:ascii="Cambria" w:hAnsi="Cambria"/>
        </w:rPr>
        <w:t xml:space="preserve"> </w:t>
      </w:r>
    </w:p>
    <w:p w14:paraId="4ACF99C1" w14:textId="77777777" w:rsidR="00CD04EB" w:rsidRPr="00F367CF" w:rsidRDefault="00CD04EB" w:rsidP="00CD04EB">
      <w:pPr>
        <w:ind w:firstLine="720"/>
        <w:rPr>
          <w:rFonts w:ascii="Cambria" w:hAnsi="Cambria"/>
        </w:rPr>
      </w:pPr>
    </w:p>
    <w:p w14:paraId="2A7813C7" w14:textId="6E521939" w:rsidR="00A137E4" w:rsidRPr="00F367CF" w:rsidRDefault="001874E7" w:rsidP="006C5E6A">
      <w:pPr>
        <w:rPr>
          <w:rFonts w:ascii="Cambria" w:hAnsi="Cambria"/>
        </w:rPr>
      </w:pPr>
      <w:r w:rsidRPr="00F367CF">
        <w:rPr>
          <w:rFonts w:ascii="Cambria" w:hAnsi="Cambria"/>
        </w:rPr>
        <w:tab/>
        <w:t xml:space="preserve">Peter Howitt </w:t>
      </w:r>
      <w:r w:rsidR="00FA1DE1">
        <w:rPr>
          <w:rFonts w:ascii="Cambria" w:hAnsi="Cambria"/>
        </w:rPr>
        <w:t xml:space="preserve">further </w:t>
      </w:r>
      <w:r w:rsidRPr="00F367CF">
        <w:rPr>
          <w:rFonts w:ascii="Cambria" w:hAnsi="Cambria"/>
        </w:rPr>
        <w:t>explains a possible reason</w:t>
      </w:r>
      <w:r w:rsidR="00B25780" w:rsidRPr="00F367CF">
        <w:rPr>
          <w:rFonts w:ascii="Cambria" w:hAnsi="Cambria"/>
        </w:rPr>
        <w:t xml:space="preserve"> that </w:t>
      </w:r>
      <w:r w:rsidR="000C730B" w:rsidRPr="00F367CF">
        <w:rPr>
          <w:rFonts w:ascii="Cambria" w:hAnsi="Cambria"/>
        </w:rPr>
        <w:t xml:space="preserve">the introduction of new technologies can be negatively correlated with economic growth in his </w:t>
      </w:r>
      <w:r w:rsidR="006C5E6A" w:rsidRPr="00F367CF">
        <w:rPr>
          <w:rFonts w:ascii="Cambria" w:hAnsi="Cambria"/>
        </w:rPr>
        <w:t xml:space="preserve">article </w:t>
      </w:r>
      <w:r w:rsidR="006C5E6A" w:rsidRPr="00F367CF">
        <w:rPr>
          <w:rFonts w:ascii="Cambria" w:hAnsi="Cambria"/>
          <w:i/>
        </w:rPr>
        <w:t>Measurement, Obsolescence, and General Purpose Technologies</w:t>
      </w:r>
      <w:r w:rsidR="006C5E6A" w:rsidRPr="00F367CF">
        <w:rPr>
          <w:rFonts w:ascii="Cambria" w:hAnsi="Cambria"/>
        </w:rPr>
        <w:t xml:space="preserve">. </w:t>
      </w:r>
      <w:r w:rsidR="00F82416" w:rsidRPr="00F367CF">
        <w:rPr>
          <w:rFonts w:ascii="Cambria" w:hAnsi="Cambria"/>
        </w:rPr>
        <w:t xml:space="preserve">He </w:t>
      </w:r>
      <w:r w:rsidR="008D73ED" w:rsidRPr="00F367CF">
        <w:rPr>
          <w:rFonts w:ascii="Cambria" w:hAnsi="Cambria"/>
        </w:rPr>
        <w:t>writes about General Purpose Technologies (GPTs)</w:t>
      </w:r>
      <w:r w:rsidR="00ED032F" w:rsidRPr="00F367CF">
        <w:rPr>
          <w:rFonts w:ascii="Cambria" w:hAnsi="Cambria"/>
        </w:rPr>
        <w:t xml:space="preserve">, which are technologies that spread through a wide range of sectors in ways that </w:t>
      </w:r>
      <w:r w:rsidR="00393DB4" w:rsidRPr="00F367CF">
        <w:rPr>
          <w:rFonts w:ascii="Cambria" w:hAnsi="Cambria"/>
        </w:rPr>
        <w:t xml:space="preserve">drastically changes their production </w:t>
      </w:r>
      <w:sdt>
        <w:sdtPr>
          <w:rPr>
            <w:rFonts w:ascii="Cambria" w:hAnsi="Cambria"/>
          </w:rPr>
          <w:id w:val="-527482836"/>
          <w:citation/>
        </w:sdtPr>
        <w:sdtEndPr/>
        <w:sdtContent>
          <w:r w:rsidR="00393DB4" w:rsidRPr="00F367CF">
            <w:rPr>
              <w:rFonts w:ascii="Cambria" w:hAnsi="Cambria"/>
            </w:rPr>
            <w:fldChar w:fldCharType="begin"/>
          </w:r>
          <w:r w:rsidR="00393DB4" w:rsidRPr="00F367CF">
            <w:rPr>
              <w:rFonts w:ascii="Cambria" w:hAnsi="Cambria"/>
            </w:rPr>
            <w:instrText xml:space="preserve"> CITATION Hel98 \l 1033 </w:instrText>
          </w:r>
          <w:r w:rsidR="00393DB4" w:rsidRPr="00F367CF">
            <w:rPr>
              <w:rFonts w:ascii="Cambria" w:hAnsi="Cambria"/>
            </w:rPr>
            <w:fldChar w:fldCharType="separate"/>
          </w:r>
          <w:r w:rsidR="00393DB4" w:rsidRPr="00F367CF">
            <w:rPr>
              <w:rFonts w:ascii="Cambria" w:hAnsi="Cambria"/>
              <w:noProof/>
            </w:rPr>
            <w:t>(Helpman 1998)</w:t>
          </w:r>
          <w:r w:rsidR="00393DB4" w:rsidRPr="00F367CF">
            <w:rPr>
              <w:rFonts w:ascii="Cambria" w:hAnsi="Cambria"/>
            </w:rPr>
            <w:fldChar w:fldCharType="end"/>
          </w:r>
        </w:sdtContent>
      </w:sdt>
      <w:r w:rsidR="00393DB4" w:rsidRPr="00F367CF">
        <w:rPr>
          <w:rFonts w:ascii="Cambria" w:hAnsi="Cambria"/>
        </w:rPr>
        <w:t xml:space="preserve">. </w:t>
      </w:r>
      <w:r w:rsidR="00F7306D" w:rsidRPr="00F367CF">
        <w:rPr>
          <w:rFonts w:ascii="Cambria" w:hAnsi="Cambria"/>
        </w:rPr>
        <w:t xml:space="preserve">In his article, Howitt </w:t>
      </w:r>
      <w:r w:rsidR="00C547DA">
        <w:rPr>
          <w:rFonts w:ascii="Cambria" w:hAnsi="Cambria"/>
        </w:rPr>
        <w:t xml:space="preserve">asserts </w:t>
      </w:r>
      <w:r w:rsidR="001900DA" w:rsidRPr="00F367CF">
        <w:rPr>
          <w:rFonts w:ascii="Cambria" w:hAnsi="Cambria"/>
        </w:rPr>
        <w:t>that “</w:t>
      </w:r>
      <w:r w:rsidR="00576FA7" w:rsidRPr="00F367CF">
        <w:rPr>
          <w:rFonts w:ascii="Cambria" w:hAnsi="Cambria"/>
        </w:rPr>
        <w:t>accelerated</w:t>
      </w:r>
      <w:r w:rsidR="001900DA" w:rsidRPr="00F367CF">
        <w:rPr>
          <w:rFonts w:ascii="Cambria" w:hAnsi="Cambria"/>
        </w:rPr>
        <w:t xml:space="preserve"> technological change” can cause disruptions in the status quo, leading to major dislocations and</w:t>
      </w:r>
      <w:r w:rsidR="00361BC8" w:rsidRPr="00F367CF">
        <w:rPr>
          <w:rFonts w:ascii="Cambria" w:hAnsi="Cambria"/>
        </w:rPr>
        <w:t xml:space="preserve"> costly</w:t>
      </w:r>
      <w:r w:rsidR="001900DA" w:rsidRPr="00F367CF">
        <w:rPr>
          <w:rFonts w:ascii="Cambria" w:hAnsi="Cambria"/>
        </w:rPr>
        <w:t xml:space="preserve"> adjustments. This particularly occurs at the level of </w:t>
      </w:r>
      <w:r w:rsidR="00576FA7" w:rsidRPr="00F367CF">
        <w:rPr>
          <w:rFonts w:ascii="Cambria" w:hAnsi="Cambria"/>
        </w:rPr>
        <w:t>induvial</w:t>
      </w:r>
      <w:r w:rsidR="001900DA" w:rsidRPr="00F367CF">
        <w:rPr>
          <w:rFonts w:ascii="Cambria" w:hAnsi="Cambria"/>
        </w:rPr>
        <w:t xml:space="preserve"> households</w:t>
      </w:r>
      <w:r w:rsidR="00790899" w:rsidRPr="00F367CF">
        <w:rPr>
          <w:rFonts w:ascii="Cambria" w:hAnsi="Cambria"/>
        </w:rPr>
        <w:t xml:space="preserve"> and business firms</w:t>
      </w:r>
      <w:r w:rsidR="00361BC8" w:rsidRPr="00F367CF">
        <w:rPr>
          <w:rFonts w:ascii="Cambria" w:hAnsi="Cambria"/>
        </w:rPr>
        <w:t xml:space="preserve"> as they transition from an outdate</w:t>
      </w:r>
      <w:r w:rsidR="00576FA7" w:rsidRPr="00F367CF">
        <w:rPr>
          <w:rFonts w:ascii="Cambria" w:hAnsi="Cambria"/>
        </w:rPr>
        <w:t xml:space="preserve">d GPT to a new one. </w:t>
      </w:r>
      <w:sdt>
        <w:sdtPr>
          <w:rPr>
            <w:rFonts w:ascii="Cambria" w:hAnsi="Cambria"/>
          </w:rPr>
          <w:id w:val="-504666103"/>
          <w:citation/>
        </w:sdtPr>
        <w:sdtEndPr/>
        <w:sdtContent>
          <w:r w:rsidR="00576FA7" w:rsidRPr="00F367CF">
            <w:rPr>
              <w:rFonts w:ascii="Cambria" w:hAnsi="Cambria"/>
            </w:rPr>
            <w:fldChar w:fldCharType="begin"/>
          </w:r>
          <w:r w:rsidR="00576FA7" w:rsidRPr="00F367CF">
            <w:rPr>
              <w:rFonts w:ascii="Cambria" w:hAnsi="Cambria"/>
            </w:rPr>
            <w:instrText xml:space="preserve"> CITATION How98 \l 1033 </w:instrText>
          </w:r>
          <w:r w:rsidR="00576FA7" w:rsidRPr="00F367CF">
            <w:rPr>
              <w:rFonts w:ascii="Cambria" w:hAnsi="Cambria"/>
            </w:rPr>
            <w:fldChar w:fldCharType="separate"/>
          </w:r>
          <w:r w:rsidR="00576FA7" w:rsidRPr="00F367CF">
            <w:rPr>
              <w:rFonts w:ascii="Cambria" w:hAnsi="Cambria"/>
              <w:noProof/>
            </w:rPr>
            <w:t>(Howitt 1998)</w:t>
          </w:r>
          <w:r w:rsidR="00576FA7" w:rsidRPr="00F367CF">
            <w:rPr>
              <w:rFonts w:ascii="Cambria" w:hAnsi="Cambria"/>
            </w:rPr>
            <w:fldChar w:fldCharType="end"/>
          </w:r>
        </w:sdtContent>
      </w:sdt>
      <w:r w:rsidR="00576FA7" w:rsidRPr="00F367CF">
        <w:rPr>
          <w:rFonts w:ascii="Cambria" w:hAnsi="Cambria"/>
        </w:rPr>
        <w:t xml:space="preserve">. </w:t>
      </w:r>
      <w:r w:rsidR="00B87E32" w:rsidRPr="00F367CF">
        <w:rPr>
          <w:rFonts w:ascii="Cambria" w:hAnsi="Cambria"/>
        </w:rPr>
        <w:t>Howitt calculates that when the pace of technological progress rises by 50%, measured GDP declines by 8.5%</w:t>
      </w:r>
      <w:r w:rsidR="00802DC9" w:rsidRPr="00F367CF">
        <w:rPr>
          <w:rFonts w:ascii="Cambria" w:hAnsi="Cambria"/>
        </w:rPr>
        <w:t xml:space="preserve"> after 22 years </w:t>
      </w:r>
      <w:sdt>
        <w:sdtPr>
          <w:rPr>
            <w:rFonts w:ascii="Cambria" w:hAnsi="Cambria"/>
          </w:rPr>
          <w:id w:val="-1161614744"/>
          <w:citation/>
        </w:sdtPr>
        <w:sdtEndPr/>
        <w:sdtContent>
          <w:r w:rsidR="00802DC9" w:rsidRPr="00F367CF">
            <w:rPr>
              <w:rFonts w:ascii="Cambria" w:hAnsi="Cambria"/>
            </w:rPr>
            <w:fldChar w:fldCharType="begin"/>
          </w:r>
          <w:r w:rsidR="00802DC9" w:rsidRPr="00F367CF">
            <w:rPr>
              <w:rFonts w:ascii="Cambria" w:hAnsi="Cambria"/>
            </w:rPr>
            <w:instrText xml:space="preserve"> CITATION How98 \l 1033 </w:instrText>
          </w:r>
          <w:r w:rsidR="00802DC9" w:rsidRPr="00F367CF">
            <w:rPr>
              <w:rFonts w:ascii="Cambria" w:hAnsi="Cambria"/>
            </w:rPr>
            <w:fldChar w:fldCharType="separate"/>
          </w:r>
          <w:r w:rsidR="00802DC9" w:rsidRPr="00F367CF">
            <w:rPr>
              <w:rFonts w:ascii="Cambria" w:hAnsi="Cambria"/>
              <w:noProof/>
            </w:rPr>
            <w:t>(Howitt 1998)</w:t>
          </w:r>
          <w:r w:rsidR="00802DC9" w:rsidRPr="00F367CF">
            <w:rPr>
              <w:rFonts w:ascii="Cambria" w:hAnsi="Cambria"/>
            </w:rPr>
            <w:fldChar w:fldCharType="end"/>
          </w:r>
        </w:sdtContent>
      </w:sdt>
      <w:r w:rsidR="00802DC9" w:rsidRPr="00F367CF">
        <w:rPr>
          <w:rFonts w:ascii="Cambria" w:hAnsi="Cambria"/>
        </w:rPr>
        <w:t xml:space="preserve">. </w:t>
      </w:r>
    </w:p>
    <w:p w14:paraId="24CBAABA" w14:textId="77777777" w:rsidR="00CD04EB" w:rsidRPr="00F367CF" w:rsidRDefault="00CD04EB" w:rsidP="006C5E6A">
      <w:pPr>
        <w:rPr>
          <w:rFonts w:ascii="Cambria" w:hAnsi="Cambria"/>
        </w:rPr>
      </w:pPr>
    </w:p>
    <w:p w14:paraId="280FB3FA" w14:textId="409719A9" w:rsidR="000306B4" w:rsidRPr="00F367CF" w:rsidRDefault="005A2A82" w:rsidP="006C5E6A">
      <w:pPr>
        <w:rPr>
          <w:rFonts w:ascii="Cambria" w:hAnsi="Cambria"/>
        </w:rPr>
      </w:pPr>
      <w:r w:rsidRPr="00F367CF">
        <w:rPr>
          <w:rFonts w:ascii="Cambria" w:hAnsi="Cambria"/>
        </w:rPr>
        <w:tab/>
      </w:r>
      <w:proofErr w:type="spellStart"/>
      <w:r w:rsidR="00005B4F" w:rsidRPr="00F367CF">
        <w:rPr>
          <w:rFonts w:ascii="Cambria" w:hAnsi="Cambria"/>
        </w:rPr>
        <w:t>Ethanan</w:t>
      </w:r>
      <w:proofErr w:type="spellEnd"/>
      <w:r w:rsidR="00005B4F" w:rsidRPr="00F367CF">
        <w:rPr>
          <w:rFonts w:ascii="Cambria" w:hAnsi="Cambria"/>
        </w:rPr>
        <w:t xml:space="preserve"> </w:t>
      </w:r>
      <w:proofErr w:type="spellStart"/>
      <w:r w:rsidR="007911AF" w:rsidRPr="00F367CF">
        <w:rPr>
          <w:rFonts w:ascii="Cambria" w:hAnsi="Cambria"/>
        </w:rPr>
        <w:t>Helpman</w:t>
      </w:r>
      <w:proofErr w:type="spellEnd"/>
      <w:r w:rsidR="007911AF" w:rsidRPr="00F367CF">
        <w:rPr>
          <w:rFonts w:ascii="Cambria" w:hAnsi="Cambria"/>
        </w:rPr>
        <w:t xml:space="preserve"> and</w:t>
      </w:r>
      <w:r w:rsidR="00053036" w:rsidRPr="00F367CF">
        <w:rPr>
          <w:rFonts w:ascii="Cambria" w:hAnsi="Cambria"/>
        </w:rPr>
        <w:t xml:space="preserve"> Manuel</w:t>
      </w:r>
      <w:r w:rsidR="007911AF" w:rsidRPr="00F367CF">
        <w:rPr>
          <w:rFonts w:ascii="Cambria" w:hAnsi="Cambria"/>
        </w:rPr>
        <w:t xml:space="preserve"> Trajtenberg </w:t>
      </w:r>
      <w:r w:rsidR="00005B4F" w:rsidRPr="00F367CF">
        <w:rPr>
          <w:rFonts w:ascii="Cambria" w:hAnsi="Cambria"/>
        </w:rPr>
        <w:t xml:space="preserve">argue a similar point in their </w:t>
      </w:r>
      <w:r w:rsidR="0066783C" w:rsidRPr="00F367CF">
        <w:rPr>
          <w:rFonts w:ascii="Cambria" w:hAnsi="Cambria"/>
        </w:rPr>
        <w:t>article</w:t>
      </w:r>
      <w:r w:rsidR="00005B4F" w:rsidRPr="00F367CF">
        <w:rPr>
          <w:rFonts w:ascii="Cambria" w:hAnsi="Cambria"/>
        </w:rPr>
        <w:t xml:space="preserve"> </w:t>
      </w:r>
      <w:r w:rsidR="0066783C" w:rsidRPr="00F367CF">
        <w:rPr>
          <w:rFonts w:ascii="Cambria" w:hAnsi="Cambria"/>
          <w:i/>
        </w:rPr>
        <w:t>A Time to Sow and a Time to Reap: Growth Based on General Purpose Technologies</w:t>
      </w:r>
      <w:r w:rsidR="00053036" w:rsidRPr="00F367CF">
        <w:rPr>
          <w:rFonts w:ascii="Cambria" w:hAnsi="Cambria"/>
          <w:i/>
        </w:rPr>
        <w:t>.</w:t>
      </w:r>
      <w:r w:rsidR="00053036" w:rsidRPr="00F367CF">
        <w:rPr>
          <w:rFonts w:ascii="Cambria" w:hAnsi="Cambria"/>
        </w:rPr>
        <w:t xml:space="preserve"> </w:t>
      </w:r>
      <w:r w:rsidR="00005B4F" w:rsidRPr="00F367CF">
        <w:rPr>
          <w:rFonts w:ascii="Cambria" w:hAnsi="Cambria"/>
        </w:rPr>
        <w:t>The</w:t>
      </w:r>
      <w:r w:rsidR="009A050D" w:rsidRPr="00F367CF">
        <w:rPr>
          <w:rFonts w:ascii="Cambria" w:hAnsi="Cambria"/>
        </w:rPr>
        <w:t xml:space="preserve"> </w:t>
      </w:r>
      <w:r w:rsidR="003B538C" w:rsidRPr="00F367CF">
        <w:rPr>
          <w:rFonts w:ascii="Cambria" w:hAnsi="Cambria"/>
        </w:rPr>
        <w:t>HT model proposes that</w:t>
      </w:r>
      <w:r w:rsidR="00372334" w:rsidRPr="00F367CF">
        <w:rPr>
          <w:rFonts w:ascii="Cambria" w:hAnsi="Cambria"/>
        </w:rPr>
        <w:t xml:space="preserve"> the implementation of new</w:t>
      </w:r>
      <w:r w:rsidR="003B538C" w:rsidRPr="00F367CF">
        <w:rPr>
          <w:rFonts w:ascii="Cambria" w:hAnsi="Cambria"/>
        </w:rPr>
        <w:t xml:space="preserve"> </w:t>
      </w:r>
      <w:r w:rsidR="00CB0036" w:rsidRPr="00F367CF">
        <w:rPr>
          <w:rFonts w:ascii="Cambria" w:hAnsi="Cambria"/>
        </w:rPr>
        <w:t xml:space="preserve">GPTs </w:t>
      </w:r>
      <w:r w:rsidR="00372334" w:rsidRPr="00F367CF">
        <w:rPr>
          <w:rFonts w:ascii="Cambria" w:hAnsi="Cambria"/>
        </w:rPr>
        <w:t>can be</w:t>
      </w:r>
      <w:r w:rsidR="009A050D" w:rsidRPr="00F367CF">
        <w:rPr>
          <w:rFonts w:ascii="Cambria" w:hAnsi="Cambria"/>
        </w:rPr>
        <w:t xml:space="preserve"> very costly. This is </w:t>
      </w:r>
      <w:r w:rsidR="0065754D" w:rsidRPr="00F367CF">
        <w:rPr>
          <w:rFonts w:ascii="Cambria" w:hAnsi="Cambria"/>
        </w:rPr>
        <w:t>because GPTs do not come “ready to use” off the shelf</w:t>
      </w:r>
      <w:r w:rsidR="00340F46" w:rsidRPr="00F367CF">
        <w:rPr>
          <w:rFonts w:ascii="Cambria" w:hAnsi="Cambria"/>
        </w:rPr>
        <w:t xml:space="preserve"> and require new intermediate goods to be produced before </w:t>
      </w:r>
      <w:r w:rsidR="00372334" w:rsidRPr="00F367CF">
        <w:rPr>
          <w:rFonts w:ascii="Cambria" w:hAnsi="Cambria"/>
        </w:rPr>
        <w:t xml:space="preserve">implementation. </w:t>
      </w:r>
      <w:r w:rsidR="00C8733C" w:rsidRPr="00F367CF">
        <w:rPr>
          <w:rFonts w:ascii="Cambria" w:hAnsi="Cambria"/>
        </w:rPr>
        <w:t xml:space="preserve">During the period between when a new GPT is introduced and once it raises productivity and profitability, national income tends to fall as resources are </w:t>
      </w:r>
      <w:r w:rsidR="00194BB6" w:rsidRPr="00F367CF">
        <w:rPr>
          <w:rFonts w:ascii="Cambria" w:hAnsi="Cambria"/>
        </w:rPr>
        <w:t>taken from production and put towards R&amp;D activities focused on the development of new intermediate goods</w:t>
      </w:r>
      <w:r w:rsidR="00053036" w:rsidRPr="00F367CF">
        <w:rPr>
          <w:rFonts w:ascii="Cambria" w:hAnsi="Cambria"/>
        </w:rPr>
        <w:t xml:space="preserve"> </w:t>
      </w:r>
      <w:sdt>
        <w:sdtPr>
          <w:rPr>
            <w:rFonts w:ascii="Cambria" w:hAnsi="Cambria"/>
          </w:rPr>
          <w:id w:val="741998666"/>
          <w:citation/>
        </w:sdtPr>
        <w:sdtEndPr/>
        <w:sdtContent>
          <w:r w:rsidR="00053036" w:rsidRPr="00F367CF">
            <w:rPr>
              <w:rFonts w:ascii="Cambria" w:hAnsi="Cambria"/>
            </w:rPr>
            <w:fldChar w:fldCharType="begin"/>
          </w:r>
          <w:r w:rsidR="00053036" w:rsidRPr="00F367CF">
            <w:rPr>
              <w:rFonts w:ascii="Cambria" w:hAnsi="Cambria"/>
            </w:rPr>
            <w:instrText xml:space="preserve"> CITATION Elh98 \l 1033 </w:instrText>
          </w:r>
          <w:r w:rsidR="00053036" w:rsidRPr="00F367CF">
            <w:rPr>
              <w:rFonts w:ascii="Cambria" w:hAnsi="Cambria"/>
            </w:rPr>
            <w:fldChar w:fldCharType="separate"/>
          </w:r>
          <w:r w:rsidR="00053036" w:rsidRPr="00F367CF">
            <w:rPr>
              <w:rFonts w:ascii="Cambria" w:hAnsi="Cambria"/>
              <w:noProof/>
            </w:rPr>
            <w:t>(Helpman and Trajtenberg 1998)</w:t>
          </w:r>
          <w:r w:rsidR="00053036" w:rsidRPr="00F367CF">
            <w:rPr>
              <w:rFonts w:ascii="Cambria" w:hAnsi="Cambria"/>
            </w:rPr>
            <w:fldChar w:fldCharType="end"/>
          </w:r>
        </w:sdtContent>
      </w:sdt>
      <w:r w:rsidR="00194BB6" w:rsidRPr="00F367CF">
        <w:rPr>
          <w:rFonts w:ascii="Cambria" w:hAnsi="Cambria"/>
        </w:rPr>
        <w:t xml:space="preserve">. </w:t>
      </w:r>
    </w:p>
    <w:p w14:paraId="4821B090" w14:textId="77777777" w:rsidR="00CD04EB" w:rsidRPr="00F367CF" w:rsidRDefault="00CD04EB" w:rsidP="006C5E6A">
      <w:pPr>
        <w:rPr>
          <w:rFonts w:ascii="Cambria" w:hAnsi="Cambria"/>
        </w:rPr>
      </w:pPr>
    </w:p>
    <w:p w14:paraId="2D10EE43" w14:textId="5B908E2D" w:rsidR="004979B4" w:rsidRDefault="00B572B3" w:rsidP="00CD04EB">
      <w:pPr>
        <w:ind w:firstLine="720"/>
        <w:rPr>
          <w:rFonts w:ascii="Cambria" w:hAnsi="Cambria"/>
        </w:rPr>
      </w:pPr>
      <w:r w:rsidRPr="00F367CF">
        <w:rPr>
          <w:rFonts w:ascii="Cambria" w:hAnsi="Cambria"/>
        </w:rPr>
        <w:t>In their article</w:t>
      </w:r>
      <w:r w:rsidRPr="00F367CF">
        <w:rPr>
          <w:rFonts w:ascii="Cambria" w:hAnsi="Cambria"/>
          <w:i/>
        </w:rPr>
        <w:t xml:space="preserve"> 1974</w:t>
      </w:r>
      <w:r w:rsidRPr="00F367CF">
        <w:rPr>
          <w:rFonts w:ascii="Cambria" w:hAnsi="Cambria"/>
        </w:rPr>
        <w:t xml:space="preserve">, authors Jeremy </w:t>
      </w:r>
      <w:r w:rsidR="00C72275" w:rsidRPr="00F367CF">
        <w:rPr>
          <w:rFonts w:ascii="Cambria" w:hAnsi="Cambria"/>
        </w:rPr>
        <w:t xml:space="preserve">Greenberg and </w:t>
      </w:r>
      <w:r w:rsidRPr="00F367CF">
        <w:rPr>
          <w:rFonts w:ascii="Cambria" w:hAnsi="Cambria"/>
        </w:rPr>
        <w:t xml:space="preserve">Mehmet </w:t>
      </w:r>
      <w:proofErr w:type="spellStart"/>
      <w:r w:rsidRPr="00F367CF">
        <w:rPr>
          <w:rFonts w:ascii="Cambria" w:hAnsi="Cambria"/>
        </w:rPr>
        <w:t>Yorukoglu</w:t>
      </w:r>
      <w:proofErr w:type="spellEnd"/>
      <w:r w:rsidR="00693ADF" w:rsidRPr="00F367CF">
        <w:rPr>
          <w:rFonts w:ascii="Cambria" w:hAnsi="Cambria"/>
        </w:rPr>
        <w:t xml:space="preserve"> agree with the previous authors about the disruptive nature of new technologies. These authors </w:t>
      </w:r>
      <w:r w:rsidR="00B56AF2" w:rsidRPr="00F367CF">
        <w:rPr>
          <w:rFonts w:ascii="Cambria" w:hAnsi="Cambria"/>
        </w:rPr>
        <w:lastRenderedPageBreak/>
        <w:t xml:space="preserve">explain that productivity growth may stall following the introduction of a new technology </w:t>
      </w:r>
      <w:r w:rsidR="00906F17" w:rsidRPr="00F367CF">
        <w:rPr>
          <w:rFonts w:ascii="Cambria" w:hAnsi="Cambria"/>
        </w:rPr>
        <w:t>as the economy gathers the investment, knowledge, and skills needed</w:t>
      </w:r>
      <w:r w:rsidR="00447430" w:rsidRPr="00F367CF">
        <w:rPr>
          <w:rFonts w:ascii="Cambria" w:hAnsi="Cambria"/>
        </w:rPr>
        <w:t xml:space="preserve"> to get the new technology to its full potential.</w:t>
      </w:r>
      <w:r w:rsidR="00A137E4" w:rsidRPr="00F367CF">
        <w:rPr>
          <w:rFonts w:ascii="Cambria" w:hAnsi="Cambria"/>
        </w:rPr>
        <w:t xml:space="preserve"> </w:t>
      </w:r>
      <w:r w:rsidR="008D4875" w:rsidRPr="00F367CF">
        <w:rPr>
          <w:rFonts w:ascii="Cambria" w:hAnsi="Cambria"/>
        </w:rPr>
        <w:t xml:space="preserve">Because of this, it is not surprising that after a new technology is introduced, a combination occurs of rapid technological change, </w:t>
      </w:r>
      <w:r w:rsidR="007D054D" w:rsidRPr="00F367CF">
        <w:rPr>
          <w:rFonts w:ascii="Cambria" w:hAnsi="Cambria"/>
        </w:rPr>
        <w:t xml:space="preserve">widening inequality, and a slowdown in productivity growth (Greenwood and </w:t>
      </w:r>
      <w:proofErr w:type="spellStart"/>
      <w:r w:rsidR="007D054D" w:rsidRPr="00F367CF">
        <w:rPr>
          <w:rFonts w:ascii="Cambria" w:hAnsi="Cambria"/>
        </w:rPr>
        <w:t>Yorukoglu</w:t>
      </w:r>
      <w:proofErr w:type="spellEnd"/>
      <w:r w:rsidR="007D054D" w:rsidRPr="00F367CF">
        <w:rPr>
          <w:rFonts w:ascii="Cambria" w:hAnsi="Cambria"/>
        </w:rPr>
        <w:t xml:space="preserve"> 1997).</w:t>
      </w:r>
      <w:r w:rsidR="00483029" w:rsidRPr="00F367CF">
        <w:rPr>
          <w:rStyle w:val="EndnoteReference"/>
          <w:rFonts w:ascii="Cambria" w:hAnsi="Cambria"/>
        </w:rPr>
        <w:endnoteReference w:id="2"/>
      </w:r>
    </w:p>
    <w:p w14:paraId="5E9E9232" w14:textId="77777777" w:rsidR="00FA1DE1" w:rsidRDefault="00FA1DE1" w:rsidP="00CD04EB">
      <w:pPr>
        <w:ind w:firstLine="720"/>
        <w:rPr>
          <w:rFonts w:ascii="Cambria" w:hAnsi="Cambria"/>
        </w:rPr>
      </w:pPr>
    </w:p>
    <w:p w14:paraId="045B76FD" w14:textId="03487C38" w:rsidR="00FA1DE1" w:rsidRPr="00F367CF" w:rsidRDefault="00FA1DE1" w:rsidP="00CD04EB">
      <w:pPr>
        <w:ind w:firstLine="720"/>
        <w:rPr>
          <w:rFonts w:ascii="Cambria" w:hAnsi="Cambria"/>
        </w:rPr>
      </w:pPr>
      <w:r>
        <w:rPr>
          <w:rFonts w:ascii="Cambria" w:hAnsi="Cambria"/>
        </w:rPr>
        <w:t xml:space="preserve">These various authors and research institutions </w:t>
      </w:r>
      <w:r w:rsidR="00626712">
        <w:rPr>
          <w:rFonts w:ascii="Cambria" w:hAnsi="Cambria"/>
        </w:rPr>
        <w:t xml:space="preserve">have illuminated the different arguments and theories that exist within the topic of STI and economic growth. While these authors deal with STI in general and not in a specific region, there is also ample discussion occurring in the field when it comes to STI in the MENA region specifically. </w:t>
      </w:r>
    </w:p>
    <w:p w14:paraId="7085B82A" w14:textId="77777777" w:rsidR="00D01394" w:rsidRPr="00F367CF" w:rsidRDefault="00D01394" w:rsidP="00D01394">
      <w:pPr>
        <w:jc w:val="center"/>
        <w:rPr>
          <w:rFonts w:ascii="Cambria" w:hAnsi="Cambria"/>
          <w:u w:val="single"/>
        </w:rPr>
      </w:pPr>
    </w:p>
    <w:p w14:paraId="7044783A" w14:textId="762573BB" w:rsidR="00D01394" w:rsidRPr="00F367CF" w:rsidRDefault="006D3A02" w:rsidP="00D01394">
      <w:pPr>
        <w:jc w:val="center"/>
        <w:rPr>
          <w:rStyle w:val="Emphasis"/>
          <w:rFonts w:ascii="Cambria" w:hAnsi="Cambria"/>
        </w:rPr>
      </w:pPr>
      <w:r w:rsidRPr="00F367CF">
        <w:rPr>
          <w:rStyle w:val="Emphasis"/>
          <w:rFonts w:ascii="Cambria" w:hAnsi="Cambria"/>
        </w:rPr>
        <w:t xml:space="preserve">STI &amp; </w:t>
      </w:r>
      <w:r w:rsidR="00D01394" w:rsidRPr="00F367CF">
        <w:rPr>
          <w:rStyle w:val="Emphasis"/>
          <w:rFonts w:ascii="Cambria" w:hAnsi="Cambria"/>
        </w:rPr>
        <w:t>Economic Growth in the MENA Region</w:t>
      </w:r>
    </w:p>
    <w:p w14:paraId="26DC1F71" w14:textId="65AEE9A5" w:rsidR="004979B4" w:rsidRPr="00F367CF" w:rsidRDefault="004979B4" w:rsidP="00D01394">
      <w:pPr>
        <w:jc w:val="center"/>
        <w:rPr>
          <w:rFonts w:ascii="Cambria" w:hAnsi="Cambria"/>
          <w:u w:val="single"/>
        </w:rPr>
      </w:pPr>
    </w:p>
    <w:p w14:paraId="784C9D6B" w14:textId="70C81AFF" w:rsidR="00310134" w:rsidRPr="00F367CF" w:rsidRDefault="00C04396" w:rsidP="00310134">
      <w:pPr>
        <w:rPr>
          <w:rFonts w:ascii="Cambria" w:hAnsi="Cambria"/>
        </w:rPr>
      </w:pPr>
      <w:r w:rsidRPr="00F367CF">
        <w:rPr>
          <w:rFonts w:ascii="Cambria" w:hAnsi="Cambria"/>
        </w:rPr>
        <w:tab/>
        <w:t xml:space="preserve">When </w:t>
      </w:r>
      <w:r w:rsidR="000908EE" w:rsidRPr="00F367CF">
        <w:rPr>
          <w:rFonts w:ascii="Cambria" w:hAnsi="Cambria"/>
        </w:rPr>
        <w:t xml:space="preserve">discussing STI and economic growth within the MENA region, lack of privatization and competition </w:t>
      </w:r>
      <w:r w:rsidR="00682F34" w:rsidRPr="00F367CF">
        <w:rPr>
          <w:rFonts w:ascii="Cambria" w:hAnsi="Cambria"/>
        </w:rPr>
        <w:t xml:space="preserve">as well as lack of government accountability </w:t>
      </w:r>
      <w:r w:rsidR="000908EE" w:rsidRPr="00F367CF">
        <w:rPr>
          <w:rFonts w:ascii="Cambria" w:hAnsi="Cambria"/>
        </w:rPr>
        <w:t xml:space="preserve">jump out as major themes. </w:t>
      </w:r>
      <w:r w:rsidR="00583B80" w:rsidRPr="00F367CF">
        <w:rPr>
          <w:rFonts w:ascii="Cambria" w:hAnsi="Cambria"/>
        </w:rPr>
        <w:t xml:space="preserve">In the UNESCWA report entitled </w:t>
      </w:r>
      <w:r w:rsidR="00310134" w:rsidRPr="00F367CF">
        <w:rPr>
          <w:rFonts w:ascii="Cambria" w:hAnsi="Cambria"/>
          <w:i/>
        </w:rPr>
        <w:t>Innovation Policy for Inclusive Sustainable</w:t>
      </w:r>
    </w:p>
    <w:p w14:paraId="7110D0ED" w14:textId="1567510C" w:rsidR="00CD0933" w:rsidRPr="00F367CF" w:rsidRDefault="00310134" w:rsidP="00310134">
      <w:pPr>
        <w:rPr>
          <w:rFonts w:ascii="Cambria" w:hAnsi="Cambria"/>
        </w:rPr>
      </w:pPr>
      <w:r w:rsidRPr="00F367CF">
        <w:rPr>
          <w:rFonts w:ascii="Cambria" w:hAnsi="Cambria"/>
          <w:i/>
        </w:rPr>
        <w:t>Development in the Arab Region</w:t>
      </w:r>
      <w:r w:rsidRPr="00F367CF">
        <w:rPr>
          <w:rFonts w:ascii="Cambria" w:hAnsi="Cambria"/>
        </w:rPr>
        <w:t xml:space="preserve"> highlights these themes and reports that the Arab region needs a “new social contract</w:t>
      </w:r>
      <w:r w:rsidR="00251729" w:rsidRPr="00F367CF">
        <w:rPr>
          <w:rFonts w:ascii="Cambria" w:hAnsi="Cambria"/>
        </w:rPr>
        <w:t xml:space="preserve">” with their governments </w:t>
      </w:r>
      <w:r w:rsidR="006E5078" w:rsidRPr="00F367CF">
        <w:rPr>
          <w:rFonts w:ascii="Cambria" w:hAnsi="Cambria"/>
        </w:rPr>
        <w:t xml:space="preserve">if STI policies are to be effective </w:t>
      </w:r>
      <w:r w:rsidR="00545AFF" w:rsidRPr="00F367CF">
        <w:rPr>
          <w:rFonts w:ascii="Cambria" w:hAnsi="Cambria"/>
        </w:rPr>
        <w:t>in supporting entrepreneurship, education, R&amp;D</w:t>
      </w:r>
      <w:r w:rsidR="00FD633C" w:rsidRPr="00F367CF">
        <w:rPr>
          <w:rFonts w:ascii="Cambria" w:hAnsi="Cambria"/>
        </w:rPr>
        <w:t>,</w:t>
      </w:r>
      <w:r w:rsidR="00545AFF" w:rsidRPr="00F367CF">
        <w:rPr>
          <w:rFonts w:ascii="Cambria" w:hAnsi="Cambria"/>
        </w:rPr>
        <w:t xml:space="preserve"> and economic growth</w:t>
      </w:r>
      <w:r w:rsidR="00FD633C" w:rsidRPr="00F367CF">
        <w:rPr>
          <w:rFonts w:ascii="Cambria" w:hAnsi="Cambria"/>
        </w:rPr>
        <w:t xml:space="preserve"> </w:t>
      </w:r>
      <w:sdt>
        <w:sdtPr>
          <w:rPr>
            <w:rFonts w:ascii="Cambria" w:hAnsi="Cambria"/>
          </w:rPr>
          <w:id w:val="879982147"/>
          <w:citation/>
        </w:sdtPr>
        <w:sdtEndPr/>
        <w:sdtContent>
          <w:r w:rsidR="00FD633C" w:rsidRPr="00F367CF">
            <w:rPr>
              <w:rFonts w:ascii="Cambria" w:hAnsi="Cambria"/>
            </w:rPr>
            <w:fldChar w:fldCharType="begin"/>
          </w:r>
          <w:r w:rsidR="004B4117" w:rsidRPr="00F367CF">
            <w:rPr>
              <w:rFonts w:ascii="Cambria" w:hAnsi="Cambria"/>
            </w:rPr>
            <w:instrText xml:space="preserve">CITATION Inn17 \l 1033 </w:instrText>
          </w:r>
          <w:r w:rsidR="00FD633C" w:rsidRPr="00F367CF">
            <w:rPr>
              <w:rFonts w:ascii="Cambria" w:hAnsi="Cambria"/>
            </w:rPr>
            <w:fldChar w:fldCharType="separate"/>
          </w:r>
          <w:r w:rsidR="004B4117" w:rsidRPr="00F367CF">
            <w:rPr>
              <w:rFonts w:ascii="Cambria" w:hAnsi="Cambria"/>
              <w:noProof/>
            </w:rPr>
            <w:t>(Innovation Policy for Inclusive Sustainable Development in the Arab Region 2017)</w:t>
          </w:r>
          <w:r w:rsidR="00FD633C" w:rsidRPr="00F367CF">
            <w:rPr>
              <w:rFonts w:ascii="Cambria" w:hAnsi="Cambria"/>
            </w:rPr>
            <w:fldChar w:fldCharType="end"/>
          </w:r>
        </w:sdtContent>
      </w:sdt>
      <w:r w:rsidR="00545AFF" w:rsidRPr="00F367CF">
        <w:rPr>
          <w:rFonts w:ascii="Cambria" w:hAnsi="Cambria"/>
        </w:rPr>
        <w:t xml:space="preserve">. </w:t>
      </w:r>
      <w:r w:rsidR="000D1A09" w:rsidRPr="00F367CF">
        <w:rPr>
          <w:rFonts w:ascii="Cambria" w:hAnsi="Cambria"/>
        </w:rPr>
        <w:t xml:space="preserve">Without trust in </w:t>
      </w:r>
      <w:r w:rsidR="001E007C" w:rsidRPr="00F367CF">
        <w:rPr>
          <w:rFonts w:ascii="Cambria" w:hAnsi="Cambria"/>
        </w:rPr>
        <w:t xml:space="preserve">MENA </w:t>
      </w:r>
      <w:r w:rsidR="000D1A09" w:rsidRPr="00F367CF">
        <w:rPr>
          <w:rFonts w:ascii="Cambria" w:hAnsi="Cambria"/>
        </w:rPr>
        <w:t xml:space="preserve">government, investors </w:t>
      </w:r>
      <w:r w:rsidR="001E007C" w:rsidRPr="00F367CF">
        <w:rPr>
          <w:rFonts w:ascii="Cambria" w:hAnsi="Cambria"/>
        </w:rPr>
        <w:t xml:space="preserve">and inventors are reluctant to be in business with them. </w:t>
      </w:r>
    </w:p>
    <w:p w14:paraId="627FE488" w14:textId="77777777" w:rsidR="00CD04EB" w:rsidRPr="00F367CF" w:rsidRDefault="00CD04EB" w:rsidP="00310134">
      <w:pPr>
        <w:rPr>
          <w:rFonts w:ascii="Cambria" w:hAnsi="Cambria"/>
        </w:rPr>
      </w:pPr>
    </w:p>
    <w:p w14:paraId="4D1C2FFC" w14:textId="77777777" w:rsidR="00576398" w:rsidRPr="00F367CF" w:rsidRDefault="007A78F5" w:rsidP="007A78F5">
      <w:pPr>
        <w:rPr>
          <w:rFonts w:ascii="Cambria" w:hAnsi="Cambria"/>
        </w:rPr>
      </w:pPr>
      <w:r w:rsidRPr="00F367CF">
        <w:rPr>
          <w:rFonts w:ascii="Cambria" w:hAnsi="Cambria"/>
        </w:rPr>
        <w:tab/>
      </w:r>
      <w:r w:rsidR="000D1A09" w:rsidRPr="00F367CF">
        <w:rPr>
          <w:rFonts w:ascii="Cambria" w:hAnsi="Cambria"/>
        </w:rPr>
        <w:t>Privatization</w:t>
      </w:r>
      <w:r w:rsidR="00A27C0C" w:rsidRPr="00F367CF">
        <w:rPr>
          <w:rFonts w:ascii="Cambria" w:hAnsi="Cambria"/>
        </w:rPr>
        <w:t xml:space="preserve"> is also a concern covered in this report. </w:t>
      </w:r>
      <w:r w:rsidR="00EC219C" w:rsidRPr="00F367CF">
        <w:rPr>
          <w:rFonts w:ascii="Cambria" w:hAnsi="Cambria"/>
        </w:rPr>
        <w:t xml:space="preserve">Most businesses are </w:t>
      </w:r>
      <w:r w:rsidR="000D1A09" w:rsidRPr="00F367CF">
        <w:rPr>
          <w:rFonts w:ascii="Cambria" w:hAnsi="Cambria"/>
        </w:rPr>
        <w:t>publicly</w:t>
      </w:r>
      <w:r w:rsidR="00EC219C" w:rsidRPr="00F367CF">
        <w:rPr>
          <w:rFonts w:ascii="Cambria" w:hAnsi="Cambria"/>
        </w:rPr>
        <w:t xml:space="preserve"> owned </w:t>
      </w:r>
      <w:r w:rsidR="000D1A09" w:rsidRPr="00F367CF">
        <w:rPr>
          <w:rFonts w:ascii="Cambria" w:hAnsi="Cambria"/>
        </w:rPr>
        <w:t xml:space="preserve">in the MENA region, meaning that competition is relatively low. UNESCWA suggests this may be </w:t>
      </w:r>
      <w:r w:rsidR="001E007C" w:rsidRPr="00F367CF">
        <w:rPr>
          <w:rFonts w:ascii="Cambria" w:hAnsi="Cambria"/>
        </w:rPr>
        <w:t xml:space="preserve">one reason the spread of STI has not impacted economic growth to the degree that it has in other regions. </w:t>
      </w:r>
    </w:p>
    <w:p w14:paraId="5F6F15FD" w14:textId="77777777" w:rsidR="00CD04EB" w:rsidRPr="00F367CF" w:rsidRDefault="00CD04EB" w:rsidP="007A78F5">
      <w:pPr>
        <w:rPr>
          <w:rFonts w:ascii="Cambria" w:hAnsi="Cambria"/>
        </w:rPr>
      </w:pPr>
    </w:p>
    <w:p w14:paraId="7A9C4BDB" w14:textId="53AB4916" w:rsidR="009E5EC2" w:rsidRPr="00F367CF" w:rsidRDefault="006F38F5" w:rsidP="00576398">
      <w:pPr>
        <w:ind w:firstLine="720"/>
        <w:rPr>
          <w:rFonts w:ascii="Cambria" w:hAnsi="Cambria"/>
        </w:rPr>
      </w:pPr>
      <w:r w:rsidRPr="00F367CF">
        <w:rPr>
          <w:rFonts w:ascii="Cambria" w:hAnsi="Cambria"/>
        </w:rPr>
        <w:t xml:space="preserve">In addition, developing countries like ones in the MENA region </w:t>
      </w:r>
      <w:r w:rsidR="0057685B" w:rsidRPr="00F367CF">
        <w:rPr>
          <w:rFonts w:ascii="Cambria" w:hAnsi="Cambria"/>
        </w:rPr>
        <w:t xml:space="preserve">tend to be at a trade disadvantage. </w:t>
      </w:r>
      <w:r w:rsidR="003830CA" w:rsidRPr="00F367CF">
        <w:rPr>
          <w:rFonts w:ascii="Cambria" w:hAnsi="Cambria"/>
        </w:rPr>
        <w:t>While t</w:t>
      </w:r>
      <w:r w:rsidR="00D85808" w:rsidRPr="00F367CF">
        <w:rPr>
          <w:rFonts w:ascii="Cambria" w:hAnsi="Cambria"/>
        </w:rPr>
        <w:t>rade has opened over the last few decades due to globalization</w:t>
      </w:r>
      <w:r w:rsidR="003830CA" w:rsidRPr="00F367CF">
        <w:rPr>
          <w:rFonts w:ascii="Cambria" w:hAnsi="Cambria"/>
        </w:rPr>
        <w:t xml:space="preserve">, </w:t>
      </w:r>
      <w:r w:rsidR="009862D8" w:rsidRPr="00F367CF">
        <w:rPr>
          <w:rFonts w:ascii="Cambria" w:hAnsi="Cambria"/>
        </w:rPr>
        <w:t xml:space="preserve">tariffs against developing countries exports are still high which impedes industrialization efforts. </w:t>
      </w:r>
      <w:r w:rsidR="00477EF8" w:rsidRPr="00F367CF">
        <w:rPr>
          <w:rFonts w:ascii="Cambria" w:hAnsi="Cambria"/>
        </w:rPr>
        <w:t>The report suggests that f</w:t>
      </w:r>
      <w:r w:rsidR="0057685B" w:rsidRPr="00F367CF">
        <w:rPr>
          <w:rFonts w:ascii="Cambria" w:hAnsi="Cambria"/>
        </w:rPr>
        <w:t>or these reasons, t</w:t>
      </w:r>
      <w:r w:rsidR="00093282" w:rsidRPr="00F367CF">
        <w:rPr>
          <w:rFonts w:ascii="Cambria" w:hAnsi="Cambria"/>
        </w:rPr>
        <w:t xml:space="preserve">he spread of STI </w:t>
      </w:r>
      <w:r w:rsidR="00D94872" w:rsidRPr="00F367CF">
        <w:rPr>
          <w:rFonts w:ascii="Cambria" w:hAnsi="Cambria"/>
        </w:rPr>
        <w:t xml:space="preserve">in the MENA region </w:t>
      </w:r>
      <w:r w:rsidR="008559D2" w:rsidRPr="00F367CF">
        <w:rPr>
          <w:rFonts w:ascii="Cambria" w:hAnsi="Cambria"/>
        </w:rPr>
        <w:t xml:space="preserve">has reportedly been unable to translate to steady </w:t>
      </w:r>
      <w:r w:rsidR="00093282" w:rsidRPr="00F367CF">
        <w:rPr>
          <w:rFonts w:ascii="Cambria" w:hAnsi="Cambria"/>
        </w:rPr>
        <w:t>economic growth</w:t>
      </w:r>
      <w:r w:rsidR="004B4117" w:rsidRPr="00F367CF">
        <w:rPr>
          <w:rFonts w:ascii="Cambria" w:hAnsi="Cambria"/>
        </w:rPr>
        <w:t xml:space="preserve"> </w:t>
      </w:r>
      <w:sdt>
        <w:sdtPr>
          <w:rPr>
            <w:rFonts w:ascii="Cambria" w:hAnsi="Cambria"/>
          </w:rPr>
          <w:id w:val="-1679647969"/>
          <w:citation/>
        </w:sdtPr>
        <w:sdtEndPr/>
        <w:sdtContent>
          <w:r w:rsidR="004B4117" w:rsidRPr="00F367CF">
            <w:rPr>
              <w:rFonts w:ascii="Cambria" w:hAnsi="Cambria"/>
            </w:rPr>
            <w:fldChar w:fldCharType="begin"/>
          </w:r>
          <w:r w:rsidR="004B4117" w:rsidRPr="00F367CF">
            <w:rPr>
              <w:rFonts w:ascii="Cambria" w:hAnsi="Cambria"/>
            </w:rPr>
            <w:instrText xml:space="preserve">CITATION Inn17 \l 1033 </w:instrText>
          </w:r>
          <w:r w:rsidR="004B4117" w:rsidRPr="00F367CF">
            <w:rPr>
              <w:rFonts w:ascii="Cambria" w:hAnsi="Cambria"/>
            </w:rPr>
            <w:fldChar w:fldCharType="separate"/>
          </w:r>
          <w:r w:rsidR="004B4117" w:rsidRPr="00F367CF">
            <w:rPr>
              <w:rFonts w:ascii="Cambria" w:hAnsi="Cambria"/>
              <w:noProof/>
            </w:rPr>
            <w:t>(Innovation Policy for Inclusive Sustainable Development in the Arab Region 2017)</w:t>
          </w:r>
          <w:r w:rsidR="004B4117" w:rsidRPr="00F367CF">
            <w:rPr>
              <w:rFonts w:ascii="Cambria" w:hAnsi="Cambria"/>
            </w:rPr>
            <w:fldChar w:fldCharType="end"/>
          </w:r>
        </w:sdtContent>
      </w:sdt>
      <w:r w:rsidR="007A78F5" w:rsidRPr="00F367CF">
        <w:rPr>
          <w:rFonts w:ascii="Cambria" w:hAnsi="Cambria"/>
        </w:rPr>
        <w:t xml:space="preserve">. </w:t>
      </w:r>
    </w:p>
    <w:p w14:paraId="43AB69EB" w14:textId="77777777" w:rsidR="00CD04EB" w:rsidRPr="00F367CF" w:rsidRDefault="00CD04EB" w:rsidP="00576398">
      <w:pPr>
        <w:ind w:firstLine="720"/>
        <w:rPr>
          <w:rFonts w:ascii="Cambria" w:hAnsi="Cambria"/>
        </w:rPr>
      </w:pPr>
    </w:p>
    <w:p w14:paraId="19B8275A" w14:textId="4FE3041D" w:rsidR="004B74FC" w:rsidRPr="00F367CF" w:rsidRDefault="004B4117" w:rsidP="00576398">
      <w:pPr>
        <w:ind w:firstLine="720"/>
        <w:rPr>
          <w:rFonts w:ascii="Cambria" w:hAnsi="Cambria"/>
        </w:rPr>
      </w:pPr>
      <w:r w:rsidRPr="00F367CF">
        <w:rPr>
          <w:rFonts w:ascii="Cambria" w:hAnsi="Cambria"/>
        </w:rPr>
        <w:t xml:space="preserve">Another UNESCWA report </w:t>
      </w:r>
      <w:r w:rsidR="00363B7D" w:rsidRPr="00F367CF">
        <w:rPr>
          <w:rFonts w:ascii="Cambria" w:hAnsi="Cambria"/>
        </w:rPr>
        <w:t xml:space="preserve">on </w:t>
      </w:r>
      <w:r w:rsidR="00363B7D" w:rsidRPr="00F367CF">
        <w:rPr>
          <w:rFonts w:ascii="Cambria" w:hAnsi="Cambria"/>
          <w:i/>
        </w:rPr>
        <w:t>The Digital Economy and the Arab Region</w:t>
      </w:r>
      <w:r w:rsidR="00576398" w:rsidRPr="00F367CF">
        <w:rPr>
          <w:rFonts w:ascii="Cambria" w:hAnsi="Cambria"/>
        </w:rPr>
        <w:t xml:space="preserve"> explains that </w:t>
      </w:r>
      <w:r w:rsidR="005D7E9F" w:rsidRPr="00F367CF">
        <w:rPr>
          <w:rFonts w:ascii="Cambria" w:hAnsi="Cambria"/>
        </w:rPr>
        <w:t>information and communication technology</w:t>
      </w:r>
      <w:r w:rsidR="007E4957" w:rsidRPr="00F367CF">
        <w:rPr>
          <w:rFonts w:ascii="Cambria" w:hAnsi="Cambria"/>
        </w:rPr>
        <w:t xml:space="preserve"> employment </w:t>
      </w:r>
      <w:r w:rsidR="006B3FA3" w:rsidRPr="00F367CF">
        <w:rPr>
          <w:rFonts w:ascii="Cambria" w:hAnsi="Cambria"/>
        </w:rPr>
        <w:t xml:space="preserve">has increased over the last decade in the MENA region. </w:t>
      </w:r>
      <w:r w:rsidR="00DC3157" w:rsidRPr="00F367CF">
        <w:rPr>
          <w:rFonts w:ascii="Cambria" w:hAnsi="Cambria"/>
        </w:rPr>
        <w:t>The digital economy and the pervasive use of ICTs has led to expanded opportunities</w:t>
      </w:r>
      <w:r w:rsidR="007D5E03" w:rsidRPr="00F367CF">
        <w:rPr>
          <w:rFonts w:ascii="Cambria" w:hAnsi="Cambria"/>
        </w:rPr>
        <w:t xml:space="preserve"> and improved</w:t>
      </w:r>
      <w:r w:rsidR="0079311F" w:rsidRPr="00F367CF">
        <w:rPr>
          <w:rFonts w:ascii="Cambria" w:hAnsi="Cambria"/>
        </w:rPr>
        <w:t xml:space="preserve"> productivity</w:t>
      </w:r>
      <w:r w:rsidR="00DC3157" w:rsidRPr="00F367CF">
        <w:rPr>
          <w:rFonts w:ascii="Cambria" w:hAnsi="Cambria"/>
        </w:rPr>
        <w:t xml:space="preserve">. </w:t>
      </w:r>
      <w:r w:rsidR="005C585E" w:rsidRPr="00F367CF">
        <w:rPr>
          <w:rFonts w:ascii="Cambria" w:hAnsi="Cambria"/>
        </w:rPr>
        <w:t xml:space="preserve">This report </w:t>
      </w:r>
      <w:r w:rsidR="0079311F" w:rsidRPr="00F367CF">
        <w:rPr>
          <w:rFonts w:ascii="Cambria" w:hAnsi="Cambria"/>
        </w:rPr>
        <w:t xml:space="preserve">is able to </w:t>
      </w:r>
      <w:r w:rsidR="005C585E" w:rsidRPr="00F367CF">
        <w:rPr>
          <w:rFonts w:ascii="Cambria" w:hAnsi="Cambria"/>
        </w:rPr>
        <w:t xml:space="preserve">effectively prove that ICT use has increased over the last </w:t>
      </w:r>
      <w:r w:rsidR="007D5E03" w:rsidRPr="00F367CF">
        <w:rPr>
          <w:rFonts w:ascii="Cambria" w:hAnsi="Cambria"/>
        </w:rPr>
        <w:t>decade</w:t>
      </w:r>
      <w:r w:rsidR="0079311F" w:rsidRPr="00F367CF">
        <w:rPr>
          <w:rFonts w:ascii="Cambria" w:hAnsi="Cambria"/>
        </w:rPr>
        <w:t xml:space="preserve"> in the MENA region</w:t>
      </w:r>
      <w:r w:rsidR="007D5E03" w:rsidRPr="00F367CF">
        <w:rPr>
          <w:rFonts w:ascii="Cambria" w:hAnsi="Cambria"/>
        </w:rPr>
        <w:t xml:space="preserve"> but</w:t>
      </w:r>
      <w:r w:rsidR="005C585E" w:rsidRPr="00F367CF">
        <w:rPr>
          <w:rFonts w:ascii="Cambria" w:hAnsi="Cambria"/>
        </w:rPr>
        <w:t xml:space="preserve"> fails to prove that </w:t>
      </w:r>
      <w:r w:rsidR="00570B43" w:rsidRPr="00F367CF">
        <w:rPr>
          <w:rFonts w:ascii="Cambria" w:hAnsi="Cambria"/>
        </w:rPr>
        <w:t xml:space="preserve">the digital economy is </w:t>
      </w:r>
      <w:r w:rsidR="0079311F" w:rsidRPr="00F367CF">
        <w:rPr>
          <w:rFonts w:ascii="Cambria" w:hAnsi="Cambria"/>
        </w:rPr>
        <w:t>related</w:t>
      </w:r>
      <w:r w:rsidR="00570B43" w:rsidRPr="00F367CF">
        <w:rPr>
          <w:rFonts w:ascii="Cambria" w:hAnsi="Cambria"/>
        </w:rPr>
        <w:t xml:space="preserve"> to GDP growth</w:t>
      </w:r>
      <w:r w:rsidR="0079311F" w:rsidRPr="00F367CF">
        <w:rPr>
          <w:rFonts w:ascii="Cambria" w:hAnsi="Cambria"/>
        </w:rPr>
        <w:t xml:space="preserve">. </w:t>
      </w:r>
    </w:p>
    <w:p w14:paraId="5321A147" w14:textId="4C350B57" w:rsidR="00C86EB1" w:rsidRPr="00F367CF" w:rsidRDefault="00C86EB1" w:rsidP="00576398">
      <w:pPr>
        <w:ind w:firstLine="720"/>
        <w:rPr>
          <w:rFonts w:ascii="Cambria" w:hAnsi="Cambria"/>
        </w:rPr>
      </w:pPr>
    </w:p>
    <w:p w14:paraId="3BE47D31" w14:textId="77777777" w:rsidR="000C2F06" w:rsidRPr="00F367CF" w:rsidRDefault="003A1AC8" w:rsidP="00576398">
      <w:pPr>
        <w:ind w:firstLine="720"/>
        <w:rPr>
          <w:rFonts w:ascii="Cambria" w:hAnsi="Cambria"/>
        </w:rPr>
      </w:pPr>
      <w:r w:rsidRPr="00F367CF">
        <w:rPr>
          <w:rFonts w:ascii="Cambria" w:hAnsi="Cambria"/>
        </w:rPr>
        <w:t>Recently</w:t>
      </w:r>
      <w:r w:rsidR="0011094F" w:rsidRPr="00F367CF">
        <w:rPr>
          <w:rFonts w:ascii="Cambria" w:hAnsi="Cambria"/>
        </w:rPr>
        <w:t>, news media has been fascinated with the MENA tech boom</w:t>
      </w:r>
      <w:r w:rsidR="00BF1EBD" w:rsidRPr="00F367CF">
        <w:rPr>
          <w:rFonts w:ascii="Cambria" w:hAnsi="Cambria"/>
        </w:rPr>
        <w:t xml:space="preserve">. </w:t>
      </w:r>
      <w:r w:rsidR="00902B92" w:rsidRPr="00F367CF">
        <w:rPr>
          <w:rFonts w:ascii="Cambria" w:hAnsi="Cambria"/>
        </w:rPr>
        <w:t xml:space="preserve">Reporters often write about how technology is at the </w:t>
      </w:r>
      <w:r w:rsidR="006D3BE6" w:rsidRPr="00F367CF">
        <w:rPr>
          <w:rFonts w:ascii="Cambria" w:hAnsi="Cambria"/>
        </w:rPr>
        <w:t xml:space="preserve">forefront of the region’s momentum </w:t>
      </w:r>
      <w:sdt>
        <w:sdtPr>
          <w:rPr>
            <w:rFonts w:ascii="Cambria" w:hAnsi="Cambria"/>
          </w:rPr>
          <w:id w:val="-1903279893"/>
          <w:citation/>
        </w:sdtPr>
        <w:sdtEndPr/>
        <w:sdtContent>
          <w:r w:rsidR="006D3BE6" w:rsidRPr="00F367CF">
            <w:rPr>
              <w:rFonts w:ascii="Cambria" w:hAnsi="Cambria"/>
            </w:rPr>
            <w:fldChar w:fldCharType="begin"/>
          </w:r>
          <w:r w:rsidR="006D3BE6" w:rsidRPr="00F367CF">
            <w:rPr>
              <w:rFonts w:ascii="Cambria" w:hAnsi="Cambria"/>
            </w:rPr>
            <w:instrText xml:space="preserve"> CITATION Reg16 \l 1033 </w:instrText>
          </w:r>
          <w:r w:rsidR="006D3BE6" w:rsidRPr="00F367CF">
            <w:rPr>
              <w:rFonts w:ascii="Cambria" w:hAnsi="Cambria"/>
            </w:rPr>
            <w:fldChar w:fldCharType="separate"/>
          </w:r>
          <w:r w:rsidR="006D3BE6" w:rsidRPr="00F367CF">
            <w:rPr>
              <w:rFonts w:ascii="Cambria" w:hAnsi="Cambria"/>
              <w:noProof/>
            </w:rPr>
            <w:t>(Bradford 2016)</w:t>
          </w:r>
          <w:r w:rsidR="006D3BE6" w:rsidRPr="00F367CF">
            <w:rPr>
              <w:rFonts w:ascii="Cambria" w:hAnsi="Cambria"/>
            </w:rPr>
            <w:fldChar w:fldCharType="end"/>
          </w:r>
        </w:sdtContent>
      </w:sdt>
      <w:r w:rsidR="006D3BE6" w:rsidRPr="00F367CF">
        <w:rPr>
          <w:rFonts w:ascii="Cambria" w:hAnsi="Cambria"/>
        </w:rPr>
        <w:t>.</w:t>
      </w:r>
      <w:r w:rsidR="00155227" w:rsidRPr="00F367CF">
        <w:rPr>
          <w:rFonts w:ascii="Cambria" w:hAnsi="Cambria"/>
        </w:rPr>
        <w:t xml:space="preserve"> The region is coming to be regarded as </w:t>
      </w:r>
      <w:r w:rsidR="00632A33" w:rsidRPr="00F367CF">
        <w:rPr>
          <w:rFonts w:ascii="Cambria" w:hAnsi="Cambria"/>
        </w:rPr>
        <w:t xml:space="preserve">an “untapped, </w:t>
      </w:r>
      <w:r w:rsidR="00B1623E" w:rsidRPr="00F367CF">
        <w:rPr>
          <w:rFonts w:ascii="Cambria" w:hAnsi="Cambria"/>
        </w:rPr>
        <w:t xml:space="preserve">rapidly </w:t>
      </w:r>
      <w:r w:rsidR="00632A33" w:rsidRPr="00F367CF">
        <w:rPr>
          <w:rFonts w:ascii="Cambria" w:hAnsi="Cambria"/>
        </w:rPr>
        <w:t>growing opportunity</w:t>
      </w:r>
      <w:r w:rsidR="00B1623E" w:rsidRPr="00F367CF">
        <w:rPr>
          <w:rFonts w:ascii="Cambria" w:hAnsi="Cambria"/>
        </w:rPr>
        <w:t xml:space="preserve">,” with </w:t>
      </w:r>
      <w:r w:rsidR="004767D7" w:rsidRPr="00F367CF">
        <w:rPr>
          <w:rFonts w:ascii="Cambria" w:hAnsi="Cambria"/>
        </w:rPr>
        <w:t xml:space="preserve">%815 million invested into MENA startups in 2016, which saw a </w:t>
      </w:r>
      <w:r w:rsidR="00E21155" w:rsidRPr="00F367CF">
        <w:rPr>
          <w:rFonts w:ascii="Cambria" w:hAnsi="Cambria"/>
        </w:rPr>
        <w:t>70% increase in the value of tech investments in the region</w:t>
      </w:r>
      <w:r w:rsidR="00B1623E" w:rsidRPr="00F367CF">
        <w:rPr>
          <w:rFonts w:ascii="Cambria" w:hAnsi="Cambria"/>
        </w:rPr>
        <w:t xml:space="preserve"> </w:t>
      </w:r>
      <w:sdt>
        <w:sdtPr>
          <w:rPr>
            <w:rFonts w:ascii="Cambria" w:hAnsi="Cambria"/>
          </w:rPr>
          <w:id w:val="-1362365353"/>
          <w:citation/>
        </w:sdtPr>
        <w:sdtEndPr/>
        <w:sdtContent>
          <w:r w:rsidR="00632A33" w:rsidRPr="00F367CF">
            <w:rPr>
              <w:rFonts w:ascii="Cambria" w:hAnsi="Cambria"/>
            </w:rPr>
            <w:fldChar w:fldCharType="begin"/>
          </w:r>
          <w:r w:rsidR="00632A33" w:rsidRPr="00F367CF">
            <w:rPr>
              <w:rFonts w:ascii="Cambria" w:hAnsi="Cambria"/>
            </w:rPr>
            <w:instrText xml:space="preserve"> CITATION Sam17 \l 1033 </w:instrText>
          </w:r>
          <w:r w:rsidR="00632A33" w:rsidRPr="00F367CF">
            <w:rPr>
              <w:rFonts w:ascii="Cambria" w:hAnsi="Cambria"/>
            </w:rPr>
            <w:fldChar w:fldCharType="separate"/>
          </w:r>
          <w:r w:rsidR="00632A33" w:rsidRPr="00F367CF">
            <w:rPr>
              <w:rFonts w:ascii="Cambria" w:hAnsi="Cambria"/>
              <w:noProof/>
            </w:rPr>
            <w:t>(Blatteis 2017)</w:t>
          </w:r>
          <w:r w:rsidR="00632A33" w:rsidRPr="00F367CF">
            <w:rPr>
              <w:rFonts w:ascii="Cambria" w:hAnsi="Cambria"/>
            </w:rPr>
            <w:fldChar w:fldCharType="end"/>
          </w:r>
        </w:sdtContent>
      </w:sdt>
      <w:r w:rsidR="00632A33" w:rsidRPr="00F367CF">
        <w:rPr>
          <w:rFonts w:ascii="Cambria" w:hAnsi="Cambria"/>
        </w:rPr>
        <w:t>.</w:t>
      </w:r>
      <w:r w:rsidR="00E21155" w:rsidRPr="00F367CF">
        <w:rPr>
          <w:rFonts w:ascii="Cambria" w:hAnsi="Cambria"/>
        </w:rPr>
        <w:t xml:space="preserve"> The spread of digital </w:t>
      </w:r>
      <w:r w:rsidR="002763C5" w:rsidRPr="00F367CF">
        <w:rPr>
          <w:rFonts w:ascii="Cambria" w:hAnsi="Cambria"/>
        </w:rPr>
        <w:t xml:space="preserve">technology in </w:t>
      </w:r>
      <w:r w:rsidR="002763C5" w:rsidRPr="00F367CF">
        <w:rPr>
          <w:rFonts w:ascii="Cambria" w:hAnsi="Cambria"/>
        </w:rPr>
        <w:lastRenderedPageBreak/>
        <w:t>the MENA region has greatly encouraged entrepreneurship, which is essential to economic growth</w:t>
      </w:r>
      <w:r w:rsidR="00FA7C1C" w:rsidRPr="00F367CF">
        <w:rPr>
          <w:rFonts w:ascii="Cambria" w:hAnsi="Cambria"/>
        </w:rPr>
        <w:t xml:space="preserve"> </w:t>
      </w:r>
      <w:sdt>
        <w:sdtPr>
          <w:rPr>
            <w:rFonts w:ascii="Cambria" w:hAnsi="Cambria"/>
          </w:rPr>
          <w:id w:val="588811742"/>
          <w:citation/>
        </w:sdtPr>
        <w:sdtEndPr/>
        <w:sdtContent>
          <w:r w:rsidR="00FA7C1C" w:rsidRPr="00F367CF">
            <w:rPr>
              <w:rFonts w:ascii="Cambria" w:hAnsi="Cambria"/>
            </w:rPr>
            <w:fldChar w:fldCharType="begin"/>
          </w:r>
          <w:r w:rsidR="00FA7C1C" w:rsidRPr="00F367CF">
            <w:rPr>
              <w:rFonts w:ascii="Cambria" w:hAnsi="Cambria"/>
            </w:rPr>
            <w:instrText xml:space="preserve"> CITATION Fad12 \l 1033 </w:instrText>
          </w:r>
          <w:r w:rsidR="00FA7C1C" w:rsidRPr="00F367CF">
            <w:rPr>
              <w:rFonts w:ascii="Cambria" w:hAnsi="Cambria"/>
            </w:rPr>
            <w:fldChar w:fldCharType="separate"/>
          </w:r>
          <w:r w:rsidR="00FA7C1C" w:rsidRPr="00F367CF">
            <w:rPr>
              <w:rFonts w:ascii="Cambria" w:hAnsi="Cambria"/>
              <w:noProof/>
            </w:rPr>
            <w:t>(Ghandour 2012)</w:t>
          </w:r>
          <w:r w:rsidR="00FA7C1C" w:rsidRPr="00F367CF">
            <w:rPr>
              <w:rFonts w:ascii="Cambria" w:hAnsi="Cambria"/>
            </w:rPr>
            <w:fldChar w:fldCharType="end"/>
          </w:r>
        </w:sdtContent>
      </w:sdt>
      <w:r w:rsidR="00FA7C1C" w:rsidRPr="00F367CF">
        <w:rPr>
          <w:rFonts w:ascii="Cambria" w:hAnsi="Cambria"/>
        </w:rPr>
        <w:t>.</w:t>
      </w:r>
      <w:r w:rsidR="002A5B9B" w:rsidRPr="00F367CF">
        <w:rPr>
          <w:rFonts w:ascii="Cambria" w:hAnsi="Cambria"/>
        </w:rPr>
        <w:t xml:space="preserve"> </w:t>
      </w:r>
    </w:p>
    <w:p w14:paraId="220B4280" w14:textId="77777777" w:rsidR="00CD04EB" w:rsidRPr="00F367CF" w:rsidRDefault="00CD04EB" w:rsidP="00576398">
      <w:pPr>
        <w:ind w:firstLine="720"/>
        <w:rPr>
          <w:rFonts w:ascii="Cambria" w:hAnsi="Cambria"/>
        </w:rPr>
      </w:pPr>
    </w:p>
    <w:p w14:paraId="2502F215" w14:textId="0205A602" w:rsidR="00CD04EB" w:rsidRPr="00F367CF" w:rsidRDefault="002A5B9B" w:rsidP="00CD04EB">
      <w:pPr>
        <w:ind w:firstLine="720"/>
        <w:rPr>
          <w:rFonts w:ascii="Cambria" w:hAnsi="Cambria"/>
        </w:rPr>
      </w:pPr>
      <w:r w:rsidRPr="00F367CF">
        <w:rPr>
          <w:rFonts w:ascii="Cambria" w:hAnsi="Cambria"/>
        </w:rPr>
        <w:t xml:space="preserve">The </w:t>
      </w:r>
      <w:r w:rsidR="007B21F7" w:rsidRPr="00F367CF">
        <w:rPr>
          <w:rFonts w:ascii="Cambria" w:hAnsi="Cambria"/>
        </w:rPr>
        <w:t>MENA region is positioning</w:t>
      </w:r>
      <w:r w:rsidR="000C2F06" w:rsidRPr="00F367CF">
        <w:rPr>
          <w:rFonts w:ascii="Cambria" w:hAnsi="Cambria"/>
        </w:rPr>
        <w:t xml:space="preserve"> itself</w:t>
      </w:r>
      <w:r w:rsidR="007E18BF" w:rsidRPr="00F367CF">
        <w:rPr>
          <w:rFonts w:ascii="Cambria" w:hAnsi="Cambria"/>
        </w:rPr>
        <w:t xml:space="preserve"> as a hub for innovation and growth</w:t>
      </w:r>
      <w:r w:rsidR="003F7588">
        <w:rPr>
          <w:rFonts w:ascii="Cambria" w:hAnsi="Cambria"/>
        </w:rPr>
        <w:t>.</w:t>
      </w:r>
      <w:r w:rsidR="007E18BF" w:rsidRPr="00F367CF">
        <w:rPr>
          <w:rFonts w:ascii="Cambria" w:hAnsi="Cambria"/>
        </w:rPr>
        <w:t xml:space="preserve"> </w:t>
      </w:r>
      <w:r w:rsidR="003F7588">
        <w:rPr>
          <w:rFonts w:ascii="Cambria" w:hAnsi="Cambria"/>
        </w:rPr>
        <w:t>This has produced a</w:t>
      </w:r>
      <w:r w:rsidRPr="00F367CF">
        <w:rPr>
          <w:rFonts w:ascii="Cambria" w:hAnsi="Cambria"/>
        </w:rPr>
        <w:t xml:space="preserve"> high level of e</w:t>
      </w:r>
      <w:r w:rsidR="003F7588">
        <w:rPr>
          <w:rFonts w:ascii="Cambria" w:hAnsi="Cambria"/>
        </w:rPr>
        <w:t>ntrepreneurial activity and availability</w:t>
      </w:r>
      <w:r w:rsidRPr="00F367CF">
        <w:rPr>
          <w:rFonts w:ascii="Cambria" w:hAnsi="Cambria"/>
        </w:rPr>
        <w:t xml:space="preserve"> technologies that </w:t>
      </w:r>
      <w:r w:rsidR="003F7588">
        <w:rPr>
          <w:rFonts w:ascii="Cambria" w:hAnsi="Cambria"/>
        </w:rPr>
        <w:t>lower</w:t>
      </w:r>
      <w:r w:rsidRPr="00F367CF">
        <w:rPr>
          <w:rFonts w:ascii="Cambria" w:hAnsi="Cambria"/>
        </w:rPr>
        <w:t xml:space="preserve"> the costs and barriers to starting a business.</w:t>
      </w:r>
      <w:r w:rsidR="00C67863" w:rsidRPr="00F367CF">
        <w:rPr>
          <w:rFonts w:ascii="Cambria" w:hAnsi="Cambria"/>
        </w:rPr>
        <w:t xml:space="preserve"> This analysis suggests that perhaps the MENA region </w:t>
      </w:r>
      <w:r w:rsidR="00F06BCE" w:rsidRPr="00F367CF">
        <w:rPr>
          <w:rFonts w:ascii="Cambria" w:hAnsi="Cambria"/>
        </w:rPr>
        <w:t xml:space="preserve">has not yet seen the full effects of the technological boom. </w:t>
      </w:r>
      <w:r w:rsidR="00F52889" w:rsidRPr="00F367CF">
        <w:rPr>
          <w:rFonts w:ascii="Cambria" w:hAnsi="Cambria"/>
        </w:rPr>
        <w:t xml:space="preserve">It is possible that economic growth </w:t>
      </w:r>
      <w:r w:rsidR="00143802" w:rsidRPr="00F367CF">
        <w:rPr>
          <w:rFonts w:ascii="Cambria" w:hAnsi="Cambria"/>
        </w:rPr>
        <w:t xml:space="preserve">will be a long-term result of the tech boom and the entrepreneurship opportunities it has created. </w:t>
      </w:r>
    </w:p>
    <w:p w14:paraId="2818E390" w14:textId="77777777" w:rsidR="006D3A02" w:rsidRPr="00F367CF" w:rsidRDefault="006D3A02">
      <w:pPr>
        <w:rPr>
          <w:rFonts w:ascii="Cambria" w:hAnsi="Cambria"/>
          <w:b/>
        </w:rPr>
      </w:pPr>
    </w:p>
    <w:p w14:paraId="34D97280" w14:textId="7222A1C9" w:rsidR="00A80275" w:rsidRPr="00F367CF" w:rsidRDefault="00923760" w:rsidP="00CD04EB">
      <w:pPr>
        <w:pStyle w:val="Heading1"/>
        <w:rPr>
          <w:rFonts w:ascii="Cambria" w:hAnsi="Cambria"/>
        </w:rPr>
      </w:pPr>
      <w:r w:rsidRPr="00F367CF">
        <w:rPr>
          <w:rFonts w:ascii="Cambria" w:hAnsi="Cambria"/>
        </w:rPr>
        <w:t>METHOD</w:t>
      </w:r>
    </w:p>
    <w:p w14:paraId="7BC2FCBA" w14:textId="77777777" w:rsidR="00923760" w:rsidRPr="00F367CF" w:rsidRDefault="00923760">
      <w:pPr>
        <w:rPr>
          <w:rFonts w:ascii="Cambria" w:hAnsi="Cambria"/>
        </w:rPr>
      </w:pPr>
    </w:p>
    <w:p w14:paraId="2AA98610" w14:textId="0058E58E" w:rsidR="00923760" w:rsidRPr="00F367CF" w:rsidRDefault="003600F2" w:rsidP="003600F2">
      <w:pPr>
        <w:ind w:firstLine="720"/>
        <w:rPr>
          <w:rFonts w:ascii="Cambria" w:hAnsi="Cambria"/>
        </w:rPr>
      </w:pPr>
      <w:r w:rsidRPr="00F367CF">
        <w:rPr>
          <w:rFonts w:ascii="Cambria" w:hAnsi="Cambria"/>
        </w:rPr>
        <w:t>As previously stated, the purpose of this study is to examine the statistical relationship between economic growth and indicators of science, technology, and innovation.</w:t>
      </w:r>
      <w:r w:rsidR="00963FF5" w:rsidRPr="00F367CF">
        <w:rPr>
          <w:rFonts w:ascii="Cambria" w:hAnsi="Cambria"/>
        </w:rPr>
        <w:t xml:space="preserve"> </w:t>
      </w:r>
      <w:r w:rsidR="002C4765" w:rsidRPr="00F367CF">
        <w:rPr>
          <w:rFonts w:ascii="Cambria" w:hAnsi="Cambria"/>
        </w:rPr>
        <w:t>To perform this task, 155</w:t>
      </w:r>
      <w:r w:rsidR="00D02C63" w:rsidRPr="00F367CF">
        <w:rPr>
          <w:rFonts w:ascii="Cambria" w:hAnsi="Cambria"/>
        </w:rPr>
        <w:t xml:space="preserve"> regressions were </w:t>
      </w:r>
      <w:r w:rsidR="003F7588">
        <w:rPr>
          <w:rFonts w:ascii="Cambria" w:hAnsi="Cambria"/>
        </w:rPr>
        <w:t>calculated</w:t>
      </w:r>
      <w:r w:rsidR="002C4765" w:rsidRPr="00F367CF">
        <w:rPr>
          <w:rFonts w:ascii="Cambria" w:hAnsi="Cambria"/>
        </w:rPr>
        <w:t xml:space="preserve"> </w:t>
      </w:r>
      <w:r w:rsidR="00790B20" w:rsidRPr="00F367CF">
        <w:rPr>
          <w:rFonts w:ascii="Cambria" w:hAnsi="Cambria"/>
        </w:rPr>
        <w:t>using</w:t>
      </w:r>
      <w:r w:rsidR="002C4765" w:rsidRPr="00F367CF">
        <w:rPr>
          <w:rFonts w:ascii="Cambria" w:hAnsi="Cambria"/>
        </w:rPr>
        <w:t xml:space="preserve"> </w:t>
      </w:r>
      <w:r w:rsidR="002C4D03" w:rsidRPr="00F367CF">
        <w:rPr>
          <w:rFonts w:ascii="Cambria" w:hAnsi="Cambria"/>
        </w:rPr>
        <w:t>15</w:t>
      </w:r>
      <w:r w:rsidR="002C4765" w:rsidRPr="00F367CF">
        <w:rPr>
          <w:rFonts w:ascii="Cambria" w:hAnsi="Cambria"/>
        </w:rPr>
        <w:t xml:space="preserve"> </w:t>
      </w:r>
      <w:r w:rsidR="00790B20" w:rsidRPr="00F367CF">
        <w:rPr>
          <w:rFonts w:ascii="Cambria" w:hAnsi="Cambria"/>
        </w:rPr>
        <w:t>indicators and 29 countries over the past 69 years.</w:t>
      </w:r>
      <w:r w:rsidR="00457F15" w:rsidRPr="00F367CF">
        <w:rPr>
          <w:rFonts w:ascii="Cambria" w:hAnsi="Cambria"/>
        </w:rPr>
        <w:t xml:space="preserve"> </w:t>
      </w:r>
      <w:r w:rsidR="00157398" w:rsidRPr="00F367CF">
        <w:rPr>
          <w:rFonts w:ascii="Cambria" w:hAnsi="Cambria"/>
        </w:rPr>
        <w:t>D</w:t>
      </w:r>
      <w:r w:rsidR="001103C9" w:rsidRPr="00F367CF">
        <w:rPr>
          <w:rFonts w:ascii="Cambria" w:hAnsi="Cambria"/>
        </w:rPr>
        <w:t>ata included i</w:t>
      </w:r>
      <w:r w:rsidR="003F7588">
        <w:rPr>
          <w:rFonts w:ascii="Cambria" w:hAnsi="Cambria"/>
        </w:rPr>
        <w:t>s based on data availability of</w:t>
      </w:r>
      <w:r w:rsidR="001103C9" w:rsidRPr="00F367CF">
        <w:rPr>
          <w:rFonts w:ascii="Cambria" w:hAnsi="Cambria"/>
        </w:rPr>
        <w:t xml:space="preserve"> STI indicators in MENA countries </w:t>
      </w:r>
      <w:r w:rsidR="00157398" w:rsidRPr="00F367CF">
        <w:rPr>
          <w:rFonts w:ascii="Cambria" w:hAnsi="Cambria"/>
        </w:rPr>
        <w:t>with</w:t>
      </w:r>
      <w:r w:rsidR="001103C9" w:rsidRPr="00F367CF">
        <w:rPr>
          <w:rFonts w:ascii="Cambria" w:hAnsi="Cambria"/>
        </w:rPr>
        <w:t xml:space="preserve">in the World Bank Database. </w:t>
      </w:r>
      <w:r w:rsidR="00790B20" w:rsidRPr="00F367CF">
        <w:rPr>
          <w:rFonts w:ascii="Cambria" w:hAnsi="Cambria"/>
        </w:rPr>
        <w:t xml:space="preserve"> </w:t>
      </w:r>
    </w:p>
    <w:p w14:paraId="1624DBE9" w14:textId="77777777" w:rsidR="00CD04EB" w:rsidRPr="00F367CF" w:rsidRDefault="00CD04EB" w:rsidP="003600F2">
      <w:pPr>
        <w:ind w:firstLine="720"/>
        <w:rPr>
          <w:rFonts w:ascii="Cambria" w:hAnsi="Cambria"/>
        </w:rPr>
      </w:pPr>
    </w:p>
    <w:p w14:paraId="2505CCB3" w14:textId="45C3E481" w:rsidR="005046C4" w:rsidRDefault="003B6E61" w:rsidP="00457F15">
      <w:pPr>
        <w:ind w:firstLine="720"/>
        <w:rPr>
          <w:rFonts w:ascii="Cambria" w:hAnsi="Cambria"/>
        </w:rPr>
      </w:pPr>
      <w:r w:rsidRPr="00F367CF">
        <w:rPr>
          <w:rFonts w:ascii="Cambria" w:hAnsi="Cambria"/>
        </w:rPr>
        <w:t xml:space="preserve">Since this is a broad survey, I included a large number of STI indicators. </w:t>
      </w:r>
      <w:r w:rsidR="00C87757" w:rsidRPr="00F367CF">
        <w:rPr>
          <w:rFonts w:ascii="Cambria" w:hAnsi="Cambria"/>
        </w:rPr>
        <w:t>Some indicators measure trade in STI, some measure investment, and others measure details such as the number of researche</w:t>
      </w:r>
      <w:r w:rsidR="003F7588">
        <w:rPr>
          <w:rFonts w:ascii="Cambria" w:hAnsi="Cambria"/>
        </w:rPr>
        <w:t>rs and technicians within a specific</w:t>
      </w:r>
      <w:r w:rsidR="00C87757" w:rsidRPr="00F367CF">
        <w:rPr>
          <w:rFonts w:ascii="Cambria" w:hAnsi="Cambria"/>
        </w:rPr>
        <w:t xml:space="preserve"> country. </w:t>
      </w:r>
    </w:p>
    <w:p w14:paraId="144598CC" w14:textId="77777777" w:rsidR="008224AC" w:rsidRPr="00F367CF" w:rsidRDefault="008224AC" w:rsidP="00457F15">
      <w:pPr>
        <w:ind w:firstLine="720"/>
        <w:rPr>
          <w:rFonts w:ascii="Cambria" w:hAnsi="Cambria"/>
        </w:rPr>
      </w:pPr>
    </w:p>
    <w:p w14:paraId="080966DE" w14:textId="2FC46968" w:rsidR="00640D7C" w:rsidRPr="00F367CF" w:rsidRDefault="003600F2" w:rsidP="00457F15">
      <w:pPr>
        <w:ind w:firstLine="720"/>
        <w:rPr>
          <w:rFonts w:ascii="Cambria" w:hAnsi="Cambria"/>
        </w:rPr>
      </w:pPr>
      <w:r w:rsidRPr="00F367CF">
        <w:rPr>
          <w:rFonts w:ascii="Cambria" w:hAnsi="Cambria"/>
        </w:rPr>
        <w:t>The independent (x) variables are as follows: Charges for intellectual property, High-tech exports, ICT goods exports, ICT goods imports, ICT service exports, Medium &amp; high-tech exports, Medium &amp; high-tech industry, Patent applications, Private Investment in ICT</w:t>
      </w:r>
      <w:r w:rsidR="00457F15" w:rsidRPr="00F367CF">
        <w:rPr>
          <w:rFonts w:ascii="Cambria" w:hAnsi="Cambria"/>
        </w:rPr>
        <w:t xml:space="preserve">, </w:t>
      </w:r>
      <w:r w:rsidRPr="00F367CF">
        <w:rPr>
          <w:rFonts w:ascii="Cambria" w:hAnsi="Cambria"/>
        </w:rPr>
        <w:t>Public-Private Investment in ICT, R&amp;D gov't expenditure, Researchers in R&amp;D, Scientific &amp; technical journal articles, Technicians in R&amp;D, Trademark applications.</w:t>
      </w:r>
      <w:r w:rsidR="00790B20" w:rsidRPr="00F367CF">
        <w:rPr>
          <w:rStyle w:val="EndnoteReference"/>
          <w:rFonts w:ascii="Cambria" w:hAnsi="Cambria"/>
        </w:rPr>
        <w:endnoteReference w:id="3"/>
      </w:r>
      <w:r w:rsidR="005046C4" w:rsidRPr="00F367CF">
        <w:rPr>
          <w:rFonts w:ascii="Cambria" w:hAnsi="Cambria"/>
        </w:rPr>
        <w:t xml:space="preserve"> </w:t>
      </w:r>
    </w:p>
    <w:p w14:paraId="1F15434D" w14:textId="77777777" w:rsidR="00CD04EB" w:rsidRPr="00F367CF" w:rsidRDefault="00CD04EB" w:rsidP="00457F15">
      <w:pPr>
        <w:ind w:firstLine="720"/>
        <w:rPr>
          <w:rFonts w:ascii="Cambria" w:hAnsi="Cambria"/>
        </w:rPr>
      </w:pPr>
    </w:p>
    <w:p w14:paraId="1D0C91C7" w14:textId="58DF2627" w:rsidR="00FB3CAE" w:rsidRPr="00F367CF" w:rsidRDefault="00FB3CAE" w:rsidP="00457F15">
      <w:pPr>
        <w:ind w:firstLine="720"/>
        <w:rPr>
          <w:rFonts w:ascii="Cambria" w:hAnsi="Cambria"/>
        </w:rPr>
      </w:pPr>
      <w:r w:rsidRPr="00F367CF">
        <w:rPr>
          <w:rFonts w:ascii="Cambria" w:hAnsi="Cambria"/>
        </w:rPr>
        <w:t xml:space="preserve">To represent economic growth, GDP growth is used as the dependent (y) variable in this study. This indicator </w:t>
      </w:r>
      <w:r w:rsidR="008435A1" w:rsidRPr="00F367CF">
        <w:rPr>
          <w:rFonts w:ascii="Cambria" w:hAnsi="Cambria"/>
        </w:rPr>
        <w:t>calculates</w:t>
      </w:r>
      <w:r w:rsidR="00CB5291" w:rsidRPr="00F367CF">
        <w:rPr>
          <w:rFonts w:ascii="Cambria" w:hAnsi="Cambria"/>
        </w:rPr>
        <w:t xml:space="preserve"> the difference in a nation’s GDP from one year to another. </w:t>
      </w:r>
      <w:r w:rsidR="008435A1" w:rsidRPr="00F367CF">
        <w:rPr>
          <w:rFonts w:ascii="Cambria" w:hAnsi="Cambria"/>
        </w:rPr>
        <w:t xml:space="preserve">By using GDP growth, we can gather information on </w:t>
      </w:r>
      <w:r w:rsidR="0000643B" w:rsidRPr="00F367CF">
        <w:rPr>
          <w:rFonts w:ascii="Cambria" w:hAnsi="Cambria"/>
        </w:rPr>
        <w:t xml:space="preserve">not the size of the economy, but the </w:t>
      </w:r>
      <w:r w:rsidR="0000643B" w:rsidRPr="00F367CF">
        <w:rPr>
          <w:rFonts w:ascii="Cambria" w:hAnsi="Cambria"/>
          <w:i/>
        </w:rPr>
        <w:t>growth</w:t>
      </w:r>
      <w:r w:rsidR="0000643B" w:rsidRPr="00F367CF">
        <w:rPr>
          <w:rFonts w:ascii="Cambria" w:hAnsi="Cambria"/>
        </w:rPr>
        <w:t xml:space="preserve"> of the economy. </w:t>
      </w:r>
    </w:p>
    <w:p w14:paraId="0DC3A9A8" w14:textId="77777777" w:rsidR="00CD04EB" w:rsidRPr="00F367CF" w:rsidRDefault="00CD04EB" w:rsidP="00457F15">
      <w:pPr>
        <w:ind w:firstLine="720"/>
        <w:rPr>
          <w:rFonts w:ascii="Cambria" w:hAnsi="Cambria"/>
        </w:rPr>
      </w:pPr>
    </w:p>
    <w:p w14:paraId="06E4C5A1" w14:textId="6248462C" w:rsidR="006060F3" w:rsidRPr="00F367CF" w:rsidRDefault="00BC0E9E" w:rsidP="00E8757D">
      <w:pPr>
        <w:ind w:firstLine="720"/>
        <w:rPr>
          <w:rFonts w:ascii="Cambria" w:hAnsi="Cambria"/>
        </w:rPr>
      </w:pPr>
      <w:r w:rsidRPr="00F367CF">
        <w:rPr>
          <w:rFonts w:ascii="Cambria" w:hAnsi="Cambria"/>
        </w:rPr>
        <w:t xml:space="preserve">First, </w:t>
      </w:r>
      <w:r w:rsidR="0037536A" w:rsidRPr="00F367CF">
        <w:rPr>
          <w:rFonts w:ascii="Cambria" w:hAnsi="Cambria"/>
        </w:rPr>
        <w:t xml:space="preserve">I gathered </w:t>
      </w:r>
      <w:r w:rsidRPr="00F367CF">
        <w:rPr>
          <w:rFonts w:ascii="Cambria" w:hAnsi="Cambria"/>
        </w:rPr>
        <w:t xml:space="preserve">all available data </w:t>
      </w:r>
      <w:r w:rsidR="00157398" w:rsidRPr="00F367CF">
        <w:rPr>
          <w:rFonts w:ascii="Cambria" w:hAnsi="Cambria"/>
        </w:rPr>
        <w:t xml:space="preserve">for each </w:t>
      </w:r>
      <w:r w:rsidRPr="00F367CF">
        <w:rPr>
          <w:rFonts w:ascii="Cambria" w:hAnsi="Cambria"/>
        </w:rPr>
        <w:t>indicator,</w:t>
      </w:r>
      <w:r w:rsidR="007D5211" w:rsidRPr="00F367CF">
        <w:rPr>
          <w:rFonts w:ascii="Cambria" w:hAnsi="Cambria"/>
        </w:rPr>
        <w:t xml:space="preserve"> each</w:t>
      </w:r>
      <w:r w:rsidRPr="00F367CF">
        <w:rPr>
          <w:rFonts w:ascii="Cambria" w:hAnsi="Cambria"/>
        </w:rPr>
        <w:t xml:space="preserve"> countr</w:t>
      </w:r>
      <w:r w:rsidR="0037536A" w:rsidRPr="00F367CF">
        <w:rPr>
          <w:rFonts w:ascii="Cambria" w:hAnsi="Cambria"/>
        </w:rPr>
        <w:t>y</w:t>
      </w:r>
      <w:r w:rsidRPr="00F367CF">
        <w:rPr>
          <w:rFonts w:ascii="Cambria" w:hAnsi="Cambria"/>
        </w:rPr>
        <w:t>, and</w:t>
      </w:r>
      <w:r w:rsidR="007D5211" w:rsidRPr="00F367CF">
        <w:rPr>
          <w:rFonts w:ascii="Cambria" w:hAnsi="Cambria"/>
        </w:rPr>
        <w:t xml:space="preserve"> for</w:t>
      </w:r>
      <w:r w:rsidR="0037536A" w:rsidRPr="00F367CF">
        <w:rPr>
          <w:rFonts w:ascii="Cambria" w:hAnsi="Cambria"/>
        </w:rPr>
        <w:t xml:space="preserve"> the</w:t>
      </w:r>
      <w:r w:rsidRPr="00F367CF">
        <w:rPr>
          <w:rFonts w:ascii="Cambria" w:hAnsi="Cambria"/>
        </w:rPr>
        <w:t xml:space="preserve"> time </w:t>
      </w:r>
      <w:r w:rsidR="008F7567" w:rsidRPr="00F367CF">
        <w:rPr>
          <w:rFonts w:ascii="Cambria" w:hAnsi="Cambria"/>
        </w:rPr>
        <w:t>period</w:t>
      </w:r>
      <w:r w:rsidR="0037536A" w:rsidRPr="00F367CF">
        <w:rPr>
          <w:rFonts w:ascii="Cambria" w:hAnsi="Cambria"/>
        </w:rPr>
        <w:t xml:space="preserve"> </w:t>
      </w:r>
      <w:r w:rsidR="008F7567" w:rsidRPr="00F367CF">
        <w:rPr>
          <w:rFonts w:ascii="Cambria" w:hAnsi="Cambria"/>
        </w:rPr>
        <w:t>included in th</w:t>
      </w:r>
      <w:r w:rsidR="0037536A" w:rsidRPr="00F367CF">
        <w:rPr>
          <w:rFonts w:ascii="Cambria" w:hAnsi="Cambria"/>
        </w:rPr>
        <w:t>is</w:t>
      </w:r>
      <w:r w:rsidR="008F7567" w:rsidRPr="00F367CF">
        <w:rPr>
          <w:rFonts w:ascii="Cambria" w:hAnsi="Cambria"/>
        </w:rPr>
        <w:t xml:space="preserve"> study</w:t>
      </w:r>
      <w:r w:rsidR="00850BE9" w:rsidRPr="00F367CF">
        <w:rPr>
          <w:rFonts w:ascii="Cambria" w:hAnsi="Cambria"/>
        </w:rPr>
        <w:t>.</w:t>
      </w:r>
      <w:r w:rsidR="00157398" w:rsidRPr="00F367CF">
        <w:rPr>
          <w:rFonts w:ascii="Cambria" w:hAnsi="Cambria"/>
        </w:rPr>
        <w:t xml:space="preserve"> </w:t>
      </w:r>
      <w:r w:rsidR="0037536A" w:rsidRPr="00F367CF">
        <w:rPr>
          <w:rFonts w:ascii="Cambria" w:hAnsi="Cambria"/>
        </w:rPr>
        <w:t>Then,</w:t>
      </w:r>
      <w:r w:rsidR="00850916" w:rsidRPr="00F367CF">
        <w:rPr>
          <w:rFonts w:ascii="Cambria" w:hAnsi="Cambria"/>
        </w:rPr>
        <w:t xml:space="preserve"> </w:t>
      </w:r>
      <w:r w:rsidR="0037536A" w:rsidRPr="00F367CF">
        <w:rPr>
          <w:rFonts w:ascii="Cambria" w:hAnsi="Cambria"/>
        </w:rPr>
        <w:t xml:space="preserve">I </w:t>
      </w:r>
      <w:r w:rsidR="00BF12B1" w:rsidRPr="00F367CF">
        <w:rPr>
          <w:rFonts w:ascii="Cambria" w:hAnsi="Cambria"/>
        </w:rPr>
        <w:t xml:space="preserve">performed </w:t>
      </w:r>
      <w:r w:rsidR="00850916" w:rsidRPr="00F367CF">
        <w:rPr>
          <w:rFonts w:ascii="Cambria" w:hAnsi="Cambria"/>
        </w:rPr>
        <w:t xml:space="preserve">155 </w:t>
      </w:r>
      <w:r w:rsidR="006228DD" w:rsidRPr="00F367CF">
        <w:rPr>
          <w:rFonts w:ascii="Cambria" w:hAnsi="Cambria"/>
        </w:rPr>
        <w:t xml:space="preserve">linear </w:t>
      </w:r>
      <w:r w:rsidR="00850916" w:rsidRPr="00F367CF">
        <w:rPr>
          <w:rFonts w:ascii="Cambria" w:hAnsi="Cambria"/>
        </w:rPr>
        <w:t>regressions</w:t>
      </w:r>
      <w:r w:rsidR="0037536A" w:rsidRPr="00F367CF">
        <w:rPr>
          <w:rFonts w:ascii="Cambria" w:hAnsi="Cambria"/>
        </w:rPr>
        <w:t xml:space="preserve"> </w:t>
      </w:r>
      <w:r w:rsidR="00BF12B1" w:rsidRPr="00F367CF">
        <w:rPr>
          <w:rFonts w:ascii="Cambria" w:hAnsi="Cambria"/>
        </w:rPr>
        <w:t>to examine</w:t>
      </w:r>
      <w:r w:rsidR="00850916" w:rsidRPr="00F367CF">
        <w:rPr>
          <w:rFonts w:ascii="Cambria" w:hAnsi="Cambria"/>
        </w:rPr>
        <w:t xml:space="preserve"> the </w:t>
      </w:r>
      <w:r w:rsidR="0037536A" w:rsidRPr="00F367CF">
        <w:rPr>
          <w:rFonts w:ascii="Cambria" w:hAnsi="Cambria"/>
        </w:rPr>
        <w:t xml:space="preserve">direction and strength of the </w:t>
      </w:r>
      <w:r w:rsidR="00850916" w:rsidRPr="00F367CF">
        <w:rPr>
          <w:rFonts w:ascii="Cambria" w:hAnsi="Cambria"/>
        </w:rPr>
        <w:t xml:space="preserve">relationship between STI </w:t>
      </w:r>
      <w:r w:rsidR="0037536A" w:rsidRPr="00F367CF">
        <w:rPr>
          <w:rFonts w:ascii="Cambria" w:hAnsi="Cambria"/>
        </w:rPr>
        <w:t xml:space="preserve">indicators </w:t>
      </w:r>
      <w:r w:rsidR="00850916" w:rsidRPr="00F367CF">
        <w:rPr>
          <w:rFonts w:ascii="Cambria" w:hAnsi="Cambria"/>
        </w:rPr>
        <w:t xml:space="preserve">and economic growth. </w:t>
      </w:r>
      <w:r w:rsidR="004A6526" w:rsidRPr="00F367CF">
        <w:rPr>
          <w:rFonts w:ascii="Cambria" w:hAnsi="Cambria"/>
        </w:rPr>
        <w:t xml:space="preserve">Finally, I gathered the results, which are included in the following section. </w:t>
      </w:r>
    </w:p>
    <w:p w14:paraId="43932371" w14:textId="77777777" w:rsidR="001F5C28" w:rsidRPr="00F367CF" w:rsidRDefault="001F5C28" w:rsidP="006060F3">
      <w:pPr>
        <w:rPr>
          <w:rFonts w:ascii="Cambria" w:hAnsi="Cambria"/>
        </w:rPr>
      </w:pPr>
    </w:p>
    <w:p w14:paraId="690CC14D" w14:textId="14770A6A" w:rsidR="005F0E84" w:rsidRPr="00F367CF" w:rsidRDefault="005F0E84" w:rsidP="00CD04EB">
      <w:pPr>
        <w:pStyle w:val="Heading1"/>
        <w:rPr>
          <w:rFonts w:ascii="Cambria" w:hAnsi="Cambria"/>
        </w:rPr>
      </w:pPr>
      <w:r w:rsidRPr="00F367CF">
        <w:rPr>
          <w:rFonts w:ascii="Cambria" w:hAnsi="Cambria"/>
        </w:rPr>
        <w:t>RESULTS</w:t>
      </w:r>
    </w:p>
    <w:p w14:paraId="28E47A5C" w14:textId="5C060D0E" w:rsidR="004F5BB2" w:rsidRPr="00F367CF" w:rsidRDefault="004F5BB2" w:rsidP="006060F3">
      <w:pPr>
        <w:rPr>
          <w:rFonts w:ascii="Cambria" w:hAnsi="Cambria"/>
        </w:rPr>
      </w:pPr>
      <w:r w:rsidRPr="00F367CF">
        <w:rPr>
          <w:rFonts w:ascii="Cambria" w:hAnsi="Cambria"/>
        </w:rPr>
        <w:fldChar w:fldCharType="begin"/>
      </w:r>
      <w:r w:rsidRPr="00F367CF">
        <w:rPr>
          <w:rFonts w:ascii="Cambria" w:hAnsi="Cambria"/>
        </w:rPr>
        <w:instrText xml:space="preserve"> LINK Excel.Sheet.12 "https://d.docs.live.net/d7dc7b4597667eb1/Conferences/WPSA/Data WPSA Conference.xlsx" "Summary!R3C13:R5C17" \a \f 4 \h  \* MERGEFORMAT </w:instrText>
      </w:r>
      <w:r w:rsidRPr="00F367CF">
        <w:rPr>
          <w:rFonts w:ascii="Cambria" w:hAnsi="Cambria"/>
        </w:rPr>
        <w:fldChar w:fldCharType="separate"/>
      </w:r>
    </w:p>
    <w:p w14:paraId="1941E981" w14:textId="3724C38B" w:rsidR="00DB42D3" w:rsidRPr="00F367CF" w:rsidRDefault="004F5BB2" w:rsidP="007D5211">
      <w:pPr>
        <w:ind w:firstLine="720"/>
        <w:rPr>
          <w:rFonts w:ascii="Cambria" w:hAnsi="Cambria"/>
        </w:rPr>
      </w:pPr>
      <w:r w:rsidRPr="00F367CF">
        <w:rPr>
          <w:rFonts w:ascii="Cambria" w:hAnsi="Cambria"/>
        </w:rPr>
        <w:fldChar w:fldCharType="end"/>
      </w:r>
      <w:r w:rsidR="00C04A1C" w:rsidRPr="00F367CF">
        <w:rPr>
          <w:rFonts w:ascii="Cambria" w:hAnsi="Cambria"/>
        </w:rPr>
        <w:t>Out of the 155 regressions ran</w:t>
      </w:r>
      <w:r w:rsidR="00C226D8" w:rsidRPr="00F367CF">
        <w:rPr>
          <w:rFonts w:ascii="Cambria" w:hAnsi="Cambria"/>
        </w:rPr>
        <w:t xml:space="preserve">, </w:t>
      </w:r>
      <w:r w:rsidR="002F4F6E" w:rsidRPr="00F367CF">
        <w:rPr>
          <w:rFonts w:ascii="Cambria" w:hAnsi="Cambria"/>
        </w:rPr>
        <w:t xml:space="preserve">125 of the regressions showed p-values </w:t>
      </w:r>
      <w:r w:rsidR="00C226D8" w:rsidRPr="00F367CF">
        <w:rPr>
          <w:rFonts w:ascii="Cambria" w:hAnsi="Cambria"/>
        </w:rPr>
        <w:t>under</w:t>
      </w:r>
      <w:r w:rsidR="002F4F6E" w:rsidRPr="00F367CF">
        <w:rPr>
          <w:rFonts w:ascii="Cambria" w:hAnsi="Cambria"/>
        </w:rPr>
        <w:t xml:space="preserve"> 0.05, </w:t>
      </w:r>
      <w:r w:rsidR="007D2806" w:rsidRPr="00F367CF">
        <w:rPr>
          <w:rFonts w:ascii="Cambria" w:hAnsi="Cambria"/>
        </w:rPr>
        <w:t>meaning</w:t>
      </w:r>
      <w:r w:rsidR="002F4F6E" w:rsidRPr="00F367CF">
        <w:rPr>
          <w:rFonts w:ascii="Cambria" w:hAnsi="Cambria"/>
        </w:rPr>
        <w:t xml:space="preserve"> that there is not a significant relationship between those 125 </w:t>
      </w:r>
      <w:r w:rsidR="002B1706" w:rsidRPr="00F367CF">
        <w:rPr>
          <w:rFonts w:ascii="Cambria" w:hAnsi="Cambria"/>
        </w:rPr>
        <w:t>STI indicators and GDP growth in the MENA region.</w:t>
      </w:r>
      <w:r w:rsidR="00C226D8" w:rsidRPr="00F367CF">
        <w:rPr>
          <w:rFonts w:ascii="Cambria" w:hAnsi="Cambria"/>
        </w:rPr>
        <w:t xml:space="preserve">  Only 30 of the regressions had a p-value of less than 0.05, </w:t>
      </w:r>
      <w:r w:rsidR="00C226D8" w:rsidRPr="00F367CF">
        <w:rPr>
          <w:rFonts w:ascii="Cambria" w:hAnsi="Cambria"/>
        </w:rPr>
        <w:lastRenderedPageBreak/>
        <w:t xml:space="preserve">meaning that only </w:t>
      </w:r>
      <w:r w:rsidR="0081783B" w:rsidRPr="00F367CF">
        <w:rPr>
          <w:rFonts w:ascii="Cambria" w:hAnsi="Cambria"/>
        </w:rPr>
        <w:t>30 regressions showed significance</w:t>
      </w:r>
      <w:r w:rsidR="00470D7E" w:rsidRPr="00F367CF">
        <w:rPr>
          <w:rFonts w:ascii="Cambria" w:hAnsi="Cambria"/>
        </w:rPr>
        <w:t>.</w:t>
      </w:r>
      <w:r w:rsidR="002431BD" w:rsidRPr="00F367CF">
        <w:rPr>
          <w:rFonts w:ascii="Cambria" w:hAnsi="Cambria"/>
        </w:rPr>
        <w:t xml:space="preserve"> </w:t>
      </w:r>
      <w:r w:rsidR="0081783B" w:rsidRPr="00F367CF">
        <w:rPr>
          <w:rFonts w:ascii="Cambria" w:hAnsi="Cambria"/>
        </w:rPr>
        <w:t xml:space="preserve"> </w:t>
      </w:r>
      <w:r w:rsidR="00CD04EB" w:rsidRPr="00F367CF">
        <w:rPr>
          <w:rFonts w:ascii="Cambria" w:hAnsi="Cambria"/>
        </w:rPr>
        <w:t xml:space="preserve">Figure 1 includes these 30 regressions. </w:t>
      </w:r>
      <w:r w:rsidR="00F80EBE" w:rsidRPr="00F367CF">
        <w:rPr>
          <w:rFonts w:ascii="Cambria" w:hAnsi="Cambria"/>
        </w:rPr>
        <w:t xml:space="preserve">These results </w:t>
      </w:r>
      <w:r w:rsidR="00E62C7B" w:rsidRPr="00F367CF">
        <w:rPr>
          <w:rFonts w:ascii="Cambria" w:hAnsi="Cambria"/>
        </w:rPr>
        <w:t>indicate</w:t>
      </w:r>
      <w:r w:rsidR="00585530" w:rsidRPr="00F367CF">
        <w:rPr>
          <w:rFonts w:ascii="Cambria" w:hAnsi="Cambria"/>
        </w:rPr>
        <w:t xml:space="preserve"> that the spread of science, technology, and i</w:t>
      </w:r>
      <w:r w:rsidR="00CD04EB" w:rsidRPr="00F367CF">
        <w:rPr>
          <w:rFonts w:ascii="Cambria" w:hAnsi="Cambria"/>
        </w:rPr>
        <w:t>nnovation in the MENA region is</w:t>
      </w:r>
      <w:r w:rsidR="00585530" w:rsidRPr="00F367CF">
        <w:rPr>
          <w:rFonts w:ascii="Cambria" w:hAnsi="Cambria"/>
        </w:rPr>
        <w:t xml:space="preserve"> c</w:t>
      </w:r>
      <w:r w:rsidR="00380FC3" w:rsidRPr="00F367CF">
        <w:rPr>
          <w:rFonts w:ascii="Cambria" w:hAnsi="Cambria"/>
        </w:rPr>
        <w:t>orrelated with economic growth.</w:t>
      </w:r>
      <w:r w:rsidR="00380FC3" w:rsidRPr="00F367CF">
        <w:rPr>
          <w:rStyle w:val="EndnoteReference"/>
          <w:rFonts w:ascii="Cambria" w:hAnsi="Cambria"/>
        </w:rPr>
        <w:endnoteReference w:id="4"/>
      </w:r>
    </w:p>
    <w:p w14:paraId="26504CDA" w14:textId="77777777" w:rsidR="00CD04EB" w:rsidRPr="00F367CF" w:rsidRDefault="00CD04EB" w:rsidP="007D5211">
      <w:pPr>
        <w:ind w:firstLine="720"/>
        <w:rPr>
          <w:rFonts w:ascii="Cambria" w:hAnsi="Cambria"/>
        </w:rPr>
      </w:pPr>
    </w:p>
    <w:p w14:paraId="07FCE93D" w14:textId="26DF4698" w:rsidR="00470D7E" w:rsidRPr="00F367CF" w:rsidRDefault="0060696C" w:rsidP="007D5211">
      <w:pPr>
        <w:ind w:firstLine="720"/>
        <w:rPr>
          <w:rFonts w:ascii="Cambria" w:hAnsi="Cambria"/>
        </w:rPr>
      </w:pPr>
      <w:r w:rsidRPr="00F367CF">
        <w:rPr>
          <w:rFonts w:ascii="Cambria" w:hAnsi="Cambria"/>
        </w:rPr>
        <w:t xml:space="preserve">In addition, out of the 30 regressions that showed significant results, </w:t>
      </w:r>
      <w:r w:rsidR="00FF643B" w:rsidRPr="00F367CF">
        <w:rPr>
          <w:rFonts w:ascii="Cambria" w:hAnsi="Cambria"/>
        </w:rPr>
        <w:t>only four show positive correlations.</w:t>
      </w:r>
      <w:r w:rsidR="00CD04EB" w:rsidRPr="00F367CF">
        <w:rPr>
          <w:rFonts w:ascii="Cambria" w:hAnsi="Cambria"/>
        </w:rPr>
        <w:t xml:space="preserve"> See Figure 2. 26 of the regressions</w:t>
      </w:r>
      <w:r w:rsidR="00FF643B" w:rsidRPr="00F367CF">
        <w:rPr>
          <w:rFonts w:ascii="Cambria" w:hAnsi="Cambria"/>
        </w:rPr>
        <w:t xml:space="preserve"> showed negative correlations. This means that</w:t>
      </w:r>
      <w:r w:rsidR="00F45A2E" w:rsidRPr="00F367CF">
        <w:rPr>
          <w:rFonts w:ascii="Cambria" w:hAnsi="Cambria"/>
        </w:rPr>
        <w:t xml:space="preserve"> even when there does seem to be a relationship between economic growth and STI</w:t>
      </w:r>
      <w:r w:rsidR="00E77DF2" w:rsidRPr="00F367CF">
        <w:rPr>
          <w:rFonts w:ascii="Cambria" w:hAnsi="Cambria"/>
        </w:rPr>
        <w:t xml:space="preserve"> indicators, the relationship indicates that the spread of STI </w:t>
      </w:r>
      <w:r w:rsidR="00620266" w:rsidRPr="00F367CF">
        <w:rPr>
          <w:rFonts w:ascii="Cambria" w:hAnsi="Cambria"/>
        </w:rPr>
        <w:t xml:space="preserve">has a negative impact on economic development in the MENA region. </w:t>
      </w:r>
    </w:p>
    <w:p w14:paraId="5393864C" w14:textId="77777777" w:rsidR="00380FC3" w:rsidRPr="00F367CF" w:rsidRDefault="00380FC3" w:rsidP="007D5211">
      <w:pPr>
        <w:ind w:firstLine="720"/>
        <w:rPr>
          <w:rFonts w:ascii="Cambria" w:hAnsi="Cambria"/>
        </w:rPr>
      </w:pPr>
    </w:p>
    <w:p w14:paraId="5D940692" w14:textId="3DB1F1DE" w:rsidR="00380FC3" w:rsidRPr="00F367CF" w:rsidRDefault="00380FC3" w:rsidP="001F5C28">
      <w:pPr>
        <w:ind w:firstLine="720"/>
        <w:rPr>
          <w:rFonts w:ascii="Cambria" w:hAnsi="Cambria"/>
        </w:rPr>
      </w:pPr>
      <w:r w:rsidRPr="00F367CF">
        <w:rPr>
          <w:rFonts w:ascii="Cambria" w:hAnsi="Cambria"/>
        </w:rPr>
        <w:t xml:space="preserve">The regression </w:t>
      </w:r>
      <w:r w:rsidR="003F7588">
        <w:rPr>
          <w:rFonts w:ascii="Cambria" w:hAnsi="Cambria"/>
        </w:rPr>
        <w:t xml:space="preserve">ran on </w:t>
      </w:r>
      <w:r w:rsidRPr="00F367CF">
        <w:rPr>
          <w:rFonts w:ascii="Cambria" w:hAnsi="Cambria"/>
        </w:rPr>
        <w:t>ICT service exports in all MENA countries shows a</w:t>
      </w:r>
      <w:r w:rsidR="001F5C28" w:rsidRPr="00F367CF">
        <w:rPr>
          <w:rFonts w:ascii="Cambria" w:hAnsi="Cambria"/>
        </w:rPr>
        <w:t xml:space="preserve"> significant but negative relationship with GDP growth. Information and communication technology service exports include computer and communications services (telecommunications and postal and courier services) and information services (computer data and news-related service transactions) </w:t>
      </w:r>
      <w:sdt>
        <w:sdtPr>
          <w:rPr>
            <w:rFonts w:ascii="Cambria" w:hAnsi="Cambria"/>
          </w:rPr>
          <w:id w:val="-1551839148"/>
          <w:citation/>
        </w:sdtPr>
        <w:sdtContent>
          <w:r w:rsidR="001F5C28" w:rsidRPr="00F367CF">
            <w:rPr>
              <w:rFonts w:ascii="Cambria" w:hAnsi="Cambria"/>
            </w:rPr>
            <w:fldChar w:fldCharType="begin"/>
          </w:r>
          <w:r w:rsidR="001F5C28" w:rsidRPr="00F367CF">
            <w:rPr>
              <w:rFonts w:ascii="Cambria" w:hAnsi="Cambria"/>
            </w:rPr>
            <w:instrText xml:space="preserve"> CITATION ICT19 \l 1033 </w:instrText>
          </w:r>
          <w:r w:rsidR="001F5C28" w:rsidRPr="00F367CF">
            <w:rPr>
              <w:rFonts w:ascii="Cambria" w:hAnsi="Cambria"/>
            </w:rPr>
            <w:fldChar w:fldCharType="separate"/>
          </w:r>
          <w:r w:rsidR="001F5C28" w:rsidRPr="00F367CF">
            <w:rPr>
              <w:rFonts w:ascii="Cambria" w:hAnsi="Cambria"/>
              <w:noProof/>
            </w:rPr>
            <w:t>(ICT service exports (BoP, current US$) n.d.)</w:t>
          </w:r>
          <w:r w:rsidR="001F5C28" w:rsidRPr="00F367CF">
            <w:rPr>
              <w:rFonts w:ascii="Cambria" w:hAnsi="Cambria"/>
            </w:rPr>
            <w:fldChar w:fldCharType="end"/>
          </w:r>
        </w:sdtContent>
      </w:sdt>
      <w:r w:rsidR="001F5C28" w:rsidRPr="00F367CF">
        <w:rPr>
          <w:rFonts w:ascii="Cambria" w:hAnsi="Cambria"/>
        </w:rPr>
        <w:t>. This study indicates that, as these exports increase, GDP growth in the MENA region declines.</w:t>
      </w:r>
      <w:r w:rsidR="001F5C28" w:rsidRPr="00F367CF">
        <w:rPr>
          <w:rStyle w:val="EndnoteReference"/>
          <w:rFonts w:ascii="Cambria" w:hAnsi="Cambria"/>
        </w:rPr>
        <w:endnoteReference w:id="5"/>
      </w:r>
    </w:p>
    <w:p w14:paraId="71A11139" w14:textId="77777777" w:rsidR="00CD04EB" w:rsidRPr="00F367CF" w:rsidRDefault="00CD04EB" w:rsidP="007D5211">
      <w:pPr>
        <w:ind w:firstLine="720"/>
        <w:rPr>
          <w:rFonts w:ascii="Cambria" w:hAnsi="Cambria"/>
        </w:rPr>
      </w:pPr>
    </w:p>
    <w:p w14:paraId="274807FB" w14:textId="7CA3A5DA" w:rsidR="00A3166B" w:rsidRDefault="00DB42D3" w:rsidP="00CD04EB">
      <w:pPr>
        <w:ind w:firstLine="720"/>
        <w:rPr>
          <w:rFonts w:ascii="Cambria" w:hAnsi="Cambria"/>
        </w:rPr>
      </w:pPr>
      <w:r w:rsidRPr="00F367CF">
        <w:rPr>
          <w:rFonts w:ascii="Cambria" w:hAnsi="Cambria"/>
        </w:rPr>
        <w:t>Tunisia held the largest number of significant regressions</w:t>
      </w:r>
      <w:r w:rsidR="001C07C2" w:rsidRPr="00F367CF">
        <w:rPr>
          <w:rFonts w:ascii="Cambria" w:hAnsi="Cambria"/>
        </w:rPr>
        <w:t>.</w:t>
      </w:r>
      <w:r w:rsidR="008F18C4" w:rsidRPr="00F367CF">
        <w:rPr>
          <w:rFonts w:ascii="Cambria" w:hAnsi="Cambria"/>
        </w:rPr>
        <w:t xml:space="preserve"> A total of s</w:t>
      </w:r>
      <w:r w:rsidR="001C07C2" w:rsidRPr="00F367CF">
        <w:rPr>
          <w:rFonts w:ascii="Cambria" w:hAnsi="Cambria"/>
        </w:rPr>
        <w:t xml:space="preserve">even </w:t>
      </w:r>
      <w:r w:rsidR="00E03346" w:rsidRPr="00F367CF">
        <w:rPr>
          <w:rFonts w:ascii="Cambria" w:hAnsi="Cambria"/>
        </w:rPr>
        <w:t>indicators</w:t>
      </w:r>
      <w:r w:rsidR="001C07C2" w:rsidRPr="00F367CF">
        <w:rPr>
          <w:rFonts w:ascii="Cambria" w:hAnsi="Cambria"/>
        </w:rPr>
        <w:t xml:space="preserve"> produced regressions that showed a significant but negative correlation </w:t>
      </w:r>
      <w:r w:rsidR="00E03346" w:rsidRPr="00F367CF">
        <w:rPr>
          <w:rFonts w:ascii="Cambria" w:hAnsi="Cambria"/>
        </w:rPr>
        <w:t xml:space="preserve">STI and economic growth in the MENA region. </w:t>
      </w:r>
      <w:r w:rsidR="008F18C4" w:rsidRPr="00F367CF">
        <w:rPr>
          <w:rFonts w:ascii="Cambria" w:hAnsi="Cambria"/>
        </w:rPr>
        <w:t>These indicators are: Scientific &amp; technical journal articles, High-tech exports, ICT goods exports, ICT service exports</w:t>
      </w:r>
      <w:r w:rsidR="00973371" w:rsidRPr="00F367CF">
        <w:rPr>
          <w:rFonts w:ascii="Cambria" w:hAnsi="Cambria"/>
        </w:rPr>
        <w:t xml:space="preserve">, </w:t>
      </w:r>
      <w:r w:rsidR="008F18C4" w:rsidRPr="00F367CF">
        <w:rPr>
          <w:rFonts w:ascii="Cambria" w:hAnsi="Cambria"/>
        </w:rPr>
        <w:t>Medium &amp; high-tech exports</w:t>
      </w:r>
      <w:r w:rsidR="00973371" w:rsidRPr="00F367CF">
        <w:rPr>
          <w:rFonts w:ascii="Cambria" w:hAnsi="Cambria"/>
        </w:rPr>
        <w:t xml:space="preserve">, </w:t>
      </w:r>
      <w:r w:rsidR="008F18C4" w:rsidRPr="00F367CF">
        <w:rPr>
          <w:rFonts w:ascii="Cambria" w:hAnsi="Cambria"/>
        </w:rPr>
        <w:t>Patent applications</w:t>
      </w:r>
      <w:r w:rsidR="00973371" w:rsidRPr="00F367CF">
        <w:rPr>
          <w:rFonts w:ascii="Cambria" w:hAnsi="Cambria"/>
        </w:rPr>
        <w:t xml:space="preserve">, </w:t>
      </w:r>
      <w:r w:rsidR="008F18C4" w:rsidRPr="00F367CF">
        <w:rPr>
          <w:rFonts w:ascii="Cambria" w:hAnsi="Cambria"/>
        </w:rPr>
        <w:t>Trademark applications</w:t>
      </w:r>
      <w:r w:rsidR="00973371" w:rsidRPr="00F367CF">
        <w:rPr>
          <w:rFonts w:ascii="Cambria" w:hAnsi="Cambria"/>
        </w:rPr>
        <w:t>.</w:t>
      </w:r>
      <w:r w:rsidR="0058269B" w:rsidRPr="00F367CF">
        <w:rPr>
          <w:rFonts w:ascii="Cambria" w:hAnsi="Cambria"/>
        </w:rPr>
        <w:t xml:space="preserve"> Most of these indicators </w:t>
      </w:r>
      <w:r w:rsidR="006A6E78" w:rsidRPr="00F367CF">
        <w:rPr>
          <w:rFonts w:ascii="Cambria" w:hAnsi="Cambria"/>
        </w:rPr>
        <w:t xml:space="preserve">focus on technology imports and exports. </w:t>
      </w:r>
      <w:r w:rsidR="00A3166B" w:rsidRPr="00F367CF">
        <w:rPr>
          <w:rFonts w:ascii="Cambria" w:hAnsi="Cambria"/>
        </w:rPr>
        <w:t xml:space="preserve">Jordan also held some interesting results, with one </w:t>
      </w:r>
      <w:r w:rsidR="00CD04EB" w:rsidRPr="00F367CF">
        <w:rPr>
          <w:rFonts w:ascii="Cambria" w:hAnsi="Cambria"/>
        </w:rPr>
        <w:t xml:space="preserve">significant </w:t>
      </w:r>
      <w:r w:rsidR="005A7491" w:rsidRPr="00F367CF">
        <w:rPr>
          <w:rFonts w:ascii="Cambria" w:hAnsi="Cambria"/>
        </w:rPr>
        <w:t xml:space="preserve">negative correlation and two </w:t>
      </w:r>
      <w:r w:rsidR="003F7588">
        <w:rPr>
          <w:rFonts w:ascii="Cambria" w:hAnsi="Cambria"/>
        </w:rPr>
        <w:t>significant positive</w:t>
      </w:r>
      <w:r w:rsidR="00CD04EB" w:rsidRPr="00F367CF">
        <w:rPr>
          <w:rFonts w:ascii="Cambria" w:hAnsi="Cambria"/>
        </w:rPr>
        <w:t xml:space="preserve"> </w:t>
      </w:r>
      <w:r w:rsidR="005A7491" w:rsidRPr="00F367CF">
        <w:rPr>
          <w:rFonts w:ascii="Cambria" w:hAnsi="Cambria"/>
        </w:rPr>
        <w:t>correlations</w:t>
      </w:r>
      <w:r w:rsidR="00CD04EB" w:rsidRPr="00F367CF">
        <w:rPr>
          <w:rFonts w:ascii="Cambria" w:hAnsi="Cambria"/>
        </w:rPr>
        <w:t xml:space="preserve">. Both Tunisia and Jordan have greatly invested in their ICT sectors, so more research needs to be performed in order to uncover the </w:t>
      </w:r>
      <w:r w:rsidR="003F7588">
        <w:rPr>
          <w:rFonts w:ascii="Cambria" w:hAnsi="Cambria"/>
        </w:rPr>
        <w:t xml:space="preserve">reason behind these peculiar results. </w:t>
      </w:r>
      <w:r w:rsidR="00CD04EB" w:rsidRPr="00F367CF">
        <w:rPr>
          <w:rFonts w:ascii="Cambria" w:hAnsi="Cambria"/>
        </w:rPr>
        <w:t xml:space="preserve"> </w:t>
      </w:r>
    </w:p>
    <w:p w14:paraId="19314414" w14:textId="77777777" w:rsidR="00F016F3" w:rsidRDefault="00F016F3" w:rsidP="00CD04EB">
      <w:pPr>
        <w:ind w:firstLine="720"/>
        <w:rPr>
          <w:rFonts w:ascii="Cambria" w:hAnsi="Cambria"/>
        </w:rPr>
      </w:pPr>
    </w:p>
    <w:p w14:paraId="120D8218" w14:textId="382BDFB3" w:rsidR="00F016F3" w:rsidRPr="00F367CF" w:rsidRDefault="00F016F3" w:rsidP="00CD04EB">
      <w:pPr>
        <w:ind w:firstLine="720"/>
        <w:rPr>
          <w:rFonts w:ascii="Cambria" w:hAnsi="Cambria"/>
        </w:rPr>
      </w:pPr>
      <w:r>
        <w:rPr>
          <w:rFonts w:ascii="Cambria" w:hAnsi="Cambria"/>
        </w:rPr>
        <w:t xml:space="preserve">These results uncover a complex relationship between STI and economic growth. Since all MENA countries have placed a premium on STI investment, these results are not quite expected. In the following section, I discuss why these results may have occurred and present ideas for future research on the topic. </w:t>
      </w:r>
    </w:p>
    <w:p w14:paraId="35DE06E6" w14:textId="77777777" w:rsidR="00F80EBE" w:rsidRPr="00F367CF" w:rsidRDefault="00F80EBE" w:rsidP="008F18C4">
      <w:pPr>
        <w:rPr>
          <w:rFonts w:ascii="Cambria" w:hAnsi="Cambria"/>
        </w:rPr>
      </w:pPr>
    </w:p>
    <w:p w14:paraId="4289B479" w14:textId="5A38A515" w:rsidR="00973371" w:rsidRPr="00F367CF" w:rsidRDefault="002D203B" w:rsidP="00CD04EB">
      <w:pPr>
        <w:pStyle w:val="Heading1"/>
        <w:rPr>
          <w:rFonts w:ascii="Cambria" w:hAnsi="Cambria"/>
        </w:rPr>
      </w:pPr>
      <w:r w:rsidRPr="00F367CF">
        <w:rPr>
          <w:rFonts w:ascii="Cambria" w:hAnsi="Cambria"/>
        </w:rPr>
        <w:t>DISCUSSION</w:t>
      </w:r>
    </w:p>
    <w:p w14:paraId="4A21FF9A" w14:textId="64615F71" w:rsidR="002D203B" w:rsidRPr="00F367CF" w:rsidRDefault="00A22C26" w:rsidP="008F18C4">
      <w:pPr>
        <w:rPr>
          <w:rFonts w:ascii="Cambria" w:hAnsi="Cambria"/>
        </w:rPr>
      </w:pPr>
      <w:r w:rsidRPr="00F367CF">
        <w:rPr>
          <w:rFonts w:ascii="Cambria" w:hAnsi="Cambria"/>
        </w:rPr>
        <w:tab/>
      </w:r>
    </w:p>
    <w:p w14:paraId="64345DF0" w14:textId="419AD961" w:rsidR="00887B56" w:rsidRPr="00F367CF" w:rsidRDefault="009E3E7C" w:rsidP="008F18C4">
      <w:pPr>
        <w:rPr>
          <w:rFonts w:ascii="Cambria" w:hAnsi="Cambria"/>
        </w:rPr>
      </w:pPr>
      <w:r w:rsidRPr="00F367CF">
        <w:rPr>
          <w:rFonts w:ascii="Cambria" w:hAnsi="Cambria"/>
        </w:rPr>
        <w:tab/>
        <w:t>The results of this study not corr</w:t>
      </w:r>
      <w:r w:rsidR="00DD6468">
        <w:rPr>
          <w:rFonts w:ascii="Cambria" w:hAnsi="Cambria"/>
        </w:rPr>
        <w:t>oborate the traditional model that</w:t>
      </w:r>
      <w:r w:rsidRPr="00F367CF">
        <w:rPr>
          <w:rFonts w:ascii="Cambria" w:hAnsi="Cambria"/>
        </w:rPr>
        <w:t xml:space="preserve"> STI investment leads to productivity which produces economic growth. In fact, the results show that there is </w:t>
      </w:r>
      <w:r w:rsidR="005A0F14" w:rsidRPr="00F367CF">
        <w:rPr>
          <w:rFonts w:ascii="Cambria" w:hAnsi="Cambria"/>
        </w:rPr>
        <w:t xml:space="preserve">a negative relationship in many MENA countries between STI and economic growth. There are various </w:t>
      </w:r>
      <w:r w:rsidR="00E722DE" w:rsidRPr="00F367CF">
        <w:rPr>
          <w:rFonts w:ascii="Cambria" w:hAnsi="Cambria"/>
        </w:rPr>
        <w:t xml:space="preserve">possible explanations for this. </w:t>
      </w:r>
      <w:r w:rsidR="00A63E7A" w:rsidRPr="00F367CF">
        <w:rPr>
          <w:rFonts w:ascii="Cambria" w:hAnsi="Cambria"/>
        </w:rPr>
        <w:t>Based on some of the research previously done on General Purpose Technologies</w:t>
      </w:r>
      <w:r w:rsidR="003F2204" w:rsidRPr="00F367CF">
        <w:rPr>
          <w:rFonts w:ascii="Cambria" w:hAnsi="Cambria"/>
        </w:rPr>
        <w:t xml:space="preserve">, a possible underlying cause of these results could be that the economic </w:t>
      </w:r>
      <w:r w:rsidR="00887B56" w:rsidRPr="00F367CF">
        <w:rPr>
          <w:rFonts w:ascii="Cambria" w:hAnsi="Cambria"/>
        </w:rPr>
        <w:t xml:space="preserve">effects of STI growth are delayed and have yet to appear. The MENA region </w:t>
      </w:r>
      <w:r w:rsidR="00010B75" w:rsidRPr="00F367CF">
        <w:rPr>
          <w:rFonts w:ascii="Cambria" w:hAnsi="Cambria"/>
        </w:rPr>
        <w:t xml:space="preserve">is closer to the beginning of its “tech boom.” Entrepreneurship is </w:t>
      </w:r>
      <w:r w:rsidR="002E729A" w:rsidRPr="00F367CF">
        <w:rPr>
          <w:rFonts w:ascii="Cambria" w:hAnsi="Cambria"/>
        </w:rPr>
        <w:t xml:space="preserve">on the rise. But the full and positive economic effects of the spread of STI are yet to come. </w:t>
      </w:r>
    </w:p>
    <w:p w14:paraId="7168DB15" w14:textId="77777777" w:rsidR="00CD04EB" w:rsidRPr="00F367CF" w:rsidRDefault="00CD04EB" w:rsidP="008F18C4">
      <w:pPr>
        <w:rPr>
          <w:rFonts w:ascii="Cambria" w:hAnsi="Cambria"/>
        </w:rPr>
      </w:pPr>
    </w:p>
    <w:p w14:paraId="20A8944A" w14:textId="702DBC8F" w:rsidR="00A30C44" w:rsidRPr="00F367CF" w:rsidRDefault="00EF2916" w:rsidP="008F18C4">
      <w:pPr>
        <w:rPr>
          <w:rFonts w:ascii="Cambria" w:hAnsi="Cambria"/>
        </w:rPr>
      </w:pPr>
      <w:r>
        <w:rPr>
          <w:rFonts w:ascii="Cambria" w:hAnsi="Cambria"/>
        </w:rPr>
        <w:lastRenderedPageBreak/>
        <w:tab/>
        <w:t>It is also important to note that d</w:t>
      </w:r>
      <w:r w:rsidR="001E3C10" w:rsidRPr="00F367CF">
        <w:rPr>
          <w:rFonts w:ascii="Cambria" w:hAnsi="Cambria"/>
        </w:rPr>
        <w:t xml:space="preserve">igital technology </w:t>
      </w:r>
      <w:r>
        <w:rPr>
          <w:rFonts w:ascii="Cambria" w:hAnsi="Cambria"/>
        </w:rPr>
        <w:t>is a</w:t>
      </w:r>
      <w:r w:rsidR="001E3C10" w:rsidRPr="00F367CF">
        <w:rPr>
          <w:rFonts w:ascii="Cambria" w:hAnsi="Cambria"/>
        </w:rPr>
        <w:t xml:space="preserve"> GPT. As authors </w:t>
      </w:r>
      <w:r w:rsidR="000E77C3" w:rsidRPr="00F367CF">
        <w:rPr>
          <w:rFonts w:ascii="Cambria" w:hAnsi="Cambria"/>
        </w:rPr>
        <w:t xml:space="preserve">Howitt, </w:t>
      </w:r>
      <w:proofErr w:type="spellStart"/>
      <w:r w:rsidR="000E77C3" w:rsidRPr="00F367CF">
        <w:rPr>
          <w:rFonts w:ascii="Cambria" w:hAnsi="Cambria"/>
        </w:rPr>
        <w:t>Helpman</w:t>
      </w:r>
      <w:proofErr w:type="spellEnd"/>
      <w:r w:rsidR="000E77C3" w:rsidRPr="00F367CF">
        <w:rPr>
          <w:rFonts w:ascii="Cambria" w:hAnsi="Cambria"/>
        </w:rPr>
        <w:t xml:space="preserve">, and </w:t>
      </w:r>
      <w:proofErr w:type="spellStart"/>
      <w:r w:rsidR="000E77C3" w:rsidRPr="00F367CF">
        <w:rPr>
          <w:rFonts w:ascii="Cambria" w:hAnsi="Cambria"/>
        </w:rPr>
        <w:t>Trajtenberg</w:t>
      </w:r>
      <w:proofErr w:type="spellEnd"/>
      <w:r w:rsidR="00534765" w:rsidRPr="00F367CF">
        <w:rPr>
          <w:rFonts w:ascii="Cambria" w:hAnsi="Cambria"/>
        </w:rPr>
        <w:t xml:space="preserve"> point out, GPTs are disruptive and can lead to short term economic decline as the economy transitions from one economy to th</w:t>
      </w:r>
      <w:r w:rsidR="00185DF7" w:rsidRPr="00F367CF">
        <w:rPr>
          <w:rFonts w:ascii="Cambria" w:hAnsi="Cambria"/>
        </w:rPr>
        <w:t>e</w:t>
      </w:r>
      <w:r w:rsidR="00534765" w:rsidRPr="00F367CF">
        <w:rPr>
          <w:rFonts w:ascii="Cambria" w:hAnsi="Cambria"/>
        </w:rPr>
        <w:t xml:space="preserve"> next. This could mean that ICT sectors</w:t>
      </w:r>
      <w:r w:rsidR="00D14B71" w:rsidRPr="00F367CF">
        <w:rPr>
          <w:rFonts w:ascii="Cambria" w:hAnsi="Cambria"/>
        </w:rPr>
        <w:t xml:space="preserve"> in the MENA region, since it is still at its early stages of development. As this new GPT is implemented and time accrues</w:t>
      </w:r>
      <w:r w:rsidR="00855BFD" w:rsidRPr="00F367CF">
        <w:rPr>
          <w:rFonts w:ascii="Cambria" w:hAnsi="Cambria"/>
        </w:rPr>
        <w:t xml:space="preserve">, the economy can then be expected to improve once </w:t>
      </w:r>
      <w:r w:rsidR="00185DF7" w:rsidRPr="00F367CF">
        <w:rPr>
          <w:rFonts w:ascii="Cambria" w:hAnsi="Cambria"/>
        </w:rPr>
        <w:t>all</w:t>
      </w:r>
      <w:r w:rsidR="00855BFD" w:rsidRPr="00F367CF">
        <w:rPr>
          <w:rFonts w:ascii="Cambria" w:hAnsi="Cambria"/>
        </w:rPr>
        <w:t xml:space="preserve"> the </w:t>
      </w:r>
      <w:r w:rsidR="00A30C44" w:rsidRPr="00F367CF">
        <w:rPr>
          <w:rFonts w:ascii="Cambria" w:hAnsi="Cambria"/>
        </w:rPr>
        <w:t>investments</w:t>
      </w:r>
      <w:r w:rsidR="00C414EA" w:rsidRPr="00F367CF">
        <w:rPr>
          <w:rFonts w:ascii="Cambria" w:hAnsi="Cambria"/>
        </w:rPr>
        <w:t xml:space="preserve"> in the new technology</w:t>
      </w:r>
      <w:r w:rsidR="00A30C44" w:rsidRPr="00F367CF">
        <w:rPr>
          <w:rFonts w:ascii="Cambria" w:hAnsi="Cambria"/>
        </w:rPr>
        <w:t xml:space="preserve">, both monetary and knowledge related, are paid off. </w:t>
      </w:r>
      <w:r w:rsidR="005B4541" w:rsidRPr="00F367CF">
        <w:rPr>
          <w:rFonts w:ascii="Cambria" w:hAnsi="Cambria"/>
        </w:rPr>
        <w:t xml:space="preserve"> </w:t>
      </w:r>
      <w:r w:rsidR="000D0838" w:rsidRPr="00F367CF">
        <w:rPr>
          <w:rFonts w:ascii="Cambria" w:hAnsi="Cambria"/>
        </w:rPr>
        <w:t xml:space="preserve">Researchers should continue studies on the relationship between STI and economic growth in the MENA region into the future to discover if </w:t>
      </w:r>
      <w:r w:rsidR="005B4541" w:rsidRPr="00F367CF">
        <w:rPr>
          <w:rFonts w:ascii="Cambria" w:hAnsi="Cambria"/>
        </w:rPr>
        <w:t xml:space="preserve">this theory actually matches reality. </w:t>
      </w:r>
    </w:p>
    <w:p w14:paraId="5EA9ADDD" w14:textId="77777777" w:rsidR="00CD04EB" w:rsidRPr="00F367CF" w:rsidRDefault="00CD04EB" w:rsidP="008F18C4">
      <w:pPr>
        <w:rPr>
          <w:rFonts w:ascii="Cambria" w:hAnsi="Cambria"/>
        </w:rPr>
      </w:pPr>
    </w:p>
    <w:p w14:paraId="5E1A8101" w14:textId="77492FAF" w:rsidR="002D203B" w:rsidRPr="00F367CF" w:rsidRDefault="000C47C5" w:rsidP="008F18C4">
      <w:pPr>
        <w:rPr>
          <w:rFonts w:ascii="Cambria" w:hAnsi="Cambria"/>
        </w:rPr>
      </w:pPr>
      <w:r w:rsidRPr="00F367CF">
        <w:rPr>
          <w:rFonts w:ascii="Cambria" w:hAnsi="Cambria"/>
          <w:b/>
        </w:rPr>
        <w:tab/>
      </w:r>
      <w:r w:rsidRPr="00F367CF">
        <w:rPr>
          <w:rFonts w:ascii="Cambria" w:hAnsi="Cambria"/>
        </w:rPr>
        <w:t>Another possible explanation</w:t>
      </w:r>
      <w:r w:rsidR="00141670" w:rsidRPr="00F367CF">
        <w:rPr>
          <w:rFonts w:ascii="Cambria" w:hAnsi="Cambria"/>
        </w:rPr>
        <w:t xml:space="preserve"> </w:t>
      </w:r>
      <w:r w:rsidR="005C0147" w:rsidRPr="00F367CF">
        <w:rPr>
          <w:rFonts w:ascii="Cambria" w:hAnsi="Cambria"/>
        </w:rPr>
        <w:t>for the results of this study</w:t>
      </w:r>
      <w:r w:rsidR="004F3BD4" w:rsidRPr="00F367CF">
        <w:rPr>
          <w:rFonts w:ascii="Cambria" w:hAnsi="Cambria"/>
        </w:rPr>
        <w:t xml:space="preserve"> could be that the MENA region is preoccupied by issues </w:t>
      </w:r>
      <w:r w:rsidR="00D25877" w:rsidRPr="00F367CF">
        <w:rPr>
          <w:rFonts w:ascii="Cambria" w:hAnsi="Cambria"/>
        </w:rPr>
        <w:t xml:space="preserve">that limit the effectiveness of STI, particularly issues of privatization and government accountability. </w:t>
      </w:r>
      <w:r w:rsidR="00207B92" w:rsidRPr="00F367CF">
        <w:rPr>
          <w:rFonts w:ascii="Cambria" w:hAnsi="Cambria"/>
        </w:rPr>
        <w:t xml:space="preserve">First, the </w:t>
      </w:r>
      <w:r w:rsidR="00027FD7" w:rsidRPr="00F367CF">
        <w:rPr>
          <w:rFonts w:ascii="Cambria" w:hAnsi="Cambria"/>
        </w:rPr>
        <w:t>lack</w:t>
      </w:r>
      <w:r w:rsidR="00207B92" w:rsidRPr="00F367CF">
        <w:rPr>
          <w:rFonts w:ascii="Cambria" w:hAnsi="Cambria"/>
        </w:rPr>
        <w:t xml:space="preserve"> of trust in the government undermines private investment and limits the number of new </w:t>
      </w:r>
      <w:r w:rsidR="004C0C0B" w:rsidRPr="00F367CF">
        <w:rPr>
          <w:rFonts w:ascii="Cambria" w:hAnsi="Cambria"/>
        </w:rPr>
        <w:t xml:space="preserve">companies willing to do business in the region. Then, privatization is further discouraged </w:t>
      </w:r>
      <w:r w:rsidR="005676BA" w:rsidRPr="00F367CF">
        <w:rPr>
          <w:rFonts w:ascii="Cambria" w:hAnsi="Cambria"/>
        </w:rPr>
        <w:t xml:space="preserve">by the tendency of MENA countries </w:t>
      </w:r>
      <w:r w:rsidR="00C33435" w:rsidRPr="00F367CF">
        <w:rPr>
          <w:rFonts w:ascii="Cambria" w:hAnsi="Cambria"/>
        </w:rPr>
        <w:t xml:space="preserve">towards publicly owned enterprises. </w:t>
      </w:r>
    </w:p>
    <w:p w14:paraId="2E7FCD3B" w14:textId="77777777" w:rsidR="00CD04EB" w:rsidRPr="00F367CF" w:rsidRDefault="00CD04EB" w:rsidP="008F18C4">
      <w:pPr>
        <w:rPr>
          <w:rFonts w:ascii="Cambria" w:hAnsi="Cambria"/>
        </w:rPr>
      </w:pPr>
    </w:p>
    <w:p w14:paraId="24659BD5" w14:textId="77431163" w:rsidR="00EC2D91" w:rsidRPr="00F367CF" w:rsidRDefault="00EC2D91" w:rsidP="008F18C4">
      <w:pPr>
        <w:rPr>
          <w:rFonts w:ascii="Cambria" w:hAnsi="Cambria"/>
        </w:rPr>
      </w:pPr>
      <w:r w:rsidRPr="00F367CF">
        <w:rPr>
          <w:rFonts w:ascii="Cambria" w:hAnsi="Cambria"/>
        </w:rPr>
        <w:tab/>
        <w:t xml:space="preserve">Due to the lack of privatization in MENA </w:t>
      </w:r>
      <w:r w:rsidR="00DB36A8" w:rsidRPr="00F367CF">
        <w:rPr>
          <w:rFonts w:ascii="Cambria" w:hAnsi="Cambria"/>
        </w:rPr>
        <w:t xml:space="preserve">countries, competition between businesses is not encouraged. </w:t>
      </w:r>
      <w:r w:rsidR="0077518C" w:rsidRPr="00F367CF">
        <w:rPr>
          <w:rFonts w:ascii="Cambria" w:hAnsi="Cambria"/>
        </w:rPr>
        <w:t xml:space="preserve">Without competition, efficiency and effectiveness of a process or product is compromised. Once privatization takes hold of the region, the implementation of new technologies may be able to have a positive impact on economic growth in the region. </w:t>
      </w:r>
    </w:p>
    <w:p w14:paraId="77F11105" w14:textId="77777777" w:rsidR="00CD04EB" w:rsidRPr="00F367CF" w:rsidRDefault="00CD04EB" w:rsidP="008F18C4">
      <w:pPr>
        <w:rPr>
          <w:rFonts w:ascii="Cambria" w:hAnsi="Cambria"/>
        </w:rPr>
      </w:pPr>
    </w:p>
    <w:p w14:paraId="62FEFCF2" w14:textId="55268C86" w:rsidR="00A32A07" w:rsidRPr="00F367CF" w:rsidRDefault="00A32A07" w:rsidP="008F18C4">
      <w:pPr>
        <w:rPr>
          <w:rFonts w:ascii="Cambria" w:hAnsi="Cambria"/>
        </w:rPr>
      </w:pPr>
      <w:r w:rsidRPr="00F367CF">
        <w:rPr>
          <w:rFonts w:ascii="Cambria" w:hAnsi="Cambria"/>
        </w:rPr>
        <w:tab/>
      </w:r>
      <w:r w:rsidR="00C4563B" w:rsidRPr="00F367CF">
        <w:rPr>
          <w:rFonts w:ascii="Cambria" w:hAnsi="Cambria"/>
        </w:rPr>
        <w:t>Since there are so many potential explanations</w:t>
      </w:r>
      <w:r w:rsidR="001E5AB2" w:rsidRPr="00F367CF">
        <w:rPr>
          <w:rFonts w:ascii="Cambria" w:hAnsi="Cambria"/>
        </w:rPr>
        <w:t xml:space="preserve"> for the results found in this study, more research is needed to hone in on the fin</w:t>
      </w:r>
      <w:r w:rsidR="00EF2916">
        <w:rPr>
          <w:rFonts w:ascii="Cambria" w:hAnsi="Cambria"/>
        </w:rPr>
        <w:t>er points and trends of</w:t>
      </w:r>
      <w:r w:rsidR="001E5AB2" w:rsidRPr="00F367CF">
        <w:rPr>
          <w:rFonts w:ascii="Cambria" w:hAnsi="Cambria"/>
        </w:rPr>
        <w:t xml:space="preserve"> STI</w:t>
      </w:r>
      <w:r w:rsidR="00EF2916">
        <w:rPr>
          <w:rFonts w:ascii="Cambria" w:hAnsi="Cambria"/>
        </w:rPr>
        <w:t xml:space="preserve"> and economic growth</w:t>
      </w:r>
      <w:r w:rsidR="001E5AB2" w:rsidRPr="00F367CF">
        <w:rPr>
          <w:rFonts w:ascii="Cambria" w:hAnsi="Cambria"/>
        </w:rPr>
        <w:t xml:space="preserve"> in the</w:t>
      </w:r>
      <w:r w:rsidR="00A613C3" w:rsidRPr="00F367CF">
        <w:rPr>
          <w:rFonts w:ascii="Cambria" w:hAnsi="Cambria"/>
        </w:rPr>
        <w:t xml:space="preserve"> region. </w:t>
      </w:r>
      <w:r w:rsidR="00FA7376" w:rsidRPr="00F367CF">
        <w:rPr>
          <w:rFonts w:ascii="Cambria" w:hAnsi="Cambria"/>
        </w:rPr>
        <w:t xml:space="preserve">The intention of this broad-based study is to </w:t>
      </w:r>
      <w:r w:rsidR="0074772E" w:rsidRPr="00F367CF">
        <w:rPr>
          <w:rFonts w:ascii="Cambria" w:hAnsi="Cambria"/>
        </w:rPr>
        <w:t>take a preliminary exploration into the subject of STI and economic growth, but further research</w:t>
      </w:r>
      <w:r w:rsidR="006B7CB9" w:rsidRPr="00F367CF">
        <w:rPr>
          <w:rFonts w:ascii="Cambria" w:hAnsi="Cambria"/>
        </w:rPr>
        <w:t xml:space="preserve"> and more time is required to come to stable conclusions about the relationship between STI and economic development in MENA. </w:t>
      </w:r>
    </w:p>
    <w:p w14:paraId="13B3D935" w14:textId="77777777" w:rsidR="002D203B" w:rsidRPr="00F367CF" w:rsidRDefault="002D203B" w:rsidP="008F18C4">
      <w:pPr>
        <w:rPr>
          <w:rFonts w:ascii="Cambria" w:hAnsi="Cambria"/>
          <w:b/>
        </w:rPr>
      </w:pPr>
    </w:p>
    <w:p w14:paraId="04291113" w14:textId="1FA0D9AE" w:rsidR="009A7EAD" w:rsidRPr="00F367CF" w:rsidRDefault="009A7EAD" w:rsidP="00CD04EB">
      <w:pPr>
        <w:pStyle w:val="Heading1"/>
        <w:rPr>
          <w:rFonts w:ascii="Cambria" w:hAnsi="Cambria"/>
        </w:rPr>
      </w:pPr>
      <w:r w:rsidRPr="00F367CF">
        <w:rPr>
          <w:rFonts w:ascii="Cambria" w:hAnsi="Cambria"/>
        </w:rPr>
        <w:t>CONCLUSION</w:t>
      </w:r>
    </w:p>
    <w:p w14:paraId="78CBA5A6" w14:textId="379ECF69" w:rsidR="002D203B" w:rsidRPr="00F367CF" w:rsidRDefault="002D203B" w:rsidP="009A7EAD">
      <w:pPr>
        <w:rPr>
          <w:rFonts w:ascii="Cambria" w:hAnsi="Cambria"/>
          <w:b/>
        </w:rPr>
      </w:pPr>
    </w:p>
    <w:p w14:paraId="6287BD98" w14:textId="452BB6AD" w:rsidR="002D203B" w:rsidRDefault="009E1539" w:rsidP="009A7EAD">
      <w:pPr>
        <w:rPr>
          <w:rFonts w:ascii="Cambria" w:hAnsi="Cambria"/>
        </w:rPr>
      </w:pPr>
      <w:r w:rsidRPr="00F367CF">
        <w:rPr>
          <w:rFonts w:ascii="Cambria" w:hAnsi="Cambria"/>
          <w:b/>
        </w:rPr>
        <w:tab/>
      </w:r>
      <w:r w:rsidRPr="00F367CF">
        <w:rPr>
          <w:rFonts w:ascii="Cambria" w:hAnsi="Cambria"/>
        </w:rPr>
        <w:t xml:space="preserve">Presently, there seems to be a negative and relatively nonsignificant relationship between STI indicators and GDP growth in MENA nations. </w:t>
      </w:r>
      <w:r w:rsidR="002745F8" w:rsidRPr="00F367CF">
        <w:rPr>
          <w:rFonts w:ascii="Cambria" w:hAnsi="Cambria"/>
        </w:rPr>
        <w:t>This study provides a broad overview of the relationship between these indicators</w:t>
      </w:r>
      <w:r w:rsidR="001E6ACF" w:rsidRPr="00F367CF">
        <w:rPr>
          <w:rFonts w:ascii="Cambria" w:hAnsi="Cambria"/>
        </w:rPr>
        <w:t xml:space="preserve"> that can be used by other researchers in the future to build upon. </w:t>
      </w:r>
    </w:p>
    <w:p w14:paraId="6C9232D4" w14:textId="77777777" w:rsidR="00DD6468" w:rsidRPr="00F367CF" w:rsidRDefault="00DD6468" w:rsidP="009A7EAD">
      <w:pPr>
        <w:rPr>
          <w:rFonts w:ascii="Cambria" w:hAnsi="Cambria"/>
        </w:rPr>
      </w:pPr>
    </w:p>
    <w:p w14:paraId="686D53E8" w14:textId="0E6471B0" w:rsidR="0099142A" w:rsidRPr="00F367CF" w:rsidRDefault="001E6ACF" w:rsidP="006060F3">
      <w:pPr>
        <w:rPr>
          <w:rFonts w:ascii="Cambria" w:hAnsi="Cambria"/>
        </w:rPr>
      </w:pPr>
      <w:r w:rsidRPr="00F367CF">
        <w:rPr>
          <w:rFonts w:ascii="Cambria" w:hAnsi="Cambria"/>
        </w:rPr>
        <w:tab/>
      </w:r>
      <w:r w:rsidR="00CD04EB" w:rsidRPr="00F367CF">
        <w:rPr>
          <w:rFonts w:ascii="Cambria" w:hAnsi="Cambria"/>
        </w:rPr>
        <w:t xml:space="preserve">This study </w:t>
      </w:r>
      <w:r w:rsidR="008C7D4A">
        <w:rPr>
          <w:rFonts w:ascii="Cambria" w:hAnsi="Cambria"/>
        </w:rPr>
        <w:t>produces unexpected results, and more research is required to understand</w:t>
      </w:r>
      <w:r w:rsidR="001F0DF3">
        <w:rPr>
          <w:rFonts w:ascii="Cambria" w:hAnsi="Cambria"/>
        </w:rPr>
        <w:t xml:space="preserve"> these results. </w:t>
      </w:r>
      <w:r w:rsidR="009B2D12">
        <w:rPr>
          <w:rFonts w:ascii="Cambria" w:hAnsi="Cambria"/>
        </w:rPr>
        <w:t>There are various possible reasons for these results. The negative and weak relationship may be due to the disruptive power of GPTs, the lack of privatization in the region, or may be due to other factors not studied in this report. Whatever the case may be, it will be impossible to determine the cause of these results without further studying these indicators with</w:t>
      </w:r>
      <w:bookmarkStart w:id="0" w:name="_GoBack"/>
      <w:bookmarkEnd w:id="0"/>
      <w:r w:rsidR="009B2D12">
        <w:rPr>
          <w:rFonts w:ascii="Cambria" w:hAnsi="Cambria"/>
        </w:rPr>
        <w:t xml:space="preserve">in the MENA region. </w:t>
      </w:r>
    </w:p>
    <w:p w14:paraId="38192BB1" w14:textId="77777777" w:rsidR="00AB1257" w:rsidRDefault="00AB1257">
      <w:pPr>
        <w:rPr>
          <w:rFonts w:ascii="Cambria" w:eastAsiaTheme="majorEastAsia" w:hAnsi="Cambria" w:cstheme="majorBidi"/>
          <w:color w:val="2E74B5" w:themeColor="accent1" w:themeShade="BF"/>
          <w:sz w:val="32"/>
          <w:szCs w:val="32"/>
        </w:rPr>
      </w:pPr>
      <w:r>
        <w:rPr>
          <w:rFonts w:ascii="Cambria" w:hAnsi="Cambria"/>
        </w:rPr>
        <w:br w:type="page"/>
      </w:r>
    </w:p>
    <w:p w14:paraId="3161803B" w14:textId="558DB302" w:rsidR="0099142A" w:rsidRPr="00F367CF" w:rsidRDefault="00CD04EB" w:rsidP="00CD04EB">
      <w:pPr>
        <w:pStyle w:val="Heading1"/>
        <w:rPr>
          <w:rFonts w:ascii="Cambria" w:hAnsi="Cambria"/>
        </w:rPr>
      </w:pPr>
      <w:r w:rsidRPr="00F367CF">
        <w:rPr>
          <w:rFonts w:ascii="Cambria" w:hAnsi="Cambria"/>
        </w:rPr>
        <w:lastRenderedPageBreak/>
        <w:t>APPENDIX</w:t>
      </w:r>
    </w:p>
    <w:p w14:paraId="7626DCAE" w14:textId="77777777" w:rsidR="00CD04EB" w:rsidRDefault="00CD04EB" w:rsidP="00CD04EB"/>
    <w:p w14:paraId="5F290A94" w14:textId="4487C242" w:rsidR="00CD04EB" w:rsidRPr="00CD04EB" w:rsidRDefault="00CD04EB" w:rsidP="00CD04EB">
      <w:pPr>
        <w:rPr>
          <w:rStyle w:val="Emphasis"/>
        </w:rPr>
      </w:pPr>
      <w:r>
        <w:rPr>
          <w:rStyle w:val="Emphasis"/>
        </w:rPr>
        <w:t>Figure 1</w:t>
      </w:r>
    </w:p>
    <w:p w14:paraId="00A9AFE4" w14:textId="08CD5D3A" w:rsidR="002B1706" w:rsidRDefault="002B1706" w:rsidP="006060F3">
      <w:pPr>
        <w:rPr>
          <w:rFonts w:ascii="Cambria" w:hAnsi="Cambria"/>
        </w:rPr>
      </w:pPr>
    </w:p>
    <w:p w14:paraId="1A8D46D4" w14:textId="77777777" w:rsidR="00CD04EB" w:rsidRDefault="00CD04EB" w:rsidP="006060F3">
      <w:pPr>
        <w:rPr>
          <w:rFonts w:ascii="Cambria" w:hAnsi="Cambria"/>
        </w:rPr>
      </w:pPr>
    </w:p>
    <w:tbl>
      <w:tblPr>
        <w:tblpPr w:leftFromText="180" w:rightFromText="180" w:vertAnchor="text" w:horzAnchor="page" w:tblpX="1450" w:tblpY="-17"/>
        <w:tblW w:w="7925" w:type="dxa"/>
        <w:tblLook w:val="04A0" w:firstRow="1" w:lastRow="0" w:firstColumn="1" w:lastColumn="0" w:noHBand="0" w:noVBand="1"/>
      </w:tblPr>
      <w:tblGrid>
        <w:gridCol w:w="1805"/>
        <w:gridCol w:w="1596"/>
        <w:gridCol w:w="1554"/>
        <w:gridCol w:w="1675"/>
        <w:gridCol w:w="1295"/>
      </w:tblGrid>
      <w:tr w:rsidR="00CD04EB" w:rsidRPr="004F5BB2" w14:paraId="3AB748C7" w14:textId="77777777" w:rsidTr="00CD04EB">
        <w:trPr>
          <w:trHeight w:val="300"/>
        </w:trPr>
        <w:tc>
          <w:tcPr>
            <w:tcW w:w="1805" w:type="dxa"/>
            <w:vMerge w:val="restart"/>
            <w:tcBorders>
              <w:top w:val="single" w:sz="4" w:space="0" w:color="auto"/>
              <w:left w:val="single" w:sz="4" w:space="0" w:color="auto"/>
              <w:bottom w:val="single" w:sz="8" w:space="0" w:color="000000"/>
              <w:right w:val="single" w:sz="4" w:space="0" w:color="auto"/>
            </w:tcBorders>
            <w:shd w:val="clear" w:color="auto" w:fill="8DA0F3"/>
            <w:noWrap/>
            <w:vAlign w:val="center"/>
            <w:hideMark/>
          </w:tcPr>
          <w:p w14:paraId="0F56898E"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Total # of regressions</w:t>
            </w:r>
          </w:p>
        </w:tc>
        <w:tc>
          <w:tcPr>
            <w:tcW w:w="3150" w:type="dxa"/>
            <w:gridSpan w:val="2"/>
            <w:tcBorders>
              <w:top w:val="single" w:sz="4" w:space="0" w:color="auto"/>
              <w:left w:val="nil"/>
              <w:bottom w:val="nil"/>
              <w:right w:val="single" w:sz="4" w:space="0" w:color="000000"/>
            </w:tcBorders>
            <w:shd w:val="clear" w:color="auto" w:fill="8DA0F3"/>
            <w:noWrap/>
            <w:vAlign w:val="bottom"/>
            <w:hideMark/>
          </w:tcPr>
          <w:p w14:paraId="05E7D7D1"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Total with p&lt;0.05</w:t>
            </w:r>
          </w:p>
        </w:tc>
        <w:tc>
          <w:tcPr>
            <w:tcW w:w="2970" w:type="dxa"/>
            <w:gridSpan w:val="2"/>
            <w:tcBorders>
              <w:top w:val="single" w:sz="4" w:space="0" w:color="auto"/>
              <w:left w:val="nil"/>
              <w:bottom w:val="nil"/>
              <w:right w:val="single" w:sz="4" w:space="0" w:color="000000"/>
            </w:tcBorders>
            <w:shd w:val="clear" w:color="auto" w:fill="8DA0F3"/>
            <w:noWrap/>
            <w:vAlign w:val="bottom"/>
            <w:hideMark/>
          </w:tcPr>
          <w:p w14:paraId="2A4F2E7D"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Total without p&gt;0.05</w:t>
            </w:r>
          </w:p>
        </w:tc>
      </w:tr>
      <w:tr w:rsidR="00CD04EB" w:rsidRPr="004F5BB2" w14:paraId="7DB70670" w14:textId="77777777" w:rsidTr="00CD04EB">
        <w:trPr>
          <w:trHeight w:val="315"/>
        </w:trPr>
        <w:tc>
          <w:tcPr>
            <w:tcW w:w="1805" w:type="dxa"/>
            <w:vMerge/>
            <w:tcBorders>
              <w:top w:val="single" w:sz="4" w:space="0" w:color="auto"/>
              <w:left w:val="single" w:sz="4" w:space="0" w:color="auto"/>
              <w:bottom w:val="single" w:sz="8" w:space="0" w:color="000000"/>
              <w:right w:val="single" w:sz="4" w:space="0" w:color="auto"/>
            </w:tcBorders>
            <w:shd w:val="clear" w:color="auto" w:fill="8DA0F3"/>
            <w:vAlign w:val="center"/>
            <w:hideMark/>
          </w:tcPr>
          <w:p w14:paraId="246FCC31" w14:textId="77777777" w:rsidR="00CD04EB" w:rsidRPr="00D42145" w:rsidRDefault="00CD04EB" w:rsidP="00CD04EB">
            <w:pPr>
              <w:rPr>
                <w:rFonts w:eastAsia="Times New Roman" w:cs="Calibri"/>
                <w:color w:val="FFFFFF" w:themeColor="background1"/>
                <w:sz w:val="28"/>
                <w:szCs w:val="28"/>
              </w:rPr>
            </w:pPr>
          </w:p>
        </w:tc>
        <w:tc>
          <w:tcPr>
            <w:tcW w:w="1596" w:type="dxa"/>
            <w:tcBorders>
              <w:top w:val="nil"/>
              <w:left w:val="nil"/>
              <w:bottom w:val="single" w:sz="8" w:space="0" w:color="auto"/>
              <w:right w:val="nil"/>
            </w:tcBorders>
            <w:shd w:val="clear" w:color="auto" w:fill="8DA0F3"/>
            <w:noWrap/>
            <w:vAlign w:val="bottom"/>
            <w:hideMark/>
          </w:tcPr>
          <w:p w14:paraId="6FF93BBB"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w:t>
            </w:r>
          </w:p>
        </w:tc>
        <w:tc>
          <w:tcPr>
            <w:tcW w:w="1554" w:type="dxa"/>
            <w:tcBorders>
              <w:top w:val="nil"/>
              <w:left w:val="nil"/>
              <w:bottom w:val="single" w:sz="8" w:space="0" w:color="auto"/>
              <w:right w:val="single" w:sz="4" w:space="0" w:color="auto"/>
            </w:tcBorders>
            <w:shd w:val="clear" w:color="auto" w:fill="8DA0F3"/>
            <w:noWrap/>
            <w:vAlign w:val="bottom"/>
            <w:hideMark/>
          </w:tcPr>
          <w:p w14:paraId="47755D29"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w:t>
            </w:r>
          </w:p>
        </w:tc>
        <w:tc>
          <w:tcPr>
            <w:tcW w:w="1675" w:type="dxa"/>
            <w:tcBorders>
              <w:top w:val="nil"/>
              <w:left w:val="nil"/>
              <w:bottom w:val="single" w:sz="8" w:space="0" w:color="auto"/>
              <w:right w:val="nil"/>
            </w:tcBorders>
            <w:shd w:val="clear" w:color="auto" w:fill="8DA0F3"/>
            <w:noWrap/>
            <w:vAlign w:val="bottom"/>
            <w:hideMark/>
          </w:tcPr>
          <w:p w14:paraId="7C83BAD8"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w:t>
            </w:r>
          </w:p>
        </w:tc>
        <w:tc>
          <w:tcPr>
            <w:tcW w:w="1295" w:type="dxa"/>
            <w:tcBorders>
              <w:top w:val="nil"/>
              <w:left w:val="nil"/>
              <w:bottom w:val="single" w:sz="8" w:space="0" w:color="auto"/>
              <w:right w:val="single" w:sz="4" w:space="0" w:color="auto"/>
            </w:tcBorders>
            <w:shd w:val="clear" w:color="auto" w:fill="8DA0F3"/>
            <w:noWrap/>
            <w:vAlign w:val="bottom"/>
            <w:hideMark/>
          </w:tcPr>
          <w:p w14:paraId="64A3DF36" w14:textId="77777777" w:rsidR="00CD04EB" w:rsidRPr="00D42145" w:rsidRDefault="00CD04EB" w:rsidP="00CD04EB">
            <w:pPr>
              <w:jc w:val="center"/>
              <w:rPr>
                <w:rFonts w:eastAsia="Times New Roman" w:cs="Calibri"/>
                <w:color w:val="FFFFFF" w:themeColor="background1"/>
                <w:sz w:val="28"/>
                <w:szCs w:val="28"/>
              </w:rPr>
            </w:pPr>
            <w:r w:rsidRPr="00D42145">
              <w:rPr>
                <w:rFonts w:eastAsia="Times New Roman" w:cs="Calibri"/>
                <w:color w:val="FFFFFF" w:themeColor="background1"/>
                <w:sz w:val="28"/>
                <w:szCs w:val="28"/>
              </w:rPr>
              <w:t>-</w:t>
            </w:r>
          </w:p>
        </w:tc>
      </w:tr>
      <w:tr w:rsidR="00CD04EB" w:rsidRPr="004F5BB2" w14:paraId="4A1B1BAE" w14:textId="77777777" w:rsidTr="00D42145">
        <w:trPr>
          <w:trHeight w:val="260"/>
        </w:trPr>
        <w:tc>
          <w:tcPr>
            <w:tcW w:w="1805" w:type="dxa"/>
            <w:tcBorders>
              <w:top w:val="nil"/>
              <w:left w:val="single" w:sz="4" w:space="0" w:color="auto"/>
              <w:bottom w:val="single" w:sz="4" w:space="0" w:color="auto"/>
              <w:right w:val="single" w:sz="4" w:space="0" w:color="auto"/>
            </w:tcBorders>
            <w:shd w:val="clear" w:color="auto" w:fill="E0E5FC"/>
            <w:noWrap/>
            <w:vAlign w:val="bottom"/>
            <w:hideMark/>
          </w:tcPr>
          <w:p w14:paraId="717EDF23" w14:textId="77777777" w:rsidR="00CD04EB" w:rsidRPr="00D42145" w:rsidRDefault="00CD04EB" w:rsidP="00CD04EB">
            <w:pPr>
              <w:jc w:val="center"/>
              <w:rPr>
                <w:rFonts w:ascii="Calibri" w:eastAsia="Times New Roman" w:hAnsi="Calibri" w:cs="Calibri"/>
                <w:color w:val="000000"/>
              </w:rPr>
            </w:pPr>
            <w:r w:rsidRPr="00D42145">
              <w:rPr>
                <w:rFonts w:ascii="Calibri" w:eastAsia="Times New Roman" w:hAnsi="Calibri" w:cs="Calibri"/>
                <w:color w:val="000000"/>
              </w:rPr>
              <w:t>155</w:t>
            </w:r>
          </w:p>
        </w:tc>
        <w:tc>
          <w:tcPr>
            <w:tcW w:w="1596" w:type="dxa"/>
            <w:tcBorders>
              <w:top w:val="nil"/>
              <w:left w:val="nil"/>
              <w:bottom w:val="single" w:sz="4" w:space="0" w:color="auto"/>
              <w:right w:val="nil"/>
            </w:tcBorders>
            <w:shd w:val="clear" w:color="auto" w:fill="E0E5FC"/>
            <w:noWrap/>
            <w:vAlign w:val="bottom"/>
            <w:hideMark/>
          </w:tcPr>
          <w:p w14:paraId="2B4323A6" w14:textId="77777777" w:rsidR="00CD04EB" w:rsidRPr="00D42145" w:rsidRDefault="00CD04EB" w:rsidP="00CD04EB">
            <w:pPr>
              <w:jc w:val="center"/>
              <w:rPr>
                <w:rFonts w:ascii="Calibri" w:eastAsia="Times New Roman" w:hAnsi="Calibri" w:cs="Calibri"/>
                <w:color w:val="000000"/>
              </w:rPr>
            </w:pPr>
            <w:r w:rsidRPr="00D42145">
              <w:rPr>
                <w:rFonts w:ascii="Calibri" w:eastAsia="Times New Roman" w:hAnsi="Calibri" w:cs="Calibri"/>
                <w:color w:val="000000"/>
              </w:rPr>
              <w:t>4</w:t>
            </w:r>
          </w:p>
        </w:tc>
        <w:tc>
          <w:tcPr>
            <w:tcW w:w="1554" w:type="dxa"/>
            <w:tcBorders>
              <w:top w:val="nil"/>
              <w:left w:val="nil"/>
              <w:bottom w:val="single" w:sz="4" w:space="0" w:color="auto"/>
              <w:right w:val="single" w:sz="4" w:space="0" w:color="auto"/>
            </w:tcBorders>
            <w:shd w:val="clear" w:color="auto" w:fill="E0E5FC"/>
            <w:noWrap/>
            <w:vAlign w:val="bottom"/>
            <w:hideMark/>
          </w:tcPr>
          <w:p w14:paraId="49BB5A5E" w14:textId="77777777" w:rsidR="00CD04EB" w:rsidRPr="00D42145" w:rsidRDefault="00CD04EB" w:rsidP="00CD04EB">
            <w:pPr>
              <w:jc w:val="center"/>
              <w:rPr>
                <w:rFonts w:ascii="Calibri" w:eastAsia="Times New Roman" w:hAnsi="Calibri" w:cs="Calibri"/>
                <w:color w:val="000000"/>
              </w:rPr>
            </w:pPr>
            <w:r w:rsidRPr="00D42145">
              <w:rPr>
                <w:rFonts w:ascii="Calibri" w:eastAsia="Times New Roman" w:hAnsi="Calibri" w:cs="Calibri"/>
                <w:color w:val="000000"/>
              </w:rPr>
              <w:t>26</w:t>
            </w:r>
          </w:p>
        </w:tc>
        <w:tc>
          <w:tcPr>
            <w:tcW w:w="1675" w:type="dxa"/>
            <w:tcBorders>
              <w:top w:val="nil"/>
              <w:left w:val="nil"/>
              <w:bottom w:val="single" w:sz="4" w:space="0" w:color="auto"/>
              <w:right w:val="nil"/>
            </w:tcBorders>
            <w:shd w:val="clear" w:color="auto" w:fill="E0E5FC"/>
            <w:noWrap/>
            <w:vAlign w:val="bottom"/>
            <w:hideMark/>
          </w:tcPr>
          <w:p w14:paraId="3386916E" w14:textId="77777777" w:rsidR="00CD04EB" w:rsidRPr="00D42145" w:rsidRDefault="00CD04EB" w:rsidP="00CD04EB">
            <w:pPr>
              <w:jc w:val="center"/>
              <w:rPr>
                <w:rFonts w:ascii="Calibri" w:eastAsia="Times New Roman" w:hAnsi="Calibri" w:cs="Calibri"/>
                <w:color w:val="000000"/>
              </w:rPr>
            </w:pPr>
            <w:r w:rsidRPr="00D42145">
              <w:rPr>
                <w:rFonts w:ascii="Calibri" w:eastAsia="Times New Roman" w:hAnsi="Calibri" w:cs="Calibri"/>
                <w:color w:val="000000"/>
              </w:rPr>
              <w:t>41</w:t>
            </w:r>
          </w:p>
        </w:tc>
        <w:tc>
          <w:tcPr>
            <w:tcW w:w="1295" w:type="dxa"/>
            <w:tcBorders>
              <w:top w:val="nil"/>
              <w:left w:val="nil"/>
              <w:bottom w:val="single" w:sz="4" w:space="0" w:color="auto"/>
              <w:right w:val="single" w:sz="4" w:space="0" w:color="auto"/>
            </w:tcBorders>
            <w:shd w:val="clear" w:color="auto" w:fill="E0E5FC"/>
            <w:noWrap/>
            <w:vAlign w:val="bottom"/>
            <w:hideMark/>
          </w:tcPr>
          <w:p w14:paraId="4C85F52A" w14:textId="77777777" w:rsidR="00CD04EB" w:rsidRPr="00D42145" w:rsidRDefault="00CD04EB" w:rsidP="00CD04EB">
            <w:pPr>
              <w:jc w:val="center"/>
              <w:rPr>
                <w:rFonts w:ascii="Calibri" w:eastAsia="Times New Roman" w:hAnsi="Calibri" w:cs="Calibri"/>
                <w:color w:val="000000"/>
              </w:rPr>
            </w:pPr>
            <w:r w:rsidRPr="00D42145">
              <w:rPr>
                <w:rFonts w:ascii="Calibri" w:eastAsia="Times New Roman" w:hAnsi="Calibri" w:cs="Calibri"/>
                <w:color w:val="000000"/>
              </w:rPr>
              <w:t>84</w:t>
            </w:r>
          </w:p>
        </w:tc>
      </w:tr>
    </w:tbl>
    <w:p w14:paraId="38E2E9DD" w14:textId="77777777" w:rsidR="00CD04EB" w:rsidRDefault="00CD04EB" w:rsidP="006060F3">
      <w:pPr>
        <w:rPr>
          <w:rFonts w:ascii="Cambria" w:hAnsi="Cambria"/>
        </w:rPr>
      </w:pPr>
    </w:p>
    <w:p w14:paraId="74329B9F" w14:textId="77777777" w:rsidR="00CD04EB" w:rsidRDefault="00CD04EB" w:rsidP="006060F3">
      <w:pPr>
        <w:rPr>
          <w:rFonts w:ascii="Cambria" w:hAnsi="Cambria"/>
        </w:rPr>
      </w:pPr>
    </w:p>
    <w:p w14:paraId="548928E2" w14:textId="77777777" w:rsidR="00CD04EB" w:rsidRDefault="00CD04EB" w:rsidP="006060F3">
      <w:pPr>
        <w:rPr>
          <w:rFonts w:ascii="Cambria" w:hAnsi="Cambria"/>
        </w:rPr>
      </w:pPr>
    </w:p>
    <w:p w14:paraId="042B1216" w14:textId="77777777" w:rsidR="00CD04EB" w:rsidRDefault="00CD04EB" w:rsidP="00CD04EB">
      <w:pPr>
        <w:rPr>
          <w:rStyle w:val="Emphasis"/>
        </w:rPr>
      </w:pPr>
    </w:p>
    <w:p w14:paraId="03619982" w14:textId="77777777" w:rsidR="00CD04EB" w:rsidRDefault="00CD04EB" w:rsidP="00CD04EB">
      <w:pPr>
        <w:rPr>
          <w:rStyle w:val="Emphasis"/>
        </w:rPr>
      </w:pPr>
    </w:p>
    <w:p w14:paraId="174B98B3" w14:textId="77777777" w:rsidR="00CD04EB" w:rsidRDefault="00CD04EB">
      <w:pPr>
        <w:rPr>
          <w:rStyle w:val="Emphasis"/>
        </w:rPr>
      </w:pPr>
      <w:r>
        <w:rPr>
          <w:rStyle w:val="Emphasis"/>
        </w:rPr>
        <w:br w:type="page"/>
      </w:r>
    </w:p>
    <w:p w14:paraId="2652E65C" w14:textId="524AB697" w:rsidR="004F5BB2" w:rsidRPr="00CD04EB" w:rsidRDefault="00CD04EB" w:rsidP="00CD04EB">
      <w:pPr>
        <w:rPr>
          <w:i/>
          <w:iCs/>
        </w:rPr>
      </w:pPr>
      <w:r>
        <w:rPr>
          <w:rStyle w:val="Emphasis"/>
        </w:rPr>
        <w:lastRenderedPageBreak/>
        <w:t>Figure 2</w:t>
      </w:r>
    </w:p>
    <w:tbl>
      <w:tblPr>
        <w:tblpPr w:leftFromText="180" w:rightFromText="180" w:vertAnchor="text" w:horzAnchor="margin" w:tblpXSpec="center" w:tblpY="1006"/>
        <w:tblW w:w="10028" w:type="dxa"/>
        <w:tblLook w:val="04A0" w:firstRow="1" w:lastRow="0" w:firstColumn="1" w:lastColumn="0" w:noHBand="0" w:noVBand="1"/>
      </w:tblPr>
      <w:tblGrid>
        <w:gridCol w:w="1145"/>
        <w:gridCol w:w="2090"/>
        <w:gridCol w:w="540"/>
        <w:gridCol w:w="720"/>
        <w:gridCol w:w="900"/>
        <w:gridCol w:w="1258"/>
        <w:gridCol w:w="1476"/>
        <w:gridCol w:w="1273"/>
        <w:gridCol w:w="810"/>
        <w:gridCol w:w="900"/>
      </w:tblGrid>
      <w:tr w:rsidR="0060739D" w:rsidRPr="0082770A" w14:paraId="30A3F160" w14:textId="77777777" w:rsidTr="00D42145">
        <w:trPr>
          <w:trHeight w:val="390"/>
        </w:trPr>
        <w:tc>
          <w:tcPr>
            <w:tcW w:w="880" w:type="dxa"/>
            <w:tcBorders>
              <w:top w:val="single" w:sz="8" w:space="0" w:color="auto"/>
              <w:left w:val="single" w:sz="8" w:space="0" w:color="auto"/>
              <w:bottom w:val="single" w:sz="8" w:space="0" w:color="auto"/>
              <w:right w:val="single" w:sz="4" w:space="0" w:color="auto"/>
            </w:tcBorders>
            <w:shd w:val="clear" w:color="auto" w:fill="657FEF"/>
            <w:noWrap/>
            <w:vAlign w:val="center"/>
            <w:hideMark/>
          </w:tcPr>
          <w:p w14:paraId="2E08130E"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Country</w:t>
            </w:r>
          </w:p>
        </w:tc>
        <w:tc>
          <w:tcPr>
            <w:tcW w:w="2090" w:type="dxa"/>
            <w:tcBorders>
              <w:top w:val="single" w:sz="8" w:space="0" w:color="auto"/>
              <w:left w:val="nil"/>
              <w:bottom w:val="single" w:sz="8" w:space="0" w:color="auto"/>
              <w:right w:val="single" w:sz="4" w:space="0" w:color="auto"/>
            </w:tcBorders>
            <w:shd w:val="clear" w:color="auto" w:fill="657FEF"/>
            <w:noWrap/>
            <w:vAlign w:val="center"/>
            <w:hideMark/>
          </w:tcPr>
          <w:p w14:paraId="06CFC686"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Indicator</w:t>
            </w:r>
          </w:p>
        </w:tc>
        <w:tc>
          <w:tcPr>
            <w:tcW w:w="540" w:type="dxa"/>
            <w:tcBorders>
              <w:top w:val="single" w:sz="8" w:space="0" w:color="auto"/>
              <w:left w:val="nil"/>
              <w:bottom w:val="single" w:sz="8" w:space="0" w:color="auto"/>
              <w:right w:val="single" w:sz="4" w:space="0" w:color="auto"/>
            </w:tcBorders>
            <w:shd w:val="clear" w:color="auto" w:fill="657FEF"/>
            <w:noWrap/>
            <w:vAlign w:val="center"/>
            <w:hideMark/>
          </w:tcPr>
          <w:p w14:paraId="6BFFAC43"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n</w:t>
            </w:r>
          </w:p>
        </w:tc>
        <w:tc>
          <w:tcPr>
            <w:tcW w:w="720" w:type="dxa"/>
            <w:tcBorders>
              <w:top w:val="single" w:sz="8" w:space="0" w:color="auto"/>
              <w:left w:val="nil"/>
              <w:bottom w:val="single" w:sz="8" w:space="0" w:color="auto"/>
              <w:right w:val="single" w:sz="4" w:space="0" w:color="auto"/>
            </w:tcBorders>
            <w:shd w:val="clear" w:color="auto" w:fill="657FEF"/>
            <w:noWrap/>
            <w:vAlign w:val="center"/>
            <w:hideMark/>
          </w:tcPr>
          <w:p w14:paraId="4A807F46"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F</w:t>
            </w:r>
          </w:p>
        </w:tc>
        <w:tc>
          <w:tcPr>
            <w:tcW w:w="900" w:type="dxa"/>
            <w:tcBorders>
              <w:top w:val="single" w:sz="8" w:space="0" w:color="auto"/>
              <w:left w:val="nil"/>
              <w:bottom w:val="single" w:sz="8" w:space="0" w:color="auto"/>
              <w:right w:val="single" w:sz="4" w:space="0" w:color="auto"/>
            </w:tcBorders>
            <w:shd w:val="clear" w:color="auto" w:fill="657FEF"/>
            <w:noWrap/>
            <w:vAlign w:val="center"/>
            <w:hideMark/>
          </w:tcPr>
          <w:p w14:paraId="3E9F80DD"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Prob &gt; F</w:t>
            </w:r>
          </w:p>
        </w:tc>
        <w:tc>
          <w:tcPr>
            <w:tcW w:w="1080" w:type="dxa"/>
            <w:tcBorders>
              <w:top w:val="single" w:sz="8" w:space="0" w:color="auto"/>
              <w:left w:val="nil"/>
              <w:bottom w:val="single" w:sz="8" w:space="0" w:color="auto"/>
              <w:right w:val="single" w:sz="4" w:space="0" w:color="auto"/>
            </w:tcBorders>
            <w:shd w:val="clear" w:color="auto" w:fill="657FEF"/>
            <w:noWrap/>
            <w:vAlign w:val="center"/>
            <w:hideMark/>
          </w:tcPr>
          <w:p w14:paraId="081F6F5C" w14:textId="205086C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Adj</w:t>
            </w:r>
            <w:r w:rsidR="00D42145" w:rsidRPr="00D42145">
              <w:rPr>
                <w:rFonts w:ascii="Calibri" w:eastAsia="Times New Roman" w:hAnsi="Calibri" w:cs="Calibri"/>
                <w:b/>
                <w:bCs/>
                <w:color w:val="FFFFFF" w:themeColor="background1"/>
                <w:sz w:val="28"/>
              </w:rPr>
              <w:t>usted R Sq.</w:t>
            </w:r>
          </w:p>
        </w:tc>
        <w:tc>
          <w:tcPr>
            <w:tcW w:w="1116" w:type="dxa"/>
            <w:tcBorders>
              <w:top w:val="single" w:sz="8" w:space="0" w:color="auto"/>
              <w:left w:val="nil"/>
              <w:bottom w:val="single" w:sz="8" w:space="0" w:color="auto"/>
              <w:right w:val="single" w:sz="4" w:space="0" w:color="auto"/>
            </w:tcBorders>
            <w:shd w:val="clear" w:color="auto" w:fill="657FEF"/>
            <w:noWrap/>
            <w:vAlign w:val="center"/>
            <w:hideMark/>
          </w:tcPr>
          <w:p w14:paraId="38FFE46E"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Coefficient</w:t>
            </w:r>
          </w:p>
        </w:tc>
        <w:tc>
          <w:tcPr>
            <w:tcW w:w="992" w:type="dxa"/>
            <w:tcBorders>
              <w:top w:val="single" w:sz="8" w:space="0" w:color="auto"/>
              <w:left w:val="nil"/>
              <w:bottom w:val="single" w:sz="8" w:space="0" w:color="auto"/>
              <w:right w:val="single" w:sz="4" w:space="0" w:color="auto"/>
            </w:tcBorders>
            <w:shd w:val="clear" w:color="auto" w:fill="657FEF"/>
            <w:noWrap/>
            <w:vAlign w:val="center"/>
            <w:hideMark/>
          </w:tcPr>
          <w:p w14:paraId="4BEB18CA"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Standard</w:t>
            </w:r>
          </w:p>
          <w:p w14:paraId="1522EC81"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Error</w:t>
            </w:r>
          </w:p>
        </w:tc>
        <w:tc>
          <w:tcPr>
            <w:tcW w:w="810" w:type="dxa"/>
            <w:tcBorders>
              <w:top w:val="single" w:sz="8" w:space="0" w:color="auto"/>
              <w:left w:val="nil"/>
              <w:bottom w:val="single" w:sz="8" w:space="0" w:color="auto"/>
              <w:right w:val="single" w:sz="4" w:space="0" w:color="auto"/>
            </w:tcBorders>
            <w:shd w:val="clear" w:color="auto" w:fill="657FEF"/>
            <w:noWrap/>
            <w:vAlign w:val="center"/>
            <w:hideMark/>
          </w:tcPr>
          <w:p w14:paraId="77D7D2A6"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t</w:t>
            </w:r>
          </w:p>
        </w:tc>
        <w:tc>
          <w:tcPr>
            <w:tcW w:w="900" w:type="dxa"/>
            <w:tcBorders>
              <w:top w:val="single" w:sz="8" w:space="0" w:color="auto"/>
              <w:left w:val="nil"/>
              <w:bottom w:val="single" w:sz="8" w:space="0" w:color="auto"/>
              <w:right w:val="single" w:sz="8" w:space="0" w:color="auto"/>
            </w:tcBorders>
            <w:shd w:val="clear" w:color="auto" w:fill="657FEF"/>
            <w:noWrap/>
            <w:vAlign w:val="center"/>
            <w:hideMark/>
          </w:tcPr>
          <w:p w14:paraId="2DB91694" w14:textId="77777777" w:rsidR="0060739D" w:rsidRPr="00D42145" w:rsidRDefault="0060739D" w:rsidP="00973371">
            <w:pPr>
              <w:jc w:val="center"/>
              <w:rPr>
                <w:rFonts w:ascii="Calibri" w:eastAsia="Times New Roman" w:hAnsi="Calibri" w:cs="Calibri"/>
                <w:b/>
                <w:bCs/>
                <w:color w:val="FFFFFF" w:themeColor="background1"/>
                <w:sz w:val="28"/>
              </w:rPr>
            </w:pPr>
            <w:r w:rsidRPr="00D42145">
              <w:rPr>
                <w:rFonts w:ascii="Calibri" w:eastAsia="Times New Roman" w:hAnsi="Calibri" w:cs="Calibri"/>
                <w:b/>
                <w:bCs/>
                <w:color w:val="FFFFFF" w:themeColor="background1"/>
                <w:sz w:val="28"/>
              </w:rPr>
              <w:t>p</w:t>
            </w:r>
          </w:p>
        </w:tc>
      </w:tr>
      <w:tr w:rsidR="0060739D" w:rsidRPr="0082770A" w14:paraId="17A079EE"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C6FBFE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Algeria</w:t>
            </w:r>
          </w:p>
        </w:tc>
        <w:tc>
          <w:tcPr>
            <w:tcW w:w="2090" w:type="dxa"/>
            <w:tcBorders>
              <w:top w:val="single" w:sz="8" w:space="0" w:color="auto"/>
              <w:left w:val="nil"/>
              <w:bottom w:val="single" w:sz="4" w:space="0" w:color="auto"/>
              <w:right w:val="single" w:sz="4" w:space="0" w:color="auto"/>
            </w:tcBorders>
            <w:shd w:val="clear" w:color="auto" w:fill="auto"/>
            <w:noWrap/>
            <w:vAlign w:val="center"/>
            <w:hideMark/>
          </w:tcPr>
          <w:p w14:paraId="0621B419"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imports</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14:paraId="5606D8E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5FBB199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7.68</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27D268C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0.0142</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E09DAA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0.2946</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14:paraId="6B1716E1"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FD5B57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0.2260243</w:t>
            </w: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14:paraId="74A0711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2.77</w:t>
            </w:r>
          </w:p>
        </w:tc>
        <w:tc>
          <w:tcPr>
            <w:tcW w:w="900" w:type="dxa"/>
            <w:tcBorders>
              <w:top w:val="nil"/>
              <w:left w:val="nil"/>
              <w:bottom w:val="single" w:sz="4" w:space="0" w:color="auto"/>
              <w:right w:val="single" w:sz="8" w:space="0" w:color="auto"/>
            </w:tcBorders>
            <w:shd w:val="clear" w:color="000000" w:fill="auto"/>
            <w:noWrap/>
            <w:vAlign w:val="bottom"/>
            <w:hideMark/>
          </w:tcPr>
          <w:p w14:paraId="4A1EB8B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0.014</w:t>
            </w:r>
          </w:p>
        </w:tc>
      </w:tr>
      <w:tr w:rsidR="0060739D" w:rsidRPr="0082770A" w14:paraId="685E3752" w14:textId="77777777" w:rsidTr="00D42145">
        <w:trPr>
          <w:trHeight w:val="330"/>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02725D35"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Algeria</w:t>
            </w:r>
          </w:p>
        </w:tc>
        <w:tc>
          <w:tcPr>
            <w:tcW w:w="2090" w:type="dxa"/>
            <w:tcBorders>
              <w:top w:val="nil"/>
              <w:left w:val="nil"/>
              <w:bottom w:val="single" w:sz="4" w:space="0" w:color="auto"/>
              <w:right w:val="single" w:sz="4" w:space="0" w:color="auto"/>
            </w:tcBorders>
            <w:shd w:val="clear" w:color="auto" w:fill="E0E5FD"/>
            <w:noWrap/>
            <w:vAlign w:val="center"/>
            <w:hideMark/>
          </w:tcPr>
          <w:p w14:paraId="786E6123"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Trademark applications</w:t>
            </w:r>
          </w:p>
        </w:tc>
        <w:tc>
          <w:tcPr>
            <w:tcW w:w="540" w:type="dxa"/>
            <w:tcBorders>
              <w:top w:val="nil"/>
              <w:left w:val="nil"/>
              <w:bottom w:val="single" w:sz="4" w:space="0" w:color="auto"/>
              <w:right w:val="single" w:sz="4" w:space="0" w:color="auto"/>
            </w:tcBorders>
            <w:shd w:val="clear" w:color="auto" w:fill="E0E5FD"/>
            <w:noWrap/>
            <w:vAlign w:val="bottom"/>
            <w:hideMark/>
          </w:tcPr>
          <w:p w14:paraId="3D91865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51</w:t>
            </w:r>
          </w:p>
        </w:tc>
        <w:tc>
          <w:tcPr>
            <w:tcW w:w="720" w:type="dxa"/>
            <w:tcBorders>
              <w:top w:val="nil"/>
              <w:left w:val="nil"/>
              <w:bottom w:val="single" w:sz="4" w:space="0" w:color="auto"/>
              <w:right w:val="single" w:sz="4" w:space="0" w:color="auto"/>
            </w:tcBorders>
            <w:shd w:val="clear" w:color="auto" w:fill="E0E5FD"/>
            <w:noWrap/>
            <w:vAlign w:val="bottom"/>
            <w:hideMark/>
          </w:tcPr>
          <w:p w14:paraId="12DB5D2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5.99</w:t>
            </w:r>
          </w:p>
        </w:tc>
        <w:tc>
          <w:tcPr>
            <w:tcW w:w="900" w:type="dxa"/>
            <w:tcBorders>
              <w:top w:val="nil"/>
              <w:left w:val="nil"/>
              <w:bottom w:val="single" w:sz="4" w:space="0" w:color="auto"/>
              <w:right w:val="single" w:sz="4" w:space="0" w:color="auto"/>
            </w:tcBorders>
            <w:shd w:val="clear" w:color="auto" w:fill="E0E5FD"/>
            <w:noWrap/>
            <w:vAlign w:val="bottom"/>
            <w:hideMark/>
          </w:tcPr>
          <w:p w14:paraId="04912E5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0.018</w:t>
            </w:r>
          </w:p>
        </w:tc>
        <w:tc>
          <w:tcPr>
            <w:tcW w:w="1080" w:type="dxa"/>
            <w:tcBorders>
              <w:top w:val="nil"/>
              <w:left w:val="nil"/>
              <w:bottom w:val="single" w:sz="4" w:space="0" w:color="auto"/>
              <w:right w:val="single" w:sz="4" w:space="0" w:color="auto"/>
            </w:tcBorders>
            <w:shd w:val="clear" w:color="auto" w:fill="E0E5FD"/>
            <w:noWrap/>
            <w:vAlign w:val="bottom"/>
            <w:hideMark/>
          </w:tcPr>
          <w:p w14:paraId="50AC31B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0.0907</w:t>
            </w:r>
          </w:p>
        </w:tc>
        <w:tc>
          <w:tcPr>
            <w:tcW w:w="1116" w:type="dxa"/>
            <w:tcBorders>
              <w:top w:val="nil"/>
              <w:left w:val="nil"/>
              <w:bottom w:val="single" w:sz="4" w:space="0" w:color="auto"/>
              <w:right w:val="single" w:sz="4" w:space="0" w:color="auto"/>
            </w:tcBorders>
            <w:shd w:val="clear" w:color="auto" w:fill="E0E5FD"/>
            <w:noWrap/>
            <w:vAlign w:val="bottom"/>
            <w:hideMark/>
          </w:tcPr>
          <w:p w14:paraId="78FB754B"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61CFB33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0.0002593</w:t>
            </w:r>
          </w:p>
        </w:tc>
        <w:tc>
          <w:tcPr>
            <w:tcW w:w="810" w:type="dxa"/>
            <w:tcBorders>
              <w:top w:val="nil"/>
              <w:left w:val="nil"/>
              <w:bottom w:val="single" w:sz="4" w:space="0" w:color="auto"/>
              <w:right w:val="single" w:sz="4" w:space="0" w:color="auto"/>
            </w:tcBorders>
            <w:shd w:val="clear" w:color="auto" w:fill="E0E5FD"/>
            <w:noWrap/>
            <w:vAlign w:val="bottom"/>
            <w:hideMark/>
          </w:tcPr>
          <w:p w14:paraId="781AE6E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-2.45</w:t>
            </w:r>
          </w:p>
        </w:tc>
        <w:tc>
          <w:tcPr>
            <w:tcW w:w="900" w:type="dxa"/>
            <w:tcBorders>
              <w:top w:val="nil"/>
              <w:left w:val="nil"/>
              <w:bottom w:val="single" w:sz="4" w:space="0" w:color="auto"/>
              <w:right w:val="single" w:sz="8" w:space="0" w:color="auto"/>
            </w:tcBorders>
            <w:shd w:val="clear" w:color="000000" w:fill="E0E5FD"/>
            <w:noWrap/>
            <w:vAlign w:val="bottom"/>
            <w:hideMark/>
          </w:tcPr>
          <w:p w14:paraId="3B19D07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0.018</w:t>
            </w:r>
          </w:p>
        </w:tc>
      </w:tr>
      <w:tr w:rsidR="0060739D" w:rsidRPr="0082770A" w14:paraId="2F507A7B"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17D2E71"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Bahrain</w:t>
            </w:r>
          </w:p>
        </w:tc>
        <w:tc>
          <w:tcPr>
            <w:tcW w:w="2090" w:type="dxa"/>
            <w:tcBorders>
              <w:top w:val="nil"/>
              <w:left w:val="nil"/>
              <w:bottom w:val="single" w:sz="4" w:space="0" w:color="auto"/>
              <w:right w:val="single" w:sz="4" w:space="0" w:color="auto"/>
            </w:tcBorders>
            <w:shd w:val="clear" w:color="auto" w:fill="auto"/>
            <w:noWrap/>
            <w:vAlign w:val="center"/>
            <w:hideMark/>
          </w:tcPr>
          <w:p w14:paraId="3A6B5CDF"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imports</w:t>
            </w:r>
          </w:p>
        </w:tc>
        <w:tc>
          <w:tcPr>
            <w:tcW w:w="540" w:type="dxa"/>
            <w:tcBorders>
              <w:top w:val="nil"/>
              <w:left w:val="nil"/>
              <w:bottom w:val="single" w:sz="4" w:space="0" w:color="auto"/>
              <w:right w:val="single" w:sz="4" w:space="0" w:color="auto"/>
            </w:tcBorders>
            <w:shd w:val="clear" w:color="auto" w:fill="auto"/>
            <w:noWrap/>
            <w:vAlign w:val="bottom"/>
            <w:hideMark/>
          </w:tcPr>
          <w:p w14:paraId="43D6BD3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w:t>
            </w:r>
          </w:p>
        </w:tc>
        <w:tc>
          <w:tcPr>
            <w:tcW w:w="720" w:type="dxa"/>
            <w:tcBorders>
              <w:top w:val="nil"/>
              <w:left w:val="nil"/>
              <w:bottom w:val="single" w:sz="4" w:space="0" w:color="auto"/>
              <w:right w:val="single" w:sz="4" w:space="0" w:color="auto"/>
            </w:tcBorders>
            <w:shd w:val="clear" w:color="auto" w:fill="auto"/>
            <w:noWrap/>
            <w:vAlign w:val="bottom"/>
            <w:hideMark/>
          </w:tcPr>
          <w:p w14:paraId="2025C2F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12.78</w:t>
            </w:r>
          </w:p>
        </w:tc>
        <w:tc>
          <w:tcPr>
            <w:tcW w:w="900" w:type="dxa"/>
            <w:tcBorders>
              <w:top w:val="nil"/>
              <w:left w:val="nil"/>
              <w:bottom w:val="single" w:sz="4" w:space="0" w:color="auto"/>
              <w:right w:val="single" w:sz="4" w:space="0" w:color="auto"/>
            </w:tcBorders>
            <w:shd w:val="clear" w:color="auto" w:fill="auto"/>
            <w:noWrap/>
            <w:vAlign w:val="bottom"/>
            <w:hideMark/>
          </w:tcPr>
          <w:p w14:paraId="63B6663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0.0028</w:t>
            </w:r>
          </w:p>
        </w:tc>
        <w:tc>
          <w:tcPr>
            <w:tcW w:w="1080" w:type="dxa"/>
            <w:tcBorders>
              <w:top w:val="nil"/>
              <w:left w:val="nil"/>
              <w:bottom w:val="single" w:sz="4" w:space="0" w:color="auto"/>
              <w:right w:val="single" w:sz="4" w:space="0" w:color="auto"/>
            </w:tcBorders>
            <w:shd w:val="clear" w:color="auto" w:fill="auto"/>
            <w:noWrap/>
            <w:vAlign w:val="bottom"/>
            <w:hideMark/>
          </w:tcPr>
          <w:p w14:paraId="677BFA9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0.424</w:t>
            </w:r>
          </w:p>
        </w:tc>
        <w:tc>
          <w:tcPr>
            <w:tcW w:w="1116" w:type="dxa"/>
            <w:tcBorders>
              <w:top w:val="nil"/>
              <w:left w:val="nil"/>
              <w:bottom w:val="single" w:sz="4" w:space="0" w:color="auto"/>
              <w:right w:val="single" w:sz="4" w:space="0" w:color="auto"/>
            </w:tcBorders>
            <w:shd w:val="clear" w:color="auto" w:fill="auto"/>
            <w:noWrap/>
            <w:vAlign w:val="bottom"/>
            <w:hideMark/>
          </w:tcPr>
          <w:p w14:paraId="1A492596"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03339DD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0.3537827</w:t>
            </w:r>
          </w:p>
        </w:tc>
        <w:tc>
          <w:tcPr>
            <w:tcW w:w="810" w:type="dxa"/>
            <w:tcBorders>
              <w:top w:val="nil"/>
              <w:left w:val="nil"/>
              <w:bottom w:val="single" w:sz="4" w:space="0" w:color="auto"/>
              <w:right w:val="single" w:sz="4" w:space="0" w:color="auto"/>
            </w:tcBorders>
            <w:shd w:val="clear" w:color="auto" w:fill="auto"/>
            <w:noWrap/>
            <w:vAlign w:val="bottom"/>
            <w:hideMark/>
          </w:tcPr>
          <w:p w14:paraId="6E3B43B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-3.57</w:t>
            </w:r>
          </w:p>
        </w:tc>
        <w:tc>
          <w:tcPr>
            <w:tcW w:w="900" w:type="dxa"/>
            <w:tcBorders>
              <w:top w:val="nil"/>
              <w:left w:val="nil"/>
              <w:bottom w:val="single" w:sz="4" w:space="0" w:color="auto"/>
              <w:right w:val="single" w:sz="8" w:space="0" w:color="auto"/>
            </w:tcBorders>
            <w:shd w:val="clear" w:color="000000" w:fill="auto"/>
            <w:noWrap/>
            <w:vAlign w:val="bottom"/>
            <w:hideMark/>
          </w:tcPr>
          <w:p w14:paraId="72A1413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0.005</w:t>
            </w:r>
          </w:p>
        </w:tc>
      </w:tr>
      <w:tr w:rsidR="0060739D" w:rsidRPr="0082770A" w14:paraId="21128CC5"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3D7798E0"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Egypt</w:t>
            </w:r>
          </w:p>
        </w:tc>
        <w:tc>
          <w:tcPr>
            <w:tcW w:w="2090" w:type="dxa"/>
            <w:tcBorders>
              <w:top w:val="nil"/>
              <w:left w:val="nil"/>
              <w:bottom w:val="single" w:sz="4" w:space="0" w:color="auto"/>
              <w:right w:val="single" w:sz="4" w:space="0" w:color="auto"/>
            </w:tcBorders>
            <w:shd w:val="clear" w:color="auto" w:fill="E0E5FD"/>
            <w:noWrap/>
            <w:vAlign w:val="center"/>
            <w:hideMark/>
          </w:tcPr>
          <w:p w14:paraId="30309B33"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R&amp;D gov't expenditure</w:t>
            </w:r>
          </w:p>
        </w:tc>
        <w:tc>
          <w:tcPr>
            <w:tcW w:w="540" w:type="dxa"/>
            <w:tcBorders>
              <w:top w:val="nil"/>
              <w:left w:val="nil"/>
              <w:bottom w:val="single" w:sz="4" w:space="0" w:color="auto"/>
              <w:right w:val="single" w:sz="4" w:space="0" w:color="auto"/>
            </w:tcBorders>
            <w:shd w:val="clear" w:color="auto" w:fill="E0E5FD"/>
            <w:noWrap/>
            <w:vAlign w:val="bottom"/>
            <w:hideMark/>
          </w:tcPr>
          <w:p w14:paraId="53BEB47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18</w:t>
            </w:r>
          </w:p>
        </w:tc>
        <w:tc>
          <w:tcPr>
            <w:tcW w:w="720" w:type="dxa"/>
            <w:tcBorders>
              <w:top w:val="nil"/>
              <w:left w:val="nil"/>
              <w:bottom w:val="single" w:sz="4" w:space="0" w:color="auto"/>
              <w:right w:val="single" w:sz="4" w:space="0" w:color="auto"/>
            </w:tcBorders>
            <w:shd w:val="clear" w:color="auto" w:fill="E0E5FD"/>
            <w:noWrap/>
            <w:vAlign w:val="bottom"/>
            <w:hideMark/>
          </w:tcPr>
          <w:p w14:paraId="561F0BC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12.57</w:t>
            </w:r>
          </w:p>
        </w:tc>
        <w:tc>
          <w:tcPr>
            <w:tcW w:w="900" w:type="dxa"/>
            <w:tcBorders>
              <w:top w:val="nil"/>
              <w:left w:val="nil"/>
              <w:bottom w:val="single" w:sz="4" w:space="0" w:color="auto"/>
              <w:right w:val="single" w:sz="4" w:space="0" w:color="auto"/>
            </w:tcBorders>
            <w:shd w:val="clear" w:color="auto" w:fill="E0E5FD"/>
            <w:noWrap/>
            <w:vAlign w:val="bottom"/>
            <w:hideMark/>
          </w:tcPr>
          <w:p w14:paraId="0012DDF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w:t>
            </w:r>
          </w:p>
        </w:tc>
        <w:tc>
          <w:tcPr>
            <w:tcW w:w="1080" w:type="dxa"/>
            <w:tcBorders>
              <w:top w:val="nil"/>
              <w:left w:val="nil"/>
              <w:bottom w:val="single" w:sz="4" w:space="0" w:color="auto"/>
              <w:right w:val="single" w:sz="4" w:space="0" w:color="auto"/>
            </w:tcBorders>
            <w:shd w:val="clear" w:color="auto" w:fill="E0E5FD"/>
            <w:noWrap/>
            <w:vAlign w:val="bottom"/>
            <w:hideMark/>
          </w:tcPr>
          <w:p w14:paraId="6EDAAB1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0.4251</w:t>
            </w:r>
          </w:p>
        </w:tc>
        <w:tc>
          <w:tcPr>
            <w:tcW w:w="1116" w:type="dxa"/>
            <w:tcBorders>
              <w:top w:val="nil"/>
              <w:left w:val="nil"/>
              <w:bottom w:val="single" w:sz="4" w:space="0" w:color="auto"/>
              <w:right w:val="single" w:sz="4" w:space="0" w:color="auto"/>
            </w:tcBorders>
            <w:shd w:val="clear" w:color="auto" w:fill="E0E5FD"/>
            <w:noWrap/>
            <w:vAlign w:val="bottom"/>
            <w:hideMark/>
          </w:tcPr>
          <w:p w14:paraId="55E37BEF"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131665C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1.582342</w:t>
            </w:r>
          </w:p>
        </w:tc>
        <w:tc>
          <w:tcPr>
            <w:tcW w:w="810" w:type="dxa"/>
            <w:tcBorders>
              <w:top w:val="nil"/>
              <w:left w:val="nil"/>
              <w:bottom w:val="single" w:sz="4" w:space="0" w:color="auto"/>
              <w:right w:val="single" w:sz="4" w:space="0" w:color="auto"/>
            </w:tcBorders>
            <w:shd w:val="clear" w:color="auto" w:fill="E0E5FD"/>
            <w:noWrap/>
            <w:vAlign w:val="bottom"/>
            <w:hideMark/>
          </w:tcPr>
          <w:p w14:paraId="5D4C4B7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-3.68</w:t>
            </w:r>
          </w:p>
        </w:tc>
        <w:tc>
          <w:tcPr>
            <w:tcW w:w="900" w:type="dxa"/>
            <w:tcBorders>
              <w:top w:val="nil"/>
              <w:left w:val="nil"/>
              <w:bottom w:val="single" w:sz="4" w:space="0" w:color="auto"/>
              <w:right w:val="single" w:sz="8" w:space="0" w:color="auto"/>
            </w:tcBorders>
            <w:shd w:val="clear" w:color="000000" w:fill="E0E5FD"/>
            <w:noWrap/>
            <w:vAlign w:val="bottom"/>
            <w:hideMark/>
          </w:tcPr>
          <w:p w14:paraId="52F877A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w:t>
            </w:r>
          </w:p>
        </w:tc>
      </w:tr>
      <w:tr w:rsidR="0060739D" w:rsidRPr="0082770A" w14:paraId="3CBAC986"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FAF3243"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Egypt</w:t>
            </w:r>
          </w:p>
        </w:tc>
        <w:tc>
          <w:tcPr>
            <w:tcW w:w="2090" w:type="dxa"/>
            <w:tcBorders>
              <w:top w:val="nil"/>
              <w:left w:val="nil"/>
              <w:bottom w:val="single" w:sz="4" w:space="0" w:color="auto"/>
              <w:right w:val="single" w:sz="4" w:space="0" w:color="auto"/>
            </w:tcBorders>
            <w:shd w:val="clear" w:color="auto" w:fill="auto"/>
            <w:noWrap/>
            <w:vAlign w:val="center"/>
            <w:hideMark/>
          </w:tcPr>
          <w:p w14:paraId="5F28263B"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High-tech exports</w:t>
            </w:r>
          </w:p>
        </w:tc>
        <w:tc>
          <w:tcPr>
            <w:tcW w:w="540" w:type="dxa"/>
            <w:tcBorders>
              <w:top w:val="nil"/>
              <w:left w:val="nil"/>
              <w:bottom w:val="single" w:sz="4" w:space="0" w:color="auto"/>
              <w:right w:val="single" w:sz="4" w:space="0" w:color="auto"/>
            </w:tcBorders>
            <w:shd w:val="clear" w:color="auto" w:fill="auto"/>
            <w:noWrap/>
            <w:vAlign w:val="bottom"/>
            <w:hideMark/>
          </w:tcPr>
          <w:p w14:paraId="224F82D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F5C6BE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4.34</w:t>
            </w:r>
          </w:p>
        </w:tc>
        <w:tc>
          <w:tcPr>
            <w:tcW w:w="900" w:type="dxa"/>
            <w:tcBorders>
              <w:top w:val="nil"/>
              <w:left w:val="nil"/>
              <w:bottom w:val="single" w:sz="4" w:space="0" w:color="auto"/>
              <w:right w:val="single" w:sz="4" w:space="0" w:color="auto"/>
            </w:tcBorders>
            <w:shd w:val="clear" w:color="auto" w:fill="auto"/>
            <w:noWrap/>
            <w:vAlign w:val="bottom"/>
            <w:hideMark/>
          </w:tcPr>
          <w:p w14:paraId="77A4039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0.049</w:t>
            </w:r>
          </w:p>
        </w:tc>
        <w:tc>
          <w:tcPr>
            <w:tcW w:w="1080" w:type="dxa"/>
            <w:tcBorders>
              <w:top w:val="nil"/>
              <w:left w:val="nil"/>
              <w:bottom w:val="single" w:sz="4" w:space="0" w:color="auto"/>
              <w:right w:val="single" w:sz="4" w:space="0" w:color="auto"/>
            </w:tcBorders>
            <w:shd w:val="clear" w:color="auto" w:fill="auto"/>
            <w:noWrap/>
            <w:vAlign w:val="bottom"/>
            <w:hideMark/>
          </w:tcPr>
          <w:p w14:paraId="6A2A71B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0.1269</w:t>
            </w:r>
          </w:p>
        </w:tc>
        <w:tc>
          <w:tcPr>
            <w:tcW w:w="1116" w:type="dxa"/>
            <w:tcBorders>
              <w:top w:val="nil"/>
              <w:left w:val="nil"/>
              <w:bottom w:val="single" w:sz="4" w:space="0" w:color="auto"/>
              <w:right w:val="single" w:sz="4" w:space="0" w:color="auto"/>
            </w:tcBorders>
            <w:shd w:val="clear" w:color="auto" w:fill="auto"/>
            <w:noWrap/>
            <w:vAlign w:val="bottom"/>
            <w:hideMark/>
          </w:tcPr>
          <w:p w14:paraId="7958C28E"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5D2CBC5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1.095724</w:t>
            </w:r>
          </w:p>
        </w:tc>
        <w:tc>
          <w:tcPr>
            <w:tcW w:w="810" w:type="dxa"/>
            <w:tcBorders>
              <w:top w:val="nil"/>
              <w:left w:val="nil"/>
              <w:bottom w:val="single" w:sz="4" w:space="0" w:color="auto"/>
              <w:right w:val="single" w:sz="4" w:space="0" w:color="auto"/>
            </w:tcBorders>
            <w:shd w:val="clear" w:color="auto" w:fill="auto"/>
            <w:noWrap/>
            <w:vAlign w:val="bottom"/>
            <w:hideMark/>
          </w:tcPr>
          <w:p w14:paraId="18415DA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-2.08</w:t>
            </w:r>
          </w:p>
        </w:tc>
        <w:tc>
          <w:tcPr>
            <w:tcW w:w="900" w:type="dxa"/>
            <w:tcBorders>
              <w:top w:val="nil"/>
              <w:left w:val="nil"/>
              <w:bottom w:val="single" w:sz="4" w:space="0" w:color="auto"/>
              <w:right w:val="single" w:sz="8" w:space="0" w:color="auto"/>
            </w:tcBorders>
            <w:shd w:val="clear" w:color="000000" w:fill="auto"/>
            <w:noWrap/>
            <w:vAlign w:val="bottom"/>
            <w:hideMark/>
          </w:tcPr>
          <w:p w14:paraId="1EB2643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0.049</w:t>
            </w:r>
          </w:p>
        </w:tc>
      </w:tr>
      <w:tr w:rsidR="0060739D" w:rsidRPr="0082770A" w14:paraId="622D5992"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64D20114"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Jordan</w:t>
            </w:r>
          </w:p>
        </w:tc>
        <w:tc>
          <w:tcPr>
            <w:tcW w:w="2090" w:type="dxa"/>
            <w:tcBorders>
              <w:top w:val="nil"/>
              <w:left w:val="nil"/>
              <w:bottom w:val="single" w:sz="4" w:space="0" w:color="auto"/>
              <w:right w:val="single" w:sz="4" w:space="0" w:color="auto"/>
            </w:tcBorders>
            <w:shd w:val="clear" w:color="auto" w:fill="E0E5FD"/>
            <w:noWrap/>
            <w:vAlign w:val="center"/>
            <w:hideMark/>
          </w:tcPr>
          <w:p w14:paraId="67804F94"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Scientific &amp; technical journal articles</w:t>
            </w:r>
          </w:p>
        </w:tc>
        <w:tc>
          <w:tcPr>
            <w:tcW w:w="540" w:type="dxa"/>
            <w:tcBorders>
              <w:top w:val="nil"/>
              <w:left w:val="nil"/>
              <w:bottom w:val="single" w:sz="4" w:space="0" w:color="auto"/>
              <w:right w:val="single" w:sz="4" w:space="0" w:color="auto"/>
            </w:tcBorders>
            <w:shd w:val="clear" w:color="auto" w:fill="E0E5FD"/>
            <w:noWrap/>
            <w:vAlign w:val="bottom"/>
            <w:hideMark/>
          </w:tcPr>
          <w:p w14:paraId="4079CF8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E0E5FD"/>
            <w:noWrap/>
            <w:vAlign w:val="bottom"/>
            <w:hideMark/>
          </w:tcPr>
          <w:p w14:paraId="1C1A99E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17.32</w:t>
            </w:r>
          </w:p>
        </w:tc>
        <w:tc>
          <w:tcPr>
            <w:tcW w:w="900" w:type="dxa"/>
            <w:tcBorders>
              <w:top w:val="nil"/>
              <w:left w:val="nil"/>
              <w:bottom w:val="single" w:sz="4" w:space="0" w:color="auto"/>
              <w:right w:val="single" w:sz="4" w:space="0" w:color="auto"/>
            </w:tcBorders>
            <w:shd w:val="clear" w:color="auto" w:fill="E0E5FD"/>
            <w:noWrap/>
            <w:vAlign w:val="bottom"/>
            <w:hideMark/>
          </w:tcPr>
          <w:p w14:paraId="438EE71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0.0013</w:t>
            </w:r>
          </w:p>
        </w:tc>
        <w:tc>
          <w:tcPr>
            <w:tcW w:w="1080" w:type="dxa"/>
            <w:tcBorders>
              <w:top w:val="nil"/>
              <w:left w:val="nil"/>
              <w:bottom w:val="single" w:sz="4" w:space="0" w:color="auto"/>
              <w:right w:val="single" w:sz="4" w:space="0" w:color="auto"/>
            </w:tcBorders>
            <w:shd w:val="clear" w:color="auto" w:fill="E0E5FD"/>
            <w:noWrap/>
            <w:vAlign w:val="bottom"/>
            <w:hideMark/>
          </w:tcPr>
          <w:p w14:paraId="5C43613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0.5566</w:t>
            </w:r>
          </w:p>
        </w:tc>
        <w:tc>
          <w:tcPr>
            <w:tcW w:w="1116" w:type="dxa"/>
            <w:tcBorders>
              <w:top w:val="nil"/>
              <w:left w:val="nil"/>
              <w:bottom w:val="single" w:sz="4" w:space="0" w:color="auto"/>
              <w:right w:val="single" w:sz="4" w:space="0" w:color="auto"/>
            </w:tcBorders>
            <w:shd w:val="clear" w:color="auto" w:fill="E0E5FD"/>
            <w:noWrap/>
            <w:vAlign w:val="bottom"/>
            <w:hideMark/>
          </w:tcPr>
          <w:p w14:paraId="1FF4BC31"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0AE4756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0.0014813</w:t>
            </w:r>
          </w:p>
        </w:tc>
        <w:tc>
          <w:tcPr>
            <w:tcW w:w="810" w:type="dxa"/>
            <w:tcBorders>
              <w:top w:val="nil"/>
              <w:left w:val="nil"/>
              <w:bottom w:val="single" w:sz="4" w:space="0" w:color="auto"/>
              <w:right w:val="single" w:sz="4" w:space="0" w:color="auto"/>
            </w:tcBorders>
            <w:shd w:val="clear" w:color="auto" w:fill="E0E5FD"/>
            <w:noWrap/>
            <w:vAlign w:val="bottom"/>
            <w:hideMark/>
          </w:tcPr>
          <w:p w14:paraId="79789C7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-4.16</w:t>
            </w:r>
          </w:p>
        </w:tc>
        <w:tc>
          <w:tcPr>
            <w:tcW w:w="900" w:type="dxa"/>
            <w:tcBorders>
              <w:top w:val="nil"/>
              <w:left w:val="nil"/>
              <w:bottom w:val="single" w:sz="4" w:space="0" w:color="auto"/>
              <w:right w:val="single" w:sz="8" w:space="0" w:color="auto"/>
            </w:tcBorders>
            <w:shd w:val="clear" w:color="000000" w:fill="E0E5FD"/>
            <w:noWrap/>
            <w:vAlign w:val="bottom"/>
            <w:hideMark/>
          </w:tcPr>
          <w:p w14:paraId="2317C6A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0.001</w:t>
            </w:r>
          </w:p>
        </w:tc>
      </w:tr>
      <w:tr w:rsidR="0060739D" w:rsidRPr="0082770A" w14:paraId="4EFE06ED"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0D232E0"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Jordan</w:t>
            </w:r>
          </w:p>
        </w:tc>
        <w:tc>
          <w:tcPr>
            <w:tcW w:w="2090" w:type="dxa"/>
            <w:tcBorders>
              <w:top w:val="nil"/>
              <w:left w:val="nil"/>
              <w:bottom w:val="single" w:sz="4" w:space="0" w:color="auto"/>
              <w:right w:val="single" w:sz="4" w:space="0" w:color="auto"/>
            </w:tcBorders>
            <w:shd w:val="clear" w:color="auto" w:fill="auto"/>
            <w:noWrap/>
            <w:vAlign w:val="center"/>
            <w:hideMark/>
          </w:tcPr>
          <w:p w14:paraId="1AF66004"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exports</w:t>
            </w:r>
          </w:p>
        </w:tc>
        <w:tc>
          <w:tcPr>
            <w:tcW w:w="540" w:type="dxa"/>
            <w:tcBorders>
              <w:top w:val="nil"/>
              <w:left w:val="nil"/>
              <w:bottom w:val="single" w:sz="4" w:space="0" w:color="auto"/>
              <w:right w:val="single" w:sz="4" w:space="0" w:color="auto"/>
            </w:tcBorders>
            <w:shd w:val="clear" w:color="auto" w:fill="auto"/>
            <w:noWrap/>
            <w:vAlign w:val="bottom"/>
            <w:hideMark/>
          </w:tcPr>
          <w:p w14:paraId="78CE4C7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w:t>
            </w:r>
          </w:p>
        </w:tc>
        <w:tc>
          <w:tcPr>
            <w:tcW w:w="720" w:type="dxa"/>
            <w:tcBorders>
              <w:top w:val="nil"/>
              <w:left w:val="nil"/>
              <w:bottom w:val="single" w:sz="4" w:space="0" w:color="auto"/>
              <w:right w:val="single" w:sz="4" w:space="0" w:color="auto"/>
            </w:tcBorders>
            <w:shd w:val="clear" w:color="auto" w:fill="auto"/>
            <w:noWrap/>
            <w:vAlign w:val="bottom"/>
            <w:hideMark/>
          </w:tcPr>
          <w:p w14:paraId="1D58AD3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12.39</w:t>
            </w:r>
          </w:p>
        </w:tc>
        <w:tc>
          <w:tcPr>
            <w:tcW w:w="900" w:type="dxa"/>
            <w:tcBorders>
              <w:top w:val="nil"/>
              <w:left w:val="nil"/>
              <w:bottom w:val="single" w:sz="4" w:space="0" w:color="auto"/>
              <w:right w:val="single" w:sz="4" w:space="0" w:color="auto"/>
            </w:tcBorders>
            <w:shd w:val="clear" w:color="auto" w:fill="auto"/>
            <w:noWrap/>
            <w:vAlign w:val="bottom"/>
            <w:hideMark/>
          </w:tcPr>
          <w:p w14:paraId="6DF8E9F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0.0031</w:t>
            </w:r>
          </w:p>
        </w:tc>
        <w:tc>
          <w:tcPr>
            <w:tcW w:w="1080" w:type="dxa"/>
            <w:tcBorders>
              <w:top w:val="nil"/>
              <w:left w:val="nil"/>
              <w:bottom w:val="single" w:sz="4" w:space="0" w:color="auto"/>
              <w:right w:val="single" w:sz="4" w:space="0" w:color="auto"/>
            </w:tcBorders>
            <w:shd w:val="clear" w:color="auto" w:fill="auto"/>
            <w:noWrap/>
            <w:vAlign w:val="bottom"/>
            <w:hideMark/>
          </w:tcPr>
          <w:p w14:paraId="0134BFA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0.4159</w:t>
            </w:r>
          </w:p>
        </w:tc>
        <w:tc>
          <w:tcPr>
            <w:tcW w:w="1116" w:type="dxa"/>
            <w:tcBorders>
              <w:top w:val="nil"/>
              <w:left w:val="nil"/>
              <w:bottom w:val="single" w:sz="4" w:space="0" w:color="auto"/>
              <w:right w:val="single" w:sz="4" w:space="0" w:color="auto"/>
            </w:tcBorders>
            <w:shd w:val="clear" w:color="auto" w:fill="auto"/>
            <w:noWrap/>
            <w:vAlign w:val="bottom"/>
            <w:hideMark/>
          </w:tcPr>
          <w:p w14:paraId="5FA8A375"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6393B82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0.3293128</w:t>
            </w:r>
          </w:p>
        </w:tc>
        <w:tc>
          <w:tcPr>
            <w:tcW w:w="810" w:type="dxa"/>
            <w:tcBorders>
              <w:top w:val="nil"/>
              <w:left w:val="nil"/>
              <w:bottom w:val="single" w:sz="4" w:space="0" w:color="auto"/>
              <w:right w:val="single" w:sz="4" w:space="0" w:color="auto"/>
            </w:tcBorders>
            <w:shd w:val="clear" w:color="auto" w:fill="auto"/>
            <w:noWrap/>
            <w:vAlign w:val="bottom"/>
            <w:hideMark/>
          </w:tcPr>
          <w:p w14:paraId="350C0CF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3.52</w:t>
            </w:r>
          </w:p>
        </w:tc>
        <w:tc>
          <w:tcPr>
            <w:tcW w:w="900" w:type="dxa"/>
            <w:tcBorders>
              <w:top w:val="nil"/>
              <w:left w:val="nil"/>
              <w:bottom w:val="single" w:sz="4" w:space="0" w:color="auto"/>
              <w:right w:val="single" w:sz="8" w:space="0" w:color="auto"/>
            </w:tcBorders>
            <w:shd w:val="clear" w:color="000000" w:fill="auto"/>
            <w:noWrap/>
            <w:vAlign w:val="bottom"/>
            <w:hideMark/>
          </w:tcPr>
          <w:p w14:paraId="2A59B83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0.003</w:t>
            </w:r>
          </w:p>
        </w:tc>
      </w:tr>
      <w:tr w:rsidR="0060739D" w:rsidRPr="0082770A" w14:paraId="280E8AA2"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025C9B3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Jordan</w:t>
            </w:r>
          </w:p>
        </w:tc>
        <w:tc>
          <w:tcPr>
            <w:tcW w:w="2090" w:type="dxa"/>
            <w:tcBorders>
              <w:top w:val="nil"/>
              <w:left w:val="nil"/>
              <w:bottom w:val="single" w:sz="4" w:space="0" w:color="auto"/>
              <w:right w:val="single" w:sz="4" w:space="0" w:color="auto"/>
            </w:tcBorders>
            <w:shd w:val="clear" w:color="auto" w:fill="E0E5FD"/>
            <w:noWrap/>
            <w:vAlign w:val="center"/>
            <w:hideMark/>
          </w:tcPr>
          <w:p w14:paraId="35BBAD7A"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imports</w:t>
            </w:r>
          </w:p>
        </w:tc>
        <w:tc>
          <w:tcPr>
            <w:tcW w:w="540" w:type="dxa"/>
            <w:tcBorders>
              <w:top w:val="nil"/>
              <w:left w:val="nil"/>
              <w:bottom w:val="single" w:sz="4" w:space="0" w:color="auto"/>
              <w:right w:val="single" w:sz="4" w:space="0" w:color="auto"/>
            </w:tcBorders>
            <w:shd w:val="clear" w:color="auto" w:fill="E0E5FD"/>
            <w:noWrap/>
            <w:vAlign w:val="bottom"/>
            <w:hideMark/>
          </w:tcPr>
          <w:p w14:paraId="7BFAFE0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w:t>
            </w:r>
          </w:p>
        </w:tc>
        <w:tc>
          <w:tcPr>
            <w:tcW w:w="720" w:type="dxa"/>
            <w:tcBorders>
              <w:top w:val="nil"/>
              <w:left w:val="nil"/>
              <w:bottom w:val="single" w:sz="4" w:space="0" w:color="auto"/>
              <w:right w:val="single" w:sz="4" w:space="0" w:color="auto"/>
            </w:tcBorders>
            <w:shd w:val="clear" w:color="auto" w:fill="E0E5FD"/>
            <w:noWrap/>
            <w:vAlign w:val="bottom"/>
            <w:hideMark/>
          </w:tcPr>
          <w:p w14:paraId="66EF77A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22.73</w:t>
            </w:r>
          </w:p>
        </w:tc>
        <w:tc>
          <w:tcPr>
            <w:tcW w:w="900" w:type="dxa"/>
            <w:tcBorders>
              <w:top w:val="nil"/>
              <w:left w:val="nil"/>
              <w:bottom w:val="single" w:sz="4" w:space="0" w:color="auto"/>
              <w:right w:val="single" w:sz="4" w:space="0" w:color="auto"/>
            </w:tcBorders>
            <w:shd w:val="clear" w:color="auto" w:fill="E0E5FD"/>
            <w:noWrap/>
            <w:vAlign w:val="bottom"/>
            <w:hideMark/>
          </w:tcPr>
          <w:p w14:paraId="0BCE354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0.0002</w:t>
            </w:r>
          </w:p>
        </w:tc>
        <w:tc>
          <w:tcPr>
            <w:tcW w:w="1080" w:type="dxa"/>
            <w:tcBorders>
              <w:top w:val="nil"/>
              <w:left w:val="nil"/>
              <w:bottom w:val="single" w:sz="4" w:space="0" w:color="auto"/>
              <w:right w:val="single" w:sz="4" w:space="0" w:color="auto"/>
            </w:tcBorders>
            <w:shd w:val="clear" w:color="auto" w:fill="E0E5FD"/>
            <w:noWrap/>
            <w:vAlign w:val="bottom"/>
            <w:hideMark/>
          </w:tcPr>
          <w:p w14:paraId="00DEEF6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0.5759</w:t>
            </w:r>
          </w:p>
        </w:tc>
        <w:tc>
          <w:tcPr>
            <w:tcW w:w="1116" w:type="dxa"/>
            <w:tcBorders>
              <w:top w:val="nil"/>
              <w:left w:val="nil"/>
              <w:bottom w:val="single" w:sz="4" w:space="0" w:color="auto"/>
              <w:right w:val="single" w:sz="4" w:space="0" w:color="auto"/>
            </w:tcBorders>
            <w:shd w:val="clear" w:color="auto" w:fill="E0E5FD"/>
            <w:noWrap/>
            <w:vAlign w:val="bottom"/>
            <w:hideMark/>
          </w:tcPr>
          <w:p w14:paraId="03936A56"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49631AE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0.2790158</w:t>
            </w:r>
          </w:p>
        </w:tc>
        <w:tc>
          <w:tcPr>
            <w:tcW w:w="810" w:type="dxa"/>
            <w:tcBorders>
              <w:top w:val="nil"/>
              <w:left w:val="nil"/>
              <w:bottom w:val="single" w:sz="4" w:space="0" w:color="auto"/>
              <w:right w:val="single" w:sz="4" w:space="0" w:color="auto"/>
            </w:tcBorders>
            <w:shd w:val="clear" w:color="auto" w:fill="E0E5FD"/>
            <w:noWrap/>
            <w:vAlign w:val="bottom"/>
            <w:hideMark/>
          </w:tcPr>
          <w:p w14:paraId="7A0B844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4.77</w:t>
            </w:r>
          </w:p>
        </w:tc>
        <w:tc>
          <w:tcPr>
            <w:tcW w:w="900" w:type="dxa"/>
            <w:tcBorders>
              <w:top w:val="nil"/>
              <w:left w:val="nil"/>
              <w:bottom w:val="single" w:sz="4" w:space="0" w:color="auto"/>
              <w:right w:val="single" w:sz="8" w:space="0" w:color="auto"/>
            </w:tcBorders>
            <w:shd w:val="clear" w:color="000000" w:fill="E0E5FD"/>
            <w:noWrap/>
            <w:vAlign w:val="bottom"/>
            <w:hideMark/>
          </w:tcPr>
          <w:p w14:paraId="26DDDA5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w:t>
            </w:r>
          </w:p>
        </w:tc>
      </w:tr>
      <w:tr w:rsidR="0060739D" w:rsidRPr="0082770A" w14:paraId="22AC0F09"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0E93DD2"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Kuwait</w:t>
            </w:r>
          </w:p>
        </w:tc>
        <w:tc>
          <w:tcPr>
            <w:tcW w:w="2090" w:type="dxa"/>
            <w:tcBorders>
              <w:top w:val="nil"/>
              <w:left w:val="nil"/>
              <w:bottom w:val="single" w:sz="4" w:space="0" w:color="auto"/>
              <w:right w:val="single" w:sz="4" w:space="0" w:color="auto"/>
            </w:tcBorders>
            <w:shd w:val="clear" w:color="auto" w:fill="auto"/>
            <w:noWrap/>
            <w:vAlign w:val="center"/>
            <w:hideMark/>
          </w:tcPr>
          <w:p w14:paraId="1EF57A62"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Scientific &amp; technical journal articles</w:t>
            </w:r>
          </w:p>
        </w:tc>
        <w:tc>
          <w:tcPr>
            <w:tcW w:w="540" w:type="dxa"/>
            <w:tcBorders>
              <w:top w:val="nil"/>
              <w:left w:val="nil"/>
              <w:bottom w:val="single" w:sz="4" w:space="0" w:color="auto"/>
              <w:right w:val="single" w:sz="4" w:space="0" w:color="auto"/>
            </w:tcBorders>
            <w:shd w:val="clear" w:color="auto" w:fill="auto"/>
            <w:noWrap/>
            <w:vAlign w:val="bottom"/>
            <w:hideMark/>
          </w:tcPr>
          <w:p w14:paraId="4A64B3F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145873E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10.87</w:t>
            </w:r>
          </w:p>
        </w:tc>
        <w:tc>
          <w:tcPr>
            <w:tcW w:w="900" w:type="dxa"/>
            <w:tcBorders>
              <w:top w:val="nil"/>
              <w:left w:val="nil"/>
              <w:bottom w:val="single" w:sz="4" w:space="0" w:color="auto"/>
              <w:right w:val="single" w:sz="4" w:space="0" w:color="auto"/>
            </w:tcBorders>
            <w:shd w:val="clear" w:color="auto" w:fill="auto"/>
            <w:noWrap/>
            <w:vAlign w:val="bottom"/>
            <w:hideMark/>
          </w:tcPr>
          <w:p w14:paraId="2062493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0.0064</w:t>
            </w:r>
          </w:p>
        </w:tc>
        <w:tc>
          <w:tcPr>
            <w:tcW w:w="1080" w:type="dxa"/>
            <w:tcBorders>
              <w:top w:val="nil"/>
              <w:left w:val="nil"/>
              <w:bottom w:val="single" w:sz="4" w:space="0" w:color="auto"/>
              <w:right w:val="single" w:sz="4" w:space="0" w:color="auto"/>
            </w:tcBorders>
            <w:shd w:val="clear" w:color="auto" w:fill="auto"/>
            <w:noWrap/>
            <w:vAlign w:val="bottom"/>
            <w:hideMark/>
          </w:tcPr>
          <w:p w14:paraId="759FB1F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0.4317</w:t>
            </w:r>
          </w:p>
        </w:tc>
        <w:tc>
          <w:tcPr>
            <w:tcW w:w="1116" w:type="dxa"/>
            <w:tcBorders>
              <w:top w:val="nil"/>
              <w:left w:val="nil"/>
              <w:bottom w:val="single" w:sz="4" w:space="0" w:color="auto"/>
              <w:right w:val="single" w:sz="4" w:space="0" w:color="auto"/>
            </w:tcBorders>
            <w:shd w:val="clear" w:color="auto" w:fill="auto"/>
            <w:noWrap/>
            <w:vAlign w:val="bottom"/>
            <w:hideMark/>
          </w:tcPr>
          <w:p w14:paraId="0A7A917F"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1B2C5CE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0.0115165</w:t>
            </w:r>
          </w:p>
        </w:tc>
        <w:tc>
          <w:tcPr>
            <w:tcW w:w="810" w:type="dxa"/>
            <w:tcBorders>
              <w:top w:val="nil"/>
              <w:left w:val="nil"/>
              <w:bottom w:val="single" w:sz="4" w:space="0" w:color="auto"/>
              <w:right w:val="single" w:sz="4" w:space="0" w:color="auto"/>
            </w:tcBorders>
            <w:shd w:val="clear" w:color="auto" w:fill="auto"/>
            <w:noWrap/>
            <w:vAlign w:val="bottom"/>
            <w:hideMark/>
          </w:tcPr>
          <w:p w14:paraId="0FF5B4E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-3.3</w:t>
            </w:r>
          </w:p>
        </w:tc>
        <w:tc>
          <w:tcPr>
            <w:tcW w:w="900" w:type="dxa"/>
            <w:tcBorders>
              <w:top w:val="nil"/>
              <w:left w:val="nil"/>
              <w:bottom w:val="single" w:sz="4" w:space="0" w:color="auto"/>
              <w:right w:val="single" w:sz="8" w:space="0" w:color="auto"/>
            </w:tcBorders>
            <w:shd w:val="clear" w:color="000000" w:fill="auto"/>
            <w:noWrap/>
            <w:vAlign w:val="bottom"/>
            <w:hideMark/>
          </w:tcPr>
          <w:p w14:paraId="6029123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0.006</w:t>
            </w:r>
          </w:p>
        </w:tc>
      </w:tr>
      <w:tr w:rsidR="0060739D" w:rsidRPr="0082770A" w14:paraId="5FE45518"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3DC9A450"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Kuwait</w:t>
            </w:r>
          </w:p>
        </w:tc>
        <w:tc>
          <w:tcPr>
            <w:tcW w:w="2090" w:type="dxa"/>
            <w:tcBorders>
              <w:top w:val="nil"/>
              <w:left w:val="nil"/>
              <w:bottom w:val="single" w:sz="4" w:space="0" w:color="auto"/>
              <w:right w:val="single" w:sz="4" w:space="0" w:color="auto"/>
            </w:tcBorders>
            <w:shd w:val="clear" w:color="auto" w:fill="E0E5FD"/>
            <w:noWrap/>
            <w:vAlign w:val="center"/>
            <w:hideMark/>
          </w:tcPr>
          <w:p w14:paraId="7BB154F2"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service exports</w:t>
            </w:r>
          </w:p>
        </w:tc>
        <w:tc>
          <w:tcPr>
            <w:tcW w:w="540" w:type="dxa"/>
            <w:tcBorders>
              <w:top w:val="nil"/>
              <w:left w:val="nil"/>
              <w:bottom w:val="single" w:sz="4" w:space="0" w:color="auto"/>
              <w:right w:val="single" w:sz="4" w:space="0" w:color="auto"/>
            </w:tcBorders>
            <w:shd w:val="clear" w:color="auto" w:fill="E0E5FD"/>
            <w:noWrap/>
            <w:vAlign w:val="bottom"/>
            <w:hideMark/>
          </w:tcPr>
          <w:p w14:paraId="5D14B77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E0E5FD"/>
            <w:noWrap/>
            <w:vAlign w:val="bottom"/>
            <w:hideMark/>
          </w:tcPr>
          <w:p w14:paraId="7ECFD55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14.83</w:t>
            </w:r>
          </w:p>
        </w:tc>
        <w:tc>
          <w:tcPr>
            <w:tcW w:w="900" w:type="dxa"/>
            <w:tcBorders>
              <w:top w:val="nil"/>
              <w:left w:val="nil"/>
              <w:bottom w:val="single" w:sz="4" w:space="0" w:color="auto"/>
              <w:right w:val="single" w:sz="4" w:space="0" w:color="auto"/>
            </w:tcBorders>
            <w:shd w:val="clear" w:color="auto" w:fill="E0E5FD"/>
            <w:noWrap/>
            <w:vAlign w:val="bottom"/>
            <w:hideMark/>
          </w:tcPr>
          <w:p w14:paraId="0638DE9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0.0023</w:t>
            </w:r>
          </w:p>
        </w:tc>
        <w:tc>
          <w:tcPr>
            <w:tcW w:w="1080" w:type="dxa"/>
            <w:tcBorders>
              <w:top w:val="nil"/>
              <w:left w:val="nil"/>
              <w:bottom w:val="single" w:sz="4" w:space="0" w:color="auto"/>
              <w:right w:val="single" w:sz="4" w:space="0" w:color="auto"/>
            </w:tcBorders>
            <w:shd w:val="clear" w:color="auto" w:fill="E0E5FD"/>
            <w:noWrap/>
            <w:vAlign w:val="bottom"/>
            <w:hideMark/>
          </w:tcPr>
          <w:p w14:paraId="4EBF711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0.5527</w:t>
            </w:r>
          </w:p>
        </w:tc>
        <w:tc>
          <w:tcPr>
            <w:tcW w:w="1116" w:type="dxa"/>
            <w:tcBorders>
              <w:top w:val="nil"/>
              <w:left w:val="nil"/>
              <w:bottom w:val="single" w:sz="4" w:space="0" w:color="auto"/>
              <w:right w:val="single" w:sz="4" w:space="0" w:color="auto"/>
            </w:tcBorders>
            <w:shd w:val="clear" w:color="auto" w:fill="E0E5FD"/>
            <w:noWrap/>
            <w:vAlign w:val="bottom"/>
            <w:hideMark/>
          </w:tcPr>
          <w:p w14:paraId="21614D7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2CE612E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0.0897169</w:t>
            </w:r>
          </w:p>
        </w:tc>
        <w:tc>
          <w:tcPr>
            <w:tcW w:w="810" w:type="dxa"/>
            <w:tcBorders>
              <w:top w:val="nil"/>
              <w:left w:val="nil"/>
              <w:bottom w:val="single" w:sz="4" w:space="0" w:color="auto"/>
              <w:right w:val="single" w:sz="4" w:space="0" w:color="auto"/>
            </w:tcBorders>
            <w:shd w:val="clear" w:color="auto" w:fill="E0E5FD"/>
            <w:noWrap/>
            <w:vAlign w:val="bottom"/>
            <w:hideMark/>
          </w:tcPr>
          <w:p w14:paraId="117093C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-3.85</w:t>
            </w:r>
          </w:p>
        </w:tc>
        <w:tc>
          <w:tcPr>
            <w:tcW w:w="900" w:type="dxa"/>
            <w:tcBorders>
              <w:top w:val="nil"/>
              <w:left w:val="nil"/>
              <w:bottom w:val="single" w:sz="4" w:space="0" w:color="auto"/>
              <w:right w:val="single" w:sz="8" w:space="0" w:color="auto"/>
            </w:tcBorders>
            <w:shd w:val="clear" w:color="000000" w:fill="E0E5FD"/>
            <w:noWrap/>
            <w:vAlign w:val="bottom"/>
            <w:hideMark/>
          </w:tcPr>
          <w:p w14:paraId="26E2A51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w:t>
            </w:r>
          </w:p>
        </w:tc>
      </w:tr>
      <w:tr w:rsidR="0060739D" w:rsidRPr="0082770A" w14:paraId="01775870"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5A16F94"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Lebanon</w:t>
            </w:r>
          </w:p>
        </w:tc>
        <w:tc>
          <w:tcPr>
            <w:tcW w:w="2090" w:type="dxa"/>
            <w:tcBorders>
              <w:top w:val="nil"/>
              <w:left w:val="nil"/>
              <w:bottom w:val="single" w:sz="4" w:space="0" w:color="auto"/>
              <w:right w:val="single" w:sz="4" w:space="0" w:color="auto"/>
            </w:tcBorders>
            <w:shd w:val="clear" w:color="auto" w:fill="auto"/>
            <w:noWrap/>
            <w:vAlign w:val="center"/>
            <w:hideMark/>
          </w:tcPr>
          <w:p w14:paraId="2D427641"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service exports</w:t>
            </w:r>
          </w:p>
        </w:tc>
        <w:tc>
          <w:tcPr>
            <w:tcW w:w="540" w:type="dxa"/>
            <w:tcBorders>
              <w:top w:val="nil"/>
              <w:left w:val="nil"/>
              <w:bottom w:val="single" w:sz="4" w:space="0" w:color="auto"/>
              <w:right w:val="single" w:sz="4" w:space="0" w:color="auto"/>
            </w:tcBorders>
            <w:shd w:val="clear" w:color="auto" w:fill="auto"/>
            <w:noWrap/>
            <w:vAlign w:val="bottom"/>
            <w:hideMark/>
          </w:tcPr>
          <w:p w14:paraId="69BF6E4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6FF5C13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6.25</w:t>
            </w:r>
          </w:p>
        </w:tc>
        <w:tc>
          <w:tcPr>
            <w:tcW w:w="900" w:type="dxa"/>
            <w:tcBorders>
              <w:top w:val="nil"/>
              <w:left w:val="nil"/>
              <w:bottom w:val="single" w:sz="4" w:space="0" w:color="auto"/>
              <w:right w:val="single" w:sz="4" w:space="0" w:color="auto"/>
            </w:tcBorders>
            <w:shd w:val="clear" w:color="auto" w:fill="auto"/>
            <w:noWrap/>
            <w:vAlign w:val="bottom"/>
            <w:hideMark/>
          </w:tcPr>
          <w:p w14:paraId="4202B37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0.0255</w:t>
            </w:r>
          </w:p>
        </w:tc>
        <w:tc>
          <w:tcPr>
            <w:tcW w:w="1080" w:type="dxa"/>
            <w:tcBorders>
              <w:top w:val="nil"/>
              <w:left w:val="nil"/>
              <w:bottom w:val="single" w:sz="4" w:space="0" w:color="auto"/>
              <w:right w:val="single" w:sz="4" w:space="0" w:color="auto"/>
            </w:tcBorders>
            <w:shd w:val="clear" w:color="auto" w:fill="auto"/>
            <w:noWrap/>
            <w:vAlign w:val="bottom"/>
            <w:hideMark/>
          </w:tcPr>
          <w:p w14:paraId="7CAB137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0.2591</w:t>
            </w:r>
          </w:p>
        </w:tc>
        <w:tc>
          <w:tcPr>
            <w:tcW w:w="1116" w:type="dxa"/>
            <w:tcBorders>
              <w:top w:val="nil"/>
              <w:left w:val="nil"/>
              <w:bottom w:val="single" w:sz="4" w:space="0" w:color="auto"/>
              <w:right w:val="single" w:sz="4" w:space="0" w:color="auto"/>
            </w:tcBorders>
            <w:shd w:val="clear" w:color="auto" w:fill="auto"/>
            <w:noWrap/>
            <w:vAlign w:val="bottom"/>
            <w:hideMark/>
          </w:tcPr>
          <w:p w14:paraId="4A16FAD9"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6EA2344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0.6073196</w:t>
            </w:r>
          </w:p>
        </w:tc>
        <w:tc>
          <w:tcPr>
            <w:tcW w:w="810" w:type="dxa"/>
            <w:tcBorders>
              <w:top w:val="nil"/>
              <w:left w:val="nil"/>
              <w:bottom w:val="single" w:sz="4" w:space="0" w:color="auto"/>
              <w:right w:val="single" w:sz="4" w:space="0" w:color="auto"/>
            </w:tcBorders>
            <w:shd w:val="clear" w:color="auto" w:fill="auto"/>
            <w:noWrap/>
            <w:vAlign w:val="bottom"/>
            <w:hideMark/>
          </w:tcPr>
          <w:p w14:paraId="5FBC01F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-2.5</w:t>
            </w:r>
          </w:p>
        </w:tc>
        <w:tc>
          <w:tcPr>
            <w:tcW w:w="900" w:type="dxa"/>
            <w:tcBorders>
              <w:top w:val="nil"/>
              <w:left w:val="nil"/>
              <w:bottom w:val="single" w:sz="4" w:space="0" w:color="auto"/>
              <w:right w:val="single" w:sz="8" w:space="0" w:color="auto"/>
            </w:tcBorders>
            <w:shd w:val="clear" w:color="000000" w:fill="auto"/>
            <w:noWrap/>
            <w:vAlign w:val="bottom"/>
            <w:hideMark/>
          </w:tcPr>
          <w:p w14:paraId="4AA39AD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0.025</w:t>
            </w:r>
          </w:p>
        </w:tc>
      </w:tr>
      <w:tr w:rsidR="0060739D" w:rsidRPr="0082770A" w14:paraId="60FE809E"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5A88749D"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Morocco</w:t>
            </w:r>
          </w:p>
        </w:tc>
        <w:tc>
          <w:tcPr>
            <w:tcW w:w="2090" w:type="dxa"/>
            <w:tcBorders>
              <w:top w:val="nil"/>
              <w:left w:val="nil"/>
              <w:bottom w:val="single" w:sz="4" w:space="0" w:color="auto"/>
              <w:right w:val="single" w:sz="4" w:space="0" w:color="auto"/>
            </w:tcBorders>
            <w:shd w:val="clear" w:color="auto" w:fill="E0E5FD"/>
            <w:noWrap/>
            <w:vAlign w:val="center"/>
            <w:hideMark/>
          </w:tcPr>
          <w:p w14:paraId="3FEE8028"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Charges for Intellectual Property</w:t>
            </w:r>
          </w:p>
        </w:tc>
        <w:tc>
          <w:tcPr>
            <w:tcW w:w="540" w:type="dxa"/>
            <w:tcBorders>
              <w:top w:val="nil"/>
              <w:left w:val="nil"/>
              <w:bottom w:val="single" w:sz="4" w:space="0" w:color="auto"/>
              <w:right w:val="single" w:sz="4" w:space="0" w:color="auto"/>
            </w:tcBorders>
            <w:shd w:val="clear" w:color="auto" w:fill="E0E5FD"/>
            <w:noWrap/>
            <w:vAlign w:val="bottom"/>
            <w:hideMark/>
          </w:tcPr>
          <w:p w14:paraId="3BB74AA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10</w:t>
            </w:r>
          </w:p>
        </w:tc>
        <w:tc>
          <w:tcPr>
            <w:tcW w:w="720" w:type="dxa"/>
            <w:tcBorders>
              <w:top w:val="nil"/>
              <w:left w:val="nil"/>
              <w:bottom w:val="single" w:sz="4" w:space="0" w:color="auto"/>
              <w:right w:val="single" w:sz="4" w:space="0" w:color="auto"/>
            </w:tcBorders>
            <w:shd w:val="clear" w:color="auto" w:fill="E0E5FD"/>
            <w:noWrap/>
            <w:vAlign w:val="bottom"/>
            <w:hideMark/>
          </w:tcPr>
          <w:p w14:paraId="01B7FDD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28.45</w:t>
            </w:r>
          </w:p>
        </w:tc>
        <w:tc>
          <w:tcPr>
            <w:tcW w:w="900" w:type="dxa"/>
            <w:tcBorders>
              <w:top w:val="nil"/>
              <w:left w:val="nil"/>
              <w:bottom w:val="single" w:sz="4" w:space="0" w:color="auto"/>
              <w:right w:val="single" w:sz="4" w:space="0" w:color="auto"/>
            </w:tcBorders>
            <w:shd w:val="clear" w:color="auto" w:fill="E0E5FD"/>
            <w:noWrap/>
            <w:vAlign w:val="bottom"/>
            <w:hideMark/>
          </w:tcPr>
          <w:p w14:paraId="0A92607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0.0007</w:t>
            </w:r>
          </w:p>
        </w:tc>
        <w:tc>
          <w:tcPr>
            <w:tcW w:w="1080" w:type="dxa"/>
            <w:tcBorders>
              <w:top w:val="nil"/>
              <w:left w:val="nil"/>
              <w:bottom w:val="single" w:sz="4" w:space="0" w:color="auto"/>
              <w:right w:val="single" w:sz="4" w:space="0" w:color="auto"/>
            </w:tcBorders>
            <w:shd w:val="clear" w:color="auto" w:fill="E0E5FD"/>
            <w:noWrap/>
            <w:vAlign w:val="bottom"/>
            <w:hideMark/>
          </w:tcPr>
          <w:p w14:paraId="2C8BD85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0.7531</w:t>
            </w:r>
          </w:p>
        </w:tc>
        <w:tc>
          <w:tcPr>
            <w:tcW w:w="1116" w:type="dxa"/>
            <w:tcBorders>
              <w:top w:val="nil"/>
              <w:left w:val="nil"/>
              <w:bottom w:val="single" w:sz="4" w:space="0" w:color="auto"/>
              <w:right w:val="single" w:sz="4" w:space="0" w:color="auto"/>
            </w:tcBorders>
            <w:shd w:val="clear" w:color="auto" w:fill="E0E5FD"/>
            <w:noWrap/>
            <w:vAlign w:val="bottom"/>
            <w:hideMark/>
          </w:tcPr>
          <w:p w14:paraId="0BF7CFB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3CE8D16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3.79E-08</w:t>
            </w:r>
          </w:p>
        </w:tc>
        <w:tc>
          <w:tcPr>
            <w:tcW w:w="810" w:type="dxa"/>
            <w:tcBorders>
              <w:top w:val="nil"/>
              <w:left w:val="nil"/>
              <w:bottom w:val="single" w:sz="4" w:space="0" w:color="auto"/>
              <w:right w:val="single" w:sz="4" w:space="0" w:color="auto"/>
            </w:tcBorders>
            <w:shd w:val="clear" w:color="auto" w:fill="E0E5FD"/>
            <w:noWrap/>
            <w:vAlign w:val="bottom"/>
            <w:hideMark/>
          </w:tcPr>
          <w:p w14:paraId="4AB6087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-5.33</w:t>
            </w:r>
          </w:p>
        </w:tc>
        <w:tc>
          <w:tcPr>
            <w:tcW w:w="900" w:type="dxa"/>
            <w:tcBorders>
              <w:top w:val="nil"/>
              <w:left w:val="nil"/>
              <w:bottom w:val="single" w:sz="4" w:space="0" w:color="auto"/>
              <w:right w:val="single" w:sz="8" w:space="0" w:color="auto"/>
            </w:tcBorders>
            <w:shd w:val="clear" w:color="000000" w:fill="E0E5FD"/>
            <w:noWrap/>
            <w:vAlign w:val="bottom"/>
            <w:hideMark/>
          </w:tcPr>
          <w:p w14:paraId="446E92B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0.001</w:t>
            </w:r>
          </w:p>
        </w:tc>
      </w:tr>
      <w:tr w:rsidR="0060739D" w:rsidRPr="0082770A" w14:paraId="782CE1BB"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E9911F4"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Morocco</w:t>
            </w:r>
          </w:p>
        </w:tc>
        <w:tc>
          <w:tcPr>
            <w:tcW w:w="2090" w:type="dxa"/>
            <w:tcBorders>
              <w:top w:val="nil"/>
              <w:left w:val="nil"/>
              <w:bottom w:val="single" w:sz="4" w:space="0" w:color="auto"/>
              <w:right w:val="single" w:sz="4" w:space="0" w:color="auto"/>
            </w:tcBorders>
            <w:shd w:val="clear" w:color="auto" w:fill="auto"/>
            <w:noWrap/>
            <w:vAlign w:val="center"/>
            <w:hideMark/>
          </w:tcPr>
          <w:p w14:paraId="71528E56"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High-tech exports</w:t>
            </w:r>
          </w:p>
        </w:tc>
        <w:tc>
          <w:tcPr>
            <w:tcW w:w="540" w:type="dxa"/>
            <w:tcBorders>
              <w:top w:val="nil"/>
              <w:left w:val="nil"/>
              <w:bottom w:val="single" w:sz="4" w:space="0" w:color="auto"/>
              <w:right w:val="single" w:sz="4" w:space="0" w:color="auto"/>
            </w:tcBorders>
            <w:shd w:val="clear" w:color="auto" w:fill="auto"/>
            <w:noWrap/>
            <w:vAlign w:val="bottom"/>
            <w:hideMark/>
          </w:tcPr>
          <w:p w14:paraId="072B6B2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19</w:t>
            </w:r>
          </w:p>
        </w:tc>
        <w:tc>
          <w:tcPr>
            <w:tcW w:w="720" w:type="dxa"/>
            <w:tcBorders>
              <w:top w:val="nil"/>
              <w:left w:val="nil"/>
              <w:bottom w:val="single" w:sz="4" w:space="0" w:color="auto"/>
              <w:right w:val="single" w:sz="4" w:space="0" w:color="auto"/>
            </w:tcBorders>
            <w:shd w:val="clear" w:color="auto" w:fill="auto"/>
            <w:noWrap/>
            <w:vAlign w:val="bottom"/>
            <w:hideMark/>
          </w:tcPr>
          <w:p w14:paraId="27B9D4C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5.08</w:t>
            </w:r>
          </w:p>
        </w:tc>
        <w:tc>
          <w:tcPr>
            <w:tcW w:w="900" w:type="dxa"/>
            <w:tcBorders>
              <w:top w:val="nil"/>
              <w:left w:val="nil"/>
              <w:bottom w:val="single" w:sz="4" w:space="0" w:color="auto"/>
              <w:right w:val="single" w:sz="4" w:space="0" w:color="auto"/>
            </w:tcBorders>
            <w:shd w:val="clear" w:color="auto" w:fill="auto"/>
            <w:noWrap/>
            <w:vAlign w:val="bottom"/>
            <w:hideMark/>
          </w:tcPr>
          <w:p w14:paraId="1F25104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0.0378</w:t>
            </w:r>
          </w:p>
        </w:tc>
        <w:tc>
          <w:tcPr>
            <w:tcW w:w="1080" w:type="dxa"/>
            <w:tcBorders>
              <w:top w:val="nil"/>
              <w:left w:val="nil"/>
              <w:bottom w:val="single" w:sz="4" w:space="0" w:color="auto"/>
              <w:right w:val="single" w:sz="4" w:space="0" w:color="auto"/>
            </w:tcBorders>
            <w:shd w:val="clear" w:color="auto" w:fill="auto"/>
            <w:noWrap/>
            <w:vAlign w:val="bottom"/>
            <w:hideMark/>
          </w:tcPr>
          <w:p w14:paraId="6BEDD41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0.1846</w:t>
            </w:r>
          </w:p>
        </w:tc>
        <w:tc>
          <w:tcPr>
            <w:tcW w:w="1116" w:type="dxa"/>
            <w:tcBorders>
              <w:top w:val="nil"/>
              <w:left w:val="nil"/>
              <w:bottom w:val="single" w:sz="4" w:space="0" w:color="auto"/>
              <w:right w:val="single" w:sz="4" w:space="0" w:color="auto"/>
            </w:tcBorders>
            <w:shd w:val="clear" w:color="auto" w:fill="auto"/>
            <w:noWrap/>
            <w:vAlign w:val="bottom"/>
            <w:hideMark/>
          </w:tcPr>
          <w:p w14:paraId="1DEEA34B"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66FB306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1.13E-08</w:t>
            </w:r>
          </w:p>
        </w:tc>
        <w:tc>
          <w:tcPr>
            <w:tcW w:w="810" w:type="dxa"/>
            <w:tcBorders>
              <w:top w:val="nil"/>
              <w:left w:val="nil"/>
              <w:bottom w:val="single" w:sz="4" w:space="0" w:color="auto"/>
              <w:right w:val="single" w:sz="4" w:space="0" w:color="auto"/>
            </w:tcBorders>
            <w:shd w:val="clear" w:color="auto" w:fill="auto"/>
            <w:noWrap/>
            <w:vAlign w:val="bottom"/>
            <w:hideMark/>
          </w:tcPr>
          <w:p w14:paraId="4D7D26E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2.25</w:t>
            </w:r>
          </w:p>
        </w:tc>
        <w:tc>
          <w:tcPr>
            <w:tcW w:w="900" w:type="dxa"/>
            <w:tcBorders>
              <w:top w:val="nil"/>
              <w:left w:val="nil"/>
              <w:bottom w:val="single" w:sz="4" w:space="0" w:color="auto"/>
              <w:right w:val="single" w:sz="8" w:space="0" w:color="auto"/>
            </w:tcBorders>
            <w:shd w:val="clear" w:color="000000" w:fill="auto"/>
            <w:noWrap/>
            <w:vAlign w:val="bottom"/>
            <w:hideMark/>
          </w:tcPr>
          <w:p w14:paraId="55494D7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0.038</w:t>
            </w:r>
          </w:p>
        </w:tc>
      </w:tr>
      <w:tr w:rsidR="0060739D" w:rsidRPr="0082770A" w14:paraId="2E258E3B"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6CDCC289"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Morocco</w:t>
            </w:r>
          </w:p>
        </w:tc>
        <w:tc>
          <w:tcPr>
            <w:tcW w:w="2090" w:type="dxa"/>
            <w:tcBorders>
              <w:top w:val="nil"/>
              <w:left w:val="nil"/>
              <w:bottom w:val="single" w:sz="4" w:space="0" w:color="auto"/>
              <w:right w:val="single" w:sz="4" w:space="0" w:color="auto"/>
            </w:tcBorders>
            <w:shd w:val="clear" w:color="auto" w:fill="E0E5FD"/>
            <w:noWrap/>
            <w:vAlign w:val="center"/>
            <w:hideMark/>
          </w:tcPr>
          <w:p w14:paraId="6C1FE87E"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Scientific &amp; technical journal articles</w:t>
            </w:r>
          </w:p>
        </w:tc>
        <w:tc>
          <w:tcPr>
            <w:tcW w:w="540" w:type="dxa"/>
            <w:tcBorders>
              <w:top w:val="nil"/>
              <w:left w:val="nil"/>
              <w:bottom w:val="single" w:sz="4" w:space="0" w:color="auto"/>
              <w:right w:val="single" w:sz="4" w:space="0" w:color="auto"/>
            </w:tcBorders>
            <w:shd w:val="clear" w:color="auto" w:fill="E0E5FD"/>
            <w:noWrap/>
            <w:vAlign w:val="bottom"/>
            <w:hideMark/>
          </w:tcPr>
          <w:p w14:paraId="1F272B2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E0E5FD"/>
            <w:noWrap/>
            <w:vAlign w:val="bottom"/>
            <w:hideMark/>
          </w:tcPr>
          <w:p w14:paraId="3CB02B8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7.71</w:t>
            </w:r>
          </w:p>
        </w:tc>
        <w:tc>
          <w:tcPr>
            <w:tcW w:w="900" w:type="dxa"/>
            <w:tcBorders>
              <w:top w:val="nil"/>
              <w:left w:val="nil"/>
              <w:bottom w:val="single" w:sz="4" w:space="0" w:color="auto"/>
              <w:right w:val="single" w:sz="4" w:space="0" w:color="auto"/>
            </w:tcBorders>
            <w:shd w:val="clear" w:color="auto" w:fill="E0E5FD"/>
            <w:noWrap/>
            <w:vAlign w:val="bottom"/>
            <w:hideMark/>
          </w:tcPr>
          <w:p w14:paraId="4D81924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0.0167</w:t>
            </w:r>
          </w:p>
        </w:tc>
        <w:tc>
          <w:tcPr>
            <w:tcW w:w="1080" w:type="dxa"/>
            <w:tcBorders>
              <w:top w:val="nil"/>
              <w:left w:val="nil"/>
              <w:bottom w:val="single" w:sz="4" w:space="0" w:color="auto"/>
              <w:right w:val="single" w:sz="4" w:space="0" w:color="auto"/>
            </w:tcBorders>
            <w:shd w:val="clear" w:color="auto" w:fill="E0E5FD"/>
            <w:noWrap/>
            <w:vAlign w:val="bottom"/>
            <w:hideMark/>
          </w:tcPr>
          <w:p w14:paraId="7ED5CA9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0.3405</w:t>
            </w:r>
          </w:p>
        </w:tc>
        <w:tc>
          <w:tcPr>
            <w:tcW w:w="1116" w:type="dxa"/>
            <w:tcBorders>
              <w:top w:val="nil"/>
              <w:left w:val="nil"/>
              <w:bottom w:val="single" w:sz="4" w:space="0" w:color="auto"/>
              <w:right w:val="single" w:sz="4" w:space="0" w:color="auto"/>
            </w:tcBorders>
            <w:shd w:val="clear" w:color="auto" w:fill="E0E5FD"/>
            <w:noWrap/>
            <w:vAlign w:val="bottom"/>
            <w:hideMark/>
          </w:tcPr>
          <w:p w14:paraId="6ACAEFE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06626F5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0.0003551</w:t>
            </w:r>
          </w:p>
        </w:tc>
        <w:tc>
          <w:tcPr>
            <w:tcW w:w="810" w:type="dxa"/>
            <w:tcBorders>
              <w:top w:val="nil"/>
              <w:left w:val="nil"/>
              <w:bottom w:val="single" w:sz="4" w:space="0" w:color="auto"/>
              <w:right w:val="single" w:sz="4" w:space="0" w:color="auto"/>
            </w:tcBorders>
            <w:shd w:val="clear" w:color="auto" w:fill="E0E5FD"/>
            <w:noWrap/>
            <w:vAlign w:val="bottom"/>
            <w:hideMark/>
          </w:tcPr>
          <w:p w14:paraId="0955871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-2.78</w:t>
            </w:r>
          </w:p>
        </w:tc>
        <w:tc>
          <w:tcPr>
            <w:tcW w:w="900" w:type="dxa"/>
            <w:tcBorders>
              <w:top w:val="nil"/>
              <w:left w:val="nil"/>
              <w:bottom w:val="single" w:sz="4" w:space="0" w:color="auto"/>
              <w:right w:val="single" w:sz="8" w:space="0" w:color="auto"/>
            </w:tcBorders>
            <w:shd w:val="clear" w:color="000000" w:fill="E0E5FD"/>
            <w:noWrap/>
            <w:vAlign w:val="bottom"/>
            <w:hideMark/>
          </w:tcPr>
          <w:p w14:paraId="312D33B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0.017</w:t>
            </w:r>
          </w:p>
        </w:tc>
      </w:tr>
      <w:tr w:rsidR="0060739D" w:rsidRPr="0082770A" w14:paraId="2923E72C"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1CE415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Oman</w:t>
            </w:r>
          </w:p>
        </w:tc>
        <w:tc>
          <w:tcPr>
            <w:tcW w:w="2090" w:type="dxa"/>
            <w:tcBorders>
              <w:top w:val="nil"/>
              <w:left w:val="nil"/>
              <w:bottom w:val="single" w:sz="4" w:space="0" w:color="auto"/>
              <w:right w:val="single" w:sz="4" w:space="0" w:color="auto"/>
            </w:tcBorders>
            <w:shd w:val="clear" w:color="auto" w:fill="auto"/>
            <w:noWrap/>
            <w:vAlign w:val="center"/>
            <w:hideMark/>
          </w:tcPr>
          <w:p w14:paraId="10AE0452"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imports</w:t>
            </w:r>
          </w:p>
        </w:tc>
        <w:tc>
          <w:tcPr>
            <w:tcW w:w="540" w:type="dxa"/>
            <w:tcBorders>
              <w:top w:val="nil"/>
              <w:left w:val="nil"/>
              <w:bottom w:val="single" w:sz="4" w:space="0" w:color="auto"/>
              <w:right w:val="single" w:sz="4" w:space="0" w:color="auto"/>
            </w:tcBorders>
            <w:shd w:val="clear" w:color="auto" w:fill="auto"/>
            <w:noWrap/>
            <w:vAlign w:val="bottom"/>
            <w:hideMark/>
          </w:tcPr>
          <w:p w14:paraId="7EE8838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390B6FD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6.17</w:t>
            </w:r>
          </w:p>
        </w:tc>
        <w:tc>
          <w:tcPr>
            <w:tcW w:w="900" w:type="dxa"/>
            <w:tcBorders>
              <w:top w:val="nil"/>
              <w:left w:val="nil"/>
              <w:bottom w:val="single" w:sz="4" w:space="0" w:color="auto"/>
              <w:right w:val="single" w:sz="4" w:space="0" w:color="auto"/>
            </w:tcBorders>
            <w:shd w:val="clear" w:color="auto" w:fill="auto"/>
            <w:noWrap/>
            <w:vAlign w:val="bottom"/>
            <w:hideMark/>
          </w:tcPr>
          <w:p w14:paraId="06CD9CB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0.0262</w:t>
            </w:r>
          </w:p>
        </w:tc>
        <w:tc>
          <w:tcPr>
            <w:tcW w:w="1080" w:type="dxa"/>
            <w:tcBorders>
              <w:top w:val="nil"/>
              <w:left w:val="nil"/>
              <w:bottom w:val="single" w:sz="4" w:space="0" w:color="auto"/>
              <w:right w:val="single" w:sz="4" w:space="0" w:color="auto"/>
            </w:tcBorders>
            <w:shd w:val="clear" w:color="auto" w:fill="auto"/>
            <w:noWrap/>
            <w:vAlign w:val="bottom"/>
            <w:hideMark/>
          </w:tcPr>
          <w:p w14:paraId="1902C32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0.2565</w:t>
            </w:r>
          </w:p>
        </w:tc>
        <w:tc>
          <w:tcPr>
            <w:tcW w:w="1116" w:type="dxa"/>
            <w:tcBorders>
              <w:top w:val="nil"/>
              <w:left w:val="nil"/>
              <w:bottom w:val="single" w:sz="4" w:space="0" w:color="auto"/>
              <w:right w:val="single" w:sz="4" w:space="0" w:color="auto"/>
            </w:tcBorders>
            <w:shd w:val="clear" w:color="auto" w:fill="auto"/>
            <w:noWrap/>
            <w:vAlign w:val="bottom"/>
            <w:hideMark/>
          </w:tcPr>
          <w:p w14:paraId="1A053D08" w14:textId="79FA7FC1" w:rsidR="005A3694" w:rsidRPr="004C1C43" w:rsidRDefault="005A3694" w:rsidP="00973371">
            <w:pPr>
              <w:rPr>
                <w:rFonts w:ascii="Calibri" w:eastAsia="Times New Roman" w:hAnsi="Calibri" w:cs="Calibri"/>
                <w:color w:val="000000"/>
                <w:sz w:val="18"/>
              </w:rPr>
            </w:pPr>
            <w:r>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5603268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0.6859133</w:t>
            </w:r>
          </w:p>
        </w:tc>
        <w:tc>
          <w:tcPr>
            <w:tcW w:w="810" w:type="dxa"/>
            <w:tcBorders>
              <w:top w:val="nil"/>
              <w:left w:val="nil"/>
              <w:bottom w:val="single" w:sz="4" w:space="0" w:color="auto"/>
              <w:right w:val="single" w:sz="4" w:space="0" w:color="auto"/>
            </w:tcBorders>
            <w:shd w:val="clear" w:color="auto" w:fill="auto"/>
            <w:noWrap/>
            <w:vAlign w:val="bottom"/>
            <w:hideMark/>
          </w:tcPr>
          <w:p w14:paraId="51EA2C5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-2.48</w:t>
            </w:r>
          </w:p>
        </w:tc>
        <w:tc>
          <w:tcPr>
            <w:tcW w:w="900" w:type="dxa"/>
            <w:tcBorders>
              <w:top w:val="nil"/>
              <w:left w:val="nil"/>
              <w:bottom w:val="single" w:sz="4" w:space="0" w:color="auto"/>
              <w:right w:val="single" w:sz="8" w:space="0" w:color="auto"/>
            </w:tcBorders>
            <w:shd w:val="clear" w:color="000000" w:fill="auto"/>
            <w:noWrap/>
            <w:vAlign w:val="bottom"/>
            <w:hideMark/>
          </w:tcPr>
          <w:p w14:paraId="1FB2CB0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0.026</w:t>
            </w:r>
          </w:p>
        </w:tc>
      </w:tr>
      <w:tr w:rsidR="0060739D" w:rsidRPr="0082770A" w14:paraId="7CBD9EFE" w14:textId="77777777" w:rsidTr="00D42145">
        <w:trPr>
          <w:trHeight w:hRule="exact" w:val="493"/>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616840B9"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Qatar</w:t>
            </w:r>
          </w:p>
        </w:tc>
        <w:tc>
          <w:tcPr>
            <w:tcW w:w="2090" w:type="dxa"/>
            <w:tcBorders>
              <w:top w:val="nil"/>
              <w:left w:val="nil"/>
              <w:bottom w:val="single" w:sz="4" w:space="0" w:color="auto"/>
              <w:right w:val="single" w:sz="4" w:space="0" w:color="auto"/>
            </w:tcBorders>
            <w:shd w:val="clear" w:color="auto" w:fill="E0E5FD"/>
            <w:noWrap/>
            <w:vAlign w:val="center"/>
            <w:hideMark/>
          </w:tcPr>
          <w:p w14:paraId="7787ECD1"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Scientific &amp; technical journal articles</w:t>
            </w:r>
          </w:p>
        </w:tc>
        <w:tc>
          <w:tcPr>
            <w:tcW w:w="540" w:type="dxa"/>
            <w:tcBorders>
              <w:top w:val="nil"/>
              <w:left w:val="nil"/>
              <w:bottom w:val="single" w:sz="4" w:space="0" w:color="auto"/>
              <w:right w:val="single" w:sz="4" w:space="0" w:color="auto"/>
            </w:tcBorders>
            <w:shd w:val="clear" w:color="auto" w:fill="E0E5FD"/>
            <w:noWrap/>
            <w:vAlign w:val="bottom"/>
            <w:hideMark/>
          </w:tcPr>
          <w:p w14:paraId="3495188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E0E5FD"/>
            <w:noWrap/>
            <w:vAlign w:val="bottom"/>
            <w:hideMark/>
          </w:tcPr>
          <w:p w14:paraId="56DB67D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8.56</w:t>
            </w:r>
          </w:p>
        </w:tc>
        <w:tc>
          <w:tcPr>
            <w:tcW w:w="900" w:type="dxa"/>
            <w:tcBorders>
              <w:top w:val="nil"/>
              <w:left w:val="nil"/>
              <w:bottom w:val="single" w:sz="4" w:space="0" w:color="auto"/>
              <w:right w:val="single" w:sz="4" w:space="0" w:color="auto"/>
            </w:tcBorders>
            <w:shd w:val="clear" w:color="auto" w:fill="E0E5FD"/>
            <w:noWrap/>
            <w:vAlign w:val="bottom"/>
            <w:hideMark/>
          </w:tcPr>
          <w:p w14:paraId="3A2B405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0.0127</w:t>
            </w:r>
          </w:p>
        </w:tc>
        <w:tc>
          <w:tcPr>
            <w:tcW w:w="1080" w:type="dxa"/>
            <w:tcBorders>
              <w:top w:val="nil"/>
              <w:left w:val="nil"/>
              <w:bottom w:val="single" w:sz="4" w:space="0" w:color="auto"/>
              <w:right w:val="single" w:sz="4" w:space="0" w:color="auto"/>
            </w:tcBorders>
            <w:shd w:val="clear" w:color="auto" w:fill="E0E5FD"/>
            <w:noWrap/>
            <w:vAlign w:val="bottom"/>
            <w:hideMark/>
          </w:tcPr>
          <w:p w14:paraId="284FAA3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0.3678</w:t>
            </w:r>
          </w:p>
        </w:tc>
        <w:tc>
          <w:tcPr>
            <w:tcW w:w="1116" w:type="dxa"/>
            <w:tcBorders>
              <w:top w:val="nil"/>
              <w:left w:val="nil"/>
              <w:bottom w:val="single" w:sz="4" w:space="0" w:color="auto"/>
              <w:right w:val="single" w:sz="4" w:space="0" w:color="auto"/>
            </w:tcBorders>
            <w:shd w:val="clear" w:color="auto" w:fill="E0E5FD"/>
            <w:noWrap/>
            <w:vAlign w:val="bottom"/>
            <w:hideMark/>
          </w:tcPr>
          <w:p w14:paraId="1341AF5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59F0484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0.0041726</w:t>
            </w:r>
          </w:p>
        </w:tc>
        <w:tc>
          <w:tcPr>
            <w:tcW w:w="810" w:type="dxa"/>
            <w:tcBorders>
              <w:top w:val="nil"/>
              <w:left w:val="nil"/>
              <w:bottom w:val="single" w:sz="4" w:space="0" w:color="auto"/>
              <w:right w:val="single" w:sz="4" w:space="0" w:color="auto"/>
            </w:tcBorders>
            <w:shd w:val="clear" w:color="auto" w:fill="E0E5FD"/>
            <w:noWrap/>
            <w:vAlign w:val="bottom"/>
            <w:hideMark/>
          </w:tcPr>
          <w:p w14:paraId="721214B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-2.93</w:t>
            </w:r>
          </w:p>
        </w:tc>
        <w:tc>
          <w:tcPr>
            <w:tcW w:w="900" w:type="dxa"/>
            <w:tcBorders>
              <w:top w:val="nil"/>
              <w:left w:val="nil"/>
              <w:bottom w:val="single" w:sz="4" w:space="0" w:color="auto"/>
              <w:right w:val="single" w:sz="8" w:space="0" w:color="auto"/>
            </w:tcBorders>
            <w:shd w:val="clear" w:color="000000" w:fill="E0E5FD"/>
            <w:noWrap/>
            <w:vAlign w:val="bottom"/>
            <w:hideMark/>
          </w:tcPr>
          <w:p w14:paraId="3AB2E9B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0.013</w:t>
            </w:r>
          </w:p>
        </w:tc>
      </w:tr>
      <w:tr w:rsidR="0060739D" w:rsidRPr="0082770A" w14:paraId="6C060303"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189845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Qatar</w:t>
            </w:r>
          </w:p>
        </w:tc>
        <w:tc>
          <w:tcPr>
            <w:tcW w:w="2090" w:type="dxa"/>
            <w:tcBorders>
              <w:top w:val="nil"/>
              <w:left w:val="nil"/>
              <w:bottom w:val="single" w:sz="4" w:space="0" w:color="auto"/>
              <w:right w:val="single" w:sz="4" w:space="0" w:color="auto"/>
            </w:tcBorders>
            <w:shd w:val="clear" w:color="auto" w:fill="auto"/>
            <w:noWrap/>
            <w:vAlign w:val="center"/>
            <w:hideMark/>
          </w:tcPr>
          <w:p w14:paraId="63A6C011"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imports</w:t>
            </w:r>
          </w:p>
        </w:tc>
        <w:tc>
          <w:tcPr>
            <w:tcW w:w="540" w:type="dxa"/>
            <w:tcBorders>
              <w:top w:val="nil"/>
              <w:left w:val="nil"/>
              <w:bottom w:val="single" w:sz="4" w:space="0" w:color="auto"/>
              <w:right w:val="single" w:sz="4" w:space="0" w:color="auto"/>
            </w:tcBorders>
            <w:shd w:val="clear" w:color="auto" w:fill="auto"/>
            <w:noWrap/>
            <w:vAlign w:val="bottom"/>
            <w:hideMark/>
          </w:tcPr>
          <w:p w14:paraId="0F232A7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531FD17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11.24</w:t>
            </w:r>
          </w:p>
        </w:tc>
        <w:tc>
          <w:tcPr>
            <w:tcW w:w="900" w:type="dxa"/>
            <w:tcBorders>
              <w:top w:val="nil"/>
              <w:left w:val="nil"/>
              <w:bottom w:val="single" w:sz="4" w:space="0" w:color="auto"/>
              <w:right w:val="single" w:sz="4" w:space="0" w:color="auto"/>
            </w:tcBorders>
            <w:shd w:val="clear" w:color="auto" w:fill="auto"/>
            <w:noWrap/>
            <w:vAlign w:val="bottom"/>
            <w:hideMark/>
          </w:tcPr>
          <w:p w14:paraId="06B4C19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0.0064</w:t>
            </w:r>
          </w:p>
        </w:tc>
        <w:tc>
          <w:tcPr>
            <w:tcW w:w="1080" w:type="dxa"/>
            <w:tcBorders>
              <w:top w:val="nil"/>
              <w:left w:val="nil"/>
              <w:bottom w:val="single" w:sz="4" w:space="0" w:color="auto"/>
              <w:right w:val="single" w:sz="4" w:space="0" w:color="auto"/>
            </w:tcBorders>
            <w:shd w:val="clear" w:color="auto" w:fill="auto"/>
            <w:noWrap/>
            <w:vAlign w:val="bottom"/>
            <w:hideMark/>
          </w:tcPr>
          <w:p w14:paraId="5F7295A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0.4605</w:t>
            </w:r>
          </w:p>
        </w:tc>
        <w:tc>
          <w:tcPr>
            <w:tcW w:w="1116" w:type="dxa"/>
            <w:tcBorders>
              <w:top w:val="nil"/>
              <w:left w:val="nil"/>
              <w:bottom w:val="single" w:sz="4" w:space="0" w:color="auto"/>
              <w:right w:val="single" w:sz="4" w:space="0" w:color="auto"/>
            </w:tcBorders>
            <w:shd w:val="clear" w:color="auto" w:fill="auto"/>
            <w:noWrap/>
            <w:vAlign w:val="bottom"/>
            <w:hideMark/>
          </w:tcPr>
          <w:p w14:paraId="49E396BC"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3B1A823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2.009496</w:t>
            </w:r>
          </w:p>
        </w:tc>
        <w:tc>
          <w:tcPr>
            <w:tcW w:w="810" w:type="dxa"/>
            <w:tcBorders>
              <w:top w:val="nil"/>
              <w:left w:val="nil"/>
              <w:bottom w:val="single" w:sz="4" w:space="0" w:color="auto"/>
              <w:right w:val="single" w:sz="4" w:space="0" w:color="auto"/>
            </w:tcBorders>
            <w:shd w:val="clear" w:color="auto" w:fill="auto"/>
            <w:noWrap/>
            <w:vAlign w:val="bottom"/>
            <w:hideMark/>
          </w:tcPr>
          <w:p w14:paraId="030147C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-3.35</w:t>
            </w:r>
          </w:p>
        </w:tc>
        <w:tc>
          <w:tcPr>
            <w:tcW w:w="900" w:type="dxa"/>
            <w:tcBorders>
              <w:top w:val="nil"/>
              <w:left w:val="nil"/>
              <w:bottom w:val="single" w:sz="4" w:space="0" w:color="auto"/>
              <w:right w:val="single" w:sz="8" w:space="0" w:color="auto"/>
            </w:tcBorders>
            <w:shd w:val="clear" w:color="000000" w:fill="auto"/>
            <w:noWrap/>
            <w:vAlign w:val="bottom"/>
            <w:hideMark/>
          </w:tcPr>
          <w:p w14:paraId="632A623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0.06</w:t>
            </w:r>
          </w:p>
        </w:tc>
      </w:tr>
      <w:tr w:rsidR="0060739D" w:rsidRPr="0082770A" w14:paraId="33EA6867"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3DAE7BAE"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Qatar</w:t>
            </w:r>
          </w:p>
        </w:tc>
        <w:tc>
          <w:tcPr>
            <w:tcW w:w="2090" w:type="dxa"/>
            <w:tcBorders>
              <w:top w:val="nil"/>
              <w:left w:val="nil"/>
              <w:bottom w:val="single" w:sz="4" w:space="0" w:color="auto"/>
              <w:right w:val="single" w:sz="4" w:space="0" w:color="auto"/>
            </w:tcBorders>
            <w:shd w:val="clear" w:color="auto" w:fill="E0E5FD"/>
            <w:noWrap/>
            <w:vAlign w:val="center"/>
            <w:hideMark/>
          </w:tcPr>
          <w:p w14:paraId="69CBAA22"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Medium &amp; high-tech industry</w:t>
            </w:r>
          </w:p>
        </w:tc>
        <w:tc>
          <w:tcPr>
            <w:tcW w:w="540" w:type="dxa"/>
            <w:tcBorders>
              <w:top w:val="nil"/>
              <w:left w:val="nil"/>
              <w:bottom w:val="single" w:sz="4" w:space="0" w:color="auto"/>
              <w:right w:val="single" w:sz="4" w:space="0" w:color="auto"/>
            </w:tcBorders>
            <w:shd w:val="clear" w:color="auto" w:fill="E0E5FD"/>
            <w:noWrap/>
            <w:vAlign w:val="bottom"/>
            <w:hideMark/>
          </w:tcPr>
          <w:p w14:paraId="454AD81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15</w:t>
            </w:r>
          </w:p>
        </w:tc>
        <w:tc>
          <w:tcPr>
            <w:tcW w:w="720" w:type="dxa"/>
            <w:tcBorders>
              <w:top w:val="nil"/>
              <w:left w:val="nil"/>
              <w:bottom w:val="single" w:sz="4" w:space="0" w:color="auto"/>
              <w:right w:val="single" w:sz="4" w:space="0" w:color="auto"/>
            </w:tcBorders>
            <w:shd w:val="clear" w:color="auto" w:fill="E0E5FD"/>
            <w:noWrap/>
            <w:vAlign w:val="bottom"/>
            <w:hideMark/>
          </w:tcPr>
          <w:p w14:paraId="63506F8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4.62</w:t>
            </w:r>
          </w:p>
        </w:tc>
        <w:tc>
          <w:tcPr>
            <w:tcW w:w="900" w:type="dxa"/>
            <w:tcBorders>
              <w:top w:val="nil"/>
              <w:left w:val="nil"/>
              <w:bottom w:val="single" w:sz="4" w:space="0" w:color="auto"/>
              <w:right w:val="single" w:sz="4" w:space="0" w:color="auto"/>
            </w:tcBorders>
            <w:shd w:val="clear" w:color="auto" w:fill="E0E5FD"/>
            <w:noWrap/>
            <w:vAlign w:val="bottom"/>
            <w:hideMark/>
          </w:tcPr>
          <w:p w14:paraId="1FD355F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0.0511</w:t>
            </w:r>
          </w:p>
        </w:tc>
        <w:tc>
          <w:tcPr>
            <w:tcW w:w="1080" w:type="dxa"/>
            <w:tcBorders>
              <w:top w:val="nil"/>
              <w:left w:val="nil"/>
              <w:bottom w:val="single" w:sz="4" w:space="0" w:color="auto"/>
              <w:right w:val="single" w:sz="4" w:space="0" w:color="auto"/>
            </w:tcBorders>
            <w:shd w:val="clear" w:color="auto" w:fill="E0E5FD"/>
            <w:noWrap/>
            <w:vAlign w:val="bottom"/>
            <w:hideMark/>
          </w:tcPr>
          <w:p w14:paraId="099619B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0.2052</w:t>
            </w:r>
          </w:p>
        </w:tc>
        <w:tc>
          <w:tcPr>
            <w:tcW w:w="1116" w:type="dxa"/>
            <w:tcBorders>
              <w:top w:val="nil"/>
              <w:left w:val="nil"/>
              <w:bottom w:val="single" w:sz="4" w:space="0" w:color="auto"/>
              <w:right w:val="single" w:sz="4" w:space="0" w:color="auto"/>
            </w:tcBorders>
            <w:shd w:val="clear" w:color="auto" w:fill="E0E5FD"/>
            <w:noWrap/>
            <w:vAlign w:val="bottom"/>
            <w:hideMark/>
          </w:tcPr>
          <w:p w14:paraId="5E641B73"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417DF28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0.0890193</w:t>
            </w:r>
          </w:p>
        </w:tc>
        <w:tc>
          <w:tcPr>
            <w:tcW w:w="810" w:type="dxa"/>
            <w:tcBorders>
              <w:top w:val="nil"/>
              <w:left w:val="nil"/>
              <w:bottom w:val="single" w:sz="4" w:space="0" w:color="auto"/>
              <w:right w:val="single" w:sz="4" w:space="0" w:color="auto"/>
            </w:tcBorders>
            <w:shd w:val="clear" w:color="auto" w:fill="E0E5FD"/>
            <w:noWrap/>
            <w:vAlign w:val="bottom"/>
            <w:hideMark/>
          </w:tcPr>
          <w:p w14:paraId="17CEFB0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-2.15</w:t>
            </w:r>
          </w:p>
        </w:tc>
        <w:tc>
          <w:tcPr>
            <w:tcW w:w="900" w:type="dxa"/>
            <w:tcBorders>
              <w:top w:val="nil"/>
              <w:left w:val="nil"/>
              <w:bottom w:val="single" w:sz="4" w:space="0" w:color="auto"/>
              <w:right w:val="single" w:sz="8" w:space="0" w:color="auto"/>
            </w:tcBorders>
            <w:shd w:val="clear" w:color="000000" w:fill="E0E5FD"/>
            <w:noWrap/>
            <w:vAlign w:val="bottom"/>
            <w:hideMark/>
          </w:tcPr>
          <w:p w14:paraId="7A80A29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0.051</w:t>
            </w:r>
          </w:p>
        </w:tc>
      </w:tr>
      <w:tr w:rsidR="0060739D" w:rsidRPr="0082770A" w14:paraId="486E73CF"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2B40079"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Syria</w:t>
            </w:r>
          </w:p>
        </w:tc>
        <w:tc>
          <w:tcPr>
            <w:tcW w:w="2090" w:type="dxa"/>
            <w:tcBorders>
              <w:top w:val="nil"/>
              <w:left w:val="nil"/>
              <w:bottom w:val="single" w:sz="4" w:space="0" w:color="auto"/>
              <w:right w:val="single" w:sz="4" w:space="0" w:color="auto"/>
            </w:tcBorders>
            <w:shd w:val="clear" w:color="auto" w:fill="auto"/>
            <w:noWrap/>
            <w:vAlign w:val="center"/>
            <w:hideMark/>
          </w:tcPr>
          <w:p w14:paraId="0E82FF9F"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Medium &amp; high-tech industry</w:t>
            </w:r>
          </w:p>
        </w:tc>
        <w:tc>
          <w:tcPr>
            <w:tcW w:w="540" w:type="dxa"/>
            <w:tcBorders>
              <w:top w:val="nil"/>
              <w:left w:val="nil"/>
              <w:bottom w:val="single" w:sz="4" w:space="0" w:color="auto"/>
              <w:right w:val="single" w:sz="4" w:space="0" w:color="auto"/>
            </w:tcBorders>
            <w:shd w:val="clear" w:color="auto" w:fill="auto"/>
            <w:noWrap/>
            <w:vAlign w:val="bottom"/>
            <w:hideMark/>
          </w:tcPr>
          <w:p w14:paraId="52952C2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FCCF47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6.39</w:t>
            </w:r>
          </w:p>
        </w:tc>
        <w:tc>
          <w:tcPr>
            <w:tcW w:w="900" w:type="dxa"/>
            <w:tcBorders>
              <w:top w:val="nil"/>
              <w:left w:val="nil"/>
              <w:bottom w:val="single" w:sz="4" w:space="0" w:color="auto"/>
              <w:right w:val="single" w:sz="4" w:space="0" w:color="auto"/>
            </w:tcBorders>
            <w:shd w:val="clear" w:color="auto" w:fill="auto"/>
            <w:noWrap/>
            <w:vAlign w:val="bottom"/>
            <w:hideMark/>
          </w:tcPr>
          <w:p w14:paraId="34CB80E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0.0224</w:t>
            </w:r>
          </w:p>
        </w:tc>
        <w:tc>
          <w:tcPr>
            <w:tcW w:w="1080" w:type="dxa"/>
            <w:tcBorders>
              <w:top w:val="nil"/>
              <w:left w:val="nil"/>
              <w:bottom w:val="single" w:sz="4" w:space="0" w:color="auto"/>
              <w:right w:val="single" w:sz="4" w:space="0" w:color="auto"/>
            </w:tcBorders>
            <w:shd w:val="clear" w:color="auto" w:fill="auto"/>
            <w:noWrap/>
            <w:vAlign w:val="bottom"/>
            <w:hideMark/>
          </w:tcPr>
          <w:p w14:paraId="7E1DDC0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0.2407</w:t>
            </w:r>
          </w:p>
        </w:tc>
        <w:tc>
          <w:tcPr>
            <w:tcW w:w="1116" w:type="dxa"/>
            <w:tcBorders>
              <w:top w:val="nil"/>
              <w:left w:val="nil"/>
              <w:bottom w:val="single" w:sz="4" w:space="0" w:color="auto"/>
              <w:right w:val="single" w:sz="4" w:space="0" w:color="auto"/>
            </w:tcBorders>
            <w:shd w:val="clear" w:color="auto" w:fill="auto"/>
            <w:noWrap/>
            <w:vAlign w:val="bottom"/>
            <w:hideMark/>
          </w:tcPr>
          <w:p w14:paraId="5A90351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6951A71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0.1838721</w:t>
            </w:r>
          </w:p>
        </w:tc>
        <w:tc>
          <w:tcPr>
            <w:tcW w:w="810" w:type="dxa"/>
            <w:tcBorders>
              <w:top w:val="nil"/>
              <w:left w:val="nil"/>
              <w:bottom w:val="single" w:sz="4" w:space="0" w:color="auto"/>
              <w:right w:val="single" w:sz="4" w:space="0" w:color="auto"/>
            </w:tcBorders>
            <w:shd w:val="clear" w:color="auto" w:fill="auto"/>
            <w:noWrap/>
            <w:vAlign w:val="bottom"/>
            <w:hideMark/>
          </w:tcPr>
          <w:p w14:paraId="7C851C1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-2.53</w:t>
            </w:r>
          </w:p>
        </w:tc>
        <w:tc>
          <w:tcPr>
            <w:tcW w:w="900" w:type="dxa"/>
            <w:tcBorders>
              <w:top w:val="nil"/>
              <w:left w:val="nil"/>
              <w:bottom w:val="single" w:sz="4" w:space="0" w:color="auto"/>
              <w:right w:val="single" w:sz="8" w:space="0" w:color="auto"/>
            </w:tcBorders>
            <w:shd w:val="clear" w:color="000000" w:fill="auto"/>
            <w:noWrap/>
            <w:vAlign w:val="bottom"/>
            <w:hideMark/>
          </w:tcPr>
          <w:p w14:paraId="1993714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0.022</w:t>
            </w:r>
          </w:p>
        </w:tc>
      </w:tr>
      <w:tr w:rsidR="0060739D" w:rsidRPr="0082770A" w14:paraId="1602462F"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505DA810"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E0E5FD"/>
            <w:noWrap/>
            <w:vAlign w:val="center"/>
            <w:hideMark/>
          </w:tcPr>
          <w:p w14:paraId="34053BD0"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scientific &amp; technical journal articles</w:t>
            </w:r>
          </w:p>
        </w:tc>
        <w:tc>
          <w:tcPr>
            <w:tcW w:w="540" w:type="dxa"/>
            <w:tcBorders>
              <w:top w:val="nil"/>
              <w:left w:val="nil"/>
              <w:bottom w:val="single" w:sz="4" w:space="0" w:color="auto"/>
              <w:right w:val="single" w:sz="4" w:space="0" w:color="auto"/>
            </w:tcBorders>
            <w:shd w:val="clear" w:color="auto" w:fill="E0E5FD"/>
            <w:noWrap/>
            <w:vAlign w:val="bottom"/>
            <w:hideMark/>
          </w:tcPr>
          <w:p w14:paraId="47D477C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14</w:t>
            </w:r>
          </w:p>
        </w:tc>
        <w:tc>
          <w:tcPr>
            <w:tcW w:w="720" w:type="dxa"/>
            <w:tcBorders>
              <w:top w:val="nil"/>
              <w:left w:val="nil"/>
              <w:bottom w:val="single" w:sz="4" w:space="0" w:color="auto"/>
              <w:right w:val="single" w:sz="4" w:space="0" w:color="auto"/>
            </w:tcBorders>
            <w:shd w:val="clear" w:color="auto" w:fill="E0E5FD"/>
            <w:noWrap/>
            <w:vAlign w:val="bottom"/>
            <w:hideMark/>
          </w:tcPr>
          <w:p w14:paraId="3D03BF4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9.43</w:t>
            </w:r>
          </w:p>
        </w:tc>
        <w:tc>
          <w:tcPr>
            <w:tcW w:w="900" w:type="dxa"/>
            <w:tcBorders>
              <w:top w:val="nil"/>
              <w:left w:val="nil"/>
              <w:bottom w:val="single" w:sz="4" w:space="0" w:color="auto"/>
              <w:right w:val="single" w:sz="4" w:space="0" w:color="auto"/>
            </w:tcBorders>
            <w:shd w:val="clear" w:color="auto" w:fill="E0E5FD"/>
            <w:noWrap/>
            <w:vAlign w:val="bottom"/>
            <w:hideMark/>
          </w:tcPr>
          <w:p w14:paraId="53CD99D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0.0097</w:t>
            </w:r>
          </w:p>
        </w:tc>
        <w:tc>
          <w:tcPr>
            <w:tcW w:w="1080" w:type="dxa"/>
            <w:tcBorders>
              <w:top w:val="nil"/>
              <w:left w:val="nil"/>
              <w:bottom w:val="single" w:sz="4" w:space="0" w:color="auto"/>
              <w:right w:val="single" w:sz="4" w:space="0" w:color="auto"/>
            </w:tcBorders>
            <w:shd w:val="clear" w:color="auto" w:fill="E0E5FD"/>
            <w:noWrap/>
            <w:vAlign w:val="bottom"/>
            <w:hideMark/>
          </w:tcPr>
          <w:p w14:paraId="119312B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0.3932</w:t>
            </w:r>
          </w:p>
        </w:tc>
        <w:tc>
          <w:tcPr>
            <w:tcW w:w="1116" w:type="dxa"/>
            <w:tcBorders>
              <w:top w:val="nil"/>
              <w:left w:val="nil"/>
              <w:bottom w:val="single" w:sz="4" w:space="0" w:color="auto"/>
              <w:right w:val="single" w:sz="4" w:space="0" w:color="auto"/>
            </w:tcBorders>
            <w:shd w:val="clear" w:color="auto" w:fill="E0E5FD"/>
            <w:noWrap/>
            <w:vAlign w:val="bottom"/>
            <w:hideMark/>
          </w:tcPr>
          <w:p w14:paraId="5242A364"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61831F2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0.0003474</w:t>
            </w:r>
          </w:p>
        </w:tc>
        <w:tc>
          <w:tcPr>
            <w:tcW w:w="810" w:type="dxa"/>
            <w:tcBorders>
              <w:top w:val="nil"/>
              <w:left w:val="nil"/>
              <w:bottom w:val="single" w:sz="4" w:space="0" w:color="auto"/>
              <w:right w:val="single" w:sz="4" w:space="0" w:color="auto"/>
            </w:tcBorders>
            <w:shd w:val="clear" w:color="auto" w:fill="E0E5FD"/>
            <w:noWrap/>
            <w:vAlign w:val="bottom"/>
            <w:hideMark/>
          </w:tcPr>
          <w:p w14:paraId="7E4EDD4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-3.07</w:t>
            </w:r>
          </w:p>
        </w:tc>
        <w:tc>
          <w:tcPr>
            <w:tcW w:w="900" w:type="dxa"/>
            <w:tcBorders>
              <w:top w:val="nil"/>
              <w:left w:val="nil"/>
              <w:bottom w:val="single" w:sz="4" w:space="0" w:color="auto"/>
              <w:right w:val="single" w:sz="8" w:space="0" w:color="auto"/>
            </w:tcBorders>
            <w:shd w:val="clear" w:color="000000" w:fill="E0E5FD"/>
            <w:noWrap/>
            <w:vAlign w:val="bottom"/>
            <w:hideMark/>
          </w:tcPr>
          <w:p w14:paraId="328AE86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w:t>
            </w:r>
          </w:p>
        </w:tc>
      </w:tr>
      <w:tr w:rsidR="0060739D" w:rsidRPr="0082770A" w14:paraId="1E93B5C9"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704B243B"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auto"/>
            <w:noWrap/>
            <w:vAlign w:val="center"/>
            <w:hideMark/>
          </w:tcPr>
          <w:p w14:paraId="0DB9DD41"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High-tech exports</w:t>
            </w:r>
          </w:p>
        </w:tc>
        <w:tc>
          <w:tcPr>
            <w:tcW w:w="540" w:type="dxa"/>
            <w:tcBorders>
              <w:top w:val="nil"/>
              <w:left w:val="nil"/>
              <w:bottom w:val="single" w:sz="4" w:space="0" w:color="auto"/>
              <w:right w:val="single" w:sz="4" w:space="0" w:color="auto"/>
            </w:tcBorders>
            <w:shd w:val="clear" w:color="auto" w:fill="auto"/>
            <w:noWrap/>
            <w:vAlign w:val="bottom"/>
            <w:hideMark/>
          </w:tcPr>
          <w:p w14:paraId="2E69B6C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28</w:t>
            </w:r>
          </w:p>
        </w:tc>
        <w:tc>
          <w:tcPr>
            <w:tcW w:w="720" w:type="dxa"/>
            <w:tcBorders>
              <w:top w:val="nil"/>
              <w:left w:val="nil"/>
              <w:bottom w:val="single" w:sz="4" w:space="0" w:color="auto"/>
              <w:right w:val="single" w:sz="4" w:space="0" w:color="auto"/>
            </w:tcBorders>
            <w:shd w:val="clear" w:color="auto" w:fill="auto"/>
            <w:noWrap/>
            <w:vAlign w:val="bottom"/>
            <w:hideMark/>
          </w:tcPr>
          <w:p w14:paraId="28965BB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5.55</w:t>
            </w:r>
          </w:p>
        </w:tc>
        <w:tc>
          <w:tcPr>
            <w:tcW w:w="900" w:type="dxa"/>
            <w:tcBorders>
              <w:top w:val="nil"/>
              <w:left w:val="nil"/>
              <w:bottom w:val="single" w:sz="4" w:space="0" w:color="auto"/>
              <w:right w:val="single" w:sz="4" w:space="0" w:color="auto"/>
            </w:tcBorders>
            <w:shd w:val="clear" w:color="auto" w:fill="auto"/>
            <w:noWrap/>
            <w:vAlign w:val="bottom"/>
            <w:hideMark/>
          </w:tcPr>
          <w:p w14:paraId="2B4970B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0.0263</w:t>
            </w:r>
          </w:p>
        </w:tc>
        <w:tc>
          <w:tcPr>
            <w:tcW w:w="1080" w:type="dxa"/>
            <w:tcBorders>
              <w:top w:val="nil"/>
              <w:left w:val="nil"/>
              <w:bottom w:val="single" w:sz="4" w:space="0" w:color="auto"/>
              <w:right w:val="single" w:sz="4" w:space="0" w:color="auto"/>
            </w:tcBorders>
            <w:shd w:val="clear" w:color="auto" w:fill="auto"/>
            <w:noWrap/>
            <w:vAlign w:val="bottom"/>
            <w:hideMark/>
          </w:tcPr>
          <w:p w14:paraId="3B770D2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0.1443</w:t>
            </w:r>
          </w:p>
        </w:tc>
        <w:tc>
          <w:tcPr>
            <w:tcW w:w="1116" w:type="dxa"/>
            <w:tcBorders>
              <w:top w:val="nil"/>
              <w:left w:val="nil"/>
              <w:bottom w:val="single" w:sz="4" w:space="0" w:color="auto"/>
              <w:right w:val="single" w:sz="4" w:space="0" w:color="auto"/>
            </w:tcBorders>
            <w:shd w:val="clear" w:color="auto" w:fill="auto"/>
            <w:noWrap/>
            <w:vAlign w:val="bottom"/>
            <w:hideMark/>
          </w:tcPr>
          <w:p w14:paraId="613F783D"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5AF4A06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0.2428893</w:t>
            </w:r>
          </w:p>
        </w:tc>
        <w:tc>
          <w:tcPr>
            <w:tcW w:w="810" w:type="dxa"/>
            <w:tcBorders>
              <w:top w:val="nil"/>
              <w:left w:val="nil"/>
              <w:bottom w:val="single" w:sz="4" w:space="0" w:color="auto"/>
              <w:right w:val="single" w:sz="4" w:space="0" w:color="auto"/>
            </w:tcBorders>
            <w:shd w:val="clear" w:color="auto" w:fill="auto"/>
            <w:noWrap/>
            <w:vAlign w:val="bottom"/>
            <w:hideMark/>
          </w:tcPr>
          <w:p w14:paraId="75BADDB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-2.36</w:t>
            </w:r>
          </w:p>
        </w:tc>
        <w:tc>
          <w:tcPr>
            <w:tcW w:w="900" w:type="dxa"/>
            <w:tcBorders>
              <w:top w:val="nil"/>
              <w:left w:val="nil"/>
              <w:bottom w:val="single" w:sz="4" w:space="0" w:color="auto"/>
              <w:right w:val="single" w:sz="8" w:space="0" w:color="auto"/>
            </w:tcBorders>
            <w:shd w:val="clear" w:color="000000" w:fill="auto"/>
            <w:noWrap/>
            <w:vAlign w:val="bottom"/>
            <w:hideMark/>
          </w:tcPr>
          <w:p w14:paraId="1CD7D1A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0.026</w:t>
            </w:r>
          </w:p>
        </w:tc>
      </w:tr>
      <w:tr w:rsidR="0060739D" w:rsidRPr="0082770A" w14:paraId="5E8AC0AC"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23B1B4FE"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E0E5FD"/>
            <w:noWrap/>
            <w:vAlign w:val="center"/>
            <w:hideMark/>
          </w:tcPr>
          <w:p w14:paraId="737926FF"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goods exports</w:t>
            </w:r>
          </w:p>
        </w:tc>
        <w:tc>
          <w:tcPr>
            <w:tcW w:w="540" w:type="dxa"/>
            <w:tcBorders>
              <w:top w:val="nil"/>
              <w:left w:val="nil"/>
              <w:bottom w:val="single" w:sz="4" w:space="0" w:color="auto"/>
              <w:right w:val="single" w:sz="4" w:space="0" w:color="auto"/>
            </w:tcBorders>
            <w:shd w:val="clear" w:color="auto" w:fill="E0E5FD"/>
            <w:noWrap/>
            <w:vAlign w:val="bottom"/>
            <w:hideMark/>
          </w:tcPr>
          <w:p w14:paraId="09DA03B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17</w:t>
            </w:r>
          </w:p>
        </w:tc>
        <w:tc>
          <w:tcPr>
            <w:tcW w:w="720" w:type="dxa"/>
            <w:tcBorders>
              <w:top w:val="nil"/>
              <w:left w:val="nil"/>
              <w:bottom w:val="single" w:sz="4" w:space="0" w:color="auto"/>
              <w:right w:val="single" w:sz="4" w:space="0" w:color="auto"/>
            </w:tcBorders>
            <w:shd w:val="clear" w:color="auto" w:fill="E0E5FD"/>
            <w:noWrap/>
            <w:vAlign w:val="bottom"/>
            <w:hideMark/>
          </w:tcPr>
          <w:p w14:paraId="0BCD5FB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5.98</w:t>
            </w:r>
          </w:p>
        </w:tc>
        <w:tc>
          <w:tcPr>
            <w:tcW w:w="900" w:type="dxa"/>
            <w:tcBorders>
              <w:top w:val="nil"/>
              <w:left w:val="nil"/>
              <w:bottom w:val="single" w:sz="4" w:space="0" w:color="auto"/>
              <w:right w:val="single" w:sz="4" w:space="0" w:color="auto"/>
            </w:tcBorders>
            <w:shd w:val="clear" w:color="auto" w:fill="E0E5FD"/>
            <w:noWrap/>
            <w:vAlign w:val="bottom"/>
            <w:hideMark/>
          </w:tcPr>
          <w:p w14:paraId="60DDE05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0.0273</w:t>
            </w:r>
          </w:p>
        </w:tc>
        <w:tc>
          <w:tcPr>
            <w:tcW w:w="1080" w:type="dxa"/>
            <w:tcBorders>
              <w:top w:val="nil"/>
              <w:left w:val="nil"/>
              <w:bottom w:val="single" w:sz="4" w:space="0" w:color="auto"/>
              <w:right w:val="single" w:sz="4" w:space="0" w:color="auto"/>
            </w:tcBorders>
            <w:shd w:val="clear" w:color="auto" w:fill="E0E5FD"/>
            <w:noWrap/>
            <w:vAlign w:val="bottom"/>
            <w:hideMark/>
          </w:tcPr>
          <w:p w14:paraId="3AF398C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0.2374</w:t>
            </w:r>
          </w:p>
        </w:tc>
        <w:tc>
          <w:tcPr>
            <w:tcW w:w="1116" w:type="dxa"/>
            <w:tcBorders>
              <w:top w:val="nil"/>
              <w:left w:val="nil"/>
              <w:bottom w:val="single" w:sz="4" w:space="0" w:color="auto"/>
              <w:right w:val="single" w:sz="4" w:space="0" w:color="auto"/>
            </w:tcBorders>
            <w:shd w:val="clear" w:color="auto" w:fill="E0E5FD"/>
            <w:noWrap/>
            <w:vAlign w:val="bottom"/>
            <w:hideMark/>
          </w:tcPr>
          <w:p w14:paraId="2E3824B1"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3AE4687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0.2064248</w:t>
            </w:r>
          </w:p>
        </w:tc>
        <w:tc>
          <w:tcPr>
            <w:tcW w:w="810" w:type="dxa"/>
            <w:tcBorders>
              <w:top w:val="nil"/>
              <w:left w:val="nil"/>
              <w:bottom w:val="single" w:sz="4" w:space="0" w:color="auto"/>
              <w:right w:val="single" w:sz="4" w:space="0" w:color="auto"/>
            </w:tcBorders>
            <w:shd w:val="clear" w:color="auto" w:fill="E0E5FD"/>
            <w:noWrap/>
            <w:vAlign w:val="bottom"/>
            <w:hideMark/>
          </w:tcPr>
          <w:p w14:paraId="6787EEE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-2.45</w:t>
            </w:r>
          </w:p>
        </w:tc>
        <w:tc>
          <w:tcPr>
            <w:tcW w:w="900" w:type="dxa"/>
            <w:tcBorders>
              <w:top w:val="nil"/>
              <w:left w:val="nil"/>
              <w:bottom w:val="single" w:sz="4" w:space="0" w:color="auto"/>
              <w:right w:val="single" w:sz="8" w:space="0" w:color="auto"/>
            </w:tcBorders>
            <w:shd w:val="clear" w:color="000000" w:fill="E0E5FD"/>
            <w:noWrap/>
            <w:vAlign w:val="bottom"/>
            <w:hideMark/>
          </w:tcPr>
          <w:p w14:paraId="64E5CA3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0.027</w:t>
            </w:r>
          </w:p>
        </w:tc>
      </w:tr>
      <w:tr w:rsidR="0060739D" w:rsidRPr="0082770A" w14:paraId="4D6F3DBB"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C0E5E87"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auto"/>
            <w:noWrap/>
            <w:vAlign w:val="center"/>
            <w:hideMark/>
          </w:tcPr>
          <w:p w14:paraId="1E4D24EE"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service exports</w:t>
            </w:r>
          </w:p>
        </w:tc>
        <w:tc>
          <w:tcPr>
            <w:tcW w:w="540" w:type="dxa"/>
            <w:tcBorders>
              <w:top w:val="nil"/>
              <w:left w:val="nil"/>
              <w:bottom w:val="single" w:sz="4" w:space="0" w:color="auto"/>
              <w:right w:val="single" w:sz="4" w:space="0" w:color="auto"/>
            </w:tcBorders>
            <w:shd w:val="clear" w:color="auto" w:fill="auto"/>
            <w:noWrap/>
            <w:vAlign w:val="bottom"/>
            <w:hideMark/>
          </w:tcPr>
          <w:p w14:paraId="108E87A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42</w:t>
            </w:r>
          </w:p>
        </w:tc>
        <w:tc>
          <w:tcPr>
            <w:tcW w:w="720" w:type="dxa"/>
            <w:tcBorders>
              <w:top w:val="nil"/>
              <w:left w:val="nil"/>
              <w:bottom w:val="single" w:sz="4" w:space="0" w:color="auto"/>
              <w:right w:val="single" w:sz="4" w:space="0" w:color="auto"/>
            </w:tcBorders>
            <w:shd w:val="clear" w:color="auto" w:fill="auto"/>
            <w:noWrap/>
            <w:vAlign w:val="bottom"/>
            <w:hideMark/>
          </w:tcPr>
          <w:p w14:paraId="46F7705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8.41</w:t>
            </w:r>
          </w:p>
        </w:tc>
        <w:tc>
          <w:tcPr>
            <w:tcW w:w="900" w:type="dxa"/>
            <w:tcBorders>
              <w:top w:val="nil"/>
              <w:left w:val="nil"/>
              <w:bottom w:val="single" w:sz="4" w:space="0" w:color="auto"/>
              <w:right w:val="single" w:sz="4" w:space="0" w:color="auto"/>
            </w:tcBorders>
            <w:shd w:val="clear" w:color="auto" w:fill="auto"/>
            <w:noWrap/>
            <w:vAlign w:val="bottom"/>
            <w:hideMark/>
          </w:tcPr>
          <w:p w14:paraId="1D9E269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0.006</w:t>
            </w:r>
          </w:p>
        </w:tc>
        <w:tc>
          <w:tcPr>
            <w:tcW w:w="1080" w:type="dxa"/>
            <w:tcBorders>
              <w:top w:val="nil"/>
              <w:left w:val="nil"/>
              <w:bottom w:val="single" w:sz="4" w:space="0" w:color="auto"/>
              <w:right w:val="single" w:sz="4" w:space="0" w:color="auto"/>
            </w:tcBorders>
            <w:shd w:val="clear" w:color="auto" w:fill="auto"/>
            <w:noWrap/>
            <w:vAlign w:val="bottom"/>
            <w:hideMark/>
          </w:tcPr>
          <w:p w14:paraId="573BD01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0.1531</w:t>
            </w:r>
          </w:p>
        </w:tc>
        <w:tc>
          <w:tcPr>
            <w:tcW w:w="1116" w:type="dxa"/>
            <w:tcBorders>
              <w:top w:val="nil"/>
              <w:left w:val="nil"/>
              <w:bottom w:val="single" w:sz="4" w:space="0" w:color="auto"/>
              <w:right w:val="single" w:sz="4" w:space="0" w:color="auto"/>
            </w:tcBorders>
            <w:shd w:val="clear" w:color="auto" w:fill="auto"/>
            <w:noWrap/>
            <w:vAlign w:val="bottom"/>
            <w:hideMark/>
          </w:tcPr>
          <w:p w14:paraId="2CAADCA5"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31DF7B1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0.1171511</w:t>
            </w:r>
          </w:p>
        </w:tc>
        <w:tc>
          <w:tcPr>
            <w:tcW w:w="810" w:type="dxa"/>
            <w:tcBorders>
              <w:top w:val="nil"/>
              <w:left w:val="nil"/>
              <w:bottom w:val="single" w:sz="4" w:space="0" w:color="auto"/>
              <w:right w:val="single" w:sz="4" w:space="0" w:color="auto"/>
            </w:tcBorders>
            <w:shd w:val="clear" w:color="auto" w:fill="auto"/>
            <w:noWrap/>
            <w:vAlign w:val="bottom"/>
            <w:hideMark/>
          </w:tcPr>
          <w:p w14:paraId="6580D57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-2.9</w:t>
            </w:r>
          </w:p>
        </w:tc>
        <w:tc>
          <w:tcPr>
            <w:tcW w:w="900" w:type="dxa"/>
            <w:tcBorders>
              <w:top w:val="nil"/>
              <w:left w:val="nil"/>
              <w:bottom w:val="single" w:sz="4" w:space="0" w:color="auto"/>
              <w:right w:val="single" w:sz="8" w:space="0" w:color="auto"/>
            </w:tcBorders>
            <w:shd w:val="clear" w:color="000000" w:fill="auto"/>
            <w:noWrap/>
            <w:vAlign w:val="bottom"/>
            <w:hideMark/>
          </w:tcPr>
          <w:p w14:paraId="1A8A79C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0.006</w:t>
            </w:r>
          </w:p>
        </w:tc>
      </w:tr>
      <w:tr w:rsidR="0060739D" w:rsidRPr="0082770A" w14:paraId="51033E33"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3FA018BC"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E0E5FD"/>
            <w:noWrap/>
            <w:vAlign w:val="center"/>
            <w:hideMark/>
          </w:tcPr>
          <w:p w14:paraId="7BE1AA0D"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Medium &amp; high-tech exports</w:t>
            </w:r>
          </w:p>
        </w:tc>
        <w:tc>
          <w:tcPr>
            <w:tcW w:w="540" w:type="dxa"/>
            <w:tcBorders>
              <w:top w:val="nil"/>
              <w:left w:val="nil"/>
              <w:bottom w:val="single" w:sz="4" w:space="0" w:color="auto"/>
              <w:right w:val="single" w:sz="4" w:space="0" w:color="auto"/>
            </w:tcBorders>
            <w:shd w:val="clear" w:color="auto" w:fill="E0E5FD"/>
            <w:noWrap/>
            <w:vAlign w:val="bottom"/>
            <w:hideMark/>
          </w:tcPr>
          <w:p w14:paraId="1B45B90C"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26</w:t>
            </w:r>
          </w:p>
        </w:tc>
        <w:tc>
          <w:tcPr>
            <w:tcW w:w="720" w:type="dxa"/>
            <w:tcBorders>
              <w:top w:val="nil"/>
              <w:left w:val="nil"/>
              <w:bottom w:val="single" w:sz="4" w:space="0" w:color="auto"/>
              <w:right w:val="single" w:sz="4" w:space="0" w:color="auto"/>
            </w:tcBorders>
            <w:shd w:val="clear" w:color="auto" w:fill="E0E5FD"/>
            <w:noWrap/>
            <w:vAlign w:val="bottom"/>
            <w:hideMark/>
          </w:tcPr>
          <w:p w14:paraId="5CD8D2C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6.52</w:t>
            </w:r>
          </w:p>
        </w:tc>
        <w:tc>
          <w:tcPr>
            <w:tcW w:w="900" w:type="dxa"/>
            <w:tcBorders>
              <w:top w:val="nil"/>
              <w:left w:val="nil"/>
              <w:bottom w:val="single" w:sz="4" w:space="0" w:color="auto"/>
              <w:right w:val="single" w:sz="4" w:space="0" w:color="auto"/>
            </w:tcBorders>
            <w:shd w:val="clear" w:color="auto" w:fill="E0E5FD"/>
            <w:noWrap/>
            <w:vAlign w:val="bottom"/>
            <w:hideMark/>
          </w:tcPr>
          <w:p w14:paraId="051C13B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0.0174</w:t>
            </w:r>
          </w:p>
        </w:tc>
        <w:tc>
          <w:tcPr>
            <w:tcW w:w="1080" w:type="dxa"/>
            <w:tcBorders>
              <w:top w:val="nil"/>
              <w:left w:val="nil"/>
              <w:bottom w:val="single" w:sz="4" w:space="0" w:color="auto"/>
              <w:right w:val="single" w:sz="4" w:space="0" w:color="auto"/>
            </w:tcBorders>
            <w:shd w:val="clear" w:color="auto" w:fill="E0E5FD"/>
            <w:noWrap/>
            <w:vAlign w:val="bottom"/>
            <w:hideMark/>
          </w:tcPr>
          <w:p w14:paraId="212BFB2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0.181</w:t>
            </w:r>
          </w:p>
        </w:tc>
        <w:tc>
          <w:tcPr>
            <w:tcW w:w="1116" w:type="dxa"/>
            <w:tcBorders>
              <w:top w:val="nil"/>
              <w:left w:val="nil"/>
              <w:bottom w:val="single" w:sz="4" w:space="0" w:color="auto"/>
              <w:right w:val="single" w:sz="4" w:space="0" w:color="auto"/>
            </w:tcBorders>
            <w:shd w:val="clear" w:color="auto" w:fill="E0E5FD"/>
            <w:noWrap/>
            <w:vAlign w:val="bottom"/>
            <w:hideMark/>
          </w:tcPr>
          <w:p w14:paraId="2F4F44E3"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0F128F03"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0.0390424</w:t>
            </w:r>
          </w:p>
        </w:tc>
        <w:tc>
          <w:tcPr>
            <w:tcW w:w="810" w:type="dxa"/>
            <w:tcBorders>
              <w:top w:val="nil"/>
              <w:left w:val="nil"/>
              <w:bottom w:val="single" w:sz="4" w:space="0" w:color="auto"/>
              <w:right w:val="single" w:sz="4" w:space="0" w:color="auto"/>
            </w:tcBorders>
            <w:shd w:val="clear" w:color="auto" w:fill="E0E5FD"/>
            <w:noWrap/>
            <w:vAlign w:val="bottom"/>
            <w:hideMark/>
          </w:tcPr>
          <w:p w14:paraId="560511B2"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-2.55</w:t>
            </w:r>
          </w:p>
        </w:tc>
        <w:tc>
          <w:tcPr>
            <w:tcW w:w="900" w:type="dxa"/>
            <w:tcBorders>
              <w:top w:val="nil"/>
              <w:left w:val="nil"/>
              <w:bottom w:val="single" w:sz="4" w:space="0" w:color="auto"/>
              <w:right w:val="single" w:sz="8" w:space="0" w:color="auto"/>
            </w:tcBorders>
            <w:shd w:val="clear" w:color="000000" w:fill="E0E5FD"/>
            <w:noWrap/>
            <w:vAlign w:val="bottom"/>
            <w:hideMark/>
          </w:tcPr>
          <w:p w14:paraId="1B84CEE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0.017</w:t>
            </w:r>
          </w:p>
        </w:tc>
      </w:tr>
      <w:tr w:rsidR="0060739D" w:rsidRPr="0082770A" w14:paraId="2DFFE9A8"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04761E25"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auto"/>
            <w:noWrap/>
            <w:vAlign w:val="center"/>
            <w:hideMark/>
          </w:tcPr>
          <w:p w14:paraId="426F2F55"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Patent applications</w:t>
            </w:r>
          </w:p>
        </w:tc>
        <w:tc>
          <w:tcPr>
            <w:tcW w:w="540" w:type="dxa"/>
            <w:tcBorders>
              <w:top w:val="nil"/>
              <w:left w:val="nil"/>
              <w:bottom w:val="single" w:sz="4" w:space="0" w:color="auto"/>
              <w:right w:val="single" w:sz="4" w:space="0" w:color="auto"/>
            </w:tcBorders>
            <w:shd w:val="clear" w:color="auto" w:fill="auto"/>
            <w:noWrap/>
            <w:vAlign w:val="bottom"/>
            <w:hideMark/>
          </w:tcPr>
          <w:p w14:paraId="3E77AB1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49</w:t>
            </w:r>
          </w:p>
        </w:tc>
        <w:tc>
          <w:tcPr>
            <w:tcW w:w="720" w:type="dxa"/>
            <w:tcBorders>
              <w:top w:val="nil"/>
              <w:left w:val="nil"/>
              <w:bottom w:val="single" w:sz="4" w:space="0" w:color="auto"/>
              <w:right w:val="single" w:sz="4" w:space="0" w:color="auto"/>
            </w:tcBorders>
            <w:shd w:val="clear" w:color="auto" w:fill="auto"/>
            <w:noWrap/>
            <w:vAlign w:val="bottom"/>
            <w:hideMark/>
          </w:tcPr>
          <w:p w14:paraId="0FEA873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6.83</w:t>
            </w:r>
          </w:p>
        </w:tc>
        <w:tc>
          <w:tcPr>
            <w:tcW w:w="900" w:type="dxa"/>
            <w:tcBorders>
              <w:top w:val="nil"/>
              <w:left w:val="nil"/>
              <w:bottom w:val="single" w:sz="4" w:space="0" w:color="auto"/>
              <w:right w:val="single" w:sz="4" w:space="0" w:color="auto"/>
            </w:tcBorders>
            <w:shd w:val="clear" w:color="auto" w:fill="auto"/>
            <w:noWrap/>
            <w:vAlign w:val="bottom"/>
            <w:hideMark/>
          </w:tcPr>
          <w:p w14:paraId="3351186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0.012</w:t>
            </w:r>
          </w:p>
        </w:tc>
        <w:tc>
          <w:tcPr>
            <w:tcW w:w="1080" w:type="dxa"/>
            <w:tcBorders>
              <w:top w:val="nil"/>
              <w:left w:val="nil"/>
              <w:bottom w:val="single" w:sz="4" w:space="0" w:color="auto"/>
              <w:right w:val="single" w:sz="4" w:space="0" w:color="auto"/>
            </w:tcBorders>
            <w:shd w:val="clear" w:color="auto" w:fill="auto"/>
            <w:noWrap/>
            <w:vAlign w:val="bottom"/>
            <w:hideMark/>
          </w:tcPr>
          <w:p w14:paraId="4920EFD8"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0.1084</w:t>
            </w:r>
          </w:p>
        </w:tc>
        <w:tc>
          <w:tcPr>
            <w:tcW w:w="1116" w:type="dxa"/>
            <w:tcBorders>
              <w:top w:val="nil"/>
              <w:left w:val="nil"/>
              <w:bottom w:val="single" w:sz="4" w:space="0" w:color="auto"/>
              <w:right w:val="single" w:sz="4" w:space="0" w:color="auto"/>
            </w:tcBorders>
            <w:shd w:val="clear" w:color="auto" w:fill="auto"/>
            <w:noWrap/>
            <w:vAlign w:val="bottom"/>
            <w:hideMark/>
          </w:tcPr>
          <w:p w14:paraId="0F9E0A90"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3D07E8A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0.009252</w:t>
            </w:r>
          </w:p>
        </w:tc>
        <w:tc>
          <w:tcPr>
            <w:tcW w:w="810" w:type="dxa"/>
            <w:tcBorders>
              <w:top w:val="nil"/>
              <w:left w:val="nil"/>
              <w:bottom w:val="single" w:sz="4" w:space="0" w:color="auto"/>
              <w:right w:val="single" w:sz="4" w:space="0" w:color="auto"/>
            </w:tcBorders>
            <w:shd w:val="clear" w:color="auto" w:fill="auto"/>
            <w:noWrap/>
            <w:vAlign w:val="bottom"/>
            <w:hideMark/>
          </w:tcPr>
          <w:p w14:paraId="73759DF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-2.61</w:t>
            </w:r>
          </w:p>
        </w:tc>
        <w:tc>
          <w:tcPr>
            <w:tcW w:w="900" w:type="dxa"/>
            <w:tcBorders>
              <w:top w:val="nil"/>
              <w:left w:val="nil"/>
              <w:bottom w:val="single" w:sz="4" w:space="0" w:color="auto"/>
              <w:right w:val="single" w:sz="8" w:space="0" w:color="auto"/>
            </w:tcBorders>
            <w:shd w:val="clear" w:color="000000" w:fill="auto"/>
            <w:noWrap/>
            <w:vAlign w:val="bottom"/>
            <w:hideMark/>
          </w:tcPr>
          <w:p w14:paraId="023B0A1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0.012</w:t>
            </w:r>
          </w:p>
        </w:tc>
      </w:tr>
      <w:tr w:rsidR="0060739D" w:rsidRPr="0082770A" w14:paraId="71F14417"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E0E5FD"/>
            <w:noWrap/>
            <w:vAlign w:val="bottom"/>
            <w:hideMark/>
          </w:tcPr>
          <w:p w14:paraId="4DB393D2"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Tunisia</w:t>
            </w:r>
          </w:p>
        </w:tc>
        <w:tc>
          <w:tcPr>
            <w:tcW w:w="2090" w:type="dxa"/>
            <w:tcBorders>
              <w:top w:val="nil"/>
              <w:left w:val="nil"/>
              <w:bottom w:val="single" w:sz="4" w:space="0" w:color="auto"/>
              <w:right w:val="single" w:sz="4" w:space="0" w:color="auto"/>
            </w:tcBorders>
            <w:shd w:val="clear" w:color="auto" w:fill="E0E5FD"/>
            <w:noWrap/>
            <w:vAlign w:val="center"/>
            <w:hideMark/>
          </w:tcPr>
          <w:p w14:paraId="7D3ABC32"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Trademark applications</w:t>
            </w:r>
          </w:p>
        </w:tc>
        <w:tc>
          <w:tcPr>
            <w:tcW w:w="540" w:type="dxa"/>
            <w:tcBorders>
              <w:top w:val="nil"/>
              <w:left w:val="nil"/>
              <w:bottom w:val="single" w:sz="4" w:space="0" w:color="auto"/>
              <w:right w:val="single" w:sz="4" w:space="0" w:color="auto"/>
            </w:tcBorders>
            <w:shd w:val="clear" w:color="auto" w:fill="E0E5FD"/>
            <w:noWrap/>
            <w:vAlign w:val="bottom"/>
            <w:hideMark/>
          </w:tcPr>
          <w:p w14:paraId="5152D35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46</w:t>
            </w:r>
          </w:p>
        </w:tc>
        <w:tc>
          <w:tcPr>
            <w:tcW w:w="720" w:type="dxa"/>
            <w:tcBorders>
              <w:top w:val="nil"/>
              <w:left w:val="nil"/>
              <w:bottom w:val="single" w:sz="4" w:space="0" w:color="auto"/>
              <w:right w:val="single" w:sz="4" w:space="0" w:color="auto"/>
            </w:tcBorders>
            <w:shd w:val="clear" w:color="auto" w:fill="E0E5FD"/>
            <w:noWrap/>
            <w:vAlign w:val="bottom"/>
            <w:hideMark/>
          </w:tcPr>
          <w:p w14:paraId="71833A60"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5.43</w:t>
            </w:r>
          </w:p>
        </w:tc>
        <w:tc>
          <w:tcPr>
            <w:tcW w:w="900" w:type="dxa"/>
            <w:tcBorders>
              <w:top w:val="nil"/>
              <w:left w:val="nil"/>
              <w:bottom w:val="single" w:sz="4" w:space="0" w:color="auto"/>
              <w:right w:val="single" w:sz="4" w:space="0" w:color="auto"/>
            </w:tcBorders>
            <w:shd w:val="clear" w:color="auto" w:fill="E0E5FD"/>
            <w:noWrap/>
            <w:vAlign w:val="bottom"/>
            <w:hideMark/>
          </w:tcPr>
          <w:p w14:paraId="5263596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0.0244</w:t>
            </w:r>
          </w:p>
        </w:tc>
        <w:tc>
          <w:tcPr>
            <w:tcW w:w="1080" w:type="dxa"/>
            <w:tcBorders>
              <w:top w:val="nil"/>
              <w:left w:val="nil"/>
              <w:bottom w:val="single" w:sz="4" w:space="0" w:color="auto"/>
              <w:right w:val="single" w:sz="4" w:space="0" w:color="auto"/>
            </w:tcBorders>
            <w:shd w:val="clear" w:color="auto" w:fill="E0E5FD"/>
            <w:noWrap/>
            <w:vAlign w:val="bottom"/>
            <w:hideMark/>
          </w:tcPr>
          <w:p w14:paraId="486AA1C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0.0897</w:t>
            </w:r>
          </w:p>
        </w:tc>
        <w:tc>
          <w:tcPr>
            <w:tcW w:w="1116" w:type="dxa"/>
            <w:tcBorders>
              <w:top w:val="nil"/>
              <w:left w:val="nil"/>
              <w:bottom w:val="single" w:sz="4" w:space="0" w:color="auto"/>
              <w:right w:val="single" w:sz="4" w:space="0" w:color="auto"/>
            </w:tcBorders>
            <w:shd w:val="clear" w:color="auto" w:fill="E0E5FD"/>
            <w:noWrap/>
            <w:vAlign w:val="bottom"/>
            <w:hideMark/>
          </w:tcPr>
          <w:p w14:paraId="3DCE5BA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E0E5FD"/>
            <w:noWrap/>
            <w:vAlign w:val="bottom"/>
            <w:hideMark/>
          </w:tcPr>
          <w:p w14:paraId="309F5DF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0.0002858</w:t>
            </w:r>
          </w:p>
        </w:tc>
        <w:tc>
          <w:tcPr>
            <w:tcW w:w="810" w:type="dxa"/>
            <w:tcBorders>
              <w:top w:val="nil"/>
              <w:left w:val="nil"/>
              <w:bottom w:val="single" w:sz="4" w:space="0" w:color="auto"/>
              <w:right w:val="single" w:sz="4" w:space="0" w:color="auto"/>
            </w:tcBorders>
            <w:shd w:val="clear" w:color="auto" w:fill="E0E5FD"/>
            <w:noWrap/>
            <w:vAlign w:val="bottom"/>
            <w:hideMark/>
          </w:tcPr>
          <w:p w14:paraId="6CE4214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-2.33</w:t>
            </w:r>
          </w:p>
        </w:tc>
        <w:tc>
          <w:tcPr>
            <w:tcW w:w="900" w:type="dxa"/>
            <w:tcBorders>
              <w:top w:val="nil"/>
              <w:left w:val="nil"/>
              <w:bottom w:val="single" w:sz="4" w:space="0" w:color="auto"/>
              <w:right w:val="single" w:sz="8" w:space="0" w:color="auto"/>
            </w:tcBorders>
            <w:shd w:val="clear" w:color="000000" w:fill="E0E5FD"/>
            <w:noWrap/>
            <w:vAlign w:val="bottom"/>
            <w:hideMark/>
          </w:tcPr>
          <w:p w14:paraId="06DD46C9"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0.024</w:t>
            </w:r>
          </w:p>
        </w:tc>
      </w:tr>
      <w:tr w:rsidR="0060739D" w:rsidRPr="0082770A" w14:paraId="6EAB7AE2" w14:textId="77777777" w:rsidTr="00D42145">
        <w:trPr>
          <w:trHeight w:val="31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4FCE139A"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Yemen</w:t>
            </w:r>
          </w:p>
        </w:tc>
        <w:tc>
          <w:tcPr>
            <w:tcW w:w="2090" w:type="dxa"/>
            <w:tcBorders>
              <w:top w:val="nil"/>
              <w:left w:val="nil"/>
              <w:bottom w:val="single" w:sz="4" w:space="0" w:color="auto"/>
              <w:right w:val="single" w:sz="4" w:space="0" w:color="auto"/>
            </w:tcBorders>
            <w:shd w:val="clear" w:color="auto" w:fill="auto"/>
            <w:noWrap/>
            <w:vAlign w:val="center"/>
            <w:hideMark/>
          </w:tcPr>
          <w:p w14:paraId="2FD2CE7E"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High-tech exports</w:t>
            </w:r>
          </w:p>
        </w:tc>
        <w:tc>
          <w:tcPr>
            <w:tcW w:w="540" w:type="dxa"/>
            <w:tcBorders>
              <w:top w:val="nil"/>
              <w:left w:val="nil"/>
              <w:bottom w:val="single" w:sz="4" w:space="0" w:color="auto"/>
              <w:right w:val="single" w:sz="4" w:space="0" w:color="auto"/>
            </w:tcBorders>
            <w:shd w:val="clear" w:color="auto" w:fill="auto"/>
            <w:noWrap/>
            <w:vAlign w:val="bottom"/>
            <w:hideMark/>
          </w:tcPr>
          <w:p w14:paraId="45487F8E"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095244E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15.95</w:t>
            </w:r>
          </w:p>
        </w:tc>
        <w:tc>
          <w:tcPr>
            <w:tcW w:w="900" w:type="dxa"/>
            <w:tcBorders>
              <w:top w:val="nil"/>
              <w:left w:val="nil"/>
              <w:bottom w:val="single" w:sz="4" w:space="0" w:color="auto"/>
              <w:right w:val="single" w:sz="4" w:space="0" w:color="auto"/>
            </w:tcBorders>
            <w:shd w:val="clear" w:color="auto" w:fill="auto"/>
            <w:noWrap/>
            <w:vAlign w:val="bottom"/>
            <w:hideMark/>
          </w:tcPr>
          <w:p w14:paraId="34291A7F"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0.0015</w:t>
            </w:r>
          </w:p>
        </w:tc>
        <w:tc>
          <w:tcPr>
            <w:tcW w:w="1080" w:type="dxa"/>
            <w:tcBorders>
              <w:top w:val="nil"/>
              <w:left w:val="nil"/>
              <w:bottom w:val="single" w:sz="4" w:space="0" w:color="auto"/>
              <w:right w:val="single" w:sz="4" w:space="0" w:color="auto"/>
            </w:tcBorders>
            <w:shd w:val="clear" w:color="auto" w:fill="auto"/>
            <w:noWrap/>
            <w:vAlign w:val="bottom"/>
            <w:hideMark/>
          </w:tcPr>
          <w:p w14:paraId="27EA3ACD"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0.5164</w:t>
            </w:r>
          </w:p>
        </w:tc>
        <w:tc>
          <w:tcPr>
            <w:tcW w:w="1116" w:type="dxa"/>
            <w:tcBorders>
              <w:top w:val="nil"/>
              <w:left w:val="nil"/>
              <w:bottom w:val="single" w:sz="4" w:space="0" w:color="auto"/>
              <w:right w:val="single" w:sz="4" w:space="0" w:color="auto"/>
            </w:tcBorders>
            <w:shd w:val="clear" w:color="auto" w:fill="auto"/>
            <w:noWrap/>
            <w:vAlign w:val="bottom"/>
            <w:hideMark/>
          </w:tcPr>
          <w:p w14:paraId="5FDE9AF2"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79EB12E6"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1.090202</w:t>
            </w:r>
          </w:p>
        </w:tc>
        <w:tc>
          <w:tcPr>
            <w:tcW w:w="810" w:type="dxa"/>
            <w:tcBorders>
              <w:top w:val="nil"/>
              <w:left w:val="nil"/>
              <w:bottom w:val="single" w:sz="4" w:space="0" w:color="auto"/>
              <w:right w:val="single" w:sz="4" w:space="0" w:color="auto"/>
            </w:tcBorders>
            <w:shd w:val="clear" w:color="auto" w:fill="auto"/>
            <w:noWrap/>
            <w:vAlign w:val="bottom"/>
            <w:hideMark/>
          </w:tcPr>
          <w:p w14:paraId="4A40EB5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-3.99</w:t>
            </w:r>
          </w:p>
        </w:tc>
        <w:tc>
          <w:tcPr>
            <w:tcW w:w="900" w:type="dxa"/>
            <w:tcBorders>
              <w:top w:val="nil"/>
              <w:left w:val="nil"/>
              <w:bottom w:val="single" w:sz="4" w:space="0" w:color="auto"/>
              <w:right w:val="single" w:sz="8" w:space="0" w:color="auto"/>
            </w:tcBorders>
            <w:shd w:val="clear" w:color="000000" w:fill="auto"/>
            <w:noWrap/>
            <w:vAlign w:val="bottom"/>
            <w:hideMark/>
          </w:tcPr>
          <w:p w14:paraId="3791C7D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0.002</w:t>
            </w:r>
          </w:p>
        </w:tc>
      </w:tr>
      <w:tr w:rsidR="0060739D" w:rsidRPr="0082770A" w14:paraId="5531D46A" w14:textId="77777777" w:rsidTr="00D42145">
        <w:trPr>
          <w:trHeight w:val="330"/>
        </w:trPr>
        <w:tc>
          <w:tcPr>
            <w:tcW w:w="880" w:type="dxa"/>
            <w:tcBorders>
              <w:top w:val="nil"/>
              <w:left w:val="single" w:sz="8" w:space="0" w:color="auto"/>
              <w:bottom w:val="single" w:sz="8" w:space="0" w:color="auto"/>
              <w:right w:val="single" w:sz="4" w:space="0" w:color="auto"/>
            </w:tcBorders>
            <w:shd w:val="clear" w:color="auto" w:fill="E0E5FD"/>
            <w:noWrap/>
            <w:vAlign w:val="bottom"/>
            <w:hideMark/>
          </w:tcPr>
          <w:p w14:paraId="439627C3"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ALL</w:t>
            </w:r>
          </w:p>
        </w:tc>
        <w:tc>
          <w:tcPr>
            <w:tcW w:w="2090" w:type="dxa"/>
            <w:tcBorders>
              <w:top w:val="nil"/>
              <w:left w:val="nil"/>
              <w:bottom w:val="single" w:sz="8" w:space="0" w:color="auto"/>
              <w:right w:val="single" w:sz="4" w:space="0" w:color="auto"/>
            </w:tcBorders>
            <w:shd w:val="clear" w:color="auto" w:fill="E0E5FD"/>
            <w:noWrap/>
            <w:vAlign w:val="center"/>
            <w:hideMark/>
          </w:tcPr>
          <w:p w14:paraId="728040D3" w14:textId="77777777" w:rsidR="0060739D" w:rsidRPr="004C1C43" w:rsidRDefault="0060739D" w:rsidP="005A3694">
            <w:pPr>
              <w:rPr>
                <w:rFonts w:ascii="Calibri" w:eastAsia="Times New Roman" w:hAnsi="Calibri" w:cs="Calibri"/>
                <w:color w:val="000000"/>
                <w:sz w:val="18"/>
              </w:rPr>
            </w:pPr>
            <w:r w:rsidRPr="004C1C43">
              <w:rPr>
                <w:rFonts w:ascii="Calibri" w:eastAsia="Times New Roman" w:hAnsi="Calibri" w:cs="Calibri"/>
                <w:color w:val="000000"/>
                <w:sz w:val="18"/>
              </w:rPr>
              <w:t>ICT service exports</w:t>
            </w:r>
          </w:p>
        </w:tc>
        <w:tc>
          <w:tcPr>
            <w:tcW w:w="540" w:type="dxa"/>
            <w:tcBorders>
              <w:top w:val="nil"/>
              <w:left w:val="nil"/>
              <w:bottom w:val="single" w:sz="8" w:space="0" w:color="auto"/>
              <w:right w:val="single" w:sz="4" w:space="0" w:color="auto"/>
            </w:tcBorders>
            <w:shd w:val="clear" w:color="auto" w:fill="E0E5FD"/>
            <w:noWrap/>
            <w:vAlign w:val="bottom"/>
            <w:hideMark/>
          </w:tcPr>
          <w:p w14:paraId="3D43C87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258</w:t>
            </w:r>
          </w:p>
        </w:tc>
        <w:tc>
          <w:tcPr>
            <w:tcW w:w="720" w:type="dxa"/>
            <w:tcBorders>
              <w:top w:val="nil"/>
              <w:left w:val="nil"/>
              <w:bottom w:val="single" w:sz="8" w:space="0" w:color="auto"/>
              <w:right w:val="single" w:sz="4" w:space="0" w:color="auto"/>
            </w:tcBorders>
            <w:shd w:val="clear" w:color="auto" w:fill="E0E5FD"/>
            <w:noWrap/>
            <w:vAlign w:val="bottom"/>
            <w:hideMark/>
          </w:tcPr>
          <w:p w14:paraId="6C6DCFE5"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4.44</w:t>
            </w:r>
          </w:p>
        </w:tc>
        <w:tc>
          <w:tcPr>
            <w:tcW w:w="900" w:type="dxa"/>
            <w:tcBorders>
              <w:top w:val="nil"/>
              <w:left w:val="nil"/>
              <w:bottom w:val="single" w:sz="8" w:space="0" w:color="auto"/>
              <w:right w:val="single" w:sz="4" w:space="0" w:color="auto"/>
            </w:tcBorders>
            <w:shd w:val="clear" w:color="auto" w:fill="E0E5FD"/>
            <w:noWrap/>
            <w:vAlign w:val="bottom"/>
            <w:hideMark/>
          </w:tcPr>
          <w:p w14:paraId="4BCD8884"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0.0362</w:t>
            </w:r>
          </w:p>
        </w:tc>
        <w:tc>
          <w:tcPr>
            <w:tcW w:w="1080" w:type="dxa"/>
            <w:tcBorders>
              <w:top w:val="nil"/>
              <w:left w:val="nil"/>
              <w:bottom w:val="single" w:sz="8" w:space="0" w:color="auto"/>
              <w:right w:val="single" w:sz="4" w:space="0" w:color="auto"/>
            </w:tcBorders>
            <w:shd w:val="clear" w:color="auto" w:fill="E0E5FD"/>
            <w:noWrap/>
            <w:vAlign w:val="bottom"/>
            <w:hideMark/>
          </w:tcPr>
          <w:p w14:paraId="26FB0167"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0.0132</w:t>
            </w:r>
          </w:p>
        </w:tc>
        <w:tc>
          <w:tcPr>
            <w:tcW w:w="1116" w:type="dxa"/>
            <w:tcBorders>
              <w:top w:val="nil"/>
              <w:left w:val="nil"/>
              <w:bottom w:val="single" w:sz="8" w:space="0" w:color="auto"/>
              <w:right w:val="single" w:sz="4" w:space="0" w:color="auto"/>
            </w:tcBorders>
            <w:shd w:val="clear" w:color="auto" w:fill="E0E5FD"/>
            <w:noWrap/>
            <w:vAlign w:val="bottom"/>
            <w:hideMark/>
          </w:tcPr>
          <w:p w14:paraId="067190E8" w14:textId="77777777" w:rsidR="0060739D" w:rsidRPr="004C1C43" w:rsidRDefault="0060739D" w:rsidP="00973371">
            <w:pPr>
              <w:rPr>
                <w:rFonts w:ascii="Calibri" w:eastAsia="Times New Roman" w:hAnsi="Calibri" w:cs="Calibri"/>
                <w:color w:val="000000"/>
                <w:sz w:val="18"/>
              </w:rPr>
            </w:pPr>
            <w:r w:rsidRPr="004C1C43">
              <w:rPr>
                <w:rFonts w:ascii="Calibri" w:eastAsia="Times New Roman" w:hAnsi="Calibri" w:cs="Calibri"/>
                <w:color w:val="000000"/>
                <w:sz w:val="18"/>
              </w:rPr>
              <w:t>-</w:t>
            </w:r>
          </w:p>
        </w:tc>
        <w:tc>
          <w:tcPr>
            <w:tcW w:w="992" w:type="dxa"/>
            <w:tcBorders>
              <w:top w:val="nil"/>
              <w:left w:val="nil"/>
              <w:bottom w:val="single" w:sz="8" w:space="0" w:color="auto"/>
              <w:right w:val="single" w:sz="4" w:space="0" w:color="auto"/>
            </w:tcBorders>
            <w:shd w:val="clear" w:color="auto" w:fill="E0E5FD"/>
            <w:noWrap/>
            <w:vAlign w:val="bottom"/>
            <w:hideMark/>
          </w:tcPr>
          <w:p w14:paraId="4DD0C881"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0.0585076</w:t>
            </w:r>
          </w:p>
        </w:tc>
        <w:tc>
          <w:tcPr>
            <w:tcW w:w="810" w:type="dxa"/>
            <w:tcBorders>
              <w:top w:val="nil"/>
              <w:left w:val="nil"/>
              <w:bottom w:val="single" w:sz="8" w:space="0" w:color="auto"/>
              <w:right w:val="single" w:sz="4" w:space="0" w:color="auto"/>
            </w:tcBorders>
            <w:shd w:val="clear" w:color="auto" w:fill="E0E5FD"/>
            <w:noWrap/>
            <w:vAlign w:val="bottom"/>
            <w:hideMark/>
          </w:tcPr>
          <w:p w14:paraId="5DA8EDDB"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-2.11</w:t>
            </w:r>
          </w:p>
        </w:tc>
        <w:tc>
          <w:tcPr>
            <w:tcW w:w="900" w:type="dxa"/>
            <w:tcBorders>
              <w:top w:val="nil"/>
              <w:left w:val="nil"/>
              <w:bottom w:val="single" w:sz="8" w:space="0" w:color="auto"/>
              <w:right w:val="single" w:sz="8" w:space="0" w:color="auto"/>
            </w:tcBorders>
            <w:shd w:val="clear" w:color="000000" w:fill="E0E5FD"/>
            <w:noWrap/>
            <w:vAlign w:val="bottom"/>
            <w:hideMark/>
          </w:tcPr>
          <w:p w14:paraId="34B9C11A" w14:textId="77777777" w:rsidR="0060739D" w:rsidRPr="004C1C43" w:rsidRDefault="0060739D" w:rsidP="00973371">
            <w:pPr>
              <w:jc w:val="right"/>
              <w:rPr>
                <w:rFonts w:ascii="Calibri" w:eastAsia="Times New Roman" w:hAnsi="Calibri" w:cs="Calibri"/>
                <w:color w:val="000000"/>
                <w:sz w:val="18"/>
              </w:rPr>
            </w:pPr>
            <w:r w:rsidRPr="004C1C43">
              <w:rPr>
                <w:rFonts w:ascii="Calibri" w:eastAsia="Times New Roman" w:hAnsi="Calibri" w:cs="Calibri"/>
                <w:color w:val="000000"/>
                <w:sz w:val="18"/>
              </w:rPr>
              <w:t>0.036</w:t>
            </w:r>
          </w:p>
        </w:tc>
      </w:tr>
    </w:tbl>
    <w:p w14:paraId="52E12C4B" w14:textId="77777777" w:rsidR="0060739D" w:rsidRDefault="0060739D" w:rsidP="00BF1925">
      <w:pPr>
        <w:rPr>
          <w:rFonts w:ascii="Cambria" w:hAnsi="Cambria"/>
          <w:b/>
        </w:rPr>
      </w:pPr>
    </w:p>
    <w:p w14:paraId="2CB193F1" w14:textId="72AA3817" w:rsidR="0060739D" w:rsidRDefault="0060739D" w:rsidP="00BF1925">
      <w:pPr>
        <w:rPr>
          <w:rFonts w:ascii="Cambria" w:hAnsi="Cambria"/>
          <w:b/>
        </w:rPr>
      </w:pPr>
    </w:p>
    <w:p w14:paraId="0736CADC" w14:textId="77777777" w:rsidR="001F5C28" w:rsidRDefault="001F5C28" w:rsidP="00BF1925">
      <w:pPr>
        <w:rPr>
          <w:rFonts w:ascii="Cambria" w:hAnsi="Cambria"/>
          <w:b/>
        </w:rPr>
      </w:pPr>
    </w:p>
    <w:p w14:paraId="59282CEA" w14:textId="77777777" w:rsidR="0060739D" w:rsidRDefault="0060739D" w:rsidP="00BF1925">
      <w:pPr>
        <w:rPr>
          <w:rFonts w:ascii="Cambria" w:hAnsi="Cambria"/>
          <w:b/>
        </w:rPr>
      </w:pPr>
    </w:p>
    <w:p w14:paraId="4F3029AD" w14:textId="77777777" w:rsidR="001D72C5" w:rsidRDefault="001D72C5" w:rsidP="00EC399C">
      <w:pPr>
        <w:rPr>
          <w:rStyle w:val="Emphasis"/>
        </w:rPr>
      </w:pPr>
    </w:p>
    <w:p w14:paraId="2D6C8A1D" w14:textId="161DFD7C" w:rsidR="00EC399C" w:rsidRPr="00CD04EB" w:rsidRDefault="00CD04EB" w:rsidP="00EC399C">
      <w:pPr>
        <w:rPr>
          <w:rStyle w:val="Emphasis"/>
        </w:rPr>
      </w:pPr>
      <w:r>
        <w:rPr>
          <w:rStyle w:val="Emphasis"/>
        </w:rPr>
        <w:lastRenderedPageBreak/>
        <w:t>Figure 3</w:t>
      </w:r>
    </w:p>
    <w:p w14:paraId="57FB3FE1" w14:textId="0150DC3F" w:rsidR="00EC399C" w:rsidRPr="00EC399C" w:rsidRDefault="00EC399C" w:rsidP="00156422">
      <w:pPr>
        <w:jc w:val="center"/>
        <w:rPr>
          <w:rFonts w:ascii="Cambria" w:hAnsi="Cambria"/>
        </w:rPr>
      </w:pPr>
    </w:p>
    <w:tbl>
      <w:tblPr>
        <w:tblStyle w:val="GridTable4-Accent5"/>
        <w:tblpPr w:leftFromText="180" w:rightFromText="180" w:vertAnchor="text" w:horzAnchor="margin" w:tblpXSpec="center" w:tblpY="-46"/>
        <w:tblW w:w="11155" w:type="dxa"/>
        <w:tblLook w:val="04A0" w:firstRow="1" w:lastRow="0" w:firstColumn="1" w:lastColumn="0" w:noHBand="0" w:noVBand="1"/>
      </w:tblPr>
      <w:tblGrid>
        <w:gridCol w:w="3865"/>
        <w:gridCol w:w="7290"/>
      </w:tblGrid>
      <w:tr w:rsidR="001913C4" w:rsidRPr="00966E93" w14:paraId="387F97E7" w14:textId="77777777" w:rsidTr="001F6E1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865" w:type="dxa"/>
            <w:shd w:val="clear" w:color="auto" w:fill="657FEE"/>
            <w:noWrap/>
            <w:hideMark/>
          </w:tcPr>
          <w:p w14:paraId="439BB5BF" w14:textId="77777777" w:rsidR="00EC399C" w:rsidRPr="00D42145" w:rsidRDefault="00EC399C" w:rsidP="008201D5">
            <w:pPr>
              <w:jc w:val="center"/>
              <w:rPr>
                <w:sz w:val="36"/>
              </w:rPr>
            </w:pPr>
            <w:r w:rsidRPr="00D42145">
              <w:rPr>
                <w:sz w:val="36"/>
              </w:rPr>
              <w:t>Short Title</w:t>
            </w:r>
          </w:p>
        </w:tc>
        <w:tc>
          <w:tcPr>
            <w:tcW w:w="7290" w:type="dxa"/>
            <w:shd w:val="clear" w:color="auto" w:fill="657FEE"/>
            <w:noWrap/>
            <w:hideMark/>
          </w:tcPr>
          <w:p w14:paraId="47984AEF" w14:textId="77777777" w:rsidR="00EC399C" w:rsidRPr="00D42145" w:rsidRDefault="00EC399C" w:rsidP="008201D5">
            <w:pPr>
              <w:jc w:val="center"/>
              <w:cnfStyle w:val="100000000000" w:firstRow="1" w:lastRow="0" w:firstColumn="0" w:lastColumn="0" w:oddVBand="0" w:evenVBand="0" w:oddHBand="0" w:evenHBand="0" w:firstRowFirstColumn="0" w:firstRowLastColumn="0" w:lastRowFirstColumn="0" w:lastRowLastColumn="0"/>
              <w:rPr>
                <w:sz w:val="36"/>
              </w:rPr>
            </w:pPr>
            <w:r w:rsidRPr="00D42145">
              <w:rPr>
                <w:sz w:val="36"/>
              </w:rPr>
              <w:t>Full Indicator Title</w:t>
            </w:r>
          </w:p>
        </w:tc>
      </w:tr>
      <w:tr w:rsidR="008201D5" w:rsidRPr="008201D5" w14:paraId="6D64C955" w14:textId="77777777" w:rsidTr="00513F5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tcPr>
          <w:p w14:paraId="11F35409" w14:textId="77777777" w:rsidR="00EC399C" w:rsidRPr="00D42145" w:rsidRDefault="00EC399C" w:rsidP="00513F5E">
            <w:pPr>
              <w:jc w:val="center"/>
            </w:pPr>
            <w:r w:rsidRPr="00D42145">
              <w:t>Charges for intellectual property</w:t>
            </w:r>
          </w:p>
        </w:tc>
        <w:tc>
          <w:tcPr>
            <w:tcW w:w="7290" w:type="dxa"/>
            <w:tcBorders>
              <w:left w:val="single" w:sz="4" w:space="0" w:color="9AABF4"/>
              <w:right w:val="single" w:sz="4" w:space="0" w:color="9AABF4"/>
            </w:tcBorders>
            <w:shd w:val="clear" w:color="auto" w:fill="E0E5FC"/>
            <w:noWrap/>
            <w:vAlign w:val="center"/>
          </w:tcPr>
          <w:p w14:paraId="3EEB8BF3"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Charges for the use of intellectual property, receipts (</w:t>
            </w:r>
            <w:proofErr w:type="spellStart"/>
            <w:r w:rsidRPr="00D42145">
              <w:t>BoP</w:t>
            </w:r>
            <w:proofErr w:type="spellEnd"/>
            <w:r w:rsidRPr="00D42145">
              <w:t>, current US$)</w:t>
            </w:r>
          </w:p>
        </w:tc>
      </w:tr>
      <w:tr w:rsidR="008201D5" w:rsidRPr="008201D5" w14:paraId="7D0F5BE2" w14:textId="77777777" w:rsidTr="00513F5E">
        <w:trPr>
          <w:trHeight w:val="52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4E8CBCD6" w14:textId="77777777" w:rsidR="00EC399C" w:rsidRPr="00D42145" w:rsidRDefault="00EC399C" w:rsidP="00513F5E">
            <w:pPr>
              <w:jc w:val="center"/>
            </w:pPr>
            <w:r w:rsidRPr="00D42145">
              <w:t>High-tech exports</w:t>
            </w:r>
          </w:p>
        </w:tc>
        <w:tc>
          <w:tcPr>
            <w:tcW w:w="7290" w:type="dxa"/>
            <w:tcBorders>
              <w:left w:val="single" w:sz="4" w:space="0" w:color="9AABF4"/>
              <w:right w:val="single" w:sz="4" w:space="0" w:color="9AABF4"/>
            </w:tcBorders>
            <w:noWrap/>
            <w:vAlign w:val="center"/>
            <w:hideMark/>
          </w:tcPr>
          <w:p w14:paraId="08353A6F"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High-technology exports (% of manufactured exports)</w:t>
            </w:r>
          </w:p>
        </w:tc>
      </w:tr>
      <w:tr w:rsidR="008201D5" w:rsidRPr="008201D5" w14:paraId="6E267A3B" w14:textId="77777777" w:rsidTr="00513F5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5144E9B5" w14:textId="77777777" w:rsidR="00EC399C" w:rsidRPr="00D42145" w:rsidRDefault="00EC399C" w:rsidP="00513F5E">
            <w:pPr>
              <w:jc w:val="center"/>
            </w:pPr>
            <w:r w:rsidRPr="00D42145">
              <w:t>ICT goods exports</w:t>
            </w:r>
          </w:p>
        </w:tc>
        <w:tc>
          <w:tcPr>
            <w:tcW w:w="7290" w:type="dxa"/>
            <w:tcBorders>
              <w:left w:val="single" w:sz="4" w:space="0" w:color="9AABF4"/>
              <w:right w:val="single" w:sz="4" w:space="0" w:color="9AABF4"/>
            </w:tcBorders>
            <w:shd w:val="clear" w:color="auto" w:fill="E0E5FC"/>
            <w:noWrap/>
            <w:vAlign w:val="center"/>
            <w:hideMark/>
          </w:tcPr>
          <w:p w14:paraId="5BC6A14A"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ICT goods exports (% of total goods exports)</w:t>
            </w:r>
          </w:p>
        </w:tc>
      </w:tr>
      <w:tr w:rsidR="008201D5" w:rsidRPr="008201D5" w14:paraId="44EC19F2" w14:textId="77777777" w:rsidTr="00513F5E">
        <w:trPr>
          <w:trHeight w:val="56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552C2E48" w14:textId="77777777" w:rsidR="00EC399C" w:rsidRPr="00D42145" w:rsidRDefault="00EC399C" w:rsidP="00513F5E">
            <w:pPr>
              <w:jc w:val="center"/>
            </w:pPr>
            <w:r w:rsidRPr="00D42145">
              <w:t>ICT goods imports</w:t>
            </w:r>
          </w:p>
        </w:tc>
        <w:tc>
          <w:tcPr>
            <w:tcW w:w="7290" w:type="dxa"/>
            <w:tcBorders>
              <w:left w:val="single" w:sz="4" w:space="0" w:color="9AABF4"/>
              <w:right w:val="single" w:sz="4" w:space="0" w:color="9AABF4"/>
            </w:tcBorders>
            <w:noWrap/>
            <w:vAlign w:val="center"/>
            <w:hideMark/>
          </w:tcPr>
          <w:p w14:paraId="1AF85BF2"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ICT goods imports (% total goods imports)</w:t>
            </w:r>
          </w:p>
        </w:tc>
      </w:tr>
      <w:tr w:rsidR="008201D5" w:rsidRPr="008201D5" w14:paraId="65014079" w14:textId="77777777" w:rsidTr="00513F5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30AC3A3F" w14:textId="77777777" w:rsidR="00EC399C" w:rsidRPr="00D42145" w:rsidRDefault="00EC399C" w:rsidP="00513F5E">
            <w:pPr>
              <w:jc w:val="center"/>
            </w:pPr>
            <w:r w:rsidRPr="00D42145">
              <w:t>SICT service exports</w:t>
            </w:r>
          </w:p>
        </w:tc>
        <w:tc>
          <w:tcPr>
            <w:tcW w:w="7290" w:type="dxa"/>
            <w:tcBorders>
              <w:left w:val="single" w:sz="4" w:space="0" w:color="9AABF4"/>
              <w:right w:val="single" w:sz="4" w:space="0" w:color="9AABF4"/>
            </w:tcBorders>
            <w:shd w:val="clear" w:color="auto" w:fill="E0E5FC"/>
            <w:noWrap/>
            <w:vAlign w:val="center"/>
            <w:hideMark/>
          </w:tcPr>
          <w:p w14:paraId="5A435ADA"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 xml:space="preserve">ICT service exports (% of service exports, </w:t>
            </w:r>
            <w:proofErr w:type="spellStart"/>
            <w:r w:rsidRPr="00D42145">
              <w:t>BoP</w:t>
            </w:r>
            <w:proofErr w:type="spellEnd"/>
            <w:r w:rsidRPr="00D42145">
              <w:t>)</w:t>
            </w:r>
          </w:p>
        </w:tc>
      </w:tr>
      <w:tr w:rsidR="008201D5" w:rsidRPr="008201D5" w14:paraId="2A2CD067" w14:textId="77777777" w:rsidTr="00513F5E">
        <w:trPr>
          <w:trHeight w:val="52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7C1355A5" w14:textId="77777777" w:rsidR="00EC399C" w:rsidRPr="00D42145" w:rsidRDefault="00EC399C" w:rsidP="00513F5E">
            <w:pPr>
              <w:jc w:val="center"/>
            </w:pPr>
            <w:r w:rsidRPr="00D42145">
              <w:t>Medium &amp; high-tech exports</w:t>
            </w:r>
          </w:p>
        </w:tc>
        <w:tc>
          <w:tcPr>
            <w:tcW w:w="7290" w:type="dxa"/>
            <w:tcBorders>
              <w:left w:val="single" w:sz="4" w:space="0" w:color="9AABF4"/>
              <w:right w:val="single" w:sz="4" w:space="0" w:color="9AABF4"/>
            </w:tcBorders>
            <w:noWrap/>
            <w:vAlign w:val="center"/>
            <w:hideMark/>
          </w:tcPr>
          <w:p w14:paraId="0CC9862B"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Medium and high-tech exports (% manufactured exports)</w:t>
            </w:r>
          </w:p>
        </w:tc>
      </w:tr>
      <w:tr w:rsidR="008201D5" w:rsidRPr="008201D5" w14:paraId="60D89BCA" w14:textId="77777777" w:rsidTr="00513F5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1443BC6A" w14:textId="77777777" w:rsidR="00EC399C" w:rsidRPr="00D42145" w:rsidRDefault="00EC399C" w:rsidP="00513F5E">
            <w:pPr>
              <w:jc w:val="center"/>
            </w:pPr>
            <w:r w:rsidRPr="00D42145">
              <w:t>Medium &amp; high-tech industry</w:t>
            </w:r>
          </w:p>
        </w:tc>
        <w:tc>
          <w:tcPr>
            <w:tcW w:w="7290" w:type="dxa"/>
            <w:tcBorders>
              <w:left w:val="single" w:sz="4" w:space="0" w:color="9AABF4"/>
              <w:right w:val="single" w:sz="4" w:space="0" w:color="9AABF4"/>
            </w:tcBorders>
            <w:shd w:val="clear" w:color="auto" w:fill="E0E5FC"/>
            <w:noWrap/>
            <w:vAlign w:val="center"/>
            <w:hideMark/>
          </w:tcPr>
          <w:p w14:paraId="059FDC71"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Medium and high-tech Industry (% manufacturing value added)</w:t>
            </w:r>
          </w:p>
        </w:tc>
      </w:tr>
      <w:tr w:rsidR="008201D5" w:rsidRPr="008201D5" w14:paraId="7EC9F046" w14:textId="77777777" w:rsidTr="00513F5E">
        <w:trPr>
          <w:trHeight w:val="456"/>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70DD6BD2" w14:textId="77777777" w:rsidR="00EC399C" w:rsidRPr="00D42145" w:rsidRDefault="00EC399C" w:rsidP="00513F5E">
            <w:pPr>
              <w:jc w:val="center"/>
            </w:pPr>
            <w:r w:rsidRPr="00D42145">
              <w:t>Patent applications</w:t>
            </w:r>
          </w:p>
        </w:tc>
        <w:tc>
          <w:tcPr>
            <w:tcW w:w="7290" w:type="dxa"/>
            <w:tcBorders>
              <w:left w:val="single" w:sz="4" w:space="0" w:color="9AABF4"/>
              <w:right w:val="single" w:sz="4" w:space="0" w:color="9AABF4"/>
            </w:tcBorders>
            <w:noWrap/>
            <w:vAlign w:val="center"/>
            <w:hideMark/>
          </w:tcPr>
          <w:p w14:paraId="797E5684"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Patent applications, residents</w:t>
            </w:r>
          </w:p>
        </w:tc>
      </w:tr>
      <w:tr w:rsidR="008201D5" w:rsidRPr="008201D5" w14:paraId="432468EF" w14:textId="77777777" w:rsidTr="00513F5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2413A40B" w14:textId="79A41605" w:rsidR="00EC399C" w:rsidRPr="00D42145" w:rsidRDefault="00EC399C" w:rsidP="00513F5E">
            <w:pPr>
              <w:jc w:val="center"/>
            </w:pPr>
            <w:r w:rsidRPr="00D42145">
              <w:t>Private Investment in ICT</w:t>
            </w:r>
          </w:p>
        </w:tc>
        <w:tc>
          <w:tcPr>
            <w:tcW w:w="7290" w:type="dxa"/>
            <w:tcBorders>
              <w:left w:val="single" w:sz="4" w:space="0" w:color="9AABF4"/>
              <w:right w:val="single" w:sz="4" w:space="0" w:color="9AABF4"/>
            </w:tcBorders>
            <w:shd w:val="clear" w:color="auto" w:fill="E0E5FC"/>
            <w:noWrap/>
            <w:vAlign w:val="center"/>
            <w:hideMark/>
          </w:tcPr>
          <w:p w14:paraId="20890227"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Investment in ICT with private participation (current US$)</w:t>
            </w:r>
          </w:p>
        </w:tc>
      </w:tr>
      <w:tr w:rsidR="008201D5" w:rsidRPr="008201D5" w14:paraId="30B20F54" w14:textId="77777777" w:rsidTr="00513F5E">
        <w:trPr>
          <w:trHeight w:val="528"/>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66DA7FB3" w14:textId="26EDA585" w:rsidR="00EC399C" w:rsidRPr="00D42145" w:rsidRDefault="00EC399C" w:rsidP="00513F5E">
            <w:pPr>
              <w:jc w:val="center"/>
            </w:pPr>
            <w:r w:rsidRPr="00D42145">
              <w:t>Public-Private Investment in ICT</w:t>
            </w:r>
          </w:p>
        </w:tc>
        <w:tc>
          <w:tcPr>
            <w:tcW w:w="7290" w:type="dxa"/>
            <w:tcBorders>
              <w:left w:val="single" w:sz="4" w:space="0" w:color="9AABF4"/>
              <w:right w:val="single" w:sz="4" w:space="0" w:color="9AABF4"/>
            </w:tcBorders>
            <w:noWrap/>
            <w:vAlign w:val="center"/>
            <w:hideMark/>
          </w:tcPr>
          <w:p w14:paraId="6761DEED"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Public private partnerships investment in ICT (current US$)</w:t>
            </w:r>
          </w:p>
        </w:tc>
      </w:tr>
      <w:tr w:rsidR="008201D5" w:rsidRPr="008201D5" w14:paraId="50DA6E1C" w14:textId="77777777" w:rsidTr="00513F5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3A02CC34" w14:textId="77777777" w:rsidR="00EC399C" w:rsidRPr="00D42145" w:rsidRDefault="00EC399C" w:rsidP="00513F5E">
            <w:pPr>
              <w:jc w:val="center"/>
            </w:pPr>
            <w:r w:rsidRPr="00D42145">
              <w:t>R&amp;D gov't expenditure</w:t>
            </w:r>
          </w:p>
        </w:tc>
        <w:tc>
          <w:tcPr>
            <w:tcW w:w="7290" w:type="dxa"/>
            <w:tcBorders>
              <w:left w:val="single" w:sz="4" w:space="0" w:color="9AABF4"/>
              <w:right w:val="single" w:sz="4" w:space="0" w:color="9AABF4"/>
            </w:tcBorders>
            <w:shd w:val="clear" w:color="auto" w:fill="E0E5FC"/>
            <w:noWrap/>
            <w:vAlign w:val="center"/>
            <w:hideMark/>
          </w:tcPr>
          <w:p w14:paraId="1860B3B2"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Research and development expenditure (% of GDP)</w:t>
            </w:r>
          </w:p>
        </w:tc>
      </w:tr>
      <w:tr w:rsidR="008201D5" w:rsidRPr="008201D5" w14:paraId="706A8228" w14:textId="77777777" w:rsidTr="00513F5E">
        <w:trPr>
          <w:trHeight w:val="537"/>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66BEF5B8" w14:textId="77777777" w:rsidR="00EC399C" w:rsidRPr="00D42145" w:rsidRDefault="00EC399C" w:rsidP="00513F5E">
            <w:pPr>
              <w:jc w:val="center"/>
            </w:pPr>
            <w:r w:rsidRPr="00D42145">
              <w:t>Researchers in R&amp;D</w:t>
            </w:r>
          </w:p>
        </w:tc>
        <w:tc>
          <w:tcPr>
            <w:tcW w:w="7290" w:type="dxa"/>
            <w:tcBorders>
              <w:left w:val="single" w:sz="4" w:space="0" w:color="9AABF4"/>
              <w:right w:val="single" w:sz="4" w:space="0" w:color="9AABF4"/>
            </w:tcBorders>
            <w:noWrap/>
            <w:vAlign w:val="center"/>
            <w:hideMark/>
          </w:tcPr>
          <w:p w14:paraId="46E593F9"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Researchers in R&amp;D (per million people)</w:t>
            </w:r>
          </w:p>
        </w:tc>
      </w:tr>
      <w:tr w:rsidR="008201D5" w:rsidRPr="008201D5" w14:paraId="01322921" w14:textId="77777777" w:rsidTr="00513F5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shd w:val="clear" w:color="auto" w:fill="E0E5FC"/>
            <w:noWrap/>
            <w:vAlign w:val="center"/>
            <w:hideMark/>
          </w:tcPr>
          <w:p w14:paraId="41103C68" w14:textId="77777777" w:rsidR="00EC399C" w:rsidRPr="00D42145" w:rsidRDefault="00EC399C" w:rsidP="00513F5E">
            <w:pPr>
              <w:jc w:val="center"/>
            </w:pPr>
            <w:r w:rsidRPr="00D42145">
              <w:t>Scientific &amp; technical journal articles</w:t>
            </w:r>
          </w:p>
        </w:tc>
        <w:tc>
          <w:tcPr>
            <w:tcW w:w="7290" w:type="dxa"/>
            <w:tcBorders>
              <w:left w:val="single" w:sz="4" w:space="0" w:color="9AABF4"/>
              <w:right w:val="single" w:sz="4" w:space="0" w:color="9AABF4"/>
            </w:tcBorders>
            <w:shd w:val="clear" w:color="auto" w:fill="E0E5FC"/>
            <w:noWrap/>
            <w:vAlign w:val="center"/>
            <w:hideMark/>
          </w:tcPr>
          <w:p w14:paraId="26EA2FA2"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Scientific and technical journal articles</w:t>
            </w:r>
          </w:p>
        </w:tc>
      </w:tr>
      <w:tr w:rsidR="008201D5" w:rsidRPr="008201D5" w14:paraId="2A656502" w14:textId="77777777" w:rsidTr="00513F5E">
        <w:trPr>
          <w:trHeight w:val="519"/>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right w:val="single" w:sz="4" w:space="0" w:color="9AABF4"/>
            </w:tcBorders>
            <w:noWrap/>
            <w:vAlign w:val="center"/>
            <w:hideMark/>
          </w:tcPr>
          <w:p w14:paraId="7C609134" w14:textId="77777777" w:rsidR="00EC399C" w:rsidRPr="00D42145" w:rsidRDefault="00EC399C" w:rsidP="00513F5E">
            <w:pPr>
              <w:jc w:val="center"/>
            </w:pPr>
            <w:r w:rsidRPr="00D42145">
              <w:t>Technicians in R&amp;D</w:t>
            </w:r>
          </w:p>
        </w:tc>
        <w:tc>
          <w:tcPr>
            <w:tcW w:w="7290" w:type="dxa"/>
            <w:tcBorders>
              <w:left w:val="single" w:sz="4" w:space="0" w:color="9AABF4"/>
              <w:right w:val="single" w:sz="4" w:space="0" w:color="9AABF4"/>
            </w:tcBorders>
            <w:noWrap/>
            <w:vAlign w:val="center"/>
            <w:hideMark/>
          </w:tcPr>
          <w:p w14:paraId="1FAF7D44" w14:textId="77777777" w:rsidR="00EC399C" w:rsidRPr="00D42145" w:rsidRDefault="00EC399C" w:rsidP="00513F5E">
            <w:pPr>
              <w:jc w:val="center"/>
              <w:cnfStyle w:val="000000000000" w:firstRow="0" w:lastRow="0" w:firstColumn="0" w:lastColumn="0" w:oddVBand="0" w:evenVBand="0" w:oddHBand="0" w:evenHBand="0" w:firstRowFirstColumn="0" w:firstRowLastColumn="0" w:lastRowFirstColumn="0" w:lastRowLastColumn="0"/>
            </w:pPr>
            <w:r w:rsidRPr="00D42145">
              <w:t>Technicians in R&amp;D (per million people)</w:t>
            </w:r>
          </w:p>
        </w:tc>
      </w:tr>
      <w:tr w:rsidR="008201D5" w:rsidRPr="008201D5" w14:paraId="2C294DFB" w14:textId="77777777" w:rsidTr="00513F5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865" w:type="dxa"/>
            <w:tcBorders>
              <w:left w:val="single" w:sz="4" w:space="0" w:color="9AABF4"/>
              <w:bottom w:val="single" w:sz="4" w:space="0" w:color="9AABF4"/>
              <w:right w:val="single" w:sz="4" w:space="0" w:color="9AABF4"/>
            </w:tcBorders>
            <w:shd w:val="clear" w:color="auto" w:fill="E0E5FC"/>
            <w:noWrap/>
            <w:vAlign w:val="center"/>
            <w:hideMark/>
          </w:tcPr>
          <w:p w14:paraId="0EE0C643" w14:textId="77777777" w:rsidR="00EC399C" w:rsidRPr="00D42145" w:rsidRDefault="00EC399C" w:rsidP="00513F5E">
            <w:pPr>
              <w:jc w:val="center"/>
            </w:pPr>
            <w:r w:rsidRPr="00D42145">
              <w:t>Trademark applications</w:t>
            </w:r>
          </w:p>
        </w:tc>
        <w:tc>
          <w:tcPr>
            <w:tcW w:w="7290" w:type="dxa"/>
            <w:tcBorders>
              <w:left w:val="single" w:sz="4" w:space="0" w:color="9AABF4"/>
              <w:bottom w:val="single" w:sz="4" w:space="0" w:color="9AABF4"/>
              <w:right w:val="single" w:sz="4" w:space="0" w:color="9AABF4"/>
            </w:tcBorders>
            <w:shd w:val="clear" w:color="auto" w:fill="E0E5FC"/>
            <w:noWrap/>
            <w:vAlign w:val="center"/>
            <w:hideMark/>
          </w:tcPr>
          <w:p w14:paraId="6022A538" w14:textId="77777777" w:rsidR="00EC399C" w:rsidRPr="00D42145" w:rsidRDefault="00EC399C" w:rsidP="00513F5E">
            <w:pPr>
              <w:jc w:val="center"/>
              <w:cnfStyle w:val="000000100000" w:firstRow="0" w:lastRow="0" w:firstColumn="0" w:lastColumn="0" w:oddVBand="0" w:evenVBand="0" w:oddHBand="1" w:evenHBand="0" w:firstRowFirstColumn="0" w:firstRowLastColumn="0" w:lastRowFirstColumn="0" w:lastRowLastColumn="0"/>
            </w:pPr>
            <w:r w:rsidRPr="00D42145">
              <w:t>Trademark applications, direct resident</w:t>
            </w:r>
          </w:p>
        </w:tc>
      </w:tr>
    </w:tbl>
    <w:p w14:paraId="3DF48126" w14:textId="77777777" w:rsidR="001F5C28" w:rsidRDefault="001F5C28">
      <w:pPr>
        <w:pStyle w:val="Heading1"/>
      </w:pPr>
    </w:p>
    <w:p w14:paraId="680B5B61" w14:textId="77777777" w:rsidR="001F5C28" w:rsidRDefault="001F5C28" w:rsidP="001F5C28"/>
    <w:p w14:paraId="16BD8A82" w14:textId="77777777" w:rsidR="001F5C28" w:rsidRDefault="001F5C28" w:rsidP="001F5C28"/>
    <w:p w14:paraId="5C11212D" w14:textId="77777777" w:rsidR="001F5C28" w:rsidRDefault="001F5C28" w:rsidP="001F5C28"/>
    <w:p w14:paraId="1832B196" w14:textId="77777777" w:rsidR="001F5C28" w:rsidRDefault="001F5C28" w:rsidP="001F5C28"/>
    <w:p w14:paraId="6BD39318" w14:textId="77777777" w:rsidR="001F5C28" w:rsidRDefault="001F5C28" w:rsidP="001F5C28"/>
    <w:p w14:paraId="2EBEE420" w14:textId="77777777" w:rsidR="001F5C28" w:rsidRDefault="001F5C28" w:rsidP="001F5C28"/>
    <w:p w14:paraId="007750C8" w14:textId="77777777" w:rsidR="001F5C28" w:rsidRPr="001F5C28" w:rsidRDefault="001F5C28" w:rsidP="001F5C28"/>
    <w:sdt>
      <w:sdtPr>
        <w:id w:val="1246001660"/>
        <w:docPartObj>
          <w:docPartGallery w:val="Bibliographies"/>
          <w:docPartUnique/>
        </w:docPartObj>
      </w:sdtPr>
      <w:sdtEndPr>
        <w:rPr>
          <w:rFonts w:ascii="Cambria" w:eastAsiaTheme="minorHAnsi" w:hAnsi="Cambria" w:cstheme="minorBidi"/>
          <w:color w:val="auto"/>
          <w:sz w:val="24"/>
          <w:szCs w:val="24"/>
        </w:rPr>
      </w:sdtEndPr>
      <w:sdtContent>
        <w:p w14:paraId="7BF6B768" w14:textId="7B8738C1" w:rsidR="001F5C28" w:rsidRDefault="001F5C28">
          <w:pPr>
            <w:pStyle w:val="Heading1"/>
          </w:pPr>
          <w:r>
            <w:t>BIBLIOGRAPHY</w:t>
          </w:r>
        </w:p>
        <w:p w14:paraId="02B52CE0" w14:textId="77777777" w:rsidR="001F5C28" w:rsidRPr="001F5C28" w:rsidRDefault="001F5C28" w:rsidP="001F5C28"/>
        <w:sdt>
          <w:sdtPr>
            <w:rPr>
              <w:rFonts w:ascii="Cambria" w:hAnsi="Cambria"/>
            </w:rPr>
            <w:id w:val="111145805"/>
            <w:bibliography/>
          </w:sdtPr>
          <w:sdtContent>
            <w:p w14:paraId="34967FA6" w14:textId="77777777" w:rsidR="001F5C28" w:rsidRPr="001F5C28" w:rsidRDefault="001F5C28" w:rsidP="001F5C28">
              <w:pPr>
                <w:pStyle w:val="Bibliography"/>
                <w:ind w:left="720" w:hanging="720"/>
                <w:rPr>
                  <w:rFonts w:ascii="Cambria" w:hAnsi="Cambria"/>
                  <w:noProof/>
                </w:rPr>
              </w:pPr>
              <w:r w:rsidRPr="001F5C28">
                <w:rPr>
                  <w:rFonts w:ascii="Cambria" w:hAnsi="Cambria"/>
                </w:rPr>
                <w:fldChar w:fldCharType="begin"/>
              </w:r>
              <w:r w:rsidRPr="001F5C28">
                <w:rPr>
                  <w:rFonts w:ascii="Cambria" w:hAnsi="Cambria"/>
                </w:rPr>
                <w:instrText xml:space="preserve"> BIBLIOGRAPHY </w:instrText>
              </w:r>
              <w:r w:rsidRPr="001F5C28">
                <w:rPr>
                  <w:rFonts w:ascii="Cambria" w:hAnsi="Cambria"/>
                </w:rPr>
                <w:fldChar w:fldCharType="separate"/>
              </w:r>
              <w:r w:rsidRPr="001F5C28">
                <w:rPr>
                  <w:rFonts w:ascii="Cambria" w:hAnsi="Cambria"/>
                  <w:noProof/>
                </w:rPr>
                <w:t xml:space="preserve">Acemoglu, Daron. 2011. "Economic Growth: Lectures 2 and 3: The Solow Growth Model." </w:t>
              </w:r>
              <w:r w:rsidRPr="001F5C28">
                <w:rPr>
                  <w:rFonts w:ascii="Cambria" w:hAnsi="Cambria"/>
                  <w:i/>
                  <w:iCs/>
                  <w:noProof/>
                </w:rPr>
                <w:t>MIT Economics.</w:t>
              </w:r>
              <w:r w:rsidRPr="001F5C28">
                <w:rPr>
                  <w:rFonts w:ascii="Cambria" w:hAnsi="Cambria"/>
                  <w:noProof/>
                </w:rPr>
                <w:t xml:space="preserve"> November. Accessed April 15, 2019. https://economics.mit.edu/files/7181.</w:t>
              </w:r>
            </w:p>
            <w:p w14:paraId="0CABD3EE"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Beyza Bayarcelik, Ebru, and Fulya Tasel. 2012. "Research and Development: Source of Economic Growth." </w:t>
              </w:r>
              <w:r w:rsidRPr="001F5C28">
                <w:rPr>
                  <w:rFonts w:ascii="Cambria" w:hAnsi="Cambria"/>
                  <w:i/>
                  <w:iCs/>
                  <w:noProof/>
                </w:rPr>
                <w:t>El Sevier.</w:t>
              </w:r>
              <w:r w:rsidRPr="001F5C28">
                <w:rPr>
                  <w:rFonts w:ascii="Cambria" w:hAnsi="Cambria"/>
                  <w:noProof/>
                </w:rPr>
                <w:t xml:space="preserve"> Accessed April 12, 2019. https://ac.els-cdn.com/S1877042812045144/1-s2.0-S1877042812045144-main.pdf?_tid=c22ab6db-aed9-4e09-9723-c6e907820b70&amp;acdnat=1555389229_5d04d41528e045e0bf8437375d58ad46.</w:t>
              </w:r>
            </w:p>
            <w:p w14:paraId="36EE1605"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Blatteis, Sam. 2017. "Inside The MENA High Tech Boom." </w:t>
              </w:r>
              <w:r w:rsidRPr="001F5C28">
                <w:rPr>
                  <w:rFonts w:ascii="Cambria" w:hAnsi="Cambria"/>
                  <w:i/>
                  <w:iCs/>
                  <w:noProof/>
                </w:rPr>
                <w:t>Entrepreneur Middle East.</w:t>
              </w:r>
              <w:r w:rsidRPr="001F5C28">
                <w:rPr>
                  <w:rFonts w:ascii="Cambria" w:hAnsi="Cambria"/>
                  <w:noProof/>
                </w:rPr>
                <w:t xml:space="preserve"> November 8. Accessed April 15, 2019. https://www.entrepreneur.com/article/304293.</w:t>
              </w:r>
            </w:p>
            <w:p w14:paraId="66CF9F5F"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Bradford, Reggie. 2016. "The Middle East Is Ripe For Technology Entrepreneurship." </w:t>
              </w:r>
              <w:r w:rsidRPr="001F5C28">
                <w:rPr>
                  <w:rFonts w:ascii="Cambria" w:hAnsi="Cambria"/>
                  <w:i/>
                  <w:iCs/>
                  <w:noProof/>
                </w:rPr>
                <w:t>Entrepreneur Middle East.</w:t>
              </w:r>
              <w:r w:rsidRPr="001F5C28">
                <w:rPr>
                  <w:rFonts w:ascii="Cambria" w:hAnsi="Cambria"/>
                  <w:noProof/>
                </w:rPr>
                <w:t xml:space="preserve"> February 10. Accessed April 15, 2019. https://www.entrepreneur.com/article/270594.</w:t>
              </w:r>
            </w:p>
            <w:p w14:paraId="4621EC62"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Ghandour, Fadi. 2012. "Innovation, Disruption And Growth: Now Is The Right Time To Invest In MENA's Tech Scene." </w:t>
              </w:r>
              <w:r w:rsidRPr="001F5C28">
                <w:rPr>
                  <w:rFonts w:ascii="Cambria" w:hAnsi="Cambria"/>
                  <w:i/>
                  <w:iCs/>
                  <w:noProof/>
                </w:rPr>
                <w:t>Entrepreneur Middle East.</w:t>
              </w:r>
              <w:r w:rsidRPr="001F5C28">
                <w:rPr>
                  <w:rFonts w:ascii="Cambria" w:hAnsi="Cambria"/>
                  <w:noProof/>
                </w:rPr>
                <w:t xml:space="preserve"> October 22. Accessed April 15, 2019. https://www.entrepreneur.com/article/240125.</w:t>
              </w:r>
            </w:p>
            <w:p w14:paraId="1E764285"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Greenwood, Jeremy, and Mehmet Yorukoglu. 1997. "1974." </w:t>
              </w:r>
              <w:r w:rsidRPr="001F5C28">
                <w:rPr>
                  <w:rFonts w:ascii="Cambria" w:hAnsi="Cambria"/>
                  <w:i/>
                  <w:iCs/>
                  <w:noProof/>
                </w:rPr>
                <w:t>Carnegie-Rochester Conference Series on Public Policy</w:t>
              </w:r>
              <w:r w:rsidRPr="001F5C28">
                <w:rPr>
                  <w:rFonts w:ascii="Cambria" w:hAnsi="Cambria"/>
                  <w:noProof/>
                </w:rPr>
                <w:t xml:space="preserve"> 45: 49-95.</w:t>
              </w:r>
            </w:p>
            <w:p w14:paraId="39E2B6C4"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Helpman, Elhanan, and Manuel Trajtenberg. 1998. "A Time to Sow and a Time to Reap: Growth Based on General Purpose Technologies." In </w:t>
              </w:r>
              <w:r w:rsidRPr="001F5C28">
                <w:rPr>
                  <w:rFonts w:ascii="Cambria" w:hAnsi="Cambria"/>
                  <w:i/>
                  <w:iCs/>
                  <w:noProof/>
                </w:rPr>
                <w:t>General Purpose Technologies and Economic Growth</w:t>
              </w:r>
              <w:r w:rsidRPr="001F5C28">
                <w:rPr>
                  <w:rFonts w:ascii="Cambria" w:hAnsi="Cambria"/>
                  <w:noProof/>
                </w:rPr>
                <w:t>, by Ethanan Helpman, 55-84. Cambridge: MIT Press.</w:t>
              </w:r>
            </w:p>
            <w:p w14:paraId="498A5DDC"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Helpman, Ethanan. 1998. </w:t>
              </w:r>
              <w:r w:rsidRPr="001F5C28">
                <w:rPr>
                  <w:rFonts w:ascii="Cambria" w:hAnsi="Cambria"/>
                  <w:i/>
                  <w:iCs/>
                  <w:noProof/>
                </w:rPr>
                <w:t>General Purpose Technologies and Economic Growth.</w:t>
              </w:r>
              <w:r w:rsidRPr="001F5C28">
                <w:rPr>
                  <w:rFonts w:ascii="Cambria" w:hAnsi="Cambria"/>
                  <w:noProof/>
                </w:rPr>
                <w:t xml:space="preserve"> Cambridge: MIT Press.</w:t>
              </w:r>
            </w:p>
            <w:p w14:paraId="5C3FA6E6"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Howitt, Peter. 1998. "Measurement, Obsolescence, and General Purpose Technologies." In </w:t>
              </w:r>
              <w:r w:rsidRPr="001F5C28">
                <w:rPr>
                  <w:rFonts w:ascii="Cambria" w:hAnsi="Cambria"/>
                  <w:i/>
                  <w:iCs/>
                  <w:noProof/>
                </w:rPr>
                <w:t>General Purpose Technologies and Economic Growth</w:t>
              </w:r>
              <w:r w:rsidRPr="001F5C28">
                <w:rPr>
                  <w:rFonts w:ascii="Cambria" w:hAnsi="Cambria"/>
                  <w:noProof/>
                </w:rPr>
                <w:t>, by Ethanan Helpman, 219-252. Cambridge: MIT Press.</w:t>
              </w:r>
            </w:p>
            <w:p w14:paraId="10F2A790"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n.d. "ICT service exports (BoP, current US$)." </w:t>
              </w:r>
              <w:r w:rsidRPr="001F5C28">
                <w:rPr>
                  <w:rFonts w:ascii="Cambria" w:hAnsi="Cambria"/>
                  <w:i/>
                  <w:iCs/>
                  <w:noProof/>
                </w:rPr>
                <w:t>Index Mundi.</w:t>
              </w:r>
              <w:r w:rsidRPr="001F5C28">
                <w:rPr>
                  <w:rFonts w:ascii="Cambria" w:hAnsi="Cambria"/>
                  <w:noProof/>
                </w:rPr>
                <w:t xml:space="preserve"> Accessed April 15, 2019. https://www.indexmundi.com/facts/indicators/BX.GSR.CCIS.CD.</w:t>
              </w:r>
            </w:p>
            <w:p w14:paraId="48130944"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2017. </w:t>
              </w:r>
              <w:r w:rsidRPr="001F5C28">
                <w:rPr>
                  <w:rFonts w:ascii="Cambria" w:hAnsi="Cambria"/>
                  <w:i/>
                  <w:iCs/>
                  <w:noProof/>
                </w:rPr>
                <w:t>Innovation Policy for Inclusive Sustainable Development in the Arab Region.</w:t>
              </w:r>
              <w:r w:rsidRPr="001F5C28">
                <w:rPr>
                  <w:rFonts w:ascii="Cambria" w:hAnsi="Cambria"/>
                  <w:noProof/>
                </w:rPr>
                <w:t xml:space="preserve"> Information, Beirut: United Nations Economic and Social Commission for Western Asia.</w:t>
              </w:r>
            </w:p>
            <w:p w14:paraId="1D575A42"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Kelly, Dr. Tim, and Rachel Firestone. 2016. "How Tech Hubs are helping to Drive Economic Growth in Africa." </w:t>
              </w:r>
              <w:r w:rsidRPr="001F5C28">
                <w:rPr>
                  <w:rFonts w:ascii="Cambria" w:hAnsi="Cambria"/>
                  <w:i/>
                  <w:iCs/>
                  <w:noProof/>
                </w:rPr>
                <w:t>World Bank Group.</w:t>
              </w:r>
              <w:r w:rsidRPr="001F5C28">
                <w:rPr>
                  <w:rFonts w:ascii="Cambria" w:hAnsi="Cambria"/>
                  <w:noProof/>
                </w:rPr>
                <w:t xml:space="preserve"> Accessed April 15, 2019. https://openknowledge.worldbank.org/bitstream/handle/10986/23645/WDR16-BP-How-Tech-Hubs-are-helping-to-Drive-Economic-Growth-in-Africa-Kelly-Firestone.pdf?sequence=1&amp;isAllowed=y.</w:t>
              </w:r>
            </w:p>
            <w:p w14:paraId="3B2E66AD"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Lundvall, Bengt-Åke, and Susana Borrás. 2005. "Science, Technology and Innovation Policy." In </w:t>
              </w:r>
              <w:r w:rsidRPr="001F5C28">
                <w:rPr>
                  <w:rFonts w:ascii="Cambria" w:hAnsi="Cambria"/>
                  <w:i/>
                  <w:iCs/>
                  <w:noProof/>
                </w:rPr>
                <w:t>The Oxford Handbook of Innovation</w:t>
              </w:r>
              <w:r w:rsidRPr="001F5C28">
                <w:rPr>
                  <w:rFonts w:ascii="Cambria" w:hAnsi="Cambria"/>
                  <w:noProof/>
                </w:rPr>
                <w:t>, 599-631. Oxford: Oxford University Press). http://www.oxfordhandbooks.com/view/10.1093/oxfordhb/9780199286805.001.0001/oxfordhb-9780199286805-e-22.</w:t>
              </w:r>
            </w:p>
            <w:p w14:paraId="7E25C65F"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lastRenderedPageBreak/>
                <w:t xml:space="preserve">Lundvall, Bengt-Åke, and Susana Borrás. 2006. "Science, Technology, and Innovation Policy." In </w:t>
              </w:r>
              <w:r w:rsidRPr="001F5C28">
                <w:rPr>
                  <w:rFonts w:ascii="Cambria" w:hAnsi="Cambria"/>
                  <w:i/>
                  <w:iCs/>
                  <w:noProof/>
                </w:rPr>
                <w:t>The Oxford Handbook of Innovation</w:t>
              </w:r>
              <w:r w:rsidRPr="001F5C28">
                <w:rPr>
                  <w:rFonts w:ascii="Cambria" w:hAnsi="Cambria"/>
                  <w:noProof/>
                </w:rPr>
                <w:t>. Oxford: Oxford University Press.</w:t>
              </w:r>
            </w:p>
            <w:p w14:paraId="0A382E50"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Mühleisen, Martin. 2018. "The Long and Short of The Digital Revolution." </w:t>
              </w:r>
              <w:r w:rsidRPr="001F5C28">
                <w:rPr>
                  <w:rFonts w:ascii="Cambria" w:hAnsi="Cambria"/>
                  <w:i/>
                  <w:iCs/>
                  <w:noProof/>
                </w:rPr>
                <w:t>International Monetary Fund.</w:t>
              </w:r>
              <w:r w:rsidRPr="001F5C28">
                <w:rPr>
                  <w:rFonts w:ascii="Cambria" w:hAnsi="Cambria"/>
                  <w:noProof/>
                </w:rPr>
                <w:t xml:space="preserve"> June. Accessed April 17, 2019. https://www.imf.org/external/pubs/ft/fandd/2018/06/impact-of-digital-technology-on-economic-growth/muhleisen.htm.</w:t>
              </w:r>
            </w:p>
            <w:p w14:paraId="28557A05"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Mokyr, Joel. 2018. "Building Taller Ladders." </w:t>
              </w:r>
              <w:r w:rsidRPr="001F5C28">
                <w:rPr>
                  <w:rFonts w:ascii="Cambria" w:hAnsi="Cambria"/>
                  <w:i/>
                  <w:iCs/>
                  <w:noProof/>
                </w:rPr>
                <w:t>International Monetary Fund.</w:t>
              </w:r>
              <w:r w:rsidRPr="001F5C28">
                <w:rPr>
                  <w:rFonts w:ascii="Cambria" w:hAnsi="Cambria"/>
                  <w:noProof/>
                </w:rPr>
                <w:t xml:space="preserve"> June. Accessed April 15, 2019. https://www.imf.org/external/pubs/ft/fandd/2018/06/impact-of-science-and-technology-on-global-economic-growth/mokyr.htm.</w:t>
              </w:r>
            </w:p>
            <w:p w14:paraId="7236EC2D"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n.d. "Online Information Repository for the STI Roadmaps Work." </w:t>
              </w:r>
              <w:r w:rsidRPr="001F5C28">
                <w:rPr>
                  <w:rFonts w:ascii="Cambria" w:hAnsi="Cambria"/>
                  <w:i/>
                  <w:iCs/>
                  <w:noProof/>
                </w:rPr>
                <w:t>UN Sustainable Development.</w:t>
              </w:r>
              <w:r w:rsidRPr="001F5C28">
                <w:rPr>
                  <w:rFonts w:ascii="Cambria" w:hAnsi="Cambria"/>
                  <w:noProof/>
                </w:rPr>
                <w:t xml:space="preserve"> Accessed April 16, 2019. https://sustainabledevelopment.un.org/tfm.</w:t>
              </w:r>
            </w:p>
            <w:p w14:paraId="400F7CCC"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Pohjola, Matti. 2001. </w:t>
              </w:r>
              <w:r w:rsidRPr="001F5C28">
                <w:rPr>
                  <w:rFonts w:ascii="Cambria" w:hAnsi="Cambria"/>
                  <w:i/>
                  <w:iCs/>
                  <w:noProof/>
                </w:rPr>
                <w:t>Information technology, Productivity, and Economic Growth: International Evidence and Implications for Economic Development,.</w:t>
              </w:r>
              <w:r w:rsidRPr="001F5C28">
                <w:rPr>
                  <w:rFonts w:ascii="Cambria" w:hAnsi="Cambria"/>
                  <w:noProof/>
                </w:rPr>
                <w:t xml:space="preserve"> Oxford: Oxford University Press.</w:t>
              </w:r>
            </w:p>
            <w:p w14:paraId="2D338117"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2013. "Report of the Secretary-General on “Science, technology and innovation, and the potential of." </w:t>
              </w:r>
              <w:r w:rsidRPr="001F5C28">
                <w:rPr>
                  <w:rFonts w:ascii="Cambria" w:hAnsi="Cambria"/>
                  <w:i/>
                  <w:iCs/>
                  <w:noProof/>
                </w:rPr>
                <w:t>United Nations ECOSOC.</w:t>
              </w:r>
              <w:r w:rsidRPr="001F5C28">
                <w:rPr>
                  <w:rFonts w:ascii="Cambria" w:hAnsi="Cambria"/>
                  <w:noProof/>
                </w:rPr>
                <w:t xml:space="preserve"> April. Accessed April 15, 2019. https://www.un.org/en/ecosoc/docs/adv2013/13_amr_sg_report.pdf.</w:t>
              </w:r>
            </w:p>
            <w:p w14:paraId="2BEC272C" w14:textId="77777777" w:rsidR="001F5C28" w:rsidRPr="001F5C28" w:rsidRDefault="001F5C28" w:rsidP="001F5C28">
              <w:pPr>
                <w:pStyle w:val="Bibliography"/>
                <w:ind w:left="720" w:hanging="720"/>
                <w:rPr>
                  <w:rFonts w:ascii="Cambria" w:hAnsi="Cambria"/>
                  <w:noProof/>
                </w:rPr>
              </w:pPr>
              <w:r w:rsidRPr="001F5C28">
                <w:rPr>
                  <w:rFonts w:ascii="Cambria" w:hAnsi="Cambria"/>
                  <w:noProof/>
                </w:rPr>
                <w:t xml:space="preserve">n.d. "Solow Growth Model." </w:t>
              </w:r>
              <w:r w:rsidRPr="001F5C28">
                <w:rPr>
                  <w:rFonts w:ascii="Cambria" w:hAnsi="Cambria"/>
                  <w:i/>
                  <w:iCs/>
                  <w:noProof/>
                </w:rPr>
                <w:t>University of Pittsburgh.</w:t>
              </w:r>
              <w:r w:rsidRPr="001F5C28">
                <w:rPr>
                  <w:rFonts w:ascii="Cambria" w:hAnsi="Cambria"/>
                  <w:noProof/>
                </w:rPr>
                <w:t xml:space="preserve"> Accessed April 15, 2019. https://www.pitt.edu/~mgahagan/Solow.htm.</w:t>
              </w:r>
            </w:p>
            <w:p w14:paraId="42E70718" w14:textId="1DA79855" w:rsidR="001F5C28" w:rsidRPr="001F5C28" w:rsidRDefault="001F5C28" w:rsidP="001F5C28">
              <w:pPr>
                <w:rPr>
                  <w:rFonts w:ascii="Cambria" w:hAnsi="Cambria"/>
                </w:rPr>
              </w:pPr>
              <w:r w:rsidRPr="001F5C28">
                <w:rPr>
                  <w:rFonts w:ascii="Cambria" w:hAnsi="Cambria"/>
                  <w:b/>
                  <w:bCs/>
                  <w:noProof/>
                </w:rPr>
                <w:fldChar w:fldCharType="end"/>
              </w:r>
            </w:p>
          </w:sdtContent>
        </w:sdt>
      </w:sdtContent>
    </w:sdt>
    <w:p w14:paraId="13B09C8E" w14:textId="77777777" w:rsidR="001F5C28" w:rsidRDefault="001F5C28" w:rsidP="00640D7C">
      <w:pPr>
        <w:rPr>
          <w:rFonts w:ascii="Cambria" w:hAnsi="Cambria"/>
          <w:color w:val="FFFFFF" w:themeColor="background1"/>
        </w:rPr>
      </w:pPr>
    </w:p>
    <w:p w14:paraId="463C55B3" w14:textId="77777777" w:rsidR="001F5C28" w:rsidRPr="00640D7C" w:rsidRDefault="001F5C28" w:rsidP="00640D7C">
      <w:pPr>
        <w:rPr>
          <w:rFonts w:ascii="Cambria" w:hAnsi="Cambria"/>
        </w:rPr>
      </w:pPr>
    </w:p>
    <w:sectPr w:rsidR="001F5C28" w:rsidRPr="00640D7C" w:rsidSect="001C6BC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19FD8" w14:textId="77777777" w:rsidR="00AE435C" w:rsidRDefault="00AE435C" w:rsidP="002D17EE">
      <w:r>
        <w:separator/>
      </w:r>
    </w:p>
  </w:endnote>
  <w:endnote w:type="continuationSeparator" w:id="0">
    <w:p w14:paraId="54FF7F42" w14:textId="77777777" w:rsidR="00AE435C" w:rsidRDefault="00AE435C" w:rsidP="002D17EE">
      <w:r>
        <w:continuationSeparator/>
      </w:r>
    </w:p>
  </w:endnote>
  <w:endnote w:id="1">
    <w:p w14:paraId="05612FFC" w14:textId="10263731" w:rsidR="00C547DA" w:rsidRPr="00C547DA" w:rsidRDefault="00C547DA">
      <w:pPr>
        <w:pStyle w:val="EndnoteText"/>
        <w:rPr>
          <w:rFonts w:ascii="Cambria" w:hAnsi="Cambria"/>
        </w:rPr>
      </w:pPr>
      <w:r w:rsidRPr="00C547DA">
        <w:rPr>
          <w:rStyle w:val="EndnoteReference"/>
          <w:rFonts w:ascii="Cambria" w:hAnsi="Cambria"/>
        </w:rPr>
        <w:endnoteRef/>
      </w:r>
      <w:r w:rsidRPr="00C547DA">
        <w:rPr>
          <w:rFonts w:ascii="Cambria" w:hAnsi="Cambria"/>
        </w:rPr>
        <w:t xml:space="preserve"> These </w:t>
      </w:r>
      <w:r>
        <w:rPr>
          <w:rFonts w:ascii="Cambria" w:hAnsi="Cambria"/>
        </w:rPr>
        <w:t xml:space="preserve">are the three pillars according to the United Nations. </w:t>
      </w:r>
      <w:r w:rsidRPr="00C547DA">
        <w:rPr>
          <w:rFonts w:ascii="Cambria" w:hAnsi="Cambria"/>
        </w:rPr>
        <w:t xml:space="preserve"> </w:t>
      </w:r>
    </w:p>
  </w:endnote>
  <w:endnote w:id="2">
    <w:p w14:paraId="4BE82740" w14:textId="1F1E7EF3" w:rsidR="00483029" w:rsidRPr="001F5C28" w:rsidRDefault="00483029">
      <w:pPr>
        <w:pStyle w:val="EndnoteText"/>
        <w:rPr>
          <w:rFonts w:ascii="Cambria" w:hAnsi="Cambria"/>
        </w:rPr>
      </w:pPr>
      <w:r w:rsidRPr="001F5C28">
        <w:rPr>
          <w:rStyle w:val="EndnoteReference"/>
          <w:rFonts w:ascii="Cambria" w:hAnsi="Cambria"/>
        </w:rPr>
        <w:endnoteRef/>
      </w:r>
      <w:r w:rsidRPr="001F5C28">
        <w:rPr>
          <w:rFonts w:ascii="Cambria" w:hAnsi="Cambria"/>
        </w:rPr>
        <w:t xml:space="preserve"> Also see </w:t>
      </w:r>
      <w:r w:rsidR="00F17699" w:rsidRPr="001F5C28">
        <w:rPr>
          <w:rFonts w:ascii="Cambria" w:hAnsi="Cambria"/>
        </w:rPr>
        <w:t>Greenwood and Rebelo 1997</w:t>
      </w:r>
    </w:p>
  </w:endnote>
  <w:endnote w:id="3">
    <w:p w14:paraId="65BD3AE2" w14:textId="5E96DDF2" w:rsidR="00790B20" w:rsidRPr="001F5C28" w:rsidRDefault="00790B20">
      <w:pPr>
        <w:pStyle w:val="EndnoteText"/>
        <w:rPr>
          <w:rFonts w:ascii="Cambria" w:hAnsi="Cambria"/>
        </w:rPr>
      </w:pPr>
      <w:r w:rsidRPr="001F5C28">
        <w:rPr>
          <w:rStyle w:val="EndnoteReference"/>
          <w:rFonts w:ascii="Cambria" w:hAnsi="Cambria"/>
        </w:rPr>
        <w:endnoteRef/>
      </w:r>
      <w:r w:rsidR="00CD04EB" w:rsidRPr="001F5C28">
        <w:rPr>
          <w:rFonts w:ascii="Cambria" w:hAnsi="Cambria"/>
        </w:rPr>
        <w:t xml:space="preserve"> See Figure 3 in the Appendix</w:t>
      </w:r>
      <w:r w:rsidRPr="001F5C28">
        <w:rPr>
          <w:rFonts w:ascii="Cambria" w:hAnsi="Cambria"/>
        </w:rPr>
        <w:t xml:space="preserve"> for a list of indicators</w:t>
      </w:r>
    </w:p>
  </w:endnote>
  <w:endnote w:id="4">
    <w:p w14:paraId="186E6E2F" w14:textId="3B0DBE3B" w:rsidR="00380FC3" w:rsidRPr="001F5C28" w:rsidRDefault="00380FC3">
      <w:pPr>
        <w:pStyle w:val="EndnoteText"/>
        <w:rPr>
          <w:rFonts w:ascii="Cambria" w:hAnsi="Cambria"/>
        </w:rPr>
      </w:pPr>
      <w:r w:rsidRPr="001F5C28">
        <w:rPr>
          <w:rStyle w:val="EndnoteReference"/>
          <w:rFonts w:ascii="Cambria" w:hAnsi="Cambria"/>
        </w:rPr>
        <w:endnoteRef/>
      </w:r>
      <w:r w:rsidRPr="001F5C28">
        <w:rPr>
          <w:rFonts w:ascii="Cambria" w:hAnsi="Cambria"/>
        </w:rPr>
        <w:t xml:space="preserve"> The R-squared values tend to be low. This is because there are many more factors th</w:t>
      </w:r>
      <w:r w:rsidR="00762DB6" w:rsidRPr="001F5C28">
        <w:rPr>
          <w:rFonts w:ascii="Cambria" w:hAnsi="Cambria"/>
        </w:rPr>
        <w:t>at influence GDP than just STI.</w:t>
      </w:r>
    </w:p>
  </w:endnote>
  <w:endnote w:id="5">
    <w:p w14:paraId="296592DC" w14:textId="673DE3D0" w:rsidR="001F5C28" w:rsidRDefault="001F5C28">
      <w:pPr>
        <w:pStyle w:val="EndnoteText"/>
      </w:pPr>
      <w:r w:rsidRPr="001F5C28">
        <w:rPr>
          <w:rStyle w:val="EndnoteReference"/>
          <w:rFonts w:ascii="Cambria" w:hAnsi="Cambria"/>
        </w:rPr>
        <w:endnoteRef/>
      </w:r>
      <w:r w:rsidRPr="001F5C28">
        <w:rPr>
          <w:rFonts w:ascii="Cambria" w:hAnsi="Cambria"/>
        </w:rPr>
        <w:t xml:space="preserve"> More research needs to be done on this regression to gather further insights into these results.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0ABE" w14:textId="77777777" w:rsidR="00AE435C" w:rsidRDefault="00AE435C" w:rsidP="002D17EE">
      <w:r>
        <w:separator/>
      </w:r>
    </w:p>
  </w:footnote>
  <w:footnote w:type="continuationSeparator" w:id="0">
    <w:p w14:paraId="2FB888A2" w14:textId="77777777" w:rsidR="00AE435C" w:rsidRDefault="00AE435C" w:rsidP="002D17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84C4" w14:textId="77777777" w:rsidR="00016A57" w:rsidRDefault="00016A57" w:rsidP="004322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D7B6C" w14:textId="77777777" w:rsidR="00016A57" w:rsidRDefault="00016A57" w:rsidP="00016A5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521F4" w14:textId="77777777" w:rsidR="00016A57" w:rsidRDefault="00016A57" w:rsidP="004322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FD9">
      <w:rPr>
        <w:rStyle w:val="PageNumber"/>
        <w:noProof/>
      </w:rPr>
      <w:t>5</w:t>
    </w:r>
    <w:r>
      <w:rPr>
        <w:rStyle w:val="PageNumber"/>
      </w:rPr>
      <w:fldChar w:fldCharType="end"/>
    </w:r>
  </w:p>
  <w:p w14:paraId="70C7E2E7" w14:textId="42B5D1B1" w:rsidR="00016A57" w:rsidRPr="00016A57" w:rsidRDefault="00016A57" w:rsidP="00016A57">
    <w:pPr>
      <w:pStyle w:val="Header"/>
      <w:ind w:right="360"/>
      <w:jc w:val="right"/>
      <w:rPr>
        <w:rFonts w:ascii="Cambria" w:hAnsi="Cambria"/>
      </w:rPr>
    </w:pPr>
    <w:r>
      <w:rPr>
        <w:rFonts w:ascii="Cambria" w:hAnsi="Cambria"/>
      </w:rPr>
      <w:t>Shaffer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E21AC"/>
    <w:multiLevelType w:val="hybridMultilevel"/>
    <w:tmpl w:val="BB7E64D4"/>
    <w:lvl w:ilvl="0" w:tplc="EABCBD82">
      <w:start w:val="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926A5B"/>
    <w:multiLevelType w:val="hybridMultilevel"/>
    <w:tmpl w:val="A71A24D4"/>
    <w:lvl w:ilvl="0" w:tplc="9AA0700A">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E4"/>
    <w:rsid w:val="00004780"/>
    <w:rsid w:val="00005B4F"/>
    <w:rsid w:val="0000643B"/>
    <w:rsid w:val="00010B75"/>
    <w:rsid w:val="0001588C"/>
    <w:rsid w:val="00016A57"/>
    <w:rsid w:val="00027FD7"/>
    <w:rsid w:val="000306B4"/>
    <w:rsid w:val="00032128"/>
    <w:rsid w:val="00035F0A"/>
    <w:rsid w:val="00044F96"/>
    <w:rsid w:val="00053036"/>
    <w:rsid w:val="00056BBF"/>
    <w:rsid w:val="00067E19"/>
    <w:rsid w:val="0007229A"/>
    <w:rsid w:val="00080508"/>
    <w:rsid w:val="00083E6C"/>
    <w:rsid w:val="000908EE"/>
    <w:rsid w:val="00091794"/>
    <w:rsid w:val="00093282"/>
    <w:rsid w:val="00094EEC"/>
    <w:rsid w:val="00097259"/>
    <w:rsid w:val="000C2EC0"/>
    <w:rsid w:val="000C2F06"/>
    <w:rsid w:val="000C47C5"/>
    <w:rsid w:val="000C730B"/>
    <w:rsid w:val="000D0838"/>
    <w:rsid w:val="000D1A09"/>
    <w:rsid w:val="000D425E"/>
    <w:rsid w:val="000E77C3"/>
    <w:rsid w:val="000F04D8"/>
    <w:rsid w:val="001103C9"/>
    <w:rsid w:val="0011094F"/>
    <w:rsid w:val="0011648D"/>
    <w:rsid w:val="00141670"/>
    <w:rsid w:val="00143802"/>
    <w:rsid w:val="00150FE9"/>
    <w:rsid w:val="00155227"/>
    <w:rsid w:val="00156422"/>
    <w:rsid w:val="00157398"/>
    <w:rsid w:val="00170626"/>
    <w:rsid w:val="00175D6B"/>
    <w:rsid w:val="00183A78"/>
    <w:rsid w:val="00185ABC"/>
    <w:rsid w:val="00185DF7"/>
    <w:rsid w:val="001874E7"/>
    <w:rsid w:val="001900DA"/>
    <w:rsid w:val="001913C4"/>
    <w:rsid w:val="00193859"/>
    <w:rsid w:val="00194BB6"/>
    <w:rsid w:val="001B4DEB"/>
    <w:rsid w:val="001C07C2"/>
    <w:rsid w:val="001C5D87"/>
    <w:rsid w:val="001C6BCC"/>
    <w:rsid w:val="001D72C5"/>
    <w:rsid w:val="001E007C"/>
    <w:rsid w:val="001E3C10"/>
    <w:rsid w:val="001E5AB2"/>
    <w:rsid w:val="001E6ACF"/>
    <w:rsid w:val="001F0DF3"/>
    <w:rsid w:val="001F524A"/>
    <w:rsid w:val="001F5C28"/>
    <w:rsid w:val="001F6E1C"/>
    <w:rsid w:val="0020409F"/>
    <w:rsid w:val="00207B92"/>
    <w:rsid w:val="00214190"/>
    <w:rsid w:val="00215EAD"/>
    <w:rsid w:val="002173EC"/>
    <w:rsid w:val="00234FBC"/>
    <w:rsid w:val="00235857"/>
    <w:rsid w:val="002431BD"/>
    <w:rsid w:val="00247766"/>
    <w:rsid w:val="00251729"/>
    <w:rsid w:val="002553FE"/>
    <w:rsid w:val="00262F8A"/>
    <w:rsid w:val="002745F8"/>
    <w:rsid w:val="002763C5"/>
    <w:rsid w:val="00284DD7"/>
    <w:rsid w:val="00291429"/>
    <w:rsid w:val="00293280"/>
    <w:rsid w:val="002A4708"/>
    <w:rsid w:val="002A5B9B"/>
    <w:rsid w:val="002B1706"/>
    <w:rsid w:val="002C4765"/>
    <w:rsid w:val="002C4D03"/>
    <w:rsid w:val="002D17EE"/>
    <w:rsid w:val="002D203B"/>
    <w:rsid w:val="002D4D25"/>
    <w:rsid w:val="002D6062"/>
    <w:rsid w:val="002E0B55"/>
    <w:rsid w:val="002E729A"/>
    <w:rsid w:val="002F2023"/>
    <w:rsid w:val="002F4F6E"/>
    <w:rsid w:val="00310134"/>
    <w:rsid w:val="00322E00"/>
    <w:rsid w:val="00334DB5"/>
    <w:rsid w:val="00340F46"/>
    <w:rsid w:val="00341EAB"/>
    <w:rsid w:val="00347F5D"/>
    <w:rsid w:val="003600F2"/>
    <w:rsid w:val="00361BC8"/>
    <w:rsid w:val="00362C26"/>
    <w:rsid w:val="00363B7D"/>
    <w:rsid w:val="00372334"/>
    <w:rsid w:val="0037536A"/>
    <w:rsid w:val="00380FC3"/>
    <w:rsid w:val="003830CA"/>
    <w:rsid w:val="0039016E"/>
    <w:rsid w:val="00393DB4"/>
    <w:rsid w:val="003A1AC8"/>
    <w:rsid w:val="003B05A9"/>
    <w:rsid w:val="003B45A9"/>
    <w:rsid w:val="003B538C"/>
    <w:rsid w:val="003B6E61"/>
    <w:rsid w:val="003D0470"/>
    <w:rsid w:val="003F21B3"/>
    <w:rsid w:val="003F2204"/>
    <w:rsid w:val="003F7588"/>
    <w:rsid w:val="00430914"/>
    <w:rsid w:val="00447430"/>
    <w:rsid w:val="00455A0B"/>
    <w:rsid w:val="00457F15"/>
    <w:rsid w:val="00470D7E"/>
    <w:rsid w:val="004767D7"/>
    <w:rsid w:val="0047744D"/>
    <w:rsid w:val="00477EF8"/>
    <w:rsid w:val="00482F1A"/>
    <w:rsid w:val="00483029"/>
    <w:rsid w:val="00483206"/>
    <w:rsid w:val="004979B4"/>
    <w:rsid w:val="00497EBB"/>
    <w:rsid w:val="004A6526"/>
    <w:rsid w:val="004B4117"/>
    <w:rsid w:val="004B7144"/>
    <w:rsid w:val="004B74FC"/>
    <w:rsid w:val="004C0C0B"/>
    <w:rsid w:val="004C1C43"/>
    <w:rsid w:val="004C2FB9"/>
    <w:rsid w:val="004D1FC4"/>
    <w:rsid w:val="004E4FF0"/>
    <w:rsid w:val="004E7604"/>
    <w:rsid w:val="004F01D7"/>
    <w:rsid w:val="004F3BD4"/>
    <w:rsid w:val="004F5BB2"/>
    <w:rsid w:val="004F7F6D"/>
    <w:rsid w:val="005046C4"/>
    <w:rsid w:val="00506D97"/>
    <w:rsid w:val="00507426"/>
    <w:rsid w:val="00513F5E"/>
    <w:rsid w:val="00531976"/>
    <w:rsid w:val="00534765"/>
    <w:rsid w:val="005417B5"/>
    <w:rsid w:val="00544FD9"/>
    <w:rsid w:val="00545AFF"/>
    <w:rsid w:val="00552453"/>
    <w:rsid w:val="00552FB4"/>
    <w:rsid w:val="0056482D"/>
    <w:rsid w:val="00566548"/>
    <w:rsid w:val="005676BA"/>
    <w:rsid w:val="00570B43"/>
    <w:rsid w:val="00576398"/>
    <w:rsid w:val="0057685B"/>
    <w:rsid w:val="00576FA7"/>
    <w:rsid w:val="0058269B"/>
    <w:rsid w:val="00583B80"/>
    <w:rsid w:val="00585530"/>
    <w:rsid w:val="00591150"/>
    <w:rsid w:val="005947F5"/>
    <w:rsid w:val="005A0F14"/>
    <w:rsid w:val="005A2A82"/>
    <w:rsid w:val="005A3694"/>
    <w:rsid w:val="005A5BE5"/>
    <w:rsid w:val="005A5CB4"/>
    <w:rsid w:val="005A7491"/>
    <w:rsid w:val="005B4541"/>
    <w:rsid w:val="005C0147"/>
    <w:rsid w:val="005C2A2B"/>
    <w:rsid w:val="005C585E"/>
    <w:rsid w:val="005D50B6"/>
    <w:rsid w:val="005D7E9F"/>
    <w:rsid w:val="005E2D88"/>
    <w:rsid w:val="005F0E84"/>
    <w:rsid w:val="006060F3"/>
    <w:rsid w:val="0060696C"/>
    <w:rsid w:val="0060739D"/>
    <w:rsid w:val="006164FF"/>
    <w:rsid w:val="00620266"/>
    <w:rsid w:val="006228DD"/>
    <w:rsid w:val="00626712"/>
    <w:rsid w:val="0062673B"/>
    <w:rsid w:val="00632A33"/>
    <w:rsid w:val="0063639F"/>
    <w:rsid w:val="006401C8"/>
    <w:rsid w:val="00640D7C"/>
    <w:rsid w:val="00646AD4"/>
    <w:rsid w:val="0065402B"/>
    <w:rsid w:val="0065754D"/>
    <w:rsid w:val="0066130C"/>
    <w:rsid w:val="0066391F"/>
    <w:rsid w:val="006642C0"/>
    <w:rsid w:val="0066783C"/>
    <w:rsid w:val="006732AA"/>
    <w:rsid w:val="00675629"/>
    <w:rsid w:val="00680033"/>
    <w:rsid w:val="00682EC4"/>
    <w:rsid w:val="00682F34"/>
    <w:rsid w:val="006858E4"/>
    <w:rsid w:val="00693ADF"/>
    <w:rsid w:val="006953F7"/>
    <w:rsid w:val="006A0C9F"/>
    <w:rsid w:val="006A6E01"/>
    <w:rsid w:val="006A6E78"/>
    <w:rsid w:val="006B22D4"/>
    <w:rsid w:val="006B3FA3"/>
    <w:rsid w:val="006B7CB9"/>
    <w:rsid w:val="006C41ED"/>
    <w:rsid w:val="006C5E6A"/>
    <w:rsid w:val="006C6837"/>
    <w:rsid w:val="006D2959"/>
    <w:rsid w:val="006D3A02"/>
    <w:rsid w:val="006D3BE6"/>
    <w:rsid w:val="006E5078"/>
    <w:rsid w:val="006F38F5"/>
    <w:rsid w:val="007106AF"/>
    <w:rsid w:val="007360A1"/>
    <w:rsid w:val="007438B4"/>
    <w:rsid w:val="0074772E"/>
    <w:rsid w:val="00751976"/>
    <w:rsid w:val="007551C6"/>
    <w:rsid w:val="0076013C"/>
    <w:rsid w:val="00762DB6"/>
    <w:rsid w:val="007713C2"/>
    <w:rsid w:val="0077518C"/>
    <w:rsid w:val="007842C5"/>
    <w:rsid w:val="00790899"/>
    <w:rsid w:val="00790B20"/>
    <w:rsid w:val="007911AF"/>
    <w:rsid w:val="0079311F"/>
    <w:rsid w:val="007974BF"/>
    <w:rsid w:val="007A1C53"/>
    <w:rsid w:val="007A7781"/>
    <w:rsid w:val="007A78F5"/>
    <w:rsid w:val="007A7C44"/>
    <w:rsid w:val="007B21F7"/>
    <w:rsid w:val="007D054D"/>
    <w:rsid w:val="007D1F65"/>
    <w:rsid w:val="007D2806"/>
    <w:rsid w:val="007D33B0"/>
    <w:rsid w:val="007D5211"/>
    <w:rsid w:val="007D5E03"/>
    <w:rsid w:val="007D6BD5"/>
    <w:rsid w:val="007E18BF"/>
    <w:rsid w:val="007E4957"/>
    <w:rsid w:val="007E74C4"/>
    <w:rsid w:val="007F4583"/>
    <w:rsid w:val="008005AE"/>
    <w:rsid w:val="00802930"/>
    <w:rsid w:val="00802DC9"/>
    <w:rsid w:val="00813FA3"/>
    <w:rsid w:val="008161E5"/>
    <w:rsid w:val="0081783B"/>
    <w:rsid w:val="008201D5"/>
    <w:rsid w:val="008224AC"/>
    <w:rsid w:val="008233E1"/>
    <w:rsid w:val="0082770A"/>
    <w:rsid w:val="008316E9"/>
    <w:rsid w:val="00836033"/>
    <w:rsid w:val="00837D69"/>
    <w:rsid w:val="008435A1"/>
    <w:rsid w:val="00850916"/>
    <w:rsid w:val="00850BE9"/>
    <w:rsid w:val="008559D2"/>
    <w:rsid w:val="00855BFD"/>
    <w:rsid w:val="008726B9"/>
    <w:rsid w:val="008834D7"/>
    <w:rsid w:val="008862A7"/>
    <w:rsid w:val="00887B56"/>
    <w:rsid w:val="00887DE6"/>
    <w:rsid w:val="00893F47"/>
    <w:rsid w:val="008A6B51"/>
    <w:rsid w:val="008B4C49"/>
    <w:rsid w:val="008C7D4A"/>
    <w:rsid w:val="008D1234"/>
    <w:rsid w:val="008D4875"/>
    <w:rsid w:val="008D6B4D"/>
    <w:rsid w:val="008D73ED"/>
    <w:rsid w:val="008E5A82"/>
    <w:rsid w:val="008F18C4"/>
    <w:rsid w:val="008F7567"/>
    <w:rsid w:val="00902B92"/>
    <w:rsid w:val="00906F17"/>
    <w:rsid w:val="00912089"/>
    <w:rsid w:val="00923760"/>
    <w:rsid w:val="00926B9C"/>
    <w:rsid w:val="00953D61"/>
    <w:rsid w:val="00956259"/>
    <w:rsid w:val="00963FF5"/>
    <w:rsid w:val="009668DF"/>
    <w:rsid w:val="00966E93"/>
    <w:rsid w:val="009714DD"/>
    <w:rsid w:val="00973371"/>
    <w:rsid w:val="0097755B"/>
    <w:rsid w:val="009862D8"/>
    <w:rsid w:val="0099142A"/>
    <w:rsid w:val="00995FE7"/>
    <w:rsid w:val="009A050D"/>
    <w:rsid w:val="009A1D1D"/>
    <w:rsid w:val="009A615B"/>
    <w:rsid w:val="009A7EAD"/>
    <w:rsid w:val="009B2D12"/>
    <w:rsid w:val="009B5F8E"/>
    <w:rsid w:val="009C2061"/>
    <w:rsid w:val="009D671B"/>
    <w:rsid w:val="009E0CE6"/>
    <w:rsid w:val="009E1539"/>
    <w:rsid w:val="009E3E7C"/>
    <w:rsid w:val="009E4682"/>
    <w:rsid w:val="009E5EC2"/>
    <w:rsid w:val="009F095E"/>
    <w:rsid w:val="009F238D"/>
    <w:rsid w:val="009F5118"/>
    <w:rsid w:val="00A0407D"/>
    <w:rsid w:val="00A137E4"/>
    <w:rsid w:val="00A21F1A"/>
    <w:rsid w:val="00A22C26"/>
    <w:rsid w:val="00A27AE2"/>
    <w:rsid w:val="00A27C0C"/>
    <w:rsid w:val="00A30C44"/>
    <w:rsid w:val="00A3166B"/>
    <w:rsid w:val="00A32A07"/>
    <w:rsid w:val="00A46B62"/>
    <w:rsid w:val="00A50FC7"/>
    <w:rsid w:val="00A57E6A"/>
    <w:rsid w:val="00A613C3"/>
    <w:rsid w:val="00A63E7A"/>
    <w:rsid w:val="00AA3C85"/>
    <w:rsid w:val="00AB1257"/>
    <w:rsid w:val="00AD0892"/>
    <w:rsid w:val="00AD694B"/>
    <w:rsid w:val="00AE03E5"/>
    <w:rsid w:val="00AE435C"/>
    <w:rsid w:val="00B1623E"/>
    <w:rsid w:val="00B23695"/>
    <w:rsid w:val="00B24CFC"/>
    <w:rsid w:val="00B25780"/>
    <w:rsid w:val="00B56AF2"/>
    <w:rsid w:val="00B572B3"/>
    <w:rsid w:val="00B60707"/>
    <w:rsid w:val="00B67853"/>
    <w:rsid w:val="00B751EC"/>
    <w:rsid w:val="00B87E32"/>
    <w:rsid w:val="00B9459B"/>
    <w:rsid w:val="00BB1A14"/>
    <w:rsid w:val="00BB7C5B"/>
    <w:rsid w:val="00BC0E9E"/>
    <w:rsid w:val="00BD38DA"/>
    <w:rsid w:val="00BE5611"/>
    <w:rsid w:val="00BE77F0"/>
    <w:rsid w:val="00BF12B1"/>
    <w:rsid w:val="00BF1925"/>
    <w:rsid w:val="00BF1EBD"/>
    <w:rsid w:val="00C02F3C"/>
    <w:rsid w:val="00C04396"/>
    <w:rsid w:val="00C04A1C"/>
    <w:rsid w:val="00C226D8"/>
    <w:rsid w:val="00C249D7"/>
    <w:rsid w:val="00C3005F"/>
    <w:rsid w:val="00C33435"/>
    <w:rsid w:val="00C414EA"/>
    <w:rsid w:val="00C4563B"/>
    <w:rsid w:val="00C50F7A"/>
    <w:rsid w:val="00C54065"/>
    <w:rsid w:val="00C547DA"/>
    <w:rsid w:val="00C61999"/>
    <w:rsid w:val="00C61B1A"/>
    <w:rsid w:val="00C67863"/>
    <w:rsid w:val="00C71C10"/>
    <w:rsid w:val="00C72275"/>
    <w:rsid w:val="00C746F8"/>
    <w:rsid w:val="00C82821"/>
    <w:rsid w:val="00C86AE8"/>
    <w:rsid w:val="00C86EB1"/>
    <w:rsid w:val="00C87272"/>
    <w:rsid w:val="00C8733C"/>
    <w:rsid w:val="00C87757"/>
    <w:rsid w:val="00CB0036"/>
    <w:rsid w:val="00CB5291"/>
    <w:rsid w:val="00CD0310"/>
    <w:rsid w:val="00CD04EB"/>
    <w:rsid w:val="00CD0933"/>
    <w:rsid w:val="00CE55BA"/>
    <w:rsid w:val="00CF3755"/>
    <w:rsid w:val="00D01394"/>
    <w:rsid w:val="00D02C63"/>
    <w:rsid w:val="00D14B71"/>
    <w:rsid w:val="00D25877"/>
    <w:rsid w:val="00D37130"/>
    <w:rsid w:val="00D4032D"/>
    <w:rsid w:val="00D41EE7"/>
    <w:rsid w:val="00D42145"/>
    <w:rsid w:val="00D44364"/>
    <w:rsid w:val="00D50D6E"/>
    <w:rsid w:val="00D62DCA"/>
    <w:rsid w:val="00D7021C"/>
    <w:rsid w:val="00D83A25"/>
    <w:rsid w:val="00D85808"/>
    <w:rsid w:val="00D94872"/>
    <w:rsid w:val="00DB36A8"/>
    <w:rsid w:val="00DB37E4"/>
    <w:rsid w:val="00DB42D3"/>
    <w:rsid w:val="00DB7287"/>
    <w:rsid w:val="00DB7967"/>
    <w:rsid w:val="00DC3157"/>
    <w:rsid w:val="00DC3747"/>
    <w:rsid w:val="00DD3974"/>
    <w:rsid w:val="00DD6468"/>
    <w:rsid w:val="00DD76DA"/>
    <w:rsid w:val="00DE6C99"/>
    <w:rsid w:val="00DE758B"/>
    <w:rsid w:val="00DF3A38"/>
    <w:rsid w:val="00DF5C68"/>
    <w:rsid w:val="00E003CF"/>
    <w:rsid w:val="00E03346"/>
    <w:rsid w:val="00E05AED"/>
    <w:rsid w:val="00E14157"/>
    <w:rsid w:val="00E21155"/>
    <w:rsid w:val="00E62C7B"/>
    <w:rsid w:val="00E722DE"/>
    <w:rsid w:val="00E77DF2"/>
    <w:rsid w:val="00E81CF9"/>
    <w:rsid w:val="00E84B20"/>
    <w:rsid w:val="00E8757D"/>
    <w:rsid w:val="00EA6BA1"/>
    <w:rsid w:val="00EB4F30"/>
    <w:rsid w:val="00EC12A7"/>
    <w:rsid w:val="00EC219C"/>
    <w:rsid w:val="00EC2D91"/>
    <w:rsid w:val="00EC399C"/>
    <w:rsid w:val="00ED032F"/>
    <w:rsid w:val="00ED051D"/>
    <w:rsid w:val="00EF2916"/>
    <w:rsid w:val="00EF57FF"/>
    <w:rsid w:val="00F00201"/>
    <w:rsid w:val="00F0068F"/>
    <w:rsid w:val="00F016F3"/>
    <w:rsid w:val="00F03E42"/>
    <w:rsid w:val="00F06BCE"/>
    <w:rsid w:val="00F11707"/>
    <w:rsid w:val="00F167B5"/>
    <w:rsid w:val="00F17699"/>
    <w:rsid w:val="00F25A10"/>
    <w:rsid w:val="00F30C9A"/>
    <w:rsid w:val="00F367CF"/>
    <w:rsid w:val="00F45A2E"/>
    <w:rsid w:val="00F52889"/>
    <w:rsid w:val="00F66CB3"/>
    <w:rsid w:val="00F7306D"/>
    <w:rsid w:val="00F7535E"/>
    <w:rsid w:val="00F80EBE"/>
    <w:rsid w:val="00F81958"/>
    <w:rsid w:val="00F82416"/>
    <w:rsid w:val="00F91647"/>
    <w:rsid w:val="00F92CE4"/>
    <w:rsid w:val="00FA1DE1"/>
    <w:rsid w:val="00FA7376"/>
    <w:rsid w:val="00FA7C1C"/>
    <w:rsid w:val="00FB3CAE"/>
    <w:rsid w:val="00FC4FCC"/>
    <w:rsid w:val="00FC6805"/>
    <w:rsid w:val="00FD1AC7"/>
    <w:rsid w:val="00FD3614"/>
    <w:rsid w:val="00FD633C"/>
    <w:rsid w:val="00FE56F7"/>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30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4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5C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25"/>
    <w:pPr>
      <w:ind w:left="720"/>
      <w:contextualSpacing/>
    </w:pPr>
  </w:style>
  <w:style w:type="paragraph" w:styleId="EndnoteText">
    <w:name w:val="endnote text"/>
    <w:basedOn w:val="Normal"/>
    <w:link w:val="EndnoteTextChar"/>
    <w:uiPriority w:val="99"/>
    <w:unhideWhenUsed/>
    <w:rsid w:val="002D17EE"/>
  </w:style>
  <w:style w:type="character" w:customStyle="1" w:styleId="EndnoteTextChar">
    <w:name w:val="Endnote Text Char"/>
    <w:basedOn w:val="DefaultParagraphFont"/>
    <w:link w:val="EndnoteText"/>
    <w:uiPriority w:val="99"/>
    <w:rsid w:val="002D17EE"/>
  </w:style>
  <w:style w:type="character" w:styleId="EndnoteReference">
    <w:name w:val="endnote reference"/>
    <w:basedOn w:val="DefaultParagraphFont"/>
    <w:uiPriority w:val="99"/>
    <w:unhideWhenUsed/>
    <w:rsid w:val="002D17EE"/>
    <w:rPr>
      <w:vertAlign w:val="superscript"/>
    </w:rPr>
  </w:style>
  <w:style w:type="table" w:styleId="TableGrid">
    <w:name w:val="Table Grid"/>
    <w:basedOn w:val="TableNormal"/>
    <w:uiPriority w:val="39"/>
    <w:rsid w:val="00966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1F6E1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CD04E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CD04E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D04EB"/>
    <w:rPr>
      <w:rFonts w:eastAsiaTheme="minorEastAsia"/>
      <w:color w:val="5A5A5A" w:themeColor="text1" w:themeTint="A5"/>
      <w:spacing w:val="15"/>
      <w:sz w:val="22"/>
      <w:szCs w:val="22"/>
    </w:rPr>
  </w:style>
  <w:style w:type="character" w:styleId="Emphasis">
    <w:name w:val="Emphasis"/>
    <w:basedOn w:val="DefaultParagraphFont"/>
    <w:uiPriority w:val="20"/>
    <w:qFormat/>
    <w:rsid w:val="00CD04EB"/>
    <w:rPr>
      <w:i/>
      <w:iCs/>
    </w:rPr>
  </w:style>
  <w:style w:type="paragraph" w:styleId="Bibliography">
    <w:name w:val="Bibliography"/>
    <w:basedOn w:val="Normal"/>
    <w:next w:val="Normal"/>
    <w:uiPriority w:val="37"/>
    <w:unhideWhenUsed/>
    <w:rsid w:val="001F5C28"/>
  </w:style>
  <w:style w:type="character" w:customStyle="1" w:styleId="Heading2Char">
    <w:name w:val="Heading 2 Char"/>
    <w:basedOn w:val="DefaultParagraphFont"/>
    <w:link w:val="Heading2"/>
    <w:uiPriority w:val="9"/>
    <w:rsid w:val="001F5C2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E56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61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16A57"/>
    <w:pPr>
      <w:tabs>
        <w:tab w:val="center" w:pos="4680"/>
        <w:tab w:val="right" w:pos="9360"/>
      </w:tabs>
    </w:pPr>
  </w:style>
  <w:style w:type="character" w:customStyle="1" w:styleId="HeaderChar">
    <w:name w:val="Header Char"/>
    <w:basedOn w:val="DefaultParagraphFont"/>
    <w:link w:val="Header"/>
    <w:uiPriority w:val="99"/>
    <w:rsid w:val="00016A57"/>
  </w:style>
  <w:style w:type="paragraph" w:styleId="Footer">
    <w:name w:val="footer"/>
    <w:basedOn w:val="Normal"/>
    <w:link w:val="FooterChar"/>
    <w:uiPriority w:val="99"/>
    <w:unhideWhenUsed/>
    <w:rsid w:val="00016A57"/>
    <w:pPr>
      <w:tabs>
        <w:tab w:val="center" w:pos="4680"/>
        <w:tab w:val="right" w:pos="9360"/>
      </w:tabs>
    </w:pPr>
  </w:style>
  <w:style w:type="character" w:customStyle="1" w:styleId="FooterChar">
    <w:name w:val="Footer Char"/>
    <w:basedOn w:val="DefaultParagraphFont"/>
    <w:link w:val="Footer"/>
    <w:uiPriority w:val="99"/>
    <w:rsid w:val="00016A57"/>
  </w:style>
  <w:style w:type="character" w:styleId="PageNumber">
    <w:name w:val="page number"/>
    <w:basedOn w:val="DefaultParagraphFont"/>
    <w:uiPriority w:val="99"/>
    <w:semiHidden/>
    <w:unhideWhenUsed/>
    <w:rsid w:val="0001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238">
      <w:bodyDiv w:val="1"/>
      <w:marLeft w:val="0"/>
      <w:marRight w:val="0"/>
      <w:marTop w:val="0"/>
      <w:marBottom w:val="0"/>
      <w:divBdr>
        <w:top w:val="none" w:sz="0" w:space="0" w:color="auto"/>
        <w:left w:val="none" w:sz="0" w:space="0" w:color="auto"/>
        <w:bottom w:val="none" w:sz="0" w:space="0" w:color="auto"/>
        <w:right w:val="none" w:sz="0" w:space="0" w:color="auto"/>
      </w:divBdr>
    </w:div>
    <w:div w:id="18052598">
      <w:bodyDiv w:val="1"/>
      <w:marLeft w:val="0"/>
      <w:marRight w:val="0"/>
      <w:marTop w:val="0"/>
      <w:marBottom w:val="0"/>
      <w:divBdr>
        <w:top w:val="none" w:sz="0" w:space="0" w:color="auto"/>
        <w:left w:val="none" w:sz="0" w:space="0" w:color="auto"/>
        <w:bottom w:val="none" w:sz="0" w:space="0" w:color="auto"/>
        <w:right w:val="none" w:sz="0" w:space="0" w:color="auto"/>
      </w:divBdr>
    </w:div>
    <w:div w:id="32464131">
      <w:bodyDiv w:val="1"/>
      <w:marLeft w:val="0"/>
      <w:marRight w:val="0"/>
      <w:marTop w:val="0"/>
      <w:marBottom w:val="0"/>
      <w:divBdr>
        <w:top w:val="none" w:sz="0" w:space="0" w:color="auto"/>
        <w:left w:val="none" w:sz="0" w:space="0" w:color="auto"/>
        <w:bottom w:val="none" w:sz="0" w:space="0" w:color="auto"/>
        <w:right w:val="none" w:sz="0" w:space="0" w:color="auto"/>
      </w:divBdr>
    </w:div>
    <w:div w:id="71976381">
      <w:bodyDiv w:val="1"/>
      <w:marLeft w:val="0"/>
      <w:marRight w:val="0"/>
      <w:marTop w:val="0"/>
      <w:marBottom w:val="0"/>
      <w:divBdr>
        <w:top w:val="none" w:sz="0" w:space="0" w:color="auto"/>
        <w:left w:val="none" w:sz="0" w:space="0" w:color="auto"/>
        <w:bottom w:val="none" w:sz="0" w:space="0" w:color="auto"/>
        <w:right w:val="none" w:sz="0" w:space="0" w:color="auto"/>
      </w:divBdr>
    </w:div>
    <w:div w:id="119227034">
      <w:bodyDiv w:val="1"/>
      <w:marLeft w:val="0"/>
      <w:marRight w:val="0"/>
      <w:marTop w:val="0"/>
      <w:marBottom w:val="0"/>
      <w:divBdr>
        <w:top w:val="none" w:sz="0" w:space="0" w:color="auto"/>
        <w:left w:val="none" w:sz="0" w:space="0" w:color="auto"/>
        <w:bottom w:val="none" w:sz="0" w:space="0" w:color="auto"/>
        <w:right w:val="none" w:sz="0" w:space="0" w:color="auto"/>
      </w:divBdr>
    </w:div>
    <w:div w:id="267929216">
      <w:bodyDiv w:val="1"/>
      <w:marLeft w:val="0"/>
      <w:marRight w:val="0"/>
      <w:marTop w:val="0"/>
      <w:marBottom w:val="0"/>
      <w:divBdr>
        <w:top w:val="none" w:sz="0" w:space="0" w:color="auto"/>
        <w:left w:val="none" w:sz="0" w:space="0" w:color="auto"/>
        <w:bottom w:val="none" w:sz="0" w:space="0" w:color="auto"/>
        <w:right w:val="none" w:sz="0" w:space="0" w:color="auto"/>
      </w:divBdr>
    </w:div>
    <w:div w:id="337511697">
      <w:bodyDiv w:val="1"/>
      <w:marLeft w:val="0"/>
      <w:marRight w:val="0"/>
      <w:marTop w:val="0"/>
      <w:marBottom w:val="0"/>
      <w:divBdr>
        <w:top w:val="none" w:sz="0" w:space="0" w:color="auto"/>
        <w:left w:val="none" w:sz="0" w:space="0" w:color="auto"/>
        <w:bottom w:val="none" w:sz="0" w:space="0" w:color="auto"/>
        <w:right w:val="none" w:sz="0" w:space="0" w:color="auto"/>
      </w:divBdr>
    </w:div>
    <w:div w:id="365565365">
      <w:bodyDiv w:val="1"/>
      <w:marLeft w:val="0"/>
      <w:marRight w:val="0"/>
      <w:marTop w:val="0"/>
      <w:marBottom w:val="0"/>
      <w:divBdr>
        <w:top w:val="none" w:sz="0" w:space="0" w:color="auto"/>
        <w:left w:val="none" w:sz="0" w:space="0" w:color="auto"/>
        <w:bottom w:val="none" w:sz="0" w:space="0" w:color="auto"/>
        <w:right w:val="none" w:sz="0" w:space="0" w:color="auto"/>
      </w:divBdr>
    </w:div>
    <w:div w:id="375744281">
      <w:bodyDiv w:val="1"/>
      <w:marLeft w:val="0"/>
      <w:marRight w:val="0"/>
      <w:marTop w:val="0"/>
      <w:marBottom w:val="0"/>
      <w:divBdr>
        <w:top w:val="none" w:sz="0" w:space="0" w:color="auto"/>
        <w:left w:val="none" w:sz="0" w:space="0" w:color="auto"/>
        <w:bottom w:val="none" w:sz="0" w:space="0" w:color="auto"/>
        <w:right w:val="none" w:sz="0" w:space="0" w:color="auto"/>
      </w:divBdr>
    </w:div>
    <w:div w:id="420759732">
      <w:bodyDiv w:val="1"/>
      <w:marLeft w:val="0"/>
      <w:marRight w:val="0"/>
      <w:marTop w:val="0"/>
      <w:marBottom w:val="0"/>
      <w:divBdr>
        <w:top w:val="none" w:sz="0" w:space="0" w:color="auto"/>
        <w:left w:val="none" w:sz="0" w:space="0" w:color="auto"/>
        <w:bottom w:val="none" w:sz="0" w:space="0" w:color="auto"/>
        <w:right w:val="none" w:sz="0" w:space="0" w:color="auto"/>
      </w:divBdr>
    </w:div>
    <w:div w:id="448670949">
      <w:bodyDiv w:val="1"/>
      <w:marLeft w:val="0"/>
      <w:marRight w:val="0"/>
      <w:marTop w:val="0"/>
      <w:marBottom w:val="0"/>
      <w:divBdr>
        <w:top w:val="none" w:sz="0" w:space="0" w:color="auto"/>
        <w:left w:val="none" w:sz="0" w:space="0" w:color="auto"/>
        <w:bottom w:val="none" w:sz="0" w:space="0" w:color="auto"/>
        <w:right w:val="none" w:sz="0" w:space="0" w:color="auto"/>
      </w:divBdr>
    </w:div>
    <w:div w:id="448862860">
      <w:bodyDiv w:val="1"/>
      <w:marLeft w:val="0"/>
      <w:marRight w:val="0"/>
      <w:marTop w:val="0"/>
      <w:marBottom w:val="0"/>
      <w:divBdr>
        <w:top w:val="none" w:sz="0" w:space="0" w:color="auto"/>
        <w:left w:val="none" w:sz="0" w:space="0" w:color="auto"/>
        <w:bottom w:val="none" w:sz="0" w:space="0" w:color="auto"/>
        <w:right w:val="none" w:sz="0" w:space="0" w:color="auto"/>
      </w:divBdr>
    </w:div>
    <w:div w:id="475803931">
      <w:bodyDiv w:val="1"/>
      <w:marLeft w:val="0"/>
      <w:marRight w:val="0"/>
      <w:marTop w:val="0"/>
      <w:marBottom w:val="0"/>
      <w:divBdr>
        <w:top w:val="none" w:sz="0" w:space="0" w:color="auto"/>
        <w:left w:val="none" w:sz="0" w:space="0" w:color="auto"/>
        <w:bottom w:val="none" w:sz="0" w:space="0" w:color="auto"/>
        <w:right w:val="none" w:sz="0" w:space="0" w:color="auto"/>
      </w:divBdr>
    </w:div>
    <w:div w:id="495725448">
      <w:bodyDiv w:val="1"/>
      <w:marLeft w:val="0"/>
      <w:marRight w:val="0"/>
      <w:marTop w:val="0"/>
      <w:marBottom w:val="0"/>
      <w:divBdr>
        <w:top w:val="none" w:sz="0" w:space="0" w:color="auto"/>
        <w:left w:val="none" w:sz="0" w:space="0" w:color="auto"/>
        <w:bottom w:val="none" w:sz="0" w:space="0" w:color="auto"/>
        <w:right w:val="none" w:sz="0" w:space="0" w:color="auto"/>
      </w:divBdr>
    </w:div>
    <w:div w:id="498234575">
      <w:bodyDiv w:val="1"/>
      <w:marLeft w:val="0"/>
      <w:marRight w:val="0"/>
      <w:marTop w:val="0"/>
      <w:marBottom w:val="0"/>
      <w:divBdr>
        <w:top w:val="none" w:sz="0" w:space="0" w:color="auto"/>
        <w:left w:val="none" w:sz="0" w:space="0" w:color="auto"/>
        <w:bottom w:val="none" w:sz="0" w:space="0" w:color="auto"/>
        <w:right w:val="none" w:sz="0" w:space="0" w:color="auto"/>
      </w:divBdr>
    </w:div>
    <w:div w:id="644550725">
      <w:bodyDiv w:val="1"/>
      <w:marLeft w:val="0"/>
      <w:marRight w:val="0"/>
      <w:marTop w:val="0"/>
      <w:marBottom w:val="0"/>
      <w:divBdr>
        <w:top w:val="none" w:sz="0" w:space="0" w:color="auto"/>
        <w:left w:val="none" w:sz="0" w:space="0" w:color="auto"/>
        <w:bottom w:val="none" w:sz="0" w:space="0" w:color="auto"/>
        <w:right w:val="none" w:sz="0" w:space="0" w:color="auto"/>
      </w:divBdr>
    </w:div>
    <w:div w:id="651909866">
      <w:bodyDiv w:val="1"/>
      <w:marLeft w:val="0"/>
      <w:marRight w:val="0"/>
      <w:marTop w:val="0"/>
      <w:marBottom w:val="0"/>
      <w:divBdr>
        <w:top w:val="none" w:sz="0" w:space="0" w:color="auto"/>
        <w:left w:val="none" w:sz="0" w:space="0" w:color="auto"/>
        <w:bottom w:val="none" w:sz="0" w:space="0" w:color="auto"/>
        <w:right w:val="none" w:sz="0" w:space="0" w:color="auto"/>
      </w:divBdr>
    </w:div>
    <w:div w:id="659891617">
      <w:bodyDiv w:val="1"/>
      <w:marLeft w:val="0"/>
      <w:marRight w:val="0"/>
      <w:marTop w:val="0"/>
      <w:marBottom w:val="0"/>
      <w:divBdr>
        <w:top w:val="none" w:sz="0" w:space="0" w:color="auto"/>
        <w:left w:val="none" w:sz="0" w:space="0" w:color="auto"/>
        <w:bottom w:val="none" w:sz="0" w:space="0" w:color="auto"/>
        <w:right w:val="none" w:sz="0" w:space="0" w:color="auto"/>
      </w:divBdr>
    </w:div>
    <w:div w:id="688724179">
      <w:bodyDiv w:val="1"/>
      <w:marLeft w:val="0"/>
      <w:marRight w:val="0"/>
      <w:marTop w:val="0"/>
      <w:marBottom w:val="0"/>
      <w:divBdr>
        <w:top w:val="none" w:sz="0" w:space="0" w:color="auto"/>
        <w:left w:val="none" w:sz="0" w:space="0" w:color="auto"/>
        <w:bottom w:val="none" w:sz="0" w:space="0" w:color="auto"/>
        <w:right w:val="none" w:sz="0" w:space="0" w:color="auto"/>
      </w:divBdr>
    </w:div>
    <w:div w:id="694816776">
      <w:bodyDiv w:val="1"/>
      <w:marLeft w:val="0"/>
      <w:marRight w:val="0"/>
      <w:marTop w:val="0"/>
      <w:marBottom w:val="0"/>
      <w:divBdr>
        <w:top w:val="none" w:sz="0" w:space="0" w:color="auto"/>
        <w:left w:val="none" w:sz="0" w:space="0" w:color="auto"/>
        <w:bottom w:val="none" w:sz="0" w:space="0" w:color="auto"/>
        <w:right w:val="none" w:sz="0" w:space="0" w:color="auto"/>
      </w:divBdr>
    </w:div>
    <w:div w:id="765926567">
      <w:bodyDiv w:val="1"/>
      <w:marLeft w:val="0"/>
      <w:marRight w:val="0"/>
      <w:marTop w:val="0"/>
      <w:marBottom w:val="0"/>
      <w:divBdr>
        <w:top w:val="none" w:sz="0" w:space="0" w:color="auto"/>
        <w:left w:val="none" w:sz="0" w:space="0" w:color="auto"/>
        <w:bottom w:val="none" w:sz="0" w:space="0" w:color="auto"/>
        <w:right w:val="none" w:sz="0" w:space="0" w:color="auto"/>
      </w:divBdr>
    </w:div>
    <w:div w:id="770509090">
      <w:bodyDiv w:val="1"/>
      <w:marLeft w:val="0"/>
      <w:marRight w:val="0"/>
      <w:marTop w:val="0"/>
      <w:marBottom w:val="0"/>
      <w:divBdr>
        <w:top w:val="none" w:sz="0" w:space="0" w:color="auto"/>
        <w:left w:val="none" w:sz="0" w:space="0" w:color="auto"/>
        <w:bottom w:val="none" w:sz="0" w:space="0" w:color="auto"/>
        <w:right w:val="none" w:sz="0" w:space="0" w:color="auto"/>
      </w:divBdr>
    </w:div>
    <w:div w:id="872886403">
      <w:bodyDiv w:val="1"/>
      <w:marLeft w:val="0"/>
      <w:marRight w:val="0"/>
      <w:marTop w:val="0"/>
      <w:marBottom w:val="0"/>
      <w:divBdr>
        <w:top w:val="none" w:sz="0" w:space="0" w:color="auto"/>
        <w:left w:val="none" w:sz="0" w:space="0" w:color="auto"/>
        <w:bottom w:val="none" w:sz="0" w:space="0" w:color="auto"/>
        <w:right w:val="none" w:sz="0" w:space="0" w:color="auto"/>
      </w:divBdr>
    </w:div>
    <w:div w:id="904604728">
      <w:bodyDiv w:val="1"/>
      <w:marLeft w:val="0"/>
      <w:marRight w:val="0"/>
      <w:marTop w:val="0"/>
      <w:marBottom w:val="0"/>
      <w:divBdr>
        <w:top w:val="none" w:sz="0" w:space="0" w:color="auto"/>
        <w:left w:val="none" w:sz="0" w:space="0" w:color="auto"/>
        <w:bottom w:val="none" w:sz="0" w:space="0" w:color="auto"/>
        <w:right w:val="none" w:sz="0" w:space="0" w:color="auto"/>
      </w:divBdr>
    </w:div>
    <w:div w:id="930117826">
      <w:bodyDiv w:val="1"/>
      <w:marLeft w:val="0"/>
      <w:marRight w:val="0"/>
      <w:marTop w:val="0"/>
      <w:marBottom w:val="0"/>
      <w:divBdr>
        <w:top w:val="none" w:sz="0" w:space="0" w:color="auto"/>
        <w:left w:val="none" w:sz="0" w:space="0" w:color="auto"/>
        <w:bottom w:val="none" w:sz="0" w:space="0" w:color="auto"/>
        <w:right w:val="none" w:sz="0" w:space="0" w:color="auto"/>
      </w:divBdr>
    </w:div>
    <w:div w:id="963274585">
      <w:bodyDiv w:val="1"/>
      <w:marLeft w:val="0"/>
      <w:marRight w:val="0"/>
      <w:marTop w:val="0"/>
      <w:marBottom w:val="0"/>
      <w:divBdr>
        <w:top w:val="none" w:sz="0" w:space="0" w:color="auto"/>
        <w:left w:val="none" w:sz="0" w:space="0" w:color="auto"/>
        <w:bottom w:val="none" w:sz="0" w:space="0" w:color="auto"/>
        <w:right w:val="none" w:sz="0" w:space="0" w:color="auto"/>
      </w:divBdr>
    </w:div>
    <w:div w:id="967278041">
      <w:bodyDiv w:val="1"/>
      <w:marLeft w:val="0"/>
      <w:marRight w:val="0"/>
      <w:marTop w:val="0"/>
      <w:marBottom w:val="0"/>
      <w:divBdr>
        <w:top w:val="none" w:sz="0" w:space="0" w:color="auto"/>
        <w:left w:val="none" w:sz="0" w:space="0" w:color="auto"/>
        <w:bottom w:val="none" w:sz="0" w:space="0" w:color="auto"/>
        <w:right w:val="none" w:sz="0" w:space="0" w:color="auto"/>
      </w:divBdr>
    </w:div>
    <w:div w:id="1093821897">
      <w:bodyDiv w:val="1"/>
      <w:marLeft w:val="0"/>
      <w:marRight w:val="0"/>
      <w:marTop w:val="0"/>
      <w:marBottom w:val="0"/>
      <w:divBdr>
        <w:top w:val="none" w:sz="0" w:space="0" w:color="auto"/>
        <w:left w:val="none" w:sz="0" w:space="0" w:color="auto"/>
        <w:bottom w:val="none" w:sz="0" w:space="0" w:color="auto"/>
        <w:right w:val="none" w:sz="0" w:space="0" w:color="auto"/>
      </w:divBdr>
    </w:div>
    <w:div w:id="1159266444">
      <w:bodyDiv w:val="1"/>
      <w:marLeft w:val="0"/>
      <w:marRight w:val="0"/>
      <w:marTop w:val="0"/>
      <w:marBottom w:val="0"/>
      <w:divBdr>
        <w:top w:val="none" w:sz="0" w:space="0" w:color="auto"/>
        <w:left w:val="none" w:sz="0" w:space="0" w:color="auto"/>
        <w:bottom w:val="none" w:sz="0" w:space="0" w:color="auto"/>
        <w:right w:val="none" w:sz="0" w:space="0" w:color="auto"/>
      </w:divBdr>
    </w:div>
    <w:div w:id="1159732995">
      <w:bodyDiv w:val="1"/>
      <w:marLeft w:val="0"/>
      <w:marRight w:val="0"/>
      <w:marTop w:val="0"/>
      <w:marBottom w:val="0"/>
      <w:divBdr>
        <w:top w:val="none" w:sz="0" w:space="0" w:color="auto"/>
        <w:left w:val="none" w:sz="0" w:space="0" w:color="auto"/>
        <w:bottom w:val="none" w:sz="0" w:space="0" w:color="auto"/>
        <w:right w:val="none" w:sz="0" w:space="0" w:color="auto"/>
      </w:divBdr>
    </w:div>
    <w:div w:id="1218904298">
      <w:bodyDiv w:val="1"/>
      <w:marLeft w:val="0"/>
      <w:marRight w:val="0"/>
      <w:marTop w:val="0"/>
      <w:marBottom w:val="0"/>
      <w:divBdr>
        <w:top w:val="none" w:sz="0" w:space="0" w:color="auto"/>
        <w:left w:val="none" w:sz="0" w:space="0" w:color="auto"/>
        <w:bottom w:val="none" w:sz="0" w:space="0" w:color="auto"/>
        <w:right w:val="none" w:sz="0" w:space="0" w:color="auto"/>
      </w:divBdr>
    </w:div>
    <w:div w:id="1241211284">
      <w:bodyDiv w:val="1"/>
      <w:marLeft w:val="0"/>
      <w:marRight w:val="0"/>
      <w:marTop w:val="0"/>
      <w:marBottom w:val="0"/>
      <w:divBdr>
        <w:top w:val="none" w:sz="0" w:space="0" w:color="auto"/>
        <w:left w:val="none" w:sz="0" w:space="0" w:color="auto"/>
        <w:bottom w:val="none" w:sz="0" w:space="0" w:color="auto"/>
        <w:right w:val="none" w:sz="0" w:space="0" w:color="auto"/>
      </w:divBdr>
    </w:div>
    <w:div w:id="1272667373">
      <w:bodyDiv w:val="1"/>
      <w:marLeft w:val="0"/>
      <w:marRight w:val="0"/>
      <w:marTop w:val="0"/>
      <w:marBottom w:val="0"/>
      <w:divBdr>
        <w:top w:val="none" w:sz="0" w:space="0" w:color="auto"/>
        <w:left w:val="none" w:sz="0" w:space="0" w:color="auto"/>
        <w:bottom w:val="none" w:sz="0" w:space="0" w:color="auto"/>
        <w:right w:val="none" w:sz="0" w:space="0" w:color="auto"/>
      </w:divBdr>
    </w:div>
    <w:div w:id="1276209120">
      <w:bodyDiv w:val="1"/>
      <w:marLeft w:val="0"/>
      <w:marRight w:val="0"/>
      <w:marTop w:val="0"/>
      <w:marBottom w:val="0"/>
      <w:divBdr>
        <w:top w:val="none" w:sz="0" w:space="0" w:color="auto"/>
        <w:left w:val="none" w:sz="0" w:space="0" w:color="auto"/>
        <w:bottom w:val="none" w:sz="0" w:space="0" w:color="auto"/>
        <w:right w:val="none" w:sz="0" w:space="0" w:color="auto"/>
      </w:divBdr>
    </w:div>
    <w:div w:id="1290742352">
      <w:bodyDiv w:val="1"/>
      <w:marLeft w:val="0"/>
      <w:marRight w:val="0"/>
      <w:marTop w:val="0"/>
      <w:marBottom w:val="0"/>
      <w:divBdr>
        <w:top w:val="none" w:sz="0" w:space="0" w:color="auto"/>
        <w:left w:val="none" w:sz="0" w:space="0" w:color="auto"/>
        <w:bottom w:val="none" w:sz="0" w:space="0" w:color="auto"/>
        <w:right w:val="none" w:sz="0" w:space="0" w:color="auto"/>
      </w:divBdr>
    </w:div>
    <w:div w:id="1302079774">
      <w:bodyDiv w:val="1"/>
      <w:marLeft w:val="0"/>
      <w:marRight w:val="0"/>
      <w:marTop w:val="0"/>
      <w:marBottom w:val="0"/>
      <w:divBdr>
        <w:top w:val="none" w:sz="0" w:space="0" w:color="auto"/>
        <w:left w:val="none" w:sz="0" w:space="0" w:color="auto"/>
        <w:bottom w:val="none" w:sz="0" w:space="0" w:color="auto"/>
        <w:right w:val="none" w:sz="0" w:space="0" w:color="auto"/>
      </w:divBdr>
    </w:div>
    <w:div w:id="1353724066">
      <w:bodyDiv w:val="1"/>
      <w:marLeft w:val="0"/>
      <w:marRight w:val="0"/>
      <w:marTop w:val="0"/>
      <w:marBottom w:val="0"/>
      <w:divBdr>
        <w:top w:val="none" w:sz="0" w:space="0" w:color="auto"/>
        <w:left w:val="none" w:sz="0" w:space="0" w:color="auto"/>
        <w:bottom w:val="none" w:sz="0" w:space="0" w:color="auto"/>
        <w:right w:val="none" w:sz="0" w:space="0" w:color="auto"/>
      </w:divBdr>
    </w:div>
    <w:div w:id="1360472587">
      <w:bodyDiv w:val="1"/>
      <w:marLeft w:val="0"/>
      <w:marRight w:val="0"/>
      <w:marTop w:val="0"/>
      <w:marBottom w:val="0"/>
      <w:divBdr>
        <w:top w:val="none" w:sz="0" w:space="0" w:color="auto"/>
        <w:left w:val="none" w:sz="0" w:space="0" w:color="auto"/>
        <w:bottom w:val="none" w:sz="0" w:space="0" w:color="auto"/>
        <w:right w:val="none" w:sz="0" w:space="0" w:color="auto"/>
      </w:divBdr>
    </w:div>
    <w:div w:id="1430808038">
      <w:bodyDiv w:val="1"/>
      <w:marLeft w:val="0"/>
      <w:marRight w:val="0"/>
      <w:marTop w:val="0"/>
      <w:marBottom w:val="0"/>
      <w:divBdr>
        <w:top w:val="none" w:sz="0" w:space="0" w:color="auto"/>
        <w:left w:val="none" w:sz="0" w:space="0" w:color="auto"/>
        <w:bottom w:val="none" w:sz="0" w:space="0" w:color="auto"/>
        <w:right w:val="none" w:sz="0" w:space="0" w:color="auto"/>
      </w:divBdr>
    </w:div>
    <w:div w:id="1523400795">
      <w:bodyDiv w:val="1"/>
      <w:marLeft w:val="0"/>
      <w:marRight w:val="0"/>
      <w:marTop w:val="0"/>
      <w:marBottom w:val="0"/>
      <w:divBdr>
        <w:top w:val="none" w:sz="0" w:space="0" w:color="auto"/>
        <w:left w:val="none" w:sz="0" w:space="0" w:color="auto"/>
        <w:bottom w:val="none" w:sz="0" w:space="0" w:color="auto"/>
        <w:right w:val="none" w:sz="0" w:space="0" w:color="auto"/>
      </w:divBdr>
    </w:div>
    <w:div w:id="1587611764">
      <w:bodyDiv w:val="1"/>
      <w:marLeft w:val="0"/>
      <w:marRight w:val="0"/>
      <w:marTop w:val="0"/>
      <w:marBottom w:val="0"/>
      <w:divBdr>
        <w:top w:val="none" w:sz="0" w:space="0" w:color="auto"/>
        <w:left w:val="none" w:sz="0" w:space="0" w:color="auto"/>
        <w:bottom w:val="none" w:sz="0" w:space="0" w:color="auto"/>
        <w:right w:val="none" w:sz="0" w:space="0" w:color="auto"/>
      </w:divBdr>
    </w:div>
    <w:div w:id="1672024355">
      <w:bodyDiv w:val="1"/>
      <w:marLeft w:val="0"/>
      <w:marRight w:val="0"/>
      <w:marTop w:val="0"/>
      <w:marBottom w:val="0"/>
      <w:divBdr>
        <w:top w:val="none" w:sz="0" w:space="0" w:color="auto"/>
        <w:left w:val="none" w:sz="0" w:space="0" w:color="auto"/>
        <w:bottom w:val="none" w:sz="0" w:space="0" w:color="auto"/>
        <w:right w:val="none" w:sz="0" w:space="0" w:color="auto"/>
      </w:divBdr>
    </w:div>
    <w:div w:id="1699349424">
      <w:bodyDiv w:val="1"/>
      <w:marLeft w:val="0"/>
      <w:marRight w:val="0"/>
      <w:marTop w:val="0"/>
      <w:marBottom w:val="0"/>
      <w:divBdr>
        <w:top w:val="none" w:sz="0" w:space="0" w:color="auto"/>
        <w:left w:val="none" w:sz="0" w:space="0" w:color="auto"/>
        <w:bottom w:val="none" w:sz="0" w:space="0" w:color="auto"/>
        <w:right w:val="none" w:sz="0" w:space="0" w:color="auto"/>
      </w:divBdr>
    </w:div>
    <w:div w:id="1834637790">
      <w:bodyDiv w:val="1"/>
      <w:marLeft w:val="0"/>
      <w:marRight w:val="0"/>
      <w:marTop w:val="0"/>
      <w:marBottom w:val="0"/>
      <w:divBdr>
        <w:top w:val="none" w:sz="0" w:space="0" w:color="auto"/>
        <w:left w:val="none" w:sz="0" w:space="0" w:color="auto"/>
        <w:bottom w:val="none" w:sz="0" w:space="0" w:color="auto"/>
        <w:right w:val="none" w:sz="0" w:space="0" w:color="auto"/>
      </w:divBdr>
    </w:div>
    <w:div w:id="1864436259">
      <w:bodyDiv w:val="1"/>
      <w:marLeft w:val="0"/>
      <w:marRight w:val="0"/>
      <w:marTop w:val="0"/>
      <w:marBottom w:val="0"/>
      <w:divBdr>
        <w:top w:val="none" w:sz="0" w:space="0" w:color="auto"/>
        <w:left w:val="none" w:sz="0" w:space="0" w:color="auto"/>
        <w:bottom w:val="none" w:sz="0" w:space="0" w:color="auto"/>
        <w:right w:val="none" w:sz="0" w:space="0" w:color="auto"/>
      </w:divBdr>
    </w:div>
    <w:div w:id="1891532064">
      <w:bodyDiv w:val="1"/>
      <w:marLeft w:val="0"/>
      <w:marRight w:val="0"/>
      <w:marTop w:val="0"/>
      <w:marBottom w:val="0"/>
      <w:divBdr>
        <w:top w:val="none" w:sz="0" w:space="0" w:color="auto"/>
        <w:left w:val="none" w:sz="0" w:space="0" w:color="auto"/>
        <w:bottom w:val="none" w:sz="0" w:space="0" w:color="auto"/>
        <w:right w:val="none" w:sz="0" w:space="0" w:color="auto"/>
      </w:divBdr>
    </w:div>
    <w:div w:id="1908686942">
      <w:bodyDiv w:val="1"/>
      <w:marLeft w:val="0"/>
      <w:marRight w:val="0"/>
      <w:marTop w:val="0"/>
      <w:marBottom w:val="0"/>
      <w:divBdr>
        <w:top w:val="none" w:sz="0" w:space="0" w:color="auto"/>
        <w:left w:val="none" w:sz="0" w:space="0" w:color="auto"/>
        <w:bottom w:val="none" w:sz="0" w:space="0" w:color="auto"/>
        <w:right w:val="none" w:sz="0" w:space="0" w:color="auto"/>
      </w:divBdr>
    </w:div>
    <w:div w:id="1979410760">
      <w:bodyDiv w:val="1"/>
      <w:marLeft w:val="0"/>
      <w:marRight w:val="0"/>
      <w:marTop w:val="0"/>
      <w:marBottom w:val="0"/>
      <w:divBdr>
        <w:top w:val="none" w:sz="0" w:space="0" w:color="auto"/>
        <w:left w:val="none" w:sz="0" w:space="0" w:color="auto"/>
        <w:bottom w:val="none" w:sz="0" w:space="0" w:color="auto"/>
        <w:right w:val="none" w:sz="0" w:space="0" w:color="auto"/>
      </w:divBdr>
    </w:div>
    <w:div w:id="2031910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Bey12</b:Tag>
    <b:SourceType>DocumentFromInternetSite</b:SourceType>
    <b:Guid>{209B139E-EE2C-4EA6-BF3C-BC3C3CBED63E}</b:Guid>
    <b:Author>
      <b:Author>
        <b:NameList>
          <b:Person>
            <b:Last>Beyza Bayarcelik</b:Last>
            <b:First>Ebru</b:First>
          </b:Person>
          <b:Person>
            <b:Last>Tasel</b:Last>
            <b:First>Fulya</b:First>
          </b:Person>
        </b:NameList>
      </b:Author>
    </b:Author>
    <b:Title>Research and Development: Source of Economic Growth</b:Title>
    <b:InternetSiteTitle>El Sevier</b:InternetSiteTitle>
    <b:Year>2012</b:Year>
    <b:YearAccessed>2019</b:YearAccessed>
    <b:MonthAccessed>April</b:MonthAccessed>
    <b:DayAccessed>12</b:DayAccessed>
    <b:URL>https://ac.els-cdn.com/S1877042812045144/1-s2.0-S1877042812045144-main.pdf?_tid=c22ab6db-aed9-4e09-9723-c6e907820b70&amp;acdnat=1555389229_5d04d41528e045e0bf8437375d58ad46</b:URL>
    <b:RefOrder>6</b:RefOrder>
  </b:Source>
  <b:Source>
    <b:Tag>Hel98</b:Tag>
    <b:SourceType>Book</b:SourceType>
    <b:Guid>{6A4A463F-B23F-407B-9492-C8ED78DAFD14}</b:Guid>
    <b:Author>
      <b:Author>
        <b:NameList>
          <b:Person>
            <b:Last>Helpman</b:Last>
            <b:First>Ethanan</b:First>
          </b:Person>
        </b:NameList>
      </b:Author>
    </b:Author>
    <b:Title>General Purpose Technologies and Economic Growth</b:Title>
    <b:Year>1998</b:Year>
    <b:City>Cambridge</b:City>
    <b:Publisher>MIT Press</b:Publisher>
    <b:RefOrder>7</b:RefOrder>
  </b:Source>
  <b:Source>
    <b:Tag>How98</b:Tag>
    <b:SourceType>BookSection</b:SourceType>
    <b:Guid>{56E7907C-393E-492C-B474-59370BC03A0A}</b:Guid>
    <b:Title>Measurement, Obsolescence, and General Purpose Technologies</b:Title>
    <b:Year>1998</b:Year>
    <b:City>Cambridge</b:City>
    <b:Publisher>MIT Press</b:Publisher>
    <b:Author>
      <b:Author>
        <b:NameList>
          <b:Person>
            <b:Last>Howitt</b:Last>
            <b:First>Peter</b:First>
          </b:Person>
        </b:NameList>
      </b:Author>
      <b:BookAuthor>
        <b:NameList>
          <b:Person>
            <b:Last>Helpman</b:Last>
            <b:First>Ethanan</b:First>
          </b:Person>
        </b:NameList>
      </b:BookAuthor>
    </b:Author>
    <b:BookTitle>General Purpose Technologies and Economic Growth</b:BookTitle>
    <b:Pages>219-252</b:Pages>
    <b:RefOrder>8</b:RefOrder>
  </b:Source>
  <b:Source>
    <b:Tag>Elh98</b:Tag>
    <b:SourceType>BookSection</b:SourceType>
    <b:Guid>{F85C805C-910E-413E-B5D6-C6F31091F8FD}</b:Guid>
    <b:Author>
      <b:Author>
        <b:NameList>
          <b:Person>
            <b:Last>Helpman</b:Last>
            <b:First>Elhanan</b:First>
          </b:Person>
          <b:Person>
            <b:Last>Trajtenberg</b:Last>
            <b:First>Manuel</b:First>
          </b:Person>
        </b:NameList>
      </b:Author>
      <b:BookAuthor>
        <b:NameList>
          <b:Person>
            <b:Last>Helpman</b:Last>
            <b:First>Ethanan</b:First>
          </b:Person>
        </b:NameList>
      </b:BookAuthor>
    </b:Author>
    <b:Title>A Time to Sow and a Time to Reap: Growth Based on General Purpose Technologies</b:Title>
    <b:BookTitle>General Purpose Technologies and Economic Growth</b:BookTitle>
    <b:Year>1998</b:Year>
    <b:Pages>55-84</b:Pages>
    <b:City>Cambridge</b:City>
    <b:Publisher>MIT Press</b:Publisher>
    <b:RefOrder>9</b:RefOrder>
  </b:Source>
  <b:Source>
    <b:Tag>Rep13</b:Tag>
    <b:SourceType>DocumentFromInternetSite</b:SourceType>
    <b:Guid>{C458EA69-ACD4-43C4-9789-D9366764D17C}</b:Guid>
    <b:Title>Report of the Secretary-General on “Science, technology and innovation, and the potential of</b:Title>
    <b:Year>2013</b:Year>
    <b:InternetSiteTitle>United Nations ECOSOC</b:InternetSiteTitle>
    <b:Month>April</b:Month>
    <b:YearAccessed>2019</b:YearAccessed>
    <b:MonthAccessed>April</b:MonthAccessed>
    <b:DayAccessed>15</b:DayAccessed>
    <b:URL>https://www.un.org/en/ecosoc/docs/adv2013/13_amr_sg_report.pdf</b:URL>
    <b:RefOrder>15</b:RefOrder>
  </b:Source>
  <b:Source>
    <b:Tag>Onl19</b:Tag>
    <b:SourceType>DocumentFromInternetSite</b:SourceType>
    <b:Guid>{79CB9ED3-7965-43EE-9D9D-50175DEFC8E7}</b:Guid>
    <b:Title>Online Information Repository for the STI Roadmaps Work</b:Title>
    <b:InternetSiteTitle>UN Sustainable Development</b:InternetSiteTitle>
    <b:YearAccessed>2019</b:YearAccessed>
    <b:MonthAccessed>April</b:MonthAccessed>
    <b:DayAccessed>16</b:DayAccessed>
    <b:URL>https://sustainabledevelopment.un.org/tfm</b:URL>
    <b:RefOrder>16</b:RefOrder>
  </b:Source>
  <b:Source>
    <b:Tag>DrT16</b:Tag>
    <b:SourceType>DocumentFromInternetSite</b:SourceType>
    <b:Guid>{603B73D3-ED9B-46CE-8030-3629266897B1}</b:Guid>
    <b:Author>
      <b:Author>
        <b:NameList>
          <b:Person>
            <b:Last>Kelly</b:Last>
            <b:First>Dr.</b:First>
            <b:Middle>Tim</b:Middle>
          </b:Person>
          <b:Person>
            <b:Last>Firestone</b:Last>
            <b:First>Rachel</b:First>
          </b:Person>
        </b:NameList>
      </b:Author>
    </b:Author>
    <b:Title>How Tech Hubs are helping to Drive Economic Growth in Africa</b:Title>
    <b:InternetSiteTitle>World Bank Group</b:InternetSiteTitle>
    <b:Year>2016</b:Year>
    <b:YearAccessed>2019</b:YearAccessed>
    <b:MonthAccessed>April</b:MonthAccessed>
    <b:DayAccessed>15</b:DayAccessed>
    <b:URL>https://openknowledge.worldbank.org/bitstream/handle/10986/23645/WDR16-BP-How-Tech-Hubs-are-helping-to-Drive-Economic-Growth-in-Africa-Kelly-Firestone.pdf?sequence=1&amp;isAllowed=y</b:URL>
    <b:RefOrder>3</b:RefOrder>
  </b:Source>
  <b:Source>
    <b:Tag>Mar18</b:Tag>
    <b:SourceType>DocumentFromInternetSite</b:SourceType>
    <b:Guid>{B97938C6-5B2C-479A-8EC3-61BD4DCA6FD6}</b:Guid>
    <b:Author>
      <b:Author>
        <b:NameList>
          <b:Person>
            <b:Last>Mühleisen</b:Last>
            <b:First>Martin</b:First>
          </b:Person>
        </b:NameList>
      </b:Author>
    </b:Author>
    <b:Title>The Long and Short of The Digital Revolution</b:Title>
    <b:InternetSiteTitle>International Monetary Fund</b:InternetSiteTitle>
    <b:Year>2018</b:Year>
    <b:Month>June</b:Month>
    <b:YearAccessed>2019</b:YearAccessed>
    <b:MonthAccessed>April</b:MonthAccessed>
    <b:DayAccessed>17</b:DayAccessed>
    <b:URL>https://www.imf.org/external/pubs/ft/fandd/2018/06/impact-of-digital-technology-on-economic-growth/muhleisen.htm</b:URL>
    <b:RefOrder>1</b:RefOrder>
  </b:Source>
  <b:Source>
    <b:Tag>Joe18</b:Tag>
    <b:SourceType>DocumentFromInternetSite</b:SourceType>
    <b:Guid>{0ED96E94-5D60-4159-9EEA-332140617D0B}</b:Guid>
    <b:Author>
      <b:Author>
        <b:NameList>
          <b:Person>
            <b:Last>Mokyr</b:Last>
            <b:First>Joel</b:First>
          </b:Person>
        </b:NameList>
      </b:Author>
    </b:Author>
    <b:Title>Building Taller Ladders</b:Title>
    <b:InternetSiteTitle>International Monetary Fund</b:InternetSiteTitle>
    <b:Year>2018</b:Year>
    <b:Month>June</b:Month>
    <b:YearAccessed>2019</b:YearAccessed>
    <b:MonthAccessed>April</b:MonthAccessed>
    <b:DayAccessed>15</b:DayAccessed>
    <b:URL>https://www.imf.org/external/pubs/ft/fandd/2018/06/impact-of-science-and-technology-on-global-economic-growth/mokyr.htm</b:URL>
    <b:RefOrder>2</b:RefOrder>
  </b:Source>
  <b:Source>
    <b:Tag>Gre97</b:Tag>
    <b:SourceType>JournalArticle</b:SourceType>
    <b:Guid>{F0D24EA2-675E-4111-8E55-6F9C9E387CA1}</b:Guid>
    <b:Author>
      <b:Author>
        <b:NameList>
          <b:Person>
            <b:Last>Greenwood</b:Last>
            <b:First>Jeremy</b:First>
          </b:Person>
          <b:Person>
            <b:Last>Yorukoglu</b:Last>
            <b:First>Mehmet</b:First>
          </b:Person>
        </b:NameList>
      </b:Author>
    </b:Author>
    <b:Title>1974</b:Title>
    <b:Year>1997</b:Year>
    <b:Month>June</b:Month>
    <b:JournalName>Carnegie-Rochester Conference Series on Public Policy</b:JournalName>
    <b:Pages>49-95</b:Pages>
    <b:Volume>45</b:Volume>
    <b:RefOrder>17</b:RefOrder>
  </b:Source>
  <b:Source>
    <b:Tag>Sol19</b:Tag>
    <b:SourceType>DocumentFromInternetSite</b:SourceType>
    <b:Guid>{DDC7653F-98FA-426C-8949-166E0C0B8018}</b:Guid>
    <b:Title>Solow Growth Model</b:Title>
    <b:InternetSiteTitle>University of Pittsburgh</b:InternetSiteTitle>
    <b:YearAccessed>2019</b:YearAccessed>
    <b:MonthAccessed>April</b:MonthAccessed>
    <b:DayAccessed>15</b:DayAccessed>
    <b:URL>https://www.pitt.edu/~mgahagan/Solow.htm</b:URL>
    <b:RefOrder>4</b:RefOrder>
  </b:Source>
  <b:Source>
    <b:Tag>Dar11</b:Tag>
    <b:SourceType>DocumentFromInternetSite</b:SourceType>
    <b:Guid>{BE82480D-13C0-42A3-AD74-7E832BE1830A}</b:Guid>
    <b:Author>
      <b:Author>
        <b:NameList>
          <b:Person>
            <b:Last>Acemoglu</b:Last>
            <b:First>Daron</b:First>
          </b:Person>
        </b:NameList>
      </b:Author>
    </b:Author>
    <b:Title>Economic Growth: Lectures 2 and 3: The Solow Growth Model</b:Title>
    <b:InternetSiteTitle>MIT Economics</b:InternetSiteTitle>
    <b:Year>2011</b:Year>
    <b:Month>November</b:Month>
    <b:YearAccessed>2019</b:YearAccessed>
    <b:MonthAccessed>April</b:MonthAccessed>
    <b:DayAccessed>15</b:DayAccessed>
    <b:URL>https://economics.mit.edu/files/7181</b:URL>
    <b:RefOrder>5</b:RefOrder>
  </b:Source>
  <b:Source>
    <b:Tag>Lun05</b:Tag>
    <b:SourceType>BookSection</b:SourceType>
    <b:Guid>{CE684792-EEB6-4951-9A84-3B6B5D50A5F0}</b:Guid>
    <b:Author>
      <b:Author>
        <b:NameList>
          <b:Person>
            <b:Last>Lundvall</b:Last>
            <b:First>Bengt-Åke</b:First>
          </b:Person>
          <b:Person>
            <b:Last>Borrás</b:Last>
            <b:First>Susana</b:First>
          </b:Person>
        </b:NameList>
      </b:Author>
    </b:Author>
    <b:Title>Science, Technology and Innovation Policy</b:Title>
    <b:Year>2005</b:Year>
    <b:URL>http://www.oxfordhandbooks.com/view/10.1093/oxfordhb/9780199286805.001.0001/oxfordhb-9780199286805-e-22</b:URL>
    <b:BookTitle>The Oxford Handbook of Innovation</b:BookTitle>
    <b:Pages>599-631</b:Pages>
    <b:City>Oxford</b:City>
    <b:Publisher>Oxford University Press)</b:Publisher>
    <b:RefOrder>18</b:RefOrder>
  </b:Source>
  <b:Source>
    <b:Tag>Inf</b:Tag>
    <b:SourceType>Book</b:SourceType>
    <b:Guid>{EC22396B-F42C-48D6-998A-EFD57DCD9460}</b:Guid>
    <b:Title>Information technology, Productivity, and Economic Growth: International Evidence and Implications for Economic Development,</b:Title>
    <b:Author>
      <b:Author>
        <b:NameList>
          <b:Person>
            <b:Last>Pohjola</b:Last>
            <b:First>Matti</b:First>
          </b:Person>
        </b:NameList>
      </b:Author>
    </b:Author>
    <b:Year>2001</b:Year>
    <b:City>Oxford</b:City>
    <b:Publisher>Oxford University Press</b:Publisher>
    <b:RefOrder>19</b:RefOrder>
  </b:Source>
  <b:Source>
    <b:Tag>Inn17</b:Tag>
    <b:SourceType>Report</b:SourceType>
    <b:Guid>{A2761DC4-1605-49F7-97CA-483D72223639}</b:Guid>
    <b:Title>Innovation Policy for Inclusive Sustainable Development in the Arab Region</b:Title>
    <b:Year>2017</b:Year>
    <b:City>Beirut</b:City>
    <b:Publisher>United Nations Economic and Social Commission for Western Asia</b:Publisher>
    <b:ThesisType>Information</b:ThesisType>
    <b:RefOrder>10</b:RefOrder>
  </b:Source>
  <b:Source>
    <b:Tag>Ben06</b:Tag>
    <b:SourceType>BookSection</b:SourceType>
    <b:Guid>{456C09C5-FE6B-43BD-8930-C16704EB4849}</b:Guid>
    <b:Title>Science, Technology, and Innovation Policy</b:Title>
    <b:Year>2006</b:Year>
    <b:Publisher>Oxford University Press</b:Publisher>
    <b:City>Oxford</b:City>
    <b:Author>
      <b:Author>
        <b:NameList>
          <b:Person>
            <b:Last>Lundvall</b:Last>
            <b:First>Bengt-Åke</b:First>
          </b:Person>
          <b:Person>
            <b:Last>Borrás</b:Last>
            <b:First>Susana</b:First>
          </b:Person>
        </b:NameList>
      </b:Author>
    </b:Author>
    <b:BookTitle>The Oxford Handbook of Innovation</b:BookTitle>
    <b:RefOrder>20</b:RefOrder>
  </b:Source>
  <b:Source>
    <b:Tag>Reg16</b:Tag>
    <b:SourceType>DocumentFromInternetSite</b:SourceType>
    <b:Guid>{C7D72D20-189C-45B4-8BFA-B87A31324056}</b:Guid>
    <b:Title>The Middle East Is Ripe For Technology Entrepreneurship</b:Title>
    <b:Year>2016</b:Year>
    <b:Author>
      <b:Author>
        <b:NameList>
          <b:Person>
            <b:Last>Bradford</b:Last>
            <b:First>Reggie</b:First>
          </b:Person>
        </b:NameList>
      </b:Author>
    </b:Author>
    <b:InternetSiteTitle>Entrepreneur Middle East</b:InternetSiteTitle>
    <b:Month>February</b:Month>
    <b:Day>10</b:Day>
    <b:YearAccessed>2019</b:YearAccessed>
    <b:MonthAccessed>April</b:MonthAccessed>
    <b:DayAccessed>15</b:DayAccessed>
    <b:URL>https://www.entrepreneur.com/article/270594</b:URL>
    <b:RefOrder>11</b:RefOrder>
  </b:Source>
  <b:Source>
    <b:Tag>Sam17</b:Tag>
    <b:SourceType>DocumentFromInternetSite</b:SourceType>
    <b:Guid>{9B4A9264-048B-47B9-A5BE-A9A7C48C6D65}</b:Guid>
    <b:Author>
      <b:Author>
        <b:NameList>
          <b:Person>
            <b:Last>Blatteis</b:Last>
            <b:First>Sam</b:First>
          </b:Person>
        </b:NameList>
      </b:Author>
    </b:Author>
    <b:Title>Inside The MENA High Tech Boom</b:Title>
    <b:InternetSiteTitle>Entrepreneur Middle East</b:InternetSiteTitle>
    <b:Year>2017</b:Year>
    <b:Month>November</b:Month>
    <b:Day>8</b:Day>
    <b:YearAccessed>2019</b:YearAccessed>
    <b:MonthAccessed>April</b:MonthAccessed>
    <b:DayAccessed>15</b:DayAccessed>
    <b:URL>https://www.entrepreneur.com/article/304293</b:URL>
    <b:RefOrder>12</b:RefOrder>
  </b:Source>
  <b:Source>
    <b:Tag>Fad12</b:Tag>
    <b:SourceType>DocumentFromInternetSite</b:SourceType>
    <b:Guid>{E5D11A84-DB2A-4EDD-8A2C-3A395C79E338}</b:Guid>
    <b:Author>
      <b:Author>
        <b:NameList>
          <b:Person>
            <b:Last>Ghandour</b:Last>
            <b:First>Fadi</b:First>
          </b:Person>
        </b:NameList>
      </b:Author>
    </b:Author>
    <b:Title>Innovation, Disruption And Growth: Now Is The Right Time To Invest In MENA's Tech Scene</b:Title>
    <b:InternetSiteTitle>Entrepreneur Middle East</b:InternetSiteTitle>
    <b:Year>2012</b:Year>
    <b:Month>October</b:Month>
    <b:Day>22</b:Day>
    <b:YearAccessed>2019</b:YearAccessed>
    <b:MonthAccessed>April</b:MonthAccessed>
    <b:DayAccessed>15</b:DayAccessed>
    <b:URL>https://www.entrepreneur.com/article/240125</b:URL>
    <b:RefOrder>13</b:RefOrder>
  </b:Source>
  <b:Source>
    <b:Tag>ICT19</b:Tag>
    <b:SourceType>DocumentFromInternetSite</b:SourceType>
    <b:Guid>{2B246F30-F7D0-A446-A962-5C47631992A7}</b:Guid>
    <b:Title>ICT service exports (BoP, current US$)</b:Title>
    <b:InternetSiteTitle>Index Mundi</b:InternetSiteTitle>
    <b:URL>https://www.indexmundi.com/facts/indicators/BX.GSR.CCIS.CD</b:URL>
    <b:YearAccessed>2019</b:YearAccessed>
    <b:MonthAccessed>April</b:MonthAccessed>
    <b:DayAccessed>15</b:DayAccessed>
    <b:RefOrder>14</b:RefOrder>
  </b:Source>
</b:Sources>
</file>

<file path=customXml/itemProps1.xml><?xml version="1.0" encoding="utf-8"?>
<ds:datastoreItem xmlns:ds="http://schemas.openxmlformats.org/officeDocument/2006/customXml" ds:itemID="{FB6B756E-3766-C54B-95C4-AA7CEC2C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4197</Words>
  <Characters>23927</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Shaffer</dc:creator>
  <cp:keywords/>
  <dc:description/>
  <cp:lastModifiedBy>Lauren Shaffer</cp:lastModifiedBy>
  <cp:revision>2</cp:revision>
  <dcterms:created xsi:type="dcterms:W3CDTF">2019-04-19T15:41:00Z</dcterms:created>
  <dcterms:modified xsi:type="dcterms:W3CDTF">2019-04-19T15:41:00Z</dcterms:modified>
</cp:coreProperties>
</file>