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70B3D" w14:textId="77777777" w:rsidR="00AE61CA" w:rsidRDefault="00AE61CA" w:rsidP="00AE61CA">
      <w:pPr>
        <w:rPr>
          <w:rFonts w:asciiTheme="majorBidi" w:hAnsiTheme="majorBidi" w:cstheme="majorBidi"/>
          <w:sz w:val="24"/>
          <w:szCs w:val="24"/>
        </w:rPr>
      </w:pPr>
      <w:r w:rsidRPr="00A33AF8">
        <w:rPr>
          <w:rFonts w:asciiTheme="majorBidi" w:hAnsiTheme="majorBidi" w:cstheme="majorBidi"/>
          <w:sz w:val="24"/>
          <w:szCs w:val="24"/>
        </w:rPr>
        <w:t>Leore Ben-Chorin</w:t>
      </w:r>
    </w:p>
    <w:p w14:paraId="24D6EC38" w14:textId="3C0AEC17" w:rsidR="00A965F8" w:rsidRPr="00A33AF8" w:rsidRDefault="00716C7C" w:rsidP="00AE61CA">
      <w:pPr>
        <w:rPr>
          <w:rFonts w:asciiTheme="majorBidi" w:hAnsiTheme="majorBidi" w:cstheme="majorBidi"/>
          <w:sz w:val="24"/>
          <w:szCs w:val="24"/>
        </w:rPr>
      </w:pPr>
      <w:r>
        <w:rPr>
          <w:rFonts w:asciiTheme="majorBidi" w:hAnsiTheme="majorBidi" w:cstheme="majorBidi"/>
          <w:sz w:val="24"/>
          <w:szCs w:val="24"/>
        </w:rPr>
        <w:t>WPSA 2023 Conference Paper</w:t>
      </w:r>
    </w:p>
    <w:p w14:paraId="6430D7A4" w14:textId="77777777" w:rsidR="00A10EDC" w:rsidRDefault="00A10EDC" w:rsidP="00AE61CA">
      <w:pPr>
        <w:jc w:val="center"/>
        <w:rPr>
          <w:rFonts w:asciiTheme="majorBidi" w:hAnsiTheme="majorBidi" w:cstheme="majorBidi"/>
          <w:b/>
          <w:bCs/>
          <w:sz w:val="24"/>
          <w:szCs w:val="24"/>
        </w:rPr>
      </w:pPr>
      <w:r>
        <w:rPr>
          <w:rFonts w:asciiTheme="majorBidi" w:hAnsiTheme="majorBidi" w:cstheme="majorBidi"/>
          <w:b/>
          <w:bCs/>
          <w:sz w:val="24"/>
          <w:szCs w:val="24"/>
        </w:rPr>
        <w:t>Superiority or S</w:t>
      </w:r>
      <w:r w:rsidR="00D058D8">
        <w:rPr>
          <w:rFonts w:asciiTheme="majorBidi" w:hAnsiTheme="majorBidi" w:cstheme="majorBidi"/>
          <w:b/>
          <w:bCs/>
          <w:sz w:val="24"/>
          <w:szCs w:val="24"/>
        </w:rPr>
        <w:t>ubmission</w:t>
      </w:r>
      <w:r w:rsidR="00AE61CA">
        <w:rPr>
          <w:rFonts w:asciiTheme="majorBidi" w:hAnsiTheme="majorBidi" w:cstheme="majorBidi"/>
          <w:b/>
          <w:bCs/>
          <w:sz w:val="24"/>
          <w:szCs w:val="24"/>
        </w:rPr>
        <w:t>?</w:t>
      </w:r>
      <w:r w:rsidR="00D058D8">
        <w:rPr>
          <w:rFonts w:asciiTheme="majorBidi" w:hAnsiTheme="majorBidi" w:cstheme="majorBidi"/>
          <w:b/>
          <w:bCs/>
          <w:sz w:val="24"/>
          <w:szCs w:val="24"/>
        </w:rPr>
        <w:t xml:space="preserve"> </w:t>
      </w:r>
    </w:p>
    <w:p w14:paraId="40CD8A5E" w14:textId="77777777" w:rsidR="00AE61CA" w:rsidRDefault="00AE61CA" w:rsidP="00AE61CA">
      <w:pPr>
        <w:jc w:val="center"/>
        <w:rPr>
          <w:rFonts w:asciiTheme="majorBidi" w:hAnsiTheme="majorBidi" w:cstheme="majorBidi"/>
          <w:b/>
          <w:bCs/>
          <w:sz w:val="24"/>
          <w:szCs w:val="24"/>
        </w:rPr>
      </w:pPr>
      <w:r>
        <w:rPr>
          <w:rFonts w:asciiTheme="majorBidi" w:hAnsiTheme="majorBidi" w:cstheme="majorBidi"/>
          <w:b/>
          <w:bCs/>
          <w:sz w:val="24"/>
          <w:szCs w:val="24"/>
        </w:rPr>
        <w:t>Variation in State Control of Militias</w:t>
      </w:r>
    </w:p>
    <w:p w14:paraId="2841FF2F" w14:textId="77777777" w:rsidR="00A965F8" w:rsidRPr="0060672B" w:rsidRDefault="00A965F8" w:rsidP="00AE61CA">
      <w:pPr>
        <w:jc w:val="center"/>
        <w:rPr>
          <w:rFonts w:asciiTheme="majorBidi" w:hAnsiTheme="majorBidi" w:cstheme="majorBidi"/>
          <w:b/>
          <w:bCs/>
          <w:i/>
          <w:iCs/>
          <w:sz w:val="24"/>
          <w:szCs w:val="24"/>
        </w:rPr>
      </w:pPr>
    </w:p>
    <w:p w14:paraId="06E7690C" w14:textId="5D44DBC8" w:rsidR="004658E5" w:rsidRDefault="00A965F8" w:rsidP="004658E5">
      <w:pPr>
        <w:pStyle w:val="ListParagraph"/>
        <w:spacing w:line="256" w:lineRule="auto"/>
        <w:rPr>
          <w:rFonts w:ascii="Times New Roman" w:hAnsi="Times New Roman" w:cs="Times New Roman"/>
          <w:sz w:val="24"/>
          <w:szCs w:val="24"/>
        </w:rPr>
      </w:pPr>
      <w:r w:rsidRPr="0060672B">
        <w:rPr>
          <w:rFonts w:asciiTheme="majorBidi" w:hAnsiTheme="majorBidi" w:cstheme="majorBidi"/>
          <w:i/>
          <w:iCs/>
          <w:sz w:val="24"/>
          <w:szCs w:val="24"/>
        </w:rPr>
        <w:t>Abstract</w:t>
      </w:r>
      <w:r w:rsidRPr="00A965F8">
        <w:rPr>
          <w:rFonts w:asciiTheme="majorBidi" w:hAnsiTheme="majorBidi" w:cstheme="majorBidi"/>
          <w:sz w:val="24"/>
          <w:szCs w:val="24"/>
        </w:rPr>
        <w:t>:</w:t>
      </w:r>
      <w:r w:rsidR="00412D01">
        <w:rPr>
          <w:rFonts w:asciiTheme="majorBidi" w:hAnsiTheme="majorBidi" w:cstheme="majorBidi"/>
          <w:sz w:val="24"/>
          <w:szCs w:val="24"/>
        </w:rPr>
        <w:t xml:space="preserve"> </w:t>
      </w:r>
      <w:r w:rsidR="004658E5">
        <w:rPr>
          <w:rFonts w:ascii="Times New Roman" w:hAnsi="Times New Roman" w:cs="Times New Roman"/>
          <w:sz w:val="24"/>
          <w:szCs w:val="24"/>
        </w:rPr>
        <w:t>State sponsorship, or support, of militias has been a regular occurrence in both civil and interstate wars</w:t>
      </w:r>
      <w:r w:rsidR="004658E5">
        <w:rPr>
          <w:rFonts w:asciiTheme="majorBidi" w:hAnsiTheme="majorBidi" w:cstheme="majorBidi"/>
          <w:sz w:val="24"/>
          <w:szCs w:val="24"/>
        </w:rPr>
        <w:t>. Why is there variation in how much control states have over the behavior of militias they support? U</w:t>
      </w:r>
      <w:r w:rsidR="004658E5">
        <w:rPr>
          <w:rFonts w:ascii="Times New Roman" w:hAnsi="Times New Roman" w:cs="Times New Roman"/>
          <w:sz w:val="24"/>
          <w:szCs w:val="24"/>
        </w:rPr>
        <w:t xml:space="preserve">nder what conditions do militias merely follow the direct orders of the states that fund or train them? In contrast, under what conditions do militias and states interact more horizontally, like equal partners? This </w:t>
      </w:r>
      <w:r w:rsidR="0000488E">
        <w:rPr>
          <w:rFonts w:ascii="Times New Roman" w:hAnsi="Times New Roman" w:cs="Times New Roman"/>
          <w:sz w:val="24"/>
          <w:szCs w:val="24"/>
        </w:rPr>
        <w:t>paper</w:t>
      </w:r>
      <w:r w:rsidR="004658E5">
        <w:rPr>
          <w:rFonts w:ascii="Times New Roman" w:hAnsi="Times New Roman" w:cs="Times New Roman"/>
          <w:sz w:val="24"/>
          <w:szCs w:val="24"/>
        </w:rPr>
        <w:t xml:space="preserve"> shows that the traditional focus on principal-agent models is misleading; an additional fruitful approach to consider is the alliance politics model outlined by Snyder. Ultimately, interest alignment best predicts whether states and militias will have more vertical or horizontal relationships.</w:t>
      </w:r>
    </w:p>
    <w:p w14:paraId="76B5A2F5" w14:textId="77777777" w:rsidR="004658E5" w:rsidRDefault="004658E5" w:rsidP="004658E5">
      <w:pPr>
        <w:pStyle w:val="ListParagraph"/>
        <w:spacing w:line="256" w:lineRule="auto"/>
        <w:rPr>
          <w:rFonts w:ascii="Times New Roman" w:hAnsi="Times New Roman" w:cs="Times New Roman"/>
          <w:sz w:val="24"/>
          <w:szCs w:val="24"/>
        </w:rPr>
      </w:pPr>
    </w:p>
    <w:p w14:paraId="31399AA6" w14:textId="77777777" w:rsidR="00412D01" w:rsidRPr="004658E5" w:rsidRDefault="004658E5" w:rsidP="004658E5">
      <w:pPr>
        <w:pStyle w:val="ListParagraph"/>
        <w:spacing w:line="256" w:lineRule="auto"/>
        <w:rPr>
          <w:rFonts w:asciiTheme="majorBidi" w:hAnsiTheme="majorBidi" w:cstheme="majorBidi"/>
          <w:sz w:val="24"/>
          <w:szCs w:val="24"/>
        </w:rPr>
      </w:pPr>
      <w:r w:rsidRPr="0060672B">
        <w:rPr>
          <w:rFonts w:asciiTheme="majorBidi" w:hAnsiTheme="majorBidi" w:cstheme="majorBidi"/>
          <w:i/>
          <w:iCs/>
          <w:sz w:val="24"/>
          <w:szCs w:val="24"/>
        </w:rPr>
        <w:t>Keywords</w:t>
      </w:r>
      <w:r>
        <w:rPr>
          <w:rFonts w:asciiTheme="majorBidi" w:hAnsiTheme="majorBidi" w:cstheme="majorBidi"/>
          <w:sz w:val="24"/>
          <w:szCs w:val="24"/>
        </w:rPr>
        <w:t xml:space="preserve">: Militias; Pro-Government Militias; Rebel Groups; Principal-Agent Models; Alliances; Middle East; Control; Political Violence </w:t>
      </w:r>
    </w:p>
    <w:p w14:paraId="09EE9FB6" w14:textId="77777777" w:rsidR="00A965F8" w:rsidRDefault="00A965F8">
      <w:pPr>
        <w:rPr>
          <w:rFonts w:asciiTheme="majorBidi" w:hAnsiTheme="majorBidi" w:cstheme="majorBidi"/>
          <w:b/>
          <w:bCs/>
          <w:sz w:val="24"/>
          <w:szCs w:val="24"/>
        </w:rPr>
      </w:pPr>
    </w:p>
    <w:p w14:paraId="2271AE95" w14:textId="77777777" w:rsidR="00A965F8" w:rsidRDefault="00A965F8">
      <w:pPr>
        <w:rPr>
          <w:rFonts w:asciiTheme="majorBidi" w:hAnsiTheme="majorBidi" w:cstheme="majorBidi"/>
          <w:b/>
          <w:bCs/>
          <w:sz w:val="24"/>
          <w:szCs w:val="24"/>
        </w:rPr>
      </w:pPr>
    </w:p>
    <w:p w14:paraId="7E435D12" w14:textId="77777777" w:rsidR="00A965F8" w:rsidRDefault="00A965F8">
      <w:pPr>
        <w:rPr>
          <w:rFonts w:asciiTheme="majorBidi" w:hAnsiTheme="majorBidi" w:cstheme="majorBidi"/>
          <w:b/>
          <w:bCs/>
          <w:sz w:val="24"/>
          <w:szCs w:val="24"/>
        </w:rPr>
      </w:pPr>
    </w:p>
    <w:p w14:paraId="79567EA9" w14:textId="77777777" w:rsidR="00A965F8" w:rsidRDefault="00A965F8">
      <w:pPr>
        <w:rPr>
          <w:rFonts w:asciiTheme="majorBidi" w:hAnsiTheme="majorBidi" w:cstheme="majorBidi"/>
          <w:b/>
          <w:bCs/>
          <w:sz w:val="24"/>
          <w:szCs w:val="24"/>
        </w:rPr>
      </w:pPr>
    </w:p>
    <w:p w14:paraId="064614CE" w14:textId="77777777" w:rsidR="00A965F8" w:rsidRDefault="00A965F8">
      <w:pPr>
        <w:rPr>
          <w:rFonts w:asciiTheme="majorBidi" w:hAnsiTheme="majorBidi" w:cstheme="majorBidi"/>
          <w:b/>
          <w:bCs/>
          <w:sz w:val="24"/>
          <w:szCs w:val="24"/>
        </w:rPr>
      </w:pPr>
    </w:p>
    <w:p w14:paraId="4998DC9B" w14:textId="77777777" w:rsidR="00A965F8" w:rsidRDefault="00A965F8">
      <w:pPr>
        <w:rPr>
          <w:rFonts w:asciiTheme="majorBidi" w:hAnsiTheme="majorBidi" w:cstheme="majorBidi"/>
          <w:b/>
          <w:bCs/>
          <w:sz w:val="24"/>
          <w:szCs w:val="24"/>
        </w:rPr>
      </w:pPr>
    </w:p>
    <w:p w14:paraId="085401E0" w14:textId="77777777" w:rsidR="00A965F8" w:rsidRDefault="00A965F8">
      <w:pPr>
        <w:rPr>
          <w:rFonts w:asciiTheme="majorBidi" w:hAnsiTheme="majorBidi" w:cstheme="majorBidi"/>
          <w:b/>
          <w:bCs/>
          <w:sz w:val="24"/>
          <w:szCs w:val="24"/>
        </w:rPr>
      </w:pPr>
    </w:p>
    <w:p w14:paraId="19D8A081" w14:textId="77777777" w:rsidR="00A965F8" w:rsidRDefault="00A965F8">
      <w:pPr>
        <w:rPr>
          <w:rFonts w:asciiTheme="majorBidi" w:hAnsiTheme="majorBidi" w:cstheme="majorBidi"/>
          <w:b/>
          <w:bCs/>
          <w:sz w:val="24"/>
          <w:szCs w:val="24"/>
        </w:rPr>
      </w:pPr>
    </w:p>
    <w:p w14:paraId="26923C32" w14:textId="77777777" w:rsidR="00A965F8" w:rsidRDefault="00A965F8">
      <w:pPr>
        <w:rPr>
          <w:rFonts w:asciiTheme="majorBidi" w:hAnsiTheme="majorBidi" w:cstheme="majorBidi"/>
          <w:b/>
          <w:bCs/>
          <w:sz w:val="24"/>
          <w:szCs w:val="24"/>
        </w:rPr>
      </w:pPr>
    </w:p>
    <w:p w14:paraId="531C2101" w14:textId="77777777" w:rsidR="00A965F8" w:rsidRDefault="00A965F8">
      <w:pPr>
        <w:rPr>
          <w:rFonts w:asciiTheme="majorBidi" w:hAnsiTheme="majorBidi" w:cstheme="majorBidi"/>
          <w:b/>
          <w:bCs/>
          <w:sz w:val="24"/>
          <w:szCs w:val="24"/>
        </w:rPr>
      </w:pPr>
    </w:p>
    <w:p w14:paraId="792B1134" w14:textId="77777777" w:rsidR="00A965F8" w:rsidRDefault="00A965F8">
      <w:pPr>
        <w:rPr>
          <w:rFonts w:asciiTheme="majorBidi" w:hAnsiTheme="majorBidi" w:cstheme="majorBidi"/>
          <w:b/>
          <w:bCs/>
          <w:sz w:val="24"/>
          <w:szCs w:val="24"/>
        </w:rPr>
      </w:pPr>
    </w:p>
    <w:p w14:paraId="04400309" w14:textId="77777777" w:rsidR="00A965F8" w:rsidRDefault="00A965F8">
      <w:pPr>
        <w:rPr>
          <w:rFonts w:asciiTheme="majorBidi" w:hAnsiTheme="majorBidi" w:cstheme="majorBidi"/>
          <w:b/>
          <w:bCs/>
          <w:sz w:val="24"/>
          <w:szCs w:val="24"/>
        </w:rPr>
      </w:pPr>
    </w:p>
    <w:p w14:paraId="26C12F96" w14:textId="77777777" w:rsidR="00A965F8" w:rsidRDefault="00A965F8">
      <w:pPr>
        <w:rPr>
          <w:rFonts w:asciiTheme="majorBidi" w:hAnsiTheme="majorBidi" w:cstheme="majorBidi"/>
          <w:b/>
          <w:bCs/>
          <w:sz w:val="24"/>
          <w:szCs w:val="24"/>
        </w:rPr>
      </w:pPr>
    </w:p>
    <w:p w14:paraId="5C4B53A0" w14:textId="77777777" w:rsidR="00A965F8" w:rsidRDefault="00A965F8">
      <w:pPr>
        <w:rPr>
          <w:rFonts w:asciiTheme="majorBidi" w:hAnsiTheme="majorBidi" w:cstheme="majorBidi"/>
          <w:b/>
          <w:bCs/>
          <w:sz w:val="24"/>
          <w:szCs w:val="24"/>
        </w:rPr>
      </w:pPr>
    </w:p>
    <w:p w14:paraId="50D3FB90" w14:textId="77777777" w:rsidR="00A965F8" w:rsidRDefault="00A965F8">
      <w:pPr>
        <w:rPr>
          <w:rFonts w:asciiTheme="majorBidi" w:hAnsiTheme="majorBidi" w:cstheme="majorBidi"/>
          <w:b/>
          <w:bCs/>
          <w:sz w:val="24"/>
          <w:szCs w:val="24"/>
        </w:rPr>
      </w:pPr>
    </w:p>
    <w:p w14:paraId="6F66A65D" w14:textId="77777777" w:rsidR="00EE2467" w:rsidRDefault="003C345D">
      <w:pPr>
        <w:rPr>
          <w:rFonts w:asciiTheme="majorBidi" w:hAnsiTheme="majorBidi" w:cstheme="majorBidi"/>
          <w:b/>
          <w:bCs/>
          <w:sz w:val="24"/>
          <w:szCs w:val="24"/>
        </w:rPr>
      </w:pPr>
      <w:r>
        <w:rPr>
          <w:rFonts w:asciiTheme="majorBidi" w:hAnsiTheme="majorBidi" w:cstheme="majorBidi"/>
          <w:b/>
          <w:bCs/>
          <w:sz w:val="24"/>
          <w:szCs w:val="24"/>
        </w:rPr>
        <w:lastRenderedPageBreak/>
        <w:t>Introduction</w:t>
      </w:r>
    </w:p>
    <w:p w14:paraId="500942EF" w14:textId="77777777" w:rsidR="00A21975" w:rsidRDefault="00C81DCD" w:rsidP="00A803E1">
      <w:pPr>
        <w:spacing w:line="480" w:lineRule="auto"/>
        <w:rPr>
          <w:rFonts w:asciiTheme="majorBidi" w:hAnsiTheme="majorBidi" w:cstheme="majorBidi"/>
          <w:sz w:val="24"/>
          <w:szCs w:val="24"/>
        </w:rPr>
      </w:pPr>
      <w:r>
        <w:rPr>
          <w:rFonts w:asciiTheme="majorBidi" w:hAnsiTheme="majorBidi" w:cstheme="majorBidi"/>
          <w:b/>
          <w:bCs/>
          <w:sz w:val="24"/>
          <w:szCs w:val="24"/>
        </w:rPr>
        <w:tab/>
      </w:r>
      <w:r w:rsidR="00A21975">
        <w:rPr>
          <w:rFonts w:asciiTheme="majorBidi" w:hAnsiTheme="majorBidi" w:cstheme="majorBidi"/>
          <w:sz w:val="24"/>
          <w:szCs w:val="24"/>
        </w:rPr>
        <w:t xml:space="preserve">The relations between states and militias have puzzled scholars for decades. </w:t>
      </w:r>
      <w:r w:rsidR="00A803E1">
        <w:rPr>
          <w:rFonts w:asciiTheme="majorBidi" w:hAnsiTheme="majorBidi" w:cstheme="majorBidi"/>
          <w:sz w:val="24"/>
          <w:szCs w:val="24"/>
        </w:rPr>
        <w:t xml:space="preserve">This is due to the fact that from the American Civil War to the current civil war in Syria, </w:t>
      </w:r>
      <w:r w:rsidR="00A803E1">
        <w:rPr>
          <w:rFonts w:ascii="Times New Roman" w:hAnsi="Times New Roman" w:cs="Times New Roman"/>
          <w:sz w:val="24"/>
          <w:szCs w:val="24"/>
        </w:rPr>
        <w:t xml:space="preserve">state sponsorship, or support, of militias has been a regular occurrence in both civil and interstate wars. </w:t>
      </w:r>
      <w:r w:rsidR="00481B1F">
        <w:rPr>
          <w:rFonts w:asciiTheme="majorBidi" w:hAnsiTheme="majorBidi" w:cstheme="majorBidi"/>
          <w:sz w:val="24"/>
          <w:szCs w:val="24"/>
        </w:rPr>
        <w:t>Recent scholarship in the literature on militias has a</w:t>
      </w:r>
      <w:r w:rsidR="00A21975">
        <w:rPr>
          <w:rFonts w:asciiTheme="majorBidi" w:hAnsiTheme="majorBidi" w:cstheme="majorBidi"/>
          <w:sz w:val="24"/>
          <w:szCs w:val="24"/>
        </w:rPr>
        <w:t xml:space="preserve">ttempted to understand why states delegate, cooperate, or turn a blind eye to informal armed organizations, especially those committing atrocities. </w:t>
      </w:r>
      <w:r w:rsidR="00481B1F">
        <w:rPr>
          <w:rFonts w:asciiTheme="majorBidi" w:hAnsiTheme="majorBidi" w:cstheme="majorBidi"/>
          <w:sz w:val="24"/>
          <w:szCs w:val="24"/>
        </w:rPr>
        <w:t xml:space="preserve">Researchers have also developed </w:t>
      </w:r>
      <w:r w:rsidR="00A803E1">
        <w:rPr>
          <w:rFonts w:asciiTheme="majorBidi" w:hAnsiTheme="majorBidi" w:cstheme="majorBidi"/>
          <w:sz w:val="24"/>
          <w:szCs w:val="24"/>
        </w:rPr>
        <w:t xml:space="preserve">numerous </w:t>
      </w:r>
      <w:r w:rsidR="00481B1F">
        <w:rPr>
          <w:rFonts w:asciiTheme="majorBidi" w:hAnsiTheme="majorBidi" w:cstheme="majorBidi"/>
          <w:sz w:val="24"/>
          <w:szCs w:val="24"/>
        </w:rPr>
        <w:t xml:space="preserve">typologies </w:t>
      </w:r>
      <w:r w:rsidR="00A803E1">
        <w:rPr>
          <w:rFonts w:asciiTheme="majorBidi" w:hAnsiTheme="majorBidi" w:cstheme="majorBidi"/>
          <w:sz w:val="24"/>
          <w:szCs w:val="24"/>
        </w:rPr>
        <w:t>on the different</w:t>
      </w:r>
      <w:r w:rsidR="00481B1F">
        <w:rPr>
          <w:rFonts w:asciiTheme="majorBidi" w:hAnsiTheme="majorBidi" w:cstheme="majorBidi"/>
          <w:sz w:val="24"/>
          <w:szCs w:val="24"/>
        </w:rPr>
        <w:t xml:space="preserve"> types of militias in order to assess </w:t>
      </w:r>
      <w:r w:rsidR="00A21975">
        <w:rPr>
          <w:rFonts w:asciiTheme="majorBidi" w:hAnsiTheme="majorBidi" w:cstheme="majorBidi"/>
          <w:sz w:val="24"/>
          <w:szCs w:val="24"/>
        </w:rPr>
        <w:t xml:space="preserve">how these differences impact patterns of violence, conflict termination, and conflict resurgence. Despite important advances in the literature </w:t>
      </w:r>
      <w:r w:rsidR="00A803E1">
        <w:rPr>
          <w:rFonts w:asciiTheme="majorBidi" w:hAnsiTheme="majorBidi" w:cstheme="majorBidi"/>
          <w:sz w:val="24"/>
          <w:szCs w:val="24"/>
        </w:rPr>
        <w:t>in these areas</w:t>
      </w:r>
      <w:r w:rsidR="00A21975">
        <w:rPr>
          <w:rFonts w:asciiTheme="majorBidi" w:hAnsiTheme="majorBidi" w:cstheme="majorBidi"/>
          <w:sz w:val="24"/>
          <w:szCs w:val="24"/>
        </w:rPr>
        <w:t>, one</w:t>
      </w:r>
      <w:r w:rsidR="00A803E1">
        <w:rPr>
          <w:rFonts w:asciiTheme="majorBidi" w:hAnsiTheme="majorBidi" w:cstheme="majorBidi"/>
          <w:sz w:val="24"/>
          <w:szCs w:val="24"/>
        </w:rPr>
        <w:t xml:space="preserve"> area that remains</w:t>
      </w:r>
      <w:r w:rsidR="00A21975">
        <w:rPr>
          <w:rFonts w:asciiTheme="majorBidi" w:hAnsiTheme="majorBidi" w:cstheme="majorBidi"/>
          <w:sz w:val="24"/>
          <w:szCs w:val="24"/>
        </w:rPr>
        <w:t xml:space="preserve"> understudied is the variation in state control of militias. </w:t>
      </w:r>
    </w:p>
    <w:p w14:paraId="0E599C20" w14:textId="77777777" w:rsidR="00A21975" w:rsidRPr="00A803E1" w:rsidRDefault="00A21975" w:rsidP="0045315C">
      <w:pPr>
        <w:spacing w:line="480" w:lineRule="auto"/>
        <w:rPr>
          <w:rFonts w:asciiTheme="majorBidi" w:hAnsiTheme="majorBidi" w:cstheme="majorBidi"/>
          <w:sz w:val="24"/>
          <w:szCs w:val="24"/>
        </w:rPr>
      </w:pPr>
      <w:r>
        <w:rPr>
          <w:rFonts w:asciiTheme="majorBidi" w:hAnsiTheme="majorBidi" w:cstheme="majorBidi"/>
          <w:sz w:val="24"/>
          <w:szCs w:val="24"/>
        </w:rPr>
        <w:tab/>
      </w:r>
      <w:r w:rsidR="00A803E1">
        <w:rPr>
          <w:rFonts w:asciiTheme="majorBidi" w:hAnsiTheme="majorBidi" w:cstheme="majorBidi"/>
          <w:sz w:val="24"/>
          <w:szCs w:val="24"/>
        </w:rPr>
        <w:t>In this paper, I define militias as nonstate armed groups that have at least minimal ties to a state, an intentionally broad definition in order to account for the wide variety of militias.</w:t>
      </w:r>
      <w:r w:rsidR="00A803E1">
        <w:rPr>
          <w:rStyle w:val="FootnoteReference"/>
          <w:rFonts w:asciiTheme="majorBidi" w:hAnsiTheme="majorBidi" w:cstheme="majorBidi"/>
          <w:sz w:val="24"/>
          <w:szCs w:val="24"/>
        </w:rPr>
        <w:footnoteReference w:id="1"/>
      </w:r>
      <w:r w:rsidR="00A803E1">
        <w:rPr>
          <w:rFonts w:asciiTheme="majorBidi" w:hAnsiTheme="majorBidi" w:cstheme="majorBidi"/>
          <w:sz w:val="24"/>
          <w:szCs w:val="24"/>
        </w:rPr>
        <w:t xml:space="preserve"> </w:t>
      </w:r>
      <w:r w:rsidR="00D058D8">
        <w:rPr>
          <w:rFonts w:ascii="Times New Roman" w:hAnsi="Times New Roman" w:cs="Times New Roman"/>
          <w:sz w:val="24"/>
          <w:szCs w:val="24"/>
        </w:rPr>
        <w:t xml:space="preserve">States </w:t>
      </w:r>
      <w:r w:rsidR="00F70BFA">
        <w:rPr>
          <w:rFonts w:ascii="Times New Roman" w:hAnsi="Times New Roman" w:cs="Times New Roman"/>
          <w:sz w:val="24"/>
          <w:szCs w:val="24"/>
        </w:rPr>
        <w:t xml:space="preserve">decide </w:t>
      </w:r>
      <w:r w:rsidR="00D058D8">
        <w:rPr>
          <w:rFonts w:ascii="Times New Roman" w:hAnsi="Times New Roman" w:cs="Times New Roman"/>
          <w:sz w:val="24"/>
          <w:szCs w:val="24"/>
        </w:rPr>
        <w:t xml:space="preserve">to employ militias </w:t>
      </w:r>
      <w:r w:rsidR="00F624E4">
        <w:rPr>
          <w:rFonts w:ascii="Times New Roman" w:hAnsi="Times New Roman" w:cs="Times New Roman"/>
          <w:sz w:val="24"/>
          <w:szCs w:val="24"/>
        </w:rPr>
        <w:t xml:space="preserve">because </w:t>
      </w:r>
      <w:r w:rsidR="00D058D8">
        <w:rPr>
          <w:rFonts w:ascii="Times New Roman" w:hAnsi="Times New Roman" w:cs="Times New Roman"/>
          <w:sz w:val="24"/>
          <w:szCs w:val="24"/>
        </w:rPr>
        <w:t xml:space="preserve">they can be </w:t>
      </w:r>
      <w:r w:rsidR="00F624E4" w:rsidRPr="00CB2512">
        <w:rPr>
          <w:rFonts w:ascii="Times New Roman" w:hAnsi="Times New Roman" w:cs="Times New Roman"/>
          <w:sz w:val="24"/>
          <w:szCs w:val="24"/>
        </w:rPr>
        <w:t>cheaper to fund (relative to conventional forces); they</w:t>
      </w:r>
      <w:r w:rsidR="00D058D8">
        <w:rPr>
          <w:rFonts w:ascii="Times New Roman" w:hAnsi="Times New Roman" w:cs="Times New Roman"/>
          <w:sz w:val="24"/>
          <w:szCs w:val="24"/>
        </w:rPr>
        <w:t xml:space="preserve"> can</w:t>
      </w:r>
      <w:r w:rsidR="00F624E4" w:rsidRPr="00CB2512">
        <w:rPr>
          <w:rFonts w:ascii="Times New Roman" w:hAnsi="Times New Roman" w:cs="Times New Roman"/>
          <w:sz w:val="24"/>
          <w:szCs w:val="24"/>
        </w:rPr>
        <w:t xml:space="preserve"> limit or complicate an adversary’s military response; and they </w:t>
      </w:r>
      <w:r w:rsidR="00D058D8">
        <w:rPr>
          <w:rFonts w:ascii="Times New Roman" w:hAnsi="Times New Roman" w:cs="Times New Roman"/>
          <w:sz w:val="24"/>
          <w:szCs w:val="24"/>
        </w:rPr>
        <w:t xml:space="preserve">can </w:t>
      </w:r>
      <w:r w:rsidR="00F624E4" w:rsidRPr="00CB2512">
        <w:rPr>
          <w:rFonts w:ascii="Times New Roman" w:hAnsi="Times New Roman" w:cs="Times New Roman"/>
          <w:sz w:val="24"/>
          <w:szCs w:val="24"/>
        </w:rPr>
        <w:t>boost a state’s bargaining leverage during negotiations to end conflicts</w:t>
      </w:r>
      <w:r w:rsidR="00F624E4">
        <w:rPr>
          <w:rFonts w:ascii="Times New Roman" w:hAnsi="Times New Roman" w:cs="Times New Roman"/>
          <w:sz w:val="24"/>
          <w:szCs w:val="24"/>
        </w:rPr>
        <w:t>.</w:t>
      </w:r>
      <w:r w:rsidR="00F624E4">
        <w:rPr>
          <w:rStyle w:val="FootnoteReference"/>
          <w:rFonts w:ascii="Times New Roman" w:hAnsi="Times New Roman" w:cs="Times New Roman"/>
          <w:sz w:val="24"/>
          <w:szCs w:val="24"/>
        </w:rPr>
        <w:footnoteReference w:id="2"/>
      </w:r>
      <w:r w:rsidR="00F624E4">
        <w:rPr>
          <w:rFonts w:ascii="Times New Roman" w:hAnsi="Times New Roman" w:cs="Times New Roman"/>
          <w:sz w:val="24"/>
          <w:szCs w:val="24"/>
        </w:rPr>
        <w:t xml:space="preserve"> While the benefits of militias are</w:t>
      </w:r>
      <w:r w:rsidR="00D058D8">
        <w:rPr>
          <w:rFonts w:ascii="Times New Roman" w:hAnsi="Times New Roman" w:cs="Times New Roman"/>
          <w:sz w:val="24"/>
          <w:szCs w:val="24"/>
        </w:rPr>
        <w:t xml:space="preserve"> more</w:t>
      </w:r>
      <w:r w:rsidR="00F624E4">
        <w:rPr>
          <w:rFonts w:ascii="Times New Roman" w:hAnsi="Times New Roman" w:cs="Times New Roman"/>
          <w:sz w:val="24"/>
          <w:szCs w:val="24"/>
        </w:rPr>
        <w:t xml:space="preserve"> unif</w:t>
      </w:r>
      <w:r w:rsidR="00516F7C">
        <w:rPr>
          <w:rFonts w:ascii="Times New Roman" w:hAnsi="Times New Roman" w:cs="Times New Roman"/>
          <w:sz w:val="24"/>
          <w:szCs w:val="24"/>
        </w:rPr>
        <w:t xml:space="preserve">orm, </w:t>
      </w:r>
      <w:r w:rsidR="00F624E4">
        <w:rPr>
          <w:rFonts w:ascii="Times New Roman" w:hAnsi="Times New Roman" w:cs="Times New Roman"/>
          <w:sz w:val="24"/>
          <w:szCs w:val="24"/>
        </w:rPr>
        <w:t>relationship</w:t>
      </w:r>
      <w:r w:rsidR="00516F7C">
        <w:rPr>
          <w:rFonts w:ascii="Times New Roman" w:hAnsi="Times New Roman" w:cs="Times New Roman"/>
          <w:sz w:val="24"/>
          <w:szCs w:val="24"/>
        </w:rPr>
        <w:t>s between militias and states are</w:t>
      </w:r>
      <w:r w:rsidR="00D058D8">
        <w:rPr>
          <w:rFonts w:ascii="Times New Roman" w:hAnsi="Times New Roman" w:cs="Times New Roman"/>
          <w:sz w:val="24"/>
          <w:szCs w:val="24"/>
        </w:rPr>
        <w:t xml:space="preserve"> more varied. Some militias are subjected to </w:t>
      </w:r>
      <w:r w:rsidR="00516F7C">
        <w:rPr>
          <w:rFonts w:ascii="Times New Roman" w:hAnsi="Times New Roman" w:cs="Times New Roman"/>
          <w:sz w:val="24"/>
          <w:szCs w:val="24"/>
        </w:rPr>
        <w:t xml:space="preserve">relatively </w:t>
      </w:r>
      <w:r w:rsidR="003D677E">
        <w:rPr>
          <w:rFonts w:ascii="Times New Roman" w:hAnsi="Times New Roman" w:cs="Times New Roman"/>
          <w:sz w:val="24"/>
          <w:szCs w:val="24"/>
        </w:rPr>
        <w:t>high levels of control (e.g. Iranian control over Hezbollah</w:t>
      </w:r>
      <w:r w:rsidR="00516F7C">
        <w:rPr>
          <w:rFonts w:ascii="Times New Roman" w:hAnsi="Times New Roman" w:cs="Times New Roman"/>
          <w:sz w:val="24"/>
          <w:szCs w:val="24"/>
        </w:rPr>
        <w:t xml:space="preserve"> in Lebanon</w:t>
      </w:r>
      <w:r w:rsidR="003D677E">
        <w:rPr>
          <w:rFonts w:ascii="Times New Roman" w:hAnsi="Times New Roman" w:cs="Times New Roman"/>
          <w:sz w:val="24"/>
          <w:szCs w:val="24"/>
        </w:rPr>
        <w:t xml:space="preserve"> after its </w:t>
      </w:r>
      <w:r w:rsidR="00516F7C">
        <w:rPr>
          <w:rFonts w:ascii="Times New Roman" w:hAnsi="Times New Roman" w:cs="Times New Roman"/>
          <w:sz w:val="24"/>
          <w:szCs w:val="24"/>
        </w:rPr>
        <w:t>inception</w:t>
      </w:r>
      <w:r w:rsidR="003D677E">
        <w:rPr>
          <w:rFonts w:ascii="Times New Roman" w:hAnsi="Times New Roman" w:cs="Times New Roman"/>
          <w:sz w:val="24"/>
          <w:szCs w:val="24"/>
        </w:rPr>
        <w:t>), while others</w:t>
      </w:r>
      <w:r w:rsidR="00D058D8">
        <w:rPr>
          <w:rFonts w:ascii="Times New Roman" w:hAnsi="Times New Roman" w:cs="Times New Roman"/>
          <w:sz w:val="24"/>
          <w:szCs w:val="24"/>
        </w:rPr>
        <w:t xml:space="preserve"> experience relatively </w:t>
      </w:r>
      <w:r w:rsidR="00516F7C">
        <w:rPr>
          <w:rFonts w:ascii="Times New Roman" w:hAnsi="Times New Roman" w:cs="Times New Roman"/>
          <w:sz w:val="24"/>
          <w:szCs w:val="24"/>
        </w:rPr>
        <w:t xml:space="preserve">low levels of control (e.g. Iranian control over </w:t>
      </w:r>
      <w:r w:rsidR="0045315C">
        <w:rPr>
          <w:rFonts w:ascii="Times New Roman" w:hAnsi="Times New Roman" w:cs="Times New Roman"/>
          <w:sz w:val="24"/>
          <w:szCs w:val="24"/>
        </w:rPr>
        <w:t xml:space="preserve">Hezb-e </w:t>
      </w:r>
      <w:proofErr w:type="spellStart"/>
      <w:r w:rsidR="0045315C">
        <w:rPr>
          <w:rFonts w:ascii="Times New Roman" w:hAnsi="Times New Roman" w:cs="Times New Roman"/>
          <w:sz w:val="24"/>
          <w:szCs w:val="24"/>
        </w:rPr>
        <w:t>Wahdat</w:t>
      </w:r>
      <w:proofErr w:type="spellEnd"/>
      <w:r w:rsidR="0045315C">
        <w:rPr>
          <w:rFonts w:ascii="Times New Roman" w:hAnsi="Times New Roman" w:cs="Times New Roman"/>
          <w:sz w:val="24"/>
          <w:szCs w:val="24"/>
        </w:rPr>
        <w:t xml:space="preserve"> in Afghanistan</w:t>
      </w:r>
      <w:r w:rsidR="0045315C">
        <w:rPr>
          <w:rStyle w:val="FootnoteReference"/>
          <w:rFonts w:ascii="Times New Roman" w:hAnsi="Times New Roman" w:cs="Times New Roman"/>
          <w:sz w:val="24"/>
          <w:szCs w:val="24"/>
        </w:rPr>
        <w:footnoteReference w:id="3"/>
      </w:r>
      <w:r w:rsidR="00F70BFA">
        <w:rPr>
          <w:rFonts w:ascii="Times New Roman" w:hAnsi="Times New Roman" w:cs="Times New Roman"/>
          <w:sz w:val="24"/>
          <w:szCs w:val="24"/>
        </w:rPr>
        <w:t xml:space="preserve">). </w:t>
      </w:r>
    </w:p>
    <w:p w14:paraId="1EC72E2D" w14:textId="77777777" w:rsidR="008C3419" w:rsidRPr="0045315C" w:rsidRDefault="00A21975" w:rsidP="0045315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F70BFA">
        <w:rPr>
          <w:rFonts w:ascii="Times New Roman" w:hAnsi="Times New Roman" w:cs="Times New Roman"/>
          <w:sz w:val="24"/>
          <w:szCs w:val="24"/>
        </w:rPr>
        <w:t>W</w:t>
      </w:r>
      <w:r w:rsidR="00D058D8">
        <w:rPr>
          <w:rFonts w:ascii="Times New Roman" w:hAnsi="Times New Roman" w:cs="Times New Roman"/>
          <w:sz w:val="24"/>
          <w:szCs w:val="24"/>
        </w:rPr>
        <w:t>ithin-</w:t>
      </w:r>
      <w:r w:rsidR="00F70BFA">
        <w:rPr>
          <w:rFonts w:ascii="Times New Roman" w:hAnsi="Times New Roman" w:cs="Times New Roman"/>
          <w:sz w:val="24"/>
          <w:szCs w:val="24"/>
        </w:rPr>
        <w:t>case and within-</w:t>
      </w:r>
      <w:r w:rsidR="00D058D8">
        <w:rPr>
          <w:rFonts w:ascii="Times New Roman" w:hAnsi="Times New Roman" w:cs="Times New Roman"/>
          <w:sz w:val="24"/>
          <w:szCs w:val="24"/>
        </w:rPr>
        <w:t xml:space="preserve">state variation raises the following </w:t>
      </w:r>
      <w:r w:rsidR="00516F7C">
        <w:rPr>
          <w:rFonts w:ascii="Times New Roman" w:hAnsi="Times New Roman" w:cs="Times New Roman"/>
          <w:sz w:val="24"/>
          <w:szCs w:val="24"/>
        </w:rPr>
        <w:t>questions: under what conditions are militias merely agents of the states that fund or train them? In contrast, under what conditions do militias and states interact more horizontally?</w:t>
      </w:r>
      <w:r w:rsidR="0045315C">
        <w:rPr>
          <w:rFonts w:ascii="Times New Roman" w:hAnsi="Times New Roman" w:cs="Times New Roman"/>
          <w:sz w:val="24"/>
          <w:szCs w:val="24"/>
        </w:rPr>
        <w:t xml:space="preserve"> By horizontally, I mean that the state and the militia’s relationship better resembles an alliance than a relationship between a patron and client. </w:t>
      </w:r>
      <w:r w:rsidR="0045315C">
        <w:rPr>
          <w:rFonts w:asciiTheme="majorBidi" w:hAnsiTheme="majorBidi" w:cstheme="majorBidi"/>
          <w:sz w:val="24"/>
          <w:szCs w:val="24"/>
        </w:rPr>
        <w:t>San-</w:t>
      </w:r>
      <w:proofErr w:type="spellStart"/>
      <w:r w:rsidR="0045315C">
        <w:rPr>
          <w:rFonts w:asciiTheme="majorBidi" w:hAnsiTheme="majorBidi" w:cstheme="majorBidi"/>
          <w:sz w:val="24"/>
          <w:szCs w:val="24"/>
        </w:rPr>
        <w:t>Akca</w:t>
      </w:r>
      <w:proofErr w:type="spellEnd"/>
      <w:r w:rsidR="0045315C">
        <w:rPr>
          <w:rFonts w:asciiTheme="majorBidi" w:hAnsiTheme="majorBidi" w:cstheme="majorBidi"/>
          <w:sz w:val="24"/>
          <w:szCs w:val="24"/>
        </w:rPr>
        <w:t xml:space="preserve"> puts it simply in her book </w:t>
      </w:r>
      <w:r w:rsidR="0045315C">
        <w:rPr>
          <w:rFonts w:asciiTheme="majorBidi" w:hAnsiTheme="majorBidi" w:cstheme="majorBidi"/>
          <w:i/>
          <w:iCs/>
          <w:sz w:val="24"/>
          <w:szCs w:val="24"/>
        </w:rPr>
        <w:t>States in Disguis</w:t>
      </w:r>
      <w:r w:rsidR="0045315C">
        <w:rPr>
          <w:rFonts w:asciiTheme="majorBidi" w:hAnsiTheme="majorBidi" w:cstheme="majorBidi"/>
          <w:sz w:val="24"/>
          <w:szCs w:val="24"/>
        </w:rPr>
        <w:t>e: allies both “gain some good when exchanging such support,”</w:t>
      </w:r>
      <w:r w:rsidR="0045315C">
        <w:rPr>
          <w:rStyle w:val="FootnoteReference"/>
          <w:rFonts w:asciiTheme="majorBidi" w:hAnsiTheme="majorBidi" w:cstheme="majorBidi"/>
          <w:sz w:val="24"/>
          <w:szCs w:val="24"/>
        </w:rPr>
        <w:footnoteReference w:id="4"/>
      </w:r>
      <w:r w:rsidR="0045315C">
        <w:rPr>
          <w:rFonts w:asciiTheme="majorBidi" w:hAnsiTheme="majorBidi" w:cstheme="majorBidi"/>
          <w:sz w:val="24"/>
          <w:szCs w:val="24"/>
        </w:rPr>
        <w:t xml:space="preserve"> thus allies do not always find it useful to try to dominate the other. </w:t>
      </w:r>
      <w:r w:rsidR="00516F7C">
        <w:rPr>
          <w:rFonts w:ascii="Times New Roman" w:hAnsi="Times New Roman" w:cs="Times New Roman"/>
          <w:sz w:val="24"/>
          <w:szCs w:val="24"/>
        </w:rPr>
        <w:t xml:space="preserve">In order to better understand state-militia dynamics, I will first review the </w:t>
      </w:r>
      <w:r w:rsidR="00D058D8">
        <w:rPr>
          <w:rFonts w:ascii="Times New Roman" w:hAnsi="Times New Roman" w:cs="Times New Roman"/>
          <w:sz w:val="24"/>
          <w:szCs w:val="24"/>
        </w:rPr>
        <w:t>existing political science literature related to militia control</w:t>
      </w:r>
      <w:r w:rsidR="00516F7C">
        <w:rPr>
          <w:rFonts w:ascii="Times New Roman" w:hAnsi="Times New Roman" w:cs="Times New Roman"/>
          <w:sz w:val="24"/>
          <w:szCs w:val="24"/>
        </w:rPr>
        <w:t xml:space="preserve">. Then, I will outline my theory, which </w:t>
      </w:r>
      <w:r w:rsidR="00F70BFA">
        <w:rPr>
          <w:rFonts w:ascii="Times New Roman" w:hAnsi="Times New Roman" w:cs="Times New Roman"/>
          <w:sz w:val="24"/>
          <w:szCs w:val="24"/>
        </w:rPr>
        <w:t xml:space="preserve">utilizes two </w:t>
      </w:r>
      <w:r w:rsidR="00516F7C">
        <w:rPr>
          <w:rFonts w:ascii="Times New Roman" w:hAnsi="Times New Roman" w:cs="Times New Roman"/>
          <w:sz w:val="24"/>
          <w:szCs w:val="24"/>
        </w:rPr>
        <w:t xml:space="preserve">existing conceptual frameworks: principal-agent and alliance politics. </w:t>
      </w:r>
      <w:r w:rsidR="00D058D8">
        <w:rPr>
          <w:rFonts w:ascii="Times New Roman" w:hAnsi="Times New Roman" w:cs="Times New Roman"/>
          <w:sz w:val="24"/>
          <w:szCs w:val="24"/>
        </w:rPr>
        <w:t xml:space="preserve">Next, </w:t>
      </w:r>
      <w:r w:rsidR="00516F7C">
        <w:rPr>
          <w:rFonts w:ascii="Times New Roman" w:hAnsi="Times New Roman" w:cs="Times New Roman"/>
          <w:sz w:val="24"/>
          <w:szCs w:val="24"/>
        </w:rPr>
        <w:t>I will provide preliminary</w:t>
      </w:r>
      <w:r w:rsidR="00F70BFA">
        <w:rPr>
          <w:rFonts w:ascii="Times New Roman" w:hAnsi="Times New Roman" w:cs="Times New Roman"/>
          <w:sz w:val="24"/>
          <w:szCs w:val="24"/>
        </w:rPr>
        <w:t xml:space="preserve"> evidence for my theory with illustrative</w:t>
      </w:r>
      <w:r w:rsidR="00516F7C">
        <w:rPr>
          <w:rFonts w:ascii="Times New Roman" w:hAnsi="Times New Roman" w:cs="Times New Roman"/>
          <w:sz w:val="24"/>
          <w:szCs w:val="24"/>
        </w:rPr>
        <w:t xml:space="preserve"> case studies of</w:t>
      </w:r>
      <w:r w:rsidR="00D058D8">
        <w:rPr>
          <w:rFonts w:ascii="Times New Roman" w:hAnsi="Times New Roman" w:cs="Times New Roman"/>
          <w:sz w:val="24"/>
          <w:szCs w:val="24"/>
        </w:rPr>
        <w:t xml:space="preserve"> Iranian </w:t>
      </w:r>
      <w:r w:rsidR="00F70BFA">
        <w:rPr>
          <w:rFonts w:ascii="Times New Roman" w:hAnsi="Times New Roman" w:cs="Times New Roman"/>
          <w:sz w:val="24"/>
          <w:szCs w:val="24"/>
        </w:rPr>
        <w:t>militias</w:t>
      </w:r>
      <w:r w:rsidR="00516F7C">
        <w:rPr>
          <w:rFonts w:ascii="Times New Roman" w:hAnsi="Times New Roman" w:cs="Times New Roman"/>
          <w:sz w:val="24"/>
          <w:szCs w:val="24"/>
        </w:rPr>
        <w:t xml:space="preserve"> </w:t>
      </w:r>
      <w:r w:rsidR="003C345D">
        <w:rPr>
          <w:rFonts w:ascii="Times New Roman" w:hAnsi="Times New Roman" w:cs="Times New Roman"/>
          <w:sz w:val="24"/>
          <w:szCs w:val="24"/>
        </w:rPr>
        <w:t>Hezbollah and Hamas</w:t>
      </w:r>
      <w:r w:rsidR="00516F7C">
        <w:rPr>
          <w:rFonts w:ascii="Times New Roman" w:hAnsi="Times New Roman" w:cs="Times New Roman"/>
          <w:sz w:val="24"/>
          <w:szCs w:val="24"/>
        </w:rPr>
        <w:t xml:space="preserve">. </w:t>
      </w:r>
      <w:r w:rsidR="00D058D8">
        <w:rPr>
          <w:rFonts w:ascii="Times New Roman" w:hAnsi="Times New Roman" w:cs="Times New Roman"/>
          <w:sz w:val="24"/>
          <w:szCs w:val="24"/>
        </w:rPr>
        <w:t>In my conclusion, I will discuss are</w:t>
      </w:r>
      <w:r w:rsidR="00516F7C">
        <w:rPr>
          <w:rFonts w:ascii="Times New Roman" w:hAnsi="Times New Roman" w:cs="Times New Roman"/>
          <w:sz w:val="24"/>
          <w:szCs w:val="24"/>
        </w:rPr>
        <w:t xml:space="preserve">as for future research. </w:t>
      </w:r>
    </w:p>
    <w:p w14:paraId="5A4330D0" w14:textId="77777777" w:rsidR="00AE61CA" w:rsidRDefault="00AE61CA" w:rsidP="00AE61CA">
      <w:pPr>
        <w:rPr>
          <w:rFonts w:asciiTheme="majorBidi" w:hAnsiTheme="majorBidi" w:cstheme="majorBidi"/>
          <w:b/>
          <w:bCs/>
          <w:sz w:val="24"/>
          <w:szCs w:val="24"/>
        </w:rPr>
      </w:pPr>
      <w:r>
        <w:rPr>
          <w:rFonts w:asciiTheme="majorBidi" w:hAnsiTheme="majorBidi" w:cstheme="majorBidi"/>
          <w:b/>
          <w:bCs/>
          <w:sz w:val="24"/>
          <w:szCs w:val="24"/>
        </w:rPr>
        <w:t xml:space="preserve">Literature review </w:t>
      </w:r>
    </w:p>
    <w:p w14:paraId="5EB48BCE" w14:textId="77777777" w:rsidR="00516F7C" w:rsidRPr="00516F7C" w:rsidRDefault="00516F7C" w:rsidP="003C345D">
      <w:pPr>
        <w:spacing w:line="480" w:lineRule="auto"/>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 xml:space="preserve">The literature does not have </w:t>
      </w:r>
      <w:r w:rsidR="003C345D">
        <w:rPr>
          <w:rFonts w:asciiTheme="majorBidi" w:hAnsiTheme="majorBidi" w:cstheme="majorBidi"/>
          <w:sz w:val="24"/>
          <w:szCs w:val="24"/>
        </w:rPr>
        <w:t>one</w:t>
      </w:r>
      <w:r w:rsidR="0059378C">
        <w:rPr>
          <w:rFonts w:asciiTheme="majorBidi" w:hAnsiTheme="majorBidi" w:cstheme="majorBidi"/>
          <w:sz w:val="24"/>
          <w:szCs w:val="24"/>
        </w:rPr>
        <w:t xml:space="preserve"> comprehensive</w:t>
      </w:r>
      <w:r>
        <w:rPr>
          <w:rFonts w:asciiTheme="majorBidi" w:hAnsiTheme="majorBidi" w:cstheme="majorBidi"/>
          <w:sz w:val="24"/>
          <w:szCs w:val="24"/>
        </w:rPr>
        <w:t xml:space="preserve"> research program on militias. </w:t>
      </w:r>
      <w:r w:rsidR="003C345D">
        <w:rPr>
          <w:rFonts w:asciiTheme="majorBidi" w:hAnsiTheme="majorBidi" w:cstheme="majorBidi"/>
          <w:sz w:val="24"/>
          <w:szCs w:val="24"/>
        </w:rPr>
        <w:t>Instead, s</w:t>
      </w:r>
      <w:r w:rsidR="0059378C">
        <w:rPr>
          <w:rFonts w:asciiTheme="majorBidi" w:hAnsiTheme="majorBidi" w:cstheme="majorBidi"/>
          <w:sz w:val="24"/>
          <w:szCs w:val="24"/>
        </w:rPr>
        <w:t xml:space="preserve">everal disparate sub-literatures (see chart below) are relevant to </w:t>
      </w:r>
      <w:r w:rsidR="00F70BFA">
        <w:rPr>
          <w:rFonts w:asciiTheme="majorBidi" w:hAnsiTheme="majorBidi" w:cstheme="majorBidi"/>
          <w:sz w:val="24"/>
          <w:szCs w:val="24"/>
        </w:rPr>
        <w:t>the</w:t>
      </w:r>
      <w:r w:rsidR="003C345D">
        <w:rPr>
          <w:rFonts w:asciiTheme="majorBidi" w:hAnsiTheme="majorBidi" w:cstheme="majorBidi"/>
          <w:sz w:val="24"/>
          <w:szCs w:val="24"/>
        </w:rPr>
        <w:t xml:space="preserve"> study of militia control</w:t>
      </w:r>
      <w:r w:rsidR="0059378C">
        <w:rPr>
          <w:rFonts w:asciiTheme="majorBidi" w:hAnsiTheme="majorBidi" w:cstheme="majorBidi"/>
          <w:sz w:val="24"/>
          <w:szCs w:val="24"/>
        </w:rPr>
        <w:t xml:space="preserve">. </w:t>
      </w:r>
      <w:r>
        <w:rPr>
          <w:rFonts w:asciiTheme="majorBidi" w:hAnsiTheme="majorBidi" w:cstheme="majorBidi"/>
          <w:sz w:val="24"/>
          <w:szCs w:val="24"/>
        </w:rPr>
        <w:t xml:space="preserve"> </w:t>
      </w:r>
    </w:p>
    <w:tbl>
      <w:tblPr>
        <w:tblStyle w:val="TableGrid"/>
        <w:tblW w:w="9540" w:type="dxa"/>
        <w:tblLook w:val="04A0" w:firstRow="1" w:lastRow="0" w:firstColumn="1" w:lastColumn="0" w:noHBand="0" w:noVBand="1"/>
      </w:tblPr>
      <w:tblGrid>
        <w:gridCol w:w="2070"/>
        <w:gridCol w:w="3780"/>
        <w:gridCol w:w="3690"/>
      </w:tblGrid>
      <w:tr w:rsidR="00516F7C" w14:paraId="5320241E" w14:textId="77777777" w:rsidTr="003C345D">
        <w:trPr>
          <w:trHeight w:val="368"/>
        </w:trPr>
        <w:tc>
          <w:tcPr>
            <w:tcW w:w="2070" w:type="dxa"/>
            <w:tcBorders>
              <w:top w:val="nil"/>
              <w:left w:val="nil"/>
            </w:tcBorders>
            <w:vAlign w:val="center"/>
          </w:tcPr>
          <w:p w14:paraId="4F643B6C" w14:textId="77777777" w:rsidR="00516F7C" w:rsidRDefault="00516F7C" w:rsidP="00EE2467">
            <w:pPr>
              <w:pStyle w:val="ListParagraph"/>
              <w:ind w:left="0"/>
              <w:jc w:val="center"/>
              <w:rPr>
                <w:rFonts w:ascii="Times New Roman" w:hAnsi="Times New Roman" w:cs="Times New Roman"/>
                <w:b/>
                <w:sz w:val="24"/>
                <w:szCs w:val="24"/>
              </w:rPr>
            </w:pPr>
          </w:p>
        </w:tc>
        <w:tc>
          <w:tcPr>
            <w:tcW w:w="3780" w:type="dxa"/>
            <w:shd w:val="clear" w:color="auto" w:fill="7F7F7F" w:themeFill="text1" w:themeFillTint="80"/>
            <w:vAlign w:val="center"/>
          </w:tcPr>
          <w:p w14:paraId="5348730D" w14:textId="77777777" w:rsidR="00516F7C" w:rsidRDefault="00516F7C" w:rsidP="00EE2467">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Pro-state</w:t>
            </w:r>
          </w:p>
        </w:tc>
        <w:tc>
          <w:tcPr>
            <w:tcW w:w="3690" w:type="dxa"/>
            <w:shd w:val="clear" w:color="auto" w:fill="7F7F7F" w:themeFill="text1" w:themeFillTint="80"/>
            <w:vAlign w:val="center"/>
          </w:tcPr>
          <w:p w14:paraId="1D72AB3E" w14:textId="77777777" w:rsidR="00516F7C" w:rsidRDefault="00516F7C" w:rsidP="00EE2467">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Pro-insurgency</w:t>
            </w:r>
          </w:p>
        </w:tc>
      </w:tr>
      <w:tr w:rsidR="00516F7C" w14:paraId="7EE6E7C0" w14:textId="77777777" w:rsidTr="003C345D">
        <w:trPr>
          <w:trHeight w:val="440"/>
        </w:trPr>
        <w:tc>
          <w:tcPr>
            <w:tcW w:w="2070" w:type="dxa"/>
            <w:shd w:val="clear" w:color="auto" w:fill="7F7F7F" w:themeFill="text1" w:themeFillTint="80"/>
            <w:vAlign w:val="center"/>
          </w:tcPr>
          <w:p w14:paraId="13166E64" w14:textId="77777777" w:rsidR="00516F7C" w:rsidRDefault="00516F7C" w:rsidP="00EE2467">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Foreign presence</w:t>
            </w:r>
          </w:p>
        </w:tc>
        <w:tc>
          <w:tcPr>
            <w:tcW w:w="3780" w:type="dxa"/>
            <w:vAlign w:val="center"/>
          </w:tcPr>
          <w:p w14:paraId="5E959D7C" w14:textId="77777777" w:rsidR="00516F7C" w:rsidRPr="00C306EB" w:rsidRDefault="00516F7C" w:rsidP="00EE246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Foreign militias*</w:t>
            </w:r>
          </w:p>
        </w:tc>
        <w:tc>
          <w:tcPr>
            <w:tcW w:w="3690" w:type="dxa"/>
            <w:vAlign w:val="center"/>
          </w:tcPr>
          <w:p w14:paraId="2CC78FDD" w14:textId="77777777" w:rsidR="00516F7C" w:rsidRPr="00C306EB" w:rsidRDefault="00516F7C" w:rsidP="00EE246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Foreign fighters</w:t>
            </w:r>
            <w:r w:rsidR="00657334">
              <w:rPr>
                <w:rFonts w:ascii="Times New Roman" w:hAnsi="Times New Roman" w:cs="Times New Roman"/>
                <w:sz w:val="24"/>
                <w:szCs w:val="24"/>
              </w:rPr>
              <w:t>*</w:t>
            </w:r>
          </w:p>
        </w:tc>
      </w:tr>
      <w:tr w:rsidR="00516F7C" w14:paraId="5B7791FA" w14:textId="77777777" w:rsidTr="003C345D">
        <w:trPr>
          <w:trHeight w:val="449"/>
        </w:trPr>
        <w:tc>
          <w:tcPr>
            <w:tcW w:w="2070" w:type="dxa"/>
            <w:shd w:val="clear" w:color="auto" w:fill="7F7F7F" w:themeFill="text1" w:themeFillTint="80"/>
            <w:vAlign w:val="center"/>
          </w:tcPr>
          <w:p w14:paraId="7B55A21D" w14:textId="77777777" w:rsidR="00516F7C" w:rsidRDefault="003C345D" w:rsidP="00EE2467">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Little</w:t>
            </w:r>
            <w:r w:rsidR="00516F7C">
              <w:rPr>
                <w:rFonts w:ascii="Times New Roman" w:hAnsi="Times New Roman" w:cs="Times New Roman"/>
                <w:b/>
                <w:sz w:val="24"/>
                <w:szCs w:val="24"/>
              </w:rPr>
              <w:t xml:space="preserve"> foreign presence</w:t>
            </w:r>
          </w:p>
        </w:tc>
        <w:tc>
          <w:tcPr>
            <w:tcW w:w="3780" w:type="dxa"/>
            <w:vAlign w:val="center"/>
          </w:tcPr>
          <w:p w14:paraId="1F392BFF" w14:textId="77777777" w:rsidR="00516F7C" w:rsidRPr="00C306EB" w:rsidRDefault="00516F7C" w:rsidP="00EE246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w:t>
            </w:r>
            <w:r w:rsidR="0059378C">
              <w:rPr>
                <w:rFonts w:ascii="Times New Roman" w:hAnsi="Times New Roman" w:cs="Times New Roman"/>
                <w:sz w:val="24"/>
                <w:szCs w:val="24"/>
              </w:rPr>
              <w:t>rogovernment militia</w:t>
            </w:r>
            <w:r>
              <w:rPr>
                <w:rFonts w:ascii="Times New Roman" w:hAnsi="Times New Roman" w:cs="Times New Roman"/>
                <w:sz w:val="24"/>
                <w:szCs w:val="24"/>
              </w:rPr>
              <w:t>s (can be state-sponsored)</w:t>
            </w:r>
          </w:p>
        </w:tc>
        <w:tc>
          <w:tcPr>
            <w:tcW w:w="3690" w:type="dxa"/>
            <w:vAlign w:val="center"/>
          </w:tcPr>
          <w:p w14:paraId="6F599A0B" w14:textId="77777777" w:rsidR="00516F7C" w:rsidRPr="00C306EB" w:rsidRDefault="00516F7C" w:rsidP="00EE246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Militants/terrorists (can be state-sponsored)</w:t>
            </w:r>
          </w:p>
        </w:tc>
      </w:tr>
    </w:tbl>
    <w:p w14:paraId="152818F0" w14:textId="77777777" w:rsidR="0059378C" w:rsidRPr="003C345D" w:rsidRDefault="00516F7C" w:rsidP="00657334">
      <w:pPr>
        <w:rPr>
          <w:rFonts w:asciiTheme="majorBidi" w:hAnsiTheme="majorBidi" w:cstheme="majorBidi"/>
          <w:sz w:val="20"/>
          <w:szCs w:val="20"/>
        </w:rPr>
      </w:pPr>
      <w:r>
        <w:rPr>
          <w:rFonts w:asciiTheme="majorBidi" w:hAnsiTheme="majorBidi" w:cstheme="majorBidi"/>
          <w:b/>
          <w:bCs/>
          <w:sz w:val="24"/>
          <w:szCs w:val="24"/>
        </w:rPr>
        <w:tab/>
      </w:r>
      <w:r w:rsidRPr="003C345D">
        <w:rPr>
          <w:rFonts w:asciiTheme="majorBidi" w:hAnsiTheme="majorBidi" w:cstheme="majorBidi"/>
          <w:b/>
          <w:bCs/>
          <w:sz w:val="20"/>
          <w:szCs w:val="20"/>
        </w:rPr>
        <w:t>*</w:t>
      </w:r>
      <w:r w:rsidR="003C345D" w:rsidRPr="003C345D">
        <w:rPr>
          <w:rFonts w:asciiTheme="majorBidi" w:hAnsiTheme="majorBidi" w:cstheme="majorBidi"/>
          <w:sz w:val="20"/>
          <w:szCs w:val="20"/>
        </w:rPr>
        <w:t>Literature on this subject is not</w:t>
      </w:r>
      <w:r w:rsidR="0059378C" w:rsidRPr="003C345D">
        <w:rPr>
          <w:rFonts w:asciiTheme="majorBidi" w:hAnsiTheme="majorBidi" w:cstheme="majorBidi"/>
          <w:sz w:val="20"/>
          <w:szCs w:val="20"/>
        </w:rPr>
        <w:t xml:space="preserve"> discussed </w:t>
      </w:r>
      <w:r w:rsidR="00657334" w:rsidRPr="003C345D">
        <w:rPr>
          <w:rFonts w:asciiTheme="majorBidi" w:hAnsiTheme="majorBidi" w:cstheme="majorBidi"/>
          <w:sz w:val="20"/>
          <w:szCs w:val="20"/>
        </w:rPr>
        <w:t xml:space="preserve">in this paper. </w:t>
      </w:r>
    </w:p>
    <w:p w14:paraId="3E515EFE" w14:textId="77777777" w:rsidR="000C0836" w:rsidRDefault="000C0836" w:rsidP="00502D65">
      <w:pPr>
        <w:spacing w:line="480" w:lineRule="auto"/>
        <w:rPr>
          <w:rFonts w:asciiTheme="majorBidi" w:hAnsiTheme="majorBidi" w:cstheme="majorBidi"/>
          <w:sz w:val="24"/>
          <w:szCs w:val="24"/>
        </w:rPr>
      </w:pPr>
      <w:r>
        <w:rPr>
          <w:rFonts w:asciiTheme="majorBidi" w:hAnsiTheme="majorBidi" w:cstheme="majorBidi"/>
          <w:sz w:val="24"/>
          <w:szCs w:val="24"/>
        </w:rPr>
        <w:tab/>
        <w:t xml:space="preserve">In this literature review, I will not discuss the literature on foreign militias and foreign fighters. I do not delve into the foreign militia literature because, to date, it is not a fully developed literature. </w:t>
      </w:r>
      <w:r>
        <w:rPr>
          <w:rFonts w:ascii="Times New Roman" w:hAnsi="Times New Roman" w:cs="Times New Roman"/>
          <w:sz w:val="24"/>
          <w:szCs w:val="24"/>
        </w:rPr>
        <w:t>The term “foreign militias” is not currently being used in the literature; I define foreign militias as: a cohesive</w:t>
      </w:r>
      <w:r w:rsidRPr="00154B09">
        <w:rPr>
          <w:rFonts w:ascii="Times New Roman" w:hAnsi="Times New Roman" w:cs="Times New Roman"/>
          <w:sz w:val="24"/>
          <w:szCs w:val="24"/>
        </w:rPr>
        <w:t xml:space="preserve"> armed group of </w:t>
      </w:r>
      <w:r>
        <w:rPr>
          <w:rFonts w:ascii="Times New Roman" w:hAnsi="Times New Roman" w:cs="Times New Roman"/>
          <w:sz w:val="24"/>
          <w:szCs w:val="24"/>
        </w:rPr>
        <w:t xml:space="preserve">foreign </w:t>
      </w:r>
      <w:r w:rsidRPr="00154B09">
        <w:rPr>
          <w:rFonts w:ascii="Times New Roman" w:hAnsi="Times New Roman" w:cs="Times New Roman"/>
          <w:sz w:val="24"/>
          <w:szCs w:val="24"/>
        </w:rPr>
        <w:t>individuals</w:t>
      </w:r>
      <w:r>
        <w:rPr>
          <w:rFonts w:ascii="Times New Roman" w:hAnsi="Times New Roman" w:cs="Times New Roman"/>
          <w:sz w:val="24"/>
          <w:szCs w:val="24"/>
        </w:rPr>
        <w:t xml:space="preserve"> that operate within the </w:t>
      </w:r>
      <w:r>
        <w:rPr>
          <w:rFonts w:ascii="Times New Roman" w:hAnsi="Times New Roman" w:cs="Times New Roman"/>
          <w:sz w:val="24"/>
          <w:szCs w:val="24"/>
        </w:rPr>
        <w:lastRenderedPageBreak/>
        <w:t xml:space="preserve">confines of a conflict that identify as pro-state, and lack affiliation with an official military organization. Although there are important cases of foreign militias (Liwa </w:t>
      </w:r>
      <w:proofErr w:type="spellStart"/>
      <w:r w:rsidRPr="003E6F33">
        <w:rPr>
          <w:rFonts w:ascii="Times New Roman" w:hAnsi="Times New Roman" w:cs="Times New Roman"/>
          <w:sz w:val="24"/>
          <w:szCs w:val="24"/>
        </w:rPr>
        <w:t>Fatemiyoun</w:t>
      </w:r>
      <w:proofErr w:type="spellEnd"/>
      <w:r>
        <w:rPr>
          <w:rFonts w:ascii="Times New Roman" w:hAnsi="Times New Roman" w:cs="Times New Roman"/>
          <w:sz w:val="24"/>
          <w:szCs w:val="24"/>
        </w:rPr>
        <w:t xml:space="preserve"> – made up of Shi’ite Afghans, and Liwa </w:t>
      </w:r>
      <w:proofErr w:type="spellStart"/>
      <w:r>
        <w:rPr>
          <w:rFonts w:ascii="Times New Roman" w:hAnsi="Times New Roman" w:cs="Times New Roman"/>
          <w:sz w:val="24"/>
          <w:szCs w:val="24"/>
        </w:rPr>
        <w:t>Zainebiyoun</w:t>
      </w:r>
      <w:proofErr w:type="spellEnd"/>
      <w:r>
        <w:rPr>
          <w:rFonts w:ascii="Times New Roman" w:hAnsi="Times New Roman" w:cs="Times New Roman"/>
          <w:sz w:val="24"/>
          <w:szCs w:val="24"/>
        </w:rPr>
        <w:t xml:space="preserve"> – made up of Shi’ite Pakistanis) discussed in policy circles</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it is still unexamined in the academic literature</w:t>
      </w:r>
      <w:r w:rsidR="006E5D11">
        <w:rPr>
          <w:rFonts w:ascii="Times New Roman" w:hAnsi="Times New Roman" w:cs="Times New Roman"/>
          <w:sz w:val="24"/>
          <w:szCs w:val="24"/>
        </w:rPr>
        <w:t>. Although the foreign fighter</w:t>
      </w:r>
      <w:r>
        <w:rPr>
          <w:rFonts w:ascii="Times New Roman" w:hAnsi="Times New Roman" w:cs="Times New Roman"/>
          <w:sz w:val="24"/>
          <w:szCs w:val="24"/>
        </w:rPr>
        <w:t xml:space="preserve"> literature is a comprehensive literature, I do not discuss it because</w:t>
      </w:r>
      <w:r w:rsidR="006E5D11">
        <w:rPr>
          <w:rFonts w:ascii="Times New Roman" w:hAnsi="Times New Roman" w:cs="Times New Roman"/>
          <w:sz w:val="24"/>
          <w:szCs w:val="24"/>
        </w:rPr>
        <w:t xml:space="preserve"> I conceptualize it as an </w:t>
      </w:r>
      <w:r>
        <w:rPr>
          <w:rFonts w:ascii="Times New Roman" w:hAnsi="Times New Roman" w:cs="Times New Roman"/>
          <w:sz w:val="24"/>
          <w:szCs w:val="24"/>
        </w:rPr>
        <w:t>individual-level phenomenon, while militias are a group-level phenomenon.</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For this reason, </w:t>
      </w:r>
      <w:r w:rsidR="006E5D11">
        <w:rPr>
          <w:rFonts w:ascii="Times New Roman" w:hAnsi="Times New Roman" w:cs="Times New Roman"/>
          <w:sz w:val="24"/>
          <w:szCs w:val="24"/>
        </w:rPr>
        <w:t xml:space="preserve">the literature’s insights are less relevant to this specific undertaking. </w:t>
      </w:r>
      <w:r w:rsidR="00502D65">
        <w:rPr>
          <w:rFonts w:ascii="Times New Roman" w:hAnsi="Times New Roman" w:cs="Times New Roman"/>
          <w:sz w:val="24"/>
          <w:szCs w:val="24"/>
        </w:rPr>
        <w:t xml:space="preserve">Finally, I do not discuss Berman and Lake’s </w:t>
      </w:r>
      <w:r w:rsidR="00502D65" w:rsidRPr="00502D65">
        <w:rPr>
          <w:rFonts w:ascii="Times New Roman" w:hAnsi="Times New Roman" w:cs="Times New Roman"/>
          <w:i/>
          <w:iCs/>
          <w:sz w:val="24"/>
          <w:szCs w:val="24"/>
        </w:rPr>
        <w:t xml:space="preserve">Proxy Wars: Suppressing Violence </w:t>
      </w:r>
      <w:r w:rsidR="00012CB3" w:rsidRPr="00502D65">
        <w:rPr>
          <w:rFonts w:ascii="Times New Roman" w:hAnsi="Times New Roman" w:cs="Times New Roman"/>
          <w:i/>
          <w:iCs/>
          <w:sz w:val="24"/>
          <w:szCs w:val="24"/>
        </w:rPr>
        <w:t>through</w:t>
      </w:r>
      <w:r w:rsidR="00502D65" w:rsidRPr="00502D65">
        <w:rPr>
          <w:rFonts w:ascii="Times New Roman" w:hAnsi="Times New Roman" w:cs="Times New Roman"/>
          <w:i/>
          <w:iCs/>
          <w:sz w:val="24"/>
          <w:szCs w:val="24"/>
        </w:rPr>
        <w:t xml:space="preserve"> Local Agents</w:t>
      </w:r>
      <w:r w:rsidR="00502D65">
        <w:rPr>
          <w:rFonts w:ascii="Times New Roman" w:hAnsi="Times New Roman" w:cs="Times New Roman"/>
          <w:sz w:val="24"/>
          <w:szCs w:val="24"/>
        </w:rPr>
        <w:t xml:space="preserve"> in this literature review because I examine it at length in the theory section.</w:t>
      </w:r>
      <w:r w:rsidR="00502D65">
        <w:rPr>
          <w:rStyle w:val="FootnoteReference"/>
          <w:rFonts w:ascii="Times New Roman" w:hAnsi="Times New Roman" w:cs="Times New Roman"/>
          <w:sz w:val="24"/>
          <w:szCs w:val="24"/>
        </w:rPr>
        <w:footnoteReference w:id="7"/>
      </w:r>
      <w:r w:rsidR="00502D65">
        <w:rPr>
          <w:rFonts w:ascii="Times New Roman" w:hAnsi="Times New Roman" w:cs="Times New Roman"/>
          <w:sz w:val="24"/>
          <w:szCs w:val="24"/>
        </w:rPr>
        <w:t xml:space="preserve"> </w:t>
      </w:r>
    </w:p>
    <w:p w14:paraId="52B60BC4" w14:textId="77777777" w:rsidR="00647245" w:rsidRDefault="000C0836" w:rsidP="00D51921">
      <w:pPr>
        <w:spacing w:line="480" w:lineRule="auto"/>
        <w:rPr>
          <w:rFonts w:ascii="Times New Roman" w:hAnsi="Times New Roman" w:cs="Times New Roman"/>
          <w:sz w:val="24"/>
          <w:szCs w:val="24"/>
        </w:rPr>
      </w:pPr>
      <w:r>
        <w:rPr>
          <w:rFonts w:asciiTheme="majorBidi" w:hAnsiTheme="majorBidi" w:cstheme="majorBidi"/>
          <w:sz w:val="24"/>
          <w:szCs w:val="24"/>
        </w:rPr>
        <w:tab/>
      </w:r>
      <w:r w:rsidR="0059378C">
        <w:rPr>
          <w:rFonts w:asciiTheme="majorBidi" w:hAnsiTheme="majorBidi" w:cstheme="majorBidi"/>
          <w:sz w:val="24"/>
          <w:szCs w:val="24"/>
        </w:rPr>
        <w:t xml:space="preserve">The progovernment militias (PGMs) literature </w:t>
      </w:r>
      <w:r w:rsidR="00F70BFA">
        <w:rPr>
          <w:rFonts w:asciiTheme="majorBidi" w:hAnsiTheme="majorBidi" w:cstheme="majorBidi"/>
          <w:sz w:val="24"/>
          <w:szCs w:val="24"/>
        </w:rPr>
        <w:t xml:space="preserve">provides </w:t>
      </w:r>
      <w:r w:rsidR="003C345D">
        <w:rPr>
          <w:rFonts w:asciiTheme="majorBidi" w:hAnsiTheme="majorBidi" w:cstheme="majorBidi"/>
          <w:sz w:val="24"/>
          <w:szCs w:val="24"/>
        </w:rPr>
        <w:t>relevant insights on</w:t>
      </w:r>
      <w:r w:rsidR="0059378C">
        <w:rPr>
          <w:rFonts w:asciiTheme="majorBidi" w:hAnsiTheme="majorBidi" w:cstheme="majorBidi"/>
          <w:sz w:val="24"/>
          <w:szCs w:val="24"/>
        </w:rPr>
        <w:t xml:space="preserve"> variation in state control of militias. </w:t>
      </w:r>
      <w:r w:rsidR="0059378C">
        <w:rPr>
          <w:rFonts w:ascii="Times New Roman" w:hAnsi="Times New Roman" w:cs="Times New Roman"/>
          <w:sz w:val="24"/>
          <w:szCs w:val="24"/>
        </w:rPr>
        <w:t>Carey and Mitchell define PGMs as “armed groups that are linked to government but exist outside the regular security app</w:t>
      </w:r>
      <w:r w:rsidR="00D74366">
        <w:rPr>
          <w:rFonts w:ascii="Times New Roman" w:hAnsi="Times New Roman" w:cs="Times New Roman"/>
          <w:sz w:val="24"/>
          <w:szCs w:val="24"/>
        </w:rPr>
        <w:t>aratus, and have some level of o</w:t>
      </w:r>
      <w:r w:rsidR="0059378C">
        <w:rPr>
          <w:rFonts w:ascii="Times New Roman" w:hAnsi="Times New Roman" w:cs="Times New Roman"/>
          <w:sz w:val="24"/>
          <w:szCs w:val="24"/>
        </w:rPr>
        <w:t>rganization.”</w:t>
      </w:r>
      <w:r w:rsidR="0059378C">
        <w:rPr>
          <w:rStyle w:val="FootnoteReference"/>
          <w:rFonts w:ascii="Times New Roman" w:hAnsi="Times New Roman" w:cs="Times New Roman"/>
          <w:sz w:val="24"/>
          <w:szCs w:val="24"/>
        </w:rPr>
        <w:footnoteReference w:id="8"/>
      </w:r>
      <w:r w:rsidR="0059378C">
        <w:rPr>
          <w:rFonts w:ascii="Times New Roman" w:hAnsi="Times New Roman" w:cs="Times New Roman"/>
          <w:sz w:val="24"/>
          <w:szCs w:val="24"/>
        </w:rPr>
        <w:t xml:space="preserve"> This definition only captures indigenous militias, </w:t>
      </w:r>
      <w:r w:rsidR="00D74366">
        <w:rPr>
          <w:rFonts w:ascii="Times New Roman" w:hAnsi="Times New Roman" w:cs="Times New Roman"/>
          <w:sz w:val="24"/>
          <w:szCs w:val="24"/>
        </w:rPr>
        <w:t>such as the</w:t>
      </w:r>
      <w:r w:rsidR="006E5D11" w:rsidRPr="006E5D11">
        <w:rPr>
          <w:rFonts w:ascii="Times New Roman" w:hAnsi="Times New Roman" w:cs="Times New Roman"/>
          <w:sz w:val="24"/>
          <w:szCs w:val="24"/>
        </w:rPr>
        <w:t xml:space="preserve"> Hindu nationalist </w:t>
      </w:r>
      <w:proofErr w:type="spellStart"/>
      <w:r w:rsidR="006E5D11" w:rsidRPr="006E5D11">
        <w:rPr>
          <w:rFonts w:ascii="Times New Roman" w:hAnsi="Times New Roman" w:cs="Times New Roman"/>
          <w:sz w:val="24"/>
          <w:szCs w:val="24"/>
        </w:rPr>
        <w:t>Rashtriya</w:t>
      </w:r>
      <w:proofErr w:type="spellEnd"/>
      <w:r w:rsidR="006E5D11" w:rsidRPr="006E5D11">
        <w:rPr>
          <w:rFonts w:ascii="Times New Roman" w:hAnsi="Times New Roman" w:cs="Times New Roman"/>
          <w:sz w:val="24"/>
          <w:szCs w:val="24"/>
        </w:rPr>
        <w:t xml:space="preserve"> Swayamsevak Sangh (RSS) in India</w:t>
      </w:r>
      <w:r w:rsidR="00647245">
        <w:rPr>
          <w:rFonts w:ascii="Times New Roman" w:hAnsi="Times New Roman" w:cs="Times New Roman"/>
          <w:sz w:val="24"/>
          <w:szCs w:val="24"/>
        </w:rPr>
        <w:t>,</w:t>
      </w:r>
      <w:r w:rsidR="0059378C">
        <w:rPr>
          <w:rFonts w:ascii="Times New Roman" w:hAnsi="Times New Roman" w:cs="Times New Roman"/>
          <w:sz w:val="24"/>
          <w:szCs w:val="24"/>
        </w:rPr>
        <w:t xml:space="preserve"> and the </w:t>
      </w:r>
      <w:r w:rsidR="0059378C" w:rsidRPr="0059378C">
        <w:rPr>
          <w:rFonts w:ascii="Times New Roman" w:hAnsi="Times New Roman" w:cs="Times New Roman"/>
          <w:sz w:val="24"/>
          <w:szCs w:val="24"/>
        </w:rPr>
        <w:t>Zimbabwe African National Union Patriotic Front militia</w:t>
      </w:r>
      <w:r w:rsidR="0059378C">
        <w:rPr>
          <w:rFonts w:ascii="Times New Roman" w:hAnsi="Times New Roman" w:cs="Times New Roman"/>
          <w:sz w:val="24"/>
          <w:szCs w:val="24"/>
        </w:rPr>
        <w:t xml:space="preserve">. </w:t>
      </w:r>
      <w:r w:rsidR="006E5D11">
        <w:rPr>
          <w:rFonts w:ascii="Times New Roman" w:hAnsi="Times New Roman" w:cs="Times New Roman"/>
          <w:sz w:val="24"/>
          <w:szCs w:val="24"/>
        </w:rPr>
        <w:t xml:space="preserve">Because I focus on Iran-linked militias in the case studies below, it is important to note which Iran-linked militias fit into this definition and which do not. The Iranian Revolutionary Guards Corp (IRGC) and Iran’s </w:t>
      </w:r>
      <w:proofErr w:type="spellStart"/>
      <w:r w:rsidR="006E5D11">
        <w:rPr>
          <w:rFonts w:ascii="Times New Roman" w:hAnsi="Times New Roman" w:cs="Times New Roman"/>
          <w:sz w:val="24"/>
          <w:szCs w:val="24"/>
        </w:rPr>
        <w:t>Basij</w:t>
      </w:r>
      <w:proofErr w:type="spellEnd"/>
      <w:r w:rsidR="006E5D11">
        <w:rPr>
          <w:rFonts w:ascii="Times New Roman" w:hAnsi="Times New Roman" w:cs="Times New Roman"/>
          <w:sz w:val="24"/>
          <w:szCs w:val="24"/>
        </w:rPr>
        <w:t xml:space="preserve"> fit Carey and Mitchell’s definition because they are indigenous Iranian militias. Other </w:t>
      </w:r>
      <w:r w:rsidR="00D51921">
        <w:rPr>
          <w:rFonts w:ascii="Times New Roman" w:hAnsi="Times New Roman" w:cs="Times New Roman"/>
          <w:sz w:val="24"/>
          <w:szCs w:val="24"/>
        </w:rPr>
        <w:t>groups tied to Iran</w:t>
      </w:r>
      <w:r w:rsidR="006E5D11">
        <w:rPr>
          <w:rFonts w:ascii="Times New Roman" w:hAnsi="Times New Roman" w:cs="Times New Roman"/>
          <w:sz w:val="24"/>
          <w:szCs w:val="24"/>
        </w:rPr>
        <w:t xml:space="preserve"> that fit this definition are </w:t>
      </w:r>
      <w:r w:rsidR="00D51921">
        <w:rPr>
          <w:rFonts w:ascii="Times New Roman" w:hAnsi="Times New Roman" w:cs="Times New Roman"/>
          <w:sz w:val="24"/>
          <w:szCs w:val="24"/>
        </w:rPr>
        <w:t>Iraq’s</w:t>
      </w:r>
      <w:r w:rsidR="006E5D11">
        <w:rPr>
          <w:rFonts w:ascii="Times New Roman" w:hAnsi="Times New Roman" w:cs="Times New Roman"/>
          <w:sz w:val="24"/>
          <w:szCs w:val="24"/>
        </w:rPr>
        <w:t xml:space="preserve"> </w:t>
      </w:r>
      <w:r w:rsidR="006E5D11">
        <w:rPr>
          <w:rFonts w:ascii="Times New Roman" w:hAnsi="Times New Roman" w:cs="Times New Roman"/>
          <w:sz w:val="24"/>
          <w:szCs w:val="24"/>
        </w:rPr>
        <w:lastRenderedPageBreak/>
        <w:t xml:space="preserve">Popular Mobilization Forces (PMF, also known as </w:t>
      </w:r>
      <w:proofErr w:type="spellStart"/>
      <w:r w:rsidR="006E5D11" w:rsidRPr="006E5D11">
        <w:rPr>
          <w:rFonts w:ascii="Times New Roman" w:hAnsi="Times New Roman" w:cs="Times New Roman"/>
          <w:sz w:val="24"/>
          <w:szCs w:val="24"/>
        </w:rPr>
        <w:t>Hashd</w:t>
      </w:r>
      <w:proofErr w:type="spellEnd"/>
      <w:r w:rsidR="006E5D11" w:rsidRPr="006E5D11">
        <w:rPr>
          <w:rFonts w:ascii="Times New Roman" w:hAnsi="Times New Roman" w:cs="Times New Roman"/>
          <w:sz w:val="24"/>
          <w:szCs w:val="24"/>
        </w:rPr>
        <w:t xml:space="preserve"> al-Shaabi</w:t>
      </w:r>
      <w:r w:rsidR="006E5D11">
        <w:rPr>
          <w:rFonts w:ascii="Times New Roman" w:hAnsi="Times New Roman" w:cs="Times New Roman"/>
          <w:sz w:val="24"/>
          <w:szCs w:val="24"/>
        </w:rPr>
        <w:t xml:space="preserve">) and </w:t>
      </w:r>
      <w:r w:rsidR="00D51921">
        <w:rPr>
          <w:rFonts w:ascii="Times New Roman" w:hAnsi="Times New Roman" w:cs="Times New Roman"/>
          <w:sz w:val="24"/>
          <w:szCs w:val="24"/>
        </w:rPr>
        <w:t>Syria’s</w:t>
      </w:r>
      <w:r w:rsidR="006E5D11">
        <w:rPr>
          <w:rFonts w:ascii="Times New Roman" w:hAnsi="Times New Roman" w:cs="Times New Roman"/>
          <w:sz w:val="24"/>
          <w:szCs w:val="24"/>
        </w:rPr>
        <w:t xml:space="preserve"> National </w:t>
      </w:r>
      <w:r w:rsidR="00D51921">
        <w:rPr>
          <w:rFonts w:ascii="Times New Roman" w:hAnsi="Times New Roman" w:cs="Times New Roman"/>
          <w:sz w:val="24"/>
          <w:szCs w:val="24"/>
        </w:rPr>
        <w:t xml:space="preserve">Defense Forces (NDF) and </w:t>
      </w:r>
      <w:proofErr w:type="spellStart"/>
      <w:r w:rsidR="00D51921">
        <w:rPr>
          <w:rFonts w:ascii="Times New Roman" w:hAnsi="Times New Roman" w:cs="Times New Roman"/>
          <w:sz w:val="24"/>
          <w:szCs w:val="24"/>
        </w:rPr>
        <w:t>Shabiha</w:t>
      </w:r>
      <w:proofErr w:type="spellEnd"/>
      <w:r w:rsidR="00D51921">
        <w:rPr>
          <w:rFonts w:ascii="Times New Roman" w:hAnsi="Times New Roman" w:cs="Times New Roman"/>
          <w:sz w:val="24"/>
          <w:szCs w:val="24"/>
        </w:rPr>
        <w:t xml:space="preserve"> m</w:t>
      </w:r>
      <w:r w:rsidR="00D51921" w:rsidRPr="00D51921">
        <w:rPr>
          <w:rFonts w:ascii="Times New Roman" w:hAnsi="Times New Roman" w:cs="Times New Roman"/>
          <w:sz w:val="24"/>
          <w:szCs w:val="24"/>
        </w:rPr>
        <w:t>ilitias</w:t>
      </w:r>
      <w:r w:rsidR="00D51921">
        <w:rPr>
          <w:rFonts w:ascii="Times New Roman" w:hAnsi="Times New Roman" w:cs="Times New Roman"/>
          <w:sz w:val="24"/>
          <w:szCs w:val="24"/>
        </w:rPr>
        <w:t xml:space="preserve">. </w:t>
      </w:r>
      <w:r w:rsidR="0059378C">
        <w:rPr>
          <w:rFonts w:ascii="Times New Roman" w:hAnsi="Times New Roman" w:cs="Times New Roman"/>
          <w:sz w:val="24"/>
          <w:szCs w:val="24"/>
        </w:rPr>
        <w:t xml:space="preserve">Importantly, </w:t>
      </w:r>
      <w:r w:rsidR="00D51921">
        <w:rPr>
          <w:rFonts w:ascii="Times New Roman" w:hAnsi="Times New Roman" w:cs="Times New Roman"/>
          <w:sz w:val="24"/>
          <w:szCs w:val="24"/>
        </w:rPr>
        <w:t xml:space="preserve">because </w:t>
      </w:r>
      <w:r w:rsidR="0059378C">
        <w:rPr>
          <w:rFonts w:ascii="Times New Roman" w:hAnsi="Times New Roman" w:cs="Times New Roman"/>
          <w:sz w:val="24"/>
          <w:szCs w:val="24"/>
        </w:rPr>
        <w:t>it excludes state sponsorship of militias in other countries, Iran’s sponsorship of Hezbollah</w:t>
      </w:r>
      <w:r w:rsidR="00647245">
        <w:rPr>
          <w:rFonts w:ascii="Times New Roman" w:hAnsi="Times New Roman" w:cs="Times New Roman"/>
          <w:sz w:val="24"/>
          <w:szCs w:val="24"/>
        </w:rPr>
        <w:t xml:space="preserve"> in Lebanon</w:t>
      </w:r>
      <w:r w:rsidR="006E5D11">
        <w:rPr>
          <w:rFonts w:ascii="Times New Roman" w:hAnsi="Times New Roman" w:cs="Times New Roman"/>
          <w:sz w:val="24"/>
          <w:szCs w:val="24"/>
        </w:rPr>
        <w:t xml:space="preserve"> and Hamas in the Palestinian Territories</w:t>
      </w:r>
      <w:r w:rsidR="00D51921">
        <w:rPr>
          <w:rFonts w:ascii="Times New Roman" w:hAnsi="Times New Roman" w:cs="Times New Roman"/>
          <w:sz w:val="24"/>
          <w:szCs w:val="24"/>
        </w:rPr>
        <w:t xml:space="preserve"> fall outside of the definition</w:t>
      </w:r>
      <w:r w:rsidR="0059378C">
        <w:rPr>
          <w:rFonts w:ascii="Times New Roman" w:hAnsi="Times New Roman" w:cs="Times New Roman"/>
          <w:sz w:val="24"/>
          <w:szCs w:val="24"/>
        </w:rPr>
        <w:t>. To date, this sub-literature</w:t>
      </w:r>
      <w:r w:rsidR="00647245">
        <w:rPr>
          <w:rFonts w:ascii="Times New Roman" w:hAnsi="Times New Roman" w:cs="Times New Roman"/>
          <w:sz w:val="24"/>
          <w:szCs w:val="24"/>
        </w:rPr>
        <w:t xml:space="preserve"> has</w:t>
      </w:r>
      <w:r w:rsidR="0059378C">
        <w:rPr>
          <w:rFonts w:ascii="Times New Roman" w:hAnsi="Times New Roman" w:cs="Times New Roman"/>
          <w:sz w:val="24"/>
          <w:szCs w:val="24"/>
        </w:rPr>
        <w:t xml:space="preserve"> focus</w:t>
      </w:r>
      <w:r w:rsidR="00647245">
        <w:rPr>
          <w:rFonts w:ascii="Times New Roman" w:hAnsi="Times New Roman" w:cs="Times New Roman"/>
          <w:sz w:val="24"/>
          <w:szCs w:val="24"/>
        </w:rPr>
        <w:t>ed</w:t>
      </w:r>
      <w:r w:rsidR="0059378C">
        <w:rPr>
          <w:rFonts w:ascii="Times New Roman" w:hAnsi="Times New Roman" w:cs="Times New Roman"/>
          <w:sz w:val="24"/>
          <w:szCs w:val="24"/>
        </w:rPr>
        <w:t xml:space="preserve"> on typologies of PGMs (Carey and Mitchell</w:t>
      </w:r>
      <w:r w:rsidR="0059378C">
        <w:rPr>
          <w:rStyle w:val="FootnoteReference"/>
          <w:rFonts w:ascii="Times New Roman" w:hAnsi="Times New Roman" w:cs="Times New Roman"/>
          <w:sz w:val="24"/>
          <w:szCs w:val="24"/>
        </w:rPr>
        <w:footnoteReference w:id="9"/>
      </w:r>
      <w:r w:rsidR="00D36C49">
        <w:rPr>
          <w:rFonts w:ascii="Times New Roman" w:hAnsi="Times New Roman" w:cs="Times New Roman"/>
          <w:sz w:val="24"/>
          <w:szCs w:val="24"/>
        </w:rPr>
        <w:t xml:space="preserve">; </w:t>
      </w:r>
      <w:r w:rsidR="0059378C">
        <w:rPr>
          <w:rFonts w:ascii="Times New Roman" w:hAnsi="Times New Roman" w:cs="Times New Roman"/>
          <w:sz w:val="24"/>
          <w:szCs w:val="24"/>
        </w:rPr>
        <w:t>Aliyev</w:t>
      </w:r>
      <w:r w:rsidR="0059378C">
        <w:rPr>
          <w:rStyle w:val="FootnoteReference"/>
          <w:rFonts w:ascii="Times New Roman" w:hAnsi="Times New Roman" w:cs="Times New Roman"/>
          <w:sz w:val="24"/>
          <w:szCs w:val="24"/>
        </w:rPr>
        <w:footnoteReference w:id="10"/>
      </w:r>
      <w:r w:rsidR="00D36C49">
        <w:rPr>
          <w:rFonts w:ascii="Times New Roman" w:hAnsi="Times New Roman" w:cs="Times New Roman"/>
          <w:sz w:val="24"/>
          <w:szCs w:val="24"/>
        </w:rPr>
        <w:t>;</w:t>
      </w:r>
      <w:r w:rsidR="0059378C">
        <w:rPr>
          <w:rFonts w:ascii="Times New Roman" w:hAnsi="Times New Roman" w:cs="Times New Roman"/>
          <w:sz w:val="24"/>
          <w:szCs w:val="24"/>
        </w:rPr>
        <w:t xml:space="preserve"> </w:t>
      </w:r>
      <w:proofErr w:type="spellStart"/>
      <w:r w:rsidR="0059378C">
        <w:rPr>
          <w:rFonts w:ascii="Times New Roman" w:hAnsi="Times New Roman" w:cs="Times New Roman"/>
          <w:sz w:val="24"/>
          <w:szCs w:val="24"/>
        </w:rPr>
        <w:t>Staniland</w:t>
      </w:r>
      <w:proofErr w:type="spellEnd"/>
      <w:r w:rsidR="0059378C">
        <w:rPr>
          <w:rStyle w:val="FootnoteReference"/>
          <w:rFonts w:ascii="Times New Roman" w:hAnsi="Times New Roman" w:cs="Times New Roman"/>
          <w:sz w:val="24"/>
          <w:szCs w:val="24"/>
        </w:rPr>
        <w:footnoteReference w:id="11"/>
      </w:r>
      <w:r w:rsidR="0059378C">
        <w:rPr>
          <w:rFonts w:ascii="Times New Roman" w:hAnsi="Times New Roman" w:cs="Times New Roman"/>
          <w:sz w:val="24"/>
          <w:szCs w:val="24"/>
        </w:rPr>
        <w:t>), the function of PGMs (Stanton</w:t>
      </w:r>
      <w:r w:rsidR="0059378C">
        <w:rPr>
          <w:rStyle w:val="FootnoteReference"/>
          <w:rFonts w:ascii="Times New Roman" w:hAnsi="Times New Roman" w:cs="Times New Roman"/>
          <w:sz w:val="24"/>
          <w:szCs w:val="24"/>
        </w:rPr>
        <w:footnoteReference w:id="12"/>
      </w:r>
      <w:r w:rsidR="0059378C">
        <w:rPr>
          <w:rFonts w:ascii="Times New Roman" w:hAnsi="Times New Roman" w:cs="Times New Roman"/>
          <w:sz w:val="24"/>
          <w:szCs w:val="24"/>
        </w:rPr>
        <w:t>), and the effects that PGMs have on conflicts dynamics (Aliyev</w:t>
      </w:r>
      <w:r w:rsidR="0059378C">
        <w:rPr>
          <w:rStyle w:val="FootnoteReference"/>
          <w:rFonts w:ascii="Times New Roman" w:hAnsi="Times New Roman" w:cs="Times New Roman"/>
          <w:sz w:val="24"/>
          <w:szCs w:val="24"/>
        </w:rPr>
        <w:footnoteReference w:id="13"/>
      </w:r>
      <w:r w:rsidR="0059378C">
        <w:rPr>
          <w:rStyle w:val="FootnoteReference"/>
          <w:rFonts w:ascii="Times New Roman" w:hAnsi="Times New Roman" w:cs="Times New Roman"/>
          <w:sz w:val="24"/>
          <w:szCs w:val="24"/>
        </w:rPr>
        <w:footnoteReference w:id="14"/>
      </w:r>
      <w:r w:rsidR="0059378C">
        <w:rPr>
          <w:rStyle w:val="FootnoteReference"/>
          <w:rFonts w:ascii="Times New Roman" w:hAnsi="Times New Roman" w:cs="Times New Roman"/>
          <w:sz w:val="24"/>
          <w:szCs w:val="24"/>
        </w:rPr>
        <w:footnoteReference w:id="15"/>
      </w:r>
      <w:r w:rsidR="0059378C">
        <w:rPr>
          <w:rFonts w:ascii="Times New Roman" w:hAnsi="Times New Roman" w:cs="Times New Roman"/>
          <w:sz w:val="24"/>
          <w:szCs w:val="24"/>
        </w:rPr>
        <w:t>).</w:t>
      </w:r>
    </w:p>
    <w:p w14:paraId="2CEE41B6" w14:textId="77777777" w:rsidR="003C345D" w:rsidRDefault="00647245" w:rsidP="00850A2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Cary and Mitchell’s 2017 </w:t>
      </w:r>
      <w:r>
        <w:rPr>
          <w:rFonts w:ascii="Times New Roman" w:hAnsi="Times New Roman" w:cs="Times New Roman"/>
          <w:i/>
          <w:iCs/>
          <w:sz w:val="24"/>
          <w:szCs w:val="24"/>
        </w:rPr>
        <w:t>Annual Review</w:t>
      </w:r>
      <w:r>
        <w:rPr>
          <w:rFonts w:ascii="Times New Roman" w:hAnsi="Times New Roman" w:cs="Times New Roman"/>
          <w:sz w:val="24"/>
          <w:szCs w:val="24"/>
        </w:rPr>
        <w:t xml:space="preserve"> article </w:t>
      </w:r>
      <w:r w:rsidR="00DB44A5">
        <w:rPr>
          <w:rFonts w:ascii="Times New Roman" w:hAnsi="Times New Roman" w:cs="Times New Roman"/>
          <w:sz w:val="24"/>
          <w:szCs w:val="24"/>
        </w:rPr>
        <w:t>provides</w:t>
      </w:r>
      <w:r>
        <w:rPr>
          <w:rFonts w:ascii="Times New Roman" w:hAnsi="Times New Roman" w:cs="Times New Roman"/>
          <w:sz w:val="24"/>
          <w:szCs w:val="24"/>
        </w:rPr>
        <w:t xml:space="preserve"> a valuable typology on PGMs. PGMs </w:t>
      </w:r>
      <w:r w:rsidR="00DB44A5">
        <w:rPr>
          <w:rFonts w:ascii="Times New Roman" w:hAnsi="Times New Roman" w:cs="Times New Roman"/>
          <w:sz w:val="24"/>
          <w:szCs w:val="24"/>
        </w:rPr>
        <w:t>are</w:t>
      </w:r>
      <w:r>
        <w:rPr>
          <w:rFonts w:ascii="Times New Roman" w:hAnsi="Times New Roman" w:cs="Times New Roman"/>
          <w:sz w:val="24"/>
          <w:szCs w:val="24"/>
        </w:rPr>
        <w:t xml:space="preserve"> categorized by two dimensions: link to </w:t>
      </w:r>
      <w:r w:rsidR="00ED7E7F">
        <w:rPr>
          <w:rFonts w:ascii="Times New Roman" w:hAnsi="Times New Roman" w:cs="Times New Roman"/>
          <w:sz w:val="24"/>
          <w:szCs w:val="24"/>
        </w:rPr>
        <w:t>the government</w:t>
      </w:r>
      <w:r>
        <w:rPr>
          <w:rFonts w:ascii="Times New Roman" w:hAnsi="Times New Roman" w:cs="Times New Roman"/>
          <w:sz w:val="24"/>
          <w:szCs w:val="24"/>
        </w:rPr>
        <w:t xml:space="preserve"> (semiofficial or informal) and link to society (militia is locally recruited and active or not).</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In addition to their typology, the authors pose, and attempt to </w:t>
      </w:r>
      <w:r w:rsidR="00850A21">
        <w:rPr>
          <w:rFonts w:ascii="Times New Roman" w:hAnsi="Times New Roman" w:cs="Times New Roman"/>
          <w:sz w:val="24"/>
          <w:szCs w:val="24"/>
        </w:rPr>
        <w:t xml:space="preserve">preliminarily </w:t>
      </w:r>
      <w:r>
        <w:rPr>
          <w:rFonts w:ascii="Times New Roman" w:hAnsi="Times New Roman" w:cs="Times New Roman"/>
          <w:sz w:val="24"/>
          <w:szCs w:val="24"/>
        </w:rPr>
        <w:t xml:space="preserve">answer, </w:t>
      </w:r>
      <w:r w:rsidR="00DB44A5">
        <w:rPr>
          <w:rFonts w:ascii="Times New Roman" w:hAnsi="Times New Roman" w:cs="Times New Roman"/>
          <w:sz w:val="24"/>
          <w:szCs w:val="24"/>
        </w:rPr>
        <w:t xml:space="preserve">a key </w:t>
      </w:r>
      <w:r>
        <w:rPr>
          <w:rFonts w:ascii="Times New Roman" w:hAnsi="Times New Roman" w:cs="Times New Roman"/>
          <w:sz w:val="24"/>
          <w:szCs w:val="24"/>
        </w:rPr>
        <w:t>question: “Does the government control the militia or does the militia control the government?”</w:t>
      </w:r>
      <w:r>
        <w:rPr>
          <w:rStyle w:val="FootnoteReference"/>
          <w:rFonts w:ascii="Times New Roman" w:hAnsi="Times New Roman" w:cs="Times New Roman"/>
          <w:sz w:val="24"/>
          <w:szCs w:val="24"/>
        </w:rPr>
        <w:footnoteReference w:id="17"/>
      </w:r>
      <w:r w:rsidR="00DB44A5">
        <w:rPr>
          <w:rFonts w:ascii="Times New Roman" w:hAnsi="Times New Roman" w:cs="Times New Roman"/>
          <w:sz w:val="24"/>
          <w:szCs w:val="24"/>
        </w:rPr>
        <w:t xml:space="preserve"> They contend that control “depends on goal variance and the balance of information between the government and its militia.”</w:t>
      </w:r>
      <w:r w:rsidR="00DB44A5">
        <w:rPr>
          <w:rStyle w:val="FootnoteReference"/>
          <w:rFonts w:ascii="Times New Roman" w:hAnsi="Times New Roman" w:cs="Times New Roman"/>
          <w:sz w:val="24"/>
          <w:szCs w:val="24"/>
        </w:rPr>
        <w:footnoteReference w:id="18"/>
      </w:r>
      <w:r w:rsidR="00DB44A5">
        <w:rPr>
          <w:rFonts w:ascii="Times New Roman" w:hAnsi="Times New Roman" w:cs="Times New Roman"/>
          <w:sz w:val="24"/>
          <w:szCs w:val="24"/>
        </w:rPr>
        <w:t xml:space="preserve"> Militias with “private agendas” and advantages in information will </w:t>
      </w:r>
      <w:r w:rsidR="00850A21">
        <w:rPr>
          <w:rFonts w:ascii="Times New Roman" w:hAnsi="Times New Roman" w:cs="Times New Roman"/>
          <w:sz w:val="24"/>
          <w:szCs w:val="24"/>
        </w:rPr>
        <w:t>be harder for states to control, while</w:t>
      </w:r>
      <w:r w:rsidR="00DB44A5">
        <w:rPr>
          <w:rFonts w:ascii="Times New Roman" w:hAnsi="Times New Roman" w:cs="Times New Roman"/>
          <w:sz w:val="24"/>
          <w:szCs w:val="24"/>
        </w:rPr>
        <w:t xml:space="preserve"> militias with formal ties to the state will be easier to control.</w:t>
      </w:r>
      <w:r w:rsidR="00DB44A5">
        <w:rPr>
          <w:rStyle w:val="FootnoteReference"/>
          <w:rFonts w:ascii="Times New Roman" w:hAnsi="Times New Roman" w:cs="Times New Roman"/>
          <w:sz w:val="24"/>
          <w:szCs w:val="24"/>
        </w:rPr>
        <w:footnoteReference w:id="19"/>
      </w:r>
      <w:r w:rsidR="00DB44A5">
        <w:rPr>
          <w:rFonts w:ascii="Times New Roman" w:hAnsi="Times New Roman" w:cs="Times New Roman"/>
          <w:sz w:val="24"/>
          <w:szCs w:val="24"/>
        </w:rPr>
        <w:t xml:space="preserve"> However, Carey and Mitchell also assert that: weak “control could result from a strategic choice to give discretion to the (informal) security apparatus, or from government weakness in failing states.”</w:t>
      </w:r>
      <w:r w:rsidR="00DB44A5">
        <w:rPr>
          <w:rStyle w:val="FootnoteReference"/>
          <w:rFonts w:ascii="Times New Roman" w:hAnsi="Times New Roman" w:cs="Times New Roman"/>
          <w:sz w:val="24"/>
          <w:szCs w:val="24"/>
        </w:rPr>
        <w:footnoteReference w:id="20"/>
      </w:r>
      <w:r w:rsidR="00DB44A5">
        <w:rPr>
          <w:rFonts w:ascii="Times New Roman" w:hAnsi="Times New Roman" w:cs="Times New Roman"/>
          <w:sz w:val="24"/>
          <w:szCs w:val="24"/>
        </w:rPr>
        <w:t xml:space="preserve"> On the first point, they </w:t>
      </w:r>
      <w:r w:rsidR="00DB44A5">
        <w:rPr>
          <w:rFonts w:ascii="Times New Roman" w:hAnsi="Times New Roman" w:cs="Times New Roman"/>
          <w:sz w:val="24"/>
          <w:szCs w:val="24"/>
        </w:rPr>
        <w:lastRenderedPageBreak/>
        <w:t>envision a scenario where lax state control of militias is actually beneficial to the state</w:t>
      </w:r>
      <w:r w:rsidR="006A44BE">
        <w:rPr>
          <w:rFonts w:ascii="Times New Roman" w:hAnsi="Times New Roman" w:cs="Times New Roman"/>
          <w:sz w:val="24"/>
          <w:szCs w:val="24"/>
        </w:rPr>
        <w:t xml:space="preserve"> (for example, the state can benefit from violence committed by a militia only loosely tied to the state while maintaining plausible deniability)</w:t>
      </w:r>
      <w:r w:rsidR="00850A21">
        <w:rPr>
          <w:rFonts w:ascii="Times New Roman" w:hAnsi="Times New Roman" w:cs="Times New Roman"/>
          <w:sz w:val="24"/>
          <w:szCs w:val="24"/>
        </w:rPr>
        <w:t xml:space="preserve">. On the second point, they </w:t>
      </w:r>
      <w:r w:rsidR="00DB44A5">
        <w:rPr>
          <w:rFonts w:ascii="Times New Roman" w:hAnsi="Times New Roman" w:cs="Times New Roman"/>
          <w:sz w:val="24"/>
          <w:szCs w:val="24"/>
        </w:rPr>
        <w:t>claim that variation in control cou</w:t>
      </w:r>
      <w:r w:rsidR="006A44BE">
        <w:rPr>
          <w:rFonts w:ascii="Times New Roman" w:hAnsi="Times New Roman" w:cs="Times New Roman"/>
          <w:sz w:val="24"/>
          <w:szCs w:val="24"/>
        </w:rPr>
        <w:t>ld be due to national-level factors, such as state capacity</w:t>
      </w:r>
      <w:r w:rsidR="00DB44A5">
        <w:rPr>
          <w:rFonts w:ascii="Times New Roman" w:hAnsi="Times New Roman" w:cs="Times New Roman"/>
          <w:sz w:val="24"/>
          <w:szCs w:val="24"/>
        </w:rPr>
        <w:t xml:space="preserve">. </w:t>
      </w:r>
      <w:r w:rsidR="006A44BE">
        <w:rPr>
          <w:rFonts w:ascii="Times New Roman" w:hAnsi="Times New Roman" w:cs="Times New Roman"/>
          <w:sz w:val="24"/>
          <w:szCs w:val="24"/>
        </w:rPr>
        <w:t>However</w:t>
      </w:r>
      <w:r w:rsidR="00850A21">
        <w:rPr>
          <w:rFonts w:ascii="Times New Roman" w:hAnsi="Times New Roman" w:cs="Times New Roman"/>
          <w:sz w:val="24"/>
          <w:szCs w:val="24"/>
        </w:rPr>
        <w:t>, I will show in this paper that</w:t>
      </w:r>
      <w:r w:rsidR="00DB44A5">
        <w:rPr>
          <w:rFonts w:ascii="Times New Roman" w:hAnsi="Times New Roman" w:cs="Times New Roman"/>
          <w:sz w:val="24"/>
          <w:szCs w:val="24"/>
        </w:rPr>
        <w:t xml:space="preserve"> variation occurs within state</w:t>
      </w:r>
      <w:r w:rsidR="006A44BE">
        <w:rPr>
          <w:rFonts w:ascii="Times New Roman" w:hAnsi="Times New Roman" w:cs="Times New Roman"/>
          <w:sz w:val="24"/>
          <w:szCs w:val="24"/>
        </w:rPr>
        <w:t>s</w:t>
      </w:r>
      <w:r w:rsidR="00DB44A5">
        <w:rPr>
          <w:rFonts w:ascii="Times New Roman" w:hAnsi="Times New Roman" w:cs="Times New Roman"/>
          <w:sz w:val="24"/>
          <w:szCs w:val="24"/>
        </w:rPr>
        <w:t xml:space="preserve">, which points to the necessity of examining additional factors. </w:t>
      </w:r>
    </w:p>
    <w:p w14:paraId="4B5B9EFC" w14:textId="77777777" w:rsidR="0059378C" w:rsidRDefault="003C345D" w:rsidP="00850A21">
      <w:pPr>
        <w:spacing w:line="480" w:lineRule="auto"/>
        <w:rPr>
          <w:rFonts w:ascii="Times New Roman" w:hAnsi="Times New Roman" w:cs="Times New Roman"/>
          <w:sz w:val="24"/>
          <w:szCs w:val="24"/>
        </w:rPr>
      </w:pPr>
      <w:r>
        <w:rPr>
          <w:rFonts w:ascii="Times New Roman" w:hAnsi="Times New Roman" w:cs="Times New Roman"/>
          <w:sz w:val="24"/>
          <w:szCs w:val="24"/>
        </w:rPr>
        <w:tab/>
      </w:r>
      <w:r w:rsidR="0059378C">
        <w:rPr>
          <w:rFonts w:ascii="Times New Roman" w:hAnsi="Times New Roman" w:cs="Times New Roman"/>
          <w:sz w:val="24"/>
          <w:szCs w:val="24"/>
        </w:rPr>
        <w:t xml:space="preserve">Aliyev’s </w:t>
      </w:r>
      <w:r w:rsidR="00850A21">
        <w:rPr>
          <w:rFonts w:ascii="Times New Roman" w:hAnsi="Times New Roman" w:cs="Times New Roman"/>
          <w:sz w:val="24"/>
          <w:szCs w:val="24"/>
        </w:rPr>
        <w:t xml:space="preserve">2016 </w:t>
      </w:r>
      <w:r w:rsidR="00D36C49">
        <w:rPr>
          <w:rFonts w:ascii="Times New Roman" w:hAnsi="Times New Roman" w:cs="Times New Roman"/>
          <w:sz w:val="24"/>
          <w:szCs w:val="24"/>
        </w:rPr>
        <w:t>article differentiating</w:t>
      </w:r>
      <w:r w:rsidR="0059378C">
        <w:rPr>
          <w:rFonts w:ascii="Times New Roman" w:hAnsi="Times New Roman" w:cs="Times New Roman"/>
          <w:sz w:val="24"/>
          <w:szCs w:val="24"/>
        </w:rPr>
        <w:t xml:space="preserve"> between </w:t>
      </w:r>
      <w:r w:rsidR="00D74366">
        <w:rPr>
          <w:rFonts w:ascii="Times New Roman" w:hAnsi="Times New Roman" w:cs="Times New Roman"/>
          <w:sz w:val="24"/>
          <w:szCs w:val="24"/>
        </w:rPr>
        <w:t>“state-manipulated” and “state-parallel” paramilitaries</w:t>
      </w:r>
      <w:r w:rsidR="00D36C49">
        <w:rPr>
          <w:rFonts w:ascii="Times New Roman" w:hAnsi="Times New Roman" w:cs="Times New Roman"/>
          <w:sz w:val="24"/>
          <w:szCs w:val="24"/>
        </w:rPr>
        <w:t xml:space="preserve"> is</w:t>
      </w:r>
      <w:r>
        <w:rPr>
          <w:rFonts w:ascii="Times New Roman" w:hAnsi="Times New Roman" w:cs="Times New Roman"/>
          <w:sz w:val="24"/>
          <w:szCs w:val="24"/>
        </w:rPr>
        <w:t xml:space="preserve"> also</w:t>
      </w:r>
      <w:r w:rsidR="00D36C49">
        <w:rPr>
          <w:rFonts w:ascii="Times New Roman" w:hAnsi="Times New Roman" w:cs="Times New Roman"/>
          <w:sz w:val="24"/>
          <w:szCs w:val="24"/>
        </w:rPr>
        <w:t xml:space="preserve"> useful</w:t>
      </w:r>
      <w:r w:rsidR="00D74366">
        <w:rPr>
          <w:rFonts w:ascii="Times New Roman" w:hAnsi="Times New Roman" w:cs="Times New Roman"/>
          <w:sz w:val="24"/>
          <w:szCs w:val="24"/>
        </w:rPr>
        <w:t xml:space="preserve">. State-manipulated paramilitaries are developed, and funded, by the state for the purpose of carrying out its “dirty work,” such as </w:t>
      </w:r>
      <w:r w:rsidR="00850A21">
        <w:rPr>
          <w:rFonts w:ascii="Times New Roman" w:hAnsi="Times New Roman" w:cs="Times New Roman"/>
          <w:sz w:val="24"/>
          <w:szCs w:val="24"/>
        </w:rPr>
        <w:t>exterminating</w:t>
      </w:r>
      <w:r w:rsidR="00D74366">
        <w:rPr>
          <w:rFonts w:ascii="Times New Roman" w:hAnsi="Times New Roman" w:cs="Times New Roman"/>
          <w:sz w:val="24"/>
          <w:szCs w:val="24"/>
        </w:rPr>
        <w:t xml:space="preserve"> rebels.</w:t>
      </w:r>
      <w:r w:rsidR="00D74366">
        <w:rPr>
          <w:rStyle w:val="FootnoteReference"/>
          <w:rFonts w:ascii="Times New Roman" w:hAnsi="Times New Roman" w:cs="Times New Roman"/>
          <w:sz w:val="24"/>
          <w:szCs w:val="24"/>
        </w:rPr>
        <w:footnoteReference w:id="21"/>
      </w:r>
      <w:r w:rsidR="00D74366">
        <w:rPr>
          <w:rFonts w:ascii="Times New Roman" w:hAnsi="Times New Roman" w:cs="Times New Roman"/>
          <w:sz w:val="24"/>
          <w:szCs w:val="24"/>
        </w:rPr>
        <w:t xml:space="preserve"> State-parallel paramilitaries emerge in weak states during armed conflict to preserve the status quo of behalf of the state.</w:t>
      </w:r>
      <w:r w:rsidR="00D74366">
        <w:rPr>
          <w:rStyle w:val="FootnoteReference"/>
          <w:rFonts w:ascii="Times New Roman" w:hAnsi="Times New Roman" w:cs="Times New Roman"/>
          <w:sz w:val="24"/>
          <w:szCs w:val="24"/>
        </w:rPr>
        <w:footnoteReference w:id="22"/>
      </w:r>
      <w:r w:rsidR="00D36C49">
        <w:rPr>
          <w:rFonts w:ascii="Times New Roman" w:hAnsi="Times New Roman" w:cs="Times New Roman"/>
          <w:sz w:val="24"/>
          <w:szCs w:val="24"/>
        </w:rPr>
        <w:t xml:space="preserve"> This hints at variation in state control: states should theoretically have more control over state-manipulated militias than state-parallel militaries, </w:t>
      </w:r>
      <w:r w:rsidR="00850A21">
        <w:rPr>
          <w:rFonts w:ascii="Times New Roman" w:hAnsi="Times New Roman" w:cs="Times New Roman"/>
          <w:sz w:val="24"/>
          <w:szCs w:val="24"/>
        </w:rPr>
        <w:t>al</w:t>
      </w:r>
      <w:r w:rsidR="00D36C49">
        <w:rPr>
          <w:rFonts w:ascii="Times New Roman" w:hAnsi="Times New Roman" w:cs="Times New Roman"/>
          <w:sz w:val="24"/>
          <w:szCs w:val="24"/>
        </w:rPr>
        <w:t>though</w:t>
      </w:r>
      <w:r w:rsidR="00850A21">
        <w:rPr>
          <w:rFonts w:ascii="Times New Roman" w:hAnsi="Times New Roman" w:cs="Times New Roman"/>
          <w:sz w:val="24"/>
          <w:szCs w:val="24"/>
        </w:rPr>
        <w:t xml:space="preserve"> Aliyev does not explicitly</w:t>
      </w:r>
      <w:r w:rsidR="00D36C49">
        <w:rPr>
          <w:rFonts w:ascii="Times New Roman" w:hAnsi="Times New Roman" w:cs="Times New Roman"/>
          <w:sz w:val="24"/>
          <w:szCs w:val="24"/>
        </w:rPr>
        <w:t xml:space="preserve"> directly address</w:t>
      </w:r>
      <w:r w:rsidR="00C06BF6">
        <w:rPr>
          <w:rFonts w:ascii="Times New Roman" w:hAnsi="Times New Roman" w:cs="Times New Roman"/>
          <w:sz w:val="24"/>
          <w:szCs w:val="24"/>
        </w:rPr>
        <w:t xml:space="preserve"> levels of state control</w:t>
      </w:r>
      <w:r w:rsidR="00D36C49">
        <w:rPr>
          <w:rFonts w:ascii="Times New Roman" w:hAnsi="Times New Roman" w:cs="Times New Roman"/>
          <w:sz w:val="24"/>
          <w:szCs w:val="24"/>
        </w:rPr>
        <w:t xml:space="preserve"> in his article. </w:t>
      </w:r>
    </w:p>
    <w:p w14:paraId="14EF0869" w14:textId="77777777" w:rsidR="00502D65" w:rsidRDefault="00D36C49" w:rsidP="00502D65">
      <w:pPr>
        <w:spacing w:line="480" w:lineRule="auto"/>
        <w:rPr>
          <w:rFonts w:ascii="Times New Roman" w:hAnsi="Times New Roman" w:cs="Times New Roman"/>
          <w:sz w:val="24"/>
          <w:szCs w:val="24"/>
        </w:rPr>
      </w:pPr>
      <w:r>
        <w:rPr>
          <w:rFonts w:ascii="Times New Roman" w:hAnsi="Times New Roman" w:cs="Times New Roman"/>
          <w:sz w:val="24"/>
          <w:szCs w:val="24"/>
        </w:rPr>
        <w:tab/>
      </w:r>
      <w:r w:rsidR="006A44BE">
        <w:rPr>
          <w:rFonts w:ascii="Times New Roman" w:hAnsi="Times New Roman" w:cs="Times New Roman"/>
          <w:sz w:val="24"/>
          <w:szCs w:val="24"/>
        </w:rPr>
        <w:t>Furthermore</w:t>
      </w:r>
      <w:r>
        <w:rPr>
          <w:rFonts w:ascii="Times New Roman" w:hAnsi="Times New Roman" w:cs="Times New Roman"/>
          <w:sz w:val="24"/>
          <w:szCs w:val="24"/>
        </w:rPr>
        <w:t xml:space="preserve">, in “Militias, Ideology, and the State,” </w:t>
      </w:r>
      <w:proofErr w:type="spellStart"/>
      <w:r>
        <w:rPr>
          <w:rFonts w:ascii="Times New Roman" w:hAnsi="Times New Roman" w:cs="Times New Roman"/>
          <w:sz w:val="24"/>
          <w:szCs w:val="24"/>
        </w:rPr>
        <w:t>Staniland</w:t>
      </w:r>
      <w:proofErr w:type="spellEnd"/>
      <w:r>
        <w:rPr>
          <w:rFonts w:ascii="Times New Roman" w:hAnsi="Times New Roman" w:cs="Times New Roman"/>
          <w:sz w:val="24"/>
          <w:szCs w:val="24"/>
        </w:rPr>
        <w:t xml:space="preserve"> </w:t>
      </w:r>
      <w:r w:rsidR="00850A21">
        <w:rPr>
          <w:rFonts w:ascii="Times New Roman" w:hAnsi="Times New Roman" w:cs="Times New Roman"/>
          <w:sz w:val="24"/>
          <w:szCs w:val="24"/>
        </w:rPr>
        <w:t>develops</w:t>
      </w:r>
      <w:r>
        <w:rPr>
          <w:rFonts w:ascii="Times New Roman" w:hAnsi="Times New Roman" w:cs="Times New Roman"/>
          <w:sz w:val="24"/>
          <w:szCs w:val="24"/>
        </w:rPr>
        <w:t xml:space="preserve"> another </w:t>
      </w:r>
      <w:r w:rsidR="00850A21">
        <w:rPr>
          <w:rFonts w:ascii="Times New Roman" w:hAnsi="Times New Roman" w:cs="Times New Roman"/>
          <w:sz w:val="24"/>
          <w:szCs w:val="24"/>
        </w:rPr>
        <w:t xml:space="preserve">beneficial </w:t>
      </w:r>
      <w:r>
        <w:rPr>
          <w:rFonts w:ascii="Times New Roman" w:hAnsi="Times New Roman" w:cs="Times New Roman"/>
          <w:sz w:val="24"/>
          <w:szCs w:val="24"/>
        </w:rPr>
        <w:t>typology of state-militia relations.</w:t>
      </w:r>
      <w:r w:rsidR="00C06BF6">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The approaches that states can take towards militias are: suppression, incorporation, containment, and collusion. </w:t>
      </w:r>
      <w:r w:rsidR="005B728F">
        <w:rPr>
          <w:rFonts w:ascii="Times New Roman" w:hAnsi="Times New Roman" w:cs="Times New Roman"/>
          <w:sz w:val="24"/>
          <w:szCs w:val="24"/>
        </w:rPr>
        <w:t>C</w:t>
      </w:r>
      <w:r>
        <w:rPr>
          <w:rFonts w:ascii="Times New Roman" w:hAnsi="Times New Roman" w:cs="Times New Roman"/>
          <w:sz w:val="24"/>
          <w:szCs w:val="24"/>
        </w:rPr>
        <w:t>ollusion ranges from deep collusi</w:t>
      </w:r>
      <w:r w:rsidR="00C06BF6">
        <w:rPr>
          <w:rFonts w:ascii="Times New Roman" w:hAnsi="Times New Roman" w:cs="Times New Roman"/>
          <w:sz w:val="24"/>
          <w:szCs w:val="24"/>
        </w:rPr>
        <w:t xml:space="preserve">on (armed allies) to collusion (business partners) to thin collusion (strange bedfellows). Although </w:t>
      </w:r>
      <w:proofErr w:type="spellStart"/>
      <w:r w:rsidR="00C06BF6">
        <w:rPr>
          <w:rFonts w:ascii="Times New Roman" w:hAnsi="Times New Roman" w:cs="Times New Roman"/>
          <w:sz w:val="24"/>
          <w:szCs w:val="24"/>
        </w:rPr>
        <w:t>Staniland</w:t>
      </w:r>
      <w:proofErr w:type="spellEnd"/>
      <w:r w:rsidR="00C06BF6">
        <w:rPr>
          <w:rFonts w:ascii="Times New Roman" w:hAnsi="Times New Roman" w:cs="Times New Roman"/>
          <w:sz w:val="24"/>
          <w:szCs w:val="24"/>
        </w:rPr>
        <w:t xml:space="preserve"> </w:t>
      </w:r>
      <w:r w:rsidR="00DC4764">
        <w:rPr>
          <w:rFonts w:ascii="Times New Roman" w:hAnsi="Times New Roman" w:cs="Times New Roman"/>
          <w:sz w:val="24"/>
          <w:szCs w:val="24"/>
        </w:rPr>
        <w:t xml:space="preserve">does not explicitly address </w:t>
      </w:r>
      <w:r w:rsidR="00C06BF6">
        <w:rPr>
          <w:rFonts w:ascii="Times New Roman" w:hAnsi="Times New Roman" w:cs="Times New Roman"/>
          <w:sz w:val="24"/>
          <w:szCs w:val="24"/>
        </w:rPr>
        <w:t>control</w:t>
      </w:r>
      <w:r w:rsidR="00DC4764">
        <w:rPr>
          <w:rFonts w:ascii="Times New Roman" w:hAnsi="Times New Roman" w:cs="Times New Roman"/>
          <w:sz w:val="24"/>
          <w:szCs w:val="24"/>
        </w:rPr>
        <w:t xml:space="preserve"> dynamics</w:t>
      </w:r>
      <w:r w:rsidR="00C06BF6">
        <w:rPr>
          <w:rFonts w:ascii="Times New Roman" w:hAnsi="Times New Roman" w:cs="Times New Roman"/>
          <w:sz w:val="24"/>
          <w:szCs w:val="24"/>
        </w:rPr>
        <w:t xml:space="preserve">, he </w:t>
      </w:r>
      <w:r w:rsidR="00DC4764">
        <w:rPr>
          <w:rFonts w:ascii="Times New Roman" w:hAnsi="Times New Roman" w:cs="Times New Roman"/>
          <w:sz w:val="24"/>
          <w:szCs w:val="24"/>
        </w:rPr>
        <w:t>states</w:t>
      </w:r>
      <w:r w:rsidR="00C06BF6">
        <w:rPr>
          <w:rFonts w:ascii="Times New Roman" w:hAnsi="Times New Roman" w:cs="Times New Roman"/>
          <w:sz w:val="24"/>
          <w:szCs w:val="24"/>
        </w:rPr>
        <w:t xml:space="preserve"> that </w:t>
      </w:r>
      <w:r w:rsidR="005B728F">
        <w:rPr>
          <w:rFonts w:ascii="Times New Roman" w:hAnsi="Times New Roman" w:cs="Times New Roman"/>
          <w:sz w:val="24"/>
          <w:szCs w:val="24"/>
        </w:rPr>
        <w:t>business partner militias</w:t>
      </w:r>
      <w:r w:rsidR="00C06BF6">
        <w:rPr>
          <w:rFonts w:ascii="Times New Roman" w:hAnsi="Times New Roman" w:cs="Times New Roman"/>
          <w:sz w:val="24"/>
          <w:szCs w:val="24"/>
        </w:rPr>
        <w:t xml:space="preserve"> “</w:t>
      </w:r>
      <w:r w:rsidR="00C06BF6" w:rsidRPr="00C06BF6">
        <w:rPr>
          <w:rFonts w:ascii="Times New Roman" w:hAnsi="Times New Roman" w:cs="Times New Roman"/>
          <w:sz w:val="24"/>
          <w:szCs w:val="24"/>
        </w:rPr>
        <w:t>can be valuable local enforcers in excha</w:t>
      </w:r>
      <w:r w:rsidR="005B728F">
        <w:rPr>
          <w:rFonts w:ascii="Times New Roman" w:hAnsi="Times New Roman" w:cs="Times New Roman"/>
          <w:sz w:val="24"/>
          <w:szCs w:val="24"/>
        </w:rPr>
        <w:t>nge for autonomy and resources</w:t>
      </w:r>
      <w:r w:rsidR="00C06BF6">
        <w:rPr>
          <w:rFonts w:ascii="Times New Roman" w:hAnsi="Times New Roman" w:cs="Times New Roman"/>
          <w:sz w:val="24"/>
          <w:szCs w:val="24"/>
        </w:rPr>
        <w:t>.”</w:t>
      </w:r>
      <w:r w:rsidR="00C06BF6">
        <w:rPr>
          <w:rStyle w:val="FootnoteReference"/>
          <w:rFonts w:ascii="Times New Roman" w:hAnsi="Times New Roman" w:cs="Times New Roman"/>
          <w:sz w:val="24"/>
          <w:szCs w:val="24"/>
        </w:rPr>
        <w:footnoteReference w:id="24"/>
      </w:r>
      <w:r w:rsidR="00C06BF6">
        <w:rPr>
          <w:rFonts w:ascii="Times New Roman" w:hAnsi="Times New Roman" w:cs="Times New Roman"/>
          <w:sz w:val="24"/>
          <w:szCs w:val="24"/>
        </w:rPr>
        <w:t xml:space="preserve"> This implies that states exchange low control for cooperation with militias that are a “</w:t>
      </w:r>
      <w:r w:rsidR="00C06BF6" w:rsidRPr="00C06BF6">
        <w:rPr>
          <w:rFonts w:ascii="Times New Roman" w:hAnsi="Times New Roman" w:cs="Times New Roman"/>
          <w:sz w:val="24"/>
          <w:szCs w:val="24"/>
        </w:rPr>
        <w:t>gray zone ideological fit with a government that are also operationally useful</w:t>
      </w:r>
      <w:r w:rsidR="00C06BF6">
        <w:rPr>
          <w:rFonts w:ascii="Times New Roman" w:hAnsi="Times New Roman" w:cs="Times New Roman"/>
          <w:sz w:val="24"/>
          <w:szCs w:val="24"/>
        </w:rPr>
        <w:t>.”</w:t>
      </w:r>
      <w:r w:rsidR="00C06BF6">
        <w:rPr>
          <w:rStyle w:val="FootnoteReference"/>
          <w:rFonts w:ascii="Times New Roman" w:hAnsi="Times New Roman" w:cs="Times New Roman"/>
          <w:sz w:val="24"/>
          <w:szCs w:val="24"/>
        </w:rPr>
        <w:footnoteReference w:id="25"/>
      </w:r>
      <w:r w:rsidR="005B728F">
        <w:rPr>
          <w:rFonts w:ascii="Times New Roman" w:hAnsi="Times New Roman" w:cs="Times New Roman"/>
          <w:sz w:val="24"/>
          <w:szCs w:val="24"/>
        </w:rPr>
        <w:t xml:space="preserve"> His article is also </w:t>
      </w:r>
      <w:r w:rsidR="000439F4">
        <w:rPr>
          <w:rFonts w:ascii="Times New Roman" w:hAnsi="Times New Roman" w:cs="Times New Roman"/>
          <w:sz w:val="24"/>
          <w:szCs w:val="24"/>
        </w:rPr>
        <w:t>pertinent</w:t>
      </w:r>
      <w:r w:rsidR="005B728F">
        <w:rPr>
          <w:rFonts w:ascii="Times New Roman" w:hAnsi="Times New Roman" w:cs="Times New Roman"/>
          <w:sz w:val="24"/>
          <w:szCs w:val="24"/>
        </w:rPr>
        <w:t xml:space="preserve"> because it </w:t>
      </w:r>
      <w:r w:rsidR="005B728F">
        <w:rPr>
          <w:rFonts w:ascii="Times New Roman" w:hAnsi="Times New Roman" w:cs="Times New Roman"/>
          <w:sz w:val="24"/>
          <w:szCs w:val="24"/>
        </w:rPr>
        <w:lastRenderedPageBreak/>
        <w:t xml:space="preserve">highlights the importance of “ideological fit” in the strategies that states choose to adopt. According to </w:t>
      </w:r>
      <w:proofErr w:type="spellStart"/>
      <w:r w:rsidR="005B728F">
        <w:rPr>
          <w:rFonts w:ascii="Times New Roman" w:hAnsi="Times New Roman" w:cs="Times New Roman"/>
          <w:sz w:val="24"/>
          <w:szCs w:val="24"/>
        </w:rPr>
        <w:t>Staniland</w:t>
      </w:r>
      <w:proofErr w:type="spellEnd"/>
      <w:r w:rsidR="005B728F">
        <w:rPr>
          <w:rFonts w:ascii="Times New Roman" w:hAnsi="Times New Roman" w:cs="Times New Roman"/>
          <w:sz w:val="24"/>
          <w:szCs w:val="24"/>
        </w:rPr>
        <w:t>, there “</w:t>
      </w:r>
      <w:r w:rsidR="005B728F" w:rsidRPr="005B728F">
        <w:rPr>
          <w:rFonts w:ascii="Times New Roman" w:hAnsi="Times New Roman" w:cs="Times New Roman"/>
          <w:sz w:val="24"/>
          <w:szCs w:val="24"/>
        </w:rPr>
        <w:t>is a deeper ideological politics at work that influences both which regimes are open to using militias and which kinds of groups are seen as potential partners.</w:t>
      </w:r>
      <w:r w:rsidR="005B728F">
        <w:rPr>
          <w:rFonts w:ascii="Times New Roman" w:hAnsi="Times New Roman" w:cs="Times New Roman"/>
          <w:sz w:val="24"/>
          <w:szCs w:val="24"/>
        </w:rPr>
        <w:t>”</w:t>
      </w:r>
      <w:r w:rsidR="005B728F">
        <w:rPr>
          <w:rStyle w:val="FootnoteReference"/>
          <w:rFonts w:ascii="Times New Roman" w:hAnsi="Times New Roman" w:cs="Times New Roman"/>
          <w:sz w:val="24"/>
          <w:szCs w:val="24"/>
        </w:rPr>
        <w:footnoteReference w:id="26"/>
      </w:r>
      <w:r w:rsidR="005B728F">
        <w:rPr>
          <w:rFonts w:ascii="Times New Roman" w:hAnsi="Times New Roman" w:cs="Times New Roman"/>
          <w:sz w:val="24"/>
          <w:szCs w:val="24"/>
        </w:rPr>
        <w:t xml:space="preserve"> However, state ideology (which </w:t>
      </w:r>
      <w:r w:rsidR="00502D65">
        <w:rPr>
          <w:rFonts w:ascii="Times New Roman" w:hAnsi="Times New Roman" w:cs="Times New Roman"/>
          <w:sz w:val="24"/>
          <w:szCs w:val="24"/>
        </w:rPr>
        <w:t xml:space="preserve">he states </w:t>
      </w:r>
      <w:r w:rsidR="005B728F">
        <w:rPr>
          <w:rFonts w:ascii="Times New Roman" w:hAnsi="Times New Roman" w:cs="Times New Roman"/>
          <w:sz w:val="24"/>
          <w:szCs w:val="24"/>
        </w:rPr>
        <w:t>emanates from a state’s current “ideological project”) is notoriously difficult to operationalize and measure. This is especially the case becaus</w:t>
      </w:r>
      <w:r w:rsidR="00502D65">
        <w:rPr>
          <w:rFonts w:ascii="Times New Roman" w:hAnsi="Times New Roman" w:cs="Times New Roman"/>
          <w:sz w:val="24"/>
          <w:szCs w:val="24"/>
        </w:rPr>
        <w:t xml:space="preserve">e projects can shift over time. Nevertheless, I agree with </w:t>
      </w:r>
      <w:proofErr w:type="spellStart"/>
      <w:r w:rsidR="00502D65">
        <w:rPr>
          <w:rFonts w:ascii="Times New Roman" w:hAnsi="Times New Roman" w:cs="Times New Roman"/>
          <w:sz w:val="24"/>
          <w:szCs w:val="24"/>
        </w:rPr>
        <w:t>Staniland</w:t>
      </w:r>
      <w:proofErr w:type="spellEnd"/>
      <w:r w:rsidR="00502D65">
        <w:rPr>
          <w:rFonts w:ascii="Times New Roman" w:hAnsi="Times New Roman" w:cs="Times New Roman"/>
          <w:sz w:val="24"/>
          <w:szCs w:val="24"/>
        </w:rPr>
        <w:t xml:space="preserve"> that ideological fit is a key determinant of the relationship between states and militias, as will be discussed in my theory section below.</w:t>
      </w:r>
    </w:p>
    <w:p w14:paraId="312255F9" w14:textId="77777777" w:rsidR="0059378C" w:rsidRDefault="000439F4" w:rsidP="00502D65">
      <w:pPr>
        <w:spacing w:line="480" w:lineRule="auto"/>
        <w:rPr>
          <w:rFonts w:ascii="Times New Roman" w:hAnsi="Times New Roman" w:cs="Times New Roman"/>
          <w:sz w:val="24"/>
          <w:szCs w:val="24"/>
        </w:rPr>
      </w:pPr>
      <w:r>
        <w:rPr>
          <w:rFonts w:ascii="Times New Roman" w:hAnsi="Times New Roman" w:cs="Times New Roman"/>
          <w:sz w:val="24"/>
          <w:szCs w:val="24"/>
        </w:rPr>
        <w:tab/>
        <w:t>The state-sponsorship of m</w:t>
      </w:r>
      <w:r w:rsidR="00802CE2">
        <w:rPr>
          <w:rFonts w:ascii="Times New Roman" w:hAnsi="Times New Roman" w:cs="Times New Roman"/>
          <w:sz w:val="24"/>
          <w:szCs w:val="24"/>
        </w:rPr>
        <w:t>ilitants/terrorists</w:t>
      </w:r>
      <w:r>
        <w:rPr>
          <w:rFonts w:ascii="Times New Roman" w:hAnsi="Times New Roman" w:cs="Times New Roman"/>
          <w:sz w:val="24"/>
          <w:szCs w:val="24"/>
        </w:rPr>
        <w:t xml:space="preserve"> literature</w:t>
      </w:r>
      <w:r w:rsidR="00F70BFA">
        <w:rPr>
          <w:rFonts w:ascii="Times New Roman" w:hAnsi="Times New Roman" w:cs="Times New Roman"/>
          <w:sz w:val="24"/>
          <w:szCs w:val="24"/>
        </w:rPr>
        <w:t xml:space="preserve"> is relevant to militia control</w:t>
      </w:r>
      <w:r w:rsidR="00802CE2">
        <w:rPr>
          <w:rFonts w:ascii="Times New Roman" w:hAnsi="Times New Roman" w:cs="Times New Roman"/>
          <w:sz w:val="24"/>
          <w:szCs w:val="24"/>
        </w:rPr>
        <w:t xml:space="preserve"> because</w:t>
      </w:r>
      <w:r w:rsidR="00DC4764">
        <w:rPr>
          <w:rFonts w:ascii="Times New Roman" w:hAnsi="Times New Roman" w:cs="Times New Roman"/>
          <w:sz w:val="24"/>
          <w:szCs w:val="24"/>
        </w:rPr>
        <w:t xml:space="preserve"> much of the scholarship utilizes </w:t>
      </w:r>
      <w:r w:rsidR="00802CE2">
        <w:rPr>
          <w:rFonts w:ascii="Times New Roman" w:hAnsi="Times New Roman" w:cs="Times New Roman"/>
          <w:sz w:val="24"/>
          <w:szCs w:val="24"/>
        </w:rPr>
        <w:t>principal-agent theory.</w:t>
      </w:r>
      <w:r w:rsidR="00F70BFA">
        <w:rPr>
          <w:rFonts w:ascii="Times New Roman" w:hAnsi="Times New Roman" w:cs="Times New Roman"/>
          <w:sz w:val="24"/>
          <w:szCs w:val="24"/>
        </w:rPr>
        <w:t xml:space="preserve"> While principal-agent theory can be a useful framework to analyze state-militia relations, its current dominance is problematic (more on this below).</w:t>
      </w:r>
      <w:r w:rsidR="00802CE2">
        <w:rPr>
          <w:rFonts w:ascii="Times New Roman" w:hAnsi="Times New Roman" w:cs="Times New Roman"/>
          <w:sz w:val="24"/>
          <w:szCs w:val="24"/>
        </w:rPr>
        <w:t xml:space="preserve"> </w:t>
      </w:r>
      <w:proofErr w:type="spellStart"/>
      <w:r w:rsidR="00802CE2">
        <w:rPr>
          <w:rFonts w:ascii="Times New Roman" w:hAnsi="Times New Roman" w:cs="Times New Roman"/>
          <w:sz w:val="24"/>
          <w:szCs w:val="24"/>
        </w:rPr>
        <w:t>Byman</w:t>
      </w:r>
      <w:proofErr w:type="spellEnd"/>
      <w:r w:rsidR="00802CE2">
        <w:rPr>
          <w:rFonts w:ascii="Times New Roman" w:hAnsi="Times New Roman" w:cs="Times New Roman"/>
          <w:sz w:val="24"/>
          <w:szCs w:val="24"/>
        </w:rPr>
        <w:t xml:space="preserve"> and Kreps </w:t>
      </w:r>
      <w:r w:rsidR="00DC4764">
        <w:rPr>
          <w:rFonts w:ascii="Times New Roman" w:hAnsi="Times New Roman" w:cs="Times New Roman"/>
          <w:sz w:val="24"/>
          <w:szCs w:val="24"/>
        </w:rPr>
        <w:t>apply</w:t>
      </w:r>
      <w:r w:rsidR="00802CE2">
        <w:rPr>
          <w:rFonts w:ascii="Times New Roman" w:hAnsi="Times New Roman" w:cs="Times New Roman"/>
          <w:sz w:val="24"/>
          <w:szCs w:val="24"/>
        </w:rPr>
        <w:t xml:space="preserve"> principal-agent theory to state-sponsored terrorism to explain “why states delegate to terrorist groups, how they seek to control their agents, and the tensions in the relationship.”</w:t>
      </w:r>
      <w:r w:rsidR="00802CE2">
        <w:rPr>
          <w:rStyle w:val="FootnoteReference"/>
          <w:rFonts w:ascii="Times New Roman" w:hAnsi="Times New Roman" w:cs="Times New Roman"/>
          <w:sz w:val="24"/>
          <w:szCs w:val="24"/>
        </w:rPr>
        <w:footnoteReference w:id="27"/>
      </w:r>
      <w:r w:rsidR="00802CE2">
        <w:rPr>
          <w:rFonts w:ascii="Times New Roman" w:hAnsi="Times New Roman" w:cs="Times New Roman"/>
          <w:sz w:val="24"/>
          <w:szCs w:val="24"/>
        </w:rPr>
        <w:t xml:space="preserve"> </w:t>
      </w:r>
      <w:r w:rsidR="00A5325E">
        <w:rPr>
          <w:rFonts w:ascii="Times New Roman" w:hAnsi="Times New Roman" w:cs="Times New Roman"/>
          <w:sz w:val="24"/>
          <w:szCs w:val="24"/>
        </w:rPr>
        <w:t>The authors’ discussion of control mechanisms</w:t>
      </w:r>
      <w:r w:rsidR="00AC65B0">
        <w:rPr>
          <w:rFonts w:ascii="Times New Roman" w:hAnsi="Times New Roman" w:cs="Times New Roman"/>
          <w:sz w:val="24"/>
          <w:szCs w:val="24"/>
        </w:rPr>
        <w:t>,</w:t>
      </w:r>
      <w:r w:rsidR="00A5325E">
        <w:rPr>
          <w:rFonts w:ascii="Times New Roman" w:hAnsi="Times New Roman" w:cs="Times New Roman"/>
          <w:sz w:val="24"/>
          <w:szCs w:val="24"/>
        </w:rPr>
        <w:t xml:space="preserve"> and of the pros and cons of high state control are </w:t>
      </w:r>
      <w:r w:rsidR="00DC4764">
        <w:rPr>
          <w:rFonts w:ascii="Times New Roman" w:hAnsi="Times New Roman" w:cs="Times New Roman"/>
          <w:sz w:val="24"/>
          <w:szCs w:val="24"/>
        </w:rPr>
        <w:t>important</w:t>
      </w:r>
      <w:r w:rsidR="00802CE2">
        <w:rPr>
          <w:rFonts w:ascii="Times New Roman" w:hAnsi="Times New Roman" w:cs="Times New Roman"/>
          <w:sz w:val="24"/>
          <w:szCs w:val="24"/>
        </w:rPr>
        <w:t xml:space="preserve">. </w:t>
      </w:r>
      <w:r w:rsidR="00DC4764">
        <w:rPr>
          <w:rFonts w:ascii="Times New Roman" w:hAnsi="Times New Roman" w:cs="Times New Roman"/>
          <w:sz w:val="24"/>
          <w:szCs w:val="24"/>
        </w:rPr>
        <w:t>In their words, c</w:t>
      </w:r>
      <w:r w:rsidR="00802CE2">
        <w:rPr>
          <w:rFonts w:ascii="Times New Roman" w:hAnsi="Times New Roman" w:cs="Times New Roman"/>
          <w:sz w:val="24"/>
          <w:szCs w:val="24"/>
        </w:rPr>
        <w:t>ontrol mechanisms attempt to “</w:t>
      </w:r>
      <w:r w:rsidR="00802CE2" w:rsidRPr="00802CE2">
        <w:rPr>
          <w:rFonts w:ascii="Times New Roman" w:hAnsi="Times New Roman" w:cs="Times New Roman"/>
          <w:sz w:val="24"/>
          <w:szCs w:val="24"/>
        </w:rPr>
        <w:t>create convergence between agents’ behavior and principals’ objectives.</w:t>
      </w:r>
      <w:r w:rsidR="00802CE2">
        <w:rPr>
          <w:rFonts w:ascii="Times New Roman" w:hAnsi="Times New Roman" w:cs="Times New Roman"/>
          <w:sz w:val="24"/>
          <w:szCs w:val="24"/>
        </w:rPr>
        <w:t>”</w:t>
      </w:r>
      <w:r w:rsidR="00802CE2">
        <w:rPr>
          <w:rStyle w:val="FootnoteReference"/>
          <w:rFonts w:ascii="Times New Roman" w:hAnsi="Times New Roman" w:cs="Times New Roman"/>
          <w:sz w:val="24"/>
          <w:szCs w:val="24"/>
        </w:rPr>
        <w:footnoteReference w:id="28"/>
      </w:r>
      <w:r w:rsidR="00802CE2">
        <w:rPr>
          <w:rFonts w:ascii="Times New Roman" w:hAnsi="Times New Roman" w:cs="Times New Roman"/>
          <w:sz w:val="24"/>
          <w:szCs w:val="24"/>
        </w:rPr>
        <w:t xml:space="preserve"> The first control mechanism is altering the “scope of authority” it assigns to the terrorist group.</w:t>
      </w:r>
      <w:r w:rsidR="00802CE2">
        <w:rPr>
          <w:rStyle w:val="FootnoteReference"/>
          <w:rFonts w:ascii="Times New Roman" w:hAnsi="Times New Roman" w:cs="Times New Roman"/>
          <w:sz w:val="24"/>
          <w:szCs w:val="24"/>
        </w:rPr>
        <w:footnoteReference w:id="29"/>
      </w:r>
      <w:r w:rsidR="00802CE2">
        <w:rPr>
          <w:rFonts w:ascii="Times New Roman" w:hAnsi="Times New Roman" w:cs="Times New Roman"/>
          <w:sz w:val="24"/>
          <w:szCs w:val="24"/>
        </w:rPr>
        <w:t xml:space="preserve"> </w:t>
      </w:r>
      <w:r w:rsidR="00A5325E">
        <w:rPr>
          <w:rFonts w:ascii="Times New Roman" w:hAnsi="Times New Roman" w:cs="Times New Roman"/>
          <w:sz w:val="24"/>
          <w:szCs w:val="24"/>
        </w:rPr>
        <w:t>The second and third mechanisms are monitoring and reporting behavior, and screening and selection procedures.</w:t>
      </w:r>
      <w:r w:rsidR="00A5325E">
        <w:rPr>
          <w:rStyle w:val="FootnoteReference"/>
          <w:rFonts w:ascii="Times New Roman" w:hAnsi="Times New Roman" w:cs="Times New Roman"/>
          <w:sz w:val="24"/>
          <w:szCs w:val="24"/>
        </w:rPr>
        <w:footnoteReference w:id="30"/>
      </w:r>
      <w:r w:rsidR="00A5325E">
        <w:rPr>
          <w:rFonts w:ascii="Times New Roman" w:hAnsi="Times New Roman" w:cs="Times New Roman"/>
          <w:sz w:val="24"/>
          <w:szCs w:val="24"/>
        </w:rPr>
        <w:t xml:space="preserve"> The fourth mechanism is </w:t>
      </w:r>
      <w:r w:rsidR="00EC5F48">
        <w:rPr>
          <w:rFonts w:ascii="Times New Roman" w:hAnsi="Times New Roman" w:cs="Times New Roman"/>
          <w:sz w:val="24"/>
          <w:szCs w:val="24"/>
        </w:rPr>
        <w:t>rewarding</w:t>
      </w:r>
      <w:r w:rsidR="00A5325E">
        <w:rPr>
          <w:rFonts w:ascii="Times New Roman" w:hAnsi="Times New Roman" w:cs="Times New Roman"/>
          <w:sz w:val="24"/>
          <w:szCs w:val="24"/>
        </w:rPr>
        <w:t xml:space="preserve"> agents that act according to the principal’s desires and sanctioning agents that do not.</w:t>
      </w:r>
      <w:r w:rsidR="00A5325E">
        <w:rPr>
          <w:rStyle w:val="FootnoteReference"/>
          <w:rFonts w:ascii="Times New Roman" w:hAnsi="Times New Roman" w:cs="Times New Roman"/>
          <w:sz w:val="24"/>
          <w:szCs w:val="24"/>
        </w:rPr>
        <w:footnoteReference w:id="31"/>
      </w:r>
      <w:r w:rsidR="00A5325E">
        <w:rPr>
          <w:rFonts w:ascii="Times New Roman" w:hAnsi="Times New Roman" w:cs="Times New Roman"/>
          <w:sz w:val="24"/>
          <w:szCs w:val="24"/>
        </w:rPr>
        <w:t xml:space="preserve"> In addition to delineating the different ways that states could try to gain higher levels of control over terrorist groups, </w:t>
      </w:r>
      <w:proofErr w:type="spellStart"/>
      <w:r w:rsidR="00A5325E">
        <w:rPr>
          <w:rFonts w:ascii="Times New Roman" w:hAnsi="Times New Roman" w:cs="Times New Roman"/>
          <w:sz w:val="24"/>
          <w:szCs w:val="24"/>
        </w:rPr>
        <w:t>Byman</w:t>
      </w:r>
      <w:proofErr w:type="spellEnd"/>
      <w:r w:rsidR="00A5325E">
        <w:rPr>
          <w:rFonts w:ascii="Times New Roman" w:hAnsi="Times New Roman" w:cs="Times New Roman"/>
          <w:sz w:val="24"/>
          <w:szCs w:val="24"/>
        </w:rPr>
        <w:t xml:space="preserve"> and Kreps assert </w:t>
      </w:r>
      <w:r w:rsidR="00A5325E">
        <w:rPr>
          <w:rFonts w:ascii="Times New Roman" w:hAnsi="Times New Roman" w:cs="Times New Roman"/>
          <w:sz w:val="24"/>
          <w:szCs w:val="24"/>
        </w:rPr>
        <w:lastRenderedPageBreak/>
        <w:t>that: “</w:t>
      </w:r>
      <w:r w:rsidR="00A5325E" w:rsidRPr="00A5325E">
        <w:rPr>
          <w:rFonts w:ascii="Times New Roman" w:hAnsi="Times New Roman" w:cs="Times New Roman"/>
          <w:sz w:val="24"/>
          <w:szCs w:val="24"/>
        </w:rPr>
        <w:t>whereas less oversight and control increase agent autonomy, this freedom increases the risk of agency losses. Conversely, greater principal oversight and less agent discretion might lead to fewer agency losses and fewer cleavages between principal and agent, but increased risk of exposure.</w:t>
      </w:r>
      <w:r w:rsidR="00A5325E">
        <w:rPr>
          <w:rFonts w:ascii="Times New Roman" w:hAnsi="Times New Roman" w:cs="Times New Roman"/>
          <w:sz w:val="24"/>
          <w:szCs w:val="24"/>
        </w:rPr>
        <w:t>”</w:t>
      </w:r>
      <w:r w:rsidR="00A5325E">
        <w:rPr>
          <w:rStyle w:val="FootnoteReference"/>
          <w:rFonts w:ascii="Times New Roman" w:hAnsi="Times New Roman" w:cs="Times New Roman"/>
          <w:sz w:val="24"/>
          <w:szCs w:val="24"/>
        </w:rPr>
        <w:footnoteReference w:id="32"/>
      </w:r>
      <w:r w:rsidR="00A5325E">
        <w:rPr>
          <w:rFonts w:ascii="Times New Roman" w:hAnsi="Times New Roman" w:cs="Times New Roman"/>
          <w:sz w:val="24"/>
          <w:szCs w:val="24"/>
        </w:rPr>
        <w:t xml:space="preserve"> Furthermore, </w:t>
      </w:r>
      <w:r w:rsidR="002633C2">
        <w:rPr>
          <w:rFonts w:ascii="Times New Roman" w:hAnsi="Times New Roman" w:cs="Times New Roman"/>
          <w:sz w:val="24"/>
          <w:szCs w:val="24"/>
        </w:rPr>
        <w:t>like</w:t>
      </w:r>
      <w:r w:rsidR="00AC65B0">
        <w:rPr>
          <w:rFonts w:ascii="Times New Roman" w:hAnsi="Times New Roman" w:cs="Times New Roman"/>
          <w:sz w:val="24"/>
          <w:szCs w:val="24"/>
        </w:rPr>
        <w:t xml:space="preserve"> </w:t>
      </w:r>
      <w:proofErr w:type="spellStart"/>
      <w:r w:rsidR="00AC65B0">
        <w:rPr>
          <w:rFonts w:ascii="Times New Roman" w:hAnsi="Times New Roman" w:cs="Times New Roman"/>
          <w:sz w:val="24"/>
          <w:szCs w:val="24"/>
        </w:rPr>
        <w:t>Staniland</w:t>
      </w:r>
      <w:proofErr w:type="spellEnd"/>
      <w:r w:rsidR="00AC65B0">
        <w:rPr>
          <w:rFonts w:ascii="Times New Roman" w:hAnsi="Times New Roman" w:cs="Times New Roman"/>
          <w:sz w:val="24"/>
          <w:szCs w:val="24"/>
        </w:rPr>
        <w:t xml:space="preserve">, the scholars </w:t>
      </w:r>
      <w:r w:rsidR="002633C2">
        <w:rPr>
          <w:rFonts w:ascii="Times New Roman" w:hAnsi="Times New Roman" w:cs="Times New Roman"/>
          <w:sz w:val="24"/>
          <w:szCs w:val="24"/>
        </w:rPr>
        <w:t>highlight</w:t>
      </w:r>
      <w:r w:rsidR="00AC65B0">
        <w:rPr>
          <w:rFonts w:ascii="Times New Roman" w:hAnsi="Times New Roman" w:cs="Times New Roman"/>
          <w:sz w:val="24"/>
          <w:szCs w:val="24"/>
        </w:rPr>
        <w:t xml:space="preserve"> ideology</w:t>
      </w:r>
      <w:r w:rsidR="002633C2">
        <w:rPr>
          <w:rFonts w:ascii="Times New Roman" w:hAnsi="Times New Roman" w:cs="Times New Roman"/>
          <w:sz w:val="24"/>
          <w:szCs w:val="24"/>
        </w:rPr>
        <w:t>’s importance</w:t>
      </w:r>
      <w:r w:rsidR="00AC65B0">
        <w:rPr>
          <w:rFonts w:ascii="Times New Roman" w:hAnsi="Times New Roman" w:cs="Times New Roman"/>
          <w:sz w:val="24"/>
          <w:szCs w:val="24"/>
        </w:rPr>
        <w:t>. They write: “</w:t>
      </w:r>
      <w:r w:rsidR="00AC65B0" w:rsidRPr="00AC65B0">
        <w:rPr>
          <w:rFonts w:ascii="Times New Roman" w:hAnsi="Times New Roman" w:cs="Times New Roman"/>
          <w:sz w:val="24"/>
          <w:szCs w:val="24"/>
        </w:rPr>
        <w:t>a strong ideological bond often reduces divergence and thus reduces the need for other control mechanisms.</w:t>
      </w:r>
      <w:r w:rsidR="00AC65B0">
        <w:rPr>
          <w:rFonts w:ascii="Times New Roman" w:hAnsi="Times New Roman" w:cs="Times New Roman"/>
          <w:sz w:val="24"/>
          <w:szCs w:val="24"/>
        </w:rPr>
        <w:t>”</w:t>
      </w:r>
      <w:r w:rsidR="00AC65B0">
        <w:rPr>
          <w:rStyle w:val="FootnoteReference"/>
          <w:rFonts w:ascii="Times New Roman" w:hAnsi="Times New Roman" w:cs="Times New Roman"/>
          <w:sz w:val="24"/>
          <w:szCs w:val="24"/>
        </w:rPr>
        <w:footnoteReference w:id="33"/>
      </w:r>
      <w:r w:rsidR="002633C2">
        <w:rPr>
          <w:rFonts w:ascii="Times New Roman" w:hAnsi="Times New Roman" w:cs="Times New Roman"/>
          <w:sz w:val="24"/>
          <w:szCs w:val="24"/>
        </w:rPr>
        <w:t xml:space="preserve"> However, </w:t>
      </w:r>
      <w:proofErr w:type="spellStart"/>
      <w:r w:rsidR="002633C2">
        <w:rPr>
          <w:rFonts w:ascii="Times New Roman" w:hAnsi="Times New Roman" w:cs="Times New Roman"/>
          <w:sz w:val="24"/>
          <w:szCs w:val="24"/>
        </w:rPr>
        <w:t>Byman</w:t>
      </w:r>
      <w:proofErr w:type="spellEnd"/>
      <w:r w:rsidR="002633C2">
        <w:rPr>
          <w:rFonts w:ascii="Times New Roman" w:hAnsi="Times New Roman" w:cs="Times New Roman"/>
          <w:sz w:val="24"/>
          <w:szCs w:val="24"/>
        </w:rPr>
        <w:t xml:space="preserve"> and Kreps also </w:t>
      </w:r>
      <w:r w:rsidR="00AC65B0">
        <w:rPr>
          <w:rFonts w:ascii="Times New Roman" w:hAnsi="Times New Roman" w:cs="Times New Roman"/>
          <w:sz w:val="24"/>
          <w:szCs w:val="24"/>
        </w:rPr>
        <w:t>highlight the limits of ideological convergence – i</w:t>
      </w:r>
      <w:r w:rsidR="002633C2">
        <w:rPr>
          <w:rFonts w:ascii="Times New Roman" w:hAnsi="Times New Roman" w:cs="Times New Roman"/>
          <w:sz w:val="24"/>
          <w:szCs w:val="24"/>
        </w:rPr>
        <w:t xml:space="preserve">t does not guarantee </w:t>
      </w:r>
      <w:r w:rsidR="00AC65B0">
        <w:rPr>
          <w:rFonts w:ascii="Times New Roman" w:hAnsi="Times New Roman" w:cs="Times New Roman"/>
          <w:sz w:val="24"/>
          <w:szCs w:val="24"/>
        </w:rPr>
        <w:t>alignment.</w:t>
      </w:r>
      <w:r w:rsidR="00AC65B0">
        <w:rPr>
          <w:rStyle w:val="FootnoteReference"/>
          <w:rFonts w:ascii="Times New Roman" w:hAnsi="Times New Roman" w:cs="Times New Roman"/>
          <w:sz w:val="24"/>
          <w:szCs w:val="24"/>
        </w:rPr>
        <w:footnoteReference w:id="34"/>
      </w:r>
      <w:r w:rsidR="00502D65">
        <w:rPr>
          <w:rFonts w:ascii="Times New Roman" w:hAnsi="Times New Roman" w:cs="Times New Roman"/>
          <w:sz w:val="24"/>
          <w:szCs w:val="24"/>
        </w:rPr>
        <w:t xml:space="preserve"> I concur with the authors that interest convergence is critical (and this often depends on factors such as ideology), but I bring in the mechanism of trust to better explain why this is the case. </w:t>
      </w:r>
    </w:p>
    <w:p w14:paraId="0D490348" w14:textId="77777777" w:rsidR="00A209C8" w:rsidRDefault="00AC65B0" w:rsidP="00502D65">
      <w:pPr>
        <w:spacing w:line="480" w:lineRule="auto"/>
        <w:rPr>
          <w:rFonts w:asciiTheme="majorBidi" w:hAnsiTheme="majorBidi" w:cstheme="majorBidi"/>
          <w:sz w:val="24"/>
          <w:szCs w:val="24"/>
        </w:rPr>
      </w:pPr>
      <w:r>
        <w:rPr>
          <w:rFonts w:ascii="Times New Roman" w:hAnsi="Times New Roman" w:cs="Times New Roman"/>
          <w:sz w:val="24"/>
          <w:szCs w:val="24"/>
        </w:rPr>
        <w:tab/>
      </w:r>
      <w:r w:rsidR="00EC5F48">
        <w:rPr>
          <w:rFonts w:asciiTheme="majorBidi" w:hAnsiTheme="majorBidi" w:cstheme="majorBidi"/>
          <w:sz w:val="24"/>
          <w:szCs w:val="24"/>
        </w:rPr>
        <w:t>Additionally</w:t>
      </w:r>
      <w:r w:rsidR="0059378C">
        <w:rPr>
          <w:rFonts w:asciiTheme="majorBidi" w:hAnsiTheme="majorBidi" w:cstheme="majorBidi"/>
          <w:sz w:val="24"/>
          <w:szCs w:val="24"/>
        </w:rPr>
        <w:t>, there is a separate</w:t>
      </w:r>
      <w:r w:rsidR="00F70BFA">
        <w:rPr>
          <w:rFonts w:asciiTheme="majorBidi" w:hAnsiTheme="majorBidi" w:cstheme="majorBidi"/>
          <w:sz w:val="24"/>
          <w:szCs w:val="24"/>
        </w:rPr>
        <w:t xml:space="preserve"> </w:t>
      </w:r>
      <w:r w:rsidR="0059378C">
        <w:rPr>
          <w:rFonts w:asciiTheme="majorBidi" w:hAnsiTheme="majorBidi" w:cstheme="majorBidi"/>
          <w:sz w:val="24"/>
          <w:szCs w:val="24"/>
        </w:rPr>
        <w:t xml:space="preserve">literature on internationalized </w:t>
      </w:r>
      <w:r w:rsidR="00682EA6">
        <w:rPr>
          <w:rFonts w:asciiTheme="majorBidi" w:hAnsiTheme="majorBidi" w:cstheme="majorBidi"/>
          <w:sz w:val="24"/>
          <w:szCs w:val="24"/>
        </w:rPr>
        <w:t>civil wars – which helps explain</w:t>
      </w:r>
      <w:r w:rsidR="00751D70">
        <w:rPr>
          <w:rFonts w:asciiTheme="majorBidi" w:hAnsiTheme="majorBidi" w:cstheme="majorBidi"/>
          <w:sz w:val="24"/>
          <w:szCs w:val="24"/>
        </w:rPr>
        <w:t xml:space="preserve"> outside states’ support of</w:t>
      </w:r>
      <w:r w:rsidR="0059378C">
        <w:rPr>
          <w:rFonts w:asciiTheme="majorBidi" w:hAnsiTheme="majorBidi" w:cstheme="majorBidi"/>
          <w:sz w:val="24"/>
          <w:szCs w:val="24"/>
        </w:rPr>
        <w:t xml:space="preserve"> </w:t>
      </w:r>
      <w:r w:rsidR="00682EA6">
        <w:rPr>
          <w:rFonts w:asciiTheme="majorBidi" w:hAnsiTheme="majorBidi" w:cstheme="majorBidi"/>
          <w:sz w:val="24"/>
          <w:szCs w:val="24"/>
        </w:rPr>
        <w:t>rebel groups</w:t>
      </w:r>
      <w:r w:rsidR="0059378C">
        <w:rPr>
          <w:rFonts w:asciiTheme="majorBidi" w:hAnsiTheme="majorBidi" w:cstheme="majorBidi"/>
          <w:sz w:val="24"/>
          <w:szCs w:val="24"/>
        </w:rPr>
        <w:t xml:space="preserve"> </w:t>
      </w:r>
      <w:r w:rsidR="00EC5F48">
        <w:rPr>
          <w:rFonts w:asciiTheme="majorBidi" w:hAnsiTheme="majorBidi" w:cstheme="majorBidi"/>
          <w:sz w:val="24"/>
          <w:szCs w:val="24"/>
        </w:rPr>
        <w:t>during civil war</w:t>
      </w:r>
      <w:r w:rsidR="00682EA6">
        <w:rPr>
          <w:rFonts w:asciiTheme="majorBidi" w:hAnsiTheme="majorBidi" w:cstheme="majorBidi"/>
          <w:sz w:val="24"/>
          <w:szCs w:val="24"/>
        </w:rPr>
        <w:t xml:space="preserve">. </w:t>
      </w:r>
      <w:r w:rsidR="00EC5F48">
        <w:rPr>
          <w:rFonts w:asciiTheme="majorBidi" w:hAnsiTheme="majorBidi" w:cstheme="majorBidi"/>
          <w:sz w:val="24"/>
          <w:szCs w:val="24"/>
        </w:rPr>
        <w:t xml:space="preserve">An important </w:t>
      </w:r>
      <w:r w:rsidR="00682EA6">
        <w:rPr>
          <w:rFonts w:asciiTheme="majorBidi" w:hAnsiTheme="majorBidi" w:cstheme="majorBidi"/>
          <w:sz w:val="24"/>
          <w:szCs w:val="24"/>
        </w:rPr>
        <w:t>contribution comes from San-</w:t>
      </w:r>
      <w:proofErr w:type="spellStart"/>
      <w:r w:rsidR="00682EA6">
        <w:rPr>
          <w:rFonts w:asciiTheme="majorBidi" w:hAnsiTheme="majorBidi" w:cstheme="majorBidi"/>
          <w:sz w:val="24"/>
          <w:szCs w:val="24"/>
        </w:rPr>
        <w:t>Akca’s</w:t>
      </w:r>
      <w:proofErr w:type="spellEnd"/>
      <w:r w:rsidR="00EC5F48">
        <w:rPr>
          <w:rFonts w:asciiTheme="majorBidi" w:hAnsiTheme="majorBidi" w:cstheme="majorBidi"/>
          <w:sz w:val="24"/>
          <w:szCs w:val="24"/>
        </w:rPr>
        <w:t xml:space="preserve"> book</w:t>
      </w:r>
      <w:r w:rsidR="00682EA6">
        <w:rPr>
          <w:rFonts w:asciiTheme="majorBidi" w:hAnsiTheme="majorBidi" w:cstheme="majorBidi"/>
          <w:sz w:val="24"/>
          <w:szCs w:val="24"/>
        </w:rPr>
        <w:t xml:space="preserve"> </w:t>
      </w:r>
      <w:r w:rsidR="00682EA6">
        <w:rPr>
          <w:rFonts w:asciiTheme="majorBidi" w:hAnsiTheme="majorBidi" w:cstheme="majorBidi"/>
          <w:i/>
          <w:iCs/>
          <w:sz w:val="24"/>
          <w:szCs w:val="24"/>
        </w:rPr>
        <w:t>States in Disguise</w:t>
      </w:r>
      <w:r w:rsidR="00682EA6">
        <w:rPr>
          <w:rFonts w:asciiTheme="majorBidi" w:hAnsiTheme="majorBidi" w:cstheme="majorBidi"/>
          <w:sz w:val="24"/>
          <w:szCs w:val="24"/>
        </w:rPr>
        <w:t>.</w:t>
      </w:r>
      <w:r w:rsidR="00682EA6">
        <w:rPr>
          <w:rStyle w:val="FootnoteReference"/>
          <w:rFonts w:asciiTheme="majorBidi" w:hAnsiTheme="majorBidi" w:cstheme="majorBidi"/>
          <w:sz w:val="24"/>
          <w:szCs w:val="24"/>
        </w:rPr>
        <w:footnoteReference w:id="35"/>
      </w:r>
      <w:r w:rsidR="00682EA6">
        <w:rPr>
          <w:rFonts w:asciiTheme="majorBidi" w:hAnsiTheme="majorBidi" w:cstheme="majorBidi"/>
          <w:sz w:val="24"/>
          <w:szCs w:val="24"/>
        </w:rPr>
        <w:t xml:space="preserve"> </w:t>
      </w:r>
      <w:r w:rsidR="00EC5F48">
        <w:rPr>
          <w:rFonts w:asciiTheme="majorBidi" w:hAnsiTheme="majorBidi" w:cstheme="majorBidi"/>
          <w:sz w:val="24"/>
          <w:szCs w:val="24"/>
        </w:rPr>
        <w:t>San-</w:t>
      </w:r>
      <w:proofErr w:type="spellStart"/>
      <w:r w:rsidR="00EC5F48">
        <w:rPr>
          <w:rFonts w:asciiTheme="majorBidi" w:hAnsiTheme="majorBidi" w:cstheme="majorBidi"/>
          <w:sz w:val="24"/>
          <w:szCs w:val="24"/>
        </w:rPr>
        <w:t>Akca</w:t>
      </w:r>
      <w:proofErr w:type="spellEnd"/>
      <w:r w:rsidR="00EC5F48">
        <w:rPr>
          <w:rFonts w:asciiTheme="majorBidi" w:hAnsiTheme="majorBidi" w:cstheme="majorBidi"/>
          <w:sz w:val="24"/>
          <w:szCs w:val="24"/>
        </w:rPr>
        <w:t xml:space="preserve"> underscores a vital point</w:t>
      </w:r>
      <w:r w:rsidR="00682EA6">
        <w:rPr>
          <w:rFonts w:asciiTheme="majorBidi" w:hAnsiTheme="majorBidi" w:cstheme="majorBidi"/>
          <w:sz w:val="24"/>
          <w:szCs w:val="24"/>
        </w:rPr>
        <w:t>: “The state-centric view of proxy war, which dominated international relations studies until recently, treats nonstate armed groups as subordinate entities, with no autonomous decision-making capacity.”</w:t>
      </w:r>
      <w:r w:rsidR="00682EA6">
        <w:rPr>
          <w:rStyle w:val="FootnoteReference"/>
          <w:rFonts w:asciiTheme="majorBidi" w:hAnsiTheme="majorBidi" w:cstheme="majorBidi"/>
          <w:sz w:val="24"/>
          <w:szCs w:val="24"/>
        </w:rPr>
        <w:footnoteReference w:id="36"/>
      </w:r>
      <w:r w:rsidR="00471906">
        <w:rPr>
          <w:rFonts w:asciiTheme="majorBidi" w:hAnsiTheme="majorBidi" w:cstheme="majorBidi"/>
          <w:sz w:val="24"/>
          <w:szCs w:val="24"/>
        </w:rPr>
        <w:t xml:space="preserve"> To correct for this misleading </w:t>
      </w:r>
      <w:r w:rsidR="00EC5F48">
        <w:rPr>
          <w:rFonts w:asciiTheme="majorBidi" w:hAnsiTheme="majorBidi" w:cstheme="majorBidi"/>
          <w:sz w:val="24"/>
          <w:szCs w:val="24"/>
        </w:rPr>
        <w:t>view</w:t>
      </w:r>
      <w:r w:rsidR="00471906">
        <w:rPr>
          <w:rFonts w:asciiTheme="majorBidi" w:hAnsiTheme="majorBidi" w:cstheme="majorBidi"/>
          <w:sz w:val="24"/>
          <w:szCs w:val="24"/>
        </w:rPr>
        <w:t>, she proposes “distinguish[</w:t>
      </w:r>
      <w:proofErr w:type="spellStart"/>
      <w:r w:rsidR="00471906">
        <w:rPr>
          <w:rFonts w:asciiTheme="majorBidi" w:hAnsiTheme="majorBidi" w:cstheme="majorBidi"/>
          <w:sz w:val="24"/>
          <w:szCs w:val="24"/>
        </w:rPr>
        <w:t>ing</w:t>
      </w:r>
      <w:proofErr w:type="spellEnd"/>
      <w:r w:rsidR="00471906">
        <w:rPr>
          <w:rFonts w:asciiTheme="majorBidi" w:hAnsiTheme="majorBidi" w:cstheme="majorBidi"/>
          <w:sz w:val="24"/>
          <w:szCs w:val="24"/>
        </w:rPr>
        <w:t>] between state selection and rebel selection processes.”</w:t>
      </w:r>
      <w:r w:rsidR="00471906">
        <w:rPr>
          <w:rStyle w:val="FootnoteReference"/>
          <w:rFonts w:asciiTheme="majorBidi" w:hAnsiTheme="majorBidi" w:cstheme="majorBidi"/>
          <w:sz w:val="24"/>
          <w:szCs w:val="24"/>
        </w:rPr>
        <w:footnoteReference w:id="37"/>
      </w:r>
      <w:r w:rsidR="00471906">
        <w:rPr>
          <w:rFonts w:asciiTheme="majorBidi" w:hAnsiTheme="majorBidi" w:cstheme="majorBidi"/>
          <w:sz w:val="24"/>
          <w:szCs w:val="24"/>
        </w:rPr>
        <w:t xml:space="preserve"> By incorporating the preferences and needs of rebel groups, San-</w:t>
      </w:r>
      <w:proofErr w:type="spellStart"/>
      <w:r w:rsidR="00471906">
        <w:rPr>
          <w:rFonts w:asciiTheme="majorBidi" w:hAnsiTheme="majorBidi" w:cstheme="majorBidi"/>
          <w:sz w:val="24"/>
          <w:szCs w:val="24"/>
        </w:rPr>
        <w:t>Akca</w:t>
      </w:r>
      <w:proofErr w:type="spellEnd"/>
      <w:r w:rsidR="00F63262">
        <w:rPr>
          <w:rFonts w:asciiTheme="majorBidi" w:hAnsiTheme="majorBidi" w:cstheme="majorBidi"/>
          <w:sz w:val="24"/>
          <w:szCs w:val="24"/>
        </w:rPr>
        <w:t xml:space="preserve"> tries to move the literature towards viewing </w:t>
      </w:r>
      <w:r w:rsidR="00EC5F48">
        <w:rPr>
          <w:rFonts w:asciiTheme="majorBidi" w:hAnsiTheme="majorBidi" w:cstheme="majorBidi"/>
          <w:sz w:val="24"/>
          <w:szCs w:val="24"/>
        </w:rPr>
        <w:t>external states and rebel groups</w:t>
      </w:r>
      <w:r w:rsidR="00F63262">
        <w:rPr>
          <w:rFonts w:asciiTheme="majorBidi" w:hAnsiTheme="majorBidi" w:cstheme="majorBidi"/>
          <w:sz w:val="24"/>
          <w:szCs w:val="24"/>
        </w:rPr>
        <w:t xml:space="preserve"> as </w:t>
      </w:r>
      <w:r w:rsidR="00EC5F48">
        <w:rPr>
          <w:rFonts w:asciiTheme="majorBidi" w:hAnsiTheme="majorBidi" w:cstheme="majorBidi"/>
          <w:sz w:val="24"/>
          <w:szCs w:val="24"/>
        </w:rPr>
        <w:t>allies</w:t>
      </w:r>
      <w:r w:rsidR="00F63262">
        <w:rPr>
          <w:rFonts w:asciiTheme="majorBidi" w:hAnsiTheme="majorBidi" w:cstheme="majorBidi"/>
          <w:sz w:val="24"/>
          <w:szCs w:val="24"/>
        </w:rPr>
        <w:t>, instead of as</w:t>
      </w:r>
      <w:r w:rsidR="00EC5F48">
        <w:rPr>
          <w:rFonts w:asciiTheme="majorBidi" w:hAnsiTheme="majorBidi" w:cstheme="majorBidi"/>
          <w:sz w:val="24"/>
          <w:szCs w:val="24"/>
        </w:rPr>
        <w:t xml:space="preserve"> superiors and</w:t>
      </w:r>
      <w:r w:rsidR="00F63262">
        <w:rPr>
          <w:rFonts w:asciiTheme="majorBidi" w:hAnsiTheme="majorBidi" w:cstheme="majorBidi"/>
          <w:sz w:val="24"/>
          <w:szCs w:val="24"/>
        </w:rPr>
        <w:t xml:space="preserve"> </w:t>
      </w:r>
      <w:r w:rsidR="00EC5F48">
        <w:rPr>
          <w:rFonts w:asciiTheme="majorBidi" w:hAnsiTheme="majorBidi" w:cstheme="majorBidi"/>
          <w:sz w:val="24"/>
          <w:szCs w:val="24"/>
        </w:rPr>
        <w:t>subordinates</w:t>
      </w:r>
      <w:r w:rsidR="00F63262">
        <w:rPr>
          <w:rFonts w:asciiTheme="majorBidi" w:hAnsiTheme="majorBidi" w:cstheme="majorBidi"/>
          <w:sz w:val="24"/>
          <w:szCs w:val="24"/>
        </w:rPr>
        <w:t>.</w:t>
      </w:r>
      <w:r w:rsidR="00F63262">
        <w:rPr>
          <w:rStyle w:val="FootnoteReference"/>
          <w:rFonts w:asciiTheme="majorBidi" w:hAnsiTheme="majorBidi" w:cstheme="majorBidi"/>
          <w:sz w:val="24"/>
          <w:szCs w:val="24"/>
        </w:rPr>
        <w:footnoteReference w:id="38"/>
      </w:r>
      <w:r w:rsidR="00F63262">
        <w:rPr>
          <w:rFonts w:asciiTheme="majorBidi" w:hAnsiTheme="majorBidi" w:cstheme="majorBidi"/>
          <w:sz w:val="24"/>
          <w:szCs w:val="24"/>
        </w:rPr>
        <w:t xml:space="preserve"> By comparing state-rebel </w:t>
      </w:r>
      <w:r w:rsidR="00EC5F48">
        <w:rPr>
          <w:rFonts w:asciiTheme="majorBidi" w:hAnsiTheme="majorBidi" w:cstheme="majorBidi"/>
          <w:sz w:val="24"/>
          <w:szCs w:val="24"/>
        </w:rPr>
        <w:t xml:space="preserve">group </w:t>
      </w:r>
      <w:r w:rsidR="00F63262">
        <w:rPr>
          <w:rFonts w:asciiTheme="majorBidi" w:hAnsiTheme="majorBidi" w:cstheme="majorBidi"/>
          <w:sz w:val="24"/>
          <w:szCs w:val="24"/>
        </w:rPr>
        <w:t xml:space="preserve">relationships to “alliances and alignments between states,” she explains that “both sides gain some good when </w:t>
      </w:r>
      <w:r w:rsidR="00F63262">
        <w:rPr>
          <w:rFonts w:asciiTheme="majorBidi" w:hAnsiTheme="majorBidi" w:cstheme="majorBidi"/>
          <w:sz w:val="24"/>
          <w:szCs w:val="24"/>
        </w:rPr>
        <w:lastRenderedPageBreak/>
        <w:t>exchanging such support.”</w:t>
      </w:r>
      <w:r w:rsidR="00F63262">
        <w:rPr>
          <w:rStyle w:val="FootnoteReference"/>
          <w:rFonts w:asciiTheme="majorBidi" w:hAnsiTheme="majorBidi" w:cstheme="majorBidi"/>
          <w:sz w:val="24"/>
          <w:szCs w:val="24"/>
        </w:rPr>
        <w:footnoteReference w:id="39"/>
      </w:r>
      <w:r w:rsidR="00F63262">
        <w:rPr>
          <w:rFonts w:asciiTheme="majorBidi" w:hAnsiTheme="majorBidi" w:cstheme="majorBidi"/>
          <w:sz w:val="24"/>
          <w:szCs w:val="24"/>
        </w:rPr>
        <w:t xml:space="preserve"> This more horizontal conception is important because it i</w:t>
      </w:r>
      <w:r w:rsidR="00EC5F48">
        <w:rPr>
          <w:rFonts w:asciiTheme="majorBidi" w:hAnsiTheme="majorBidi" w:cstheme="majorBidi"/>
          <w:sz w:val="24"/>
          <w:szCs w:val="24"/>
        </w:rPr>
        <w:t>mpacts</w:t>
      </w:r>
      <w:r w:rsidR="00F63262">
        <w:rPr>
          <w:rFonts w:asciiTheme="majorBidi" w:hAnsiTheme="majorBidi" w:cstheme="majorBidi"/>
          <w:sz w:val="24"/>
          <w:szCs w:val="24"/>
        </w:rPr>
        <w:t xml:space="preserve"> understandings of state control. </w:t>
      </w:r>
      <w:r w:rsidR="007307C5">
        <w:rPr>
          <w:rFonts w:asciiTheme="majorBidi" w:hAnsiTheme="majorBidi" w:cstheme="majorBidi"/>
          <w:sz w:val="24"/>
          <w:szCs w:val="24"/>
        </w:rPr>
        <w:t>San-</w:t>
      </w:r>
      <w:proofErr w:type="spellStart"/>
      <w:r w:rsidR="007307C5">
        <w:rPr>
          <w:rFonts w:asciiTheme="majorBidi" w:hAnsiTheme="majorBidi" w:cstheme="majorBidi"/>
          <w:sz w:val="24"/>
          <w:szCs w:val="24"/>
        </w:rPr>
        <w:t>Akca</w:t>
      </w:r>
      <w:proofErr w:type="spellEnd"/>
      <w:r w:rsidR="007307C5">
        <w:rPr>
          <w:rFonts w:asciiTheme="majorBidi" w:hAnsiTheme="majorBidi" w:cstheme="majorBidi"/>
          <w:sz w:val="24"/>
          <w:szCs w:val="24"/>
        </w:rPr>
        <w:t xml:space="preserve"> claims that states </w:t>
      </w:r>
      <w:r w:rsidR="00EC5F48">
        <w:rPr>
          <w:rFonts w:asciiTheme="majorBidi" w:hAnsiTheme="majorBidi" w:cstheme="majorBidi"/>
          <w:sz w:val="24"/>
          <w:szCs w:val="24"/>
        </w:rPr>
        <w:t xml:space="preserve">are </w:t>
      </w:r>
      <w:r w:rsidR="007307C5">
        <w:rPr>
          <w:rFonts w:asciiTheme="majorBidi" w:hAnsiTheme="majorBidi" w:cstheme="majorBidi"/>
          <w:sz w:val="24"/>
          <w:szCs w:val="24"/>
        </w:rPr>
        <w:t>“more likely to grant higher levels of autonomy to rebels in operations against the common enemy.”</w:t>
      </w:r>
      <w:r w:rsidR="007307C5">
        <w:rPr>
          <w:rStyle w:val="FootnoteReference"/>
          <w:rFonts w:asciiTheme="majorBidi" w:hAnsiTheme="majorBidi" w:cstheme="majorBidi"/>
          <w:sz w:val="24"/>
          <w:szCs w:val="24"/>
        </w:rPr>
        <w:footnoteReference w:id="40"/>
      </w:r>
      <w:r w:rsidR="007307C5">
        <w:rPr>
          <w:rFonts w:asciiTheme="majorBidi" w:hAnsiTheme="majorBidi" w:cstheme="majorBidi"/>
          <w:sz w:val="24"/>
          <w:szCs w:val="24"/>
        </w:rPr>
        <w:t xml:space="preserve"> Furthermore, she says that states grant higher levels of autonomy for </w:t>
      </w:r>
      <w:r w:rsidR="00EC5F48">
        <w:rPr>
          <w:rFonts w:asciiTheme="majorBidi" w:hAnsiTheme="majorBidi" w:cstheme="majorBidi"/>
          <w:sz w:val="24"/>
          <w:szCs w:val="24"/>
        </w:rPr>
        <w:t>additional</w:t>
      </w:r>
      <w:r w:rsidR="007307C5">
        <w:rPr>
          <w:rFonts w:asciiTheme="majorBidi" w:hAnsiTheme="majorBidi" w:cstheme="majorBidi"/>
          <w:sz w:val="24"/>
          <w:szCs w:val="24"/>
        </w:rPr>
        <w:t xml:space="preserve"> reasons, including “domestic incentives for supporting rebels and ideational ties with rebel groups.”</w:t>
      </w:r>
      <w:r w:rsidR="007307C5">
        <w:rPr>
          <w:rStyle w:val="FootnoteReference"/>
          <w:rFonts w:asciiTheme="majorBidi" w:hAnsiTheme="majorBidi" w:cstheme="majorBidi"/>
          <w:sz w:val="24"/>
          <w:szCs w:val="24"/>
        </w:rPr>
        <w:footnoteReference w:id="41"/>
      </w:r>
      <w:r w:rsidR="00751D70">
        <w:rPr>
          <w:rFonts w:asciiTheme="majorBidi" w:hAnsiTheme="majorBidi" w:cstheme="majorBidi"/>
          <w:sz w:val="24"/>
          <w:szCs w:val="24"/>
        </w:rPr>
        <w:t xml:space="preserve"> </w:t>
      </w:r>
      <w:r w:rsidR="00EC5F48">
        <w:rPr>
          <w:rFonts w:asciiTheme="majorBidi" w:hAnsiTheme="majorBidi" w:cstheme="majorBidi"/>
          <w:sz w:val="24"/>
          <w:szCs w:val="24"/>
        </w:rPr>
        <w:t xml:space="preserve">From the rebel group’s perspective, rebel </w:t>
      </w:r>
      <w:r w:rsidR="00751D70">
        <w:rPr>
          <w:rFonts w:asciiTheme="majorBidi" w:hAnsiTheme="majorBidi" w:cstheme="majorBidi"/>
          <w:sz w:val="24"/>
          <w:szCs w:val="24"/>
        </w:rPr>
        <w:t>groups prefer state suppo</w:t>
      </w:r>
      <w:r w:rsidR="00EC5F48">
        <w:rPr>
          <w:rFonts w:asciiTheme="majorBidi" w:hAnsiTheme="majorBidi" w:cstheme="majorBidi"/>
          <w:sz w:val="24"/>
          <w:szCs w:val="24"/>
        </w:rPr>
        <w:t>rters who will grant them high</w:t>
      </w:r>
      <w:r w:rsidR="00751D70">
        <w:rPr>
          <w:rFonts w:asciiTheme="majorBidi" w:hAnsiTheme="majorBidi" w:cstheme="majorBidi"/>
          <w:sz w:val="24"/>
          <w:szCs w:val="24"/>
        </w:rPr>
        <w:t xml:space="preserve"> levels of autonomy.</w:t>
      </w:r>
      <w:r w:rsidR="00751D70">
        <w:rPr>
          <w:rStyle w:val="FootnoteReference"/>
          <w:rFonts w:asciiTheme="majorBidi" w:hAnsiTheme="majorBidi" w:cstheme="majorBidi"/>
          <w:sz w:val="24"/>
          <w:szCs w:val="24"/>
        </w:rPr>
        <w:footnoteReference w:id="42"/>
      </w:r>
      <w:r w:rsidR="00751D70">
        <w:rPr>
          <w:rFonts w:asciiTheme="majorBidi" w:hAnsiTheme="majorBidi" w:cstheme="majorBidi"/>
          <w:sz w:val="24"/>
          <w:szCs w:val="24"/>
        </w:rPr>
        <w:t xml:space="preserve"> San-</w:t>
      </w:r>
      <w:proofErr w:type="spellStart"/>
      <w:r w:rsidR="00751D70">
        <w:rPr>
          <w:rFonts w:asciiTheme="majorBidi" w:hAnsiTheme="majorBidi" w:cstheme="majorBidi"/>
          <w:sz w:val="24"/>
          <w:szCs w:val="24"/>
        </w:rPr>
        <w:t>Akca</w:t>
      </w:r>
      <w:proofErr w:type="spellEnd"/>
      <w:r w:rsidR="00751D70">
        <w:rPr>
          <w:rFonts w:asciiTheme="majorBidi" w:hAnsiTheme="majorBidi" w:cstheme="majorBidi"/>
          <w:sz w:val="24"/>
          <w:szCs w:val="24"/>
        </w:rPr>
        <w:t xml:space="preserve"> hypothesizes that weak states can be good options for rebel groups that want a safe haven</w:t>
      </w:r>
      <w:r w:rsidR="00EC5F48">
        <w:rPr>
          <w:rFonts w:asciiTheme="majorBidi" w:hAnsiTheme="majorBidi" w:cstheme="majorBidi"/>
          <w:sz w:val="24"/>
          <w:szCs w:val="24"/>
        </w:rPr>
        <w:t xml:space="preserve"> and highly</w:t>
      </w:r>
      <w:r w:rsidR="00751D70">
        <w:rPr>
          <w:rFonts w:asciiTheme="majorBidi" w:hAnsiTheme="majorBidi" w:cstheme="majorBidi"/>
          <w:sz w:val="24"/>
          <w:szCs w:val="24"/>
        </w:rPr>
        <w:t xml:space="preserve"> prioritize autonomy.</w:t>
      </w:r>
      <w:r w:rsidR="00751D70">
        <w:rPr>
          <w:rStyle w:val="FootnoteReference"/>
          <w:rFonts w:asciiTheme="majorBidi" w:hAnsiTheme="majorBidi" w:cstheme="majorBidi"/>
          <w:sz w:val="24"/>
          <w:szCs w:val="24"/>
        </w:rPr>
        <w:footnoteReference w:id="43"/>
      </w:r>
      <w:r w:rsidR="00EC5F48">
        <w:rPr>
          <w:rFonts w:asciiTheme="majorBidi" w:hAnsiTheme="majorBidi" w:cstheme="majorBidi"/>
          <w:sz w:val="24"/>
          <w:szCs w:val="24"/>
        </w:rPr>
        <w:t xml:space="preserve"> </w:t>
      </w:r>
      <w:r w:rsidR="00F70BFA">
        <w:rPr>
          <w:rFonts w:asciiTheme="majorBidi" w:hAnsiTheme="majorBidi" w:cstheme="majorBidi"/>
          <w:sz w:val="24"/>
          <w:szCs w:val="24"/>
        </w:rPr>
        <w:t>I</w:t>
      </w:r>
      <w:r w:rsidR="00502D65">
        <w:rPr>
          <w:rFonts w:asciiTheme="majorBidi" w:hAnsiTheme="majorBidi" w:cstheme="majorBidi"/>
          <w:sz w:val="24"/>
          <w:szCs w:val="24"/>
        </w:rPr>
        <w:t xml:space="preserve"> </w:t>
      </w:r>
      <w:r w:rsidR="00F70BFA">
        <w:rPr>
          <w:rFonts w:asciiTheme="majorBidi" w:hAnsiTheme="majorBidi" w:cstheme="majorBidi"/>
          <w:sz w:val="24"/>
          <w:szCs w:val="24"/>
        </w:rPr>
        <w:t>incorporate</w:t>
      </w:r>
      <w:r w:rsidR="00EC5F48">
        <w:rPr>
          <w:rFonts w:asciiTheme="majorBidi" w:hAnsiTheme="majorBidi" w:cstheme="majorBidi"/>
          <w:sz w:val="24"/>
          <w:szCs w:val="24"/>
        </w:rPr>
        <w:t xml:space="preserve"> San-</w:t>
      </w:r>
      <w:proofErr w:type="spellStart"/>
      <w:r w:rsidR="00EC5F48">
        <w:rPr>
          <w:rFonts w:asciiTheme="majorBidi" w:hAnsiTheme="majorBidi" w:cstheme="majorBidi"/>
          <w:sz w:val="24"/>
          <w:szCs w:val="24"/>
        </w:rPr>
        <w:t>Akca’</w:t>
      </w:r>
      <w:r w:rsidR="00502D65">
        <w:rPr>
          <w:rFonts w:asciiTheme="majorBidi" w:hAnsiTheme="majorBidi" w:cstheme="majorBidi"/>
          <w:sz w:val="24"/>
          <w:szCs w:val="24"/>
        </w:rPr>
        <w:t>s</w:t>
      </w:r>
      <w:proofErr w:type="spellEnd"/>
      <w:r w:rsidR="00502D65">
        <w:rPr>
          <w:rFonts w:asciiTheme="majorBidi" w:hAnsiTheme="majorBidi" w:cstheme="majorBidi"/>
          <w:sz w:val="24"/>
          <w:szCs w:val="24"/>
        </w:rPr>
        <w:t xml:space="preserve"> theoretical conceptualization on state-rebel alliances in my theory section. </w:t>
      </w:r>
    </w:p>
    <w:p w14:paraId="450FA21E" w14:textId="77777777" w:rsidR="002633C2" w:rsidRDefault="00A209C8" w:rsidP="00502D65">
      <w:pPr>
        <w:spacing w:line="480" w:lineRule="auto"/>
        <w:rPr>
          <w:rFonts w:asciiTheme="majorBidi" w:hAnsiTheme="majorBidi" w:cstheme="majorBidi"/>
          <w:sz w:val="24"/>
          <w:szCs w:val="24"/>
        </w:rPr>
      </w:pPr>
      <w:r>
        <w:rPr>
          <w:rFonts w:asciiTheme="majorBidi" w:hAnsiTheme="majorBidi" w:cstheme="majorBidi"/>
          <w:sz w:val="24"/>
          <w:szCs w:val="24"/>
        </w:rPr>
        <w:tab/>
      </w:r>
      <w:r w:rsidR="00EC5F48">
        <w:rPr>
          <w:rFonts w:asciiTheme="majorBidi" w:hAnsiTheme="majorBidi" w:cstheme="majorBidi"/>
          <w:sz w:val="24"/>
          <w:szCs w:val="24"/>
        </w:rPr>
        <w:t>Lastly, the external state sponsorship in civil wars literature has</w:t>
      </w:r>
      <w:r>
        <w:rPr>
          <w:rFonts w:asciiTheme="majorBidi" w:hAnsiTheme="majorBidi" w:cstheme="majorBidi"/>
          <w:sz w:val="24"/>
          <w:szCs w:val="24"/>
        </w:rPr>
        <w:t xml:space="preserve"> also addressed the role of preference</w:t>
      </w:r>
      <w:r w:rsidR="00325CE9">
        <w:rPr>
          <w:rFonts w:asciiTheme="majorBidi" w:hAnsiTheme="majorBidi" w:cstheme="majorBidi"/>
          <w:sz w:val="24"/>
          <w:szCs w:val="24"/>
        </w:rPr>
        <w:t xml:space="preserve"> or interest</w:t>
      </w:r>
      <w:r>
        <w:rPr>
          <w:rFonts w:asciiTheme="majorBidi" w:hAnsiTheme="majorBidi" w:cstheme="majorBidi"/>
          <w:sz w:val="24"/>
          <w:szCs w:val="24"/>
        </w:rPr>
        <w:t xml:space="preserve"> convergence in relatio</w:t>
      </w:r>
      <w:r w:rsidR="00EC5F48">
        <w:rPr>
          <w:rFonts w:asciiTheme="majorBidi" w:hAnsiTheme="majorBidi" w:cstheme="majorBidi"/>
          <w:sz w:val="24"/>
          <w:szCs w:val="24"/>
        </w:rPr>
        <w:t>nships between states and rebel groups</w:t>
      </w:r>
      <w:r>
        <w:rPr>
          <w:rFonts w:asciiTheme="majorBidi" w:hAnsiTheme="majorBidi" w:cstheme="majorBidi"/>
          <w:sz w:val="24"/>
          <w:szCs w:val="24"/>
        </w:rPr>
        <w:t xml:space="preserve">. </w:t>
      </w:r>
      <w:proofErr w:type="spellStart"/>
      <w:r>
        <w:rPr>
          <w:rFonts w:asciiTheme="majorBidi" w:hAnsiTheme="majorBidi" w:cstheme="majorBidi"/>
          <w:sz w:val="24"/>
          <w:szCs w:val="24"/>
        </w:rPr>
        <w:t>Salehyan</w:t>
      </w:r>
      <w:proofErr w:type="spellEnd"/>
      <w:r w:rsidR="00BB3CB3">
        <w:rPr>
          <w:rFonts w:asciiTheme="majorBidi" w:hAnsiTheme="majorBidi" w:cstheme="majorBidi"/>
          <w:sz w:val="24"/>
          <w:szCs w:val="24"/>
        </w:rPr>
        <w:t xml:space="preserve"> et</w:t>
      </w:r>
      <w:r w:rsidR="00493908">
        <w:rPr>
          <w:rFonts w:asciiTheme="majorBidi" w:hAnsiTheme="majorBidi" w:cstheme="majorBidi"/>
          <w:sz w:val="24"/>
          <w:szCs w:val="24"/>
        </w:rPr>
        <w:t xml:space="preserve"> al.</w:t>
      </w:r>
      <w:r>
        <w:rPr>
          <w:rFonts w:asciiTheme="majorBidi" w:hAnsiTheme="majorBidi" w:cstheme="majorBidi"/>
          <w:sz w:val="24"/>
          <w:szCs w:val="24"/>
        </w:rPr>
        <w:t xml:space="preserve"> contend that states “will be more likely to delegate to rebels when they are reasonably confident that the rebel force shares similar preferences.”</w:t>
      </w:r>
      <w:r>
        <w:rPr>
          <w:rStyle w:val="FootnoteReference"/>
          <w:rFonts w:asciiTheme="majorBidi" w:hAnsiTheme="majorBidi" w:cstheme="majorBidi"/>
          <w:sz w:val="24"/>
          <w:szCs w:val="24"/>
        </w:rPr>
        <w:footnoteReference w:id="44"/>
      </w:r>
      <w:r w:rsidR="00493908">
        <w:rPr>
          <w:rFonts w:asciiTheme="majorBidi" w:hAnsiTheme="majorBidi" w:cstheme="majorBidi"/>
          <w:sz w:val="24"/>
          <w:szCs w:val="24"/>
        </w:rPr>
        <w:t xml:space="preserve"> There is </w:t>
      </w:r>
      <w:r w:rsidR="00EC5F48">
        <w:rPr>
          <w:rFonts w:asciiTheme="majorBidi" w:hAnsiTheme="majorBidi" w:cstheme="majorBidi"/>
          <w:sz w:val="24"/>
          <w:szCs w:val="24"/>
        </w:rPr>
        <w:t>some</w:t>
      </w:r>
      <w:r w:rsidR="00493908">
        <w:rPr>
          <w:rFonts w:asciiTheme="majorBidi" w:hAnsiTheme="majorBidi" w:cstheme="majorBidi"/>
          <w:sz w:val="24"/>
          <w:szCs w:val="24"/>
        </w:rPr>
        <w:t xml:space="preserve"> debate in the literature about what contributes to similar preferences.</w:t>
      </w:r>
      <w:r w:rsidR="00493908" w:rsidRPr="00493908">
        <w:rPr>
          <w:rFonts w:asciiTheme="majorBidi" w:hAnsiTheme="majorBidi" w:cstheme="majorBidi"/>
          <w:sz w:val="24"/>
          <w:szCs w:val="24"/>
        </w:rPr>
        <w:t xml:space="preserve"> </w:t>
      </w:r>
      <w:r w:rsidR="00BB3CB3">
        <w:rPr>
          <w:rFonts w:asciiTheme="majorBidi" w:hAnsiTheme="majorBidi" w:cstheme="majorBidi"/>
          <w:sz w:val="24"/>
          <w:szCs w:val="24"/>
        </w:rPr>
        <w:t>Some scholars point to broad similarities between states and rebels.</w:t>
      </w:r>
      <w:r w:rsidR="00325CE9">
        <w:rPr>
          <w:rFonts w:asciiTheme="majorBidi" w:hAnsiTheme="majorBidi" w:cstheme="majorBidi"/>
          <w:sz w:val="24"/>
          <w:szCs w:val="24"/>
        </w:rPr>
        <w:t xml:space="preserve"> </w:t>
      </w:r>
      <w:proofErr w:type="spellStart"/>
      <w:r w:rsidR="00493908">
        <w:rPr>
          <w:rFonts w:asciiTheme="majorBidi" w:hAnsiTheme="majorBidi" w:cstheme="majorBidi"/>
          <w:sz w:val="24"/>
          <w:szCs w:val="24"/>
        </w:rPr>
        <w:t>Salehyan</w:t>
      </w:r>
      <w:proofErr w:type="spellEnd"/>
      <w:r w:rsidR="00BB3CB3">
        <w:rPr>
          <w:rFonts w:asciiTheme="majorBidi" w:hAnsiTheme="majorBidi" w:cstheme="majorBidi"/>
          <w:sz w:val="24"/>
          <w:szCs w:val="24"/>
        </w:rPr>
        <w:t xml:space="preserve"> et</w:t>
      </w:r>
      <w:r w:rsidR="00493908">
        <w:rPr>
          <w:rFonts w:asciiTheme="majorBidi" w:hAnsiTheme="majorBidi" w:cstheme="majorBidi"/>
          <w:sz w:val="24"/>
          <w:szCs w:val="24"/>
        </w:rPr>
        <w:t xml:space="preserve"> al. point to shared ethnicity or religion,</w:t>
      </w:r>
      <w:r w:rsidR="00493908">
        <w:rPr>
          <w:rStyle w:val="FootnoteReference"/>
          <w:rFonts w:asciiTheme="majorBidi" w:hAnsiTheme="majorBidi" w:cstheme="majorBidi"/>
          <w:sz w:val="24"/>
          <w:szCs w:val="24"/>
        </w:rPr>
        <w:footnoteReference w:id="45"/>
      </w:r>
      <w:r w:rsidR="00493908">
        <w:rPr>
          <w:rFonts w:asciiTheme="majorBidi" w:hAnsiTheme="majorBidi" w:cstheme="majorBidi"/>
          <w:sz w:val="24"/>
          <w:szCs w:val="24"/>
        </w:rPr>
        <w:t xml:space="preserve"> while San-</w:t>
      </w:r>
      <w:proofErr w:type="spellStart"/>
      <w:r w:rsidR="00493908">
        <w:rPr>
          <w:rFonts w:asciiTheme="majorBidi" w:hAnsiTheme="majorBidi" w:cstheme="majorBidi"/>
          <w:sz w:val="24"/>
          <w:szCs w:val="24"/>
        </w:rPr>
        <w:t>Akca</w:t>
      </w:r>
      <w:proofErr w:type="spellEnd"/>
      <w:r w:rsidR="00493908">
        <w:rPr>
          <w:rFonts w:asciiTheme="majorBidi" w:hAnsiTheme="majorBidi" w:cstheme="majorBidi"/>
          <w:sz w:val="24"/>
          <w:szCs w:val="24"/>
        </w:rPr>
        <w:t xml:space="preserve"> says ideational ties can be based on ethnic/national, religious</w:t>
      </w:r>
      <w:r w:rsidR="00EC5F48">
        <w:rPr>
          <w:rFonts w:asciiTheme="majorBidi" w:hAnsiTheme="majorBidi" w:cstheme="majorBidi"/>
          <w:sz w:val="24"/>
          <w:szCs w:val="24"/>
        </w:rPr>
        <w:t xml:space="preserve">, or </w:t>
      </w:r>
      <w:r w:rsidR="00493908">
        <w:rPr>
          <w:rFonts w:asciiTheme="majorBidi" w:hAnsiTheme="majorBidi" w:cstheme="majorBidi"/>
          <w:sz w:val="24"/>
          <w:szCs w:val="24"/>
        </w:rPr>
        <w:t>political identity.</w:t>
      </w:r>
      <w:r w:rsidR="00493908">
        <w:rPr>
          <w:rStyle w:val="FootnoteReference"/>
          <w:rFonts w:asciiTheme="majorBidi" w:hAnsiTheme="majorBidi" w:cstheme="majorBidi"/>
          <w:sz w:val="24"/>
          <w:szCs w:val="24"/>
        </w:rPr>
        <w:footnoteReference w:id="46"/>
      </w:r>
      <w:r w:rsidR="00BB3CB3">
        <w:rPr>
          <w:rFonts w:asciiTheme="majorBidi" w:hAnsiTheme="majorBidi" w:cstheme="majorBidi"/>
          <w:sz w:val="24"/>
          <w:szCs w:val="24"/>
        </w:rPr>
        <w:t xml:space="preserve"> </w:t>
      </w:r>
      <w:proofErr w:type="spellStart"/>
      <w:r w:rsidR="00BE7DE6" w:rsidRPr="00BE7DE6">
        <w:rPr>
          <w:rFonts w:asciiTheme="majorBidi" w:hAnsiTheme="majorBidi" w:cstheme="majorBidi"/>
          <w:sz w:val="24"/>
          <w:szCs w:val="24"/>
        </w:rPr>
        <w:t>Gleditsch</w:t>
      </w:r>
      <w:proofErr w:type="spellEnd"/>
      <w:r w:rsidR="00BE7DE6">
        <w:rPr>
          <w:rFonts w:asciiTheme="majorBidi" w:hAnsiTheme="majorBidi" w:cstheme="majorBidi"/>
          <w:sz w:val="24"/>
          <w:szCs w:val="24"/>
        </w:rPr>
        <w:t xml:space="preserve"> </w:t>
      </w:r>
      <w:r w:rsidR="00EC5F48">
        <w:rPr>
          <w:rFonts w:asciiTheme="majorBidi" w:hAnsiTheme="majorBidi" w:cstheme="majorBidi"/>
          <w:sz w:val="24"/>
          <w:szCs w:val="24"/>
        </w:rPr>
        <w:t xml:space="preserve">also </w:t>
      </w:r>
      <w:r w:rsidR="00BE7DE6">
        <w:rPr>
          <w:rFonts w:asciiTheme="majorBidi" w:hAnsiTheme="majorBidi" w:cstheme="majorBidi"/>
          <w:sz w:val="24"/>
          <w:szCs w:val="24"/>
        </w:rPr>
        <w:t>writes that “external interventions in conflicts often seem motivated by efforts to support ethnic kin in other states.”</w:t>
      </w:r>
      <w:r w:rsidR="00BE7DE6">
        <w:rPr>
          <w:rStyle w:val="FootnoteReference"/>
          <w:rFonts w:asciiTheme="majorBidi" w:hAnsiTheme="majorBidi" w:cstheme="majorBidi"/>
          <w:sz w:val="24"/>
          <w:szCs w:val="24"/>
        </w:rPr>
        <w:footnoteReference w:id="47"/>
      </w:r>
      <w:r w:rsidR="00BE7DE6">
        <w:rPr>
          <w:rFonts w:asciiTheme="majorBidi" w:hAnsiTheme="majorBidi" w:cstheme="majorBidi"/>
          <w:sz w:val="24"/>
          <w:szCs w:val="24"/>
        </w:rPr>
        <w:t xml:space="preserve"> </w:t>
      </w:r>
      <w:r w:rsidR="00325CE9">
        <w:rPr>
          <w:rFonts w:asciiTheme="majorBidi" w:hAnsiTheme="majorBidi" w:cstheme="majorBidi"/>
          <w:sz w:val="24"/>
          <w:szCs w:val="24"/>
        </w:rPr>
        <w:t xml:space="preserve">Furthermore, Findley and Teo contend that “former colonial powers may </w:t>
      </w:r>
      <w:r w:rsidR="00325CE9">
        <w:rPr>
          <w:rFonts w:asciiTheme="majorBidi" w:hAnsiTheme="majorBidi" w:cstheme="majorBidi"/>
          <w:sz w:val="24"/>
          <w:szCs w:val="24"/>
        </w:rPr>
        <w:lastRenderedPageBreak/>
        <w:t>maintain interests in their former colonies, thereby increasing the probability they will return to aid their favored groups.”</w:t>
      </w:r>
      <w:r w:rsidR="00325CE9">
        <w:rPr>
          <w:rStyle w:val="FootnoteReference"/>
          <w:rFonts w:asciiTheme="majorBidi" w:hAnsiTheme="majorBidi" w:cstheme="majorBidi"/>
          <w:sz w:val="24"/>
          <w:szCs w:val="24"/>
        </w:rPr>
        <w:footnoteReference w:id="48"/>
      </w:r>
      <w:r w:rsidR="00325CE9">
        <w:rPr>
          <w:rFonts w:asciiTheme="majorBidi" w:hAnsiTheme="majorBidi" w:cstheme="majorBidi"/>
          <w:sz w:val="24"/>
          <w:szCs w:val="24"/>
        </w:rPr>
        <w:t xml:space="preserve"> There can also be </w:t>
      </w:r>
      <w:r w:rsidR="00BB3CB3">
        <w:rPr>
          <w:rFonts w:asciiTheme="majorBidi" w:hAnsiTheme="majorBidi" w:cstheme="majorBidi"/>
          <w:sz w:val="24"/>
          <w:szCs w:val="24"/>
        </w:rPr>
        <w:t xml:space="preserve">more strategic </w:t>
      </w:r>
      <w:r w:rsidR="00641721">
        <w:rPr>
          <w:rFonts w:asciiTheme="majorBidi" w:hAnsiTheme="majorBidi" w:cstheme="majorBidi"/>
          <w:sz w:val="24"/>
          <w:szCs w:val="24"/>
        </w:rPr>
        <w:t>incentives. San-</w:t>
      </w:r>
      <w:proofErr w:type="spellStart"/>
      <w:r w:rsidR="00641721">
        <w:rPr>
          <w:rFonts w:asciiTheme="majorBidi" w:hAnsiTheme="majorBidi" w:cstheme="majorBidi"/>
          <w:sz w:val="24"/>
          <w:szCs w:val="24"/>
        </w:rPr>
        <w:t>Akca</w:t>
      </w:r>
      <w:proofErr w:type="spellEnd"/>
      <w:r w:rsidR="00641721">
        <w:rPr>
          <w:rFonts w:asciiTheme="majorBidi" w:hAnsiTheme="majorBidi" w:cstheme="majorBidi"/>
          <w:sz w:val="24"/>
          <w:szCs w:val="24"/>
        </w:rPr>
        <w:t xml:space="preserve"> asserts that common enemies can also lead to similar preferences.</w:t>
      </w:r>
      <w:r w:rsidR="00BE7DE6">
        <w:rPr>
          <w:rStyle w:val="FootnoteReference"/>
          <w:rFonts w:asciiTheme="majorBidi" w:hAnsiTheme="majorBidi" w:cstheme="majorBidi"/>
          <w:sz w:val="24"/>
          <w:szCs w:val="24"/>
        </w:rPr>
        <w:footnoteReference w:id="49"/>
      </w:r>
      <w:r w:rsidR="00641721">
        <w:rPr>
          <w:rFonts w:asciiTheme="majorBidi" w:hAnsiTheme="majorBidi" w:cstheme="majorBidi"/>
          <w:sz w:val="24"/>
          <w:szCs w:val="24"/>
        </w:rPr>
        <w:t xml:space="preserve"> </w:t>
      </w:r>
      <w:r w:rsidR="00EC5F48">
        <w:rPr>
          <w:rFonts w:asciiTheme="majorBidi" w:hAnsiTheme="majorBidi" w:cstheme="majorBidi"/>
          <w:sz w:val="24"/>
          <w:szCs w:val="24"/>
        </w:rPr>
        <w:t xml:space="preserve">These </w:t>
      </w:r>
      <w:r w:rsidR="00502D65">
        <w:rPr>
          <w:rFonts w:asciiTheme="majorBidi" w:hAnsiTheme="majorBidi" w:cstheme="majorBidi"/>
          <w:sz w:val="24"/>
          <w:szCs w:val="24"/>
        </w:rPr>
        <w:t>ideas</w:t>
      </w:r>
      <w:r w:rsidR="00EC5F48">
        <w:rPr>
          <w:rFonts w:asciiTheme="majorBidi" w:hAnsiTheme="majorBidi" w:cstheme="majorBidi"/>
          <w:sz w:val="24"/>
          <w:szCs w:val="24"/>
        </w:rPr>
        <w:t xml:space="preserve"> are incorporated below.</w:t>
      </w:r>
    </w:p>
    <w:p w14:paraId="03CB4540" w14:textId="77777777" w:rsidR="00AE61CA" w:rsidRPr="002633C2" w:rsidRDefault="00AE61CA" w:rsidP="002633C2">
      <w:pPr>
        <w:spacing w:line="480" w:lineRule="auto"/>
        <w:rPr>
          <w:rFonts w:asciiTheme="majorBidi" w:hAnsiTheme="majorBidi" w:cstheme="majorBidi"/>
          <w:sz w:val="24"/>
          <w:szCs w:val="24"/>
        </w:rPr>
      </w:pPr>
      <w:r>
        <w:rPr>
          <w:rFonts w:asciiTheme="majorBidi" w:hAnsiTheme="majorBidi" w:cstheme="majorBidi"/>
          <w:b/>
          <w:bCs/>
          <w:sz w:val="24"/>
          <w:szCs w:val="24"/>
        </w:rPr>
        <w:t xml:space="preserve">Theory </w:t>
      </w:r>
    </w:p>
    <w:p w14:paraId="282C4E64" w14:textId="77777777" w:rsidR="00325CE9" w:rsidRDefault="00325CE9" w:rsidP="009976D8">
      <w:pPr>
        <w:spacing w:after="0" w:line="480" w:lineRule="auto"/>
        <w:rPr>
          <w:rFonts w:ascii="Times New Roman" w:hAnsi="Times New Roman" w:cs="Times New Roman"/>
          <w:sz w:val="24"/>
          <w:szCs w:val="24"/>
        </w:rPr>
      </w:pPr>
      <w:r>
        <w:rPr>
          <w:rFonts w:asciiTheme="majorBidi" w:hAnsiTheme="majorBidi" w:cstheme="majorBidi"/>
          <w:sz w:val="24"/>
          <w:szCs w:val="24"/>
        </w:rPr>
        <w:tab/>
      </w:r>
      <w:r w:rsidR="00EC5F48">
        <w:rPr>
          <w:rFonts w:ascii="Times New Roman" w:hAnsi="Times New Roman" w:cs="Times New Roman"/>
          <w:sz w:val="24"/>
          <w:szCs w:val="24"/>
        </w:rPr>
        <w:t>In this section</w:t>
      </w:r>
      <w:r>
        <w:rPr>
          <w:rFonts w:ascii="Times New Roman" w:hAnsi="Times New Roman" w:cs="Times New Roman"/>
          <w:sz w:val="24"/>
          <w:szCs w:val="24"/>
        </w:rPr>
        <w:t>, I will first</w:t>
      </w:r>
      <w:r w:rsidR="00EC5F48">
        <w:rPr>
          <w:rFonts w:ascii="Times New Roman" w:hAnsi="Times New Roman" w:cs="Times New Roman"/>
          <w:sz w:val="24"/>
          <w:szCs w:val="24"/>
        </w:rPr>
        <w:t xml:space="preserve"> re-</w:t>
      </w:r>
      <w:r w:rsidR="009976D8">
        <w:rPr>
          <w:rFonts w:ascii="Times New Roman" w:hAnsi="Times New Roman" w:cs="Times New Roman"/>
          <w:sz w:val="24"/>
          <w:szCs w:val="24"/>
        </w:rPr>
        <w:t>examine</w:t>
      </w:r>
      <w:r w:rsidR="00EC5F48">
        <w:rPr>
          <w:rFonts w:ascii="Times New Roman" w:hAnsi="Times New Roman" w:cs="Times New Roman"/>
          <w:sz w:val="24"/>
          <w:szCs w:val="24"/>
        </w:rPr>
        <w:t xml:space="preserve"> p</w:t>
      </w:r>
      <w:r>
        <w:rPr>
          <w:rFonts w:ascii="Times New Roman" w:hAnsi="Times New Roman" w:cs="Times New Roman"/>
          <w:sz w:val="24"/>
          <w:szCs w:val="24"/>
        </w:rPr>
        <w:t>rincipal-agent theory</w:t>
      </w:r>
      <w:r w:rsidR="00EC5F48">
        <w:rPr>
          <w:rFonts w:ascii="Times New Roman" w:hAnsi="Times New Roman" w:cs="Times New Roman"/>
          <w:sz w:val="24"/>
          <w:szCs w:val="24"/>
        </w:rPr>
        <w:t xml:space="preserve"> given the existence of the </w:t>
      </w:r>
      <w:r>
        <w:rPr>
          <w:rFonts w:ascii="Times New Roman" w:hAnsi="Times New Roman" w:cs="Times New Roman"/>
          <w:sz w:val="24"/>
          <w:szCs w:val="24"/>
        </w:rPr>
        <w:t>control paradox.</w:t>
      </w:r>
      <w:r w:rsidR="00923278">
        <w:rPr>
          <w:rFonts w:ascii="Times New Roman" w:hAnsi="Times New Roman" w:cs="Times New Roman"/>
          <w:sz w:val="24"/>
          <w:szCs w:val="24"/>
        </w:rPr>
        <w:t xml:space="preserve"> </w:t>
      </w:r>
      <w:r w:rsidR="009976D8">
        <w:rPr>
          <w:rFonts w:ascii="Times New Roman" w:hAnsi="Times New Roman" w:cs="Times New Roman"/>
          <w:sz w:val="24"/>
          <w:szCs w:val="24"/>
        </w:rPr>
        <w:t>Then, t</w:t>
      </w:r>
      <w:r w:rsidR="00EC5F48">
        <w:rPr>
          <w:rFonts w:ascii="Times New Roman" w:hAnsi="Times New Roman" w:cs="Times New Roman"/>
          <w:sz w:val="24"/>
          <w:szCs w:val="24"/>
        </w:rPr>
        <w:t>o correct for the</w:t>
      </w:r>
      <w:r w:rsidR="009976D8">
        <w:rPr>
          <w:rFonts w:ascii="Times New Roman" w:hAnsi="Times New Roman" w:cs="Times New Roman"/>
          <w:sz w:val="24"/>
          <w:szCs w:val="24"/>
        </w:rPr>
        <w:t xml:space="preserve"> current</w:t>
      </w:r>
      <w:r w:rsidR="00EC5F48">
        <w:rPr>
          <w:rFonts w:ascii="Times New Roman" w:hAnsi="Times New Roman" w:cs="Times New Roman"/>
          <w:sz w:val="24"/>
          <w:szCs w:val="24"/>
        </w:rPr>
        <w:t xml:space="preserve"> dominance of the principal-agent framework</w:t>
      </w:r>
      <w:r w:rsidR="009976D8">
        <w:rPr>
          <w:rFonts w:ascii="Times New Roman" w:hAnsi="Times New Roman" w:cs="Times New Roman"/>
          <w:sz w:val="24"/>
          <w:szCs w:val="24"/>
        </w:rPr>
        <w:t xml:space="preserve"> in the literature</w:t>
      </w:r>
      <w:r w:rsidR="00923278">
        <w:rPr>
          <w:rFonts w:ascii="Times New Roman" w:hAnsi="Times New Roman" w:cs="Times New Roman"/>
          <w:sz w:val="24"/>
          <w:szCs w:val="24"/>
        </w:rPr>
        <w:t>, I will introduce another control framework: alliance politics.</w:t>
      </w:r>
      <w:r>
        <w:rPr>
          <w:rFonts w:ascii="Times New Roman" w:hAnsi="Times New Roman" w:cs="Times New Roman"/>
          <w:sz w:val="24"/>
          <w:szCs w:val="24"/>
        </w:rPr>
        <w:t xml:space="preserve"> </w:t>
      </w:r>
      <w:r w:rsidR="00923278">
        <w:rPr>
          <w:rFonts w:asciiTheme="majorBidi" w:hAnsiTheme="majorBidi" w:cstheme="majorBidi"/>
          <w:sz w:val="24"/>
          <w:szCs w:val="24"/>
        </w:rPr>
        <w:t>The most commonly used framework</w:t>
      </w:r>
      <w:r>
        <w:rPr>
          <w:rFonts w:asciiTheme="majorBidi" w:hAnsiTheme="majorBidi" w:cstheme="majorBidi"/>
          <w:sz w:val="24"/>
          <w:szCs w:val="24"/>
        </w:rPr>
        <w:t xml:space="preserve"> to understand the dynamics of control is the principal-agent theory, which </w:t>
      </w:r>
      <w:r>
        <w:rPr>
          <w:rFonts w:ascii="Times New Roman" w:hAnsi="Times New Roman" w:cs="Times New Roman"/>
          <w:sz w:val="24"/>
          <w:szCs w:val="24"/>
        </w:rPr>
        <w:t xml:space="preserve">examines the relationship between a state, or other actor, (the principal) and another actor that the principal wants to control (the agent). Principal-agent theory assumes that once power has been delegated, principals cannot fully observe the agent’s behavior. This leads principals to rely on a mixture of rewards and punishments to </w:t>
      </w:r>
      <w:r w:rsidRPr="00F73872">
        <w:rPr>
          <w:rFonts w:ascii="Times New Roman" w:hAnsi="Times New Roman" w:cs="Times New Roman"/>
          <w:i/>
          <w:iCs/>
          <w:sz w:val="24"/>
          <w:szCs w:val="24"/>
        </w:rPr>
        <w:t>compel</w:t>
      </w:r>
      <w:r>
        <w:rPr>
          <w:rFonts w:ascii="Times New Roman" w:hAnsi="Times New Roman" w:cs="Times New Roman"/>
          <w:sz w:val="24"/>
          <w:szCs w:val="24"/>
        </w:rPr>
        <w:t xml:space="preserve"> the agent to carry out the principal’s desired actions. The idea that “</w:t>
      </w:r>
      <w:proofErr w:type="spellStart"/>
      <w:r>
        <w:rPr>
          <w:rFonts w:ascii="Times New Roman" w:hAnsi="Times New Roman" w:cs="Times New Roman"/>
          <w:sz w:val="24"/>
          <w:szCs w:val="24"/>
        </w:rPr>
        <w:t>compellence</w:t>
      </w:r>
      <w:proofErr w:type="spellEnd"/>
      <w:r>
        <w:rPr>
          <w:rFonts w:ascii="Times New Roman" w:hAnsi="Times New Roman" w:cs="Times New Roman"/>
          <w:sz w:val="24"/>
          <w:szCs w:val="24"/>
        </w:rPr>
        <w:t xml:space="preserve">” is </w:t>
      </w:r>
      <w:r w:rsidR="00082D22">
        <w:rPr>
          <w:rFonts w:ascii="Times New Roman" w:hAnsi="Times New Roman" w:cs="Times New Roman"/>
          <w:sz w:val="24"/>
          <w:szCs w:val="24"/>
        </w:rPr>
        <w:t>usually required by principals seems</w:t>
      </w:r>
      <w:r>
        <w:rPr>
          <w:rFonts w:ascii="Times New Roman" w:hAnsi="Times New Roman" w:cs="Times New Roman"/>
          <w:sz w:val="24"/>
          <w:szCs w:val="24"/>
        </w:rPr>
        <w:t xml:space="preserve"> to</w:t>
      </w:r>
      <w:r w:rsidR="00923278">
        <w:rPr>
          <w:rFonts w:ascii="Times New Roman" w:hAnsi="Times New Roman" w:cs="Times New Roman"/>
          <w:sz w:val="24"/>
          <w:szCs w:val="24"/>
        </w:rPr>
        <w:t xml:space="preserve"> be at odds with</w:t>
      </w:r>
      <w:r>
        <w:rPr>
          <w:rFonts w:ascii="Times New Roman" w:hAnsi="Times New Roman" w:cs="Times New Roman"/>
          <w:sz w:val="24"/>
          <w:szCs w:val="24"/>
        </w:rPr>
        <w:t xml:space="preserve"> the control paradox</w:t>
      </w:r>
      <w:r w:rsidR="00923278">
        <w:rPr>
          <w:rFonts w:ascii="Times New Roman" w:hAnsi="Times New Roman" w:cs="Times New Roman"/>
          <w:sz w:val="24"/>
          <w:szCs w:val="24"/>
        </w:rPr>
        <w:t xml:space="preserve">, popularized in </w:t>
      </w:r>
      <w:r w:rsidR="00E02A34">
        <w:rPr>
          <w:rFonts w:ascii="Times New Roman" w:hAnsi="Times New Roman" w:cs="Times New Roman"/>
          <w:sz w:val="24"/>
          <w:szCs w:val="24"/>
        </w:rPr>
        <w:t xml:space="preserve">the </w:t>
      </w:r>
      <w:r w:rsidR="00EC5F48">
        <w:rPr>
          <w:rFonts w:ascii="Times New Roman" w:hAnsi="Times New Roman" w:cs="Times New Roman"/>
          <w:sz w:val="24"/>
          <w:szCs w:val="24"/>
        </w:rPr>
        <w:t>business</w:t>
      </w:r>
      <w:r w:rsidR="00E02A34">
        <w:rPr>
          <w:rFonts w:ascii="Times New Roman" w:hAnsi="Times New Roman" w:cs="Times New Roman"/>
          <w:sz w:val="24"/>
          <w:szCs w:val="24"/>
        </w:rPr>
        <w:t xml:space="preserve"> literature</w:t>
      </w:r>
      <w:r w:rsidR="00EC5F48">
        <w:rPr>
          <w:rFonts w:ascii="Times New Roman" w:hAnsi="Times New Roman" w:cs="Times New Roman"/>
          <w:sz w:val="24"/>
          <w:szCs w:val="24"/>
        </w:rPr>
        <w:t>. The control paradox claims that</w:t>
      </w:r>
      <w:r>
        <w:rPr>
          <w:rFonts w:ascii="Times New Roman" w:hAnsi="Times New Roman" w:cs="Times New Roman"/>
          <w:sz w:val="24"/>
          <w:szCs w:val="24"/>
        </w:rPr>
        <w:t xml:space="preserve"> “stricter attempts to control subordinates result in less effort by subordinates.”</w:t>
      </w:r>
      <w:r>
        <w:rPr>
          <w:rStyle w:val="FootnoteReference"/>
          <w:rFonts w:ascii="Times New Roman" w:hAnsi="Times New Roman" w:cs="Times New Roman"/>
          <w:sz w:val="24"/>
          <w:szCs w:val="24"/>
        </w:rPr>
        <w:footnoteReference w:id="50"/>
      </w:r>
      <w:r>
        <w:rPr>
          <w:rFonts w:ascii="Times New Roman" w:hAnsi="Times New Roman" w:cs="Times New Roman"/>
          <w:sz w:val="24"/>
          <w:szCs w:val="24"/>
        </w:rPr>
        <w:t xml:space="preserve"> </w:t>
      </w:r>
      <w:r w:rsidR="00E02A34">
        <w:rPr>
          <w:rFonts w:ascii="Times New Roman" w:hAnsi="Times New Roman" w:cs="Times New Roman"/>
          <w:sz w:val="24"/>
          <w:szCs w:val="24"/>
        </w:rPr>
        <w:t>Before examining the implications of the control para</w:t>
      </w:r>
      <w:r w:rsidR="00EC5F48">
        <w:rPr>
          <w:rFonts w:ascii="Times New Roman" w:hAnsi="Times New Roman" w:cs="Times New Roman"/>
          <w:sz w:val="24"/>
          <w:szCs w:val="24"/>
        </w:rPr>
        <w:t>dox, I will dive deeper into</w:t>
      </w:r>
      <w:r w:rsidR="00E02A34">
        <w:rPr>
          <w:rFonts w:ascii="Times New Roman" w:hAnsi="Times New Roman" w:cs="Times New Roman"/>
          <w:sz w:val="24"/>
          <w:szCs w:val="24"/>
        </w:rPr>
        <w:t xml:space="preserve"> principal-agent theory. </w:t>
      </w:r>
    </w:p>
    <w:p w14:paraId="46C81743" w14:textId="77777777" w:rsidR="00325CE9" w:rsidRDefault="00325CE9" w:rsidP="00082D22">
      <w:pPr>
        <w:spacing w:after="0" w:line="480" w:lineRule="auto"/>
        <w:rPr>
          <w:rFonts w:ascii="Times New Roman" w:hAnsi="Times New Roman" w:cs="Times New Roman"/>
          <w:sz w:val="24"/>
          <w:szCs w:val="24"/>
        </w:rPr>
      </w:pPr>
      <w:r>
        <w:rPr>
          <w:rFonts w:ascii="Times New Roman" w:hAnsi="Times New Roman" w:cs="Times New Roman"/>
          <w:sz w:val="24"/>
          <w:szCs w:val="24"/>
        </w:rPr>
        <w:tab/>
        <w:t>The principal-agent theory begins from the premise that if “</w:t>
      </w:r>
      <w:r w:rsidRPr="007E7865">
        <w:rPr>
          <w:rFonts w:ascii="Times New Roman" w:hAnsi="Times New Roman" w:cs="Times New Roman"/>
          <w:sz w:val="24"/>
          <w:szCs w:val="24"/>
        </w:rPr>
        <w:t>both parties to the relationship are utility maximizers, there is good reason to believe that the agent will not always act in the best interests of the principal.</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1"/>
      </w:r>
      <w:r>
        <w:rPr>
          <w:rFonts w:ascii="Times New Roman" w:hAnsi="Times New Roman" w:cs="Times New Roman"/>
          <w:sz w:val="24"/>
          <w:szCs w:val="24"/>
        </w:rPr>
        <w:t xml:space="preserve"> Therefore, principals must provide “appropriate </w:t>
      </w:r>
      <w:r>
        <w:rPr>
          <w:rFonts w:ascii="Times New Roman" w:hAnsi="Times New Roman" w:cs="Times New Roman"/>
          <w:sz w:val="24"/>
          <w:szCs w:val="24"/>
        </w:rPr>
        <w:lastRenderedPageBreak/>
        <w:t>incentives” and regularly monitor agents in order to ensure that agents are correctly carrying out their duties.</w:t>
      </w:r>
      <w:r>
        <w:rPr>
          <w:rStyle w:val="FootnoteReference"/>
          <w:rFonts w:ascii="Times New Roman" w:hAnsi="Times New Roman" w:cs="Times New Roman"/>
          <w:sz w:val="24"/>
          <w:szCs w:val="24"/>
        </w:rPr>
        <w:footnoteReference w:id="52"/>
      </w:r>
      <w:r>
        <w:rPr>
          <w:rFonts w:ascii="Times New Roman" w:hAnsi="Times New Roman" w:cs="Times New Roman"/>
          <w:sz w:val="24"/>
          <w:szCs w:val="24"/>
        </w:rPr>
        <w:t xml:space="preserve"> Berman, Lake, </w:t>
      </w:r>
      <w:proofErr w:type="spellStart"/>
      <w:r>
        <w:rPr>
          <w:rFonts w:ascii="Times New Roman" w:hAnsi="Times New Roman" w:cs="Times New Roman"/>
          <w:sz w:val="24"/>
          <w:szCs w:val="24"/>
        </w:rPr>
        <w:t>Padró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Miquel, and </w:t>
      </w:r>
      <w:proofErr w:type="spellStart"/>
      <w:r>
        <w:rPr>
          <w:rFonts w:ascii="Times New Roman" w:hAnsi="Times New Roman" w:cs="Times New Roman"/>
          <w:sz w:val="24"/>
          <w:szCs w:val="24"/>
        </w:rPr>
        <w:t>Yared</w:t>
      </w:r>
      <w:proofErr w:type="spellEnd"/>
      <w:r>
        <w:rPr>
          <w:rFonts w:ascii="Times New Roman" w:hAnsi="Times New Roman" w:cs="Times New Roman"/>
          <w:sz w:val="24"/>
          <w:szCs w:val="24"/>
        </w:rPr>
        <w:t xml:space="preserve"> clarify that the “correct” set of incentives supplied by the principal, depend on the agent’s “effort cost.”</w:t>
      </w:r>
      <w:r>
        <w:rPr>
          <w:rStyle w:val="FootnoteReference"/>
          <w:rFonts w:ascii="Times New Roman" w:hAnsi="Times New Roman" w:cs="Times New Roman"/>
          <w:sz w:val="24"/>
          <w:szCs w:val="24"/>
        </w:rPr>
        <w:footnoteReference w:id="53"/>
      </w:r>
      <w:r>
        <w:rPr>
          <w:rFonts w:ascii="Times New Roman" w:hAnsi="Times New Roman" w:cs="Times New Roman"/>
          <w:sz w:val="24"/>
          <w:szCs w:val="24"/>
        </w:rPr>
        <w:t xml:space="preserve"> For these scholars, “effort cost” is a function of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the agent’s direct cost of implementing the principal’s preferred actions, and ii) the extent to which the principal and agent have divergent preferences over these actions.</w:t>
      </w:r>
      <w:r>
        <w:rPr>
          <w:rStyle w:val="FootnoteReference"/>
          <w:rFonts w:ascii="Times New Roman" w:hAnsi="Times New Roman" w:cs="Times New Roman"/>
          <w:sz w:val="24"/>
          <w:szCs w:val="24"/>
        </w:rPr>
        <w:footnoteReference w:id="54"/>
      </w:r>
      <w:r>
        <w:rPr>
          <w:rFonts w:ascii="Times New Roman" w:hAnsi="Times New Roman" w:cs="Times New Roman"/>
          <w:sz w:val="24"/>
          <w:szCs w:val="24"/>
        </w:rPr>
        <w:t xml:space="preserve"> If the “effort cost” is appropriately calculated, the principal should theoretically be able to supply the appropriate set of rewards and punishments. However, the existence of private information – in the forms of unobserved effort or unobserved costs – typically frustrates the principal’s capacity to compel agents.</w:t>
      </w:r>
      <w:r>
        <w:rPr>
          <w:rStyle w:val="FootnoteReference"/>
          <w:rFonts w:ascii="Times New Roman" w:hAnsi="Times New Roman" w:cs="Times New Roman"/>
          <w:sz w:val="24"/>
          <w:szCs w:val="24"/>
        </w:rPr>
        <w:footnoteReference w:id="55"/>
      </w:r>
      <w:r>
        <w:rPr>
          <w:rFonts w:ascii="Times New Roman" w:hAnsi="Times New Roman" w:cs="Times New Roman"/>
          <w:sz w:val="24"/>
          <w:szCs w:val="24"/>
        </w:rPr>
        <w:t xml:space="preserve"> Private information, and continual changes in both actors’ strategic environments, force principals to constantly change their tactics in order to </w:t>
      </w:r>
      <w:r w:rsidR="00082D22">
        <w:rPr>
          <w:rFonts w:ascii="Times New Roman" w:hAnsi="Times New Roman" w:cs="Times New Roman"/>
          <w:sz w:val="24"/>
          <w:szCs w:val="24"/>
        </w:rPr>
        <w:t>ensure that their agents are behaving in accordance with their interests.</w:t>
      </w:r>
      <w:r w:rsidR="00082D22">
        <w:rPr>
          <w:rStyle w:val="FootnoteReference"/>
          <w:rFonts w:ascii="Times New Roman" w:hAnsi="Times New Roman" w:cs="Times New Roman"/>
          <w:sz w:val="24"/>
          <w:szCs w:val="24"/>
        </w:rPr>
        <w:footnoteReference w:id="56"/>
      </w:r>
      <w:r w:rsidR="00082D22">
        <w:rPr>
          <w:rFonts w:ascii="Times New Roman" w:hAnsi="Times New Roman" w:cs="Times New Roman"/>
          <w:sz w:val="24"/>
          <w:szCs w:val="24"/>
        </w:rPr>
        <w:t xml:space="preserve"> Much (but not all) of the work on principal-agent theory assumes that maximizing control is the best means towards achieving the ultimate goal of agent actions conforming to principal</w:t>
      </w:r>
      <w:r w:rsidR="00082D22" w:rsidRPr="00082D22">
        <w:rPr>
          <w:rFonts w:ascii="Times New Roman" w:hAnsi="Times New Roman" w:cs="Times New Roman"/>
          <w:sz w:val="24"/>
          <w:szCs w:val="24"/>
        </w:rPr>
        <w:t xml:space="preserve"> interests.</w:t>
      </w:r>
      <w:r w:rsidR="00082D22">
        <w:rPr>
          <w:rStyle w:val="FootnoteReference"/>
          <w:rFonts w:ascii="Times New Roman" w:hAnsi="Times New Roman" w:cs="Times New Roman"/>
          <w:sz w:val="24"/>
          <w:szCs w:val="24"/>
        </w:rPr>
        <w:footnoteReference w:id="57"/>
      </w:r>
      <w:r w:rsidR="00082D22">
        <w:rPr>
          <w:rFonts w:ascii="Times New Roman" w:hAnsi="Times New Roman" w:cs="Times New Roman"/>
          <w:sz w:val="24"/>
          <w:szCs w:val="24"/>
        </w:rPr>
        <w:t xml:space="preserve"> </w:t>
      </w:r>
      <w:r>
        <w:rPr>
          <w:rFonts w:ascii="Times New Roman" w:hAnsi="Times New Roman" w:cs="Times New Roman"/>
          <w:sz w:val="24"/>
          <w:szCs w:val="24"/>
        </w:rPr>
        <w:t>The theory’s emphasis on control maximization seems to contradict the control paradox.</w:t>
      </w:r>
      <w:r w:rsidR="00082D22">
        <w:rPr>
          <w:rFonts w:ascii="Times New Roman" w:hAnsi="Times New Roman" w:cs="Times New Roman"/>
          <w:sz w:val="24"/>
          <w:szCs w:val="24"/>
        </w:rPr>
        <w:t xml:space="preserve"> </w:t>
      </w:r>
    </w:p>
    <w:p w14:paraId="05314361" w14:textId="77777777" w:rsidR="00325CE9" w:rsidRDefault="00325CE9" w:rsidP="00EC5F48">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Gary Miller’s “Monitoring, Rules, and the Control Paradox: Can the Good Soldier </w:t>
      </w:r>
      <w:proofErr w:type="spellStart"/>
      <w:r>
        <w:rPr>
          <w:rFonts w:ascii="Times New Roman" w:hAnsi="Times New Roman" w:cs="Times New Roman"/>
          <w:sz w:val="24"/>
          <w:szCs w:val="24"/>
        </w:rPr>
        <w:t>Švejk</w:t>
      </w:r>
      <w:proofErr w:type="spellEnd"/>
      <w:r>
        <w:rPr>
          <w:rFonts w:ascii="Times New Roman" w:hAnsi="Times New Roman" w:cs="Times New Roman"/>
          <w:sz w:val="24"/>
          <w:szCs w:val="24"/>
        </w:rPr>
        <w:t xml:space="preserve"> Be Trusted?” outlines the idea of the control paradox. Miller prefaces the control paradox by highlighting a phenomenon called “working to rule,” which occurs when individuals closely follow the rules but deliver “no voluntary effort” beyond what the rules explicitly require.</w:t>
      </w:r>
      <w:r>
        <w:rPr>
          <w:rStyle w:val="FootnoteReference"/>
          <w:rFonts w:ascii="Times New Roman" w:hAnsi="Times New Roman" w:cs="Times New Roman"/>
          <w:sz w:val="24"/>
          <w:szCs w:val="24"/>
        </w:rPr>
        <w:footnoteReference w:id="58"/>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“Working to rule” is typically triggered by strict enforcement of workplace rules; for example, by severely micromanaging individuals or stringently enforcing quotas. Miller explains that in one case “strict enforcement of rules heightened the awareness of the workforce on the </w:t>
      </w:r>
      <w:r>
        <w:rPr>
          <w:rFonts w:ascii="Times New Roman" w:hAnsi="Times New Roman" w:cs="Times New Roman"/>
          <w:i/>
          <w:iCs/>
          <w:sz w:val="24"/>
          <w:szCs w:val="24"/>
        </w:rPr>
        <w:t>minimum</w:t>
      </w:r>
      <w:r>
        <w:rPr>
          <w:rFonts w:ascii="Times New Roman" w:hAnsi="Times New Roman" w:cs="Times New Roman"/>
          <w:sz w:val="24"/>
          <w:szCs w:val="24"/>
        </w:rPr>
        <w:t xml:space="preserve"> effort they could offer without being fired.”</w:t>
      </w:r>
      <w:r>
        <w:rPr>
          <w:rStyle w:val="FootnoteReference"/>
          <w:rFonts w:ascii="Times New Roman" w:hAnsi="Times New Roman" w:cs="Times New Roman"/>
          <w:sz w:val="24"/>
          <w:szCs w:val="24"/>
        </w:rPr>
        <w:footnoteReference w:id="59"/>
      </w:r>
      <w:r>
        <w:rPr>
          <w:rFonts w:ascii="Times New Roman" w:hAnsi="Times New Roman" w:cs="Times New Roman"/>
          <w:sz w:val="24"/>
          <w:szCs w:val="24"/>
        </w:rPr>
        <w:t xml:space="preserve"> These findings led to the theory of the control paradox: “more monitoring and supervision could result in less control.”</w:t>
      </w:r>
      <w:r>
        <w:rPr>
          <w:rStyle w:val="FootnoteReference"/>
          <w:rFonts w:ascii="Times New Roman" w:hAnsi="Times New Roman" w:cs="Times New Roman"/>
          <w:sz w:val="24"/>
          <w:szCs w:val="24"/>
        </w:rPr>
        <w:footnoteReference w:id="60"/>
      </w:r>
      <w:r>
        <w:rPr>
          <w:rFonts w:ascii="Times New Roman" w:hAnsi="Times New Roman" w:cs="Times New Roman"/>
          <w:sz w:val="24"/>
          <w:szCs w:val="24"/>
        </w:rPr>
        <w:t xml:space="preserve"> Thus, the paradox advise</w:t>
      </w:r>
      <w:r w:rsidR="00EC5F48">
        <w:rPr>
          <w:rFonts w:ascii="Times New Roman" w:hAnsi="Times New Roman" w:cs="Times New Roman"/>
          <w:sz w:val="24"/>
          <w:szCs w:val="24"/>
        </w:rPr>
        <w:t>s</w:t>
      </w:r>
      <w:r>
        <w:rPr>
          <w:rFonts w:ascii="Times New Roman" w:hAnsi="Times New Roman" w:cs="Times New Roman"/>
          <w:sz w:val="24"/>
          <w:szCs w:val="24"/>
        </w:rPr>
        <w:t xml:space="preserve"> </w:t>
      </w:r>
      <w:r w:rsidR="00EC5F48">
        <w:rPr>
          <w:rFonts w:ascii="Times New Roman" w:hAnsi="Times New Roman" w:cs="Times New Roman"/>
          <w:sz w:val="24"/>
          <w:szCs w:val="24"/>
        </w:rPr>
        <w:t>lax</w:t>
      </w:r>
      <w:r>
        <w:rPr>
          <w:rFonts w:ascii="Times New Roman" w:hAnsi="Times New Roman" w:cs="Times New Roman"/>
          <w:sz w:val="24"/>
          <w:szCs w:val="24"/>
        </w:rPr>
        <w:t xml:space="preserve"> control over </w:t>
      </w:r>
      <w:r w:rsidR="00EC5F48">
        <w:rPr>
          <w:rFonts w:ascii="Times New Roman" w:hAnsi="Times New Roman" w:cs="Times New Roman"/>
          <w:sz w:val="24"/>
          <w:szCs w:val="24"/>
        </w:rPr>
        <w:t xml:space="preserve">certain </w:t>
      </w:r>
      <w:r>
        <w:rPr>
          <w:rFonts w:ascii="Times New Roman" w:hAnsi="Times New Roman" w:cs="Times New Roman"/>
          <w:sz w:val="24"/>
          <w:szCs w:val="24"/>
        </w:rPr>
        <w:t>individuals or groups. This recommendation seems</w:t>
      </w:r>
      <w:r w:rsidR="00E02A34">
        <w:rPr>
          <w:rFonts w:ascii="Times New Roman" w:hAnsi="Times New Roman" w:cs="Times New Roman"/>
          <w:sz w:val="24"/>
          <w:szCs w:val="24"/>
        </w:rPr>
        <w:t xml:space="preserve"> to run counter</w:t>
      </w:r>
      <w:r>
        <w:rPr>
          <w:rFonts w:ascii="Times New Roman" w:hAnsi="Times New Roman" w:cs="Times New Roman"/>
          <w:sz w:val="24"/>
          <w:szCs w:val="24"/>
        </w:rPr>
        <w:t xml:space="preserve"> to</w:t>
      </w:r>
      <w:r w:rsidR="00E02A34">
        <w:rPr>
          <w:rFonts w:ascii="Times New Roman" w:hAnsi="Times New Roman" w:cs="Times New Roman"/>
          <w:sz w:val="24"/>
          <w:szCs w:val="24"/>
        </w:rPr>
        <w:t xml:space="preserve"> certain readings </w:t>
      </w:r>
      <w:r>
        <w:rPr>
          <w:rFonts w:ascii="Times New Roman" w:hAnsi="Times New Roman" w:cs="Times New Roman"/>
          <w:sz w:val="24"/>
          <w:szCs w:val="24"/>
        </w:rPr>
        <w:t>of principal-agent theory.</w:t>
      </w:r>
    </w:p>
    <w:p w14:paraId="4DF29224" w14:textId="77777777" w:rsidR="00325CE9" w:rsidRDefault="00325CE9" w:rsidP="00F70BFA">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assumptions underlying </w:t>
      </w:r>
      <w:r w:rsidR="004678E6">
        <w:rPr>
          <w:rFonts w:ascii="Times New Roman" w:hAnsi="Times New Roman" w:cs="Times New Roman"/>
          <w:sz w:val="24"/>
          <w:szCs w:val="24"/>
        </w:rPr>
        <w:t>prominent</w:t>
      </w:r>
      <w:r w:rsidR="00E02A34">
        <w:rPr>
          <w:rFonts w:ascii="Times New Roman" w:hAnsi="Times New Roman" w:cs="Times New Roman"/>
          <w:sz w:val="24"/>
          <w:szCs w:val="24"/>
        </w:rPr>
        <w:t xml:space="preserve"> readings of </w:t>
      </w:r>
      <w:r>
        <w:rPr>
          <w:rFonts w:ascii="Times New Roman" w:hAnsi="Times New Roman" w:cs="Times New Roman"/>
          <w:sz w:val="24"/>
          <w:szCs w:val="24"/>
        </w:rPr>
        <w:t xml:space="preserve">principal-agent theory and the control paradox are different, which explains their seemingly contradictory prescriptions. </w:t>
      </w:r>
      <w:r w:rsidR="00082D22">
        <w:rPr>
          <w:rFonts w:ascii="Times New Roman" w:hAnsi="Times New Roman" w:cs="Times New Roman"/>
          <w:sz w:val="24"/>
          <w:szCs w:val="24"/>
        </w:rPr>
        <w:t>Some versions of p</w:t>
      </w:r>
      <w:r w:rsidR="004678E6">
        <w:rPr>
          <w:rFonts w:ascii="Times New Roman" w:hAnsi="Times New Roman" w:cs="Times New Roman"/>
          <w:sz w:val="24"/>
          <w:szCs w:val="24"/>
        </w:rPr>
        <w:t>rincipal-agent theory assume</w:t>
      </w:r>
      <w:r>
        <w:rPr>
          <w:rFonts w:ascii="Times New Roman" w:hAnsi="Times New Roman" w:cs="Times New Roman"/>
          <w:sz w:val="24"/>
          <w:szCs w:val="24"/>
        </w:rPr>
        <w:t xml:space="preserve"> that maximizing control</w:t>
      </w:r>
      <w:r w:rsidR="00516484">
        <w:rPr>
          <w:rFonts w:ascii="Times New Roman" w:hAnsi="Times New Roman" w:cs="Times New Roman"/>
          <w:sz w:val="24"/>
          <w:szCs w:val="24"/>
        </w:rPr>
        <w:t xml:space="preserve"> over agents</w:t>
      </w:r>
      <w:r>
        <w:rPr>
          <w:rFonts w:ascii="Times New Roman" w:hAnsi="Times New Roman" w:cs="Times New Roman"/>
          <w:sz w:val="24"/>
          <w:szCs w:val="24"/>
        </w:rPr>
        <w:t xml:space="preserve"> is</w:t>
      </w:r>
      <w:r w:rsidR="00082D22">
        <w:rPr>
          <w:rFonts w:ascii="Times New Roman" w:hAnsi="Times New Roman" w:cs="Times New Roman"/>
          <w:sz w:val="24"/>
          <w:szCs w:val="24"/>
        </w:rPr>
        <w:t xml:space="preserve"> the best way to achieve</w:t>
      </w:r>
      <w:r>
        <w:rPr>
          <w:rFonts w:ascii="Times New Roman" w:hAnsi="Times New Roman" w:cs="Times New Roman"/>
          <w:sz w:val="24"/>
          <w:szCs w:val="24"/>
        </w:rPr>
        <w:t xml:space="preserve"> </w:t>
      </w:r>
      <w:r w:rsidR="00082D22">
        <w:rPr>
          <w:rFonts w:ascii="Times New Roman" w:hAnsi="Times New Roman" w:cs="Times New Roman"/>
          <w:sz w:val="24"/>
          <w:szCs w:val="24"/>
        </w:rPr>
        <w:t>agent co</w:t>
      </w:r>
      <w:r w:rsidR="004678E6">
        <w:rPr>
          <w:rFonts w:ascii="Times New Roman" w:hAnsi="Times New Roman" w:cs="Times New Roman"/>
          <w:sz w:val="24"/>
          <w:szCs w:val="24"/>
        </w:rPr>
        <w:t>mpliance</w:t>
      </w:r>
      <w:r w:rsidR="00516484">
        <w:rPr>
          <w:rFonts w:ascii="Times New Roman" w:hAnsi="Times New Roman" w:cs="Times New Roman"/>
          <w:sz w:val="24"/>
          <w:szCs w:val="24"/>
        </w:rPr>
        <w:t>, and that agent compliance is a higher goal than the maximization of individual or group effort</w:t>
      </w:r>
      <w:r>
        <w:rPr>
          <w:rFonts w:ascii="Times New Roman" w:hAnsi="Times New Roman" w:cs="Times New Roman"/>
          <w:sz w:val="24"/>
          <w:szCs w:val="24"/>
        </w:rPr>
        <w:t xml:space="preserve">. In contrast, the control paradox assumes that maximizing individual or group effort is the </w:t>
      </w:r>
      <w:r w:rsidR="00516484">
        <w:rPr>
          <w:rFonts w:ascii="Times New Roman" w:hAnsi="Times New Roman" w:cs="Times New Roman"/>
          <w:sz w:val="24"/>
          <w:szCs w:val="24"/>
        </w:rPr>
        <w:t>fundamental goal</w:t>
      </w:r>
      <w:r>
        <w:rPr>
          <w:rFonts w:ascii="Times New Roman" w:hAnsi="Times New Roman" w:cs="Times New Roman"/>
          <w:sz w:val="24"/>
          <w:szCs w:val="24"/>
        </w:rPr>
        <w:t xml:space="preserve">. The difference is that under </w:t>
      </w:r>
      <w:r w:rsidR="00F70BFA">
        <w:rPr>
          <w:rFonts w:ascii="Times New Roman" w:hAnsi="Times New Roman" w:cs="Times New Roman"/>
          <w:sz w:val="24"/>
          <w:szCs w:val="24"/>
        </w:rPr>
        <w:t xml:space="preserve">certain versions of </w:t>
      </w:r>
      <w:r>
        <w:rPr>
          <w:rFonts w:ascii="Times New Roman" w:hAnsi="Times New Roman" w:cs="Times New Roman"/>
          <w:sz w:val="24"/>
          <w:szCs w:val="24"/>
        </w:rPr>
        <w:t xml:space="preserve">the principal-agent theory, there seems to be a strong possibility that effort </w:t>
      </w:r>
      <w:r w:rsidRPr="00622D88">
        <w:rPr>
          <w:rFonts w:ascii="Times New Roman" w:hAnsi="Times New Roman" w:cs="Times New Roman"/>
          <w:i/>
          <w:iCs/>
          <w:sz w:val="24"/>
          <w:szCs w:val="24"/>
        </w:rPr>
        <w:t>by itself</w:t>
      </w:r>
      <w:r>
        <w:rPr>
          <w:rFonts w:ascii="Times New Roman" w:hAnsi="Times New Roman" w:cs="Times New Roman"/>
          <w:sz w:val="24"/>
          <w:szCs w:val="24"/>
        </w:rPr>
        <w:t xml:space="preserve"> does not translate into the principal’s desired actions. Under the control paradox, effort seems more directly translatable to the preferred actions of the organization’s leadership. As we know, in this context, effort is not merely following the rules, but being a productive member of the organization. It becomes apparent, then, that the key difference between these theories is: levels of trust, which depend crucially on interest</w:t>
      </w:r>
      <w:r w:rsidR="00F70BFA">
        <w:rPr>
          <w:rFonts w:ascii="Times New Roman" w:hAnsi="Times New Roman" w:cs="Times New Roman"/>
          <w:sz w:val="24"/>
          <w:szCs w:val="24"/>
        </w:rPr>
        <w:t xml:space="preserve">, or preference, </w:t>
      </w:r>
      <w:r>
        <w:rPr>
          <w:rFonts w:ascii="Times New Roman" w:hAnsi="Times New Roman" w:cs="Times New Roman"/>
          <w:sz w:val="24"/>
          <w:szCs w:val="24"/>
        </w:rPr>
        <w:t xml:space="preserve">alignment (or misalignment). If, under principal-agent theory, the principal could trust the agent, then the goal could be changed from maximizing control to maximizing effort. Alternatively, if, under the control paradox, the management did not trust the </w:t>
      </w:r>
      <w:r>
        <w:rPr>
          <w:rFonts w:ascii="Times New Roman" w:hAnsi="Times New Roman" w:cs="Times New Roman"/>
          <w:sz w:val="24"/>
          <w:szCs w:val="24"/>
        </w:rPr>
        <w:lastRenderedPageBreak/>
        <w:t xml:space="preserve">individuals, the goal would need to be changed from maximizing effort to maximizing control. This is because the leadership would not trust that effort would translate into desired actions. </w:t>
      </w:r>
    </w:p>
    <w:p w14:paraId="6DDD47DE" w14:textId="77777777" w:rsidR="00325CE9" w:rsidRDefault="00325CE9" w:rsidP="00E764B1">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 </w:t>
      </w:r>
      <w:r w:rsidR="00E764B1">
        <w:rPr>
          <w:rFonts w:ascii="Times New Roman" w:hAnsi="Times New Roman" w:cs="Times New Roman"/>
          <w:sz w:val="24"/>
          <w:szCs w:val="24"/>
        </w:rPr>
        <w:t>Levels of trust differentiate</w:t>
      </w:r>
      <w:r>
        <w:rPr>
          <w:rFonts w:ascii="Times New Roman" w:hAnsi="Times New Roman" w:cs="Times New Roman"/>
          <w:sz w:val="24"/>
          <w:szCs w:val="24"/>
        </w:rPr>
        <w:t xml:space="preserve"> the principal-agent theory and the control paradox. In terms of how to conceptualize trust, Levi helpfully characterizes that “A trusts B because he presumes it is in B’s interest to act in a way consistent with A’s interest.”</w:t>
      </w:r>
      <w:r>
        <w:rPr>
          <w:rStyle w:val="FootnoteReference"/>
          <w:rFonts w:ascii="Times New Roman" w:hAnsi="Times New Roman" w:cs="Times New Roman"/>
          <w:sz w:val="24"/>
          <w:szCs w:val="24"/>
        </w:rPr>
        <w:footnoteReference w:id="61"/>
      </w:r>
      <w:r>
        <w:rPr>
          <w:rFonts w:ascii="Times New Roman" w:hAnsi="Times New Roman" w:cs="Times New Roman"/>
          <w:sz w:val="24"/>
          <w:szCs w:val="24"/>
        </w:rPr>
        <w:t xml:space="preserve"> In other words, trust is strongly related to actors’ interests</w:t>
      </w:r>
      <w:r w:rsidR="00E764B1">
        <w:rPr>
          <w:rFonts w:ascii="Times New Roman" w:hAnsi="Times New Roman" w:cs="Times New Roman"/>
          <w:sz w:val="24"/>
          <w:szCs w:val="24"/>
        </w:rPr>
        <w:t xml:space="preserve"> or preferences</w:t>
      </w:r>
      <w:r>
        <w:rPr>
          <w:rFonts w:ascii="Times New Roman" w:hAnsi="Times New Roman" w:cs="Times New Roman"/>
          <w:sz w:val="24"/>
          <w:szCs w:val="24"/>
        </w:rPr>
        <w:t xml:space="preserve">. This is made clearer through Russell Hardin’s definition of trust, which is paraphrased by Farrell and Knight in their article “Trust and Institutional Compliance”: “trust consists of a reasoned expectation on the part of actor </w:t>
      </w:r>
      <w:r>
        <w:rPr>
          <w:rFonts w:ascii="Times New Roman" w:hAnsi="Times New Roman" w:cs="Times New Roman"/>
          <w:i/>
          <w:iCs/>
          <w:sz w:val="24"/>
          <w:szCs w:val="24"/>
        </w:rPr>
        <w:t>a</w:t>
      </w:r>
      <w:r>
        <w:rPr>
          <w:rFonts w:ascii="Times New Roman" w:hAnsi="Times New Roman" w:cs="Times New Roman"/>
          <w:sz w:val="24"/>
          <w:szCs w:val="24"/>
        </w:rPr>
        <w:t xml:space="preserve"> that actor </w:t>
      </w:r>
      <w:r>
        <w:rPr>
          <w:rFonts w:ascii="Times New Roman" w:hAnsi="Times New Roman" w:cs="Times New Roman"/>
          <w:i/>
          <w:iCs/>
          <w:sz w:val="24"/>
          <w:szCs w:val="24"/>
        </w:rPr>
        <w:t>b</w:t>
      </w:r>
      <w:r>
        <w:rPr>
          <w:rFonts w:ascii="Times New Roman" w:hAnsi="Times New Roman" w:cs="Times New Roman"/>
          <w:sz w:val="24"/>
          <w:szCs w:val="24"/>
        </w:rPr>
        <w:t xml:space="preserve"> will take her interests into account with regard to a particular matter or situation, </w:t>
      </w:r>
      <w:r>
        <w:rPr>
          <w:rFonts w:ascii="Times New Roman" w:hAnsi="Times New Roman" w:cs="Times New Roman"/>
          <w:i/>
          <w:iCs/>
          <w:sz w:val="24"/>
          <w:szCs w:val="24"/>
        </w:rPr>
        <w:t>c</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62"/>
      </w:r>
      <w:r>
        <w:rPr>
          <w:rFonts w:ascii="Times New Roman" w:hAnsi="Times New Roman" w:cs="Times New Roman"/>
          <w:sz w:val="24"/>
          <w:szCs w:val="24"/>
        </w:rPr>
        <w:t xml:space="preserve"> Therefore, interest alignment should best guarantee the existence of trust. This notion is further strengthened by answering the question: what happens if there is interest misalignment? </w:t>
      </w:r>
    </w:p>
    <w:p w14:paraId="5D1AF2DA" w14:textId="77777777" w:rsidR="00330222" w:rsidRDefault="00325CE9" w:rsidP="003568FD">
      <w:pPr>
        <w:spacing w:line="480" w:lineRule="auto"/>
        <w:rPr>
          <w:rFonts w:ascii="Times New Roman" w:hAnsi="Times New Roman" w:cs="Times New Roman"/>
          <w:sz w:val="24"/>
          <w:szCs w:val="24"/>
        </w:rPr>
      </w:pPr>
      <w:r>
        <w:rPr>
          <w:rFonts w:ascii="Times New Roman" w:hAnsi="Times New Roman" w:cs="Times New Roman"/>
          <w:sz w:val="24"/>
          <w:szCs w:val="24"/>
        </w:rPr>
        <w:tab/>
        <w:t>In addition to assuming the goal is maximizing individual or group effort, the control paradox assumes that even if there is interest misalignment – the individual worker has an interest in providing “effort up to the point at which the marginal cost of effort equals K times the marginal impact of effort on the probability of being caught” while the leadership has an interest in inducing maximal effort – interests are sufficient</w:t>
      </w:r>
      <w:r w:rsidR="009371EC">
        <w:rPr>
          <w:rFonts w:ascii="Times New Roman" w:hAnsi="Times New Roman" w:cs="Times New Roman"/>
          <w:sz w:val="24"/>
          <w:szCs w:val="24"/>
        </w:rPr>
        <w:t>ly related and there is a higher</w:t>
      </w:r>
      <w:r>
        <w:rPr>
          <w:rFonts w:ascii="Times New Roman" w:hAnsi="Times New Roman" w:cs="Times New Roman"/>
          <w:sz w:val="24"/>
          <w:szCs w:val="24"/>
        </w:rPr>
        <w:t xml:space="preserve"> chance of trust forming. In contrast, for principal-agent theory, Berman, Lake, </w:t>
      </w:r>
      <w:proofErr w:type="spellStart"/>
      <w:r>
        <w:rPr>
          <w:rFonts w:ascii="Times New Roman" w:hAnsi="Times New Roman" w:cs="Times New Roman"/>
          <w:sz w:val="24"/>
          <w:szCs w:val="24"/>
        </w:rPr>
        <w:t>Padró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Miquel, and </w:t>
      </w:r>
      <w:proofErr w:type="spellStart"/>
      <w:r>
        <w:rPr>
          <w:rFonts w:ascii="Times New Roman" w:hAnsi="Times New Roman" w:cs="Times New Roman"/>
          <w:sz w:val="24"/>
          <w:szCs w:val="24"/>
        </w:rPr>
        <w:t>Yared</w:t>
      </w:r>
      <w:proofErr w:type="spellEnd"/>
      <w:r>
        <w:rPr>
          <w:rFonts w:ascii="Times New Roman" w:hAnsi="Times New Roman" w:cs="Times New Roman"/>
          <w:sz w:val="24"/>
          <w:szCs w:val="24"/>
        </w:rPr>
        <w:t xml:space="preserve"> highlight that if “interests strongly diverge…it will be extremely costly for the principal to apply sufficient rewards and punishments to make the agent comply.”</w:t>
      </w:r>
      <w:r>
        <w:rPr>
          <w:rStyle w:val="FootnoteReference"/>
          <w:rFonts w:ascii="Times New Roman" w:hAnsi="Times New Roman" w:cs="Times New Roman"/>
          <w:sz w:val="24"/>
          <w:szCs w:val="24"/>
        </w:rPr>
        <w:footnoteReference w:id="63"/>
      </w:r>
      <w:r>
        <w:rPr>
          <w:rFonts w:ascii="Times New Roman" w:hAnsi="Times New Roman" w:cs="Times New Roman"/>
          <w:sz w:val="24"/>
          <w:szCs w:val="24"/>
        </w:rPr>
        <w:t xml:space="preserve"> </w:t>
      </w:r>
      <w:r w:rsidR="009371EC">
        <w:rPr>
          <w:rFonts w:ascii="Times New Roman" w:hAnsi="Times New Roman" w:cs="Times New Roman"/>
          <w:sz w:val="24"/>
          <w:szCs w:val="24"/>
        </w:rPr>
        <w:t xml:space="preserve">When this happens, </w:t>
      </w:r>
      <w:r>
        <w:rPr>
          <w:rFonts w:ascii="Times New Roman" w:hAnsi="Times New Roman" w:cs="Times New Roman"/>
          <w:sz w:val="24"/>
          <w:szCs w:val="24"/>
        </w:rPr>
        <w:t xml:space="preserve">there is a low chance of trust forming. Both theories take into account the level of interest </w:t>
      </w:r>
      <w:r w:rsidR="009371EC">
        <w:rPr>
          <w:rFonts w:ascii="Times New Roman" w:hAnsi="Times New Roman" w:cs="Times New Roman"/>
          <w:sz w:val="24"/>
          <w:szCs w:val="24"/>
        </w:rPr>
        <w:t xml:space="preserve">or preference </w:t>
      </w:r>
      <w:r>
        <w:rPr>
          <w:rFonts w:ascii="Times New Roman" w:hAnsi="Times New Roman" w:cs="Times New Roman"/>
          <w:sz w:val="24"/>
          <w:szCs w:val="24"/>
        </w:rPr>
        <w:t>alignment, which directly impact</w:t>
      </w:r>
      <w:r w:rsidR="009371EC">
        <w:rPr>
          <w:rFonts w:ascii="Times New Roman" w:hAnsi="Times New Roman" w:cs="Times New Roman"/>
          <w:sz w:val="24"/>
          <w:szCs w:val="24"/>
        </w:rPr>
        <w:t>s</w:t>
      </w:r>
      <w:r>
        <w:rPr>
          <w:rFonts w:ascii="Times New Roman" w:hAnsi="Times New Roman" w:cs="Times New Roman"/>
          <w:sz w:val="24"/>
          <w:szCs w:val="24"/>
        </w:rPr>
        <w:t xml:space="preserve"> the level of trust.</w:t>
      </w:r>
      <w:r w:rsidR="003568FD">
        <w:rPr>
          <w:rFonts w:ascii="Times New Roman" w:hAnsi="Times New Roman" w:cs="Times New Roman"/>
          <w:sz w:val="24"/>
          <w:szCs w:val="24"/>
        </w:rPr>
        <w:t xml:space="preserve"> Because states and militias have a </w:t>
      </w:r>
      <w:r w:rsidR="003568FD">
        <w:rPr>
          <w:rFonts w:ascii="Times New Roman" w:hAnsi="Times New Roman" w:cs="Times New Roman"/>
          <w:sz w:val="24"/>
          <w:szCs w:val="24"/>
        </w:rPr>
        <w:lastRenderedPageBreak/>
        <w:t xml:space="preserve">plethora of interests, the highest priority interests will be key in determining alignment. This can either be one critical interest or a couple vital interests. Because these actors will always have some differing interests, it is not useful to assess interest alignment in terms of amalgamation of </w:t>
      </w:r>
      <w:r w:rsidR="003568FD" w:rsidRPr="003568FD">
        <w:rPr>
          <w:rFonts w:ascii="Times New Roman" w:hAnsi="Times New Roman" w:cs="Times New Roman"/>
          <w:i/>
          <w:iCs/>
          <w:sz w:val="24"/>
          <w:szCs w:val="24"/>
        </w:rPr>
        <w:t>all</w:t>
      </w:r>
      <w:r w:rsidR="003568FD">
        <w:rPr>
          <w:rFonts w:ascii="Times New Roman" w:hAnsi="Times New Roman" w:cs="Times New Roman"/>
          <w:sz w:val="24"/>
          <w:szCs w:val="24"/>
        </w:rPr>
        <w:t xml:space="preserve"> interests. </w:t>
      </w:r>
      <w:r>
        <w:rPr>
          <w:rFonts w:ascii="Times New Roman" w:hAnsi="Times New Roman" w:cs="Times New Roman"/>
          <w:sz w:val="24"/>
          <w:szCs w:val="24"/>
        </w:rPr>
        <w:t xml:space="preserve">The overarching implication, then, is that if there is a relatively high level of </w:t>
      </w:r>
      <w:r w:rsidR="00BE13D3">
        <w:rPr>
          <w:rFonts w:ascii="Times New Roman" w:hAnsi="Times New Roman" w:cs="Times New Roman"/>
          <w:sz w:val="24"/>
          <w:szCs w:val="24"/>
        </w:rPr>
        <w:t xml:space="preserve">trust, the </w:t>
      </w:r>
      <w:r w:rsidR="00CC2FCD">
        <w:rPr>
          <w:rFonts w:ascii="Times New Roman" w:hAnsi="Times New Roman" w:cs="Times New Roman"/>
          <w:sz w:val="24"/>
          <w:szCs w:val="24"/>
        </w:rPr>
        <w:t>principal</w:t>
      </w:r>
      <w:r>
        <w:rPr>
          <w:rFonts w:ascii="Times New Roman" w:hAnsi="Times New Roman" w:cs="Times New Roman"/>
          <w:sz w:val="24"/>
          <w:szCs w:val="24"/>
        </w:rPr>
        <w:t xml:space="preserve"> should</w:t>
      </w:r>
      <w:r w:rsidR="00BE13D3">
        <w:rPr>
          <w:rFonts w:ascii="Times New Roman" w:hAnsi="Times New Roman" w:cs="Times New Roman"/>
          <w:sz w:val="24"/>
          <w:szCs w:val="24"/>
        </w:rPr>
        <w:t xml:space="preserve"> allow for a more horizontal relationship (laxer</w:t>
      </w:r>
      <w:r>
        <w:rPr>
          <w:rFonts w:ascii="Times New Roman" w:hAnsi="Times New Roman" w:cs="Times New Roman"/>
          <w:sz w:val="24"/>
          <w:szCs w:val="24"/>
        </w:rPr>
        <w:t xml:space="preserve"> control</w:t>
      </w:r>
      <w:r w:rsidR="00BE13D3">
        <w:rPr>
          <w:rFonts w:ascii="Times New Roman" w:hAnsi="Times New Roman" w:cs="Times New Roman"/>
          <w:sz w:val="24"/>
          <w:szCs w:val="24"/>
        </w:rPr>
        <w:t>)</w:t>
      </w:r>
      <w:r w:rsidR="004D14F0">
        <w:rPr>
          <w:rFonts w:ascii="Times New Roman" w:hAnsi="Times New Roman" w:cs="Times New Roman"/>
          <w:sz w:val="24"/>
          <w:szCs w:val="24"/>
        </w:rPr>
        <w:t xml:space="preserve"> and </w:t>
      </w:r>
      <w:r w:rsidR="00BE13D3">
        <w:rPr>
          <w:rFonts w:ascii="Times New Roman" w:hAnsi="Times New Roman" w:cs="Times New Roman"/>
          <w:sz w:val="24"/>
          <w:szCs w:val="24"/>
        </w:rPr>
        <w:t>incorporate</w:t>
      </w:r>
      <w:r w:rsidR="004D14F0">
        <w:rPr>
          <w:rFonts w:ascii="Times New Roman" w:hAnsi="Times New Roman" w:cs="Times New Roman"/>
          <w:sz w:val="24"/>
          <w:szCs w:val="24"/>
        </w:rPr>
        <w:t xml:space="preserve"> a leadership strategy based on </w:t>
      </w:r>
      <w:r w:rsidR="009371EC">
        <w:rPr>
          <w:rFonts w:ascii="Times New Roman" w:hAnsi="Times New Roman" w:cs="Times New Roman"/>
          <w:sz w:val="24"/>
          <w:szCs w:val="24"/>
        </w:rPr>
        <w:t>maintaining that</w:t>
      </w:r>
      <w:r w:rsidR="004D14F0">
        <w:rPr>
          <w:rFonts w:ascii="Times New Roman" w:hAnsi="Times New Roman" w:cs="Times New Roman"/>
          <w:sz w:val="24"/>
          <w:szCs w:val="24"/>
        </w:rPr>
        <w:t xml:space="preserve"> trust</w:t>
      </w:r>
      <w:r>
        <w:rPr>
          <w:rFonts w:ascii="Times New Roman" w:hAnsi="Times New Roman" w:cs="Times New Roman"/>
          <w:sz w:val="24"/>
          <w:szCs w:val="24"/>
        </w:rPr>
        <w:t xml:space="preserve">. If there is a relatively low level of trust, the </w:t>
      </w:r>
      <w:r w:rsidR="00CC2FCD">
        <w:rPr>
          <w:rFonts w:ascii="Times New Roman" w:hAnsi="Times New Roman" w:cs="Times New Roman"/>
          <w:sz w:val="24"/>
          <w:szCs w:val="24"/>
        </w:rPr>
        <w:t>principal</w:t>
      </w:r>
      <w:r>
        <w:rPr>
          <w:rFonts w:ascii="Times New Roman" w:hAnsi="Times New Roman" w:cs="Times New Roman"/>
          <w:sz w:val="24"/>
          <w:szCs w:val="24"/>
        </w:rPr>
        <w:t xml:space="preserve"> should opt</w:t>
      </w:r>
      <w:r w:rsidR="00BE13D3">
        <w:rPr>
          <w:rFonts w:ascii="Times New Roman" w:hAnsi="Times New Roman" w:cs="Times New Roman"/>
          <w:sz w:val="24"/>
          <w:szCs w:val="24"/>
        </w:rPr>
        <w:t xml:space="preserve"> for a more vertical relationship (stricter c</w:t>
      </w:r>
      <w:r>
        <w:rPr>
          <w:rFonts w:ascii="Times New Roman" w:hAnsi="Times New Roman" w:cs="Times New Roman"/>
          <w:sz w:val="24"/>
          <w:szCs w:val="24"/>
        </w:rPr>
        <w:t>ontrol</w:t>
      </w:r>
      <w:r w:rsidR="00BE13D3">
        <w:rPr>
          <w:rFonts w:ascii="Times New Roman" w:hAnsi="Times New Roman" w:cs="Times New Roman"/>
          <w:sz w:val="24"/>
          <w:szCs w:val="24"/>
        </w:rPr>
        <w:t>)</w:t>
      </w:r>
      <w:r w:rsidR="004D14F0">
        <w:rPr>
          <w:rFonts w:ascii="Times New Roman" w:hAnsi="Times New Roman" w:cs="Times New Roman"/>
          <w:sz w:val="24"/>
          <w:szCs w:val="24"/>
        </w:rPr>
        <w:t xml:space="preserve"> and install a leader</w:t>
      </w:r>
      <w:r w:rsidR="00BE13D3">
        <w:rPr>
          <w:rFonts w:ascii="Times New Roman" w:hAnsi="Times New Roman" w:cs="Times New Roman"/>
          <w:sz w:val="24"/>
          <w:szCs w:val="24"/>
        </w:rPr>
        <w:t>ship strategy based on creating</w:t>
      </w:r>
      <w:r w:rsidR="004D14F0">
        <w:rPr>
          <w:rFonts w:ascii="Times New Roman" w:hAnsi="Times New Roman" w:cs="Times New Roman"/>
          <w:sz w:val="24"/>
          <w:szCs w:val="24"/>
        </w:rPr>
        <w:t xml:space="preserve"> mechanical incentives</w:t>
      </w:r>
      <w:r w:rsidR="00CC2FCD">
        <w:rPr>
          <w:rFonts w:ascii="Times New Roman" w:hAnsi="Times New Roman" w:cs="Times New Roman"/>
          <w:sz w:val="24"/>
          <w:szCs w:val="24"/>
        </w:rPr>
        <w:t xml:space="preserve"> </w:t>
      </w:r>
      <w:r w:rsidR="00205962">
        <w:rPr>
          <w:rFonts w:ascii="Times New Roman" w:hAnsi="Times New Roman" w:cs="Times New Roman"/>
          <w:sz w:val="24"/>
          <w:szCs w:val="24"/>
        </w:rPr>
        <w:t>to induce</w:t>
      </w:r>
      <w:r w:rsidR="009371EC">
        <w:rPr>
          <w:rFonts w:ascii="Times New Roman" w:hAnsi="Times New Roman" w:cs="Times New Roman"/>
          <w:sz w:val="24"/>
          <w:szCs w:val="24"/>
        </w:rPr>
        <w:t xml:space="preserve"> the agent into compliance</w:t>
      </w:r>
      <w:r>
        <w:rPr>
          <w:rFonts w:ascii="Times New Roman" w:hAnsi="Times New Roman" w:cs="Times New Roman"/>
          <w:sz w:val="24"/>
          <w:szCs w:val="24"/>
        </w:rPr>
        <w:t>.</w:t>
      </w:r>
      <w:r w:rsidR="009371EC">
        <w:rPr>
          <w:rFonts w:ascii="Times New Roman" w:hAnsi="Times New Roman" w:cs="Times New Roman"/>
          <w:sz w:val="24"/>
          <w:szCs w:val="24"/>
        </w:rPr>
        <w:t xml:space="preserve"> </w:t>
      </w:r>
    </w:p>
    <w:p w14:paraId="6DE381EA" w14:textId="77777777" w:rsidR="00BE13D3" w:rsidRDefault="00BE13D3" w:rsidP="00330222">
      <w:pPr>
        <w:spacing w:line="480" w:lineRule="auto"/>
        <w:rPr>
          <w:rFonts w:ascii="Times New Roman" w:hAnsi="Times New Roman" w:cs="Times New Roman"/>
          <w:sz w:val="24"/>
          <w:szCs w:val="24"/>
        </w:rPr>
      </w:pPr>
      <w:r>
        <w:rPr>
          <w:rFonts w:asciiTheme="majorBidi" w:hAnsiTheme="majorBidi" w:cstheme="majorBidi"/>
          <w:noProof/>
          <w:sz w:val="24"/>
          <w:szCs w:val="24"/>
        </w:rPr>
        <w:drawing>
          <wp:inline distT="0" distB="0" distL="0" distR="0" wp14:anchorId="4124E816" wp14:editId="3FE85DA6">
            <wp:extent cx="6357668" cy="198120"/>
            <wp:effectExtent l="19050" t="38100" r="24130" b="4953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9371EC">
        <w:rPr>
          <w:rFonts w:asciiTheme="majorBidi" w:hAnsiTheme="majorBidi" w:cstheme="majorBidi"/>
          <w:noProof/>
          <w:sz w:val="24"/>
          <w:szCs w:val="24"/>
        </w:rPr>
        <w:drawing>
          <wp:inline distT="0" distB="0" distL="0" distR="0" wp14:anchorId="505D71FC" wp14:editId="2BEAB1BB">
            <wp:extent cx="6383547" cy="184785"/>
            <wp:effectExtent l="19050" t="38100" r="17780" b="6286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BFBDD5A" w14:textId="77777777" w:rsidR="00330222" w:rsidRDefault="00CC2FCD" w:rsidP="00330222">
      <w:pPr>
        <w:spacing w:line="480" w:lineRule="auto"/>
        <w:rPr>
          <w:rFonts w:ascii="Times New Roman" w:hAnsi="Times New Roman" w:cs="Times New Roman"/>
          <w:sz w:val="24"/>
          <w:szCs w:val="24"/>
        </w:rPr>
      </w:pPr>
      <w:r>
        <w:rPr>
          <w:rFonts w:ascii="Times New Roman" w:hAnsi="Times New Roman" w:cs="Times New Roman"/>
          <w:sz w:val="24"/>
          <w:szCs w:val="24"/>
        </w:rPr>
        <w:tab/>
      </w:r>
      <w:r w:rsidR="00330222">
        <w:rPr>
          <w:rFonts w:ascii="Times New Roman" w:hAnsi="Times New Roman" w:cs="Times New Roman"/>
          <w:sz w:val="24"/>
          <w:szCs w:val="24"/>
        </w:rPr>
        <w:t>Before proceeding, it is important to address endogeneity concerns. Do high levels of trust lead to horizontal relationships or do horizontal relationships lead to high levels of trust? Although it is not outside the realm of possibility, it seems unlikely that states would grant significant autonomy to groups that they did not trust in the first place. There are a few exceptions to this: when states utilize militias to carry out their “dirty work,” when states are very weak, and states have a minor stake in the conflict. On the first exception, some states grant autonomy because they believe they will benefit from violence. As Carey and Mitchell state, violence “</w:t>
      </w:r>
      <w:r w:rsidR="00330222" w:rsidRPr="00330222">
        <w:rPr>
          <w:rFonts w:ascii="Times New Roman" w:hAnsi="Times New Roman" w:cs="Times New Roman"/>
          <w:sz w:val="24"/>
          <w:szCs w:val="24"/>
        </w:rPr>
        <w:t>might be ordered or implicitly condoned by the principal and carried out by the agent, notably under conditions where the principal has a strategic motivation to harm or kill</w:t>
      </w:r>
      <w:r w:rsidR="00330222">
        <w:rPr>
          <w:rFonts w:ascii="Times New Roman" w:hAnsi="Times New Roman" w:cs="Times New Roman"/>
          <w:sz w:val="24"/>
          <w:szCs w:val="24"/>
        </w:rPr>
        <w:t xml:space="preserve"> </w:t>
      </w:r>
      <w:r w:rsidR="00330222" w:rsidRPr="00330222">
        <w:rPr>
          <w:rFonts w:ascii="Times New Roman" w:hAnsi="Times New Roman" w:cs="Times New Roman"/>
          <w:sz w:val="24"/>
          <w:szCs w:val="24"/>
        </w:rPr>
        <w:t>civilians</w:t>
      </w:r>
      <w:r w:rsidR="00330222">
        <w:rPr>
          <w:rFonts w:ascii="Times New Roman" w:hAnsi="Times New Roman" w:cs="Times New Roman"/>
          <w:sz w:val="24"/>
          <w:szCs w:val="24"/>
        </w:rPr>
        <w:t>.”</w:t>
      </w:r>
      <w:r w:rsidR="00330222">
        <w:rPr>
          <w:rStyle w:val="FootnoteReference"/>
          <w:rFonts w:ascii="Times New Roman" w:hAnsi="Times New Roman" w:cs="Times New Roman"/>
          <w:sz w:val="24"/>
          <w:szCs w:val="24"/>
        </w:rPr>
        <w:footnoteReference w:id="64"/>
      </w:r>
      <w:r w:rsidR="00330222">
        <w:rPr>
          <w:rFonts w:ascii="Times New Roman" w:hAnsi="Times New Roman" w:cs="Times New Roman"/>
          <w:sz w:val="24"/>
          <w:szCs w:val="24"/>
        </w:rPr>
        <w:t xml:space="preserve"> In these cases, autonomy does not threaten state interests. On the second exception, very weak states might grant autonomy because they don’t believe alternatives exist. On the third </w:t>
      </w:r>
      <w:r w:rsidR="00330222">
        <w:rPr>
          <w:rFonts w:ascii="Times New Roman" w:hAnsi="Times New Roman" w:cs="Times New Roman"/>
          <w:sz w:val="24"/>
          <w:szCs w:val="24"/>
        </w:rPr>
        <w:lastRenderedPageBreak/>
        <w:t xml:space="preserve">exception, if only peripheral interests are at stake for the state, it might be more willing to gamble on militias. Although these exceptions are important, I do not believe they are present for the majority of the cases of state sponsorship, or support, of militias. </w:t>
      </w:r>
    </w:p>
    <w:p w14:paraId="18679C8A" w14:textId="77777777" w:rsidR="004D14F0" w:rsidRDefault="00330222" w:rsidP="0033022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Because </w:t>
      </w:r>
      <w:r w:rsidR="00CC2FCD">
        <w:rPr>
          <w:rFonts w:ascii="Times New Roman" w:hAnsi="Times New Roman" w:cs="Times New Roman"/>
          <w:sz w:val="24"/>
          <w:szCs w:val="24"/>
        </w:rPr>
        <w:t xml:space="preserve">I am </w:t>
      </w:r>
      <w:r w:rsidR="007B311D">
        <w:rPr>
          <w:rFonts w:ascii="Times New Roman" w:hAnsi="Times New Roman" w:cs="Times New Roman"/>
          <w:sz w:val="24"/>
          <w:szCs w:val="24"/>
        </w:rPr>
        <w:t>theorizing</w:t>
      </w:r>
      <w:r w:rsidR="00CC2FCD">
        <w:rPr>
          <w:rFonts w:ascii="Times New Roman" w:hAnsi="Times New Roman" w:cs="Times New Roman"/>
          <w:sz w:val="24"/>
          <w:szCs w:val="24"/>
        </w:rPr>
        <w:t xml:space="preserve"> that </w:t>
      </w:r>
      <w:r w:rsidR="007B311D">
        <w:rPr>
          <w:rFonts w:ascii="Times New Roman" w:hAnsi="Times New Roman" w:cs="Times New Roman"/>
          <w:sz w:val="24"/>
          <w:szCs w:val="24"/>
        </w:rPr>
        <w:t>states and militias</w:t>
      </w:r>
      <w:r w:rsidR="00CC2FCD">
        <w:rPr>
          <w:rFonts w:ascii="Times New Roman" w:hAnsi="Times New Roman" w:cs="Times New Roman"/>
          <w:sz w:val="24"/>
          <w:szCs w:val="24"/>
        </w:rPr>
        <w:t xml:space="preserve"> that share a high level of trust are more likely to have horizontal relation</w:t>
      </w:r>
      <w:r w:rsidR="00290EA9">
        <w:rPr>
          <w:rFonts w:ascii="Times New Roman" w:hAnsi="Times New Roman" w:cs="Times New Roman"/>
          <w:sz w:val="24"/>
          <w:szCs w:val="24"/>
        </w:rPr>
        <w:t xml:space="preserve">ships; </w:t>
      </w:r>
      <w:r w:rsidR="00CC2FCD">
        <w:rPr>
          <w:rFonts w:ascii="Times New Roman" w:hAnsi="Times New Roman" w:cs="Times New Roman"/>
          <w:sz w:val="24"/>
          <w:szCs w:val="24"/>
        </w:rPr>
        <w:t xml:space="preserve">it is useful to introduce </w:t>
      </w:r>
      <w:r w:rsidR="004D14F0">
        <w:rPr>
          <w:rFonts w:ascii="Times New Roman" w:hAnsi="Times New Roman" w:cs="Times New Roman"/>
          <w:sz w:val="24"/>
          <w:szCs w:val="24"/>
        </w:rPr>
        <w:t>a second framework of control: alliance politics. The alliance politics framework</w:t>
      </w:r>
      <w:r w:rsidR="00290EA9">
        <w:rPr>
          <w:rFonts w:ascii="Times New Roman" w:hAnsi="Times New Roman" w:cs="Times New Roman"/>
          <w:sz w:val="24"/>
          <w:szCs w:val="24"/>
        </w:rPr>
        <w:t xml:space="preserve"> </w:t>
      </w:r>
      <w:r w:rsidR="00BE13D3">
        <w:rPr>
          <w:rFonts w:ascii="Times New Roman" w:hAnsi="Times New Roman" w:cs="Times New Roman"/>
          <w:sz w:val="24"/>
          <w:szCs w:val="24"/>
        </w:rPr>
        <w:t xml:space="preserve">envisions a </w:t>
      </w:r>
      <w:r w:rsidR="00CC2FCD">
        <w:rPr>
          <w:rFonts w:ascii="Times New Roman" w:hAnsi="Times New Roman" w:cs="Times New Roman"/>
          <w:sz w:val="24"/>
          <w:szCs w:val="24"/>
        </w:rPr>
        <w:t>less hierarchical</w:t>
      </w:r>
      <w:r w:rsidR="00BE13D3">
        <w:rPr>
          <w:rFonts w:ascii="Times New Roman" w:hAnsi="Times New Roman" w:cs="Times New Roman"/>
          <w:sz w:val="24"/>
          <w:szCs w:val="24"/>
        </w:rPr>
        <w:t xml:space="preserve"> relationship between </w:t>
      </w:r>
      <w:r w:rsidR="007B311D">
        <w:rPr>
          <w:rFonts w:ascii="Times New Roman" w:hAnsi="Times New Roman" w:cs="Times New Roman"/>
          <w:sz w:val="24"/>
          <w:szCs w:val="24"/>
        </w:rPr>
        <w:t>the two actors</w:t>
      </w:r>
      <w:r w:rsidR="00290EA9">
        <w:rPr>
          <w:rFonts w:ascii="Times New Roman" w:hAnsi="Times New Roman" w:cs="Times New Roman"/>
          <w:sz w:val="24"/>
          <w:szCs w:val="24"/>
        </w:rPr>
        <w:t xml:space="preserve"> than the principal-agent framework </w:t>
      </w:r>
      <w:r w:rsidR="009371EC">
        <w:rPr>
          <w:rFonts w:ascii="Times New Roman" w:hAnsi="Times New Roman" w:cs="Times New Roman"/>
          <w:sz w:val="24"/>
          <w:szCs w:val="24"/>
        </w:rPr>
        <w:t>predicts</w:t>
      </w:r>
      <w:r w:rsidR="00BE13D3">
        <w:rPr>
          <w:rFonts w:ascii="Times New Roman" w:hAnsi="Times New Roman" w:cs="Times New Roman"/>
          <w:sz w:val="24"/>
          <w:szCs w:val="24"/>
        </w:rPr>
        <w:t xml:space="preserve">. This is an important alternative framework given the </w:t>
      </w:r>
      <w:r w:rsidR="00CC2FCD">
        <w:rPr>
          <w:rFonts w:ascii="Times New Roman" w:hAnsi="Times New Roman" w:cs="Times New Roman"/>
          <w:sz w:val="24"/>
          <w:szCs w:val="24"/>
        </w:rPr>
        <w:t xml:space="preserve">insights drawn </w:t>
      </w:r>
      <w:r w:rsidR="009371EC">
        <w:rPr>
          <w:rFonts w:ascii="Times New Roman" w:hAnsi="Times New Roman" w:cs="Times New Roman"/>
          <w:sz w:val="24"/>
          <w:szCs w:val="24"/>
        </w:rPr>
        <w:t xml:space="preserve">above </w:t>
      </w:r>
      <w:r w:rsidR="00CC2FCD">
        <w:rPr>
          <w:rFonts w:ascii="Times New Roman" w:hAnsi="Times New Roman" w:cs="Times New Roman"/>
          <w:sz w:val="24"/>
          <w:szCs w:val="24"/>
        </w:rPr>
        <w:t xml:space="preserve">from </w:t>
      </w:r>
      <w:r w:rsidR="00BE13D3">
        <w:rPr>
          <w:rFonts w:ascii="Times New Roman" w:hAnsi="Times New Roman" w:cs="Times New Roman"/>
          <w:sz w:val="24"/>
          <w:szCs w:val="24"/>
        </w:rPr>
        <w:t>the control paradox.</w:t>
      </w:r>
      <w:r w:rsidR="004D14F0">
        <w:rPr>
          <w:rFonts w:ascii="Times New Roman" w:hAnsi="Times New Roman" w:cs="Times New Roman"/>
          <w:sz w:val="24"/>
          <w:szCs w:val="24"/>
        </w:rPr>
        <w:t xml:space="preserve"> In</w:t>
      </w:r>
      <w:r w:rsidR="00CC2FCD">
        <w:rPr>
          <w:rFonts w:ascii="Times New Roman" w:hAnsi="Times New Roman" w:cs="Times New Roman"/>
          <w:sz w:val="24"/>
          <w:szCs w:val="24"/>
        </w:rPr>
        <w:t xml:space="preserve"> his 1997 book</w:t>
      </w:r>
      <w:r w:rsidR="004D14F0">
        <w:rPr>
          <w:rFonts w:ascii="Times New Roman" w:hAnsi="Times New Roman" w:cs="Times New Roman"/>
          <w:sz w:val="24"/>
          <w:szCs w:val="24"/>
        </w:rPr>
        <w:t xml:space="preserve"> </w:t>
      </w:r>
      <w:r w:rsidR="004D14F0">
        <w:rPr>
          <w:rFonts w:ascii="Times New Roman" w:hAnsi="Times New Roman" w:cs="Times New Roman"/>
          <w:i/>
          <w:iCs/>
          <w:sz w:val="24"/>
          <w:szCs w:val="24"/>
        </w:rPr>
        <w:t>Alliance Politics</w:t>
      </w:r>
      <w:r w:rsidR="004D14F0">
        <w:rPr>
          <w:rFonts w:ascii="Times New Roman" w:hAnsi="Times New Roman" w:cs="Times New Roman"/>
          <w:sz w:val="24"/>
          <w:szCs w:val="24"/>
        </w:rPr>
        <w:t>, Snyder discusses the formation and management phases of alliances. Although the book’s scope conditions include only alliances between great powers in a multipolar system,</w:t>
      </w:r>
      <w:r w:rsidR="004D14F0">
        <w:rPr>
          <w:rStyle w:val="FootnoteReference"/>
          <w:rFonts w:ascii="Times New Roman" w:hAnsi="Times New Roman" w:cs="Times New Roman"/>
          <w:sz w:val="24"/>
          <w:szCs w:val="24"/>
        </w:rPr>
        <w:footnoteReference w:id="65"/>
      </w:r>
      <w:r w:rsidR="004D14F0">
        <w:rPr>
          <w:rFonts w:ascii="Times New Roman" w:hAnsi="Times New Roman" w:cs="Times New Roman"/>
          <w:sz w:val="24"/>
          <w:szCs w:val="24"/>
        </w:rPr>
        <w:t xml:space="preserve"> his approach is useful for studying all types of alliances. </w:t>
      </w:r>
      <w:r w:rsidR="00CC2FCD">
        <w:rPr>
          <w:rFonts w:ascii="Times New Roman" w:hAnsi="Times New Roman" w:cs="Times New Roman"/>
          <w:sz w:val="24"/>
          <w:szCs w:val="24"/>
        </w:rPr>
        <w:t>Importantly</w:t>
      </w:r>
      <w:r w:rsidR="004D14F0">
        <w:rPr>
          <w:rFonts w:ascii="Times New Roman" w:hAnsi="Times New Roman" w:cs="Times New Roman"/>
          <w:sz w:val="24"/>
          <w:szCs w:val="24"/>
        </w:rPr>
        <w:t>, Snyder describes that alliances between strong and weak states “tend to be dominated by the stronger member, which uses the alliance as a vehicle for asserting influence or control.”</w:t>
      </w:r>
      <w:r w:rsidR="004D14F0">
        <w:rPr>
          <w:rStyle w:val="FootnoteReference"/>
          <w:rFonts w:ascii="Times New Roman" w:hAnsi="Times New Roman" w:cs="Times New Roman"/>
          <w:sz w:val="24"/>
          <w:szCs w:val="24"/>
        </w:rPr>
        <w:footnoteReference w:id="66"/>
      </w:r>
      <w:r w:rsidR="00CC2FCD">
        <w:rPr>
          <w:rFonts w:ascii="Times New Roman" w:hAnsi="Times New Roman" w:cs="Times New Roman"/>
          <w:sz w:val="24"/>
          <w:szCs w:val="24"/>
        </w:rPr>
        <w:t xml:space="preserve"> </w:t>
      </w:r>
      <w:r w:rsidR="009371EC">
        <w:rPr>
          <w:rFonts w:ascii="Times New Roman" w:hAnsi="Times New Roman" w:cs="Times New Roman"/>
          <w:sz w:val="24"/>
          <w:szCs w:val="24"/>
        </w:rPr>
        <w:t>In spite of this</w:t>
      </w:r>
      <w:r w:rsidR="00CC2FCD">
        <w:rPr>
          <w:rFonts w:ascii="Times New Roman" w:hAnsi="Times New Roman" w:cs="Times New Roman"/>
          <w:sz w:val="24"/>
          <w:szCs w:val="24"/>
        </w:rPr>
        <w:t>, Snyder believes that regar</w:t>
      </w:r>
      <w:r w:rsidR="00290EA9">
        <w:rPr>
          <w:rFonts w:ascii="Times New Roman" w:hAnsi="Times New Roman" w:cs="Times New Roman"/>
          <w:sz w:val="24"/>
          <w:szCs w:val="24"/>
        </w:rPr>
        <w:t xml:space="preserve">dless of </w:t>
      </w:r>
      <w:r w:rsidR="00CC2FCD">
        <w:rPr>
          <w:rFonts w:ascii="Times New Roman" w:hAnsi="Times New Roman" w:cs="Times New Roman"/>
          <w:sz w:val="24"/>
          <w:szCs w:val="24"/>
        </w:rPr>
        <w:t>power disparities</w:t>
      </w:r>
      <w:r w:rsidR="004D14F0">
        <w:rPr>
          <w:rFonts w:ascii="Times New Roman" w:hAnsi="Times New Roman" w:cs="Times New Roman"/>
          <w:sz w:val="24"/>
          <w:szCs w:val="24"/>
        </w:rPr>
        <w:t>, both allies have bargaining power during all phases of the alliance</w:t>
      </w:r>
      <w:r w:rsidR="00290EA9">
        <w:rPr>
          <w:rFonts w:ascii="Times New Roman" w:hAnsi="Times New Roman" w:cs="Times New Roman"/>
          <w:sz w:val="24"/>
          <w:szCs w:val="24"/>
        </w:rPr>
        <w:t xml:space="preserve"> (alliance formation and alliance management)</w:t>
      </w:r>
      <w:r w:rsidR="00BE13D3">
        <w:rPr>
          <w:rFonts w:ascii="Times New Roman" w:hAnsi="Times New Roman" w:cs="Times New Roman"/>
          <w:sz w:val="24"/>
          <w:szCs w:val="24"/>
        </w:rPr>
        <w:t xml:space="preserve">. </w:t>
      </w:r>
    </w:p>
    <w:p w14:paraId="59ED219D" w14:textId="77777777" w:rsidR="007B311D" w:rsidRPr="00811F8F" w:rsidRDefault="004D14F0" w:rsidP="00811F8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During bargaining over alliance </w:t>
      </w:r>
      <w:r w:rsidRPr="00CC2FCD">
        <w:rPr>
          <w:rFonts w:ascii="Times New Roman" w:hAnsi="Times New Roman" w:cs="Times New Roman"/>
          <w:i/>
          <w:iCs/>
          <w:sz w:val="24"/>
          <w:szCs w:val="24"/>
        </w:rPr>
        <w:t>formation</w:t>
      </w:r>
      <w:r>
        <w:rPr>
          <w:rFonts w:ascii="Times New Roman" w:hAnsi="Times New Roman" w:cs="Times New Roman"/>
          <w:sz w:val="24"/>
          <w:szCs w:val="24"/>
        </w:rPr>
        <w:t>, two factors are key: the inherent valuation of the prospective alliance</w:t>
      </w:r>
      <w:r w:rsidR="00CC2FCD">
        <w:rPr>
          <w:rFonts w:ascii="Times New Roman" w:hAnsi="Times New Roman" w:cs="Times New Roman"/>
          <w:sz w:val="24"/>
          <w:szCs w:val="24"/>
        </w:rPr>
        <w:t>,</w:t>
      </w:r>
      <w:r>
        <w:rPr>
          <w:rFonts w:ascii="Times New Roman" w:hAnsi="Times New Roman" w:cs="Times New Roman"/>
          <w:sz w:val="24"/>
          <w:szCs w:val="24"/>
        </w:rPr>
        <w:t xml:space="preserve"> and the availability and attractiveness of other alliance alternatives.</w:t>
      </w:r>
      <w:r>
        <w:rPr>
          <w:rStyle w:val="FootnoteReference"/>
          <w:rFonts w:ascii="Times New Roman" w:hAnsi="Times New Roman" w:cs="Times New Roman"/>
          <w:sz w:val="24"/>
          <w:szCs w:val="24"/>
        </w:rPr>
        <w:footnoteReference w:id="67"/>
      </w:r>
      <w:r>
        <w:rPr>
          <w:rFonts w:ascii="Times New Roman" w:hAnsi="Times New Roman" w:cs="Times New Roman"/>
          <w:sz w:val="24"/>
          <w:szCs w:val="24"/>
        </w:rPr>
        <w:t xml:space="preserve"> The first factor is determined by the adversary threat, ally capacity and willingness, and value of autonomy that will be sacrificed. During bargaining over alliance </w:t>
      </w:r>
      <w:r w:rsidRPr="00CC2FCD">
        <w:rPr>
          <w:rFonts w:ascii="Times New Roman" w:hAnsi="Times New Roman" w:cs="Times New Roman"/>
          <w:i/>
          <w:iCs/>
          <w:sz w:val="24"/>
          <w:szCs w:val="24"/>
        </w:rPr>
        <w:t>management</w:t>
      </w:r>
      <w:r>
        <w:rPr>
          <w:rFonts w:ascii="Times New Roman" w:hAnsi="Times New Roman" w:cs="Times New Roman"/>
          <w:sz w:val="24"/>
          <w:szCs w:val="24"/>
        </w:rPr>
        <w:t xml:space="preserve">, each ally’s power depends on “perceptions of their comparative dependence, commitments, and intensity of </w:t>
      </w:r>
      <w:r>
        <w:rPr>
          <w:rFonts w:ascii="Times New Roman" w:hAnsi="Times New Roman" w:cs="Times New Roman"/>
          <w:sz w:val="24"/>
          <w:szCs w:val="24"/>
        </w:rPr>
        <w:lastRenderedPageBreak/>
        <w:t>interest in whatever they are bargaining about.”</w:t>
      </w:r>
      <w:r>
        <w:rPr>
          <w:rStyle w:val="FootnoteReference"/>
          <w:rFonts w:ascii="Times New Roman" w:hAnsi="Times New Roman" w:cs="Times New Roman"/>
          <w:sz w:val="24"/>
          <w:szCs w:val="24"/>
        </w:rPr>
        <w:footnoteReference w:id="68"/>
      </w:r>
      <w:r>
        <w:rPr>
          <w:rFonts w:ascii="Times New Roman" w:hAnsi="Times New Roman" w:cs="Times New Roman"/>
          <w:sz w:val="24"/>
          <w:szCs w:val="24"/>
        </w:rPr>
        <w:t xml:space="preserve"> Level of dependence is measured by the need for assistance, the extent to which the ally satisfies this need, and alternatives to the ally.</w:t>
      </w:r>
      <w:r>
        <w:rPr>
          <w:rStyle w:val="FootnoteReference"/>
          <w:rFonts w:ascii="Times New Roman" w:hAnsi="Times New Roman" w:cs="Times New Roman"/>
          <w:sz w:val="24"/>
          <w:szCs w:val="24"/>
        </w:rPr>
        <w:footnoteReference w:id="69"/>
      </w:r>
      <w:r>
        <w:rPr>
          <w:rFonts w:ascii="Times New Roman" w:hAnsi="Times New Roman" w:cs="Times New Roman"/>
          <w:sz w:val="24"/>
          <w:szCs w:val="24"/>
        </w:rPr>
        <w:t xml:space="preserve"> Level of commitment is influenced by “the verbal promise in the alliance contract and subsequent elaborations of it” and “interests in aiding the ally that would exist apart from the promise.”</w:t>
      </w:r>
      <w:r>
        <w:rPr>
          <w:rStyle w:val="FootnoteReference"/>
          <w:rFonts w:ascii="Times New Roman" w:hAnsi="Times New Roman" w:cs="Times New Roman"/>
          <w:sz w:val="24"/>
          <w:szCs w:val="24"/>
        </w:rPr>
        <w:footnoteReference w:id="70"/>
      </w:r>
      <w:r>
        <w:rPr>
          <w:rFonts w:ascii="Times New Roman" w:hAnsi="Times New Roman" w:cs="Times New Roman"/>
          <w:sz w:val="24"/>
          <w:szCs w:val="24"/>
        </w:rPr>
        <w:t xml:space="preserve"> The last factor is fairly straightforward. Snyder establishes a three-point scale (high-moderate-low) to give each of these three factors a numerical score in order to establish which ally has a stronger position on a certain issue being bargained over. These scores are meant to help determine whether one ally will prevail or compromise will occur. This more horizontal understanding of the relationship between states and other actors</w:t>
      </w:r>
      <w:r w:rsidR="00CC2FCD">
        <w:rPr>
          <w:rFonts w:ascii="Times New Roman" w:hAnsi="Times New Roman" w:cs="Times New Roman"/>
          <w:sz w:val="24"/>
          <w:szCs w:val="24"/>
        </w:rPr>
        <w:t>, such as militias,</w:t>
      </w:r>
      <w:r>
        <w:rPr>
          <w:rFonts w:ascii="Times New Roman" w:hAnsi="Times New Roman" w:cs="Times New Roman"/>
          <w:sz w:val="24"/>
          <w:szCs w:val="24"/>
        </w:rPr>
        <w:t xml:space="preserve"> </w:t>
      </w:r>
      <w:r w:rsidR="00CC2FCD">
        <w:rPr>
          <w:rFonts w:ascii="Times New Roman" w:hAnsi="Times New Roman" w:cs="Times New Roman"/>
          <w:sz w:val="24"/>
          <w:szCs w:val="24"/>
        </w:rPr>
        <w:t>differs significantly</w:t>
      </w:r>
      <w:r>
        <w:rPr>
          <w:rFonts w:ascii="Times New Roman" w:hAnsi="Times New Roman" w:cs="Times New Roman"/>
          <w:sz w:val="24"/>
          <w:szCs w:val="24"/>
        </w:rPr>
        <w:t xml:space="preserve"> from the principal-agent framework.</w:t>
      </w:r>
    </w:p>
    <w:p w14:paraId="792F68CF" w14:textId="77777777" w:rsidR="007B311D" w:rsidRPr="007B311D" w:rsidRDefault="007B311D" w:rsidP="009371EC">
      <w:pPr>
        <w:spacing w:line="480" w:lineRule="auto"/>
        <w:rPr>
          <w:rFonts w:asciiTheme="majorBidi" w:hAnsiTheme="majorBidi" w:cstheme="majorBidi"/>
          <w:sz w:val="24"/>
          <w:szCs w:val="24"/>
        </w:rPr>
      </w:pPr>
      <w:r>
        <w:rPr>
          <w:rFonts w:asciiTheme="majorBidi" w:hAnsiTheme="majorBidi" w:cstheme="majorBidi"/>
          <w:sz w:val="24"/>
          <w:szCs w:val="24"/>
        </w:rPr>
        <w:tab/>
        <w:t>I will show in the remainder of the paper that state</w:t>
      </w:r>
      <w:r w:rsidR="00290EA9">
        <w:rPr>
          <w:rFonts w:asciiTheme="majorBidi" w:hAnsiTheme="majorBidi" w:cstheme="majorBidi"/>
          <w:sz w:val="24"/>
          <w:szCs w:val="24"/>
        </w:rPr>
        <w:t>-</w:t>
      </w:r>
      <w:r>
        <w:rPr>
          <w:rFonts w:asciiTheme="majorBidi" w:hAnsiTheme="majorBidi" w:cstheme="majorBidi"/>
          <w:sz w:val="24"/>
          <w:szCs w:val="24"/>
        </w:rPr>
        <w:t>militia relationships</w:t>
      </w:r>
      <w:r w:rsidR="006D6BC4">
        <w:rPr>
          <w:rFonts w:asciiTheme="majorBidi" w:hAnsiTheme="majorBidi" w:cstheme="majorBidi"/>
          <w:sz w:val="24"/>
          <w:szCs w:val="24"/>
        </w:rPr>
        <w:t xml:space="preserve"> are best captured by either the </w:t>
      </w:r>
      <w:r>
        <w:rPr>
          <w:rFonts w:asciiTheme="majorBidi" w:hAnsiTheme="majorBidi" w:cstheme="majorBidi"/>
          <w:sz w:val="24"/>
          <w:szCs w:val="24"/>
        </w:rPr>
        <w:t xml:space="preserve">principal-agent framework or </w:t>
      </w:r>
      <w:r w:rsidR="006D6BC4">
        <w:rPr>
          <w:rFonts w:asciiTheme="majorBidi" w:hAnsiTheme="majorBidi" w:cstheme="majorBidi"/>
          <w:sz w:val="24"/>
          <w:szCs w:val="24"/>
        </w:rPr>
        <w:t xml:space="preserve">the </w:t>
      </w:r>
      <w:r>
        <w:rPr>
          <w:rFonts w:asciiTheme="majorBidi" w:hAnsiTheme="majorBidi" w:cstheme="majorBidi"/>
          <w:sz w:val="24"/>
          <w:szCs w:val="24"/>
        </w:rPr>
        <w:t>alliance p</w:t>
      </w:r>
      <w:r w:rsidR="006D6BC4">
        <w:rPr>
          <w:rFonts w:asciiTheme="majorBidi" w:hAnsiTheme="majorBidi" w:cstheme="majorBidi"/>
          <w:sz w:val="24"/>
          <w:szCs w:val="24"/>
        </w:rPr>
        <w:t>olitics framework. Importantly, state-militia relationships can be better understood by different frameworks at various points in time</w:t>
      </w:r>
      <w:r>
        <w:rPr>
          <w:rFonts w:asciiTheme="majorBidi" w:hAnsiTheme="majorBidi" w:cstheme="majorBidi"/>
          <w:sz w:val="24"/>
          <w:szCs w:val="24"/>
        </w:rPr>
        <w:t xml:space="preserve"> (depending on whether trust</w:t>
      </w:r>
      <w:r w:rsidR="008C3419">
        <w:rPr>
          <w:rFonts w:asciiTheme="majorBidi" w:hAnsiTheme="majorBidi" w:cstheme="majorBidi"/>
          <w:sz w:val="24"/>
          <w:szCs w:val="24"/>
        </w:rPr>
        <w:t xml:space="preserve"> levels are</w:t>
      </w:r>
      <w:r>
        <w:rPr>
          <w:rFonts w:asciiTheme="majorBidi" w:hAnsiTheme="majorBidi" w:cstheme="majorBidi"/>
          <w:sz w:val="24"/>
          <w:szCs w:val="24"/>
        </w:rPr>
        <w:t xml:space="preserve"> increasing or decreasing). It</w:t>
      </w:r>
      <w:r w:rsidR="006D6BC4">
        <w:rPr>
          <w:rFonts w:asciiTheme="majorBidi" w:hAnsiTheme="majorBidi" w:cstheme="majorBidi"/>
          <w:sz w:val="24"/>
          <w:szCs w:val="24"/>
        </w:rPr>
        <w:t xml:space="preserve"> is likely that the principal-agent framework will better capture </w:t>
      </w:r>
      <w:r>
        <w:rPr>
          <w:rFonts w:asciiTheme="majorBidi" w:hAnsiTheme="majorBidi" w:cstheme="majorBidi"/>
          <w:sz w:val="24"/>
          <w:szCs w:val="24"/>
        </w:rPr>
        <w:t>the start of a relationship between a state and</w:t>
      </w:r>
      <w:r w:rsidR="009371EC">
        <w:rPr>
          <w:rFonts w:asciiTheme="majorBidi" w:hAnsiTheme="majorBidi" w:cstheme="majorBidi"/>
          <w:sz w:val="24"/>
          <w:szCs w:val="24"/>
        </w:rPr>
        <w:t xml:space="preserve"> a</w:t>
      </w:r>
      <w:r>
        <w:rPr>
          <w:rFonts w:asciiTheme="majorBidi" w:hAnsiTheme="majorBidi" w:cstheme="majorBidi"/>
          <w:sz w:val="24"/>
          <w:szCs w:val="24"/>
        </w:rPr>
        <w:t xml:space="preserve"> militia because </w:t>
      </w:r>
      <w:r w:rsidR="00290EA9">
        <w:rPr>
          <w:rFonts w:asciiTheme="majorBidi" w:hAnsiTheme="majorBidi" w:cstheme="majorBidi"/>
          <w:sz w:val="24"/>
          <w:szCs w:val="24"/>
        </w:rPr>
        <w:t>the state</w:t>
      </w:r>
      <w:r>
        <w:rPr>
          <w:rFonts w:asciiTheme="majorBidi" w:hAnsiTheme="majorBidi" w:cstheme="majorBidi"/>
          <w:sz w:val="24"/>
          <w:szCs w:val="24"/>
        </w:rPr>
        <w:t xml:space="preserve"> initially need</w:t>
      </w:r>
      <w:r w:rsidR="00290EA9">
        <w:rPr>
          <w:rFonts w:asciiTheme="majorBidi" w:hAnsiTheme="majorBidi" w:cstheme="majorBidi"/>
          <w:sz w:val="24"/>
          <w:szCs w:val="24"/>
        </w:rPr>
        <w:t>s</w:t>
      </w:r>
      <w:r>
        <w:rPr>
          <w:rFonts w:asciiTheme="majorBidi" w:hAnsiTheme="majorBidi" w:cstheme="majorBidi"/>
          <w:sz w:val="24"/>
          <w:szCs w:val="24"/>
        </w:rPr>
        <w:t xml:space="preserve"> time to evaluate the level of </w:t>
      </w:r>
      <w:r w:rsidR="009371EC">
        <w:rPr>
          <w:rFonts w:asciiTheme="majorBidi" w:hAnsiTheme="majorBidi" w:cstheme="majorBidi"/>
          <w:sz w:val="24"/>
          <w:szCs w:val="24"/>
        </w:rPr>
        <w:t xml:space="preserve">interest </w:t>
      </w:r>
      <w:r>
        <w:rPr>
          <w:rFonts w:asciiTheme="majorBidi" w:hAnsiTheme="majorBidi" w:cstheme="majorBidi"/>
          <w:sz w:val="24"/>
          <w:szCs w:val="24"/>
        </w:rPr>
        <w:t xml:space="preserve">convergence. If high levels of trust are established over time, then it is </w:t>
      </w:r>
      <w:r w:rsidR="006D6BC4">
        <w:rPr>
          <w:rFonts w:asciiTheme="majorBidi" w:hAnsiTheme="majorBidi" w:cstheme="majorBidi"/>
          <w:sz w:val="24"/>
          <w:szCs w:val="24"/>
        </w:rPr>
        <w:t xml:space="preserve">more </w:t>
      </w:r>
      <w:r>
        <w:rPr>
          <w:rFonts w:asciiTheme="majorBidi" w:hAnsiTheme="majorBidi" w:cstheme="majorBidi"/>
          <w:sz w:val="24"/>
          <w:szCs w:val="24"/>
        </w:rPr>
        <w:t xml:space="preserve">likely that the alliance politics framework will better capture the relationship between a state and </w:t>
      </w:r>
      <w:r w:rsidR="00290EA9">
        <w:rPr>
          <w:rFonts w:asciiTheme="majorBidi" w:hAnsiTheme="majorBidi" w:cstheme="majorBidi"/>
          <w:sz w:val="24"/>
          <w:szCs w:val="24"/>
        </w:rPr>
        <w:t xml:space="preserve">a </w:t>
      </w:r>
      <w:r>
        <w:rPr>
          <w:rFonts w:asciiTheme="majorBidi" w:hAnsiTheme="majorBidi" w:cstheme="majorBidi"/>
          <w:sz w:val="24"/>
          <w:szCs w:val="24"/>
        </w:rPr>
        <w:t xml:space="preserve">militia. If there is a continuing lack of trust between </w:t>
      </w:r>
      <w:r w:rsidR="00290EA9">
        <w:rPr>
          <w:rFonts w:asciiTheme="majorBidi" w:hAnsiTheme="majorBidi" w:cstheme="majorBidi"/>
          <w:sz w:val="24"/>
          <w:szCs w:val="24"/>
        </w:rPr>
        <w:t>the actors</w:t>
      </w:r>
      <w:r>
        <w:rPr>
          <w:rFonts w:asciiTheme="majorBidi" w:hAnsiTheme="majorBidi" w:cstheme="majorBidi"/>
          <w:sz w:val="24"/>
          <w:szCs w:val="24"/>
        </w:rPr>
        <w:t xml:space="preserve">, the relationship will </w:t>
      </w:r>
      <w:r w:rsidR="006D6BC4">
        <w:rPr>
          <w:rFonts w:asciiTheme="majorBidi" w:hAnsiTheme="majorBidi" w:cstheme="majorBidi"/>
          <w:sz w:val="24"/>
          <w:szCs w:val="24"/>
        </w:rPr>
        <w:t xml:space="preserve">likely be better analyzed through the lens of </w:t>
      </w:r>
      <w:r>
        <w:rPr>
          <w:rFonts w:asciiTheme="majorBidi" w:hAnsiTheme="majorBidi" w:cstheme="majorBidi"/>
          <w:sz w:val="24"/>
          <w:szCs w:val="24"/>
        </w:rPr>
        <w:t xml:space="preserve">the principal-agent framework. </w:t>
      </w:r>
      <w:r w:rsidR="006D6BC4">
        <w:rPr>
          <w:rFonts w:asciiTheme="majorBidi" w:hAnsiTheme="majorBidi" w:cstheme="majorBidi"/>
          <w:sz w:val="24"/>
          <w:szCs w:val="24"/>
        </w:rPr>
        <w:t>I will show that</w:t>
      </w:r>
      <w:r w:rsidR="00290EA9">
        <w:rPr>
          <w:rFonts w:asciiTheme="majorBidi" w:hAnsiTheme="majorBidi" w:cstheme="majorBidi"/>
          <w:sz w:val="24"/>
          <w:szCs w:val="24"/>
        </w:rPr>
        <w:t xml:space="preserve"> i</w:t>
      </w:r>
      <w:r w:rsidR="008C3419">
        <w:rPr>
          <w:rFonts w:asciiTheme="majorBidi" w:hAnsiTheme="majorBidi" w:cstheme="majorBidi"/>
          <w:sz w:val="24"/>
          <w:szCs w:val="24"/>
        </w:rPr>
        <w:t>ncorporating the alliance politics framework in</w:t>
      </w:r>
      <w:r w:rsidR="00290EA9">
        <w:rPr>
          <w:rFonts w:asciiTheme="majorBidi" w:hAnsiTheme="majorBidi" w:cstheme="majorBidi"/>
          <w:sz w:val="24"/>
          <w:szCs w:val="24"/>
        </w:rPr>
        <w:t xml:space="preserve">to </w:t>
      </w:r>
      <w:r w:rsidR="00290EA9">
        <w:rPr>
          <w:rFonts w:asciiTheme="majorBidi" w:hAnsiTheme="majorBidi" w:cstheme="majorBidi"/>
          <w:sz w:val="24"/>
          <w:szCs w:val="24"/>
        </w:rPr>
        <w:lastRenderedPageBreak/>
        <w:t xml:space="preserve">the study of </w:t>
      </w:r>
      <w:r w:rsidR="008C3419">
        <w:rPr>
          <w:rFonts w:asciiTheme="majorBidi" w:hAnsiTheme="majorBidi" w:cstheme="majorBidi"/>
          <w:sz w:val="24"/>
          <w:szCs w:val="24"/>
        </w:rPr>
        <w:t xml:space="preserve">state control of militias </w:t>
      </w:r>
      <w:r w:rsidR="00290EA9">
        <w:rPr>
          <w:rFonts w:asciiTheme="majorBidi" w:hAnsiTheme="majorBidi" w:cstheme="majorBidi"/>
          <w:sz w:val="24"/>
          <w:szCs w:val="24"/>
        </w:rPr>
        <w:t>better captures</w:t>
      </w:r>
      <w:r w:rsidR="006D6BC4">
        <w:rPr>
          <w:rFonts w:asciiTheme="majorBidi" w:hAnsiTheme="majorBidi" w:cstheme="majorBidi"/>
          <w:sz w:val="24"/>
          <w:szCs w:val="24"/>
        </w:rPr>
        <w:t xml:space="preserve"> </w:t>
      </w:r>
      <w:r w:rsidR="009371EC">
        <w:rPr>
          <w:rFonts w:asciiTheme="majorBidi" w:hAnsiTheme="majorBidi" w:cstheme="majorBidi"/>
          <w:sz w:val="24"/>
          <w:szCs w:val="24"/>
        </w:rPr>
        <w:t>variation across time</w:t>
      </w:r>
      <w:r w:rsidR="008C3419">
        <w:rPr>
          <w:rFonts w:asciiTheme="majorBidi" w:hAnsiTheme="majorBidi" w:cstheme="majorBidi"/>
          <w:sz w:val="24"/>
          <w:szCs w:val="24"/>
        </w:rPr>
        <w:t xml:space="preserve">. </w:t>
      </w:r>
      <w:r w:rsidR="006D6BC4">
        <w:rPr>
          <w:rFonts w:asciiTheme="majorBidi" w:hAnsiTheme="majorBidi" w:cstheme="majorBidi"/>
          <w:sz w:val="24"/>
          <w:szCs w:val="24"/>
        </w:rPr>
        <w:t>Relying exclusively on</w:t>
      </w:r>
      <w:r w:rsidR="009371EC">
        <w:rPr>
          <w:rFonts w:asciiTheme="majorBidi" w:hAnsiTheme="majorBidi" w:cstheme="majorBidi"/>
          <w:sz w:val="24"/>
          <w:szCs w:val="24"/>
        </w:rPr>
        <w:t xml:space="preserve"> the</w:t>
      </w:r>
      <w:r w:rsidR="006D6BC4">
        <w:rPr>
          <w:rFonts w:asciiTheme="majorBidi" w:hAnsiTheme="majorBidi" w:cstheme="majorBidi"/>
          <w:sz w:val="24"/>
          <w:szCs w:val="24"/>
        </w:rPr>
        <w:t xml:space="preserve"> </w:t>
      </w:r>
      <w:r w:rsidR="008C3419">
        <w:rPr>
          <w:rFonts w:asciiTheme="majorBidi" w:hAnsiTheme="majorBidi" w:cstheme="majorBidi"/>
          <w:sz w:val="24"/>
          <w:szCs w:val="24"/>
        </w:rPr>
        <w:t xml:space="preserve">principal-agent </w:t>
      </w:r>
      <w:r w:rsidR="009371EC">
        <w:rPr>
          <w:rFonts w:asciiTheme="majorBidi" w:hAnsiTheme="majorBidi" w:cstheme="majorBidi"/>
          <w:sz w:val="24"/>
          <w:szCs w:val="24"/>
        </w:rPr>
        <w:t>framework</w:t>
      </w:r>
      <w:r w:rsidR="006D6BC4">
        <w:rPr>
          <w:rFonts w:asciiTheme="majorBidi" w:hAnsiTheme="majorBidi" w:cstheme="majorBidi"/>
          <w:sz w:val="24"/>
          <w:szCs w:val="24"/>
        </w:rPr>
        <w:t xml:space="preserve"> has thus far prevented </w:t>
      </w:r>
      <w:r w:rsidR="008C3419">
        <w:rPr>
          <w:rFonts w:asciiTheme="majorBidi" w:hAnsiTheme="majorBidi" w:cstheme="majorBidi"/>
          <w:sz w:val="24"/>
          <w:szCs w:val="24"/>
        </w:rPr>
        <w:t>a fuller picture from emerging.</w:t>
      </w:r>
    </w:p>
    <w:p w14:paraId="2AD4D92B" w14:textId="77777777" w:rsidR="001F3EC2" w:rsidRDefault="00D6342E" w:rsidP="009052A8">
      <w:pPr>
        <w:rPr>
          <w:rFonts w:asciiTheme="majorBidi" w:hAnsiTheme="majorBidi" w:cstheme="majorBidi"/>
          <w:b/>
          <w:bCs/>
          <w:sz w:val="24"/>
          <w:szCs w:val="24"/>
        </w:rPr>
      </w:pPr>
      <w:r>
        <w:rPr>
          <w:rFonts w:asciiTheme="majorBidi" w:hAnsiTheme="majorBidi" w:cstheme="majorBidi"/>
          <w:b/>
          <w:bCs/>
          <w:sz w:val="24"/>
          <w:szCs w:val="24"/>
        </w:rPr>
        <w:t xml:space="preserve">Observable implications of the theory </w:t>
      </w:r>
    </w:p>
    <w:p w14:paraId="429C05C9" w14:textId="77777777" w:rsidR="00D51921" w:rsidRPr="00D51921" w:rsidRDefault="00D51921" w:rsidP="009052A8">
      <w:pPr>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 xml:space="preserve">If the </w:t>
      </w:r>
      <w:r w:rsidR="009052A8">
        <w:rPr>
          <w:rFonts w:asciiTheme="majorBidi" w:hAnsiTheme="majorBidi" w:cstheme="majorBidi"/>
          <w:sz w:val="24"/>
          <w:szCs w:val="24"/>
        </w:rPr>
        <w:t>above theory</w:t>
      </w:r>
      <w:r>
        <w:rPr>
          <w:rFonts w:asciiTheme="majorBidi" w:hAnsiTheme="majorBidi" w:cstheme="majorBidi"/>
          <w:sz w:val="24"/>
          <w:szCs w:val="24"/>
        </w:rPr>
        <w:t xml:space="preserve"> is correct, I would expect the following:</w:t>
      </w:r>
    </w:p>
    <w:p w14:paraId="7696CE93" w14:textId="77777777" w:rsidR="00D51921" w:rsidRDefault="00D51921" w:rsidP="009052A8">
      <w:pPr>
        <w:rPr>
          <w:rFonts w:asciiTheme="majorBidi" w:hAnsiTheme="majorBidi" w:cstheme="majorBidi"/>
          <w:i/>
          <w:iCs/>
          <w:sz w:val="24"/>
          <w:szCs w:val="24"/>
        </w:rPr>
      </w:pPr>
      <w:r>
        <w:rPr>
          <w:rFonts w:asciiTheme="majorBidi" w:hAnsiTheme="majorBidi" w:cstheme="majorBidi"/>
          <w:i/>
          <w:iCs/>
          <w:sz w:val="24"/>
          <w:szCs w:val="24"/>
        </w:rPr>
        <w:tab/>
      </w:r>
      <w:r>
        <w:rPr>
          <w:rFonts w:asciiTheme="majorBidi" w:hAnsiTheme="majorBidi" w:cstheme="majorBidi"/>
          <w:i/>
          <w:iCs/>
          <w:sz w:val="24"/>
          <w:szCs w:val="24"/>
        </w:rPr>
        <w:tab/>
      </w:r>
      <w:r w:rsidRPr="00502D65">
        <w:rPr>
          <w:rFonts w:asciiTheme="majorBidi" w:hAnsiTheme="majorBidi" w:cstheme="majorBidi"/>
          <w:i/>
          <w:iCs/>
          <w:sz w:val="24"/>
          <w:szCs w:val="24"/>
          <w:u w:val="single"/>
        </w:rPr>
        <w:t xml:space="preserve">If the state and militia operate </w:t>
      </w:r>
      <w:r w:rsidR="009052A8">
        <w:rPr>
          <w:rFonts w:asciiTheme="majorBidi" w:hAnsiTheme="majorBidi" w:cstheme="majorBidi"/>
          <w:i/>
          <w:iCs/>
          <w:sz w:val="24"/>
          <w:szCs w:val="24"/>
          <w:u w:val="single"/>
        </w:rPr>
        <w:t xml:space="preserve">according to the </w:t>
      </w:r>
      <w:r w:rsidRPr="00502D65">
        <w:rPr>
          <w:rFonts w:asciiTheme="majorBidi" w:hAnsiTheme="majorBidi" w:cstheme="majorBidi"/>
          <w:i/>
          <w:iCs/>
          <w:sz w:val="24"/>
          <w:szCs w:val="24"/>
          <w:u w:val="single"/>
        </w:rPr>
        <w:t xml:space="preserve">principal-agent </w:t>
      </w:r>
      <w:r w:rsidR="009052A8">
        <w:rPr>
          <w:rFonts w:asciiTheme="majorBidi" w:hAnsiTheme="majorBidi" w:cstheme="majorBidi"/>
          <w:i/>
          <w:iCs/>
          <w:sz w:val="24"/>
          <w:szCs w:val="24"/>
          <w:u w:val="single"/>
        </w:rPr>
        <w:t>framework</w:t>
      </w:r>
      <w:r>
        <w:rPr>
          <w:rFonts w:asciiTheme="majorBidi" w:hAnsiTheme="majorBidi" w:cstheme="majorBidi"/>
          <w:i/>
          <w:iCs/>
          <w:sz w:val="24"/>
          <w:szCs w:val="24"/>
        </w:rPr>
        <w:t>:</w:t>
      </w:r>
    </w:p>
    <w:p w14:paraId="127FE673" w14:textId="77777777" w:rsidR="009052A8" w:rsidRDefault="00502D65" w:rsidP="009052A8">
      <w:pPr>
        <w:pStyle w:val="ListParagraph"/>
        <w:numPr>
          <w:ilvl w:val="0"/>
          <w:numId w:val="4"/>
        </w:numPr>
        <w:rPr>
          <w:rFonts w:asciiTheme="majorBidi" w:hAnsiTheme="majorBidi" w:cstheme="majorBidi"/>
          <w:sz w:val="24"/>
          <w:szCs w:val="24"/>
        </w:rPr>
      </w:pPr>
      <w:r w:rsidRPr="009052A8">
        <w:rPr>
          <w:rFonts w:asciiTheme="majorBidi" w:hAnsiTheme="majorBidi" w:cstheme="majorBidi"/>
          <w:sz w:val="24"/>
          <w:szCs w:val="24"/>
        </w:rPr>
        <w:t xml:space="preserve">Little </w:t>
      </w:r>
      <w:r w:rsidR="009052A8">
        <w:rPr>
          <w:rFonts w:asciiTheme="majorBidi" w:hAnsiTheme="majorBidi" w:cstheme="majorBidi"/>
          <w:sz w:val="24"/>
          <w:szCs w:val="24"/>
        </w:rPr>
        <w:t xml:space="preserve">continuous </w:t>
      </w:r>
      <w:r w:rsidRPr="009052A8">
        <w:rPr>
          <w:rFonts w:asciiTheme="majorBidi" w:hAnsiTheme="majorBidi" w:cstheme="majorBidi"/>
          <w:sz w:val="24"/>
          <w:szCs w:val="24"/>
        </w:rPr>
        <w:t xml:space="preserve">bargaining should take place between the actors </w:t>
      </w:r>
    </w:p>
    <w:p w14:paraId="4FB885CB" w14:textId="77777777" w:rsidR="009052A8" w:rsidRDefault="009052A8" w:rsidP="009052A8">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 xml:space="preserve">The state should implement stricter monitoring mechanisms </w:t>
      </w:r>
    </w:p>
    <w:p w14:paraId="74F1A98A" w14:textId="77777777" w:rsidR="009052A8" w:rsidRPr="009052A8" w:rsidRDefault="009052A8" w:rsidP="009052A8">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If the militia carries out actions that the state disagrees with, the state is more likely to punish the militia; i</w:t>
      </w:r>
      <w:r w:rsidRPr="009052A8">
        <w:rPr>
          <w:rFonts w:asciiTheme="majorBidi" w:hAnsiTheme="majorBidi" w:cstheme="majorBidi"/>
          <w:sz w:val="24"/>
          <w:szCs w:val="24"/>
        </w:rPr>
        <w:t xml:space="preserve">f the state wants the militia to carry out an action it desires, the state </w:t>
      </w:r>
      <w:r>
        <w:rPr>
          <w:rFonts w:asciiTheme="majorBidi" w:hAnsiTheme="majorBidi" w:cstheme="majorBidi"/>
          <w:sz w:val="24"/>
          <w:szCs w:val="24"/>
        </w:rPr>
        <w:t xml:space="preserve">should be </w:t>
      </w:r>
      <w:r w:rsidRPr="009052A8">
        <w:rPr>
          <w:rFonts w:asciiTheme="majorBidi" w:hAnsiTheme="majorBidi" w:cstheme="majorBidi"/>
          <w:sz w:val="24"/>
          <w:szCs w:val="24"/>
        </w:rPr>
        <w:t xml:space="preserve">more likely to offer incentives </w:t>
      </w:r>
    </w:p>
    <w:p w14:paraId="76020971" w14:textId="77777777" w:rsidR="00D51921" w:rsidRPr="009052A8" w:rsidRDefault="00502D65" w:rsidP="00D51921">
      <w:pPr>
        <w:pStyle w:val="ListParagraph"/>
        <w:numPr>
          <w:ilvl w:val="0"/>
          <w:numId w:val="4"/>
        </w:numPr>
        <w:rPr>
          <w:rFonts w:asciiTheme="majorBidi" w:hAnsiTheme="majorBidi" w:cstheme="majorBidi"/>
          <w:sz w:val="24"/>
          <w:szCs w:val="24"/>
        </w:rPr>
      </w:pPr>
      <w:r w:rsidRPr="009052A8">
        <w:rPr>
          <w:rFonts w:asciiTheme="majorBidi" w:hAnsiTheme="majorBidi" w:cstheme="majorBidi"/>
          <w:sz w:val="24"/>
          <w:szCs w:val="24"/>
        </w:rPr>
        <w:t xml:space="preserve">If the actors’ </w:t>
      </w:r>
      <w:r w:rsidR="009052A8" w:rsidRPr="009052A8">
        <w:rPr>
          <w:rFonts w:asciiTheme="majorBidi" w:hAnsiTheme="majorBidi" w:cstheme="majorBidi"/>
          <w:sz w:val="24"/>
          <w:szCs w:val="24"/>
        </w:rPr>
        <w:t>interests/</w:t>
      </w:r>
      <w:r w:rsidRPr="009052A8">
        <w:rPr>
          <w:rFonts w:asciiTheme="majorBidi" w:hAnsiTheme="majorBidi" w:cstheme="majorBidi"/>
          <w:sz w:val="24"/>
          <w:szCs w:val="24"/>
        </w:rPr>
        <w:t>preferences diverge, the state should significantly decrease funding for the militia</w:t>
      </w:r>
      <w:r w:rsidR="009052A8">
        <w:rPr>
          <w:rFonts w:asciiTheme="majorBidi" w:hAnsiTheme="majorBidi" w:cstheme="majorBidi"/>
          <w:sz w:val="24"/>
          <w:szCs w:val="24"/>
        </w:rPr>
        <w:t>,</w:t>
      </w:r>
      <w:r w:rsidRPr="009052A8">
        <w:rPr>
          <w:rFonts w:asciiTheme="majorBidi" w:hAnsiTheme="majorBidi" w:cstheme="majorBidi"/>
          <w:sz w:val="24"/>
          <w:szCs w:val="24"/>
        </w:rPr>
        <w:t xml:space="preserve"> or the state and militia should cut ties</w:t>
      </w:r>
    </w:p>
    <w:p w14:paraId="47312D0F" w14:textId="77777777" w:rsidR="009052A8" w:rsidRPr="009052A8" w:rsidRDefault="00502D65" w:rsidP="009052A8">
      <w:pPr>
        <w:pStyle w:val="ListParagraph"/>
        <w:numPr>
          <w:ilvl w:val="0"/>
          <w:numId w:val="4"/>
        </w:numPr>
        <w:rPr>
          <w:rFonts w:asciiTheme="majorBidi" w:hAnsiTheme="majorBidi" w:cstheme="majorBidi"/>
          <w:sz w:val="24"/>
          <w:szCs w:val="24"/>
        </w:rPr>
      </w:pPr>
      <w:r w:rsidRPr="009052A8">
        <w:rPr>
          <w:rFonts w:asciiTheme="majorBidi" w:hAnsiTheme="majorBidi" w:cstheme="majorBidi"/>
          <w:sz w:val="24"/>
          <w:szCs w:val="24"/>
        </w:rPr>
        <w:t xml:space="preserve">If the militia carries out activities condemned internationally, the state should </w:t>
      </w:r>
      <w:r w:rsidR="009052A8" w:rsidRPr="009052A8">
        <w:rPr>
          <w:rFonts w:asciiTheme="majorBidi" w:hAnsiTheme="majorBidi" w:cstheme="majorBidi"/>
          <w:sz w:val="24"/>
          <w:szCs w:val="24"/>
        </w:rPr>
        <w:t xml:space="preserve">be more likely to </w:t>
      </w:r>
      <w:r w:rsidRPr="009052A8">
        <w:rPr>
          <w:rFonts w:asciiTheme="majorBidi" w:hAnsiTheme="majorBidi" w:cstheme="majorBidi"/>
          <w:sz w:val="24"/>
          <w:szCs w:val="24"/>
        </w:rPr>
        <w:t xml:space="preserve">publically denounce the </w:t>
      </w:r>
      <w:r w:rsidR="009052A8" w:rsidRPr="009052A8">
        <w:rPr>
          <w:rFonts w:asciiTheme="majorBidi" w:hAnsiTheme="majorBidi" w:cstheme="majorBidi"/>
          <w:sz w:val="24"/>
          <w:szCs w:val="24"/>
        </w:rPr>
        <w:t xml:space="preserve">specific </w:t>
      </w:r>
      <w:r w:rsidRPr="009052A8">
        <w:rPr>
          <w:rFonts w:asciiTheme="majorBidi" w:hAnsiTheme="majorBidi" w:cstheme="majorBidi"/>
          <w:sz w:val="24"/>
          <w:szCs w:val="24"/>
        </w:rPr>
        <w:t xml:space="preserve">activities </w:t>
      </w:r>
    </w:p>
    <w:p w14:paraId="449A7FC6" w14:textId="77777777" w:rsidR="00D51921" w:rsidRDefault="00D51921" w:rsidP="009052A8">
      <w:pPr>
        <w:rPr>
          <w:rFonts w:asciiTheme="majorBidi" w:hAnsiTheme="majorBidi" w:cstheme="majorBidi"/>
          <w:i/>
          <w:iCs/>
          <w:sz w:val="24"/>
          <w:szCs w:val="24"/>
        </w:rPr>
      </w:pPr>
      <w:r>
        <w:rPr>
          <w:rFonts w:asciiTheme="majorBidi" w:hAnsiTheme="majorBidi" w:cstheme="majorBidi"/>
          <w:i/>
          <w:iCs/>
          <w:sz w:val="24"/>
          <w:szCs w:val="24"/>
        </w:rPr>
        <w:tab/>
      </w:r>
      <w:r>
        <w:rPr>
          <w:rFonts w:asciiTheme="majorBidi" w:hAnsiTheme="majorBidi" w:cstheme="majorBidi"/>
          <w:i/>
          <w:iCs/>
          <w:sz w:val="24"/>
          <w:szCs w:val="24"/>
        </w:rPr>
        <w:tab/>
      </w:r>
      <w:r w:rsidRPr="00502D65">
        <w:rPr>
          <w:rFonts w:asciiTheme="majorBidi" w:hAnsiTheme="majorBidi" w:cstheme="majorBidi"/>
          <w:i/>
          <w:iCs/>
          <w:sz w:val="24"/>
          <w:szCs w:val="24"/>
          <w:u w:val="single"/>
        </w:rPr>
        <w:t>If the state and militia operate</w:t>
      </w:r>
      <w:r w:rsidR="009052A8">
        <w:rPr>
          <w:rFonts w:asciiTheme="majorBidi" w:hAnsiTheme="majorBidi" w:cstheme="majorBidi"/>
          <w:i/>
          <w:iCs/>
          <w:sz w:val="24"/>
          <w:szCs w:val="24"/>
          <w:u w:val="single"/>
        </w:rPr>
        <w:t xml:space="preserve"> according to the alliance politics framework</w:t>
      </w:r>
      <w:r>
        <w:rPr>
          <w:rFonts w:asciiTheme="majorBidi" w:hAnsiTheme="majorBidi" w:cstheme="majorBidi"/>
          <w:i/>
          <w:iCs/>
          <w:sz w:val="24"/>
          <w:szCs w:val="24"/>
        </w:rPr>
        <w:t xml:space="preserve">: </w:t>
      </w:r>
    </w:p>
    <w:p w14:paraId="7624BB46" w14:textId="77777777" w:rsidR="00D51921" w:rsidRDefault="00502D65" w:rsidP="009052A8">
      <w:pPr>
        <w:pStyle w:val="ListParagraph"/>
        <w:numPr>
          <w:ilvl w:val="0"/>
          <w:numId w:val="5"/>
        </w:numPr>
        <w:rPr>
          <w:rFonts w:asciiTheme="majorBidi" w:hAnsiTheme="majorBidi" w:cstheme="majorBidi"/>
          <w:sz w:val="24"/>
          <w:szCs w:val="24"/>
        </w:rPr>
      </w:pPr>
      <w:r w:rsidRPr="009052A8">
        <w:rPr>
          <w:rFonts w:asciiTheme="majorBidi" w:hAnsiTheme="majorBidi" w:cstheme="majorBidi"/>
          <w:sz w:val="24"/>
          <w:szCs w:val="24"/>
        </w:rPr>
        <w:t xml:space="preserve">Significant </w:t>
      </w:r>
      <w:r w:rsidR="00D51921" w:rsidRPr="009052A8">
        <w:rPr>
          <w:rFonts w:asciiTheme="majorBidi" w:hAnsiTheme="majorBidi" w:cstheme="majorBidi"/>
          <w:sz w:val="24"/>
          <w:szCs w:val="24"/>
        </w:rPr>
        <w:t xml:space="preserve">bargaining </w:t>
      </w:r>
      <w:r w:rsidR="009052A8">
        <w:rPr>
          <w:rFonts w:asciiTheme="majorBidi" w:hAnsiTheme="majorBidi" w:cstheme="majorBidi"/>
          <w:sz w:val="24"/>
          <w:szCs w:val="24"/>
        </w:rPr>
        <w:t>should</w:t>
      </w:r>
      <w:r w:rsidR="00D51921" w:rsidRPr="009052A8">
        <w:rPr>
          <w:rFonts w:asciiTheme="majorBidi" w:hAnsiTheme="majorBidi" w:cstheme="majorBidi"/>
          <w:sz w:val="24"/>
          <w:szCs w:val="24"/>
        </w:rPr>
        <w:t xml:space="preserve"> </w:t>
      </w:r>
      <w:r w:rsidRPr="009052A8">
        <w:rPr>
          <w:rFonts w:asciiTheme="majorBidi" w:hAnsiTheme="majorBidi" w:cstheme="majorBidi"/>
          <w:sz w:val="24"/>
          <w:szCs w:val="24"/>
        </w:rPr>
        <w:t xml:space="preserve">continuously take place </w:t>
      </w:r>
      <w:r w:rsidR="00D51921" w:rsidRPr="009052A8">
        <w:rPr>
          <w:rFonts w:asciiTheme="majorBidi" w:hAnsiTheme="majorBidi" w:cstheme="majorBidi"/>
          <w:sz w:val="24"/>
          <w:szCs w:val="24"/>
        </w:rPr>
        <w:t xml:space="preserve">between the actors </w:t>
      </w:r>
    </w:p>
    <w:p w14:paraId="7A315F4B" w14:textId="77777777" w:rsidR="009052A8" w:rsidRDefault="009052A8" w:rsidP="009052A8">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 xml:space="preserve">The state should implement looser monitoring mechanisms </w:t>
      </w:r>
    </w:p>
    <w:p w14:paraId="5321AB9E" w14:textId="77777777" w:rsidR="009052A8" w:rsidRPr="009052A8" w:rsidRDefault="009052A8" w:rsidP="009052A8">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If the militia carries out actions that the state disagrees with, the state should be less likely to punish the militia; i</w:t>
      </w:r>
      <w:r w:rsidRPr="009052A8">
        <w:rPr>
          <w:rFonts w:asciiTheme="majorBidi" w:hAnsiTheme="majorBidi" w:cstheme="majorBidi"/>
          <w:sz w:val="24"/>
          <w:szCs w:val="24"/>
        </w:rPr>
        <w:t>f the state wants the militia to carry out an action it desires, the state</w:t>
      </w:r>
      <w:r>
        <w:rPr>
          <w:rFonts w:asciiTheme="majorBidi" w:hAnsiTheme="majorBidi" w:cstheme="majorBidi"/>
          <w:sz w:val="24"/>
          <w:szCs w:val="24"/>
        </w:rPr>
        <w:t xml:space="preserve"> should be less likely to offer incentives </w:t>
      </w:r>
    </w:p>
    <w:p w14:paraId="4DC1B17A" w14:textId="77777777" w:rsidR="00502D65" w:rsidRPr="009052A8" w:rsidRDefault="00502D65" w:rsidP="00502D65">
      <w:pPr>
        <w:pStyle w:val="ListParagraph"/>
        <w:numPr>
          <w:ilvl w:val="0"/>
          <w:numId w:val="5"/>
        </w:numPr>
        <w:rPr>
          <w:rFonts w:asciiTheme="majorBidi" w:hAnsiTheme="majorBidi" w:cstheme="majorBidi"/>
          <w:sz w:val="24"/>
          <w:szCs w:val="24"/>
        </w:rPr>
      </w:pPr>
      <w:r w:rsidRPr="009052A8">
        <w:rPr>
          <w:rFonts w:asciiTheme="majorBidi" w:hAnsiTheme="majorBidi" w:cstheme="majorBidi"/>
          <w:sz w:val="24"/>
          <w:szCs w:val="24"/>
        </w:rPr>
        <w:t xml:space="preserve">If the actors’ </w:t>
      </w:r>
      <w:r w:rsidR="009052A8" w:rsidRPr="009052A8">
        <w:rPr>
          <w:rFonts w:asciiTheme="majorBidi" w:hAnsiTheme="majorBidi" w:cstheme="majorBidi"/>
          <w:sz w:val="24"/>
          <w:szCs w:val="24"/>
        </w:rPr>
        <w:t>interests/</w:t>
      </w:r>
      <w:r w:rsidRPr="009052A8">
        <w:rPr>
          <w:rFonts w:asciiTheme="majorBidi" w:hAnsiTheme="majorBidi" w:cstheme="majorBidi"/>
          <w:sz w:val="24"/>
          <w:szCs w:val="24"/>
        </w:rPr>
        <w:t xml:space="preserve">preferences diverge, the state should continue funding the militia and the state and militia should not cut ties </w:t>
      </w:r>
    </w:p>
    <w:p w14:paraId="1AC27070" w14:textId="77777777" w:rsidR="009052A8" w:rsidRPr="009052A8" w:rsidRDefault="00502D65" w:rsidP="009052A8">
      <w:pPr>
        <w:pStyle w:val="ListParagraph"/>
        <w:numPr>
          <w:ilvl w:val="0"/>
          <w:numId w:val="5"/>
        </w:numPr>
        <w:rPr>
          <w:rFonts w:asciiTheme="majorBidi" w:hAnsiTheme="majorBidi" w:cstheme="majorBidi"/>
          <w:sz w:val="24"/>
          <w:szCs w:val="24"/>
        </w:rPr>
      </w:pPr>
      <w:r w:rsidRPr="009052A8">
        <w:rPr>
          <w:rFonts w:asciiTheme="majorBidi" w:hAnsiTheme="majorBidi" w:cstheme="majorBidi"/>
          <w:sz w:val="24"/>
          <w:szCs w:val="24"/>
        </w:rPr>
        <w:t>If the militia carries out activities condemned internationally, the state should</w:t>
      </w:r>
      <w:r w:rsidR="009052A8" w:rsidRPr="009052A8">
        <w:rPr>
          <w:rFonts w:asciiTheme="majorBidi" w:hAnsiTheme="majorBidi" w:cstheme="majorBidi"/>
          <w:sz w:val="24"/>
          <w:szCs w:val="24"/>
        </w:rPr>
        <w:t xml:space="preserve"> be more likely to</w:t>
      </w:r>
      <w:r w:rsidRPr="009052A8">
        <w:rPr>
          <w:rFonts w:asciiTheme="majorBidi" w:hAnsiTheme="majorBidi" w:cstheme="majorBidi"/>
          <w:sz w:val="24"/>
          <w:szCs w:val="24"/>
        </w:rPr>
        <w:t xml:space="preserve"> continue publically supporting the militia </w:t>
      </w:r>
    </w:p>
    <w:p w14:paraId="3060275E" w14:textId="77777777" w:rsidR="00AE61CA" w:rsidRDefault="00AE61CA" w:rsidP="00AE61CA">
      <w:pPr>
        <w:rPr>
          <w:rFonts w:asciiTheme="majorBidi" w:hAnsiTheme="majorBidi" w:cstheme="majorBidi"/>
          <w:b/>
          <w:bCs/>
          <w:sz w:val="24"/>
          <w:szCs w:val="24"/>
        </w:rPr>
      </w:pPr>
      <w:r>
        <w:rPr>
          <w:rFonts w:asciiTheme="majorBidi" w:hAnsiTheme="majorBidi" w:cstheme="majorBidi"/>
          <w:b/>
          <w:bCs/>
          <w:sz w:val="24"/>
          <w:szCs w:val="24"/>
        </w:rPr>
        <w:t>Research design</w:t>
      </w:r>
    </w:p>
    <w:p w14:paraId="73D32134" w14:textId="77777777" w:rsidR="00290EA9" w:rsidRDefault="008C3419" w:rsidP="002633C2">
      <w:pPr>
        <w:spacing w:line="480" w:lineRule="auto"/>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 xml:space="preserve">In order to illustrate the value of </w:t>
      </w:r>
      <w:r w:rsidR="002633C2">
        <w:rPr>
          <w:rFonts w:asciiTheme="majorBidi" w:hAnsiTheme="majorBidi" w:cstheme="majorBidi"/>
          <w:sz w:val="24"/>
          <w:szCs w:val="24"/>
        </w:rPr>
        <w:t>incorporating</w:t>
      </w:r>
      <w:r>
        <w:rPr>
          <w:rFonts w:asciiTheme="majorBidi" w:hAnsiTheme="majorBidi" w:cstheme="majorBidi"/>
          <w:sz w:val="24"/>
          <w:szCs w:val="24"/>
        </w:rPr>
        <w:t xml:space="preserve"> the alliance politics framework, I will be evaluating the relationship between Iran and two of its</w:t>
      </w:r>
      <w:r w:rsidR="002633C2">
        <w:rPr>
          <w:rFonts w:asciiTheme="majorBidi" w:hAnsiTheme="majorBidi" w:cstheme="majorBidi"/>
          <w:sz w:val="24"/>
          <w:szCs w:val="24"/>
        </w:rPr>
        <w:t xml:space="preserve"> militias</w:t>
      </w:r>
      <w:r>
        <w:rPr>
          <w:rFonts w:asciiTheme="majorBidi" w:hAnsiTheme="majorBidi" w:cstheme="majorBidi"/>
          <w:sz w:val="24"/>
          <w:szCs w:val="24"/>
        </w:rPr>
        <w:t>, Hezbollah and Hamas, over time. I will</w:t>
      </w:r>
      <w:r w:rsidR="002633C2">
        <w:rPr>
          <w:rFonts w:asciiTheme="majorBidi" w:hAnsiTheme="majorBidi" w:cstheme="majorBidi"/>
          <w:sz w:val="24"/>
          <w:szCs w:val="24"/>
        </w:rPr>
        <w:t xml:space="preserve"> first</w:t>
      </w:r>
      <w:r>
        <w:rPr>
          <w:rFonts w:asciiTheme="majorBidi" w:hAnsiTheme="majorBidi" w:cstheme="majorBidi"/>
          <w:sz w:val="24"/>
          <w:szCs w:val="24"/>
        </w:rPr>
        <w:t xml:space="preserve"> show that the relationship between Iran and Hezbollah was first captured by the principal-agent framework</w:t>
      </w:r>
      <w:r w:rsidR="00290EA9">
        <w:rPr>
          <w:rFonts w:asciiTheme="majorBidi" w:hAnsiTheme="majorBidi" w:cstheme="majorBidi"/>
          <w:sz w:val="24"/>
          <w:szCs w:val="24"/>
        </w:rPr>
        <w:t>;</w:t>
      </w:r>
      <w:r>
        <w:rPr>
          <w:rFonts w:asciiTheme="majorBidi" w:hAnsiTheme="majorBidi" w:cstheme="majorBidi"/>
          <w:sz w:val="24"/>
          <w:szCs w:val="24"/>
        </w:rPr>
        <w:t xml:space="preserve"> but</w:t>
      </w:r>
      <w:r w:rsidR="00290EA9">
        <w:rPr>
          <w:rFonts w:asciiTheme="majorBidi" w:hAnsiTheme="majorBidi" w:cstheme="majorBidi"/>
          <w:sz w:val="24"/>
          <w:szCs w:val="24"/>
        </w:rPr>
        <w:t>,</w:t>
      </w:r>
      <w:r>
        <w:rPr>
          <w:rFonts w:asciiTheme="majorBidi" w:hAnsiTheme="majorBidi" w:cstheme="majorBidi"/>
          <w:sz w:val="24"/>
          <w:szCs w:val="24"/>
        </w:rPr>
        <w:t xml:space="preserve"> over time, was better captured by the alliance politics framework.</w:t>
      </w:r>
      <w:r w:rsidR="002633C2">
        <w:rPr>
          <w:rFonts w:asciiTheme="majorBidi" w:hAnsiTheme="majorBidi" w:cstheme="majorBidi"/>
          <w:sz w:val="24"/>
          <w:szCs w:val="24"/>
        </w:rPr>
        <w:t xml:space="preserve"> This will be an example of within-case variation.</w:t>
      </w:r>
      <w:r>
        <w:rPr>
          <w:rFonts w:asciiTheme="majorBidi" w:hAnsiTheme="majorBidi" w:cstheme="majorBidi"/>
          <w:sz w:val="24"/>
          <w:szCs w:val="24"/>
        </w:rPr>
        <w:t xml:space="preserve"> I will</w:t>
      </w:r>
      <w:r w:rsidR="002633C2">
        <w:rPr>
          <w:rFonts w:asciiTheme="majorBidi" w:hAnsiTheme="majorBidi" w:cstheme="majorBidi"/>
          <w:sz w:val="24"/>
          <w:szCs w:val="24"/>
        </w:rPr>
        <w:t xml:space="preserve"> then</w:t>
      </w:r>
      <w:r>
        <w:rPr>
          <w:rFonts w:asciiTheme="majorBidi" w:hAnsiTheme="majorBidi" w:cstheme="majorBidi"/>
          <w:sz w:val="24"/>
          <w:szCs w:val="24"/>
        </w:rPr>
        <w:t xml:space="preserve"> show that the relationship between </w:t>
      </w:r>
      <w:r w:rsidR="00290EA9">
        <w:rPr>
          <w:rFonts w:asciiTheme="majorBidi" w:hAnsiTheme="majorBidi" w:cstheme="majorBidi"/>
          <w:sz w:val="24"/>
          <w:szCs w:val="24"/>
        </w:rPr>
        <w:t xml:space="preserve">Iran and Hamas has consistently </w:t>
      </w:r>
      <w:r w:rsidR="002633C2">
        <w:rPr>
          <w:rFonts w:asciiTheme="majorBidi" w:hAnsiTheme="majorBidi" w:cstheme="majorBidi"/>
          <w:sz w:val="24"/>
          <w:szCs w:val="24"/>
        </w:rPr>
        <w:t>fit the principal-agent model. This will be an example of between-case variation (variation between Hezbollah and Hamas).</w:t>
      </w:r>
    </w:p>
    <w:p w14:paraId="05ADC2DA" w14:textId="77777777" w:rsidR="00290EA9" w:rsidRDefault="00290EA9" w:rsidP="002633C2">
      <w:pPr>
        <w:spacing w:line="480" w:lineRule="auto"/>
        <w:rPr>
          <w:rFonts w:asciiTheme="majorBidi" w:hAnsiTheme="majorBidi" w:cstheme="majorBidi"/>
          <w:sz w:val="24"/>
          <w:szCs w:val="24"/>
        </w:rPr>
      </w:pPr>
      <w:r>
        <w:rPr>
          <w:rFonts w:asciiTheme="majorBidi" w:hAnsiTheme="majorBidi" w:cstheme="majorBidi"/>
          <w:sz w:val="24"/>
          <w:szCs w:val="24"/>
        </w:rPr>
        <w:lastRenderedPageBreak/>
        <w:tab/>
        <w:t xml:space="preserve">Hezbollah and </w:t>
      </w:r>
      <w:r w:rsidR="00B96BD6">
        <w:rPr>
          <w:rFonts w:asciiTheme="majorBidi" w:hAnsiTheme="majorBidi" w:cstheme="majorBidi"/>
          <w:sz w:val="24"/>
          <w:szCs w:val="24"/>
        </w:rPr>
        <w:t>Hamas</w:t>
      </w:r>
      <w:r w:rsidR="002633C2">
        <w:rPr>
          <w:rFonts w:asciiTheme="majorBidi" w:hAnsiTheme="majorBidi" w:cstheme="majorBidi"/>
          <w:sz w:val="24"/>
          <w:szCs w:val="24"/>
        </w:rPr>
        <w:t xml:space="preserve"> are good cases</w:t>
      </w:r>
      <w:r w:rsidR="00B96BD6">
        <w:rPr>
          <w:rFonts w:asciiTheme="majorBidi" w:hAnsiTheme="majorBidi" w:cstheme="majorBidi"/>
          <w:sz w:val="24"/>
          <w:szCs w:val="24"/>
        </w:rPr>
        <w:t xml:space="preserve"> because they</w:t>
      </w:r>
      <w:r>
        <w:rPr>
          <w:rFonts w:asciiTheme="majorBidi" w:hAnsiTheme="majorBidi" w:cstheme="majorBidi"/>
          <w:sz w:val="24"/>
          <w:szCs w:val="24"/>
        </w:rPr>
        <w:t xml:space="preserve"> follow the Most Similar Systems Design (MSSD), popularized by Mill.</w:t>
      </w:r>
      <w:r w:rsidR="00B96BD6">
        <w:rPr>
          <w:rFonts w:asciiTheme="majorBidi" w:hAnsiTheme="majorBidi" w:cstheme="majorBidi"/>
          <w:sz w:val="24"/>
          <w:szCs w:val="24"/>
        </w:rPr>
        <w:t xml:space="preserve"> </w:t>
      </w:r>
    </w:p>
    <w:tbl>
      <w:tblPr>
        <w:tblStyle w:val="TableGrid"/>
        <w:tblW w:w="10074" w:type="dxa"/>
        <w:tblInd w:w="-185" w:type="dxa"/>
        <w:tblLook w:val="04A0" w:firstRow="1" w:lastRow="0" w:firstColumn="1" w:lastColumn="0" w:noHBand="0" w:noVBand="1"/>
      </w:tblPr>
      <w:tblGrid>
        <w:gridCol w:w="3960"/>
        <w:gridCol w:w="2963"/>
        <w:gridCol w:w="3151"/>
      </w:tblGrid>
      <w:tr w:rsidR="00811F8F" w14:paraId="3107BEAA" w14:textId="77777777" w:rsidTr="00DA70B2">
        <w:trPr>
          <w:trHeight w:val="311"/>
        </w:trPr>
        <w:tc>
          <w:tcPr>
            <w:tcW w:w="3960" w:type="dxa"/>
            <w:shd w:val="clear" w:color="auto" w:fill="FFFFFF" w:themeFill="background1"/>
          </w:tcPr>
          <w:p w14:paraId="7618DB84" w14:textId="77777777" w:rsidR="00811F8F" w:rsidRDefault="00811F8F" w:rsidP="00B96BD6">
            <w:pPr>
              <w:rPr>
                <w:rFonts w:asciiTheme="majorBidi" w:hAnsiTheme="majorBidi" w:cstheme="majorBidi"/>
                <w:b/>
                <w:bCs/>
                <w:sz w:val="24"/>
                <w:szCs w:val="24"/>
              </w:rPr>
            </w:pPr>
          </w:p>
        </w:tc>
        <w:tc>
          <w:tcPr>
            <w:tcW w:w="2963" w:type="dxa"/>
            <w:shd w:val="clear" w:color="auto" w:fill="FFFFFF" w:themeFill="background1"/>
          </w:tcPr>
          <w:p w14:paraId="32AA4B3E" w14:textId="77777777" w:rsidR="00811F8F" w:rsidRPr="002633C2" w:rsidRDefault="00811F8F" w:rsidP="00B96BD6">
            <w:pPr>
              <w:rPr>
                <w:rFonts w:asciiTheme="majorBidi" w:hAnsiTheme="majorBidi" w:cstheme="majorBidi"/>
                <w:b/>
                <w:bCs/>
                <w:sz w:val="24"/>
                <w:szCs w:val="24"/>
                <w:u w:val="single"/>
              </w:rPr>
            </w:pPr>
            <w:r w:rsidRPr="002633C2">
              <w:rPr>
                <w:rFonts w:asciiTheme="majorBidi" w:hAnsiTheme="majorBidi" w:cstheme="majorBidi"/>
                <w:b/>
                <w:bCs/>
                <w:sz w:val="24"/>
                <w:szCs w:val="24"/>
                <w:u w:val="single"/>
              </w:rPr>
              <w:t>Hamas</w:t>
            </w:r>
          </w:p>
        </w:tc>
        <w:tc>
          <w:tcPr>
            <w:tcW w:w="3151" w:type="dxa"/>
            <w:shd w:val="clear" w:color="auto" w:fill="FFFFFF" w:themeFill="background1"/>
          </w:tcPr>
          <w:p w14:paraId="4A155FC4" w14:textId="77777777" w:rsidR="00811F8F" w:rsidRPr="002633C2" w:rsidRDefault="00811F8F" w:rsidP="00B96BD6">
            <w:pPr>
              <w:rPr>
                <w:rFonts w:asciiTheme="majorBidi" w:hAnsiTheme="majorBidi" w:cstheme="majorBidi"/>
                <w:b/>
                <w:bCs/>
                <w:sz w:val="24"/>
                <w:szCs w:val="24"/>
                <w:u w:val="single"/>
              </w:rPr>
            </w:pPr>
            <w:r w:rsidRPr="002633C2">
              <w:rPr>
                <w:rFonts w:asciiTheme="majorBidi" w:hAnsiTheme="majorBidi" w:cstheme="majorBidi"/>
                <w:b/>
                <w:bCs/>
                <w:sz w:val="24"/>
                <w:szCs w:val="24"/>
                <w:u w:val="single"/>
              </w:rPr>
              <w:t>Hezbollah</w:t>
            </w:r>
          </w:p>
        </w:tc>
      </w:tr>
      <w:tr w:rsidR="00811F8F" w14:paraId="2190CAB0" w14:textId="77777777" w:rsidTr="00DA70B2">
        <w:trPr>
          <w:trHeight w:val="311"/>
        </w:trPr>
        <w:tc>
          <w:tcPr>
            <w:tcW w:w="10074" w:type="dxa"/>
            <w:gridSpan w:val="3"/>
            <w:shd w:val="clear" w:color="auto" w:fill="808080" w:themeFill="background1" w:themeFillShade="80"/>
          </w:tcPr>
          <w:p w14:paraId="112A5F25" w14:textId="77777777" w:rsidR="00811F8F" w:rsidRPr="002633C2" w:rsidRDefault="00811F8F" w:rsidP="00B96BD6">
            <w:pPr>
              <w:rPr>
                <w:rFonts w:asciiTheme="majorBidi" w:hAnsiTheme="majorBidi" w:cstheme="majorBidi"/>
                <w:b/>
                <w:bCs/>
                <w:sz w:val="24"/>
                <w:szCs w:val="24"/>
                <w:u w:val="single"/>
              </w:rPr>
            </w:pPr>
            <w:r w:rsidRPr="002633C2">
              <w:rPr>
                <w:rFonts w:asciiTheme="majorBidi" w:hAnsiTheme="majorBidi" w:cstheme="majorBidi"/>
                <w:b/>
                <w:bCs/>
                <w:sz w:val="24"/>
                <w:szCs w:val="24"/>
                <w:u w:val="single"/>
              </w:rPr>
              <w:t>Similarities</w:t>
            </w:r>
          </w:p>
        </w:tc>
      </w:tr>
      <w:tr w:rsidR="00B96BD6" w14:paraId="07EA9ABB" w14:textId="77777777" w:rsidTr="00DA70B2">
        <w:trPr>
          <w:trHeight w:val="620"/>
        </w:trPr>
        <w:tc>
          <w:tcPr>
            <w:tcW w:w="3960" w:type="dxa"/>
            <w:shd w:val="clear" w:color="auto" w:fill="FFFFFF" w:themeFill="background1"/>
          </w:tcPr>
          <w:p w14:paraId="4ABC76E9" w14:textId="77777777" w:rsidR="00B96BD6" w:rsidRPr="009371EC" w:rsidRDefault="00B96BD6" w:rsidP="00B96BD6">
            <w:pPr>
              <w:rPr>
                <w:rFonts w:asciiTheme="majorBidi" w:hAnsiTheme="majorBidi" w:cstheme="majorBidi"/>
                <w:sz w:val="24"/>
                <w:szCs w:val="24"/>
              </w:rPr>
            </w:pPr>
            <w:r w:rsidRPr="009371EC">
              <w:rPr>
                <w:rFonts w:asciiTheme="majorBidi" w:hAnsiTheme="majorBidi" w:cstheme="majorBidi"/>
                <w:sz w:val="24"/>
                <w:szCs w:val="24"/>
              </w:rPr>
              <w:t>Region</w:t>
            </w:r>
          </w:p>
        </w:tc>
        <w:tc>
          <w:tcPr>
            <w:tcW w:w="2963" w:type="dxa"/>
          </w:tcPr>
          <w:p w14:paraId="3B2AB298" w14:textId="77777777" w:rsidR="00B96BD6" w:rsidRDefault="00B96BD6" w:rsidP="00B96BD6">
            <w:pPr>
              <w:rPr>
                <w:rFonts w:asciiTheme="majorBidi" w:hAnsiTheme="majorBidi" w:cstheme="majorBidi"/>
                <w:sz w:val="24"/>
                <w:szCs w:val="24"/>
              </w:rPr>
            </w:pPr>
            <w:r>
              <w:rPr>
                <w:rFonts w:asciiTheme="majorBidi" w:hAnsiTheme="majorBidi" w:cstheme="majorBidi"/>
                <w:sz w:val="24"/>
                <w:szCs w:val="24"/>
              </w:rPr>
              <w:t xml:space="preserve">Middle East (Palestinian Territories)  </w:t>
            </w:r>
          </w:p>
        </w:tc>
        <w:tc>
          <w:tcPr>
            <w:tcW w:w="3151" w:type="dxa"/>
          </w:tcPr>
          <w:p w14:paraId="701244E9" w14:textId="77777777" w:rsidR="00B96BD6" w:rsidRDefault="00B96BD6" w:rsidP="00B96BD6">
            <w:pPr>
              <w:rPr>
                <w:rFonts w:asciiTheme="majorBidi" w:hAnsiTheme="majorBidi" w:cstheme="majorBidi"/>
                <w:sz w:val="24"/>
                <w:szCs w:val="24"/>
              </w:rPr>
            </w:pPr>
            <w:r>
              <w:rPr>
                <w:rFonts w:asciiTheme="majorBidi" w:hAnsiTheme="majorBidi" w:cstheme="majorBidi"/>
                <w:sz w:val="24"/>
                <w:szCs w:val="24"/>
              </w:rPr>
              <w:t>Middle East (Lebanon)</w:t>
            </w:r>
          </w:p>
        </w:tc>
      </w:tr>
      <w:tr w:rsidR="00290EA9" w14:paraId="2FDB0791" w14:textId="77777777" w:rsidTr="00DA70B2">
        <w:trPr>
          <w:trHeight w:val="325"/>
        </w:trPr>
        <w:tc>
          <w:tcPr>
            <w:tcW w:w="3960" w:type="dxa"/>
            <w:shd w:val="clear" w:color="auto" w:fill="FFFFFF" w:themeFill="background1"/>
          </w:tcPr>
          <w:p w14:paraId="4E3EA39E" w14:textId="77777777" w:rsidR="00290EA9" w:rsidRPr="009371EC" w:rsidRDefault="00362078" w:rsidP="00B96BD6">
            <w:pPr>
              <w:rPr>
                <w:rFonts w:asciiTheme="majorBidi" w:hAnsiTheme="majorBidi" w:cstheme="majorBidi"/>
                <w:sz w:val="24"/>
                <w:szCs w:val="24"/>
              </w:rPr>
            </w:pPr>
            <w:r w:rsidRPr="009371EC">
              <w:rPr>
                <w:rFonts w:asciiTheme="majorBidi" w:hAnsiTheme="majorBidi" w:cstheme="majorBidi"/>
                <w:sz w:val="24"/>
                <w:szCs w:val="24"/>
              </w:rPr>
              <w:t>Initiation</w:t>
            </w:r>
            <w:r w:rsidR="00290EA9" w:rsidRPr="009371EC">
              <w:rPr>
                <w:rFonts w:asciiTheme="majorBidi" w:hAnsiTheme="majorBidi" w:cstheme="majorBidi"/>
                <w:sz w:val="24"/>
                <w:szCs w:val="24"/>
              </w:rPr>
              <w:t xml:space="preserve"> of relationship</w:t>
            </w:r>
          </w:p>
        </w:tc>
        <w:tc>
          <w:tcPr>
            <w:tcW w:w="2963" w:type="dxa"/>
          </w:tcPr>
          <w:p w14:paraId="5417BA44" w14:textId="77777777" w:rsidR="00290EA9" w:rsidRDefault="00362078" w:rsidP="00B96BD6">
            <w:pPr>
              <w:rPr>
                <w:rFonts w:asciiTheme="majorBidi" w:hAnsiTheme="majorBidi" w:cstheme="majorBidi"/>
                <w:sz w:val="24"/>
                <w:szCs w:val="24"/>
              </w:rPr>
            </w:pPr>
            <w:r>
              <w:rPr>
                <w:rFonts w:asciiTheme="majorBidi" w:hAnsiTheme="majorBidi" w:cstheme="majorBidi"/>
                <w:sz w:val="24"/>
                <w:szCs w:val="24"/>
              </w:rPr>
              <w:t xml:space="preserve">1992 </w:t>
            </w:r>
          </w:p>
        </w:tc>
        <w:tc>
          <w:tcPr>
            <w:tcW w:w="3151" w:type="dxa"/>
          </w:tcPr>
          <w:p w14:paraId="2D51A2B0" w14:textId="77777777" w:rsidR="00290EA9" w:rsidRDefault="00290EA9" w:rsidP="00B96BD6">
            <w:pPr>
              <w:rPr>
                <w:rFonts w:asciiTheme="majorBidi" w:hAnsiTheme="majorBidi" w:cstheme="majorBidi"/>
                <w:sz w:val="24"/>
                <w:szCs w:val="24"/>
              </w:rPr>
            </w:pPr>
            <w:r>
              <w:rPr>
                <w:rFonts w:asciiTheme="majorBidi" w:hAnsiTheme="majorBidi" w:cstheme="majorBidi"/>
                <w:sz w:val="24"/>
                <w:szCs w:val="24"/>
              </w:rPr>
              <w:t>1982</w:t>
            </w:r>
          </w:p>
        </w:tc>
      </w:tr>
      <w:tr w:rsidR="00290EA9" w14:paraId="231B6F85" w14:textId="77777777" w:rsidTr="00DA70B2">
        <w:trPr>
          <w:trHeight w:val="311"/>
        </w:trPr>
        <w:tc>
          <w:tcPr>
            <w:tcW w:w="3960" w:type="dxa"/>
            <w:shd w:val="clear" w:color="auto" w:fill="FFFFFF" w:themeFill="background1"/>
          </w:tcPr>
          <w:p w14:paraId="00BE000D" w14:textId="77777777" w:rsidR="00290EA9" w:rsidRPr="009371EC" w:rsidRDefault="00066B34" w:rsidP="00B96BD6">
            <w:pPr>
              <w:rPr>
                <w:rFonts w:asciiTheme="majorBidi" w:hAnsiTheme="majorBidi" w:cstheme="majorBidi"/>
                <w:sz w:val="24"/>
                <w:szCs w:val="24"/>
              </w:rPr>
            </w:pPr>
            <w:r w:rsidRPr="009371EC">
              <w:rPr>
                <w:rFonts w:asciiTheme="majorBidi" w:hAnsiTheme="majorBidi" w:cstheme="majorBidi"/>
                <w:sz w:val="24"/>
                <w:szCs w:val="24"/>
              </w:rPr>
              <w:t xml:space="preserve">Size </w:t>
            </w:r>
            <w:r w:rsidR="001C1E71">
              <w:rPr>
                <w:rFonts w:asciiTheme="majorBidi" w:hAnsiTheme="majorBidi" w:cstheme="majorBidi"/>
                <w:sz w:val="24"/>
                <w:szCs w:val="24"/>
              </w:rPr>
              <w:t>of organization</w:t>
            </w:r>
          </w:p>
        </w:tc>
        <w:tc>
          <w:tcPr>
            <w:tcW w:w="2963" w:type="dxa"/>
          </w:tcPr>
          <w:p w14:paraId="141492F2" w14:textId="77777777" w:rsidR="00290EA9" w:rsidRDefault="001C1E71" w:rsidP="00B96BD6">
            <w:pPr>
              <w:rPr>
                <w:rFonts w:asciiTheme="majorBidi" w:hAnsiTheme="majorBidi" w:cstheme="majorBidi"/>
                <w:sz w:val="24"/>
                <w:szCs w:val="24"/>
              </w:rPr>
            </w:pPr>
            <w:r>
              <w:rPr>
                <w:rFonts w:asciiTheme="majorBidi" w:hAnsiTheme="majorBidi" w:cstheme="majorBidi"/>
                <w:sz w:val="24"/>
                <w:szCs w:val="24"/>
              </w:rPr>
              <w:t>~ 15</w:t>
            </w:r>
            <w:r w:rsidR="00066B34">
              <w:rPr>
                <w:rFonts w:asciiTheme="majorBidi" w:hAnsiTheme="majorBidi" w:cstheme="majorBidi"/>
                <w:sz w:val="24"/>
                <w:szCs w:val="24"/>
              </w:rPr>
              <w:t>,000 combatants (2013)</w:t>
            </w:r>
          </w:p>
        </w:tc>
        <w:tc>
          <w:tcPr>
            <w:tcW w:w="3151" w:type="dxa"/>
          </w:tcPr>
          <w:p w14:paraId="7456056F" w14:textId="77777777" w:rsidR="00290EA9" w:rsidRDefault="00066B34" w:rsidP="00B96BD6">
            <w:pPr>
              <w:rPr>
                <w:rFonts w:asciiTheme="majorBidi" w:hAnsiTheme="majorBidi" w:cstheme="majorBidi"/>
                <w:sz w:val="24"/>
                <w:szCs w:val="24"/>
              </w:rPr>
            </w:pPr>
            <w:r>
              <w:rPr>
                <w:rFonts w:asciiTheme="majorBidi" w:hAnsiTheme="majorBidi" w:cstheme="majorBidi"/>
                <w:sz w:val="24"/>
                <w:szCs w:val="24"/>
              </w:rPr>
              <w:t xml:space="preserve">~ </w:t>
            </w:r>
            <w:r w:rsidRPr="00066B34">
              <w:rPr>
                <w:rFonts w:asciiTheme="majorBidi" w:hAnsiTheme="majorBidi" w:cstheme="majorBidi"/>
                <w:sz w:val="24"/>
                <w:szCs w:val="24"/>
              </w:rPr>
              <w:t>25,000 combatants</w:t>
            </w:r>
            <w:r>
              <w:rPr>
                <w:rFonts w:asciiTheme="majorBidi" w:hAnsiTheme="majorBidi" w:cstheme="majorBidi"/>
                <w:sz w:val="24"/>
                <w:szCs w:val="24"/>
              </w:rPr>
              <w:t xml:space="preserve"> (2017)</w:t>
            </w:r>
          </w:p>
        </w:tc>
      </w:tr>
      <w:tr w:rsidR="00290EA9" w14:paraId="10A7D698" w14:textId="77777777" w:rsidTr="00DA70B2">
        <w:trPr>
          <w:trHeight w:val="311"/>
        </w:trPr>
        <w:tc>
          <w:tcPr>
            <w:tcW w:w="3960" w:type="dxa"/>
            <w:shd w:val="clear" w:color="auto" w:fill="FFFFFF" w:themeFill="background1"/>
          </w:tcPr>
          <w:p w14:paraId="6E920AAB" w14:textId="77777777" w:rsidR="00290EA9" w:rsidRPr="009371EC" w:rsidRDefault="00EB77A9" w:rsidP="00B96BD6">
            <w:pPr>
              <w:rPr>
                <w:rFonts w:asciiTheme="majorBidi" w:hAnsiTheme="majorBidi" w:cstheme="majorBidi"/>
                <w:sz w:val="24"/>
                <w:szCs w:val="24"/>
              </w:rPr>
            </w:pPr>
            <w:r w:rsidRPr="009371EC">
              <w:rPr>
                <w:rFonts w:asciiTheme="majorBidi" w:hAnsiTheme="majorBidi" w:cstheme="majorBidi"/>
                <w:sz w:val="24"/>
                <w:szCs w:val="24"/>
              </w:rPr>
              <w:t>Ideology</w:t>
            </w:r>
          </w:p>
        </w:tc>
        <w:tc>
          <w:tcPr>
            <w:tcW w:w="2963" w:type="dxa"/>
          </w:tcPr>
          <w:p w14:paraId="73B03BA7" w14:textId="77777777" w:rsidR="00290EA9" w:rsidRDefault="00EB77A9" w:rsidP="00B96BD6">
            <w:pPr>
              <w:rPr>
                <w:rFonts w:asciiTheme="majorBidi" w:hAnsiTheme="majorBidi" w:cstheme="majorBidi"/>
                <w:sz w:val="24"/>
                <w:szCs w:val="24"/>
              </w:rPr>
            </w:pPr>
            <w:r>
              <w:rPr>
                <w:rFonts w:asciiTheme="majorBidi" w:hAnsiTheme="majorBidi" w:cstheme="majorBidi"/>
                <w:sz w:val="24"/>
                <w:szCs w:val="24"/>
              </w:rPr>
              <w:t>Revolutionary</w:t>
            </w:r>
            <w:r w:rsidR="00B96BD6">
              <w:rPr>
                <w:rFonts w:asciiTheme="majorBidi" w:hAnsiTheme="majorBidi" w:cstheme="majorBidi"/>
                <w:sz w:val="24"/>
                <w:szCs w:val="24"/>
              </w:rPr>
              <w:t xml:space="preserve"> Islam</w:t>
            </w:r>
          </w:p>
        </w:tc>
        <w:tc>
          <w:tcPr>
            <w:tcW w:w="3151" w:type="dxa"/>
          </w:tcPr>
          <w:p w14:paraId="4AED677C" w14:textId="77777777" w:rsidR="00290EA9" w:rsidRDefault="00EB77A9" w:rsidP="00B96BD6">
            <w:pPr>
              <w:rPr>
                <w:rFonts w:asciiTheme="majorBidi" w:hAnsiTheme="majorBidi" w:cstheme="majorBidi"/>
                <w:sz w:val="24"/>
                <w:szCs w:val="24"/>
              </w:rPr>
            </w:pPr>
            <w:r>
              <w:rPr>
                <w:rFonts w:asciiTheme="majorBidi" w:hAnsiTheme="majorBidi" w:cstheme="majorBidi"/>
                <w:sz w:val="24"/>
                <w:szCs w:val="24"/>
              </w:rPr>
              <w:t xml:space="preserve">Revolutionary </w:t>
            </w:r>
            <w:r w:rsidR="00B96BD6">
              <w:rPr>
                <w:rFonts w:asciiTheme="majorBidi" w:hAnsiTheme="majorBidi" w:cstheme="majorBidi"/>
                <w:sz w:val="24"/>
                <w:szCs w:val="24"/>
              </w:rPr>
              <w:t>Islam</w:t>
            </w:r>
          </w:p>
        </w:tc>
      </w:tr>
      <w:tr w:rsidR="00DA70B2" w14:paraId="144281CA" w14:textId="77777777" w:rsidTr="00DA70B2">
        <w:trPr>
          <w:trHeight w:val="311"/>
        </w:trPr>
        <w:tc>
          <w:tcPr>
            <w:tcW w:w="3960" w:type="dxa"/>
            <w:shd w:val="clear" w:color="auto" w:fill="FFFFFF" w:themeFill="background1"/>
          </w:tcPr>
          <w:p w14:paraId="11E030D5" w14:textId="77777777" w:rsidR="00DA70B2" w:rsidRPr="009371EC" w:rsidRDefault="00DA70B2" w:rsidP="00B96BD6">
            <w:pPr>
              <w:rPr>
                <w:rFonts w:asciiTheme="majorBidi" w:hAnsiTheme="majorBidi" w:cstheme="majorBidi"/>
                <w:sz w:val="24"/>
                <w:szCs w:val="24"/>
              </w:rPr>
            </w:pPr>
            <w:r>
              <w:rPr>
                <w:rFonts w:asciiTheme="majorBidi" w:hAnsiTheme="majorBidi" w:cstheme="majorBidi"/>
                <w:sz w:val="24"/>
                <w:szCs w:val="24"/>
              </w:rPr>
              <w:t>Geographic proximity (capital-capital)</w:t>
            </w:r>
          </w:p>
        </w:tc>
        <w:tc>
          <w:tcPr>
            <w:tcW w:w="2963" w:type="dxa"/>
          </w:tcPr>
          <w:p w14:paraId="60BE03EA" w14:textId="77777777" w:rsidR="00DA70B2" w:rsidRDefault="00DA70B2" w:rsidP="00B96BD6">
            <w:pPr>
              <w:rPr>
                <w:rFonts w:asciiTheme="majorBidi" w:hAnsiTheme="majorBidi" w:cstheme="majorBidi"/>
                <w:sz w:val="24"/>
                <w:szCs w:val="24"/>
              </w:rPr>
            </w:pPr>
            <w:r>
              <w:rPr>
                <w:rFonts w:asciiTheme="majorBidi" w:hAnsiTheme="majorBidi" w:cstheme="majorBidi"/>
                <w:sz w:val="24"/>
                <w:szCs w:val="24"/>
              </w:rPr>
              <w:t>1,150 miles</w:t>
            </w:r>
          </w:p>
        </w:tc>
        <w:tc>
          <w:tcPr>
            <w:tcW w:w="3151" w:type="dxa"/>
          </w:tcPr>
          <w:p w14:paraId="74A90C1C" w14:textId="77777777" w:rsidR="00DA70B2" w:rsidRDefault="00DA70B2" w:rsidP="00B96BD6">
            <w:pPr>
              <w:rPr>
                <w:rFonts w:asciiTheme="majorBidi" w:hAnsiTheme="majorBidi" w:cstheme="majorBidi"/>
                <w:sz w:val="24"/>
                <w:szCs w:val="24"/>
              </w:rPr>
            </w:pPr>
            <w:r>
              <w:rPr>
                <w:rFonts w:asciiTheme="majorBidi" w:hAnsiTheme="majorBidi" w:cstheme="majorBidi"/>
                <w:sz w:val="24"/>
                <w:szCs w:val="24"/>
              </w:rPr>
              <w:t>1,015 miles</w:t>
            </w:r>
          </w:p>
        </w:tc>
      </w:tr>
      <w:tr w:rsidR="00811F8F" w14:paraId="1CA0987E" w14:textId="77777777" w:rsidTr="00DA70B2">
        <w:trPr>
          <w:trHeight w:val="295"/>
        </w:trPr>
        <w:tc>
          <w:tcPr>
            <w:tcW w:w="10074" w:type="dxa"/>
            <w:gridSpan w:val="3"/>
            <w:shd w:val="clear" w:color="auto" w:fill="808080" w:themeFill="background1" w:themeFillShade="80"/>
          </w:tcPr>
          <w:p w14:paraId="5679E059" w14:textId="77777777" w:rsidR="00811F8F" w:rsidRPr="002633C2" w:rsidRDefault="00811F8F" w:rsidP="00B96BD6">
            <w:pPr>
              <w:rPr>
                <w:rFonts w:asciiTheme="majorBidi" w:hAnsiTheme="majorBidi" w:cstheme="majorBidi"/>
                <w:b/>
                <w:bCs/>
                <w:sz w:val="24"/>
                <w:szCs w:val="24"/>
                <w:u w:val="single"/>
              </w:rPr>
            </w:pPr>
            <w:r w:rsidRPr="002633C2">
              <w:rPr>
                <w:rFonts w:asciiTheme="majorBidi" w:hAnsiTheme="majorBidi" w:cstheme="majorBidi"/>
                <w:b/>
                <w:bCs/>
                <w:sz w:val="24"/>
                <w:szCs w:val="24"/>
                <w:u w:val="single"/>
              </w:rPr>
              <w:t>Differences</w:t>
            </w:r>
          </w:p>
        </w:tc>
      </w:tr>
      <w:tr w:rsidR="00290EA9" w14:paraId="34A91894" w14:textId="77777777" w:rsidTr="00DA70B2">
        <w:trPr>
          <w:trHeight w:val="295"/>
        </w:trPr>
        <w:tc>
          <w:tcPr>
            <w:tcW w:w="3960" w:type="dxa"/>
            <w:shd w:val="clear" w:color="auto" w:fill="FFFFFF" w:themeFill="background1"/>
          </w:tcPr>
          <w:p w14:paraId="5806CB4D" w14:textId="77777777" w:rsidR="00290EA9" w:rsidRPr="009371EC" w:rsidRDefault="00362078" w:rsidP="00B96BD6">
            <w:pPr>
              <w:rPr>
                <w:rFonts w:asciiTheme="majorBidi" w:hAnsiTheme="majorBidi" w:cstheme="majorBidi"/>
                <w:sz w:val="24"/>
                <w:szCs w:val="24"/>
              </w:rPr>
            </w:pPr>
            <w:r w:rsidRPr="009371EC">
              <w:rPr>
                <w:rFonts w:asciiTheme="majorBidi" w:hAnsiTheme="majorBidi" w:cstheme="majorBidi"/>
                <w:sz w:val="24"/>
                <w:szCs w:val="24"/>
              </w:rPr>
              <w:t>Religious affiliations</w:t>
            </w:r>
          </w:p>
        </w:tc>
        <w:tc>
          <w:tcPr>
            <w:tcW w:w="2963" w:type="dxa"/>
          </w:tcPr>
          <w:p w14:paraId="17B22549" w14:textId="77777777" w:rsidR="00290EA9" w:rsidRDefault="00362078" w:rsidP="00B96BD6">
            <w:pPr>
              <w:rPr>
                <w:rFonts w:asciiTheme="majorBidi" w:hAnsiTheme="majorBidi" w:cstheme="majorBidi"/>
                <w:sz w:val="24"/>
                <w:szCs w:val="24"/>
              </w:rPr>
            </w:pPr>
            <w:r>
              <w:rPr>
                <w:rFonts w:asciiTheme="majorBidi" w:hAnsiTheme="majorBidi" w:cstheme="majorBidi"/>
                <w:sz w:val="24"/>
                <w:szCs w:val="24"/>
              </w:rPr>
              <w:t>Sunni</w:t>
            </w:r>
          </w:p>
        </w:tc>
        <w:tc>
          <w:tcPr>
            <w:tcW w:w="3151" w:type="dxa"/>
          </w:tcPr>
          <w:p w14:paraId="284D32F8" w14:textId="77777777" w:rsidR="00290EA9" w:rsidRDefault="00362078" w:rsidP="00B96BD6">
            <w:pPr>
              <w:rPr>
                <w:rFonts w:asciiTheme="majorBidi" w:hAnsiTheme="majorBidi" w:cstheme="majorBidi"/>
                <w:sz w:val="24"/>
                <w:szCs w:val="24"/>
              </w:rPr>
            </w:pPr>
            <w:r>
              <w:rPr>
                <w:rFonts w:asciiTheme="majorBidi" w:hAnsiTheme="majorBidi" w:cstheme="majorBidi"/>
                <w:sz w:val="24"/>
                <w:szCs w:val="24"/>
              </w:rPr>
              <w:t xml:space="preserve">Shi’ite </w:t>
            </w:r>
          </w:p>
        </w:tc>
      </w:tr>
      <w:tr w:rsidR="00D51921" w14:paraId="6C3E33A7" w14:textId="77777777" w:rsidTr="00DA70B2">
        <w:trPr>
          <w:trHeight w:val="295"/>
        </w:trPr>
        <w:tc>
          <w:tcPr>
            <w:tcW w:w="3960" w:type="dxa"/>
            <w:shd w:val="clear" w:color="auto" w:fill="FFFFFF" w:themeFill="background1"/>
          </w:tcPr>
          <w:p w14:paraId="5620C05A" w14:textId="77777777" w:rsidR="00D51921" w:rsidRPr="009371EC" w:rsidRDefault="00D51921" w:rsidP="00D51921">
            <w:pPr>
              <w:rPr>
                <w:rFonts w:asciiTheme="majorBidi" w:hAnsiTheme="majorBidi" w:cstheme="majorBidi"/>
                <w:sz w:val="24"/>
                <w:szCs w:val="24"/>
              </w:rPr>
            </w:pPr>
            <w:r w:rsidRPr="009371EC">
              <w:rPr>
                <w:rFonts w:asciiTheme="majorBidi" w:hAnsiTheme="majorBidi" w:cstheme="majorBidi"/>
                <w:sz w:val="24"/>
                <w:szCs w:val="24"/>
              </w:rPr>
              <w:t>External patron</w:t>
            </w:r>
            <w:r>
              <w:rPr>
                <w:rFonts w:asciiTheme="majorBidi" w:hAnsiTheme="majorBidi" w:cstheme="majorBidi"/>
                <w:sz w:val="24"/>
                <w:szCs w:val="24"/>
              </w:rPr>
              <w:t>(s)</w:t>
            </w:r>
          </w:p>
        </w:tc>
        <w:tc>
          <w:tcPr>
            <w:tcW w:w="2963" w:type="dxa"/>
          </w:tcPr>
          <w:p w14:paraId="41802DB0" w14:textId="77777777" w:rsidR="00D51921" w:rsidRDefault="00D51921" w:rsidP="00D51921">
            <w:pPr>
              <w:rPr>
                <w:rFonts w:asciiTheme="majorBidi" w:hAnsiTheme="majorBidi" w:cstheme="majorBidi"/>
                <w:sz w:val="24"/>
                <w:szCs w:val="24"/>
              </w:rPr>
            </w:pPr>
            <w:r>
              <w:rPr>
                <w:rFonts w:asciiTheme="majorBidi" w:hAnsiTheme="majorBidi" w:cstheme="majorBidi"/>
                <w:sz w:val="24"/>
                <w:szCs w:val="24"/>
              </w:rPr>
              <w:t>Multiple (including Iran)</w:t>
            </w:r>
          </w:p>
        </w:tc>
        <w:tc>
          <w:tcPr>
            <w:tcW w:w="3151" w:type="dxa"/>
          </w:tcPr>
          <w:p w14:paraId="6D658F7A" w14:textId="77777777" w:rsidR="00D51921" w:rsidRDefault="00D51921" w:rsidP="00D51921">
            <w:pPr>
              <w:rPr>
                <w:rFonts w:asciiTheme="majorBidi" w:hAnsiTheme="majorBidi" w:cstheme="majorBidi"/>
                <w:sz w:val="24"/>
                <w:szCs w:val="24"/>
              </w:rPr>
            </w:pPr>
            <w:r>
              <w:rPr>
                <w:rFonts w:asciiTheme="majorBidi" w:hAnsiTheme="majorBidi" w:cstheme="majorBidi"/>
                <w:sz w:val="24"/>
                <w:szCs w:val="24"/>
              </w:rPr>
              <w:t>Single (Iran)</w:t>
            </w:r>
          </w:p>
        </w:tc>
      </w:tr>
      <w:tr w:rsidR="00B96BD6" w14:paraId="09BC85A7" w14:textId="77777777" w:rsidTr="00DA70B2">
        <w:trPr>
          <w:trHeight w:val="295"/>
        </w:trPr>
        <w:tc>
          <w:tcPr>
            <w:tcW w:w="3960" w:type="dxa"/>
            <w:shd w:val="clear" w:color="auto" w:fill="FFFFFF" w:themeFill="background1"/>
          </w:tcPr>
          <w:p w14:paraId="29508315" w14:textId="77777777" w:rsidR="00B96BD6" w:rsidRPr="009371EC" w:rsidRDefault="00B96BD6" w:rsidP="00B96BD6">
            <w:pPr>
              <w:rPr>
                <w:rFonts w:asciiTheme="majorBidi" w:hAnsiTheme="majorBidi" w:cstheme="majorBidi"/>
                <w:sz w:val="24"/>
                <w:szCs w:val="24"/>
              </w:rPr>
            </w:pPr>
            <w:r w:rsidRPr="009371EC">
              <w:rPr>
                <w:rFonts w:asciiTheme="majorBidi" w:hAnsiTheme="majorBidi" w:cstheme="majorBidi"/>
                <w:sz w:val="24"/>
                <w:szCs w:val="24"/>
              </w:rPr>
              <w:t xml:space="preserve">External funding </w:t>
            </w:r>
            <w:r w:rsidR="00D51921">
              <w:rPr>
                <w:rFonts w:asciiTheme="majorBidi" w:hAnsiTheme="majorBidi" w:cstheme="majorBidi"/>
                <w:sz w:val="24"/>
                <w:szCs w:val="24"/>
              </w:rPr>
              <w:t>from Iran</w:t>
            </w:r>
          </w:p>
        </w:tc>
        <w:tc>
          <w:tcPr>
            <w:tcW w:w="2963" w:type="dxa"/>
          </w:tcPr>
          <w:p w14:paraId="10C18862" w14:textId="77777777" w:rsidR="00B96BD6" w:rsidRDefault="00B96BD6" w:rsidP="00B96BD6">
            <w:pPr>
              <w:rPr>
                <w:rFonts w:asciiTheme="majorBidi" w:hAnsiTheme="majorBidi" w:cstheme="majorBidi"/>
                <w:sz w:val="24"/>
                <w:szCs w:val="24"/>
              </w:rPr>
            </w:pPr>
            <w:r>
              <w:rPr>
                <w:rFonts w:asciiTheme="majorBidi" w:hAnsiTheme="majorBidi" w:cstheme="majorBidi"/>
                <w:sz w:val="24"/>
                <w:szCs w:val="24"/>
              </w:rPr>
              <w:t>~ $70 million (2018)</w:t>
            </w:r>
          </w:p>
        </w:tc>
        <w:tc>
          <w:tcPr>
            <w:tcW w:w="3151" w:type="dxa"/>
          </w:tcPr>
          <w:p w14:paraId="6B99E394" w14:textId="77777777" w:rsidR="00B96BD6" w:rsidRDefault="00B96BD6" w:rsidP="00B96BD6">
            <w:pPr>
              <w:rPr>
                <w:rFonts w:asciiTheme="majorBidi" w:hAnsiTheme="majorBidi" w:cstheme="majorBidi"/>
                <w:sz w:val="24"/>
                <w:szCs w:val="24"/>
              </w:rPr>
            </w:pPr>
            <w:r>
              <w:rPr>
                <w:rFonts w:asciiTheme="majorBidi" w:hAnsiTheme="majorBidi" w:cstheme="majorBidi"/>
                <w:sz w:val="24"/>
                <w:szCs w:val="24"/>
              </w:rPr>
              <w:t>~ $700 million (2019)</w:t>
            </w:r>
          </w:p>
        </w:tc>
      </w:tr>
      <w:tr w:rsidR="00FD046F" w14:paraId="05636D22" w14:textId="77777777" w:rsidTr="00DA70B2">
        <w:trPr>
          <w:trHeight w:val="295"/>
        </w:trPr>
        <w:tc>
          <w:tcPr>
            <w:tcW w:w="3960" w:type="dxa"/>
            <w:shd w:val="clear" w:color="auto" w:fill="FFFFFF" w:themeFill="background1"/>
          </w:tcPr>
          <w:p w14:paraId="206005E7" w14:textId="77777777" w:rsidR="00FD046F" w:rsidRPr="009371EC" w:rsidRDefault="00DA70B2" w:rsidP="00FD046F">
            <w:pPr>
              <w:rPr>
                <w:rFonts w:asciiTheme="majorBidi" w:hAnsiTheme="majorBidi" w:cstheme="majorBidi"/>
                <w:sz w:val="24"/>
                <w:szCs w:val="24"/>
              </w:rPr>
            </w:pPr>
            <w:r>
              <w:rPr>
                <w:rFonts w:asciiTheme="majorBidi" w:hAnsiTheme="majorBidi" w:cstheme="majorBidi"/>
                <w:sz w:val="24"/>
                <w:szCs w:val="24"/>
              </w:rPr>
              <w:t xml:space="preserve">Current geographic access </w:t>
            </w:r>
          </w:p>
        </w:tc>
        <w:tc>
          <w:tcPr>
            <w:tcW w:w="2963" w:type="dxa"/>
          </w:tcPr>
          <w:p w14:paraId="1ECF252B" w14:textId="77777777" w:rsidR="00FD046F" w:rsidRDefault="00FD046F" w:rsidP="00FD046F">
            <w:pPr>
              <w:rPr>
                <w:rFonts w:asciiTheme="majorBidi" w:hAnsiTheme="majorBidi" w:cstheme="majorBidi"/>
                <w:sz w:val="24"/>
                <w:szCs w:val="24"/>
              </w:rPr>
            </w:pPr>
            <w:r>
              <w:rPr>
                <w:rFonts w:asciiTheme="majorBidi" w:hAnsiTheme="majorBidi" w:cstheme="majorBidi"/>
                <w:sz w:val="24"/>
                <w:szCs w:val="24"/>
              </w:rPr>
              <w:t>Indirect access</w:t>
            </w:r>
          </w:p>
        </w:tc>
        <w:tc>
          <w:tcPr>
            <w:tcW w:w="3151" w:type="dxa"/>
          </w:tcPr>
          <w:p w14:paraId="0BD1A995" w14:textId="77777777" w:rsidR="00FD046F" w:rsidRDefault="00FD046F" w:rsidP="00DA70B2">
            <w:pPr>
              <w:rPr>
                <w:rFonts w:asciiTheme="majorBidi" w:hAnsiTheme="majorBidi" w:cstheme="majorBidi"/>
                <w:sz w:val="24"/>
                <w:szCs w:val="24"/>
              </w:rPr>
            </w:pPr>
            <w:r>
              <w:rPr>
                <w:rFonts w:asciiTheme="majorBidi" w:hAnsiTheme="majorBidi" w:cstheme="majorBidi"/>
                <w:sz w:val="24"/>
                <w:szCs w:val="24"/>
              </w:rPr>
              <w:t xml:space="preserve">Direct access </w:t>
            </w:r>
          </w:p>
        </w:tc>
      </w:tr>
    </w:tbl>
    <w:p w14:paraId="525E6713" w14:textId="77777777" w:rsidR="00DA70B2" w:rsidRDefault="002633C2" w:rsidP="00D51921">
      <w:pPr>
        <w:spacing w:line="480" w:lineRule="auto"/>
        <w:rPr>
          <w:rFonts w:asciiTheme="majorBidi" w:hAnsiTheme="majorBidi" w:cstheme="majorBidi"/>
          <w:sz w:val="24"/>
          <w:szCs w:val="24"/>
        </w:rPr>
      </w:pPr>
      <w:r>
        <w:rPr>
          <w:rFonts w:asciiTheme="majorBidi" w:hAnsiTheme="majorBidi" w:cstheme="majorBidi"/>
          <w:sz w:val="24"/>
          <w:szCs w:val="24"/>
        </w:rPr>
        <w:tab/>
      </w:r>
    </w:p>
    <w:p w14:paraId="0AA526D0" w14:textId="77777777" w:rsidR="008C3419" w:rsidRDefault="00DA70B2" w:rsidP="00D51921">
      <w:pPr>
        <w:spacing w:line="480" w:lineRule="auto"/>
        <w:rPr>
          <w:rFonts w:asciiTheme="majorBidi" w:hAnsiTheme="majorBidi" w:cstheme="majorBidi"/>
          <w:sz w:val="24"/>
          <w:szCs w:val="24"/>
        </w:rPr>
      </w:pPr>
      <w:r>
        <w:rPr>
          <w:rFonts w:asciiTheme="majorBidi" w:hAnsiTheme="majorBidi" w:cstheme="majorBidi"/>
          <w:sz w:val="24"/>
          <w:szCs w:val="24"/>
        </w:rPr>
        <w:tab/>
      </w:r>
      <w:r w:rsidR="00811F8F">
        <w:rPr>
          <w:rFonts w:asciiTheme="majorBidi" w:hAnsiTheme="majorBidi" w:cstheme="majorBidi"/>
          <w:sz w:val="24"/>
          <w:szCs w:val="24"/>
        </w:rPr>
        <w:t xml:space="preserve">As can be seen in the chart above, there are several similarities between the two groups. They operate in the same region, have the same external patron (Iran), have had relationships with Iran for decades, have a large fighting force, and espouse revolutionary ideology. The key difference between the groups is their religious affiliation – Hamas is a Sunni group, while Hezbollah is a Shi’ite group. By controlling for several variables, I am able to better isolate the </w:t>
      </w:r>
      <w:r w:rsidR="009371EC">
        <w:rPr>
          <w:rFonts w:asciiTheme="majorBidi" w:hAnsiTheme="majorBidi" w:cstheme="majorBidi"/>
          <w:sz w:val="24"/>
          <w:szCs w:val="24"/>
        </w:rPr>
        <w:t>variables driving variation in state control</w:t>
      </w:r>
      <w:r w:rsidR="00811F8F">
        <w:rPr>
          <w:rFonts w:asciiTheme="majorBidi" w:hAnsiTheme="majorBidi" w:cstheme="majorBidi"/>
          <w:sz w:val="24"/>
          <w:szCs w:val="24"/>
        </w:rPr>
        <w:t xml:space="preserve">. </w:t>
      </w:r>
    </w:p>
    <w:p w14:paraId="7CCEA40B" w14:textId="77777777" w:rsidR="002A01B8" w:rsidRDefault="002A01B8" w:rsidP="002A01B8">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Regarding religious affiliation, </w:t>
      </w:r>
      <w:proofErr w:type="spellStart"/>
      <w:r>
        <w:rPr>
          <w:rFonts w:ascii="Times New Roman" w:hAnsi="Times New Roman" w:cs="Times New Roman"/>
          <w:sz w:val="24"/>
          <w:szCs w:val="24"/>
        </w:rPr>
        <w:t>Ostovar</w:t>
      </w:r>
      <w:proofErr w:type="spellEnd"/>
      <w:r>
        <w:rPr>
          <w:rFonts w:ascii="Times New Roman" w:hAnsi="Times New Roman" w:cs="Times New Roman"/>
          <w:sz w:val="24"/>
          <w:szCs w:val="24"/>
        </w:rPr>
        <w:t xml:space="preserve"> highlights the importance of religious similarities in his article “</w:t>
      </w:r>
      <w:r w:rsidRPr="002B5C22">
        <w:rPr>
          <w:rFonts w:ascii="Times New Roman" w:hAnsi="Times New Roman" w:cs="Times New Roman"/>
          <w:sz w:val="24"/>
          <w:szCs w:val="24"/>
        </w:rPr>
        <w:t>Iran, its clients, and the future of the Middle East: the limits of religion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1"/>
      </w:r>
      <w:r>
        <w:rPr>
          <w:rFonts w:ascii="Times New Roman" w:hAnsi="Times New Roman" w:cs="Times New Roman"/>
          <w:sz w:val="24"/>
          <w:szCs w:val="24"/>
        </w:rPr>
        <w:t xml:space="preserve"> He argues that it “</w:t>
      </w:r>
      <w:r w:rsidRPr="002B5C22">
        <w:rPr>
          <w:rFonts w:ascii="Times New Roman" w:hAnsi="Times New Roman" w:cs="Times New Roman"/>
          <w:sz w:val="24"/>
          <w:szCs w:val="24"/>
        </w:rPr>
        <w:t xml:space="preserve">is beyond argument that Iran’s closest and most loyal allies—Lebanon’s Hezbollah and Iraq’s </w:t>
      </w:r>
      <w:proofErr w:type="spellStart"/>
      <w:r w:rsidRPr="002B5C22">
        <w:rPr>
          <w:rFonts w:ascii="Times New Roman" w:hAnsi="Times New Roman" w:cs="Times New Roman"/>
          <w:sz w:val="24"/>
          <w:szCs w:val="24"/>
        </w:rPr>
        <w:t>Badr</w:t>
      </w:r>
      <w:proofErr w:type="spellEnd"/>
      <w:r w:rsidRPr="002B5C22">
        <w:rPr>
          <w:rFonts w:ascii="Times New Roman" w:hAnsi="Times New Roman" w:cs="Times New Roman"/>
          <w:sz w:val="24"/>
          <w:szCs w:val="24"/>
        </w:rPr>
        <w:t xml:space="preserve"> Organization (hereafter </w:t>
      </w:r>
      <w:proofErr w:type="spellStart"/>
      <w:r w:rsidRPr="002B5C22">
        <w:rPr>
          <w:rFonts w:ascii="Times New Roman" w:hAnsi="Times New Roman" w:cs="Times New Roman"/>
          <w:sz w:val="24"/>
          <w:szCs w:val="24"/>
        </w:rPr>
        <w:t>Badr</w:t>
      </w:r>
      <w:proofErr w:type="spellEnd"/>
      <w:r w:rsidRPr="002B5C22">
        <w:rPr>
          <w:rFonts w:ascii="Times New Roman" w:hAnsi="Times New Roman" w:cs="Times New Roman"/>
          <w:sz w:val="24"/>
          <w:szCs w:val="24"/>
        </w:rPr>
        <w:t xml:space="preserve">)—are among a small collection of </w:t>
      </w:r>
      <w:r w:rsidRPr="002B5C22">
        <w:rPr>
          <w:rFonts w:ascii="Times New Roman" w:hAnsi="Times New Roman" w:cs="Times New Roman"/>
          <w:sz w:val="24"/>
          <w:szCs w:val="24"/>
        </w:rPr>
        <w:lastRenderedPageBreak/>
        <w:t xml:space="preserve">clients that have adopted the Iranian Islamic system as their own official </w:t>
      </w:r>
      <w:proofErr w:type="spellStart"/>
      <w:r w:rsidRPr="002B5C22">
        <w:rPr>
          <w:rFonts w:ascii="Times New Roman" w:hAnsi="Times New Roman" w:cs="Times New Roman"/>
          <w:sz w:val="24"/>
          <w:szCs w:val="24"/>
        </w:rPr>
        <w:t>religio</w:t>
      </w:r>
      <w:proofErr w:type="spellEnd"/>
      <w:r w:rsidRPr="002B5C22">
        <w:rPr>
          <w:rFonts w:ascii="Times New Roman" w:hAnsi="Times New Roman" w:cs="Times New Roman"/>
          <w:sz w:val="24"/>
          <w:szCs w:val="24"/>
        </w:rPr>
        <w:t>-political ideology.</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2"/>
      </w:r>
      <w:r>
        <w:rPr>
          <w:rFonts w:ascii="Times New Roman" w:hAnsi="Times New Roman" w:cs="Times New Roman"/>
          <w:sz w:val="24"/>
          <w:szCs w:val="24"/>
        </w:rPr>
        <w:t xml:space="preserve"> While he concedes that a few Shi’ite groups (such as Iraq’s Supreme Council and </w:t>
      </w:r>
      <w:r w:rsidRPr="00E44171">
        <w:rPr>
          <w:rFonts w:ascii="Times New Roman" w:hAnsi="Times New Roman" w:cs="Times New Roman"/>
          <w:sz w:val="24"/>
          <w:szCs w:val="24"/>
        </w:rPr>
        <w:t xml:space="preserve">Afghanistan’s Hezb-e </w:t>
      </w:r>
      <w:proofErr w:type="spellStart"/>
      <w:r w:rsidRPr="00E44171">
        <w:rPr>
          <w:rFonts w:ascii="Times New Roman" w:hAnsi="Times New Roman" w:cs="Times New Roman"/>
          <w:sz w:val="24"/>
          <w:szCs w:val="24"/>
        </w:rPr>
        <w:t>Wahdat</w:t>
      </w:r>
      <w:proofErr w:type="spellEnd"/>
      <w:r>
        <w:rPr>
          <w:rFonts w:ascii="Times New Roman" w:hAnsi="Times New Roman" w:cs="Times New Roman"/>
          <w:sz w:val="24"/>
          <w:szCs w:val="24"/>
        </w:rPr>
        <w:t xml:space="preserve">) have detached themselves from Iran out of self-interest, </w:t>
      </w:r>
      <w:proofErr w:type="spellStart"/>
      <w:r>
        <w:rPr>
          <w:rFonts w:ascii="Times New Roman" w:hAnsi="Times New Roman" w:cs="Times New Roman"/>
          <w:sz w:val="24"/>
          <w:szCs w:val="24"/>
        </w:rPr>
        <w:t>Ostovar</w:t>
      </w:r>
      <w:proofErr w:type="spellEnd"/>
      <w:r>
        <w:rPr>
          <w:rFonts w:ascii="Times New Roman" w:hAnsi="Times New Roman" w:cs="Times New Roman"/>
          <w:sz w:val="24"/>
          <w:szCs w:val="24"/>
        </w:rPr>
        <w:t xml:space="preserve"> asserts that “</w:t>
      </w:r>
      <w:r w:rsidRPr="00E44171">
        <w:rPr>
          <w:rFonts w:ascii="Times New Roman" w:hAnsi="Times New Roman" w:cs="Times New Roman"/>
          <w:sz w:val="24"/>
          <w:szCs w:val="24"/>
        </w:rPr>
        <w:t>Iran’s track record with Sunni clients is even more mixed</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3"/>
      </w:r>
      <w:r>
        <w:rPr>
          <w:rFonts w:ascii="Times New Roman" w:hAnsi="Times New Roman" w:cs="Times New Roman"/>
          <w:sz w:val="24"/>
          <w:szCs w:val="24"/>
        </w:rPr>
        <w:t xml:space="preserve"> He explains that Iran’s relationships with non-Shi’ite groups, such as the Sunni group Hamas, have been largely transactional and not produced “</w:t>
      </w:r>
      <w:r w:rsidRPr="00E44171">
        <w:rPr>
          <w:rFonts w:ascii="Times New Roman" w:hAnsi="Times New Roman" w:cs="Times New Roman"/>
          <w:sz w:val="24"/>
          <w:szCs w:val="24"/>
        </w:rPr>
        <w:t>broad-based strategic alignment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4"/>
      </w:r>
      <w:r>
        <w:rPr>
          <w:rFonts w:ascii="Times New Roman" w:hAnsi="Times New Roman" w:cs="Times New Roman"/>
          <w:sz w:val="24"/>
          <w:szCs w:val="24"/>
        </w:rPr>
        <w:t xml:space="preserve"> This is likely due to the fact that Iran trusts Shi’ite groups more, given there is a higher chance of interest alignment. Given this information we should observe Iran exerting less control over Hezbollah, and other similar groups, once Iran has proof that the militia’s religious values are aligned with their own.</w:t>
      </w:r>
    </w:p>
    <w:p w14:paraId="1E7839D3" w14:textId="77777777" w:rsidR="0033793A" w:rsidRDefault="0033793A" w:rsidP="00750927">
      <w:pPr>
        <w:rPr>
          <w:rFonts w:asciiTheme="majorBidi" w:hAnsiTheme="majorBidi" w:cstheme="majorBidi"/>
          <w:b/>
          <w:bCs/>
          <w:sz w:val="24"/>
          <w:szCs w:val="24"/>
        </w:rPr>
      </w:pPr>
    </w:p>
    <w:p w14:paraId="054F2900" w14:textId="77777777" w:rsidR="00AE61CA" w:rsidRDefault="00AE61CA" w:rsidP="00750927">
      <w:pPr>
        <w:rPr>
          <w:rFonts w:asciiTheme="majorBidi" w:hAnsiTheme="majorBidi" w:cstheme="majorBidi"/>
          <w:b/>
          <w:bCs/>
          <w:sz w:val="24"/>
          <w:szCs w:val="24"/>
        </w:rPr>
      </w:pPr>
      <w:r>
        <w:rPr>
          <w:rFonts w:asciiTheme="majorBidi" w:hAnsiTheme="majorBidi" w:cstheme="majorBidi"/>
          <w:b/>
          <w:bCs/>
          <w:sz w:val="24"/>
          <w:szCs w:val="24"/>
        </w:rPr>
        <w:t>Case studies</w:t>
      </w:r>
      <w:r w:rsidR="00923A9D">
        <w:rPr>
          <w:rFonts w:asciiTheme="majorBidi" w:hAnsiTheme="majorBidi" w:cstheme="majorBidi"/>
          <w:b/>
          <w:bCs/>
          <w:sz w:val="24"/>
          <w:szCs w:val="24"/>
        </w:rPr>
        <w:t xml:space="preserve"> </w:t>
      </w:r>
    </w:p>
    <w:p w14:paraId="48E49434" w14:textId="77777777" w:rsidR="00811F8F" w:rsidRDefault="00811F8F" w:rsidP="009371EC">
      <w:pPr>
        <w:rPr>
          <w:rFonts w:asciiTheme="majorBidi" w:hAnsiTheme="majorBidi" w:cstheme="majorBidi"/>
          <w:sz w:val="24"/>
          <w:szCs w:val="24"/>
          <w:u w:val="single"/>
        </w:rPr>
      </w:pPr>
      <w:r>
        <w:rPr>
          <w:rFonts w:asciiTheme="majorBidi" w:hAnsiTheme="majorBidi" w:cstheme="majorBidi"/>
          <w:sz w:val="24"/>
          <w:szCs w:val="24"/>
          <w:u w:val="single"/>
        </w:rPr>
        <w:t>Variation in control within</w:t>
      </w:r>
      <w:r w:rsidR="009371EC">
        <w:rPr>
          <w:rFonts w:asciiTheme="majorBidi" w:hAnsiTheme="majorBidi" w:cstheme="majorBidi"/>
          <w:sz w:val="24"/>
          <w:szCs w:val="24"/>
          <w:u w:val="single"/>
        </w:rPr>
        <w:t xml:space="preserve"> one case</w:t>
      </w:r>
      <w:r w:rsidR="002633C2">
        <w:rPr>
          <w:rFonts w:asciiTheme="majorBidi" w:hAnsiTheme="majorBidi" w:cstheme="majorBidi"/>
          <w:sz w:val="24"/>
          <w:szCs w:val="24"/>
          <w:u w:val="single"/>
        </w:rPr>
        <w:t xml:space="preserve"> (Hezbollah)</w:t>
      </w:r>
    </w:p>
    <w:p w14:paraId="0416795E" w14:textId="77777777" w:rsidR="00B260CA" w:rsidRDefault="00B260CA" w:rsidP="00012CB3">
      <w:pPr>
        <w:spacing w:line="480" w:lineRule="auto"/>
        <w:rPr>
          <w:rFonts w:ascii="Times New Roman" w:hAnsi="Times New Roman" w:cs="Times New Roman"/>
          <w:sz w:val="24"/>
          <w:szCs w:val="24"/>
        </w:rPr>
      </w:pPr>
      <w:r>
        <w:rPr>
          <w:rFonts w:ascii="Times New Roman" w:hAnsi="Times New Roman" w:cs="Times New Roman"/>
          <w:sz w:val="24"/>
          <w:szCs w:val="24"/>
        </w:rPr>
        <w:tab/>
      </w:r>
      <w:r w:rsidR="00816B8B">
        <w:rPr>
          <w:rFonts w:ascii="Times New Roman" w:hAnsi="Times New Roman" w:cs="Times New Roman"/>
          <w:sz w:val="24"/>
          <w:szCs w:val="24"/>
        </w:rPr>
        <w:t xml:space="preserve">In </w:t>
      </w:r>
      <w:r>
        <w:rPr>
          <w:rFonts w:ascii="Times New Roman" w:hAnsi="Times New Roman" w:cs="Times New Roman"/>
          <w:sz w:val="24"/>
          <w:szCs w:val="24"/>
        </w:rPr>
        <w:t>this case study, I will demonstrate that Iran a</w:t>
      </w:r>
      <w:r w:rsidR="00012CB3">
        <w:rPr>
          <w:rFonts w:ascii="Times New Roman" w:hAnsi="Times New Roman" w:cs="Times New Roman"/>
          <w:sz w:val="24"/>
          <w:szCs w:val="24"/>
        </w:rPr>
        <w:t xml:space="preserve">nd Hezbollah’s relationship </w:t>
      </w:r>
      <w:r>
        <w:rPr>
          <w:rFonts w:ascii="Times New Roman" w:hAnsi="Times New Roman" w:cs="Times New Roman"/>
          <w:sz w:val="24"/>
          <w:szCs w:val="24"/>
        </w:rPr>
        <w:t>changed over time. At Hezbollah’s inception, Iran and Hezbollah interacted vertically, with Iran exhibiting strong control over the militia. Over time, as trust developed</w:t>
      </w:r>
      <w:r w:rsidR="00816B8B">
        <w:rPr>
          <w:rFonts w:ascii="Times New Roman" w:hAnsi="Times New Roman" w:cs="Times New Roman"/>
          <w:sz w:val="24"/>
          <w:szCs w:val="24"/>
        </w:rPr>
        <w:t xml:space="preserve"> between the actors</w:t>
      </w:r>
      <w:r>
        <w:rPr>
          <w:rFonts w:ascii="Times New Roman" w:hAnsi="Times New Roman" w:cs="Times New Roman"/>
          <w:sz w:val="24"/>
          <w:szCs w:val="24"/>
        </w:rPr>
        <w:t>, Iran and Hezbollah interacted more horizontally</w:t>
      </w:r>
      <w:r w:rsidR="004376C4">
        <w:rPr>
          <w:rFonts w:ascii="Times New Roman" w:hAnsi="Times New Roman" w:cs="Times New Roman"/>
          <w:sz w:val="24"/>
          <w:szCs w:val="24"/>
        </w:rPr>
        <w:t>, with Iran loosening control over the</w:t>
      </w:r>
      <w:r w:rsidR="00012CB3">
        <w:rPr>
          <w:rFonts w:ascii="Times New Roman" w:hAnsi="Times New Roman" w:cs="Times New Roman"/>
          <w:sz w:val="24"/>
          <w:szCs w:val="24"/>
        </w:rPr>
        <w:t xml:space="preserve"> militia</w:t>
      </w:r>
      <w:r>
        <w:rPr>
          <w:rFonts w:ascii="Times New Roman" w:hAnsi="Times New Roman" w:cs="Times New Roman"/>
          <w:sz w:val="24"/>
          <w:szCs w:val="24"/>
        </w:rPr>
        <w:t>. In other words, the state-militia relationship</w:t>
      </w:r>
      <w:r w:rsidR="00816B8B">
        <w:rPr>
          <w:rFonts w:ascii="Times New Roman" w:hAnsi="Times New Roman" w:cs="Times New Roman"/>
          <w:sz w:val="24"/>
          <w:szCs w:val="24"/>
        </w:rPr>
        <w:t xml:space="preserve"> could first be explained using the </w:t>
      </w:r>
      <w:r>
        <w:rPr>
          <w:rFonts w:ascii="Times New Roman" w:hAnsi="Times New Roman" w:cs="Times New Roman"/>
          <w:sz w:val="24"/>
          <w:szCs w:val="24"/>
        </w:rPr>
        <w:t>principal-agent framework</w:t>
      </w:r>
      <w:r w:rsidR="00816B8B">
        <w:rPr>
          <w:rFonts w:ascii="Times New Roman" w:hAnsi="Times New Roman" w:cs="Times New Roman"/>
          <w:sz w:val="24"/>
          <w:szCs w:val="24"/>
        </w:rPr>
        <w:t xml:space="preserve">, but was then better explained using </w:t>
      </w:r>
      <w:r>
        <w:rPr>
          <w:rFonts w:ascii="Times New Roman" w:hAnsi="Times New Roman" w:cs="Times New Roman"/>
          <w:sz w:val="24"/>
          <w:szCs w:val="24"/>
        </w:rPr>
        <w:t>the alliance politics framework. This within-case variation illustrates the importance of bringing in an alternative framework to principal-agent.</w:t>
      </w:r>
      <w:r w:rsidR="004376C4">
        <w:rPr>
          <w:rFonts w:ascii="Times New Roman" w:hAnsi="Times New Roman" w:cs="Times New Roman"/>
          <w:sz w:val="24"/>
          <w:szCs w:val="24"/>
        </w:rPr>
        <w:t xml:space="preserve"> </w:t>
      </w:r>
    </w:p>
    <w:p w14:paraId="6D3AC2E5" w14:textId="77777777" w:rsidR="00FF1D12" w:rsidRDefault="00B260CA" w:rsidP="00BD3D37">
      <w:pPr>
        <w:spacing w:line="480" w:lineRule="auto"/>
        <w:rPr>
          <w:rFonts w:ascii="Times New Roman" w:hAnsi="Times New Roman" w:cs="Times New Roman"/>
          <w:sz w:val="24"/>
          <w:szCs w:val="24"/>
        </w:rPr>
      </w:pPr>
      <w:r>
        <w:rPr>
          <w:rFonts w:ascii="Times New Roman" w:hAnsi="Times New Roman" w:cs="Times New Roman"/>
          <w:sz w:val="24"/>
          <w:szCs w:val="24"/>
        </w:rPr>
        <w:tab/>
      </w:r>
      <w:r w:rsidR="00811F8F">
        <w:rPr>
          <w:rFonts w:ascii="Times New Roman" w:hAnsi="Times New Roman" w:cs="Times New Roman"/>
          <w:sz w:val="24"/>
          <w:szCs w:val="24"/>
        </w:rPr>
        <w:t xml:space="preserve">Hezbollah was founded in Lebanon, with Iranian support, in the early 1980s after Israel invaded the state. At </w:t>
      </w:r>
      <w:r w:rsidR="007A1108">
        <w:rPr>
          <w:rFonts w:ascii="Times New Roman" w:hAnsi="Times New Roman" w:cs="Times New Roman"/>
          <w:sz w:val="24"/>
          <w:szCs w:val="24"/>
        </w:rPr>
        <w:t>the time of Hezbollah’s establishment</w:t>
      </w:r>
      <w:r w:rsidR="00811F8F">
        <w:rPr>
          <w:rFonts w:ascii="Times New Roman" w:hAnsi="Times New Roman" w:cs="Times New Roman"/>
          <w:sz w:val="24"/>
          <w:szCs w:val="24"/>
        </w:rPr>
        <w:t xml:space="preserve">, which also marked the </w:t>
      </w:r>
      <w:r w:rsidR="00FF1D12">
        <w:rPr>
          <w:rFonts w:ascii="Times New Roman" w:hAnsi="Times New Roman" w:cs="Times New Roman"/>
          <w:sz w:val="24"/>
          <w:szCs w:val="24"/>
        </w:rPr>
        <w:t>start of their relationship</w:t>
      </w:r>
      <w:r w:rsidR="00811F8F">
        <w:rPr>
          <w:rFonts w:ascii="Times New Roman" w:hAnsi="Times New Roman" w:cs="Times New Roman"/>
          <w:sz w:val="24"/>
          <w:szCs w:val="24"/>
        </w:rPr>
        <w:t>, I</w:t>
      </w:r>
      <w:r w:rsidR="007A1108">
        <w:rPr>
          <w:rFonts w:ascii="Times New Roman" w:hAnsi="Times New Roman" w:cs="Times New Roman"/>
          <w:sz w:val="24"/>
          <w:szCs w:val="24"/>
        </w:rPr>
        <w:t>ran and Hezbollah shared many</w:t>
      </w:r>
      <w:r w:rsidR="00811F8F">
        <w:rPr>
          <w:rFonts w:ascii="Times New Roman" w:hAnsi="Times New Roman" w:cs="Times New Roman"/>
          <w:sz w:val="24"/>
          <w:szCs w:val="24"/>
        </w:rPr>
        <w:t xml:space="preserve"> common interests: the founding of an Islamic </w:t>
      </w:r>
      <w:r w:rsidR="00811F8F">
        <w:rPr>
          <w:rFonts w:ascii="Times New Roman" w:hAnsi="Times New Roman" w:cs="Times New Roman"/>
          <w:sz w:val="24"/>
          <w:szCs w:val="24"/>
        </w:rPr>
        <w:lastRenderedPageBreak/>
        <w:t>republic in Lebanon (presumably imitating Iran’s model), the eradication of Israel and liberation of Palestine, the expulsion of Western states from Lebanon, and more.</w:t>
      </w:r>
      <w:r w:rsidR="00811F8F">
        <w:rPr>
          <w:rStyle w:val="FootnoteReference"/>
          <w:rFonts w:ascii="Times New Roman" w:hAnsi="Times New Roman" w:cs="Times New Roman"/>
          <w:sz w:val="24"/>
          <w:szCs w:val="24"/>
        </w:rPr>
        <w:footnoteReference w:id="75"/>
      </w:r>
      <w:r w:rsidR="00495C32">
        <w:rPr>
          <w:rFonts w:ascii="Times New Roman" w:hAnsi="Times New Roman" w:cs="Times New Roman"/>
          <w:sz w:val="24"/>
          <w:szCs w:val="24"/>
        </w:rPr>
        <w:t xml:space="preserve"> </w:t>
      </w:r>
      <w:r w:rsidR="00BD3D37">
        <w:rPr>
          <w:rFonts w:ascii="Times New Roman" w:hAnsi="Times New Roman" w:cs="Times New Roman"/>
          <w:sz w:val="24"/>
          <w:szCs w:val="24"/>
        </w:rPr>
        <w:t>More generally, Iran, Hezbollah, Syria, and other “Resistance Axis” members “shared common perceptions of the Middle East regional order and goals, including the weakening of Western influence and liberating Israeli occupied territories.”</w:t>
      </w:r>
      <w:r w:rsidR="00BD3D37">
        <w:rPr>
          <w:rStyle w:val="FootnoteReference"/>
          <w:rFonts w:ascii="Times New Roman" w:hAnsi="Times New Roman" w:cs="Times New Roman"/>
          <w:sz w:val="24"/>
          <w:szCs w:val="24"/>
        </w:rPr>
        <w:footnoteReference w:id="76"/>
      </w:r>
      <w:r w:rsidR="00BD3D37">
        <w:rPr>
          <w:rFonts w:ascii="Times New Roman" w:hAnsi="Times New Roman" w:cs="Times New Roman"/>
          <w:sz w:val="24"/>
          <w:szCs w:val="24"/>
        </w:rPr>
        <w:t xml:space="preserve"> </w:t>
      </w:r>
      <w:proofErr w:type="spellStart"/>
      <w:r w:rsidR="003E44E2">
        <w:rPr>
          <w:rFonts w:ascii="Times New Roman" w:hAnsi="Times New Roman" w:cs="Times New Roman"/>
          <w:sz w:val="24"/>
          <w:szCs w:val="24"/>
        </w:rPr>
        <w:t>Azani</w:t>
      </w:r>
      <w:proofErr w:type="spellEnd"/>
      <w:r w:rsidR="003E44E2">
        <w:rPr>
          <w:rFonts w:ascii="Times New Roman" w:hAnsi="Times New Roman" w:cs="Times New Roman"/>
          <w:sz w:val="24"/>
          <w:szCs w:val="24"/>
        </w:rPr>
        <w:t xml:space="preserve"> notes that</w:t>
      </w:r>
      <w:r w:rsidR="00495C32">
        <w:rPr>
          <w:rFonts w:ascii="Times New Roman" w:hAnsi="Times New Roman" w:cs="Times New Roman"/>
          <w:sz w:val="24"/>
          <w:szCs w:val="24"/>
        </w:rPr>
        <w:t xml:space="preserve"> “Hezbollah took a clear pro-Iranian stance, compatible with the positions of its benefactor.”</w:t>
      </w:r>
      <w:r w:rsidR="00495C32">
        <w:rPr>
          <w:rStyle w:val="FootnoteReference"/>
          <w:rFonts w:ascii="Times New Roman" w:hAnsi="Times New Roman" w:cs="Times New Roman"/>
          <w:sz w:val="24"/>
          <w:szCs w:val="24"/>
        </w:rPr>
        <w:footnoteReference w:id="77"/>
      </w:r>
      <w:r w:rsidR="00495C32">
        <w:rPr>
          <w:rFonts w:ascii="Times New Roman" w:hAnsi="Times New Roman" w:cs="Times New Roman"/>
          <w:sz w:val="24"/>
          <w:szCs w:val="24"/>
        </w:rPr>
        <w:t xml:space="preserve"> As a further sign of interest convergence, i</w:t>
      </w:r>
      <w:r w:rsidR="00811F8F">
        <w:rPr>
          <w:rFonts w:ascii="Times New Roman" w:hAnsi="Times New Roman" w:cs="Times New Roman"/>
          <w:sz w:val="24"/>
          <w:szCs w:val="24"/>
        </w:rPr>
        <w:t>n the 1985 declaration of their platform, Hezbollah stated: “We abide by the orders of one single wise and just leadership, presented by ‘</w:t>
      </w:r>
      <w:proofErr w:type="spellStart"/>
      <w:r w:rsidR="00811F8F">
        <w:rPr>
          <w:rFonts w:ascii="Times New Roman" w:hAnsi="Times New Roman" w:cs="Times New Roman"/>
          <w:sz w:val="24"/>
          <w:szCs w:val="24"/>
        </w:rPr>
        <w:t>Waliyat</w:t>
      </w:r>
      <w:proofErr w:type="spellEnd"/>
      <w:r w:rsidR="00811F8F">
        <w:rPr>
          <w:rFonts w:ascii="Times New Roman" w:hAnsi="Times New Roman" w:cs="Times New Roman"/>
          <w:sz w:val="24"/>
          <w:szCs w:val="24"/>
        </w:rPr>
        <w:t xml:space="preserve"> </w:t>
      </w:r>
      <w:proofErr w:type="spellStart"/>
      <w:r w:rsidR="00811F8F">
        <w:rPr>
          <w:rFonts w:ascii="Times New Roman" w:hAnsi="Times New Roman" w:cs="Times New Roman"/>
          <w:sz w:val="24"/>
          <w:szCs w:val="24"/>
        </w:rPr>
        <w:t>el</w:t>
      </w:r>
      <w:proofErr w:type="spellEnd"/>
      <w:r w:rsidR="00811F8F">
        <w:rPr>
          <w:rFonts w:ascii="Times New Roman" w:hAnsi="Times New Roman" w:cs="Times New Roman"/>
          <w:sz w:val="24"/>
          <w:szCs w:val="24"/>
        </w:rPr>
        <w:t xml:space="preserve"> Faqih’ and personified by Khomeini.”</w:t>
      </w:r>
      <w:r w:rsidR="00811F8F">
        <w:rPr>
          <w:rStyle w:val="FootnoteReference"/>
          <w:rFonts w:ascii="Times New Roman" w:hAnsi="Times New Roman" w:cs="Times New Roman"/>
          <w:sz w:val="24"/>
          <w:szCs w:val="24"/>
        </w:rPr>
        <w:footnoteReference w:id="78"/>
      </w:r>
      <w:r w:rsidR="00811F8F">
        <w:rPr>
          <w:rFonts w:ascii="Times New Roman" w:hAnsi="Times New Roman" w:cs="Times New Roman"/>
          <w:sz w:val="24"/>
          <w:szCs w:val="24"/>
        </w:rPr>
        <w:t xml:space="preserve"> This </w:t>
      </w:r>
      <w:r w:rsidR="00FF1D12">
        <w:rPr>
          <w:rFonts w:ascii="Times New Roman" w:hAnsi="Times New Roman" w:cs="Times New Roman"/>
          <w:sz w:val="24"/>
          <w:szCs w:val="24"/>
        </w:rPr>
        <w:t xml:space="preserve">early </w:t>
      </w:r>
      <w:r w:rsidR="00811F8F">
        <w:rPr>
          <w:rFonts w:ascii="Times New Roman" w:hAnsi="Times New Roman" w:cs="Times New Roman"/>
          <w:sz w:val="24"/>
          <w:szCs w:val="24"/>
        </w:rPr>
        <w:t xml:space="preserve">statement endorsing Iran’s </w:t>
      </w:r>
      <w:r w:rsidR="00495C32">
        <w:rPr>
          <w:rFonts w:ascii="Times New Roman" w:hAnsi="Times New Roman" w:cs="Times New Roman"/>
          <w:sz w:val="24"/>
          <w:szCs w:val="24"/>
        </w:rPr>
        <w:t>central</w:t>
      </w:r>
      <w:r w:rsidR="00566727">
        <w:rPr>
          <w:rFonts w:ascii="Times New Roman" w:hAnsi="Times New Roman" w:cs="Times New Roman"/>
          <w:sz w:val="24"/>
          <w:szCs w:val="24"/>
        </w:rPr>
        <w:t xml:space="preserve"> role in </w:t>
      </w:r>
      <w:r w:rsidR="00853458">
        <w:rPr>
          <w:rFonts w:ascii="Times New Roman" w:hAnsi="Times New Roman" w:cs="Times New Roman"/>
          <w:sz w:val="24"/>
          <w:szCs w:val="24"/>
        </w:rPr>
        <w:t xml:space="preserve">decision </w:t>
      </w:r>
      <w:r w:rsidR="00811F8F">
        <w:rPr>
          <w:rFonts w:ascii="Times New Roman" w:hAnsi="Times New Roman" w:cs="Times New Roman"/>
          <w:sz w:val="24"/>
          <w:szCs w:val="24"/>
        </w:rPr>
        <w:t>making seems to imply the value of utilizing the principal-agent framework in this case; Iran was serving as the principal that communicated “orders” to their agent</w:t>
      </w:r>
      <w:r w:rsidR="009120B3">
        <w:rPr>
          <w:rFonts w:ascii="Times New Roman" w:hAnsi="Times New Roman" w:cs="Times New Roman"/>
          <w:sz w:val="24"/>
          <w:szCs w:val="24"/>
        </w:rPr>
        <w:t>,</w:t>
      </w:r>
      <w:r w:rsidR="00811F8F">
        <w:rPr>
          <w:rFonts w:ascii="Times New Roman" w:hAnsi="Times New Roman" w:cs="Times New Roman"/>
          <w:sz w:val="24"/>
          <w:szCs w:val="24"/>
        </w:rPr>
        <w:t xml:space="preserve"> Hezbollah. </w:t>
      </w:r>
    </w:p>
    <w:p w14:paraId="0253AA6E" w14:textId="77777777" w:rsidR="00811F8F" w:rsidRDefault="00FF1D12" w:rsidP="009120B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Given the theory outlined above, though, it is important to note that </w:t>
      </w:r>
      <w:r w:rsidR="00495C32">
        <w:rPr>
          <w:rFonts w:ascii="Times New Roman" w:hAnsi="Times New Roman" w:cs="Times New Roman"/>
          <w:sz w:val="24"/>
          <w:szCs w:val="24"/>
        </w:rPr>
        <w:t>converging interests at Hezbollah’s founding were</w:t>
      </w:r>
      <w:r>
        <w:rPr>
          <w:rFonts w:ascii="Times New Roman" w:hAnsi="Times New Roman" w:cs="Times New Roman"/>
          <w:sz w:val="24"/>
          <w:szCs w:val="24"/>
        </w:rPr>
        <w:t xml:space="preserve"> not enough to convince Iran of Hezbollah’s trustworthiness.</w:t>
      </w:r>
      <w:r w:rsidR="000557B4">
        <w:rPr>
          <w:rFonts w:ascii="Times New Roman" w:hAnsi="Times New Roman" w:cs="Times New Roman"/>
          <w:sz w:val="24"/>
          <w:szCs w:val="24"/>
        </w:rPr>
        <w:t xml:space="preserve"> As </w:t>
      </w:r>
      <w:r w:rsidR="005D4C29">
        <w:rPr>
          <w:rFonts w:ascii="Times New Roman" w:hAnsi="Times New Roman" w:cs="Times New Roman"/>
          <w:sz w:val="24"/>
          <w:szCs w:val="24"/>
        </w:rPr>
        <w:t>preliminary</w:t>
      </w:r>
      <w:r w:rsidR="000557B4">
        <w:rPr>
          <w:rFonts w:ascii="Times New Roman" w:hAnsi="Times New Roman" w:cs="Times New Roman"/>
          <w:sz w:val="24"/>
          <w:szCs w:val="24"/>
        </w:rPr>
        <w:t>, albeit incomplete,</w:t>
      </w:r>
      <w:r w:rsidR="005D4C29">
        <w:rPr>
          <w:rFonts w:ascii="Times New Roman" w:hAnsi="Times New Roman" w:cs="Times New Roman"/>
          <w:sz w:val="24"/>
          <w:szCs w:val="24"/>
        </w:rPr>
        <w:t xml:space="preserve"> evidence, Hezbollah scholar </w:t>
      </w:r>
      <w:r w:rsidR="005D4C29" w:rsidRPr="005D4C29">
        <w:rPr>
          <w:rFonts w:ascii="Times New Roman" w:hAnsi="Times New Roman" w:cs="Times New Roman"/>
          <w:sz w:val="24"/>
          <w:szCs w:val="24"/>
        </w:rPr>
        <w:t xml:space="preserve">Ahmad Nizar </w:t>
      </w:r>
      <w:proofErr w:type="spellStart"/>
      <w:r w:rsidR="005D4C29" w:rsidRPr="005D4C29">
        <w:rPr>
          <w:rFonts w:ascii="Times New Roman" w:hAnsi="Times New Roman" w:cs="Times New Roman"/>
          <w:sz w:val="24"/>
          <w:szCs w:val="24"/>
        </w:rPr>
        <w:t>Hamzeh</w:t>
      </w:r>
      <w:proofErr w:type="spellEnd"/>
      <w:r w:rsidR="005D4C29">
        <w:rPr>
          <w:rFonts w:ascii="Times New Roman" w:hAnsi="Times New Roman" w:cs="Times New Roman"/>
          <w:sz w:val="24"/>
          <w:szCs w:val="24"/>
        </w:rPr>
        <w:t xml:space="preserve"> writes that high-ranking IRGC officers embedded in Hezbollah’s military headquarters after </w:t>
      </w:r>
      <w:r w:rsidR="009120B3">
        <w:rPr>
          <w:rFonts w:ascii="Times New Roman" w:hAnsi="Times New Roman" w:cs="Times New Roman"/>
          <w:sz w:val="24"/>
          <w:szCs w:val="24"/>
        </w:rPr>
        <w:t>they</w:t>
      </w:r>
      <w:r w:rsidR="005D4C29">
        <w:rPr>
          <w:rFonts w:ascii="Times New Roman" w:hAnsi="Times New Roman" w:cs="Times New Roman"/>
          <w:sz w:val="24"/>
          <w:szCs w:val="24"/>
        </w:rPr>
        <w:t xml:space="preserve"> first formed. However, “the gua</w:t>
      </w:r>
      <w:r w:rsidR="001C7CE2">
        <w:rPr>
          <w:rFonts w:ascii="Times New Roman" w:hAnsi="Times New Roman" w:cs="Times New Roman"/>
          <w:sz w:val="24"/>
          <w:szCs w:val="24"/>
        </w:rPr>
        <w:t>rds withdrew in the early 1990s</w:t>
      </w:r>
      <w:r w:rsidR="005D4C29">
        <w:rPr>
          <w:rFonts w:ascii="Times New Roman" w:hAnsi="Times New Roman" w:cs="Times New Roman"/>
          <w:sz w:val="24"/>
          <w:szCs w:val="24"/>
        </w:rPr>
        <w:t>”</w:t>
      </w:r>
      <w:r w:rsidR="005D4C29">
        <w:rPr>
          <w:rStyle w:val="FootnoteReference"/>
          <w:rFonts w:ascii="Times New Roman" w:hAnsi="Times New Roman" w:cs="Times New Roman"/>
          <w:sz w:val="24"/>
          <w:szCs w:val="24"/>
        </w:rPr>
        <w:footnoteReference w:id="79"/>
      </w:r>
      <w:r w:rsidR="001C7CE2">
        <w:rPr>
          <w:rFonts w:ascii="Times New Roman" w:hAnsi="Times New Roman" w:cs="Times New Roman"/>
          <w:sz w:val="24"/>
          <w:szCs w:val="24"/>
        </w:rPr>
        <w:t>;</w:t>
      </w:r>
      <w:r w:rsidR="005D4C29">
        <w:rPr>
          <w:rFonts w:ascii="Times New Roman" w:hAnsi="Times New Roman" w:cs="Times New Roman"/>
          <w:sz w:val="24"/>
          <w:szCs w:val="24"/>
        </w:rPr>
        <w:t xml:space="preserve"> </w:t>
      </w:r>
      <w:r w:rsidR="001C7CE2">
        <w:rPr>
          <w:rFonts w:ascii="Times New Roman" w:hAnsi="Times New Roman" w:cs="Times New Roman"/>
          <w:sz w:val="24"/>
          <w:szCs w:val="24"/>
        </w:rPr>
        <w:t>this signals</w:t>
      </w:r>
      <w:r w:rsidR="005D4C29">
        <w:rPr>
          <w:rFonts w:ascii="Times New Roman" w:hAnsi="Times New Roman" w:cs="Times New Roman"/>
          <w:sz w:val="24"/>
          <w:szCs w:val="24"/>
        </w:rPr>
        <w:t xml:space="preserve"> that</w:t>
      </w:r>
      <w:r w:rsidR="001C7CE2">
        <w:rPr>
          <w:rFonts w:ascii="Times New Roman" w:hAnsi="Times New Roman" w:cs="Times New Roman"/>
          <w:sz w:val="24"/>
          <w:szCs w:val="24"/>
        </w:rPr>
        <w:t xml:space="preserve"> after several years, Iran decreased its direct</w:t>
      </w:r>
      <w:r w:rsidR="005D4C29">
        <w:rPr>
          <w:rFonts w:ascii="Times New Roman" w:hAnsi="Times New Roman" w:cs="Times New Roman"/>
          <w:sz w:val="24"/>
          <w:szCs w:val="24"/>
        </w:rPr>
        <w:t xml:space="preserve"> monit</w:t>
      </w:r>
      <w:r w:rsidR="00566727">
        <w:rPr>
          <w:rFonts w:ascii="Times New Roman" w:hAnsi="Times New Roman" w:cs="Times New Roman"/>
          <w:sz w:val="24"/>
          <w:szCs w:val="24"/>
        </w:rPr>
        <w:t>oring of Hezbollah. It is possible</w:t>
      </w:r>
      <w:r w:rsidR="005D4C29">
        <w:rPr>
          <w:rFonts w:ascii="Times New Roman" w:hAnsi="Times New Roman" w:cs="Times New Roman"/>
          <w:sz w:val="24"/>
          <w:szCs w:val="24"/>
        </w:rPr>
        <w:t xml:space="preserve"> that this occurred because Iran</w:t>
      </w:r>
      <w:r w:rsidR="009120B3">
        <w:rPr>
          <w:rFonts w:ascii="Times New Roman" w:hAnsi="Times New Roman" w:cs="Times New Roman"/>
          <w:sz w:val="24"/>
          <w:szCs w:val="24"/>
        </w:rPr>
        <w:t>ian leaders trusted</w:t>
      </w:r>
      <w:r w:rsidR="007A1108">
        <w:rPr>
          <w:rFonts w:ascii="Times New Roman" w:hAnsi="Times New Roman" w:cs="Times New Roman"/>
          <w:sz w:val="24"/>
          <w:szCs w:val="24"/>
        </w:rPr>
        <w:t xml:space="preserve"> Hezbollah’s </w:t>
      </w:r>
      <w:r w:rsidR="005D4C29">
        <w:rPr>
          <w:rFonts w:ascii="Times New Roman" w:hAnsi="Times New Roman" w:cs="Times New Roman"/>
          <w:sz w:val="24"/>
          <w:szCs w:val="24"/>
        </w:rPr>
        <w:t>leadership</w:t>
      </w:r>
      <w:r w:rsidR="001C7CE2">
        <w:rPr>
          <w:rFonts w:ascii="Times New Roman" w:hAnsi="Times New Roman" w:cs="Times New Roman"/>
          <w:sz w:val="24"/>
          <w:szCs w:val="24"/>
        </w:rPr>
        <w:t>, and it no longer needed to rely on extensive monitoring to ensure Hezbollah was acting according to its broad interests</w:t>
      </w:r>
      <w:r w:rsidR="005D4C29">
        <w:rPr>
          <w:rFonts w:ascii="Times New Roman" w:hAnsi="Times New Roman" w:cs="Times New Roman"/>
          <w:sz w:val="24"/>
          <w:szCs w:val="24"/>
        </w:rPr>
        <w:t>.</w:t>
      </w:r>
      <w:r w:rsidR="00AF1FCE">
        <w:rPr>
          <w:rFonts w:ascii="Times New Roman" w:hAnsi="Times New Roman" w:cs="Times New Roman"/>
          <w:sz w:val="24"/>
          <w:szCs w:val="24"/>
        </w:rPr>
        <w:t xml:space="preserve"> However, more evidence is needed to substantiate this argument.</w:t>
      </w:r>
      <w:r w:rsidR="00495C32">
        <w:rPr>
          <w:rFonts w:ascii="Times New Roman" w:hAnsi="Times New Roman" w:cs="Times New Roman"/>
          <w:sz w:val="24"/>
          <w:szCs w:val="24"/>
        </w:rPr>
        <w:t xml:space="preserve"> </w:t>
      </w:r>
      <w:r w:rsidR="00AF1FCE">
        <w:rPr>
          <w:rFonts w:ascii="Times New Roman" w:hAnsi="Times New Roman" w:cs="Times New Roman"/>
          <w:sz w:val="24"/>
          <w:szCs w:val="24"/>
        </w:rPr>
        <w:t xml:space="preserve">At the very least, </w:t>
      </w:r>
      <w:r w:rsidR="00495C32">
        <w:rPr>
          <w:rFonts w:ascii="Times New Roman" w:hAnsi="Times New Roman" w:cs="Times New Roman"/>
          <w:sz w:val="24"/>
          <w:szCs w:val="24"/>
        </w:rPr>
        <w:t xml:space="preserve">the IRGC’s </w:t>
      </w:r>
      <w:r w:rsidR="00AF1FCE">
        <w:rPr>
          <w:rFonts w:ascii="Times New Roman" w:hAnsi="Times New Roman" w:cs="Times New Roman"/>
          <w:sz w:val="24"/>
          <w:szCs w:val="24"/>
        </w:rPr>
        <w:t xml:space="preserve">direct role </w:t>
      </w:r>
      <w:r w:rsidR="00BD3D37">
        <w:rPr>
          <w:rFonts w:ascii="Times New Roman" w:hAnsi="Times New Roman" w:cs="Times New Roman"/>
          <w:sz w:val="24"/>
          <w:szCs w:val="24"/>
        </w:rPr>
        <w:lastRenderedPageBreak/>
        <w:t>diminished over time</w:t>
      </w:r>
      <w:r w:rsidR="00AF1FCE">
        <w:rPr>
          <w:rFonts w:ascii="Times New Roman" w:hAnsi="Times New Roman" w:cs="Times New Roman"/>
          <w:sz w:val="24"/>
          <w:szCs w:val="24"/>
        </w:rPr>
        <w:t>;</w:t>
      </w:r>
      <w:r w:rsidR="00495C32">
        <w:rPr>
          <w:rFonts w:ascii="Times New Roman" w:hAnsi="Times New Roman" w:cs="Times New Roman"/>
          <w:sz w:val="24"/>
          <w:szCs w:val="24"/>
        </w:rPr>
        <w:t xml:space="preserve"> </w:t>
      </w:r>
      <w:r w:rsidR="00FE0733">
        <w:rPr>
          <w:rFonts w:ascii="Times New Roman" w:hAnsi="Times New Roman" w:cs="Times New Roman"/>
          <w:sz w:val="24"/>
          <w:szCs w:val="24"/>
        </w:rPr>
        <w:t xml:space="preserve">scholar </w:t>
      </w:r>
      <w:proofErr w:type="spellStart"/>
      <w:r w:rsidR="00495C32">
        <w:rPr>
          <w:rFonts w:ascii="Times New Roman" w:hAnsi="Times New Roman" w:cs="Times New Roman"/>
          <w:sz w:val="24"/>
          <w:szCs w:val="24"/>
        </w:rPr>
        <w:t>Massaab</w:t>
      </w:r>
      <w:proofErr w:type="spellEnd"/>
      <w:r w:rsidR="00495C32">
        <w:rPr>
          <w:rFonts w:ascii="Times New Roman" w:hAnsi="Times New Roman" w:cs="Times New Roman"/>
          <w:sz w:val="24"/>
          <w:szCs w:val="24"/>
        </w:rPr>
        <w:t xml:space="preserve"> Al-</w:t>
      </w:r>
      <w:proofErr w:type="spellStart"/>
      <w:r w:rsidR="00495C32">
        <w:rPr>
          <w:rFonts w:ascii="Times New Roman" w:hAnsi="Times New Roman" w:cs="Times New Roman"/>
          <w:sz w:val="24"/>
          <w:szCs w:val="24"/>
        </w:rPr>
        <w:t>Aloosy</w:t>
      </w:r>
      <w:proofErr w:type="spellEnd"/>
      <w:r w:rsidR="00495C32">
        <w:rPr>
          <w:rFonts w:ascii="Times New Roman" w:hAnsi="Times New Roman" w:cs="Times New Roman"/>
          <w:sz w:val="24"/>
          <w:szCs w:val="24"/>
        </w:rPr>
        <w:t xml:space="preserve"> </w:t>
      </w:r>
      <w:r w:rsidR="00AF1FCE">
        <w:rPr>
          <w:rFonts w:ascii="Times New Roman" w:hAnsi="Times New Roman" w:cs="Times New Roman"/>
          <w:sz w:val="24"/>
          <w:szCs w:val="24"/>
        </w:rPr>
        <w:t>remarks</w:t>
      </w:r>
      <w:r w:rsidR="00495C32">
        <w:rPr>
          <w:rFonts w:ascii="Times New Roman" w:hAnsi="Times New Roman" w:cs="Times New Roman"/>
          <w:sz w:val="24"/>
          <w:szCs w:val="24"/>
        </w:rPr>
        <w:t>: “Hezbollah became the initiator and did not include the Revolutionary Guards in decision-making of</w:t>
      </w:r>
      <w:r w:rsidR="009120B3">
        <w:rPr>
          <w:rFonts w:ascii="Times New Roman" w:hAnsi="Times New Roman" w:cs="Times New Roman"/>
          <w:sz w:val="24"/>
          <w:szCs w:val="24"/>
        </w:rPr>
        <w:t>”</w:t>
      </w:r>
      <w:r w:rsidR="00495C32">
        <w:rPr>
          <w:rFonts w:ascii="Times New Roman" w:hAnsi="Times New Roman" w:cs="Times New Roman"/>
          <w:sz w:val="24"/>
          <w:szCs w:val="24"/>
        </w:rPr>
        <w:t xml:space="preserve"> the</w:t>
      </w:r>
      <w:r w:rsidR="009120B3">
        <w:rPr>
          <w:rFonts w:ascii="Times New Roman" w:hAnsi="Times New Roman" w:cs="Times New Roman"/>
          <w:sz w:val="24"/>
          <w:szCs w:val="24"/>
        </w:rPr>
        <w:t>ir attacks.</w:t>
      </w:r>
      <w:r w:rsidR="00495C32">
        <w:rPr>
          <w:rStyle w:val="FootnoteReference"/>
          <w:rFonts w:ascii="Times New Roman" w:hAnsi="Times New Roman" w:cs="Times New Roman"/>
          <w:sz w:val="24"/>
          <w:szCs w:val="24"/>
        </w:rPr>
        <w:footnoteReference w:id="80"/>
      </w:r>
      <w:r w:rsidR="00AF1FCE">
        <w:rPr>
          <w:rFonts w:ascii="Times New Roman" w:hAnsi="Times New Roman" w:cs="Times New Roman"/>
          <w:sz w:val="24"/>
          <w:szCs w:val="24"/>
        </w:rPr>
        <w:t xml:space="preserve"> With this caveat, </w:t>
      </w:r>
      <w:r w:rsidR="001C7CE2">
        <w:rPr>
          <w:rFonts w:ascii="Times New Roman" w:hAnsi="Times New Roman" w:cs="Times New Roman"/>
          <w:sz w:val="24"/>
          <w:szCs w:val="24"/>
        </w:rPr>
        <w:t>I will</w:t>
      </w:r>
      <w:r w:rsidR="00AF1FCE">
        <w:rPr>
          <w:rFonts w:ascii="Times New Roman" w:hAnsi="Times New Roman" w:cs="Times New Roman"/>
          <w:sz w:val="24"/>
          <w:szCs w:val="24"/>
        </w:rPr>
        <w:t xml:space="preserve"> now</w:t>
      </w:r>
      <w:r w:rsidR="007A1108">
        <w:rPr>
          <w:rFonts w:ascii="Times New Roman" w:hAnsi="Times New Roman" w:cs="Times New Roman"/>
          <w:sz w:val="24"/>
          <w:szCs w:val="24"/>
        </w:rPr>
        <w:t xml:space="preserve"> provide evidence that </w:t>
      </w:r>
      <w:r w:rsidR="00FE0733">
        <w:rPr>
          <w:rFonts w:ascii="Times New Roman" w:hAnsi="Times New Roman" w:cs="Times New Roman"/>
          <w:sz w:val="24"/>
          <w:szCs w:val="24"/>
        </w:rPr>
        <w:t>Iran</w:t>
      </w:r>
      <w:r w:rsidR="007A1108">
        <w:rPr>
          <w:rFonts w:ascii="Times New Roman" w:hAnsi="Times New Roman" w:cs="Times New Roman"/>
          <w:sz w:val="24"/>
          <w:szCs w:val="24"/>
        </w:rPr>
        <w:t xml:space="preserve"> controlled</w:t>
      </w:r>
      <w:r>
        <w:rPr>
          <w:rFonts w:ascii="Times New Roman" w:hAnsi="Times New Roman" w:cs="Times New Roman"/>
          <w:sz w:val="24"/>
          <w:szCs w:val="24"/>
        </w:rPr>
        <w:t xml:space="preserve"> Hezbollah</w:t>
      </w:r>
      <w:r w:rsidR="001C7CE2">
        <w:rPr>
          <w:rFonts w:ascii="Times New Roman" w:hAnsi="Times New Roman" w:cs="Times New Roman"/>
          <w:sz w:val="24"/>
          <w:szCs w:val="24"/>
        </w:rPr>
        <w:t xml:space="preserve"> </w:t>
      </w:r>
      <w:r w:rsidR="00FE0733">
        <w:rPr>
          <w:rFonts w:ascii="Times New Roman" w:hAnsi="Times New Roman" w:cs="Times New Roman"/>
          <w:sz w:val="24"/>
          <w:szCs w:val="24"/>
        </w:rPr>
        <w:t>early on in their relationship.</w:t>
      </w:r>
      <w:r>
        <w:rPr>
          <w:rFonts w:ascii="Times New Roman" w:hAnsi="Times New Roman" w:cs="Times New Roman"/>
          <w:sz w:val="24"/>
          <w:szCs w:val="24"/>
        </w:rPr>
        <w:t xml:space="preserve"> </w:t>
      </w:r>
    </w:p>
    <w:p w14:paraId="5EBDEC57" w14:textId="77777777" w:rsidR="00926677" w:rsidRDefault="00811F8F" w:rsidP="007A1108">
      <w:pPr>
        <w:spacing w:line="480" w:lineRule="auto"/>
        <w:rPr>
          <w:rFonts w:ascii="Times New Roman" w:hAnsi="Times New Roman" w:cs="Times New Roman"/>
          <w:sz w:val="24"/>
          <w:szCs w:val="24"/>
        </w:rPr>
      </w:pPr>
      <w:r>
        <w:rPr>
          <w:rFonts w:ascii="Times New Roman" w:hAnsi="Times New Roman" w:cs="Times New Roman"/>
          <w:sz w:val="24"/>
          <w:szCs w:val="24"/>
        </w:rPr>
        <w:tab/>
        <w:t>Some early Hezbollah behavior seems to have been direct</w:t>
      </w:r>
      <w:r w:rsidR="009120B3">
        <w:rPr>
          <w:rFonts w:ascii="Times New Roman" w:hAnsi="Times New Roman" w:cs="Times New Roman"/>
          <w:sz w:val="24"/>
          <w:szCs w:val="24"/>
        </w:rPr>
        <w:t>ed by Iran, confirming that the state</w:t>
      </w:r>
      <w:r>
        <w:rPr>
          <w:rFonts w:ascii="Times New Roman" w:hAnsi="Times New Roman" w:cs="Times New Roman"/>
          <w:sz w:val="24"/>
          <w:szCs w:val="24"/>
        </w:rPr>
        <w:t xml:space="preserve"> exercised strong control over Hezbollah in the years immediately following its formation.</w:t>
      </w:r>
      <w:r>
        <w:rPr>
          <w:rStyle w:val="FootnoteReference"/>
          <w:rFonts w:ascii="Times New Roman" w:hAnsi="Times New Roman" w:cs="Times New Roman"/>
          <w:sz w:val="24"/>
          <w:szCs w:val="24"/>
        </w:rPr>
        <w:footnoteReference w:id="81"/>
      </w:r>
      <w:r>
        <w:rPr>
          <w:rFonts w:ascii="Times New Roman" w:hAnsi="Times New Roman" w:cs="Times New Roman"/>
          <w:sz w:val="24"/>
          <w:szCs w:val="24"/>
        </w:rPr>
        <w:t xml:space="preserve"> </w:t>
      </w:r>
      <w:r w:rsidR="00926677">
        <w:rPr>
          <w:rFonts w:ascii="Times New Roman" w:hAnsi="Times New Roman" w:cs="Times New Roman"/>
          <w:sz w:val="24"/>
          <w:szCs w:val="24"/>
        </w:rPr>
        <w:t>One illustrative example is Hezbollah’s role in kidnapping</w:t>
      </w:r>
      <w:r w:rsidR="007A1108">
        <w:rPr>
          <w:rFonts w:ascii="Times New Roman" w:hAnsi="Times New Roman" w:cs="Times New Roman"/>
          <w:sz w:val="24"/>
          <w:szCs w:val="24"/>
        </w:rPr>
        <w:t>s</w:t>
      </w:r>
      <w:r w:rsidR="00926677">
        <w:rPr>
          <w:rFonts w:ascii="Times New Roman" w:hAnsi="Times New Roman" w:cs="Times New Roman"/>
          <w:sz w:val="24"/>
          <w:szCs w:val="24"/>
        </w:rPr>
        <w:t xml:space="preserve">. </w:t>
      </w:r>
      <w:r>
        <w:rPr>
          <w:rFonts w:ascii="Times New Roman" w:hAnsi="Times New Roman" w:cs="Times New Roman"/>
          <w:sz w:val="24"/>
          <w:szCs w:val="24"/>
        </w:rPr>
        <w:t>In the 1980s, Hezbollah carried out a campaign of suicide attacks, plane hijackings, and hostage kidnappings against foreigners. Kidnappings were especially pervasive. Although kidnappings were “not always perceived as beneficial for the interests of the Shiite community in general and Hezbollah in particular,” Hezbollah only stopped carrying them out once Iran’s policy towards kidnapping changed.</w:t>
      </w:r>
      <w:r>
        <w:rPr>
          <w:rStyle w:val="FootnoteReference"/>
          <w:rFonts w:ascii="Times New Roman" w:hAnsi="Times New Roman" w:cs="Times New Roman"/>
          <w:sz w:val="24"/>
          <w:szCs w:val="24"/>
        </w:rPr>
        <w:footnoteReference w:id="82"/>
      </w:r>
      <w:r>
        <w:rPr>
          <w:rFonts w:ascii="Times New Roman" w:hAnsi="Times New Roman" w:cs="Times New Roman"/>
          <w:sz w:val="24"/>
          <w:szCs w:val="24"/>
        </w:rPr>
        <w:t xml:space="preserve"> Hezbollah’s cost effort to undertake these activities was low: the direct cost was minimal and the preference divergence was minimal. This preference divergence piece is key. Because at this time Hezbollah was focused on “</w:t>
      </w:r>
      <w:proofErr w:type="spellStart"/>
      <w:r>
        <w:rPr>
          <w:rFonts w:ascii="Times New Roman" w:hAnsi="Times New Roman" w:cs="Times New Roman"/>
          <w:sz w:val="24"/>
          <w:szCs w:val="24"/>
        </w:rPr>
        <w:t>advanc</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pan-Islamic objectives,” the harm that kidnappings had on Hezbollah’s image domestically and internationally was of secondary importance.</w:t>
      </w:r>
      <w:r>
        <w:rPr>
          <w:rStyle w:val="FootnoteReference"/>
          <w:rFonts w:ascii="Times New Roman" w:hAnsi="Times New Roman" w:cs="Times New Roman"/>
          <w:sz w:val="24"/>
          <w:szCs w:val="24"/>
        </w:rPr>
        <w:footnoteReference w:id="83"/>
      </w:r>
      <w:r w:rsidR="00D25403">
        <w:rPr>
          <w:rFonts w:ascii="Times New Roman" w:hAnsi="Times New Roman" w:cs="Times New Roman"/>
          <w:sz w:val="24"/>
          <w:szCs w:val="24"/>
        </w:rPr>
        <w:t xml:space="preserve"> As additional evidence of Iran’s </w:t>
      </w:r>
      <w:r w:rsidR="007A1108">
        <w:rPr>
          <w:rFonts w:ascii="Times New Roman" w:hAnsi="Times New Roman" w:cs="Times New Roman"/>
          <w:sz w:val="24"/>
          <w:szCs w:val="24"/>
        </w:rPr>
        <w:t>dominant</w:t>
      </w:r>
      <w:r w:rsidR="00D25403">
        <w:rPr>
          <w:rFonts w:ascii="Times New Roman" w:hAnsi="Times New Roman" w:cs="Times New Roman"/>
          <w:sz w:val="24"/>
          <w:szCs w:val="24"/>
        </w:rPr>
        <w:t xml:space="preserve"> role, </w:t>
      </w:r>
      <w:proofErr w:type="spellStart"/>
      <w:r w:rsidR="00D25403">
        <w:rPr>
          <w:rFonts w:ascii="Times New Roman" w:hAnsi="Times New Roman" w:cs="Times New Roman"/>
          <w:sz w:val="24"/>
          <w:szCs w:val="24"/>
        </w:rPr>
        <w:t>Hamzeh</w:t>
      </w:r>
      <w:proofErr w:type="spellEnd"/>
      <w:r w:rsidR="00D25403">
        <w:rPr>
          <w:rFonts w:ascii="Times New Roman" w:hAnsi="Times New Roman" w:cs="Times New Roman"/>
          <w:sz w:val="24"/>
          <w:szCs w:val="24"/>
        </w:rPr>
        <w:t xml:space="preserve"> writes that “[a]</w:t>
      </w:r>
      <w:proofErr w:type="spellStart"/>
      <w:r w:rsidR="00D25403">
        <w:rPr>
          <w:rFonts w:ascii="Times New Roman" w:hAnsi="Times New Roman" w:cs="Times New Roman"/>
          <w:sz w:val="24"/>
          <w:szCs w:val="24"/>
        </w:rPr>
        <w:t>lthough</w:t>
      </w:r>
      <w:proofErr w:type="spellEnd"/>
      <w:r w:rsidR="00D25403">
        <w:rPr>
          <w:rFonts w:ascii="Times New Roman" w:hAnsi="Times New Roman" w:cs="Times New Roman"/>
          <w:sz w:val="24"/>
          <w:szCs w:val="24"/>
        </w:rPr>
        <w:t xml:space="preserve"> the Iranian government maintained its distance from the operational elements involved, its influence on the hostage takers was deemed sufficient to prompt the 1990 U.S.-Israeli opening to Iran.”</w:t>
      </w:r>
      <w:r w:rsidR="00D25403">
        <w:rPr>
          <w:rStyle w:val="FootnoteReference"/>
          <w:rFonts w:ascii="Times New Roman" w:hAnsi="Times New Roman" w:cs="Times New Roman"/>
          <w:sz w:val="24"/>
          <w:szCs w:val="24"/>
        </w:rPr>
        <w:footnoteReference w:id="84"/>
      </w:r>
      <w:r w:rsidR="00D25403">
        <w:rPr>
          <w:rFonts w:ascii="Times New Roman" w:hAnsi="Times New Roman" w:cs="Times New Roman"/>
          <w:sz w:val="24"/>
          <w:szCs w:val="24"/>
        </w:rPr>
        <w:t xml:space="preserve"> </w:t>
      </w:r>
      <w:r w:rsidR="00926677">
        <w:rPr>
          <w:rFonts w:ascii="Times New Roman" w:hAnsi="Times New Roman" w:cs="Times New Roman"/>
          <w:sz w:val="24"/>
          <w:szCs w:val="24"/>
        </w:rPr>
        <w:t xml:space="preserve">Thus, analyzing Hezbollah’s actions during this time through a principal-agent lens seems useful. </w:t>
      </w:r>
    </w:p>
    <w:p w14:paraId="3720B028" w14:textId="77777777" w:rsidR="00926677" w:rsidRDefault="00926677" w:rsidP="007F1E21">
      <w:pPr>
        <w:spacing w:line="480" w:lineRule="auto"/>
        <w:rPr>
          <w:rFonts w:ascii="Times New Roman" w:hAnsi="Times New Roman" w:cs="Times New Roman"/>
          <w:sz w:val="24"/>
          <w:szCs w:val="24"/>
        </w:rPr>
      </w:pPr>
      <w:r>
        <w:rPr>
          <w:rFonts w:ascii="Times New Roman" w:hAnsi="Times New Roman" w:cs="Times New Roman"/>
          <w:sz w:val="24"/>
          <w:szCs w:val="24"/>
        </w:rPr>
        <w:tab/>
      </w:r>
      <w:r w:rsidR="007A1108">
        <w:rPr>
          <w:rFonts w:ascii="Times New Roman" w:hAnsi="Times New Roman" w:cs="Times New Roman"/>
          <w:sz w:val="24"/>
          <w:szCs w:val="24"/>
        </w:rPr>
        <w:t>The notion that Hezbollah</w:t>
      </w:r>
      <w:r w:rsidR="009120B3">
        <w:rPr>
          <w:rFonts w:ascii="Times New Roman" w:hAnsi="Times New Roman" w:cs="Times New Roman"/>
          <w:sz w:val="24"/>
          <w:szCs w:val="24"/>
        </w:rPr>
        <w:t xml:space="preserve"> first</w:t>
      </w:r>
      <w:r w:rsidR="007A1108">
        <w:rPr>
          <w:rFonts w:ascii="Times New Roman" w:hAnsi="Times New Roman" w:cs="Times New Roman"/>
          <w:sz w:val="24"/>
          <w:szCs w:val="24"/>
        </w:rPr>
        <w:t xml:space="preserve"> interacted vertically with Iran is captured by L</w:t>
      </w:r>
      <w:r w:rsidR="004F0B63">
        <w:rPr>
          <w:rFonts w:ascii="Times New Roman" w:hAnsi="Times New Roman" w:cs="Times New Roman"/>
          <w:sz w:val="24"/>
          <w:szCs w:val="24"/>
        </w:rPr>
        <w:t xml:space="preserve">ebanese scholar Joseph </w:t>
      </w:r>
      <w:proofErr w:type="spellStart"/>
      <w:r w:rsidR="004F0B63">
        <w:rPr>
          <w:rFonts w:ascii="Times New Roman" w:hAnsi="Times New Roman" w:cs="Times New Roman"/>
          <w:sz w:val="24"/>
          <w:szCs w:val="24"/>
        </w:rPr>
        <w:t>Alagha</w:t>
      </w:r>
      <w:proofErr w:type="spellEnd"/>
      <w:r w:rsidR="007A1108">
        <w:rPr>
          <w:rFonts w:ascii="Times New Roman" w:hAnsi="Times New Roman" w:cs="Times New Roman"/>
          <w:sz w:val="24"/>
          <w:szCs w:val="24"/>
        </w:rPr>
        <w:t>. He</w:t>
      </w:r>
      <w:r w:rsidR="004F0B63">
        <w:rPr>
          <w:rFonts w:ascii="Times New Roman" w:hAnsi="Times New Roman" w:cs="Times New Roman"/>
          <w:sz w:val="24"/>
          <w:szCs w:val="24"/>
        </w:rPr>
        <w:t xml:space="preserve"> claims that Hezbollah </w:t>
      </w:r>
      <w:r w:rsidR="00AF1FCE">
        <w:rPr>
          <w:rFonts w:ascii="Times New Roman" w:hAnsi="Times New Roman" w:cs="Times New Roman"/>
          <w:sz w:val="24"/>
          <w:szCs w:val="24"/>
        </w:rPr>
        <w:t>has gone through</w:t>
      </w:r>
      <w:r w:rsidR="004F0B63">
        <w:rPr>
          <w:rFonts w:ascii="Times New Roman" w:hAnsi="Times New Roman" w:cs="Times New Roman"/>
          <w:sz w:val="24"/>
          <w:szCs w:val="24"/>
        </w:rPr>
        <w:t xml:space="preserve"> three distinct stages, the first </w:t>
      </w:r>
      <w:r w:rsidR="004F0B63">
        <w:rPr>
          <w:rFonts w:ascii="Times New Roman" w:hAnsi="Times New Roman" w:cs="Times New Roman"/>
          <w:sz w:val="24"/>
          <w:szCs w:val="24"/>
        </w:rPr>
        <w:lastRenderedPageBreak/>
        <w:t xml:space="preserve">being from </w:t>
      </w:r>
      <w:r w:rsidR="00BD3D37">
        <w:rPr>
          <w:rFonts w:ascii="Times New Roman" w:hAnsi="Times New Roman" w:cs="Times New Roman"/>
          <w:sz w:val="24"/>
          <w:szCs w:val="24"/>
        </w:rPr>
        <w:t>formation</w:t>
      </w:r>
      <w:r w:rsidR="004F0B63">
        <w:rPr>
          <w:rFonts w:ascii="Times New Roman" w:hAnsi="Times New Roman" w:cs="Times New Roman"/>
          <w:sz w:val="24"/>
          <w:szCs w:val="24"/>
        </w:rPr>
        <w:t xml:space="preserve"> until 1985. During these early year</w:t>
      </w:r>
      <w:r>
        <w:rPr>
          <w:rFonts w:ascii="Times New Roman" w:hAnsi="Times New Roman" w:cs="Times New Roman"/>
          <w:sz w:val="24"/>
          <w:szCs w:val="24"/>
        </w:rPr>
        <w:t xml:space="preserve">s, </w:t>
      </w:r>
      <w:r w:rsidR="004F0B63">
        <w:rPr>
          <w:rFonts w:ascii="Times New Roman" w:hAnsi="Times New Roman" w:cs="Times New Roman"/>
          <w:sz w:val="24"/>
          <w:szCs w:val="24"/>
        </w:rPr>
        <w:t xml:space="preserve">“Hezbollah was, ideologically, completely dependent on </w:t>
      </w:r>
      <w:proofErr w:type="spellStart"/>
      <w:r w:rsidR="004F0B63">
        <w:rPr>
          <w:rFonts w:ascii="Times New Roman" w:hAnsi="Times New Roman" w:cs="Times New Roman"/>
          <w:sz w:val="24"/>
          <w:szCs w:val="24"/>
        </w:rPr>
        <w:t>Khymayni</w:t>
      </w:r>
      <w:proofErr w:type="spellEnd"/>
      <w:r w:rsidR="004F0B63">
        <w:rPr>
          <w:rFonts w:ascii="Times New Roman" w:hAnsi="Times New Roman" w:cs="Times New Roman"/>
          <w:sz w:val="24"/>
          <w:szCs w:val="24"/>
        </w:rPr>
        <w:t xml:space="preserve"> [Khomeini].”</w:t>
      </w:r>
      <w:r w:rsidR="004F0B63">
        <w:rPr>
          <w:rStyle w:val="FootnoteReference"/>
          <w:rFonts w:ascii="Times New Roman" w:hAnsi="Times New Roman" w:cs="Times New Roman"/>
          <w:sz w:val="24"/>
          <w:szCs w:val="24"/>
        </w:rPr>
        <w:footnoteReference w:id="85"/>
      </w:r>
      <w:r w:rsidR="004F0B63">
        <w:rPr>
          <w:rFonts w:ascii="Times New Roman" w:hAnsi="Times New Roman" w:cs="Times New Roman"/>
          <w:sz w:val="24"/>
          <w:szCs w:val="24"/>
        </w:rPr>
        <w:t xml:space="preserve"> </w:t>
      </w:r>
      <w:r>
        <w:rPr>
          <w:rFonts w:ascii="Times New Roman" w:hAnsi="Times New Roman" w:cs="Times New Roman"/>
          <w:sz w:val="24"/>
          <w:szCs w:val="24"/>
        </w:rPr>
        <w:t xml:space="preserve">This dependence decreased </w:t>
      </w:r>
      <w:r w:rsidR="00BD3D37">
        <w:rPr>
          <w:rFonts w:ascii="Times New Roman" w:hAnsi="Times New Roman" w:cs="Times New Roman"/>
          <w:sz w:val="24"/>
          <w:szCs w:val="24"/>
        </w:rPr>
        <w:t xml:space="preserve">slightly </w:t>
      </w:r>
      <w:r>
        <w:rPr>
          <w:rFonts w:ascii="Times New Roman" w:hAnsi="Times New Roman" w:cs="Times New Roman"/>
          <w:sz w:val="24"/>
          <w:szCs w:val="24"/>
        </w:rPr>
        <w:t>f</w:t>
      </w:r>
      <w:r w:rsidR="004F0B63">
        <w:rPr>
          <w:rFonts w:ascii="Times New Roman" w:hAnsi="Times New Roman" w:cs="Times New Roman"/>
          <w:sz w:val="24"/>
          <w:szCs w:val="24"/>
        </w:rPr>
        <w:t>rom 1985 to 1</w:t>
      </w:r>
      <w:r w:rsidR="00EF5C96">
        <w:rPr>
          <w:rFonts w:ascii="Times New Roman" w:hAnsi="Times New Roman" w:cs="Times New Roman"/>
          <w:sz w:val="24"/>
          <w:szCs w:val="24"/>
        </w:rPr>
        <w:t>991 (the second</w:t>
      </w:r>
      <w:r>
        <w:rPr>
          <w:rFonts w:ascii="Times New Roman" w:hAnsi="Times New Roman" w:cs="Times New Roman"/>
          <w:sz w:val="24"/>
          <w:szCs w:val="24"/>
        </w:rPr>
        <w:t xml:space="preserve"> stage). This time period witnessed </w:t>
      </w:r>
      <w:r w:rsidR="00EF5C96">
        <w:rPr>
          <w:rFonts w:ascii="Times New Roman" w:hAnsi="Times New Roman" w:cs="Times New Roman"/>
          <w:sz w:val="24"/>
          <w:szCs w:val="24"/>
        </w:rPr>
        <w:t xml:space="preserve">a shift </w:t>
      </w:r>
      <w:r>
        <w:rPr>
          <w:rFonts w:ascii="Times New Roman" w:hAnsi="Times New Roman" w:cs="Times New Roman"/>
          <w:sz w:val="24"/>
          <w:szCs w:val="24"/>
        </w:rPr>
        <w:t xml:space="preserve">in Hezbollah’s </w:t>
      </w:r>
      <w:r w:rsidR="00EF5C96">
        <w:rPr>
          <w:rFonts w:ascii="Times New Roman" w:hAnsi="Times New Roman" w:cs="Times New Roman"/>
          <w:sz w:val="24"/>
          <w:szCs w:val="24"/>
        </w:rPr>
        <w:t>behavior</w:t>
      </w:r>
      <w:r>
        <w:rPr>
          <w:rFonts w:ascii="Times New Roman" w:hAnsi="Times New Roman" w:cs="Times New Roman"/>
          <w:sz w:val="24"/>
          <w:szCs w:val="24"/>
        </w:rPr>
        <w:t>,</w:t>
      </w:r>
      <w:r w:rsidR="00EF5C96">
        <w:rPr>
          <w:rFonts w:ascii="Times New Roman" w:hAnsi="Times New Roman" w:cs="Times New Roman"/>
          <w:sz w:val="24"/>
          <w:szCs w:val="24"/>
        </w:rPr>
        <w:t xml:space="preserve"> as </w:t>
      </w:r>
      <w:r>
        <w:rPr>
          <w:rFonts w:ascii="Times New Roman" w:hAnsi="Times New Roman" w:cs="Times New Roman"/>
          <w:sz w:val="24"/>
          <w:szCs w:val="24"/>
        </w:rPr>
        <w:t>they</w:t>
      </w:r>
      <w:r w:rsidR="00EF5C96">
        <w:rPr>
          <w:rFonts w:ascii="Times New Roman" w:hAnsi="Times New Roman" w:cs="Times New Roman"/>
          <w:sz w:val="24"/>
          <w:szCs w:val="24"/>
        </w:rPr>
        <w:t xml:space="preserve"> “had some room to maneuver.”</w:t>
      </w:r>
      <w:r w:rsidR="00EF5C96">
        <w:rPr>
          <w:rStyle w:val="FootnoteReference"/>
          <w:rFonts w:ascii="Times New Roman" w:hAnsi="Times New Roman" w:cs="Times New Roman"/>
          <w:sz w:val="24"/>
          <w:szCs w:val="24"/>
        </w:rPr>
        <w:footnoteReference w:id="86"/>
      </w:r>
      <w:r>
        <w:rPr>
          <w:rFonts w:ascii="Times New Roman" w:hAnsi="Times New Roman" w:cs="Times New Roman"/>
          <w:sz w:val="24"/>
          <w:szCs w:val="24"/>
        </w:rPr>
        <w:t xml:space="preserve"> The</w:t>
      </w:r>
      <w:r w:rsidR="00EF5C96">
        <w:rPr>
          <w:rFonts w:ascii="Times New Roman" w:hAnsi="Times New Roman" w:cs="Times New Roman"/>
          <w:sz w:val="24"/>
          <w:szCs w:val="24"/>
        </w:rPr>
        <w:t xml:space="preserve"> third phase, after 1991, </w:t>
      </w:r>
      <w:r>
        <w:rPr>
          <w:rFonts w:ascii="Times New Roman" w:hAnsi="Times New Roman" w:cs="Times New Roman"/>
          <w:sz w:val="24"/>
          <w:szCs w:val="24"/>
        </w:rPr>
        <w:t xml:space="preserve">saw a further increase in </w:t>
      </w:r>
      <w:r w:rsidR="00BD3D37">
        <w:rPr>
          <w:rFonts w:ascii="Times New Roman" w:hAnsi="Times New Roman" w:cs="Times New Roman"/>
          <w:sz w:val="24"/>
          <w:szCs w:val="24"/>
        </w:rPr>
        <w:t>autonomy</w:t>
      </w:r>
      <w:r w:rsidR="00EF5C96">
        <w:rPr>
          <w:rFonts w:ascii="Times New Roman" w:hAnsi="Times New Roman" w:cs="Times New Roman"/>
          <w:sz w:val="24"/>
          <w:szCs w:val="24"/>
        </w:rPr>
        <w:t>.</w:t>
      </w:r>
      <w:r w:rsidR="00EF5C96">
        <w:rPr>
          <w:rStyle w:val="FootnoteReference"/>
          <w:rFonts w:ascii="Times New Roman" w:hAnsi="Times New Roman" w:cs="Times New Roman"/>
          <w:sz w:val="24"/>
          <w:szCs w:val="24"/>
        </w:rPr>
        <w:footnoteReference w:id="87"/>
      </w:r>
      <w:r>
        <w:rPr>
          <w:rFonts w:ascii="Times New Roman" w:hAnsi="Times New Roman" w:cs="Times New Roman"/>
          <w:sz w:val="24"/>
          <w:szCs w:val="24"/>
        </w:rPr>
        <w:t xml:space="preserve"> Thi</w:t>
      </w:r>
      <w:r w:rsidR="004553B0">
        <w:rPr>
          <w:rFonts w:ascii="Times New Roman" w:hAnsi="Times New Roman" w:cs="Times New Roman"/>
          <w:sz w:val="24"/>
          <w:szCs w:val="24"/>
        </w:rPr>
        <w:t xml:space="preserve">s was especially the case after </w:t>
      </w:r>
      <w:r w:rsidR="00853458">
        <w:rPr>
          <w:rFonts w:ascii="Times New Roman" w:hAnsi="Times New Roman" w:cs="Times New Roman"/>
          <w:sz w:val="24"/>
          <w:szCs w:val="24"/>
        </w:rPr>
        <w:t xml:space="preserve">Ayatollah Ali </w:t>
      </w:r>
      <w:r>
        <w:rPr>
          <w:rFonts w:ascii="Times New Roman" w:hAnsi="Times New Roman" w:cs="Times New Roman"/>
          <w:sz w:val="24"/>
          <w:szCs w:val="24"/>
        </w:rPr>
        <w:t>Khamenei appointed current Hezbollah Secretary General Hassan Nasrallah and another Hezbollah leader as “his religious deputies in Lebanon”</w:t>
      </w:r>
      <w:r w:rsidR="00BD3D37">
        <w:rPr>
          <w:rFonts w:ascii="Times New Roman" w:hAnsi="Times New Roman" w:cs="Times New Roman"/>
          <w:sz w:val="24"/>
          <w:szCs w:val="24"/>
        </w:rPr>
        <w:t xml:space="preserve"> in May 1995</w:t>
      </w:r>
      <w:r>
        <w:rPr>
          <w:rFonts w:ascii="Times New Roman" w:hAnsi="Times New Roman" w:cs="Times New Roman"/>
          <w:sz w:val="24"/>
          <w:szCs w:val="24"/>
        </w:rPr>
        <w:t xml:space="preserve">; this decision “granted </w:t>
      </w:r>
      <w:proofErr w:type="spellStart"/>
      <w:r>
        <w:rPr>
          <w:rFonts w:ascii="Times New Roman" w:hAnsi="Times New Roman" w:cs="Times New Roman"/>
          <w:sz w:val="24"/>
          <w:szCs w:val="24"/>
        </w:rPr>
        <w:t>Hizbullah</w:t>
      </w:r>
      <w:proofErr w:type="spellEnd"/>
      <w:r>
        <w:rPr>
          <w:rFonts w:ascii="Times New Roman" w:hAnsi="Times New Roman" w:cs="Times New Roman"/>
          <w:sz w:val="24"/>
          <w:szCs w:val="24"/>
        </w:rPr>
        <w:t xml:space="preserve"> special prerogatives and delegated responsibilities (</w:t>
      </w:r>
      <w:proofErr w:type="spellStart"/>
      <w:r w:rsidRPr="00926677">
        <w:rPr>
          <w:rFonts w:ascii="Times New Roman" w:hAnsi="Times New Roman" w:cs="Times New Roman"/>
          <w:i/>
          <w:iCs/>
          <w:sz w:val="24"/>
          <w:szCs w:val="24"/>
        </w:rPr>
        <w:t>taklif</w:t>
      </w:r>
      <w:proofErr w:type="spellEnd"/>
      <w:r w:rsidRPr="00926677">
        <w:rPr>
          <w:rFonts w:ascii="Times New Roman" w:hAnsi="Times New Roman" w:cs="Times New Roman"/>
          <w:i/>
          <w:iCs/>
          <w:sz w:val="24"/>
          <w:szCs w:val="24"/>
        </w:rPr>
        <w:t xml:space="preserve"> </w:t>
      </w:r>
      <w:proofErr w:type="spellStart"/>
      <w:r w:rsidRPr="00926677">
        <w:rPr>
          <w:rFonts w:ascii="Times New Roman" w:hAnsi="Times New Roman" w:cs="Times New Roman"/>
          <w:i/>
          <w:iCs/>
          <w:sz w:val="24"/>
          <w:szCs w:val="24"/>
        </w:rPr>
        <w:t>shar’i</w:t>
      </w:r>
      <w:proofErr w:type="spellEnd"/>
      <w:r>
        <w:rPr>
          <w:rFonts w:ascii="Times New Roman" w:hAnsi="Times New Roman" w:cs="Times New Roman"/>
          <w:sz w:val="24"/>
          <w:szCs w:val="24"/>
        </w:rPr>
        <w:t>) that reflect a great independence in practical performance.”</w:t>
      </w:r>
      <w:r>
        <w:rPr>
          <w:rStyle w:val="FootnoteReference"/>
          <w:rFonts w:ascii="Times New Roman" w:hAnsi="Times New Roman" w:cs="Times New Roman"/>
          <w:sz w:val="24"/>
          <w:szCs w:val="24"/>
        </w:rPr>
        <w:footnoteReference w:id="88"/>
      </w:r>
      <w:r>
        <w:rPr>
          <w:rFonts w:ascii="Times New Roman" w:hAnsi="Times New Roman" w:cs="Times New Roman"/>
          <w:sz w:val="24"/>
          <w:szCs w:val="24"/>
        </w:rPr>
        <w:t xml:space="preserve"> </w:t>
      </w:r>
      <w:r w:rsidR="007F1E21">
        <w:rPr>
          <w:rFonts w:ascii="Times New Roman" w:hAnsi="Times New Roman" w:cs="Times New Roman"/>
          <w:sz w:val="24"/>
          <w:szCs w:val="24"/>
        </w:rPr>
        <w:t>S</w:t>
      </w:r>
      <w:r w:rsidR="004553B0">
        <w:rPr>
          <w:rFonts w:ascii="Times New Roman" w:hAnsi="Times New Roman" w:cs="Times New Roman"/>
          <w:sz w:val="24"/>
          <w:szCs w:val="24"/>
        </w:rPr>
        <w:t xml:space="preserve">cholar </w:t>
      </w:r>
      <w:proofErr w:type="spellStart"/>
      <w:r w:rsidR="004553B0">
        <w:rPr>
          <w:rFonts w:ascii="Times New Roman" w:hAnsi="Times New Roman" w:cs="Times New Roman"/>
          <w:sz w:val="24"/>
          <w:szCs w:val="24"/>
        </w:rPr>
        <w:t>Adham</w:t>
      </w:r>
      <w:proofErr w:type="spellEnd"/>
      <w:r w:rsidR="004553B0">
        <w:rPr>
          <w:rFonts w:ascii="Times New Roman" w:hAnsi="Times New Roman" w:cs="Times New Roman"/>
          <w:sz w:val="24"/>
          <w:szCs w:val="24"/>
        </w:rPr>
        <w:t xml:space="preserve"> </w:t>
      </w:r>
      <w:proofErr w:type="spellStart"/>
      <w:r w:rsidR="004553B0">
        <w:rPr>
          <w:rFonts w:ascii="Times New Roman" w:hAnsi="Times New Roman" w:cs="Times New Roman"/>
          <w:sz w:val="24"/>
          <w:szCs w:val="24"/>
        </w:rPr>
        <w:t>Saouli</w:t>
      </w:r>
      <w:proofErr w:type="spellEnd"/>
      <w:r w:rsidR="004553B0">
        <w:rPr>
          <w:rFonts w:ascii="Times New Roman" w:hAnsi="Times New Roman" w:cs="Times New Roman"/>
          <w:sz w:val="24"/>
          <w:szCs w:val="24"/>
        </w:rPr>
        <w:t xml:space="preserve"> states that </w:t>
      </w:r>
      <w:r w:rsidR="007F1E21">
        <w:rPr>
          <w:rFonts w:ascii="Times New Roman" w:hAnsi="Times New Roman" w:cs="Times New Roman"/>
          <w:sz w:val="24"/>
          <w:szCs w:val="24"/>
        </w:rPr>
        <w:t>the religious deputy roles</w:t>
      </w:r>
      <w:r w:rsidR="004553B0">
        <w:rPr>
          <w:rFonts w:ascii="Times New Roman" w:hAnsi="Times New Roman" w:cs="Times New Roman"/>
          <w:sz w:val="24"/>
          <w:szCs w:val="24"/>
        </w:rPr>
        <w:t xml:space="preserve"> facilitated “an important channel to receive </w:t>
      </w:r>
      <w:proofErr w:type="spellStart"/>
      <w:r w:rsidR="004553B0">
        <w:rPr>
          <w:rFonts w:ascii="Times New Roman" w:hAnsi="Times New Roman" w:cs="Times New Roman"/>
          <w:sz w:val="24"/>
          <w:szCs w:val="24"/>
        </w:rPr>
        <w:t>religio</w:t>
      </w:r>
      <w:proofErr w:type="spellEnd"/>
      <w:r w:rsidR="004553B0">
        <w:rPr>
          <w:rFonts w:ascii="Times New Roman" w:hAnsi="Times New Roman" w:cs="Times New Roman"/>
          <w:sz w:val="24"/>
          <w:szCs w:val="24"/>
        </w:rPr>
        <w:t xml:space="preserve">-political </w:t>
      </w:r>
      <w:proofErr w:type="spellStart"/>
      <w:r w:rsidR="004553B0">
        <w:rPr>
          <w:rFonts w:ascii="Times New Roman" w:hAnsi="Times New Roman" w:cs="Times New Roman"/>
          <w:i/>
          <w:iCs/>
          <w:sz w:val="24"/>
          <w:szCs w:val="24"/>
        </w:rPr>
        <w:t>taklif</w:t>
      </w:r>
      <w:proofErr w:type="spellEnd"/>
      <w:r w:rsidR="004553B0">
        <w:rPr>
          <w:rFonts w:ascii="Times New Roman" w:hAnsi="Times New Roman" w:cs="Times New Roman"/>
          <w:sz w:val="24"/>
          <w:szCs w:val="24"/>
        </w:rPr>
        <w:t xml:space="preserve"> and to send back input and feedback associated with Lebanese and regional politics and Hezbollah’s role therein. In that sense Hezbollah as a whole plays an important role in advising the </w:t>
      </w:r>
      <w:r w:rsidR="004553B0">
        <w:rPr>
          <w:rFonts w:ascii="Times New Roman" w:hAnsi="Times New Roman" w:cs="Times New Roman"/>
          <w:i/>
          <w:iCs/>
          <w:sz w:val="24"/>
          <w:szCs w:val="24"/>
        </w:rPr>
        <w:t>faqih</w:t>
      </w:r>
      <w:r w:rsidR="004553B0">
        <w:rPr>
          <w:rFonts w:ascii="Times New Roman" w:hAnsi="Times New Roman" w:cs="Times New Roman"/>
          <w:sz w:val="24"/>
          <w:szCs w:val="24"/>
        </w:rPr>
        <w:t>.”</w:t>
      </w:r>
      <w:r w:rsidR="004553B0">
        <w:rPr>
          <w:rStyle w:val="FootnoteReference"/>
          <w:rFonts w:ascii="Times New Roman" w:hAnsi="Times New Roman" w:cs="Times New Roman"/>
          <w:sz w:val="24"/>
          <w:szCs w:val="24"/>
        </w:rPr>
        <w:footnoteReference w:id="89"/>
      </w:r>
      <w:r w:rsidR="004553B0">
        <w:rPr>
          <w:rFonts w:ascii="Times New Roman" w:hAnsi="Times New Roman" w:cs="Times New Roman"/>
          <w:sz w:val="24"/>
          <w:szCs w:val="24"/>
        </w:rPr>
        <w:t xml:space="preserve"> </w:t>
      </w:r>
      <w:r w:rsidRPr="005D4C29">
        <w:rPr>
          <w:rFonts w:ascii="Times New Roman" w:hAnsi="Times New Roman" w:cs="Times New Roman"/>
          <w:sz w:val="24"/>
          <w:szCs w:val="24"/>
        </w:rPr>
        <w:t>El Husseini</w:t>
      </w:r>
      <w:r>
        <w:rPr>
          <w:rFonts w:ascii="Times New Roman" w:hAnsi="Times New Roman" w:cs="Times New Roman"/>
          <w:sz w:val="24"/>
          <w:szCs w:val="24"/>
        </w:rPr>
        <w:t xml:space="preserve"> makes a similar claim</w:t>
      </w:r>
      <w:r w:rsidR="00447DF8">
        <w:rPr>
          <w:rFonts w:ascii="Times New Roman" w:hAnsi="Times New Roman" w:cs="Times New Roman"/>
          <w:sz w:val="24"/>
          <w:szCs w:val="24"/>
        </w:rPr>
        <w:t xml:space="preserve"> to </w:t>
      </w:r>
      <w:proofErr w:type="spellStart"/>
      <w:r w:rsidR="00447DF8">
        <w:rPr>
          <w:rFonts w:ascii="Times New Roman" w:hAnsi="Times New Roman" w:cs="Times New Roman"/>
          <w:sz w:val="24"/>
          <w:szCs w:val="24"/>
        </w:rPr>
        <w:t>Alagha</w:t>
      </w:r>
      <w:proofErr w:type="spellEnd"/>
      <w:r>
        <w:rPr>
          <w:rFonts w:ascii="Times New Roman" w:hAnsi="Times New Roman" w:cs="Times New Roman"/>
          <w:sz w:val="24"/>
          <w:szCs w:val="24"/>
        </w:rPr>
        <w:t>; Hezbollah’s “</w:t>
      </w:r>
      <w:r w:rsidRPr="005D4C29">
        <w:rPr>
          <w:rFonts w:ascii="Times New Roman" w:hAnsi="Times New Roman" w:cs="Times New Roman"/>
          <w:sz w:val="24"/>
          <w:szCs w:val="24"/>
        </w:rPr>
        <w:t>local autonomy</w:t>
      </w:r>
      <w:r>
        <w:rPr>
          <w:rFonts w:ascii="Times New Roman" w:hAnsi="Times New Roman" w:cs="Times New Roman"/>
          <w:sz w:val="24"/>
          <w:szCs w:val="24"/>
        </w:rPr>
        <w:t xml:space="preserve"> </w:t>
      </w:r>
      <w:r w:rsidRPr="005D4C29">
        <w:rPr>
          <w:rFonts w:ascii="Times New Roman" w:hAnsi="Times New Roman" w:cs="Times New Roman"/>
          <w:sz w:val="24"/>
          <w:szCs w:val="24"/>
        </w:rPr>
        <w:t>seems to have increased alongside Hezbolla</w:t>
      </w:r>
      <w:r>
        <w:rPr>
          <w:rFonts w:ascii="Times New Roman" w:hAnsi="Times New Roman" w:cs="Times New Roman"/>
          <w:sz w:val="24"/>
          <w:szCs w:val="24"/>
        </w:rPr>
        <w:t>h’s periods of ‘</w:t>
      </w:r>
      <w:proofErr w:type="spellStart"/>
      <w:r>
        <w:rPr>
          <w:rFonts w:ascii="Times New Roman" w:hAnsi="Times New Roman" w:cs="Times New Roman"/>
          <w:sz w:val="24"/>
          <w:szCs w:val="24"/>
        </w:rPr>
        <w:t>Lebanonisation</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90"/>
      </w:r>
      <w:r>
        <w:rPr>
          <w:rFonts w:ascii="Times New Roman" w:hAnsi="Times New Roman" w:cs="Times New Roman"/>
          <w:sz w:val="24"/>
          <w:szCs w:val="24"/>
        </w:rPr>
        <w:t xml:space="preserve"> This period usually refers to the 1990s.</w:t>
      </w:r>
      <w:r>
        <w:rPr>
          <w:rStyle w:val="FootnoteReference"/>
          <w:rFonts w:ascii="Times New Roman" w:hAnsi="Times New Roman" w:cs="Times New Roman"/>
          <w:sz w:val="24"/>
          <w:szCs w:val="24"/>
        </w:rPr>
        <w:footnoteReference w:id="91"/>
      </w:r>
      <w:r>
        <w:rPr>
          <w:rFonts w:ascii="Times New Roman" w:hAnsi="Times New Roman" w:cs="Times New Roman"/>
          <w:sz w:val="24"/>
          <w:szCs w:val="24"/>
        </w:rPr>
        <w:t xml:space="preserve"> </w:t>
      </w:r>
    </w:p>
    <w:p w14:paraId="7C12C43F" w14:textId="77777777" w:rsidR="00447DF8" w:rsidRDefault="00926677" w:rsidP="007F1E21">
      <w:pPr>
        <w:spacing w:line="480" w:lineRule="auto"/>
        <w:rPr>
          <w:rFonts w:ascii="Times New Roman" w:hAnsi="Times New Roman" w:cs="Times New Roman"/>
          <w:sz w:val="24"/>
          <w:szCs w:val="24"/>
        </w:rPr>
      </w:pPr>
      <w:r>
        <w:rPr>
          <w:rFonts w:ascii="Times New Roman" w:hAnsi="Times New Roman" w:cs="Times New Roman"/>
          <w:sz w:val="24"/>
          <w:szCs w:val="24"/>
        </w:rPr>
        <w:tab/>
      </w:r>
      <w:r w:rsidR="00EF5C96">
        <w:rPr>
          <w:rFonts w:ascii="Times New Roman" w:hAnsi="Times New Roman" w:cs="Times New Roman"/>
          <w:sz w:val="24"/>
          <w:szCs w:val="24"/>
        </w:rPr>
        <w:t>M</w:t>
      </w:r>
      <w:r w:rsidR="00853458">
        <w:rPr>
          <w:rFonts w:ascii="Times New Roman" w:hAnsi="Times New Roman" w:cs="Times New Roman"/>
          <w:sz w:val="24"/>
          <w:szCs w:val="24"/>
        </w:rPr>
        <w:t>any decisions Hezbollah made in the 1990s and beyond cannot</w:t>
      </w:r>
      <w:r w:rsidR="00811F8F">
        <w:rPr>
          <w:rFonts w:ascii="Times New Roman" w:hAnsi="Times New Roman" w:cs="Times New Roman"/>
          <w:sz w:val="24"/>
          <w:szCs w:val="24"/>
        </w:rPr>
        <w:t xml:space="preserve"> be charact</w:t>
      </w:r>
      <w:r w:rsidR="005D4C29">
        <w:rPr>
          <w:rFonts w:ascii="Times New Roman" w:hAnsi="Times New Roman" w:cs="Times New Roman"/>
          <w:sz w:val="24"/>
          <w:szCs w:val="24"/>
        </w:rPr>
        <w:t>er</w:t>
      </w:r>
      <w:r>
        <w:rPr>
          <w:rFonts w:ascii="Times New Roman" w:hAnsi="Times New Roman" w:cs="Times New Roman"/>
          <w:sz w:val="24"/>
          <w:szCs w:val="24"/>
        </w:rPr>
        <w:t>ized as being dictated by Iran.</w:t>
      </w:r>
      <w:r w:rsidR="00080F15">
        <w:rPr>
          <w:rFonts w:ascii="Times New Roman" w:hAnsi="Times New Roman" w:cs="Times New Roman"/>
          <w:sz w:val="24"/>
          <w:szCs w:val="24"/>
        </w:rPr>
        <w:t xml:space="preserve"> For </w:t>
      </w:r>
      <w:r w:rsidR="00447DF8">
        <w:rPr>
          <w:rFonts w:ascii="Times New Roman" w:hAnsi="Times New Roman" w:cs="Times New Roman"/>
          <w:sz w:val="24"/>
          <w:szCs w:val="24"/>
        </w:rPr>
        <w:t>Hezbollah’s</w:t>
      </w:r>
      <w:r w:rsidR="00080F15">
        <w:rPr>
          <w:rFonts w:ascii="Times New Roman" w:hAnsi="Times New Roman" w:cs="Times New Roman"/>
          <w:sz w:val="24"/>
          <w:szCs w:val="24"/>
        </w:rPr>
        <w:t xml:space="preserve"> later stages</w:t>
      </w:r>
      <w:r w:rsidR="00447DF8">
        <w:rPr>
          <w:rFonts w:ascii="Times New Roman" w:hAnsi="Times New Roman" w:cs="Times New Roman"/>
          <w:sz w:val="24"/>
          <w:szCs w:val="24"/>
        </w:rPr>
        <w:t>, a more clarifying</w:t>
      </w:r>
      <w:r w:rsidR="00080F15">
        <w:rPr>
          <w:rFonts w:ascii="Times New Roman" w:hAnsi="Times New Roman" w:cs="Times New Roman"/>
          <w:sz w:val="24"/>
          <w:szCs w:val="24"/>
        </w:rPr>
        <w:t xml:space="preserve"> conceptual framework </w:t>
      </w:r>
      <w:r w:rsidR="00447DF8">
        <w:rPr>
          <w:rFonts w:ascii="Times New Roman" w:hAnsi="Times New Roman" w:cs="Times New Roman"/>
          <w:sz w:val="24"/>
          <w:szCs w:val="24"/>
        </w:rPr>
        <w:t>is</w:t>
      </w:r>
      <w:r w:rsidR="00080F15">
        <w:rPr>
          <w:rFonts w:ascii="Times New Roman" w:hAnsi="Times New Roman" w:cs="Times New Roman"/>
          <w:sz w:val="24"/>
          <w:szCs w:val="24"/>
        </w:rPr>
        <w:t xml:space="preserve"> alliance politics. </w:t>
      </w:r>
      <w:r w:rsidR="00FE0733">
        <w:rPr>
          <w:rFonts w:ascii="Times New Roman" w:hAnsi="Times New Roman" w:cs="Times New Roman"/>
          <w:sz w:val="24"/>
          <w:szCs w:val="24"/>
        </w:rPr>
        <w:t>T</w:t>
      </w:r>
      <w:r w:rsidR="00080F15">
        <w:rPr>
          <w:rFonts w:ascii="Times New Roman" w:hAnsi="Times New Roman" w:cs="Times New Roman"/>
          <w:sz w:val="24"/>
          <w:szCs w:val="24"/>
        </w:rPr>
        <w:t>his</w:t>
      </w:r>
      <w:r w:rsidR="00FE0733">
        <w:rPr>
          <w:rFonts w:ascii="Times New Roman" w:hAnsi="Times New Roman" w:cs="Times New Roman"/>
          <w:sz w:val="24"/>
          <w:szCs w:val="24"/>
        </w:rPr>
        <w:t xml:space="preserve"> </w:t>
      </w:r>
      <w:r w:rsidR="00080F15">
        <w:rPr>
          <w:rFonts w:ascii="Times New Roman" w:hAnsi="Times New Roman" w:cs="Times New Roman"/>
          <w:sz w:val="24"/>
          <w:szCs w:val="24"/>
        </w:rPr>
        <w:t>is</w:t>
      </w:r>
      <w:r w:rsidR="00FE0733">
        <w:rPr>
          <w:rFonts w:ascii="Times New Roman" w:hAnsi="Times New Roman" w:cs="Times New Roman"/>
          <w:sz w:val="24"/>
          <w:szCs w:val="24"/>
        </w:rPr>
        <w:t xml:space="preserve"> in line with</w:t>
      </w:r>
      <w:r w:rsidR="00080F15">
        <w:rPr>
          <w:rFonts w:ascii="Times New Roman" w:hAnsi="Times New Roman" w:cs="Times New Roman"/>
          <w:sz w:val="24"/>
          <w:szCs w:val="24"/>
        </w:rPr>
        <w:t xml:space="preserve"> how Hezbollah leaders have characterized their </w:t>
      </w:r>
      <w:r w:rsidR="00447DF8">
        <w:rPr>
          <w:rFonts w:ascii="Times New Roman" w:hAnsi="Times New Roman" w:cs="Times New Roman"/>
          <w:sz w:val="24"/>
          <w:szCs w:val="24"/>
        </w:rPr>
        <w:t xml:space="preserve">own </w:t>
      </w:r>
      <w:r w:rsidR="00080F15">
        <w:rPr>
          <w:rFonts w:ascii="Times New Roman" w:hAnsi="Times New Roman" w:cs="Times New Roman"/>
          <w:sz w:val="24"/>
          <w:szCs w:val="24"/>
        </w:rPr>
        <w:t xml:space="preserve">relations with Iran. In the words of </w:t>
      </w:r>
      <w:r w:rsidR="007F1E21">
        <w:rPr>
          <w:rFonts w:ascii="Times New Roman" w:hAnsi="Times New Roman" w:cs="Times New Roman"/>
          <w:sz w:val="24"/>
          <w:szCs w:val="24"/>
        </w:rPr>
        <w:t xml:space="preserve">Hezbollah Deputy Secretary </w:t>
      </w:r>
      <w:r w:rsidR="00C96F8A">
        <w:rPr>
          <w:rFonts w:ascii="Times New Roman" w:hAnsi="Times New Roman" w:cs="Times New Roman"/>
          <w:sz w:val="24"/>
          <w:szCs w:val="24"/>
        </w:rPr>
        <w:t xml:space="preserve">General </w:t>
      </w:r>
      <w:proofErr w:type="spellStart"/>
      <w:r w:rsidR="00C96F8A">
        <w:rPr>
          <w:rFonts w:ascii="Times New Roman" w:hAnsi="Times New Roman" w:cs="Times New Roman"/>
          <w:sz w:val="24"/>
          <w:szCs w:val="24"/>
        </w:rPr>
        <w:t>Naʻim</w:t>
      </w:r>
      <w:proofErr w:type="spellEnd"/>
      <w:r w:rsidR="00C96F8A">
        <w:rPr>
          <w:rFonts w:ascii="Times New Roman" w:hAnsi="Times New Roman" w:cs="Times New Roman"/>
          <w:sz w:val="24"/>
          <w:szCs w:val="24"/>
        </w:rPr>
        <w:t xml:space="preserve"> </w:t>
      </w:r>
      <w:proofErr w:type="spellStart"/>
      <w:r w:rsidR="00080F15">
        <w:rPr>
          <w:rFonts w:ascii="Times New Roman" w:hAnsi="Times New Roman" w:cs="Times New Roman"/>
          <w:sz w:val="24"/>
          <w:szCs w:val="24"/>
        </w:rPr>
        <w:t>Qāsim</w:t>
      </w:r>
      <w:proofErr w:type="spellEnd"/>
      <w:r w:rsidR="00080F15">
        <w:rPr>
          <w:rFonts w:ascii="Times New Roman" w:hAnsi="Times New Roman" w:cs="Times New Roman"/>
          <w:sz w:val="24"/>
          <w:szCs w:val="24"/>
        </w:rPr>
        <w:t xml:space="preserve">: “it is a </w:t>
      </w:r>
      <w:r w:rsidR="00080F15">
        <w:rPr>
          <w:rFonts w:ascii="Times New Roman" w:hAnsi="Times New Roman" w:cs="Times New Roman"/>
          <w:sz w:val="24"/>
          <w:szCs w:val="24"/>
        </w:rPr>
        <w:lastRenderedPageBreak/>
        <w:t>genuine collaboration on common convictions and on the requirements of the relationship.”</w:t>
      </w:r>
      <w:r w:rsidR="00080F15">
        <w:rPr>
          <w:rStyle w:val="FootnoteReference"/>
          <w:rFonts w:ascii="Times New Roman" w:hAnsi="Times New Roman" w:cs="Times New Roman"/>
          <w:sz w:val="24"/>
          <w:szCs w:val="24"/>
        </w:rPr>
        <w:footnoteReference w:id="92"/>
      </w:r>
      <w:r>
        <w:rPr>
          <w:rFonts w:ascii="Times New Roman" w:hAnsi="Times New Roman" w:cs="Times New Roman"/>
          <w:sz w:val="24"/>
          <w:szCs w:val="24"/>
        </w:rPr>
        <w:t xml:space="preserve"> </w:t>
      </w:r>
      <w:r w:rsidR="00447DF8">
        <w:rPr>
          <w:rFonts w:ascii="Times New Roman" w:hAnsi="Times New Roman" w:cs="Times New Roman"/>
          <w:sz w:val="24"/>
          <w:szCs w:val="24"/>
        </w:rPr>
        <w:t>Other scholars have also referred to Iran and Hezbollah as allies, instead of as a p</w:t>
      </w:r>
      <w:r w:rsidR="007F1E21">
        <w:rPr>
          <w:rFonts w:ascii="Times New Roman" w:hAnsi="Times New Roman" w:cs="Times New Roman"/>
          <w:sz w:val="24"/>
          <w:szCs w:val="24"/>
        </w:rPr>
        <w:t>rincipal and an agent</w:t>
      </w:r>
      <w:r w:rsidR="00447DF8">
        <w:rPr>
          <w:rFonts w:ascii="Times New Roman" w:hAnsi="Times New Roman" w:cs="Times New Roman"/>
          <w:sz w:val="24"/>
          <w:szCs w:val="24"/>
        </w:rPr>
        <w:t xml:space="preserve">. </w:t>
      </w:r>
      <w:proofErr w:type="spellStart"/>
      <w:r w:rsidR="00447DF8">
        <w:rPr>
          <w:rFonts w:ascii="Times New Roman" w:hAnsi="Times New Roman" w:cs="Times New Roman"/>
          <w:sz w:val="24"/>
          <w:szCs w:val="24"/>
        </w:rPr>
        <w:t>Saouli</w:t>
      </w:r>
      <w:proofErr w:type="spellEnd"/>
      <w:r w:rsidR="00447DF8">
        <w:rPr>
          <w:rFonts w:ascii="Times New Roman" w:hAnsi="Times New Roman" w:cs="Times New Roman"/>
          <w:sz w:val="24"/>
          <w:szCs w:val="24"/>
        </w:rPr>
        <w:t xml:space="preserve"> explains that “the relationship between Iran and Hezbollah has with time developed into one of interdependence.”</w:t>
      </w:r>
      <w:r w:rsidR="00447DF8">
        <w:rPr>
          <w:rStyle w:val="FootnoteReference"/>
          <w:rFonts w:ascii="Times New Roman" w:hAnsi="Times New Roman" w:cs="Times New Roman"/>
          <w:sz w:val="24"/>
          <w:szCs w:val="24"/>
        </w:rPr>
        <w:footnoteReference w:id="93"/>
      </w:r>
      <w:r w:rsidR="00447DF8">
        <w:rPr>
          <w:rFonts w:ascii="Times New Roman" w:hAnsi="Times New Roman" w:cs="Times New Roman"/>
          <w:sz w:val="24"/>
          <w:szCs w:val="24"/>
        </w:rPr>
        <w:t xml:space="preserve"> He claims that each actor offers the other something </w:t>
      </w:r>
      <w:r w:rsidR="00C96F8A">
        <w:rPr>
          <w:rFonts w:ascii="Times New Roman" w:hAnsi="Times New Roman" w:cs="Times New Roman"/>
          <w:sz w:val="24"/>
          <w:szCs w:val="24"/>
        </w:rPr>
        <w:t>it needs</w:t>
      </w:r>
      <w:r w:rsidR="00447DF8">
        <w:rPr>
          <w:rFonts w:ascii="Times New Roman" w:hAnsi="Times New Roman" w:cs="Times New Roman"/>
          <w:sz w:val="24"/>
          <w:szCs w:val="24"/>
        </w:rPr>
        <w:t>: Iran offers Hezbollah “[f]</w:t>
      </w:r>
      <w:proofErr w:type="spellStart"/>
      <w:r w:rsidR="00447DF8">
        <w:rPr>
          <w:rFonts w:ascii="Times New Roman" w:hAnsi="Times New Roman" w:cs="Times New Roman"/>
          <w:sz w:val="24"/>
          <w:szCs w:val="24"/>
        </w:rPr>
        <w:t>inancial</w:t>
      </w:r>
      <w:proofErr w:type="spellEnd"/>
      <w:r w:rsidR="00447DF8">
        <w:rPr>
          <w:rFonts w:ascii="Times New Roman" w:hAnsi="Times New Roman" w:cs="Times New Roman"/>
          <w:sz w:val="24"/>
          <w:szCs w:val="24"/>
        </w:rPr>
        <w:t xml:space="preserve"> and military assistance, sanctuary and political backing,” while “Hezbollah offers Iran a strategic presence in the Levant.”</w:t>
      </w:r>
      <w:r w:rsidR="00447DF8">
        <w:rPr>
          <w:rStyle w:val="FootnoteReference"/>
          <w:rFonts w:ascii="Times New Roman" w:hAnsi="Times New Roman" w:cs="Times New Roman"/>
          <w:sz w:val="24"/>
          <w:szCs w:val="24"/>
        </w:rPr>
        <w:footnoteReference w:id="94"/>
      </w:r>
      <w:r w:rsidR="00447DF8">
        <w:rPr>
          <w:rFonts w:ascii="Times New Roman" w:hAnsi="Times New Roman" w:cs="Times New Roman"/>
          <w:sz w:val="24"/>
          <w:szCs w:val="24"/>
        </w:rPr>
        <w:t xml:space="preserve"> As mentioned </w:t>
      </w:r>
      <w:r w:rsidR="00C96F8A">
        <w:rPr>
          <w:rFonts w:ascii="Times New Roman" w:hAnsi="Times New Roman" w:cs="Times New Roman"/>
          <w:sz w:val="24"/>
          <w:szCs w:val="24"/>
        </w:rPr>
        <w:t>earlier</w:t>
      </w:r>
      <w:r w:rsidR="00447DF8">
        <w:rPr>
          <w:rFonts w:ascii="Times New Roman" w:hAnsi="Times New Roman" w:cs="Times New Roman"/>
          <w:sz w:val="24"/>
          <w:szCs w:val="24"/>
        </w:rPr>
        <w:t>, Snyder</w:t>
      </w:r>
      <w:r w:rsidR="00D25403">
        <w:rPr>
          <w:rFonts w:ascii="Times New Roman" w:hAnsi="Times New Roman" w:cs="Times New Roman"/>
          <w:sz w:val="24"/>
          <w:szCs w:val="24"/>
        </w:rPr>
        <w:t xml:space="preserve"> theorizes that </w:t>
      </w:r>
      <w:r w:rsidR="00447DF8">
        <w:rPr>
          <w:rFonts w:ascii="Times New Roman" w:hAnsi="Times New Roman" w:cs="Times New Roman"/>
          <w:sz w:val="24"/>
          <w:szCs w:val="24"/>
        </w:rPr>
        <w:t xml:space="preserve">bargaining over alliance </w:t>
      </w:r>
      <w:r w:rsidR="00447DF8" w:rsidRPr="00C96F8A">
        <w:rPr>
          <w:rFonts w:ascii="Times New Roman" w:hAnsi="Times New Roman" w:cs="Times New Roman"/>
          <w:sz w:val="24"/>
          <w:szCs w:val="24"/>
        </w:rPr>
        <w:t xml:space="preserve">formation </w:t>
      </w:r>
      <w:r w:rsidR="00D25403">
        <w:rPr>
          <w:rFonts w:ascii="Times New Roman" w:hAnsi="Times New Roman" w:cs="Times New Roman"/>
          <w:sz w:val="24"/>
          <w:szCs w:val="24"/>
        </w:rPr>
        <w:t>depends</w:t>
      </w:r>
      <w:r w:rsidR="00447DF8">
        <w:rPr>
          <w:rFonts w:ascii="Times New Roman" w:hAnsi="Times New Roman" w:cs="Times New Roman"/>
          <w:sz w:val="24"/>
          <w:szCs w:val="24"/>
        </w:rPr>
        <w:t xml:space="preserve"> on the inherent valuation of the prospective alliance, and the availability and attractiveness of other alliance alternatives.</w:t>
      </w:r>
      <w:r w:rsidR="00447DF8">
        <w:rPr>
          <w:rStyle w:val="FootnoteReference"/>
          <w:rFonts w:ascii="Times New Roman" w:hAnsi="Times New Roman" w:cs="Times New Roman"/>
          <w:sz w:val="24"/>
          <w:szCs w:val="24"/>
        </w:rPr>
        <w:footnoteReference w:id="95"/>
      </w:r>
      <w:r w:rsidR="00D25403">
        <w:rPr>
          <w:rFonts w:ascii="Times New Roman" w:hAnsi="Times New Roman" w:cs="Times New Roman"/>
          <w:sz w:val="24"/>
          <w:szCs w:val="24"/>
        </w:rPr>
        <w:t xml:space="preserve"> In the case of Hezbollah and Iran, both highly valued the prospective alliance and both did not have other available and attractive alternatives.</w:t>
      </w:r>
      <w:r w:rsidR="00D25403">
        <w:rPr>
          <w:rStyle w:val="FootnoteReference"/>
          <w:rFonts w:ascii="Times New Roman" w:hAnsi="Times New Roman" w:cs="Times New Roman"/>
          <w:sz w:val="24"/>
          <w:szCs w:val="24"/>
        </w:rPr>
        <w:footnoteReference w:id="96"/>
      </w:r>
      <w:r w:rsidR="00C96F8A">
        <w:rPr>
          <w:rFonts w:ascii="Times New Roman" w:hAnsi="Times New Roman" w:cs="Times New Roman"/>
          <w:sz w:val="24"/>
          <w:szCs w:val="24"/>
        </w:rPr>
        <w:t xml:space="preserve"> In regards to alternative allies</w:t>
      </w:r>
      <w:r w:rsidR="0096139B">
        <w:rPr>
          <w:rFonts w:ascii="Times New Roman" w:hAnsi="Times New Roman" w:cs="Times New Roman"/>
          <w:sz w:val="24"/>
          <w:szCs w:val="24"/>
        </w:rPr>
        <w:t xml:space="preserve"> for Iran, before</w:t>
      </w:r>
      <w:r w:rsidR="007F1E21">
        <w:rPr>
          <w:rFonts w:ascii="Times New Roman" w:hAnsi="Times New Roman" w:cs="Times New Roman"/>
          <w:sz w:val="24"/>
          <w:szCs w:val="24"/>
        </w:rPr>
        <w:t xml:space="preserve"> facilitating Hezbollah’s creation</w:t>
      </w:r>
      <w:r w:rsidR="0096139B">
        <w:rPr>
          <w:rFonts w:ascii="Times New Roman" w:hAnsi="Times New Roman" w:cs="Times New Roman"/>
          <w:sz w:val="24"/>
          <w:szCs w:val="24"/>
        </w:rPr>
        <w:t xml:space="preserve">, the state tried to infiltrate “existing Shi’ite </w:t>
      </w:r>
      <w:proofErr w:type="spellStart"/>
      <w:r w:rsidR="0096139B">
        <w:rPr>
          <w:rFonts w:ascii="Times New Roman" w:hAnsi="Times New Roman" w:cs="Times New Roman"/>
          <w:sz w:val="24"/>
          <w:szCs w:val="24"/>
        </w:rPr>
        <w:t>organisations</w:t>
      </w:r>
      <w:proofErr w:type="spellEnd"/>
      <w:r w:rsidR="0096139B">
        <w:rPr>
          <w:rFonts w:ascii="Times New Roman" w:hAnsi="Times New Roman" w:cs="Times New Roman"/>
          <w:sz w:val="24"/>
          <w:szCs w:val="24"/>
        </w:rPr>
        <w:t xml:space="preserve"> such as Amal. When these efforts bore little fruition, Iran seized the opportunity” to prop up Hezbollah.</w:t>
      </w:r>
      <w:r w:rsidR="0096139B">
        <w:rPr>
          <w:rStyle w:val="FootnoteReference"/>
          <w:rFonts w:ascii="Times New Roman" w:hAnsi="Times New Roman" w:cs="Times New Roman"/>
          <w:sz w:val="24"/>
          <w:szCs w:val="24"/>
        </w:rPr>
        <w:footnoteReference w:id="97"/>
      </w:r>
      <w:r w:rsidR="0096139B">
        <w:rPr>
          <w:rFonts w:ascii="Times New Roman" w:hAnsi="Times New Roman" w:cs="Times New Roman"/>
          <w:sz w:val="24"/>
          <w:szCs w:val="24"/>
        </w:rPr>
        <w:t xml:space="preserve"> </w:t>
      </w:r>
      <w:r w:rsidR="00D25403">
        <w:rPr>
          <w:rFonts w:ascii="Times New Roman" w:hAnsi="Times New Roman" w:cs="Times New Roman"/>
          <w:sz w:val="24"/>
          <w:szCs w:val="24"/>
        </w:rPr>
        <w:t>Th</w:t>
      </w:r>
      <w:r w:rsidR="00C96F8A">
        <w:rPr>
          <w:rFonts w:ascii="Times New Roman" w:hAnsi="Times New Roman" w:cs="Times New Roman"/>
          <w:sz w:val="24"/>
          <w:szCs w:val="24"/>
        </w:rPr>
        <w:t xml:space="preserve">ese circumstances </w:t>
      </w:r>
      <w:r w:rsidR="00D25403">
        <w:rPr>
          <w:rFonts w:ascii="Times New Roman" w:hAnsi="Times New Roman" w:cs="Times New Roman"/>
          <w:sz w:val="24"/>
          <w:szCs w:val="24"/>
        </w:rPr>
        <w:t xml:space="preserve">allowed the development </w:t>
      </w:r>
      <w:r w:rsidR="00FE0733">
        <w:rPr>
          <w:rFonts w:ascii="Times New Roman" w:hAnsi="Times New Roman" w:cs="Times New Roman"/>
          <w:sz w:val="24"/>
          <w:szCs w:val="24"/>
        </w:rPr>
        <w:t>of their</w:t>
      </w:r>
      <w:r w:rsidR="00D25403">
        <w:rPr>
          <w:rFonts w:ascii="Times New Roman" w:hAnsi="Times New Roman" w:cs="Times New Roman"/>
          <w:sz w:val="24"/>
          <w:szCs w:val="24"/>
        </w:rPr>
        <w:t xml:space="preserve"> alliance</w:t>
      </w:r>
      <w:r w:rsidR="00FE0733">
        <w:rPr>
          <w:rFonts w:ascii="Times New Roman" w:hAnsi="Times New Roman" w:cs="Times New Roman"/>
          <w:sz w:val="24"/>
          <w:szCs w:val="24"/>
        </w:rPr>
        <w:t xml:space="preserve"> over time</w:t>
      </w:r>
      <w:r w:rsidR="00D25403">
        <w:rPr>
          <w:rFonts w:ascii="Times New Roman" w:hAnsi="Times New Roman" w:cs="Times New Roman"/>
          <w:sz w:val="24"/>
          <w:szCs w:val="24"/>
        </w:rPr>
        <w:t xml:space="preserve">. </w:t>
      </w:r>
      <w:r w:rsidR="00447DF8">
        <w:rPr>
          <w:rFonts w:ascii="Times New Roman" w:hAnsi="Times New Roman" w:cs="Times New Roman"/>
          <w:sz w:val="24"/>
          <w:szCs w:val="24"/>
        </w:rPr>
        <w:t xml:space="preserve"> </w:t>
      </w:r>
    </w:p>
    <w:p w14:paraId="76FF9D4B" w14:textId="77777777" w:rsidR="00C7435A" w:rsidRDefault="00447DF8" w:rsidP="007F1E21">
      <w:pPr>
        <w:spacing w:line="480" w:lineRule="auto"/>
        <w:rPr>
          <w:rFonts w:ascii="Times New Roman" w:hAnsi="Times New Roman" w:cs="Times New Roman"/>
          <w:sz w:val="24"/>
          <w:szCs w:val="24"/>
        </w:rPr>
      </w:pPr>
      <w:r>
        <w:rPr>
          <w:rFonts w:ascii="Times New Roman" w:hAnsi="Times New Roman" w:cs="Times New Roman"/>
          <w:sz w:val="24"/>
          <w:szCs w:val="24"/>
        </w:rPr>
        <w:tab/>
      </w:r>
      <w:r w:rsidR="00811F8F">
        <w:rPr>
          <w:rFonts w:asciiTheme="majorBidi" w:hAnsiTheme="majorBidi" w:cstheme="majorBidi"/>
          <w:sz w:val="24"/>
          <w:szCs w:val="24"/>
        </w:rPr>
        <w:t xml:space="preserve">One </w:t>
      </w:r>
      <w:r w:rsidR="00C96F8A">
        <w:rPr>
          <w:rFonts w:asciiTheme="majorBidi" w:hAnsiTheme="majorBidi" w:cstheme="majorBidi"/>
          <w:sz w:val="24"/>
          <w:szCs w:val="24"/>
        </w:rPr>
        <w:t xml:space="preserve">early </w:t>
      </w:r>
      <w:r w:rsidR="001C7CE2">
        <w:rPr>
          <w:rFonts w:asciiTheme="majorBidi" w:hAnsiTheme="majorBidi" w:cstheme="majorBidi"/>
          <w:sz w:val="24"/>
          <w:szCs w:val="24"/>
        </w:rPr>
        <w:t>instance of autonomy in decision making</w:t>
      </w:r>
      <w:r w:rsidR="00811F8F">
        <w:rPr>
          <w:rFonts w:asciiTheme="majorBidi" w:hAnsiTheme="majorBidi" w:cstheme="majorBidi"/>
          <w:sz w:val="24"/>
          <w:szCs w:val="24"/>
        </w:rPr>
        <w:t xml:space="preserve"> was </w:t>
      </w:r>
      <w:r w:rsidR="00811F8F">
        <w:rPr>
          <w:rFonts w:ascii="Times New Roman" w:hAnsi="Times New Roman" w:cs="Times New Roman"/>
          <w:sz w:val="24"/>
          <w:szCs w:val="24"/>
        </w:rPr>
        <w:t xml:space="preserve">Hezbollah’s </w:t>
      </w:r>
      <w:r w:rsidR="001C7CE2">
        <w:rPr>
          <w:rFonts w:ascii="Times New Roman" w:hAnsi="Times New Roman" w:cs="Times New Roman"/>
          <w:sz w:val="24"/>
          <w:szCs w:val="24"/>
        </w:rPr>
        <w:t>choice</w:t>
      </w:r>
      <w:r w:rsidR="00811F8F">
        <w:rPr>
          <w:rFonts w:ascii="Times New Roman" w:hAnsi="Times New Roman" w:cs="Times New Roman"/>
          <w:sz w:val="24"/>
          <w:szCs w:val="24"/>
        </w:rPr>
        <w:t xml:space="preserve"> to run in its first election (the August 1992 parliamentary election). This choice was highly consequential for both Hezbollah and Iran since running in the elections “was the revocation, or at least downplaying, of the pan-Islamic and revolutionary policies” of the 1980s.</w:t>
      </w:r>
      <w:r w:rsidR="00811F8F">
        <w:rPr>
          <w:rStyle w:val="FootnoteReference"/>
          <w:rFonts w:ascii="Times New Roman" w:hAnsi="Times New Roman" w:cs="Times New Roman"/>
          <w:sz w:val="24"/>
          <w:szCs w:val="24"/>
        </w:rPr>
        <w:footnoteReference w:id="98"/>
      </w:r>
      <w:r w:rsidR="00853458">
        <w:rPr>
          <w:rFonts w:ascii="Times New Roman" w:hAnsi="Times New Roman" w:cs="Times New Roman"/>
          <w:sz w:val="24"/>
          <w:szCs w:val="24"/>
        </w:rPr>
        <w:t xml:space="preserve"> Yet, while Iran played some role in the decision </w:t>
      </w:r>
      <w:r w:rsidR="00811F8F">
        <w:rPr>
          <w:rFonts w:ascii="Times New Roman" w:hAnsi="Times New Roman" w:cs="Times New Roman"/>
          <w:sz w:val="24"/>
          <w:szCs w:val="24"/>
        </w:rPr>
        <w:t xml:space="preserve">making process, Hezbollah leaders ultimately made the </w:t>
      </w:r>
      <w:r w:rsidR="007F1E21">
        <w:rPr>
          <w:rFonts w:ascii="Times New Roman" w:hAnsi="Times New Roman" w:cs="Times New Roman"/>
          <w:sz w:val="24"/>
          <w:szCs w:val="24"/>
        </w:rPr>
        <w:t>choice</w:t>
      </w:r>
      <w:r w:rsidR="00811F8F">
        <w:rPr>
          <w:rFonts w:ascii="Times New Roman" w:hAnsi="Times New Roman" w:cs="Times New Roman"/>
          <w:sz w:val="24"/>
          <w:szCs w:val="24"/>
        </w:rPr>
        <w:t xml:space="preserve">. The organization chose twelve prominent Hezbollah leaders to debate and decide on electoral </w:t>
      </w:r>
      <w:r w:rsidR="00811F8F">
        <w:rPr>
          <w:rFonts w:ascii="Times New Roman" w:hAnsi="Times New Roman" w:cs="Times New Roman"/>
          <w:sz w:val="24"/>
          <w:szCs w:val="24"/>
        </w:rPr>
        <w:lastRenderedPageBreak/>
        <w:t>participation.</w:t>
      </w:r>
      <w:r w:rsidR="00FE0733">
        <w:rPr>
          <w:rFonts w:ascii="Times New Roman" w:hAnsi="Times New Roman" w:cs="Times New Roman"/>
          <w:sz w:val="24"/>
          <w:szCs w:val="24"/>
        </w:rPr>
        <w:t xml:space="preserve"> </w:t>
      </w:r>
      <w:r w:rsidR="00811F8F">
        <w:rPr>
          <w:rFonts w:ascii="Times New Roman" w:hAnsi="Times New Roman" w:cs="Times New Roman"/>
          <w:sz w:val="24"/>
          <w:szCs w:val="24"/>
        </w:rPr>
        <w:t>Norton explains that three key questions dominated the conversation: was participation legitimate? Would participation lead to the abandonment of Islamic principles? And, should pragmatism trump ideology?</w:t>
      </w:r>
      <w:r w:rsidR="00811F8F">
        <w:rPr>
          <w:rStyle w:val="FootnoteReference"/>
          <w:rFonts w:ascii="Times New Roman" w:hAnsi="Times New Roman" w:cs="Times New Roman"/>
          <w:sz w:val="24"/>
          <w:szCs w:val="24"/>
        </w:rPr>
        <w:footnoteReference w:id="99"/>
      </w:r>
      <w:r w:rsidR="00811F8F">
        <w:rPr>
          <w:rFonts w:ascii="Times New Roman" w:hAnsi="Times New Roman" w:cs="Times New Roman"/>
          <w:sz w:val="24"/>
          <w:szCs w:val="24"/>
        </w:rPr>
        <w:t xml:space="preserve"> After Hezbollah asked Iran for guidance o</w:t>
      </w:r>
      <w:r w:rsidR="00853458">
        <w:rPr>
          <w:rFonts w:ascii="Times New Roman" w:hAnsi="Times New Roman" w:cs="Times New Roman"/>
          <w:sz w:val="24"/>
          <w:szCs w:val="24"/>
        </w:rPr>
        <w:t xml:space="preserve">n the first question (regarding </w:t>
      </w:r>
      <w:r w:rsidR="00811F8F">
        <w:rPr>
          <w:rFonts w:ascii="Times New Roman" w:hAnsi="Times New Roman" w:cs="Times New Roman"/>
          <w:sz w:val="24"/>
          <w:szCs w:val="24"/>
        </w:rPr>
        <w:t xml:space="preserve">legitimacy), </w:t>
      </w:r>
      <w:r w:rsidR="00853458">
        <w:rPr>
          <w:rFonts w:ascii="Times New Roman" w:hAnsi="Times New Roman" w:cs="Times New Roman"/>
          <w:sz w:val="24"/>
          <w:szCs w:val="24"/>
        </w:rPr>
        <w:t xml:space="preserve">Khamenei </w:t>
      </w:r>
      <w:r w:rsidR="00811F8F">
        <w:rPr>
          <w:rFonts w:ascii="Times New Roman" w:hAnsi="Times New Roman" w:cs="Times New Roman"/>
          <w:sz w:val="24"/>
          <w:szCs w:val="24"/>
        </w:rPr>
        <w:t>issued a May 1992 fatwa that stated that Hezbollah could participate in the elections.</w:t>
      </w:r>
      <w:r w:rsidR="00811F8F">
        <w:rPr>
          <w:rStyle w:val="FootnoteReference"/>
          <w:rFonts w:ascii="Times New Roman" w:hAnsi="Times New Roman" w:cs="Times New Roman"/>
          <w:sz w:val="24"/>
          <w:szCs w:val="24"/>
        </w:rPr>
        <w:footnoteReference w:id="100"/>
      </w:r>
      <w:r w:rsidR="00811F8F">
        <w:rPr>
          <w:rFonts w:ascii="Times New Roman" w:hAnsi="Times New Roman" w:cs="Times New Roman"/>
          <w:sz w:val="24"/>
          <w:szCs w:val="24"/>
        </w:rPr>
        <w:t xml:space="preserve"> Although K</w:t>
      </w:r>
      <w:r w:rsidR="00853458">
        <w:rPr>
          <w:rFonts w:ascii="Times New Roman" w:hAnsi="Times New Roman" w:cs="Times New Roman"/>
          <w:sz w:val="24"/>
          <w:szCs w:val="24"/>
        </w:rPr>
        <w:t>hamenei’s fatwa strengthened Hezbollah’s</w:t>
      </w:r>
      <w:r w:rsidR="00811F8F">
        <w:rPr>
          <w:rFonts w:ascii="Times New Roman" w:hAnsi="Times New Roman" w:cs="Times New Roman"/>
          <w:sz w:val="24"/>
          <w:szCs w:val="24"/>
        </w:rPr>
        <w:t xml:space="preserve"> pro-election </w:t>
      </w:r>
      <w:r w:rsidR="00853458">
        <w:rPr>
          <w:rFonts w:ascii="Times New Roman" w:hAnsi="Times New Roman" w:cs="Times New Roman"/>
          <w:sz w:val="24"/>
          <w:szCs w:val="24"/>
        </w:rPr>
        <w:t>faction</w:t>
      </w:r>
      <w:r w:rsidR="00811F8F">
        <w:rPr>
          <w:rFonts w:ascii="Times New Roman" w:hAnsi="Times New Roman" w:cs="Times New Roman"/>
          <w:sz w:val="24"/>
          <w:szCs w:val="24"/>
        </w:rPr>
        <w:t>, the internal debates actually focused more on the Shiite population’s public opinion.</w:t>
      </w:r>
      <w:r w:rsidR="00811F8F">
        <w:rPr>
          <w:rStyle w:val="FootnoteReference"/>
          <w:rFonts w:ascii="Times New Roman" w:hAnsi="Times New Roman" w:cs="Times New Roman"/>
          <w:sz w:val="24"/>
          <w:szCs w:val="24"/>
        </w:rPr>
        <w:footnoteReference w:id="101"/>
      </w:r>
      <w:r w:rsidR="00811F8F">
        <w:rPr>
          <w:rFonts w:ascii="Times New Roman" w:hAnsi="Times New Roman" w:cs="Times New Roman"/>
          <w:sz w:val="24"/>
          <w:szCs w:val="24"/>
        </w:rPr>
        <w:t xml:space="preserve"> However, it is important to note that once the decision was made, the committee sent it to Khamenei for approval.</w:t>
      </w:r>
      <w:r w:rsidR="00853458">
        <w:rPr>
          <w:rFonts w:ascii="Times New Roman" w:hAnsi="Times New Roman" w:cs="Times New Roman"/>
          <w:sz w:val="24"/>
          <w:szCs w:val="24"/>
        </w:rPr>
        <w:t xml:space="preserve"> </w:t>
      </w:r>
      <w:r w:rsidR="00080F15">
        <w:rPr>
          <w:rFonts w:ascii="Times New Roman" w:hAnsi="Times New Roman" w:cs="Times New Roman"/>
          <w:sz w:val="24"/>
          <w:szCs w:val="24"/>
        </w:rPr>
        <w:t xml:space="preserve">Thus, while Iran indirectly influenced the decision making process, it did not direct Hezbollah to make a specific choice. </w:t>
      </w:r>
      <w:r w:rsidR="00853458">
        <w:rPr>
          <w:rFonts w:ascii="Times New Roman" w:hAnsi="Times New Roman" w:cs="Times New Roman"/>
          <w:sz w:val="24"/>
          <w:szCs w:val="24"/>
        </w:rPr>
        <w:t>In another example</w:t>
      </w:r>
      <w:r w:rsidR="00080F15">
        <w:rPr>
          <w:rFonts w:ascii="Times New Roman" w:hAnsi="Times New Roman" w:cs="Times New Roman"/>
          <w:sz w:val="24"/>
          <w:szCs w:val="24"/>
        </w:rPr>
        <w:t xml:space="preserve"> from the 2000s</w:t>
      </w:r>
      <w:r w:rsidR="00853458">
        <w:rPr>
          <w:rFonts w:ascii="Times New Roman" w:hAnsi="Times New Roman" w:cs="Times New Roman"/>
          <w:sz w:val="24"/>
          <w:szCs w:val="24"/>
        </w:rPr>
        <w:t>, Hezbollah secured legitimacy for its “watershed decision to participate in the Lebanese cabinet”</w:t>
      </w:r>
      <w:r w:rsidR="004553B0">
        <w:rPr>
          <w:rFonts w:ascii="Times New Roman" w:hAnsi="Times New Roman" w:cs="Times New Roman"/>
          <w:sz w:val="24"/>
          <w:szCs w:val="24"/>
        </w:rPr>
        <w:t xml:space="preserve"> in 2005</w:t>
      </w:r>
      <w:r w:rsidR="00853458">
        <w:rPr>
          <w:rFonts w:ascii="Times New Roman" w:hAnsi="Times New Roman" w:cs="Times New Roman"/>
          <w:sz w:val="24"/>
          <w:szCs w:val="24"/>
        </w:rPr>
        <w:t xml:space="preserve"> from “Shaykh ‘</w:t>
      </w:r>
      <w:proofErr w:type="spellStart"/>
      <w:r w:rsidR="00853458">
        <w:rPr>
          <w:rFonts w:ascii="Times New Roman" w:hAnsi="Times New Roman" w:cs="Times New Roman"/>
          <w:sz w:val="24"/>
          <w:szCs w:val="24"/>
        </w:rPr>
        <w:t>Afif</w:t>
      </w:r>
      <w:proofErr w:type="spellEnd"/>
      <w:r w:rsidR="00853458">
        <w:rPr>
          <w:rFonts w:ascii="Times New Roman" w:hAnsi="Times New Roman" w:cs="Times New Roman"/>
          <w:sz w:val="24"/>
          <w:szCs w:val="24"/>
        </w:rPr>
        <w:t xml:space="preserve"> al-Nabulsi, the head of the Shi’ite religious scholars of south Lebanon, and not Imam </w:t>
      </w:r>
      <w:proofErr w:type="spellStart"/>
      <w:r w:rsidR="00853458">
        <w:rPr>
          <w:rFonts w:ascii="Times New Roman" w:hAnsi="Times New Roman" w:cs="Times New Roman"/>
          <w:sz w:val="24"/>
          <w:szCs w:val="24"/>
        </w:rPr>
        <w:t>Khamina‘i</w:t>
      </w:r>
      <w:proofErr w:type="spellEnd"/>
      <w:r w:rsidR="00853458">
        <w:rPr>
          <w:rFonts w:ascii="Times New Roman" w:hAnsi="Times New Roman" w:cs="Times New Roman"/>
          <w:sz w:val="24"/>
          <w:szCs w:val="24"/>
        </w:rPr>
        <w:t xml:space="preserve"> [Khamenei],” which </w:t>
      </w:r>
      <w:r w:rsidR="00080F15">
        <w:rPr>
          <w:rFonts w:ascii="Times New Roman" w:hAnsi="Times New Roman" w:cs="Times New Roman"/>
          <w:sz w:val="24"/>
          <w:szCs w:val="24"/>
        </w:rPr>
        <w:t>“</w:t>
      </w:r>
      <w:r w:rsidR="00853458">
        <w:rPr>
          <w:rFonts w:ascii="Times New Roman" w:hAnsi="Times New Roman" w:cs="Times New Roman"/>
          <w:sz w:val="24"/>
          <w:szCs w:val="24"/>
        </w:rPr>
        <w:t>indicates more independence in decision-making.”</w:t>
      </w:r>
      <w:r w:rsidR="00853458">
        <w:rPr>
          <w:rStyle w:val="FootnoteReference"/>
          <w:rFonts w:ascii="Times New Roman" w:hAnsi="Times New Roman" w:cs="Times New Roman"/>
          <w:sz w:val="24"/>
          <w:szCs w:val="24"/>
        </w:rPr>
        <w:footnoteReference w:id="102"/>
      </w:r>
      <w:r w:rsidR="00FE0733">
        <w:rPr>
          <w:rFonts w:ascii="Times New Roman" w:hAnsi="Times New Roman" w:cs="Times New Roman"/>
          <w:sz w:val="24"/>
          <w:szCs w:val="24"/>
        </w:rPr>
        <w:t xml:space="preserve"> </w:t>
      </w:r>
    </w:p>
    <w:p w14:paraId="4742428D" w14:textId="77777777" w:rsidR="00DD60AE" w:rsidRDefault="00811F8F" w:rsidP="00C96F8A">
      <w:pPr>
        <w:spacing w:line="480" w:lineRule="auto"/>
        <w:rPr>
          <w:rFonts w:ascii="Times New Roman" w:hAnsi="Times New Roman" w:cs="Times New Roman"/>
          <w:sz w:val="24"/>
          <w:szCs w:val="24"/>
        </w:rPr>
      </w:pPr>
      <w:r>
        <w:rPr>
          <w:rFonts w:ascii="Times New Roman" w:hAnsi="Times New Roman" w:cs="Times New Roman"/>
          <w:sz w:val="24"/>
          <w:szCs w:val="24"/>
        </w:rPr>
        <w:tab/>
        <w:t>Th</w:t>
      </w:r>
      <w:r w:rsidR="00080F15">
        <w:rPr>
          <w:rFonts w:ascii="Times New Roman" w:hAnsi="Times New Roman" w:cs="Times New Roman"/>
          <w:sz w:val="24"/>
          <w:szCs w:val="24"/>
        </w:rPr>
        <w:t>ese example</w:t>
      </w:r>
      <w:r w:rsidR="00FE0733">
        <w:rPr>
          <w:rFonts w:ascii="Times New Roman" w:hAnsi="Times New Roman" w:cs="Times New Roman"/>
          <w:sz w:val="24"/>
          <w:szCs w:val="24"/>
        </w:rPr>
        <w:t>s</w:t>
      </w:r>
      <w:r w:rsidR="00080F15">
        <w:rPr>
          <w:rFonts w:ascii="Times New Roman" w:hAnsi="Times New Roman" w:cs="Times New Roman"/>
          <w:sz w:val="24"/>
          <w:szCs w:val="24"/>
        </w:rPr>
        <w:t xml:space="preserve"> align</w:t>
      </w:r>
      <w:r>
        <w:rPr>
          <w:rFonts w:ascii="Times New Roman" w:hAnsi="Times New Roman" w:cs="Times New Roman"/>
          <w:sz w:val="24"/>
          <w:szCs w:val="24"/>
        </w:rPr>
        <w:t xml:space="preserve"> with the view of Hezbollah scholar </w:t>
      </w:r>
      <w:proofErr w:type="spellStart"/>
      <w:r>
        <w:rPr>
          <w:rFonts w:ascii="Times New Roman" w:hAnsi="Times New Roman" w:cs="Times New Roman"/>
          <w:sz w:val="24"/>
          <w:szCs w:val="24"/>
        </w:rPr>
        <w:t>Aurélie</w:t>
      </w:r>
      <w:proofErr w:type="spellEnd"/>
      <w:r>
        <w:rPr>
          <w:rFonts w:ascii="Times New Roman" w:hAnsi="Times New Roman" w:cs="Times New Roman"/>
          <w:sz w:val="24"/>
          <w:szCs w:val="24"/>
        </w:rPr>
        <w:t xml:space="preserve"> Daher that “allegiance to </w:t>
      </w:r>
      <w:proofErr w:type="spellStart"/>
      <w:r>
        <w:rPr>
          <w:rFonts w:ascii="Times New Roman" w:hAnsi="Times New Roman" w:cs="Times New Roman"/>
          <w:i/>
          <w:iCs/>
          <w:sz w:val="24"/>
          <w:szCs w:val="24"/>
        </w:rPr>
        <w:t>wilāyat</w:t>
      </w:r>
      <w:proofErr w:type="spellEnd"/>
      <w:r>
        <w:rPr>
          <w:rFonts w:ascii="Times New Roman" w:hAnsi="Times New Roman" w:cs="Times New Roman"/>
          <w:i/>
          <w:iCs/>
          <w:sz w:val="24"/>
          <w:szCs w:val="24"/>
        </w:rPr>
        <w:t xml:space="preserve"> al-</w:t>
      </w:r>
      <w:proofErr w:type="spellStart"/>
      <w:r>
        <w:rPr>
          <w:rFonts w:ascii="Times New Roman" w:hAnsi="Times New Roman" w:cs="Times New Roman"/>
          <w:i/>
          <w:iCs/>
          <w:sz w:val="24"/>
          <w:szCs w:val="24"/>
        </w:rPr>
        <w:t>faqīh</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translates into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a stamp of approval delivered </w:t>
      </w:r>
      <w:r>
        <w:rPr>
          <w:rFonts w:ascii="Times New Roman" w:hAnsi="Times New Roman" w:cs="Times New Roman"/>
          <w:i/>
          <w:iCs/>
          <w:sz w:val="24"/>
          <w:szCs w:val="24"/>
        </w:rPr>
        <w:t>a posteriori</w:t>
      </w:r>
      <w:r>
        <w:rPr>
          <w:rFonts w:ascii="Times New Roman" w:hAnsi="Times New Roman" w:cs="Times New Roman"/>
          <w:sz w:val="24"/>
          <w:szCs w:val="24"/>
        </w:rPr>
        <w:t xml:space="preserve"> by a Guide who, by all indicators, to date has never countermanded a decision taken by the party leadership; and (ii) refereeing in a way that always seems to second the majority view in the Council.”</w:t>
      </w:r>
      <w:r>
        <w:rPr>
          <w:rStyle w:val="FootnoteReference"/>
          <w:rFonts w:ascii="Times New Roman" w:hAnsi="Times New Roman" w:cs="Times New Roman"/>
          <w:sz w:val="24"/>
          <w:szCs w:val="24"/>
        </w:rPr>
        <w:footnoteReference w:id="103"/>
      </w:r>
      <w:r>
        <w:rPr>
          <w:rFonts w:ascii="Times New Roman" w:hAnsi="Times New Roman" w:cs="Times New Roman"/>
          <w:i/>
          <w:iCs/>
          <w:sz w:val="24"/>
          <w:szCs w:val="24"/>
        </w:rPr>
        <w:t xml:space="preserve"> </w:t>
      </w:r>
      <w:r>
        <w:rPr>
          <w:rFonts w:ascii="Times New Roman" w:hAnsi="Times New Roman" w:cs="Times New Roman"/>
          <w:sz w:val="24"/>
          <w:szCs w:val="24"/>
        </w:rPr>
        <w:t>Daher’s understanding is that Iran endorses or approves Hezbollah decisions, but does not set its priorities and strategies.</w:t>
      </w:r>
      <w:r>
        <w:rPr>
          <w:rStyle w:val="FootnoteReference"/>
          <w:rFonts w:ascii="Times New Roman" w:hAnsi="Times New Roman" w:cs="Times New Roman"/>
          <w:sz w:val="24"/>
          <w:szCs w:val="24"/>
        </w:rPr>
        <w:footnoteReference w:id="104"/>
      </w:r>
      <w:r>
        <w:rPr>
          <w:rFonts w:ascii="Times New Roman" w:hAnsi="Times New Roman" w:cs="Times New Roman"/>
          <w:sz w:val="24"/>
          <w:szCs w:val="24"/>
        </w:rPr>
        <w:t xml:space="preserve"> </w:t>
      </w:r>
      <w:r w:rsidR="00C96F8A">
        <w:rPr>
          <w:rFonts w:ascii="Times New Roman" w:hAnsi="Times New Roman" w:cs="Times New Roman"/>
          <w:sz w:val="24"/>
          <w:szCs w:val="24"/>
        </w:rPr>
        <w:t xml:space="preserve">Hezbollah leader </w:t>
      </w:r>
      <w:proofErr w:type="spellStart"/>
      <w:r w:rsidR="002A01B8">
        <w:rPr>
          <w:rFonts w:ascii="Times New Roman" w:hAnsi="Times New Roman" w:cs="Times New Roman"/>
          <w:sz w:val="24"/>
          <w:szCs w:val="24"/>
        </w:rPr>
        <w:t>Qāsim</w:t>
      </w:r>
      <w:proofErr w:type="spellEnd"/>
      <w:r w:rsidR="002A01B8">
        <w:rPr>
          <w:rFonts w:ascii="Times New Roman" w:hAnsi="Times New Roman" w:cs="Times New Roman"/>
          <w:sz w:val="24"/>
          <w:szCs w:val="24"/>
        </w:rPr>
        <w:t xml:space="preserve"> remarked that there “is no link between the manner in which the Iranian Islamic state conducts its affairs and how Hezbollah manages its </w:t>
      </w:r>
      <w:r w:rsidR="002A01B8">
        <w:rPr>
          <w:rFonts w:ascii="Times New Roman" w:hAnsi="Times New Roman" w:cs="Times New Roman"/>
          <w:sz w:val="24"/>
          <w:szCs w:val="24"/>
        </w:rPr>
        <w:lastRenderedPageBreak/>
        <w:t>own.”</w:t>
      </w:r>
      <w:r w:rsidR="002A01B8">
        <w:rPr>
          <w:rStyle w:val="FootnoteReference"/>
          <w:rFonts w:ascii="Times New Roman" w:hAnsi="Times New Roman" w:cs="Times New Roman"/>
          <w:sz w:val="24"/>
          <w:szCs w:val="24"/>
        </w:rPr>
        <w:footnoteReference w:id="105"/>
      </w:r>
      <w:r w:rsidR="004E6E8C">
        <w:rPr>
          <w:rFonts w:ascii="Times New Roman" w:hAnsi="Times New Roman" w:cs="Times New Roman"/>
          <w:sz w:val="24"/>
          <w:szCs w:val="24"/>
        </w:rPr>
        <w:t xml:space="preserve"> In his own book detailing the inner workings of Hezbollah, </w:t>
      </w:r>
      <w:proofErr w:type="spellStart"/>
      <w:r w:rsidR="004E6E8C">
        <w:rPr>
          <w:rFonts w:ascii="Times New Roman" w:hAnsi="Times New Roman" w:cs="Times New Roman"/>
          <w:sz w:val="24"/>
          <w:szCs w:val="24"/>
        </w:rPr>
        <w:t>Qāsim</w:t>
      </w:r>
      <w:proofErr w:type="spellEnd"/>
      <w:r w:rsidR="004E6E8C">
        <w:rPr>
          <w:rFonts w:ascii="Times New Roman" w:hAnsi="Times New Roman" w:cs="Times New Roman"/>
          <w:sz w:val="24"/>
          <w:szCs w:val="24"/>
        </w:rPr>
        <w:t xml:space="preserve"> underscores this point: “Harmony at the general guideline or theoretical level was thus present, although the detailed application of these guidelines was subordinate to the particular characteristics of each country in question.”</w:t>
      </w:r>
      <w:r w:rsidR="004E6E8C">
        <w:rPr>
          <w:rStyle w:val="FootnoteReference"/>
          <w:rFonts w:ascii="Times New Roman" w:hAnsi="Times New Roman" w:cs="Times New Roman"/>
          <w:sz w:val="24"/>
          <w:szCs w:val="24"/>
        </w:rPr>
        <w:footnoteReference w:id="106"/>
      </w:r>
      <w:r w:rsidR="00DD60AE">
        <w:rPr>
          <w:rFonts w:ascii="Times New Roman" w:hAnsi="Times New Roman" w:cs="Times New Roman"/>
          <w:sz w:val="24"/>
          <w:szCs w:val="24"/>
        </w:rPr>
        <w:t xml:space="preserve"> </w:t>
      </w:r>
      <w:r w:rsidR="0042347D">
        <w:rPr>
          <w:rFonts w:ascii="Times New Roman" w:hAnsi="Times New Roman" w:cs="Times New Roman"/>
          <w:sz w:val="24"/>
          <w:szCs w:val="24"/>
        </w:rPr>
        <w:t>This</w:t>
      </w:r>
      <w:r w:rsidR="00DD60AE">
        <w:rPr>
          <w:rFonts w:ascii="Times New Roman" w:hAnsi="Times New Roman" w:cs="Times New Roman"/>
          <w:sz w:val="24"/>
          <w:szCs w:val="24"/>
        </w:rPr>
        <w:t xml:space="preserve"> make</w:t>
      </w:r>
      <w:r w:rsidR="0042347D">
        <w:rPr>
          <w:rFonts w:ascii="Times New Roman" w:hAnsi="Times New Roman" w:cs="Times New Roman"/>
          <w:sz w:val="24"/>
          <w:szCs w:val="24"/>
        </w:rPr>
        <w:t>s</w:t>
      </w:r>
      <w:r w:rsidR="00DD60AE">
        <w:rPr>
          <w:rFonts w:ascii="Times New Roman" w:hAnsi="Times New Roman" w:cs="Times New Roman"/>
          <w:sz w:val="24"/>
          <w:szCs w:val="24"/>
        </w:rPr>
        <w:t xml:space="preserve"> it clear that Hezbollah maintains </w:t>
      </w:r>
      <w:r w:rsidR="0042347D">
        <w:rPr>
          <w:rFonts w:ascii="Times New Roman" w:hAnsi="Times New Roman" w:cs="Times New Roman"/>
          <w:sz w:val="24"/>
          <w:szCs w:val="24"/>
        </w:rPr>
        <w:t>a significant amount of</w:t>
      </w:r>
      <w:r w:rsidR="00DD60AE">
        <w:rPr>
          <w:rFonts w:ascii="Times New Roman" w:hAnsi="Times New Roman" w:cs="Times New Roman"/>
          <w:sz w:val="24"/>
          <w:szCs w:val="24"/>
        </w:rPr>
        <w:t xml:space="preserve"> </w:t>
      </w:r>
      <w:r w:rsidR="0042347D">
        <w:rPr>
          <w:rFonts w:ascii="Times New Roman" w:hAnsi="Times New Roman" w:cs="Times New Roman"/>
          <w:sz w:val="24"/>
          <w:szCs w:val="24"/>
        </w:rPr>
        <w:t xml:space="preserve">autonomy in its </w:t>
      </w:r>
      <w:r w:rsidR="00DD60AE">
        <w:rPr>
          <w:rFonts w:ascii="Times New Roman" w:hAnsi="Times New Roman" w:cs="Times New Roman"/>
          <w:sz w:val="24"/>
          <w:szCs w:val="24"/>
        </w:rPr>
        <w:t xml:space="preserve">operations. </w:t>
      </w:r>
    </w:p>
    <w:p w14:paraId="54000240" w14:textId="77777777" w:rsidR="00811F8F" w:rsidRDefault="00DD60AE" w:rsidP="00C96F8A">
      <w:pPr>
        <w:spacing w:line="480" w:lineRule="auto"/>
        <w:rPr>
          <w:rFonts w:ascii="Times New Roman" w:hAnsi="Times New Roman" w:cs="Times New Roman"/>
          <w:sz w:val="24"/>
          <w:szCs w:val="24"/>
        </w:rPr>
      </w:pPr>
      <w:r>
        <w:rPr>
          <w:rFonts w:ascii="Times New Roman" w:hAnsi="Times New Roman" w:cs="Times New Roman"/>
          <w:sz w:val="24"/>
          <w:szCs w:val="24"/>
        </w:rPr>
        <w:tab/>
      </w:r>
      <w:r w:rsidR="002A01B8">
        <w:rPr>
          <w:rFonts w:ascii="Times New Roman" w:hAnsi="Times New Roman" w:cs="Times New Roman"/>
          <w:sz w:val="24"/>
          <w:szCs w:val="24"/>
        </w:rPr>
        <w:t>Iran’s hands off approach is presumably due to high lev</w:t>
      </w:r>
      <w:r w:rsidR="00080F15">
        <w:rPr>
          <w:rFonts w:ascii="Times New Roman" w:hAnsi="Times New Roman" w:cs="Times New Roman"/>
          <w:sz w:val="24"/>
          <w:szCs w:val="24"/>
        </w:rPr>
        <w:t xml:space="preserve">els of trust. Daher states that </w:t>
      </w:r>
      <w:r w:rsidR="002A01B8">
        <w:rPr>
          <w:rFonts w:ascii="Times New Roman" w:hAnsi="Times New Roman" w:cs="Times New Roman"/>
          <w:sz w:val="24"/>
          <w:szCs w:val="24"/>
        </w:rPr>
        <w:t>Khamenei, “obviously has confidence in Hezbollah’s leadership being able to make the right choices for sustaining the party.”</w:t>
      </w:r>
      <w:r w:rsidR="002A01B8">
        <w:rPr>
          <w:rStyle w:val="FootnoteReference"/>
          <w:rFonts w:ascii="Times New Roman" w:hAnsi="Times New Roman" w:cs="Times New Roman"/>
          <w:sz w:val="24"/>
          <w:szCs w:val="24"/>
        </w:rPr>
        <w:footnoteReference w:id="107"/>
      </w:r>
      <w:r w:rsidR="002A01B8">
        <w:rPr>
          <w:rFonts w:ascii="Times New Roman" w:hAnsi="Times New Roman" w:cs="Times New Roman"/>
          <w:sz w:val="24"/>
          <w:szCs w:val="24"/>
        </w:rPr>
        <w:t xml:space="preserve"> This trust is underpinned by </w:t>
      </w:r>
      <w:r w:rsidR="00FE0733">
        <w:rPr>
          <w:rFonts w:ascii="Times New Roman" w:hAnsi="Times New Roman" w:cs="Times New Roman"/>
          <w:sz w:val="24"/>
          <w:szCs w:val="24"/>
        </w:rPr>
        <w:t xml:space="preserve">continuing </w:t>
      </w:r>
      <w:r w:rsidR="002A01B8">
        <w:rPr>
          <w:rFonts w:ascii="Times New Roman" w:hAnsi="Times New Roman" w:cs="Times New Roman"/>
          <w:sz w:val="24"/>
          <w:szCs w:val="24"/>
        </w:rPr>
        <w:t xml:space="preserve">interest alignment. </w:t>
      </w:r>
      <w:proofErr w:type="spellStart"/>
      <w:r w:rsidR="002A01B8">
        <w:rPr>
          <w:rFonts w:ascii="Times New Roman" w:hAnsi="Times New Roman" w:cs="Times New Roman"/>
          <w:sz w:val="24"/>
          <w:szCs w:val="24"/>
        </w:rPr>
        <w:t>Qāsim</w:t>
      </w:r>
      <w:proofErr w:type="spellEnd"/>
      <w:r w:rsidR="002A01B8">
        <w:rPr>
          <w:rFonts w:ascii="Times New Roman" w:hAnsi="Times New Roman" w:cs="Times New Roman"/>
          <w:sz w:val="24"/>
          <w:szCs w:val="24"/>
        </w:rPr>
        <w:t xml:space="preserve"> </w:t>
      </w:r>
      <w:r w:rsidR="00C96F8A">
        <w:rPr>
          <w:rFonts w:ascii="Times New Roman" w:hAnsi="Times New Roman" w:cs="Times New Roman"/>
          <w:sz w:val="24"/>
          <w:szCs w:val="24"/>
        </w:rPr>
        <w:t xml:space="preserve">also </w:t>
      </w:r>
      <w:r w:rsidR="002A01B8">
        <w:rPr>
          <w:rFonts w:ascii="Times New Roman" w:hAnsi="Times New Roman" w:cs="Times New Roman"/>
          <w:sz w:val="24"/>
          <w:szCs w:val="24"/>
        </w:rPr>
        <w:t xml:space="preserve">emphasized this point when he wrote that the “Iranian government and Hezbollah move in different directions, although they can sometimes encounter each other on the road of their commitment to the recommendations and guidelines of the </w:t>
      </w:r>
      <w:proofErr w:type="spellStart"/>
      <w:r w:rsidR="002A01B8">
        <w:rPr>
          <w:rFonts w:ascii="Times New Roman" w:hAnsi="Times New Roman" w:cs="Times New Roman"/>
          <w:i/>
          <w:iCs/>
          <w:sz w:val="24"/>
          <w:szCs w:val="24"/>
        </w:rPr>
        <w:t>waliy</w:t>
      </w:r>
      <w:proofErr w:type="spellEnd"/>
      <w:r w:rsidR="002A01B8">
        <w:rPr>
          <w:rFonts w:ascii="Times New Roman" w:hAnsi="Times New Roman" w:cs="Times New Roman"/>
          <w:i/>
          <w:iCs/>
          <w:sz w:val="24"/>
          <w:szCs w:val="24"/>
        </w:rPr>
        <w:t xml:space="preserve"> al-</w:t>
      </w:r>
      <w:proofErr w:type="spellStart"/>
      <w:r w:rsidR="002A01B8">
        <w:rPr>
          <w:rFonts w:ascii="Times New Roman" w:hAnsi="Times New Roman" w:cs="Times New Roman"/>
          <w:i/>
          <w:iCs/>
          <w:sz w:val="24"/>
          <w:szCs w:val="24"/>
        </w:rPr>
        <w:t>faqīh</w:t>
      </w:r>
      <w:proofErr w:type="spellEnd"/>
      <w:r w:rsidR="002A01B8">
        <w:rPr>
          <w:rFonts w:ascii="Times New Roman" w:hAnsi="Times New Roman" w:cs="Times New Roman"/>
          <w:sz w:val="24"/>
          <w:szCs w:val="24"/>
        </w:rPr>
        <w:t>.”</w:t>
      </w:r>
      <w:r w:rsidR="002A01B8">
        <w:rPr>
          <w:rStyle w:val="FootnoteReference"/>
          <w:rFonts w:ascii="Times New Roman" w:hAnsi="Times New Roman" w:cs="Times New Roman"/>
          <w:sz w:val="24"/>
          <w:szCs w:val="24"/>
        </w:rPr>
        <w:footnoteReference w:id="108"/>
      </w:r>
      <w:r w:rsidR="002A01B8">
        <w:rPr>
          <w:rFonts w:ascii="Times New Roman" w:hAnsi="Times New Roman" w:cs="Times New Roman"/>
          <w:sz w:val="24"/>
          <w:szCs w:val="24"/>
        </w:rPr>
        <w:t xml:space="preserve"> A commitment to </w:t>
      </w:r>
      <w:proofErr w:type="spellStart"/>
      <w:r w:rsidR="002A01B8">
        <w:rPr>
          <w:rFonts w:ascii="Times New Roman" w:hAnsi="Times New Roman" w:cs="Times New Roman"/>
          <w:i/>
          <w:iCs/>
          <w:sz w:val="24"/>
          <w:szCs w:val="24"/>
        </w:rPr>
        <w:t>waliy</w:t>
      </w:r>
      <w:proofErr w:type="spellEnd"/>
      <w:r w:rsidR="002A01B8">
        <w:rPr>
          <w:rFonts w:ascii="Times New Roman" w:hAnsi="Times New Roman" w:cs="Times New Roman"/>
          <w:i/>
          <w:iCs/>
          <w:sz w:val="24"/>
          <w:szCs w:val="24"/>
        </w:rPr>
        <w:t xml:space="preserve"> al-</w:t>
      </w:r>
      <w:proofErr w:type="spellStart"/>
      <w:r w:rsidR="002A01B8">
        <w:rPr>
          <w:rFonts w:ascii="Times New Roman" w:hAnsi="Times New Roman" w:cs="Times New Roman"/>
          <w:i/>
          <w:iCs/>
          <w:sz w:val="24"/>
          <w:szCs w:val="24"/>
        </w:rPr>
        <w:t>faqīh</w:t>
      </w:r>
      <w:proofErr w:type="spellEnd"/>
      <w:r w:rsidR="002A01B8">
        <w:rPr>
          <w:rFonts w:ascii="Times New Roman" w:hAnsi="Times New Roman" w:cs="Times New Roman"/>
          <w:sz w:val="24"/>
          <w:szCs w:val="24"/>
        </w:rPr>
        <w:t>, “government by legal expert,”</w:t>
      </w:r>
      <w:r w:rsidR="00080F15">
        <w:rPr>
          <w:rFonts w:ascii="Times New Roman" w:hAnsi="Times New Roman" w:cs="Times New Roman"/>
          <w:sz w:val="24"/>
          <w:szCs w:val="24"/>
        </w:rPr>
        <w:t xml:space="preserve"> and </w:t>
      </w:r>
      <w:r w:rsidR="00FE0733">
        <w:rPr>
          <w:rFonts w:ascii="Times New Roman" w:hAnsi="Times New Roman" w:cs="Times New Roman"/>
          <w:sz w:val="24"/>
          <w:szCs w:val="24"/>
        </w:rPr>
        <w:t>other high priority</w:t>
      </w:r>
      <w:r w:rsidR="00080F15">
        <w:rPr>
          <w:rFonts w:ascii="Times New Roman" w:hAnsi="Times New Roman" w:cs="Times New Roman"/>
          <w:sz w:val="24"/>
          <w:szCs w:val="24"/>
        </w:rPr>
        <w:t xml:space="preserve"> interests (such as eradicating Israel),</w:t>
      </w:r>
      <w:r w:rsidR="002A01B8">
        <w:rPr>
          <w:rFonts w:ascii="Times New Roman" w:hAnsi="Times New Roman" w:cs="Times New Roman"/>
          <w:sz w:val="24"/>
          <w:szCs w:val="24"/>
        </w:rPr>
        <w:t xml:space="preserve"> drives both Iranian and Hezbollah interests.</w:t>
      </w:r>
      <w:r w:rsidR="002A01B8">
        <w:rPr>
          <w:rStyle w:val="FootnoteReference"/>
          <w:rFonts w:ascii="Times New Roman" w:hAnsi="Times New Roman" w:cs="Times New Roman"/>
          <w:sz w:val="24"/>
          <w:szCs w:val="24"/>
        </w:rPr>
        <w:footnoteReference w:id="109"/>
      </w:r>
      <w:r w:rsidR="002A01B8">
        <w:rPr>
          <w:rFonts w:ascii="Times New Roman" w:hAnsi="Times New Roman" w:cs="Times New Roman"/>
          <w:sz w:val="24"/>
          <w:szCs w:val="24"/>
        </w:rPr>
        <w:t xml:space="preserve"> This illustration of how interest alignment and trus</w:t>
      </w:r>
      <w:r w:rsidR="00C96F8A">
        <w:rPr>
          <w:rFonts w:ascii="Times New Roman" w:hAnsi="Times New Roman" w:cs="Times New Roman"/>
          <w:sz w:val="24"/>
          <w:szCs w:val="24"/>
        </w:rPr>
        <w:t>t enable less control shows that</w:t>
      </w:r>
      <w:r w:rsidR="00080F15">
        <w:rPr>
          <w:rFonts w:ascii="Times New Roman" w:hAnsi="Times New Roman" w:cs="Times New Roman"/>
          <w:sz w:val="24"/>
          <w:szCs w:val="24"/>
        </w:rPr>
        <w:t xml:space="preserve"> </w:t>
      </w:r>
      <w:r w:rsidR="00C96F8A">
        <w:rPr>
          <w:rFonts w:ascii="Times New Roman" w:hAnsi="Times New Roman" w:cs="Times New Roman"/>
          <w:sz w:val="24"/>
          <w:szCs w:val="24"/>
        </w:rPr>
        <w:t>the principal-agent framework can miss important variation across time</w:t>
      </w:r>
      <w:r w:rsidR="002A01B8">
        <w:rPr>
          <w:rFonts w:ascii="Times New Roman" w:hAnsi="Times New Roman" w:cs="Times New Roman"/>
          <w:sz w:val="24"/>
          <w:szCs w:val="24"/>
        </w:rPr>
        <w:t>.</w:t>
      </w:r>
      <w:r w:rsidR="00C96F8A">
        <w:rPr>
          <w:rFonts w:ascii="Times New Roman" w:hAnsi="Times New Roman" w:cs="Times New Roman"/>
          <w:sz w:val="24"/>
          <w:szCs w:val="24"/>
        </w:rPr>
        <w:t xml:space="preserve"> In addition,</w:t>
      </w:r>
      <w:r w:rsidR="002A01B8">
        <w:rPr>
          <w:rFonts w:ascii="Times New Roman" w:hAnsi="Times New Roman" w:cs="Times New Roman"/>
          <w:sz w:val="24"/>
          <w:szCs w:val="24"/>
        </w:rPr>
        <w:t xml:space="preserve"> </w:t>
      </w:r>
      <w:r w:rsidR="00C96F8A">
        <w:rPr>
          <w:rFonts w:ascii="Times New Roman" w:hAnsi="Times New Roman" w:cs="Times New Roman"/>
          <w:sz w:val="24"/>
          <w:szCs w:val="24"/>
        </w:rPr>
        <w:t>b</w:t>
      </w:r>
      <w:r w:rsidR="00811F8F">
        <w:rPr>
          <w:rFonts w:ascii="Times New Roman" w:hAnsi="Times New Roman" w:cs="Times New Roman"/>
          <w:sz w:val="24"/>
          <w:szCs w:val="24"/>
        </w:rPr>
        <w:t>y assuming that Iran is directing Hezbollah behavi</w:t>
      </w:r>
      <w:r w:rsidR="00C96F8A">
        <w:rPr>
          <w:rFonts w:ascii="Times New Roman" w:hAnsi="Times New Roman" w:cs="Times New Roman"/>
          <w:sz w:val="24"/>
          <w:szCs w:val="24"/>
        </w:rPr>
        <w:t xml:space="preserve">or and activities, its </w:t>
      </w:r>
      <w:r w:rsidR="00853458">
        <w:rPr>
          <w:rFonts w:ascii="Times New Roman" w:hAnsi="Times New Roman" w:cs="Times New Roman"/>
          <w:sz w:val="24"/>
          <w:szCs w:val="24"/>
        </w:rPr>
        <w:t xml:space="preserve">decision </w:t>
      </w:r>
      <w:r w:rsidR="00811F8F">
        <w:rPr>
          <w:rFonts w:ascii="Times New Roman" w:hAnsi="Times New Roman" w:cs="Times New Roman"/>
          <w:sz w:val="24"/>
          <w:szCs w:val="24"/>
        </w:rPr>
        <w:t>making is reduced to being regionally-focused</w:t>
      </w:r>
      <w:r w:rsidR="007F1E21">
        <w:rPr>
          <w:rFonts w:ascii="Times New Roman" w:hAnsi="Times New Roman" w:cs="Times New Roman"/>
          <w:sz w:val="24"/>
          <w:szCs w:val="24"/>
        </w:rPr>
        <w:t>,</w:t>
      </w:r>
      <w:r w:rsidR="00811F8F">
        <w:rPr>
          <w:rFonts w:ascii="Times New Roman" w:hAnsi="Times New Roman" w:cs="Times New Roman"/>
          <w:sz w:val="24"/>
          <w:szCs w:val="24"/>
        </w:rPr>
        <w:t xml:space="preserve"> instead of state- and local-focused. For example, if Hezbollah’s decision to run for office in 1992 is viewed as driven by Iranian interests, the critical role of the Shiite community’s public opinion disappears from interest. </w:t>
      </w:r>
      <w:r w:rsidR="00C96F8A">
        <w:rPr>
          <w:rFonts w:ascii="Times New Roman" w:hAnsi="Times New Roman" w:cs="Times New Roman"/>
          <w:sz w:val="24"/>
          <w:szCs w:val="24"/>
        </w:rPr>
        <w:t>Furthermore</w:t>
      </w:r>
      <w:r w:rsidR="00811F8F">
        <w:rPr>
          <w:rFonts w:ascii="Times New Roman" w:hAnsi="Times New Roman" w:cs="Times New Roman"/>
          <w:sz w:val="24"/>
          <w:szCs w:val="24"/>
        </w:rPr>
        <w:t xml:space="preserve">, the principal-agent framework overestimates the ability, or desire, of the principal to direct, reign in, or change the agent’s behavior in some way. </w:t>
      </w:r>
    </w:p>
    <w:p w14:paraId="1F6321BA" w14:textId="77777777" w:rsidR="00811F8F" w:rsidRDefault="00811F8F" w:rsidP="007F1E2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7F1E21">
        <w:rPr>
          <w:rFonts w:ascii="Times New Roman" w:hAnsi="Times New Roman" w:cs="Times New Roman"/>
          <w:sz w:val="24"/>
          <w:szCs w:val="24"/>
        </w:rPr>
        <w:t>The value of t</w:t>
      </w:r>
      <w:r w:rsidR="00FE0733">
        <w:rPr>
          <w:rFonts w:ascii="Times New Roman" w:hAnsi="Times New Roman" w:cs="Times New Roman"/>
          <w:sz w:val="24"/>
          <w:szCs w:val="24"/>
        </w:rPr>
        <w:t>he a</w:t>
      </w:r>
      <w:r w:rsidR="00080F15">
        <w:rPr>
          <w:rFonts w:ascii="Times New Roman" w:hAnsi="Times New Roman" w:cs="Times New Roman"/>
          <w:sz w:val="24"/>
          <w:szCs w:val="24"/>
        </w:rPr>
        <w:t>lliance politics</w:t>
      </w:r>
      <w:r>
        <w:rPr>
          <w:rFonts w:ascii="Times New Roman" w:hAnsi="Times New Roman" w:cs="Times New Roman"/>
          <w:sz w:val="24"/>
          <w:szCs w:val="24"/>
        </w:rPr>
        <w:t xml:space="preserve"> framework</w:t>
      </w:r>
      <w:r w:rsidR="00FE0733">
        <w:rPr>
          <w:rFonts w:ascii="Times New Roman" w:hAnsi="Times New Roman" w:cs="Times New Roman"/>
          <w:sz w:val="24"/>
          <w:szCs w:val="24"/>
        </w:rPr>
        <w:t xml:space="preserve"> is </w:t>
      </w:r>
      <w:r w:rsidR="007F1E21">
        <w:rPr>
          <w:rFonts w:ascii="Times New Roman" w:hAnsi="Times New Roman" w:cs="Times New Roman"/>
          <w:sz w:val="24"/>
          <w:szCs w:val="24"/>
        </w:rPr>
        <w:t>apparent</w:t>
      </w:r>
      <w:r w:rsidR="00FE0733">
        <w:rPr>
          <w:rFonts w:ascii="Times New Roman" w:hAnsi="Times New Roman" w:cs="Times New Roman"/>
          <w:sz w:val="24"/>
          <w:szCs w:val="24"/>
        </w:rPr>
        <w:t xml:space="preserve"> </w:t>
      </w:r>
      <w:r>
        <w:rPr>
          <w:rFonts w:ascii="Times New Roman" w:hAnsi="Times New Roman" w:cs="Times New Roman"/>
          <w:sz w:val="24"/>
          <w:szCs w:val="24"/>
        </w:rPr>
        <w:t>when considering the ongoing tensions between Hezbollah and Israel, and</w:t>
      </w:r>
      <w:r w:rsidR="00C7435A">
        <w:rPr>
          <w:rFonts w:ascii="Times New Roman" w:hAnsi="Times New Roman" w:cs="Times New Roman"/>
          <w:sz w:val="24"/>
          <w:szCs w:val="24"/>
        </w:rPr>
        <w:t xml:space="preserve"> Iran’s role in these tensions. A</w:t>
      </w:r>
      <w:r>
        <w:rPr>
          <w:rFonts w:ascii="Times New Roman" w:hAnsi="Times New Roman" w:cs="Times New Roman"/>
          <w:sz w:val="24"/>
          <w:szCs w:val="24"/>
        </w:rPr>
        <w:t>s several analysts note: Iran did not provide Nasrallah with permission to conduct the operation against Israel on July 12 that led to the 2006 war in Lebanon.</w:t>
      </w:r>
      <w:r>
        <w:rPr>
          <w:rStyle w:val="FootnoteReference"/>
          <w:rFonts w:ascii="Times New Roman" w:hAnsi="Times New Roman" w:cs="Times New Roman"/>
          <w:sz w:val="24"/>
          <w:szCs w:val="24"/>
        </w:rPr>
        <w:footnoteReference w:id="110"/>
      </w:r>
      <w:r>
        <w:rPr>
          <w:rFonts w:ascii="Times New Roman" w:hAnsi="Times New Roman" w:cs="Times New Roman"/>
          <w:sz w:val="24"/>
          <w:szCs w:val="24"/>
        </w:rPr>
        <w:t xml:space="preserve"> While Iran benefitted from the war in certain ways (increased popular support and </w:t>
      </w:r>
      <w:r w:rsidR="007F1E21">
        <w:rPr>
          <w:rFonts w:ascii="Times New Roman" w:hAnsi="Times New Roman" w:cs="Times New Roman"/>
          <w:sz w:val="24"/>
          <w:szCs w:val="24"/>
        </w:rPr>
        <w:t xml:space="preserve">the </w:t>
      </w:r>
      <w:r>
        <w:rPr>
          <w:rFonts w:ascii="Times New Roman" w:hAnsi="Times New Roman" w:cs="Times New Roman"/>
          <w:sz w:val="24"/>
          <w:szCs w:val="24"/>
        </w:rPr>
        <w:t>view that Iran was actively resisting Israel), Middle East scholar Paul Salem assesses that Tehran “</w:t>
      </w:r>
      <w:r w:rsidRPr="00022200">
        <w:rPr>
          <w:rFonts w:ascii="Times New Roman" w:hAnsi="Times New Roman" w:cs="Times New Roman"/>
          <w:sz w:val="24"/>
          <w:szCs w:val="24"/>
        </w:rPr>
        <w:t>perceived the summer war to have very mixed results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11"/>
      </w:r>
      <w:r>
        <w:rPr>
          <w:rFonts w:ascii="Times New Roman" w:hAnsi="Times New Roman" w:cs="Times New Roman"/>
          <w:sz w:val="24"/>
          <w:szCs w:val="24"/>
        </w:rPr>
        <w:t xml:space="preserve"> This is due to the fact that the war decimated the Lebanese Shiite community, brought Hezbollah into conflict with other Lebanese political players, “</w:t>
      </w:r>
      <w:r w:rsidRPr="00022200">
        <w:rPr>
          <w:rFonts w:ascii="Times New Roman" w:hAnsi="Times New Roman" w:cs="Times New Roman"/>
          <w:sz w:val="24"/>
          <w:szCs w:val="24"/>
        </w:rPr>
        <w:t xml:space="preserve">wasted much of </w:t>
      </w:r>
      <w:proofErr w:type="spellStart"/>
      <w:r w:rsidRPr="00022200">
        <w:rPr>
          <w:rFonts w:ascii="Times New Roman" w:hAnsi="Times New Roman" w:cs="Times New Roman"/>
          <w:sz w:val="24"/>
          <w:szCs w:val="24"/>
        </w:rPr>
        <w:t>Hizbollah’s</w:t>
      </w:r>
      <w:proofErr w:type="spellEnd"/>
      <w:r w:rsidRPr="00022200">
        <w:rPr>
          <w:rFonts w:ascii="Times New Roman" w:hAnsi="Times New Roman" w:cs="Times New Roman"/>
          <w:sz w:val="24"/>
          <w:szCs w:val="24"/>
        </w:rPr>
        <w:t xml:space="preserve"> deterrent power for Iran before Iran could make use of it</w:t>
      </w:r>
      <w:r>
        <w:rPr>
          <w:rFonts w:ascii="Times New Roman" w:hAnsi="Times New Roman" w:cs="Times New Roman"/>
          <w:sz w:val="24"/>
          <w:szCs w:val="24"/>
        </w:rPr>
        <w:t>,” and increased sectarian tensions in the region.</w:t>
      </w:r>
      <w:r>
        <w:rPr>
          <w:rStyle w:val="FootnoteReference"/>
          <w:rFonts w:ascii="Times New Roman" w:hAnsi="Times New Roman" w:cs="Times New Roman"/>
          <w:sz w:val="24"/>
          <w:szCs w:val="24"/>
        </w:rPr>
        <w:footnoteReference w:id="112"/>
      </w:r>
      <w:r>
        <w:rPr>
          <w:rFonts w:ascii="Times New Roman" w:hAnsi="Times New Roman" w:cs="Times New Roman"/>
          <w:sz w:val="24"/>
          <w:szCs w:val="24"/>
        </w:rPr>
        <w:t xml:space="preserve"> On the deterrent point, Israeli analyst Nahum Barnea underscores that Iran had “</w:t>
      </w:r>
      <w:r w:rsidRPr="00997281">
        <w:rPr>
          <w:rFonts w:ascii="Times New Roman" w:hAnsi="Times New Roman" w:cs="Times New Roman"/>
          <w:sz w:val="24"/>
          <w:szCs w:val="24"/>
        </w:rPr>
        <w:t>planned</w:t>
      </w:r>
      <w:r>
        <w:rPr>
          <w:rFonts w:ascii="Times New Roman" w:hAnsi="Times New Roman" w:cs="Times New Roman"/>
          <w:sz w:val="24"/>
          <w:szCs w:val="24"/>
        </w:rPr>
        <w:t xml:space="preserve"> to use the threat of Hezbollah’</w:t>
      </w:r>
      <w:r w:rsidRPr="00997281">
        <w:rPr>
          <w:rFonts w:ascii="Times New Roman" w:hAnsi="Times New Roman" w:cs="Times New Roman"/>
          <w:sz w:val="24"/>
          <w:szCs w:val="24"/>
        </w:rPr>
        <w:t>s arsenal to deter Israel</w:t>
      </w:r>
      <w:r>
        <w:rPr>
          <w:rFonts w:ascii="Times New Roman" w:hAnsi="Times New Roman" w:cs="Times New Roman"/>
          <w:sz w:val="24"/>
          <w:szCs w:val="24"/>
        </w:rPr>
        <w:t xml:space="preserve"> from launching attacks on Iran’</w:t>
      </w:r>
      <w:r w:rsidRPr="00997281">
        <w:rPr>
          <w:rFonts w:ascii="Times New Roman" w:hAnsi="Times New Roman" w:cs="Times New Roman"/>
          <w:sz w:val="24"/>
          <w:szCs w:val="24"/>
        </w:rPr>
        <w:t>s nuclear installation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13"/>
      </w:r>
      <w:r>
        <w:rPr>
          <w:rFonts w:ascii="Times New Roman" w:hAnsi="Times New Roman" w:cs="Times New Roman"/>
          <w:sz w:val="24"/>
          <w:szCs w:val="24"/>
        </w:rPr>
        <w:t xml:space="preserve"> It is important to note that Iran was found to be in noncompliance with its Nuclear Nonproliferation Treaty safeguards agreement in September 2005.</w:t>
      </w:r>
      <w:r>
        <w:rPr>
          <w:rStyle w:val="FootnoteReference"/>
          <w:rFonts w:ascii="Times New Roman" w:hAnsi="Times New Roman" w:cs="Times New Roman"/>
          <w:sz w:val="24"/>
          <w:szCs w:val="24"/>
        </w:rPr>
        <w:footnoteReference w:id="114"/>
      </w:r>
      <w:r>
        <w:rPr>
          <w:rFonts w:ascii="Times New Roman" w:hAnsi="Times New Roman" w:cs="Times New Roman"/>
          <w:sz w:val="24"/>
          <w:szCs w:val="24"/>
        </w:rPr>
        <w:t xml:space="preserve"> Thus, deterrence against Israel would have b</w:t>
      </w:r>
      <w:r w:rsidR="007F1E21">
        <w:rPr>
          <w:rFonts w:ascii="Times New Roman" w:hAnsi="Times New Roman" w:cs="Times New Roman"/>
          <w:sz w:val="24"/>
          <w:szCs w:val="24"/>
        </w:rPr>
        <w:t xml:space="preserve">een important at this sensitive </w:t>
      </w:r>
      <w:r>
        <w:rPr>
          <w:rFonts w:ascii="Times New Roman" w:hAnsi="Times New Roman" w:cs="Times New Roman"/>
          <w:sz w:val="24"/>
          <w:szCs w:val="24"/>
        </w:rPr>
        <w:t>time. This more nuanced understanding of the war undercuts the traditional principal-agent narrative that a Western diplomat channeled on July 27: “</w:t>
      </w:r>
      <w:r w:rsidRPr="00022200">
        <w:rPr>
          <w:rFonts w:ascii="Times New Roman" w:hAnsi="Times New Roman" w:cs="Times New Roman"/>
          <w:sz w:val="24"/>
          <w:szCs w:val="24"/>
        </w:rPr>
        <w:t>Without any cost to Iran, Lebanon is getting devastated, Israel is taking hits, and the Iranians are getting distraction from the nuclear issue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15"/>
      </w:r>
      <w:r>
        <w:rPr>
          <w:rFonts w:ascii="Times New Roman" w:hAnsi="Times New Roman" w:cs="Times New Roman"/>
          <w:sz w:val="24"/>
          <w:szCs w:val="24"/>
        </w:rPr>
        <w:t xml:space="preserve"> In my reading of his or her interpretation, Iran encouraged Hezbollah to attack Israel as a way to distract from its domestic activities. This does not seem to be the case. </w:t>
      </w:r>
    </w:p>
    <w:p w14:paraId="39119332" w14:textId="77777777" w:rsidR="0033793A" w:rsidRDefault="0033793A" w:rsidP="007F1E21">
      <w:pPr>
        <w:spacing w:line="480" w:lineRule="auto"/>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1945"/>
        <w:gridCol w:w="1945"/>
        <w:gridCol w:w="1945"/>
        <w:gridCol w:w="2350"/>
      </w:tblGrid>
      <w:tr w:rsidR="00811F8F" w14:paraId="6878E1B4" w14:textId="77777777" w:rsidTr="00C7435A">
        <w:trPr>
          <w:trHeight w:val="374"/>
          <w:jc w:val="center"/>
        </w:trPr>
        <w:tc>
          <w:tcPr>
            <w:tcW w:w="8185" w:type="dxa"/>
            <w:gridSpan w:val="4"/>
            <w:shd w:val="clear" w:color="auto" w:fill="7F7F7F" w:themeFill="text1" w:themeFillTint="80"/>
            <w:vAlign w:val="center"/>
          </w:tcPr>
          <w:p w14:paraId="7248A899" w14:textId="77777777" w:rsidR="00811F8F" w:rsidRPr="006167C5" w:rsidRDefault="00811F8F" w:rsidP="000C0836">
            <w:pPr>
              <w:jc w:val="center"/>
              <w:rPr>
                <w:rFonts w:ascii="Times New Roman" w:hAnsi="Times New Roman" w:cs="Times New Roman"/>
                <w:b/>
                <w:bCs/>
                <w:sz w:val="20"/>
                <w:szCs w:val="20"/>
              </w:rPr>
            </w:pPr>
            <w:r w:rsidRPr="006167C5">
              <w:rPr>
                <w:rFonts w:ascii="Times New Roman" w:hAnsi="Times New Roman" w:cs="Times New Roman"/>
                <w:b/>
                <w:bCs/>
                <w:sz w:val="20"/>
                <w:szCs w:val="20"/>
              </w:rPr>
              <w:t>Scoring for elements of alliance bargaining power (</w:t>
            </w:r>
            <w:r w:rsidR="00C7435A">
              <w:rPr>
                <w:rFonts w:ascii="Times New Roman" w:hAnsi="Times New Roman" w:cs="Times New Roman"/>
                <w:b/>
                <w:bCs/>
                <w:sz w:val="20"/>
                <w:szCs w:val="20"/>
              </w:rPr>
              <w:t xml:space="preserve">adapted </w:t>
            </w:r>
            <w:r w:rsidRPr="006167C5">
              <w:rPr>
                <w:rFonts w:ascii="Times New Roman" w:hAnsi="Times New Roman" w:cs="Times New Roman"/>
                <w:b/>
                <w:bCs/>
                <w:sz w:val="20"/>
                <w:szCs w:val="20"/>
              </w:rPr>
              <w:t xml:space="preserve">from Snyder’s </w:t>
            </w:r>
            <w:r w:rsidRPr="006167C5">
              <w:rPr>
                <w:rFonts w:ascii="Times New Roman" w:hAnsi="Times New Roman" w:cs="Times New Roman"/>
                <w:b/>
                <w:bCs/>
                <w:i/>
                <w:iCs/>
                <w:sz w:val="20"/>
                <w:szCs w:val="20"/>
              </w:rPr>
              <w:t>Alliance Politics</w:t>
            </w:r>
            <w:r w:rsidRPr="006167C5">
              <w:rPr>
                <w:rFonts w:ascii="Times New Roman" w:hAnsi="Times New Roman" w:cs="Times New Roman"/>
                <w:b/>
                <w:bCs/>
                <w:sz w:val="20"/>
                <w:szCs w:val="20"/>
              </w:rPr>
              <w:t>)</w:t>
            </w:r>
          </w:p>
        </w:tc>
      </w:tr>
      <w:tr w:rsidR="00811F8F" w14:paraId="3EC0F6B6" w14:textId="77777777" w:rsidTr="00C7435A">
        <w:trPr>
          <w:trHeight w:val="374"/>
          <w:jc w:val="center"/>
        </w:trPr>
        <w:tc>
          <w:tcPr>
            <w:tcW w:w="1945" w:type="dxa"/>
            <w:shd w:val="clear" w:color="auto" w:fill="7F7F7F" w:themeFill="text1" w:themeFillTint="80"/>
            <w:vAlign w:val="center"/>
          </w:tcPr>
          <w:p w14:paraId="0077946E" w14:textId="77777777" w:rsidR="00811F8F" w:rsidRPr="00CE2823" w:rsidRDefault="00811F8F" w:rsidP="000C0836">
            <w:pPr>
              <w:jc w:val="center"/>
              <w:rPr>
                <w:rFonts w:ascii="Times New Roman" w:hAnsi="Times New Roman" w:cs="Times New Roman"/>
                <w:sz w:val="20"/>
                <w:szCs w:val="20"/>
              </w:rPr>
            </w:pPr>
          </w:p>
        </w:tc>
        <w:tc>
          <w:tcPr>
            <w:tcW w:w="1945" w:type="dxa"/>
            <w:shd w:val="clear" w:color="auto" w:fill="7F7F7F" w:themeFill="text1" w:themeFillTint="80"/>
            <w:vAlign w:val="center"/>
          </w:tcPr>
          <w:p w14:paraId="0685F1DE" w14:textId="77777777" w:rsidR="00811F8F" w:rsidRPr="006167C5" w:rsidRDefault="00811F8F" w:rsidP="000C0836">
            <w:pPr>
              <w:jc w:val="center"/>
              <w:rPr>
                <w:rFonts w:ascii="Times New Roman" w:hAnsi="Times New Roman" w:cs="Times New Roman"/>
                <w:i/>
                <w:iCs/>
                <w:sz w:val="20"/>
                <w:szCs w:val="20"/>
              </w:rPr>
            </w:pPr>
            <w:r w:rsidRPr="006167C5">
              <w:rPr>
                <w:rFonts w:ascii="Times New Roman" w:hAnsi="Times New Roman" w:cs="Times New Roman"/>
                <w:i/>
                <w:iCs/>
                <w:sz w:val="20"/>
                <w:szCs w:val="20"/>
              </w:rPr>
              <w:t>Interests</w:t>
            </w:r>
          </w:p>
        </w:tc>
        <w:tc>
          <w:tcPr>
            <w:tcW w:w="1945" w:type="dxa"/>
            <w:shd w:val="clear" w:color="auto" w:fill="7F7F7F" w:themeFill="text1" w:themeFillTint="80"/>
            <w:vAlign w:val="center"/>
          </w:tcPr>
          <w:p w14:paraId="5B9C8413" w14:textId="77777777" w:rsidR="00811F8F" w:rsidRPr="006167C5" w:rsidRDefault="00811F8F" w:rsidP="000C0836">
            <w:pPr>
              <w:jc w:val="center"/>
              <w:rPr>
                <w:rFonts w:ascii="Times New Roman" w:hAnsi="Times New Roman" w:cs="Times New Roman"/>
                <w:i/>
                <w:iCs/>
                <w:sz w:val="20"/>
                <w:szCs w:val="20"/>
              </w:rPr>
            </w:pPr>
            <w:r w:rsidRPr="006167C5">
              <w:rPr>
                <w:rFonts w:ascii="Times New Roman" w:hAnsi="Times New Roman" w:cs="Times New Roman"/>
                <w:i/>
                <w:iCs/>
                <w:sz w:val="20"/>
                <w:szCs w:val="20"/>
              </w:rPr>
              <w:t>Dependence</w:t>
            </w:r>
          </w:p>
        </w:tc>
        <w:tc>
          <w:tcPr>
            <w:tcW w:w="2350" w:type="dxa"/>
            <w:shd w:val="clear" w:color="auto" w:fill="7F7F7F" w:themeFill="text1" w:themeFillTint="80"/>
            <w:vAlign w:val="center"/>
          </w:tcPr>
          <w:p w14:paraId="1E83BB9B" w14:textId="77777777" w:rsidR="00811F8F" w:rsidRPr="006167C5" w:rsidRDefault="00811F8F" w:rsidP="000C0836">
            <w:pPr>
              <w:jc w:val="center"/>
              <w:rPr>
                <w:rFonts w:ascii="Times New Roman" w:hAnsi="Times New Roman" w:cs="Times New Roman"/>
                <w:i/>
                <w:iCs/>
                <w:sz w:val="20"/>
                <w:szCs w:val="20"/>
              </w:rPr>
            </w:pPr>
            <w:r w:rsidRPr="006167C5">
              <w:rPr>
                <w:rFonts w:ascii="Times New Roman" w:hAnsi="Times New Roman" w:cs="Times New Roman"/>
                <w:i/>
                <w:iCs/>
                <w:sz w:val="20"/>
                <w:szCs w:val="20"/>
              </w:rPr>
              <w:t>Commitment</w:t>
            </w:r>
          </w:p>
        </w:tc>
      </w:tr>
      <w:tr w:rsidR="00811F8F" w14:paraId="0BE064B8" w14:textId="77777777" w:rsidTr="00C7435A">
        <w:trPr>
          <w:trHeight w:val="188"/>
          <w:jc w:val="center"/>
        </w:trPr>
        <w:tc>
          <w:tcPr>
            <w:tcW w:w="1945" w:type="dxa"/>
            <w:shd w:val="clear" w:color="auto" w:fill="7F7F7F" w:themeFill="text1" w:themeFillTint="80"/>
            <w:vAlign w:val="center"/>
          </w:tcPr>
          <w:p w14:paraId="0BC56FF3" w14:textId="77777777" w:rsidR="00811F8F" w:rsidRPr="006167C5" w:rsidRDefault="00811F8F" w:rsidP="000C0836">
            <w:pPr>
              <w:jc w:val="center"/>
              <w:rPr>
                <w:rFonts w:ascii="Times New Roman" w:hAnsi="Times New Roman" w:cs="Times New Roman"/>
                <w:i/>
                <w:iCs/>
                <w:sz w:val="20"/>
                <w:szCs w:val="20"/>
              </w:rPr>
            </w:pPr>
            <w:r w:rsidRPr="006167C5">
              <w:rPr>
                <w:rFonts w:ascii="Times New Roman" w:hAnsi="Times New Roman" w:cs="Times New Roman"/>
                <w:i/>
                <w:iCs/>
                <w:sz w:val="20"/>
                <w:szCs w:val="20"/>
              </w:rPr>
              <w:t>High</w:t>
            </w:r>
          </w:p>
        </w:tc>
        <w:tc>
          <w:tcPr>
            <w:tcW w:w="1945" w:type="dxa"/>
            <w:vAlign w:val="center"/>
          </w:tcPr>
          <w:p w14:paraId="306469DC" w14:textId="77777777" w:rsidR="00811F8F" w:rsidRPr="00CE2823" w:rsidRDefault="00C7435A" w:rsidP="000C0836">
            <w:pPr>
              <w:jc w:val="center"/>
              <w:rPr>
                <w:rFonts w:ascii="Times New Roman" w:hAnsi="Times New Roman" w:cs="Times New Roman"/>
                <w:sz w:val="20"/>
                <w:szCs w:val="20"/>
              </w:rPr>
            </w:pPr>
            <w:r>
              <w:rPr>
                <w:rFonts w:ascii="Times New Roman" w:hAnsi="Times New Roman" w:cs="Times New Roman"/>
                <w:sz w:val="20"/>
                <w:szCs w:val="20"/>
              </w:rPr>
              <w:t>c</w:t>
            </w:r>
            <w:r w:rsidR="00811F8F">
              <w:rPr>
                <w:rFonts w:ascii="Times New Roman" w:hAnsi="Times New Roman" w:cs="Times New Roman"/>
                <w:sz w:val="20"/>
                <w:szCs w:val="20"/>
              </w:rPr>
              <w:t xml:space="preserve"> (stronger)</w:t>
            </w:r>
          </w:p>
        </w:tc>
        <w:tc>
          <w:tcPr>
            <w:tcW w:w="1945" w:type="dxa"/>
            <w:vAlign w:val="center"/>
          </w:tcPr>
          <w:p w14:paraId="173DF9B0" w14:textId="77777777" w:rsidR="00811F8F" w:rsidRPr="00CE2823" w:rsidRDefault="00C7435A" w:rsidP="000C0836">
            <w:pPr>
              <w:jc w:val="center"/>
              <w:rPr>
                <w:rFonts w:ascii="Times New Roman" w:hAnsi="Times New Roman" w:cs="Times New Roman"/>
                <w:sz w:val="20"/>
                <w:szCs w:val="20"/>
              </w:rPr>
            </w:pPr>
            <w:r>
              <w:rPr>
                <w:rFonts w:ascii="Times New Roman" w:hAnsi="Times New Roman" w:cs="Times New Roman"/>
                <w:sz w:val="20"/>
                <w:szCs w:val="20"/>
              </w:rPr>
              <w:t>a</w:t>
            </w:r>
            <w:r w:rsidR="00811F8F">
              <w:rPr>
                <w:rFonts w:ascii="Times New Roman" w:hAnsi="Times New Roman" w:cs="Times New Roman"/>
                <w:sz w:val="20"/>
                <w:szCs w:val="20"/>
              </w:rPr>
              <w:t xml:space="preserve"> (stronger)</w:t>
            </w:r>
          </w:p>
        </w:tc>
        <w:tc>
          <w:tcPr>
            <w:tcW w:w="2350" w:type="dxa"/>
            <w:vAlign w:val="center"/>
          </w:tcPr>
          <w:p w14:paraId="3FA08378" w14:textId="77777777" w:rsidR="00811F8F" w:rsidRPr="00CE2823" w:rsidRDefault="00C7435A" w:rsidP="000C0836">
            <w:pPr>
              <w:jc w:val="center"/>
              <w:rPr>
                <w:rFonts w:ascii="Times New Roman" w:hAnsi="Times New Roman" w:cs="Times New Roman"/>
                <w:sz w:val="20"/>
                <w:szCs w:val="20"/>
              </w:rPr>
            </w:pPr>
            <w:r>
              <w:rPr>
                <w:rFonts w:ascii="Times New Roman" w:hAnsi="Times New Roman" w:cs="Times New Roman"/>
                <w:sz w:val="20"/>
                <w:szCs w:val="20"/>
              </w:rPr>
              <w:t>a</w:t>
            </w:r>
            <w:r w:rsidR="00811F8F">
              <w:rPr>
                <w:rFonts w:ascii="Times New Roman" w:hAnsi="Times New Roman" w:cs="Times New Roman"/>
                <w:sz w:val="20"/>
                <w:szCs w:val="20"/>
              </w:rPr>
              <w:t xml:space="preserve"> (stronger)</w:t>
            </w:r>
          </w:p>
        </w:tc>
      </w:tr>
      <w:tr w:rsidR="00811F8F" w14:paraId="6D0EF067" w14:textId="77777777" w:rsidTr="00C7435A">
        <w:trPr>
          <w:trHeight w:val="197"/>
          <w:jc w:val="center"/>
        </w:trPr>
        <w:tc>
          <w:tcPr>
            <w:tcW w:w="1945" w:type="dxa"/>
            <w:shd w:val="clear" w:color="auto" w:fill="7F7F7F" w:themeFill="text1" w:themeFillTint="80"/>
            <w:vAlign w:val="center"/>
          </w:tcPr>
          <w:p w14:paraId="3A849D51" w14:textId="77777777" w:rsidR="00811F8F" w:rsidRPr="006167C5" w:rsidRDefault="00811F8F" w:rsidP="000C0836">
            <w:pPr>
              <w:jc w:val="center"/>
              <w:rPr>
                <w:rFonts w:ascii="Times New Roman" w:hAnsi="Times New Roman" w:cs="Times New Roman"/>
                <w:i/>
                <w:iCs/>
                <w:sz w:val="20"/>
                <w:szCs w:val="20"/>
              </w:rPr>
            </w:pPr>
            <w:r w:rsidRPr="006167C5">
              <w:rPr>
                <w:rFonts w:ascii="Times New Roman" w:hAnsi="Times New Roman" w:cs="Times New Roman"/>
                <w:i/>
                <w:iCs/>
                <w:sz w:val="20"/>
                <w:szCs w:val="20"/>
              </w:rPr>
              <w:t>Moderate</w:t>
            </w:r>
          </w:p>
        </w:tc>
        <w:tc>
          <w:tcPr>
            <w:tcW w:w="1945" w:type="dxa"/>
            <w:vAlign w:val="center"/>
          </w:tcPr>
          <w:p w14:paraId="0C94084B" w14:textId="77777777" w:rsidR="00811F8F" w:rsidRPr="00CE2823" w:rsidRDefault="00C7435A" w:rsidP="000C0836">
            <w:pPr>
              <w:jc w:val="center"/>
              <w:rPr>
                <w:rFonts w:ascii="Times New Roman" w:hAnsi="Times New Roman" w:cs="Times New Roman"/>
                <w:sz w:val="20"/>
                <w:szCs w:val="20"/>
              </w:rPr>
            </w:pPr>
            <w:r>
              <w:rPr>
                <w:rFonts w:ascii="Times New Roman" w:hAnsi="Times New Roman" w:cs="Times New Roman"/>
                <w:sz w:val="20"/>
                <w:szCs w:val="20"/>
              </w:rPr>
              <w:t>b</w:t>
            </w:r>
          </w:p>
        </w:tc>
        <w:tc>
          <w:tcPr>
            <w:tcW w:w="1945" w:type="dxa"/>
            <w:vAlign w:val="center"/>
          </w:tcPr>
          <w:p w14:paraId="260ECCE3" w14:textId="77777777" w:rsidR="00811F8F" w:rsidRPr="00CE2823" w:rsidRDefault="00C7435A" w:rsidP="000C0836">
            <w:pPr>
              <w:jc w:val="center"/>
              <w:rPr>
                <w:rFonts w:ascii="Times New Roman" w:hAnsi="Times New Roman" w:cs="Times New Roman"/>
                <w:sz w:val="20"/>
                <w:szCs w:val="20"/>
              </w:rPr>
            </w:pPr>
            <w:r>
              <w:rPr>
                <w:rFonts w:ascii="Times New Roman" w:hAnsi="Times New Roman" w:cs="Times New Roman"/>
                <w:sz w:val="20"/>
                <w:szCs w:val="20"/>
              </w:rPr>
              <w:t>b</w:t>
            </w:r>
          </w:p>
        </w:tc>
        <w:tc>
          <w:tcPr>
            <w:tcW w:w="2350" w:type="dxa"/>
            <w:vAlign w:val="center"/>
          </w:tcPr>
          <w:p w14:paraId="20D6D751" w14:textId="77777777" w:rsidR="00811F8F" w:rsidRPr="00CE2823" w:rsidRDefault="00C7435A" w:rsidP="000C0836">
            <w:pPr>
              <w:jc w:val="center"/>
              <w:rPr>
                <w:rFonts w:ascii="Times New Roman" w:hAnsi="Times New Roman" w:cs="Times New Roman"/>
                <w:sz w:val="20"/>
                <w:szCs w:val="20"/>
              </w:rPr>
            </w:pPr>
            <w:r>
              <w:rPr>
                <w:rFonts w:ascii="Times New Roman" w:hAnsi="Times New Roman" w:cs="Times New Roman"/>
                <w:sz w:val="20"/>
                <w:szCs w:val="20"/>
              </w:rPr>
              <w:t>b</w:t>
            </w:r>
          </w:p>
        </w:tc>
      </w:tr>
      <w:tr w:rsidR="00811F8F" w14:paraId="2CBB5C07" w14:textId="77777777" w:rsidTr="00C7435A">
        <w:trPr>
          <w:trHeight w:val="206"/>
          <w:jc w:val="center"/>
        </w:trPr>
        <w:tc>
          <w:tcPr>
            <w:tcW w:w="1945" w:type="dxa"/>
            <w:shd w:val="clear" w:color="auto" w:fill="7F7F7F" w:themeFill="text1" w:themeFillTint="80"/>
            <w:vAlign w:val="center"/>
          </w:tcPr>
          <w:p w14:paraId="71297F2C" w14:textId="77777777" w:rsidR="00811F8F" w:rsidRPr="006167C5" w:rsidRDefault="00811F8F" w:rsidP="000C0836">
            <w:pPr>
              <w:jc w:val="center"/>
              <w:rPr>
                <w:rFonts w:ascii="Times New Roman" w:hAnsi="Times New Roman" w:cs="Times New Roman"/>
                <w:i/>
                <w:iCs/>
                <w:sz w:val="20"/>
                <w:szCs w:val="20"/>
              </w:rPr>
            </w:pPr>
            <w:r w:rsidRPr="006167C5">
              <w:rPr>
                <w:rFonts w:ascii="Times New Roman" w:hAnsi="Times New Roman" w:cs="Times New Roman"/>
                <w:i/>
                <w:iCs/>
                <w:sz w:val="20"/>
                <w:szCs w:val="20"/>
              </w:rPr>
              <w:t>Low</w:t>
            </w:r>
          </w:p>
        </w:tc>
        <w:tc>
          <w:tcPr>
            <w:tcW w:w="1945" w:type="dxa"/>
            <w:vAlign w:val="center"/>
          </w:tcPr>
          <w:p w14:paraId="6000C094" w14:textId="77777777" w:rsidR="00811F8F" w:rsidRPr="00CE2823" w:rsidRDefault="00C7435A" w:rsidP="000C0836">
            <w:pPr>
              <w:jc w:val="center"/>
              <w:rPr>
                <w:rFonts w:ascii="Times New Roman" w:hAnsi="Times New Roman" w:cs="Times New Roman"/>
                <w:sz w:val="20"/>
                <w:szCs w:val="20"/>
              </w:rPr>
            </w:pPr>
            <w:r>
              <w:rPr>
                <w:rFonts w:ascii="Times New Roman" w:hAnsi="Times New Roman" w:cs="Times New Roman"/>
                <w:sz w:val="20"/>
                <w:szCs w:val="20"/>
              </w:rPr>
              <w:t>a</w:t>
            </w:r>
          </w:p>
        </w:tc>
        <w:tc>
          <w:tcPr>
            <w:tcW w:w="1945" w:type="dxa"/>
            <w:vAlign w:val="center"/>
          </w:tcPr>
          <w:p w14:paraId="17E8E8E0" w14:textId="77777777" w:rsidR="00811F8F" w:rsidRPr="00CE2823" w:rsidRDefault="00C7435A" w:rsidP="000C0836">
            <w:pPr>
              <w:jc w:val="center"/>
              <w:rPr>
                <w:rFonts w:ascii="Times New Roman" w:hAnsi="Times New Roman" w:cs="Times New Roman"/>
                <w:sz w:val="20"/>
                <w:szCs w:val="20"/>
              </w:rPr>
            </w:pPr>
            <w:r>
              <w:rPr>
                <w:rFonts w:ascii="Times New Roman" w:hAnsi="Times New Roman" w:cs="Times New Roman"/>
                <w:sz w:val="20"/>
                <w:szCs w:val="20"/>
              </w:rPr>
              <w:t>c</w:t>
            </w:r>
          </w:p>
        </w:tc>
        <w:tc>
          <w:tcPr>
            <w:tcW w:w="2350" w:type="dxa"/>
            <w:vAlign w:val="center"/>
          </w:tcPr>
          <w:p w14:paraId="5D3A9D8F" w14:textId="77777777" w:rsidR="00811F8F" w:rsidRPr="00CE2823" w:rsidRDefault="00C7435A" w:rsidP="000C0836">
            <w:pPr>
              <w:jc w:val="center"/>
              <w:rPr>
                <w:rFonts w:ascii="Times New Roman" w:hAnsi="Times New Roman" w:cs="Times New Roman"/>
                <w:sz w:val="20"/>
                <w:szCs w:val="20"/>
              </w:rPr>
            </w:pPr>
            <w:r>
              <w:rPr>
                <w:rFonts w:ascii="Times New Roman" w:hAnsi="Times New Roman" w:cs="Times New Roman"/>
                <w:sz w:val="20"/>
                <w:szCs w:val="20"/>
              </w:rPr>
              <w:t>c</w:t>
            </w:r>
          </w:p>
        </w:tc>
      </w:tr>
    </w:tbl>
    <w:p w14:paraId="2AC653A8" w14:textId="77777777" w:rsidR="00C7435A" w:rsidRDefault="00C7435A" w:rsidP="00811F8F">
      <w:pPr>
        <w:spacing w:line="480" w:lineRule="auto"/>
        <w:rPr>
          <w:rFonts w:ascii="Times New Roman" w:hAnsi="Times New Roman" w:cs="Times New Roman"/>
          <w:sz w:val="24"/>
          <w:szCs w:val="24"/>
        </w:rPr>
      </w:pPr>
    </w:p>
    <w:p w14:paraId="15842914" w14:textId="77777777" w:rsidR="00811F8F" w:rsidRDefault="00811F8F" w:rsidP="007F1E21">
      <w:pPr>
        <w:spacing w:line="480" w:lineRule="auto"/>
        <w:rPr>
          <w:rFonts w:ascii="Times New Roman" w:hAnsi="Times New Roman" w:cs="Times New Roman"/>
          <w:sz w:val="24"/>
          <w:szCs w:val="24"/>
        </w:rPr>
      </w:pPr>
      <w:r>
        <w:rPr>
          <w:rFonts w:ascii="Times New Roman" w:hAnsi="Times New Roman" w:cs="Times New Roman"/>
          <w:sz w:val="24"/>
          <w:szCs w:val="24"/>
        </w:rPr>
        <w:tab/>
        <w:t>My assessment is that in terms of alliance bargaining power in the lead-up to the 2006 war,</w:t>
      </w:r>
      <w:r w:rsidR="00C7435A">
        <w:rPr>
          <w:rFonts w:ascii="Times New Roman" w:hAnsi="Times New Roman" w:cs="Times New Roman"/>
          <w:sz w:val="24"/>
          <w:szCs w:val="24"/>
        </w:rPr>
        <w:t xml:space="preserve"> for Iran, interests were low (a), dependence was moderate (b</w:t>
      </w:r>
      <w:r>
        <w:rPr>
          <w:rFonts w:ascii="Times New Roman" w:hAnsi="Times New Roman" w:cs="Times New Roman"/>
          <w:sz w:val="24"/>
          <w:szCs w:val="24"/>
        </w:rPr>
        <w:t>)</w:t>
      </w:r>
      <w:r w:rsidR="00C7435A">
        <w:rPr>
          <w:rFonts w:ascii="Times New Roman" w:hAnsi="Times New Roman" w:cs="Times New Roman"/>
          <w:sz w:val="24"/>
          <w:szCs w:val="24"/>
        </w:rPr>
        <w:t>, and commitment was moderate (b</w:t>
      </w:r>
      <w:r>
        <w:rPr>
          <w:rFonts w:ascii="Times New Roman" w:hAnsi="Times New Roman" w:cs="Times New Roman"/>
          <w:sz w:val="24"/>
          <w:szCs w:val="24"/>
        </w:rPr>
        <w:t>). Iranian interests were low because previous Hezbollah kidnapping operations had resulted in only minor Israeli retaliation.</w:t>
      </w:r>
      <w:r>
        <w:rPr>
          <w:rStyle w:val="FootnoteReference"/>
          <w:rFonts w:ascii="Times New Roman" w:hAnsi="Times New Roman" w:cs="Times New Roman"/>
          <w:sz w:val="24"/>
          <w:szCs w:val="24"/>
        </w:rPr>
        <w:footnoteReference w:id="116"/>
      </w:r>
      <w:r>
        <w:rPr>
          <w:rFonts w:ascii="Times New Roman" w:hAnsi="Times New Roman" w:cs="Times New Roman"/>
          <w:sz w:val="24"/>
          <w:szCs w:val="24"/>
        </w:rPr>
        <w:t xml:space="preserve"> In addition, Iran did not particularly benefit from Israel being targeted at this time. For Hezbo</w:t>
      </w:r>
      <w:r w:rsidR="00C7435A">
        <w:rPr>
          <w:rFonts w:ascii="Times New Roman" w:hAnsi="Times New Roman" w:cs="Times New Roman"/>
          <w:sz w:val="24"/>
          <w:szCs w:val="24"/>
        </w:rPr>
        <w:t>llah, interests were moderate (b), dependence was moderate (b</w:t>
      </w:r>
      <w:r>
        <w:rPr>
          <w:rFonts w:ascii="Times New Roman" w:hAnsi="Times New Roman" w:cs="Times New Roman"/>
          <w:sz w:val="24"/>
          <w:szCs w:val="24"/>
        </w:rPr>
        <w:t>)</w:t>
      </w:r>
      <w:r w:rsidR="00C7435A">
        <w:rPr>
          <w:rFonts w:ascii="Times New Roman" w:hAnsi="Times New Roman" w:cs="Times New Roman"/>
          <w:sz w:val="24"/>
          <w:szCs w:val="24"/>
        </w:rPr>
        <w:t>, and commitment was moderate (b</w:t>
      </w:r>
      <w:r>
        <w:rPr>
          <w:rFonts w:ascii="Times New Roman" w:hAnsi="Times New Roman" w:cs="Times New Roman"/>
          <w:sz w:val="24"/>
          <w:szCs w:val="24"/>
        </w:rPr>
        <w:t>). Hezbollah interests were moderate because they desired another prisoner exchange (similar to the one that occurred in 2004). As Daher notes, “Nasrallah formally committed to doing his utmost to liberate the last Lebanese still languishing in the southern neighbor’s prisons.”</w:t>
      </w:r>
      <w:r>
        <w:rPr>
          <w:rStyle w:val="FootnoteReference"/>
          <w:rFonts w:ascii="Times New Roman" w:hAnsi="Times New Roman" w:cs="Times New Roman"/>
          <w:sz w:val="24"/>
          <w:szCs w:val="24"/>
        </w:rPr>
        <w:footnoteReference w:id="117"/>
      </w:r>
      <w:r>
        <w:rPr>
          <w:rFonts w:ascii="Times New Roman" w:hAnsi="Times New Roman" w:cs="Times New Roman"/>
          <w:sz w:val="24"/>
          <w:szCs w:val="24"/>
        </w:rPr>
        <w:t xml:space="preserve"> Thus, Hezbollah’s wishes would have prevailed over Iran’s even if Iran did want </w:t>
      </w:r>
      <w:r w:rsidR="007F1E21">
        <w:rPr>
          <w:rFonts w:ascii="Times New Roman" w:hAnsi="Times New Roman" w:cs="Times New Roman"/>
          <w:sz w:val="24"/>
          <w:szCs w:val="24"/>
        </w:rPr>
        <w:t xml:space="preserve">to </w:t>
      </w:r>
      <w:r>
        <w:rPr>
          <w:rFonts w:ascii="Times New Roman" w:hAnsi="Times New Roman" w:cs="Times New Roman"/>
          <w:sz w:val="24"/>
          <w:szCs w:val="24"/>
        </w:rPr>
        <w:t xml:space="preserve">influence Hezbollah. There is no evidence that they tried to influence the </w:t>
      </w:r>
      <w:r w:rsidR="007F1E21">
        <w:rPr>
          <w:rFonts w:ascii="Times New Roman" w:hAnsi="Times New Roman" w:cs="Times New Roman"/>
          <w:sz w:val="24"/>
          <w:szCs w:val="24"/>
        </w:rPr>
        <w:t>militia</w:t>
      </w:r>
      <w:r>
        <w:rPr>
          <w:rFonts w:ascii="Times New Roman" w:hAnsi="Times New Roman" w:cs="Times New Roman"/>
          <w:sz w:val="24"/>
          <w:szCs w:val="24"/>
        </w:rPr>
        <w:t>, however. This highlights Hezbollah’s</w:t>
      </w:r>
      <w:r w:rsidR="007F1E21">
        <w:rPr>
          <w:rFonts w:ascii="Times New Roman" w:hAnsi="Times New Roman" w:cs="Times New Roman"/>
          <w:sz w:val="24"/>
          <w:szCs w:val="24"/>
        </w:rPr>
        <w:t xml:space="preserve"> (</w:t>
      </w:r>
      <w:r w:rsidR="00C96F8A">
        <w:rPr>
          <w:rFonts w:ascii="Times New Roman" w:hAnsi="Times New Roman" w:cs="Times New Roman"/>
          <w:sz w:val="24"/>
          <w:szCs w:val="24"/>
        </w:rPr>
        <w:t>at least</w:t>
      </w:r>
      <w:r w:rsidR="007F1E21">
        <w:rPr>
          <w:rFonts w:ascii="Times New Roman" w:hAnsi="Times New Roman" w:cs="Times New Roman"/>
          <w:sz w:val="24"/>
          <w:szCs w:val="24"/>
        </w:rPr>
        <w:t>)</w:t>
      </w:r>
      <w:r w:rsidR="00C96F8A">
        <w:rPr>
          <w:rFonts w:ascii="Times New Roman" w:hAnsi="Times New Roman" w:cs="Times New Roman"/>
          <w:sz w:val="24"/>
          <w:szCs w:val="24"/>
        </w:rPr>
        <w:t xml:space="preserve"> partial auton</w:t>
      </w:r>
      <w:r w:rsidR="007F1E21">
        <w:rPr>
          <w:rFonts w:ascii="Times New Roman" w:hAnsi="Times New Roman" w:cs="Times New Roman"/>
          <w:sz w:val="24"/>
          <w:szCs w:val="24"/>
        </w:rPr>
        <w:t>omy in its dealings with Israel.</w:t>
      </w:r>
    </w:p>
    <w:p w14:paraId="0A289DF7" w14:textId="77777777" w:rsidR="00811F8F" w:rsidRDefault="00811F8F" w:rsidP="007F1E21">
      <w:pPr>
        <w:spacing w:line="480" w:lineRule="auto"/>
        <w:rPr>
          <w:rFonts w:ascii="Times New Roman" w:hAnsi="Times New Roman" w:cs="Times New Roman"/>
          <w:sz w:val="24"/>
          <w:szCs w:val="24"/>
        </w:rPr>
      </w:pPr>
      <w:r>
        <w:rPr>
          <w:rFonts w:ascii="Times New Roman" w:hAnsi="Times New Roman" w:cs="Times New Roman"/>
          <w:sz w:val="24"/>
          <w:szCs w:val="24"/>
        </w:rPr>
        <w:tab/>
      </w:r>
      <w:r w:rsidR="00C96F8A">
        <w:rPr>
          <w:rFonts w:ascii="Times New Roman" w:hAnsi="Times New Roman" w:cs="Times New Roman"/>
          <w:sz w:val="24"/>
          <w:szCs w:val="24"/>
        </w:rPr>
        <w:t xml:space="preserve">This is further evidenced by </w:t>
      </w:r>
      <w:r w:rsidR="00C7435A">
        <w:rPr>
          <w:rFonts w:ascii="Times New Roman" w:hAnsi="Times New Roman" w:cs="Times New Roman"/>
          <w:sz w:val="24"/>
          <w:szCs w:val="24"/>
        </w:rPr>
        <w:t>disagreements</w:t>
      </w:r>
      <w:r>
        <w:rPr>
          <w:rFonts w:ascii="Times New Roman" w:hAnsi="Times New Roman" w:cs="Times New Roman"/>
          <w:sz w:val="24"/>
          <w:szCs w:val="24"/>
        </w:rPr>
        <w:t xml:space="preserve"> between Hezbollah and Iran </w:t>
      </w:r>
      <w:r w:rsidR="00C7435A">
        <w:rPr>
          <w:rFonts w:ascii="Times New Roman" w:hAnsi="Times New Roman" w:cs="Times New Roman"/>
          <w:sz w:val="24"/>
          <w:szCs w:val="24"/>
        </w:rPr>
        <w:t xml:space="preserve">over </w:t>
      </w:r>
      <w:r w:rsidR="00C96F8A">
        <w:rPr>
          <w:rFonts w:ascii="Times New Roman" w:hAnsi="Times New Roman" w:cs="Times New Roman"/>
          <w:sz w:val="24"/>
          <w:szCs w:val="24"/>
        </w:rPr>
        <w:t xml:space="preserve">action related to </w:t>
      </w:r>
      <w:r w:rsidR="00C7435A">
        <w:rPr>
          <w:rFonts w:ascii="Times New Roman" w:hAnsi="Times New Roman" w:cs="Times New Roman"/>
          <w:sz w:val="24"/>
          <w:szCs w:val="24"/>
        </w:rPr>
        <w:t>Israel</w:t>
      </w:r>
      <w:r>
        <w:rPr>
          <w:rFonts w:ascii="Times New Roman" w:hAnsi="Times New Roman" w:cs="Times New Roman"/>
          <w:sz w:val="24"/>
          <w:szCs w:val="24"/>
        </w:rPr>
        <w:t>.</w:t>
      </w:r>
      <w:r w:rsidR="00C7435A" w:rsidRPr="00C7435A">
        <w:rPr>
          <w:rFonts w:ascii="Times New Roman" w:hAnsi="Times New Roman" w:cs="Times New Roman"/>
          <w:sz w:val="24"/>
          <w:szCs w:val="24"/>
        </w:rPr>
        <w:t xml:space="preserve"> </w:t>
      </w:r>
      <w:r w:rsidR="00C7435A">
        <w:rPr>
          <w:rFonts w:ascii="Times New Roman" w:hAnsi="Times New Roman" w:cs="Times New Roman"/>
          <w:sz w:val="24"/>
          <w:szCs w:val="24"/>
        </w:rPr>
        <w:t xml:space="preserve">To start, in at least two instances, </w:t>
      </w:r>
      <w:proofErr w:type="spellStart"/>
      <w:r w:rsidR="00C7435A">
        <w:rPr>
          <w:rFonts w:ascii="Times New Roman" w:hAnsi="Times New Roman" w:cs="Times New Roman"/>
          <w:sz w:val="24"/>
          <w:szCs w:val="24"/>
        </w:rPr>
        <w:t>Alagha</w:t>
      </w:r>
      <w:proofErr w:type="spellEnd"/>
      <w:r w:rsidR="00C7435A">
        <w:rPr>
          <w:rFonts w:ascii="Times New Roman" w:hAnsi="Times New Roman" w:cs="Times New Roman"/>
          <w:sz w:val="24"/>
          <w:szCs w:val="24"/>
        </w:rPr>
        <w:t xml:space="preserve"> argues, Hezbollah refused to abide by Iran’s “orders” since they did not “serve its overall interest.”</w:t>
      </w:r>
      <w:r w:rsidR="00C7435A">
        <w:rPr>
          <w:rStyle w:val="FootnoteReference"/>
          <w:rFonts w:ascii="Times New Roman" w:hAnsi="Times New Roman" w:cs="Times New Roman"/>
          <w:sz w:val="24"/>
          <w:szCs w:val="24"/>
        </w:rPr>
        <w:footnoteReference w:id="118"/>
      </w:r>
      <w:r w:rsidR="00C7435A">
        <w:rPr>
          <w:rFonts w:ascii="Times New Roman" w:hAnsi="Times New Roman" w:cs="Times New Roman"/>
          <w:sz w:val="24"/>
          <w:szCs w:val="24"/>
        </w:rPr>
        <w:t xml:space="preserve"> He says that during Ariel Sharon’s 2002 West Bank counterterrorism offensive and Ehud Barak’s 2008-2009 Gaza </w:t>
      </w:r>
      <w:r w:rsidR="00C7435A">
        <w:rPr>
          <w:rFonts w:ascii="Times New Roman" w:hAnsi="Times New Roman" w:cs="Times New Roman"/>
          <w:sz w:val="24"/>
          <w:szCs w:val="24"/>
        </w:rPr>
        <w:lastRenderedPageBreak/>
        <w:t xml:space="preserve">offensive (Operation Cast Lead), “Iran strongly urged </w:t>
      </w:r>
      <w:proofErr w:type="spellStart"/>
      <w:r w:rsidR="00C7435A">
        <w:rPr>
          <w:rFonts w:ascii="Times New Roman" w:hAnsi="Times New Roman" w:cs="Times New Roman"/>
          <w:sz w:val="24"/>
          <w:szCs w:val="24"/>
        </w:rPr>
        <w:t>Hizbullah</w:t>
      </w:r>
      <w:proofErr w:type="spellEnd"/>
      <w:r w:rsidR="00C7435A">
        <w:rPr>
          <w:rFonts w:ascii="Times New Roman" w:hAnsi="Times New Roman" w:cs="Times New Roman"/>
          <w:sz w:val="24"/>
          <w:szCs w:val="24"/>
        </w:rPr>
        <w:t xml:space="preserve"> to open the northern front across the Lebanese-Israeli border in order to release pressure on the Palestinians, but </w:t>
      </w:r>
      <w:proofErr w:type="spellStart"/>
      <w:r w:rsidR="00C7435A">
        <w:rPr>
          <w:rFonts w:ascii="Times New Roman" w:hAnsi="Times New Roman" w:cs="Times New Roman"/>
          <w:sz w:val="24"/>
          <w:szCs w:val="24"/>
        </w:rPr>
        <w:t>Hizbullah</w:t>
      </w:r>
      <w:proofErr w:type="spellEnd"/>
      <w:r w:rsidR="00C7435A">
        <w:rPr>
          <w:rFonts w:ascii="Times New Roman" w:hAnsi="Times New Roman" w:cs="Times New Roman"/>
          <w:sz w:val="24"/>
          <w:szCs w:val="24"/>
        </w:rPr>
        <w:t xml:space="preserve"> adamantly refused because such a move was considered detrimental to its national interest.”</w:t>
      </w:r>
      <w:r w:rsidR="00C7435A">
        <w:rPr>
          <w:rStyle w:val="FootnoteReference"/>
          <w:rFonts w:ascii="Times New Roman" w:hAnsi="Times New Roman" w:cs="Times New Roman"/>
          <w:sz w:val="24"/>
          <w:szCs w:val="24"/>
        </w:rPr>
        <w:footnoteReference w:id="119"/>
      </w:r>
      <w:r w:rsidR="00C7435A">
        <w:rPr>
          <w:rFonts w:ascii="Times New Roman" w:hAnsi="Times New Roman" w:cs="Times New Roman"/>
          <w:sz w:val="24"/>
          <w:szCs w:val="24"/>
        </w:rPr>
        <w:t xml:space="preserve"> In addition,</w:t>
      </w:r>
      <w:r w:rsidRPr="00BB746A">
        <w:rPr>
          <w:rFonts w:ascii="Times New Roman" w:hAnsi="Times New Roman" w:cs="Times New Roman"/>
          <w:sz w:val="24"/>
          <w:szCs w:val="24"/>
        </w:rPr>
        <w:t xml:space="preserve"> Iran </w:t>
      </w:r>
      <w:r>
        <w:rPr>
          <w:rFonts w:ascii="Times New Roman" w:hAnsi="Times New Roman" w:cs="Times New Roman"/>
          <w:sz w:val="24"/>
          <w:szCs w:val="24"/>
        </w:rPr>
        <w:t>scholar</w:t>
      </w:r>
      <w:r w:rsidRPr="00BB746A">
        <w:rPr>
          <w:rFonts w:ascii="Times New Roman" w:hAnsi="Times New Roman" w:cs="Times New Roman"/>
          <w:sz w:val="24"/>
          <w:szCs w:val="24"/>
        </w:rPr>
        <w:t xml:space="preserve"> Ali </w:t>
      </w:r>
      <w:proofErr w:type="spellStart"/>
      <w:r w:rsidRPr="00BB746A">
        <w:rPr>
          <w:rFonts w:ascii="Times New Roman" w:hAnsi="Times New Roman" w:cs="Times New Roman"/>
          <w:sz w:val="24"/>
          <w:szCs w:val="24"/>
        </w:rPr>
        <w:t>Alfoneh</w:t>
      </w:r>
      <w:proofErr w:type="spellEnd"/>
      <w:r w:rsidRPr="00BB746A">
        <w:rPr>
          <w:rFonts w:ascii="Times New Roman" w:hAnsi="Times New Roman" w:cs="Times New Roman"/>
          <w:sz w:val="24"/>
          <w:szCs w:val="24"/>
        </w:rPr>
        <w:t xml:space="preserve"> </w:t>
      </w:r>
      <w:r>
        <w:rPr>
          <w:rFonts w:ascii="Times New Roman" w:hAnsi="Times New Roman" w:cs="Times New Roman"/>
          <w:sz w:val="24"/>
          <w:szCs w:val="24"/>
        </w:rPr>
        <w:t xml:space="preserve">claims that Iranian media reports from May 2012 suggested that </w:t>
      </w:r>
      <w:r w:rsidR="007F1E21">
        <w:rPr>
          <w:rFonts w:ascii="Times New Roman" w:hAnsi="Times New Roman" w:cs="Times New Roman"/>
          <w:sz w:val="24"/>
          <w:szCs w:val="24"/>
        </w:rPr>
        <w:t>IRGC</w:t>
      </w:r>
      <w:r>
        <w:rPr>
          <w:rFonts w:ascii="Times New Roman" w:hAnsi="Times New Roman" w:cs="Times New Roman"/>
          <w:sz w:val="24"/>
          <w:szCs w:val="24"/>
        </w:rPr>
        <w:t xml:space="preserve"> Quds Force Commander </w:t>
      </w:r>
      <w:proofErr w:type="spellStart"/>
      <w:r>
        <w:rPr>
          <w:rFonts w:ascii="Times New Roman" w:hAnsi="Times New Roman" w:cs="Times New Roman"/>
          <w:sz w:val="24"/>
          <w:szCs w:val="24"/>
        </w:rPr>
        <w:t>Qassem</w:t>
      </w:r>
      <w:proofErr w:type="spellEnd"/>
      <w:r>
        <w:rPr>
          <w:rFonts w:ascii="Times New Roman" w:hAnsi="Times New Roman" w:cs="Times New Roman"/>
          <w:sz w:val="24"/>
          <w:szCs w:val="24"/>
        </w:rPr>
        <w:t xml:space="preserve"> Soleimani warned Nasrallah against preemptively striking Israel.</w:t>
      </w:r>
      <w:r>
        <w:rPr>
          <w:rStyle w:val="FootnoteReference"/>
          <w:rFonts w:ascii="Times New Roman" w:hAnsi="Times New Roman" w:cs="Times New Roman"/>
          <w:sz w:val="24"/>
          <w:szCs w:val="24"/>
        </w:rPr>
        <w:footnoteReference w:id="120"/>
      </w:r>
      <w:r>
        <w:rPr>
          <w:rFonts w:ascii="Times New Roman" w:hAnsi="Times New Roman" w:cs="Times New Roman"/>
          <w:sz w:val="24"/>
          <w:szCs w:val="24"/>
        </w:rPr>
        <w:t xml:space="preserve"> </w:t>
      </w:r>
      <w:proofErr w:type="spellStart"/>
      <w:r>
        <w:rPr>
          <w:rFonts w:ascii="Times New Roman" w:hAnsi="Times New Roman" w:cs="Times New Roman"/>
          <w:sz w:val="24"/>
          <w:szCs w:val="24"/>
        </w:rPr>
        <w:t>Alfoneh</w:t>
      </w:r>
      <w:proofErr w:type="spellEnd"/>
      <w:r>
        <w:rPr>
          <w:rFonts w:ascii="Times New Roman" w:hAnsi="Times New Roman" w:cs="Times New Roman"/>
          <w:sz w:val="24"/>
          <w:szCs w:val="24"/>
        </w:rPr>
        <w:t xml:space="preserve"> believes Iran’s warning was a response to a televised speech by Nasrallah in which he openly threatened Israel. At this point in time, Iran had a high interest in preventing a conflict between Hezbollah and Israel; Israel was reportedly preparing to attack Iran in April, May, or June of 2012 because of its </w:t>
      </w:r>
      <w:r w:rsidR="007F1E21">
        <w:rPr>
          <w:rFonts w:ascii="Times New Roman" w:hAnsi="Times New Roman" w:cs="Times New Roman"/>
          <w:sz w:val="24"/>
          <w:szCs w:val="24"/>
        </w:rPr>
        <w:t>expanding</w:t>
      </w:r>
      <w:r>
        <w:rPr>
          <w:rFonts w:ascii="Times New Roman" w:hAnsi="Times New Roman" w:cs="Times New Roman"/>
          <w:sz w:val="24"/>
          <w:szCs w:val="24"/>
        </w:rPr>
        <w:t xml:space="preserve"> nuclear program.</w:t>
      </w:r>
      <w:r>
        <w:rPr>
          <w:rStyle w:val="FootnoteReference"/>
          <w:rFonts w:ascii="Times New Roman" w:hAnsi="Times New Roman" w:cs="Times New Roman"/>
          <w:sz w:val="24"/>
          <w:szCs w:val="24"/>
        </w:rPr>
        <w:footnoteReference w:id="121"/>
      </w:r>
      <w:r w:rsidR="007F1E21">
        <w:rPr>
          <w:rFonts w:ascii="Times New Roman" w:hAnsi="Times New Roman" w:cs="Times New Roman"/>
          <w:sz w:val="24"/>
          <w:szCs w:val="24"/>
        </w:rPr>
        <w:t xml:space="preserve"> In addition, </w:t>
      </w:r>
      <w:proofErr w:type="spellStart"/>
      <w:r w:rsidR="007F1E21">
        <w:rPr>
          <w:rFonts w:ascii="Times New Roman" w:hAnsi="Times New Roman" w:cs="Times New Roman"/>
          <w:sz w:val="24"/>
          <w:szCs w:val="24"/>
        </w:rPr>
        <w:t>Alfoneh</w:t>
      </w:r>
      <w:proofErr w:type="spellEnd"/>
      <w:r w:rsidR="007F1E21">
        <w:rPr>
          <w:rFonts w:ascii="Times New Roman" w:hAnsi="Times New Roman" w:cs="Times New Roman"/>
          <w:sz w:val="24"/>
          <w:szCs w:val="24"/>
        </w:rPr>
        <w:t xml:space="preserve"> wrote</w:t>
      </w:r>
      <w:r>
        <w:rPr>
          <w:rFonts w:ascii="Times New Roman" w:hAnsi="Times New Roman" w:cs="Times New Roman"/>
          <w:sz w:val="24"/>
          <w:szCs w:val="24"/>
        </w:rPr>
        <w:t xml:space="preserve"> that “</w:t>
      </w:r>
      <w:r w:rsidRPr="003B574C">
        <w:rPr>
          <w:rFonts w:ascii="Times New Roman" w:hAnsi="Times New Roman" w:cs="Times New Roman"/>
          <w:sz w:val="24"/>
          <w:szCs w:val="24"/>
        </w:rPr>
        <w:t>Tehran may fear that Hezbollah, fearing improvement of relations between Iran and the West, is planning to spoil t</w:t>
      </w:r>
      <w:r>
        <w:rPr>
          <w:rFonts w:ascii="Times New Roman" w:hAnsi="Times New Roman" w:cs="Times New Roman"/>
          <w:sz w:val="24"/>
          <w:szCs w:val="24"/>
        </w:rPr>
        <w:t>he Baghdad nuclear negotiations.”</w:t>
      </w:r>
      <w:r>
        <w:rPr>
          <w:rStyle w:val="FootnoteReference"/>
          <w:rFonts w:ascii="Times New Roman" w:hAnsi="Times New Roman" w:cs="Times New Roman"/>
          <w:sz w:val="24"/>
          <w:szCs w:val="24"/>
        </w:rPr>
        <w:footnoteReference w:id="122"/>
      </w:r>
      <w:r>
        <w:rPr>
          <w:rFonts w:ascii="Times New Roman" w:hAnsi="Times New Roman" w:cs="Times New Roman"/>
          <w:sz w:val="24"/>
          <w:szCs w:val="24"/>
        </w:rPr>
        <w:t xml:space="preserve"> While this is speculative, it is interesting to consider the potential power a militia has over its </w:t>
      </w:r>
      <w:r w:rsidR="007F1E21">
        <w:rPr>
          <w:rFonts w:ascii="Times New Roman" w:hAnsi="Times New Roman" w:cs="Times New Roman"/>
          <w:sz w:val="24"/>
          <w:szCs w:val="24"/>
        </w:rPr>
        <w:t>state sponsor</w:t>
      </w:r>
      <w:r>
        <w:rPr>
          <w:rFonts w:ascii="Times New Roman" w:hAnsi="Times New Roman" w:cs="Times New Roman"/>
          <w:sz w:val="24"/>
          <w:szCs w:val="24"/>
        </w:rPr>
        <w:t xml:space="preserve"> if it can threaten to be a spoiler. This incident can only be viewed as a counter-factual; i.e. would Hezbollah have struck Israel if it had not been warned by Iran? It is especially difficult to assess because it is unclear whether Hezbollah wanted to act against Israel at this time. But, even if they did, Iran would likely be able to reign in the militia because its interests in this matter were high.</w:t>
      </w:r>
      <w:r w:rsidR="00C7435A">
        <w:rPr>
          <w:rFonts w:ascii="Times New Roman" w:hAnsi="Times New Roman" w:cs="Times New Roman"/>
          <w:sz w:val="24"/>
          <w:szCs w:val="24"/>
        </w:rPr>
        <w:t xml:space="preserve"> These examples</w:t>
      </w:r>
      <w:r w:rsidR="00C96F8A">
        <w:rPr>
          <w:rFonts w:ascii="Times New Roman" w:hAnsi="Times New Roman" w:cs="Times New Roman"/>
          <w:sz w:val="24"/>
          <w:szCs w:val="24"/>
        </w:rPr>
        <w:t xml:space="preserve"> are especially interesting given that Israel is </w:t>
      </w:r>
      <w:r w:rsidR="00C7435A">
        <w:rPr>
          <w:rFonts w:ascii="Times New Roman" w:hAnsi="Times New Roman" w:cs="Times New Roman"/>
          <w:sz w:val="24"/>
          <w:szCs w:val="24"/>
        </w:rPr>
        <w:t>one of</w:t>
      </w:r>
      <w:r w:rsidR="00C96F8A">
        <w:rPr>
          <w:rFonts w:ascii="Times New Roman" w:hAnsi="Times New Roman" w:cs="Times New Roman"/>
          <w:sz w:val="24"/>
          <w:szCs w:val="24"/>
        </w:rPr>
        <w:t xml:space="preserve"> Iran’s highest priorities</w:t>
      </w:r>
      <w:r w:rsidR="00C7435A">
        <w:rPr>
          <w:rFonts w:ascii="Times New Roman" w:hAnsi="Times New Roman" w:cs="Times New Roman"/>
          <w:sz w:val="24"/>
          <w:szCs w:val="24"/>
        </w:rPr>
        <w:t>.</w:t>
      </w:r>
    </w:p>
    <w:p w14:paraId="5340BAF6" w14:textId="77777777" w:rsidR="00673239" w:rsidRDefault="0096139B" w:rsidP="000D45D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 final example involves Hezbollah’s participation in the Syrian civil war. </w:t>
      </w:r>
      <w:r w:rsidRPr="000908B2">
        <w:rPr>
          <w:rFonts w:ascii="Times New Roman" w:hAnsi="Times New Roman" w:cs="Times New Roman"/>
          <w:sz w:val="24"/>
          <w:szCs w:val="24"/>
        </w:rPr>
        <w:t xml:space="preserve">When </w:t>
      </w:r>
      <w:r>
        <w:rPr>
          <w:rFonts w:ascii="Times New Roman" w:hAnsi="Times New Roman" w:cs="Times New Roman"/>
          <w:sz w:val="24"/>
          <w:szCs w:val="24"/>
        </w:rPr>
        <w:t xml:space="preserve">Syrian President </w:t>
      </w:r>
      <w:r w:rsidRPr="000908B2">
        <w:rPr>
          <w:rFonts w:ascii="Times New Roman" w:hAnsi="Times New Roman" w:cs="Times New Roman"/>
          <w:sz w:val="24"/>
          <w:szCs w:val="24"/>
        </w:rPr>
        <w:t>Bashar al-Assad</w:t>
      </w:r>
      <w:r>
        <w:rPr>
          <w:rFonts w:ascii="Times New Roman" w:hAnsi="Times New Roman" w:cs="Times New Roman"/>
          <w:sz w:val="24"/>
          <w:szCs w:val="24"/>
        </w:rPr>
        <w:t xml:space="preserve"> </w:t>
      </w:r>
      <w:r w:rsidR="000D45DF">
        <w:rPr>
          <w:rFonts w:ascii="Times New Roman" w:hAnsi="Times New Roman" w:cs="Times New Roman"/>
          <w:sz w:val="24"/>
          <w:szCs w:val="24"/>
        </w:rPr>
        <w:t xml:space="preserve">(who is an Alawite, a “sect” of Shi’ism) </w:t>
      </w:r>
      <w:r>
        <w:rPr>
          <w:rFonts w:ascii="Times New Roman" w:hAnsi="Times New Roman" w:cs="Times New Roman"/>
          <w:sz w:val="24"/>
          <w:szCs w:val="24"/>
        </w:rPr>
        <w:t>was faced with a growing domestic opposition movement in 2011, Hezbollah</w:t>
      </w:r>
      <w:r w:rsidR="00C96F8A">
        <w:rPr>
          <w:rFonts w:ascii="Times New Roman" w:hAnsi="Times New Roman" w:cs="Times New Roman"/>
          <w:sz w:val="24"/>
          <w:szCs w:val="24"/>
        </w:rPr>
        <w:t>’s leaders were</w:t>
      </w:r>
      <w:r>
        <w:rPr>
          <w:rFonts w:ascii="Times New Roman" w:hAnsi="Times New Roman" w:cs="Times New Roman"/>
          <w:sz w:val="24"/>
          <w:szCs w:val="24"/>
        </w:rPr>
        <w:t xml:space="preserve"> conflicted. Syria analyst Christopher Phillips explains that Assad’s toppling would be an “existential threat” to Hezbollah; </w:t>
      </w:r>
      <w:r>
        <w:rPr>
          <w:rFonts w:ascii="Times New Roman" w:hAnsi="Times New Roman" w:cs="Times New Roman"/>
          <w:sz w:val="24"/>
          <w:szCs w:val="24"/>
        </w:rPr>
        <w:lastRenderedPageBreak/>
        <w:t>however, “the costs of supporting Assad in his repression were [also] potentially great.”</w:t>
      </w:r>
      <w:r>
        <w:rPr>
          <w:rStyle w:val="FootnoteReference"/>
          <w:rFonts w:ascii="Times New Roman" w:hAnsi="Times New Roman" w:cs="Times New Roman"/>
          <w:sz w:val="24"/>
          <w:szCs w:val="24"/>
        </w:rPr>
        <w:footnoteReference w:id="123"/>
      </w:r>
      <w:r>
        <w:rPr>
          <w:rFonts w:ascii="Times New Roman" w:hAnsi="Times New Roman" w:cs="Times New Roman"/>
          <w:sz w:val="24"/>
          <w:szCs w:val="24"/>
        </w:rPr>
        <w:t xml:space="preserve"> This was due to the fact that any intervention on behalf of Assad would inevitably been seen as intervention against Sunnis, which could hurt Hezbollah’s reputation domestically and i</w:t>
      </w:r>
      <w:r w:rsidR="007F1E21">
        <w:rPr>
          <w:rFonts w:ascii="Times New Roman" w:hAnsi="Times New Roman" w:cs="Times New Roman"/>
          <w:sz w:val="24"/>
          <w:szCs w:val="24"/>
        </w:rPr>
        <w:t>nternationally. Daher also notes</w:t>
      </w:r>
      <w:r>
        <w:rPr>
          <w:rFonts w:ascii="Times New Roman" w:hAnsi="Times New Roman" w:cs="Times New Roman"/>
          <w:sz w:val="24"/>
          <w:szCs w:val="24"/>
        </w:rPr>
        <w:t xml:space="preserve"> this reputational concern: Nasrallah’s statement in early 2011 that he supported a negotiated solution to the conflict led his “image as a pan-Arab hero</w:t>
      </w:r>
      <w:r w:rsidR="00012CB3">
        <w:rPr>
          <w:rFonts w:ascii="Times New Roman" w:hAnsi="Times New Roman" w:cs="Times New Roman"/>
          <w:sz w:val="24"/>
          <w:szCs w:val="24"/>
        </w:rPr>
        <w:t>… [</w:t>
      </w:r>
      <w:r>
        <w:rPr>
          <w:rFonts w:ascii="Times New Roman" w:hAnsi="Times New Roman" w:cs="Times New Roman"/>
          <w:sz w:val="24"/>
          <w:szCs w:val="24"/>
        </w:rPr>
        <w:t>to] suffer considerably.”</w:t>
      </w:r>
      <w:r>
        <w:rPr>
          <w:rStyle w:val="FootnoteReference"/>
          <w:rFonts w:ascii="Times New Roman" w:hAnsi="Times New Roman" w:cs="Times New Roman"/>
          <w:sz w:val="24"/>
          <w:szCs w:val="24"/>
        </w:rPr>
        <w:footnoteReference w:id="124"/>
      </w:r>
      <w:r>
        <w:rPr>
          <w:rFonts w:ascii="Times New Roman" w:hAnsi="Times New Roman" w:cs="Times New Roman"/>
          <w:sz w:val="24"/>
          <w:szCs w:val="24"/>
        </w:rPr>
        <w:t xml:space="preserve"> These potential negative repercussions led Nasrallah to delay Hezbollah’s </w:t>
      </w:r>
      <w:r w:rsidR="000D45DF">
        <w:rPr>
          <w:rFonts w:ascii="Times New Roman" w:hAnsi="Times New Roman" w:cs="Times New Roman"/>
          <w:sz w:val="24"/>
          <w:szCs w:val="24"/>
        </w:rPr>
        <w:t xml:space="preserve">overt </w:t>
      </w:r>
      <w:r>
        <w:rPr>
          <w:rFonts w:ascii="Times New Roman" w:hAnsi="Times New Roman" w:cs="Times New Roman"/>
          <w:sz w:val="24"/>
          <w:szCs w:val="24"/>
        </w:rPr>
        <w:t>involvement unti</w:t>
      </w:r>
      <w:r w:rsidR="007F1E21">
        <w:rPr>
          <w:rFonts w:ascii="Times New Roman" w:hAnsi="Times New Roman" w:cs="Times New Roman"/>
          <w:sz w:val="24"/>
          <w:szCs w:val="24"/>
        </w:rPr>
        <w:t xml:space="preserve">l Assad’s military position was severely </w:t>
      </w:r>
      <w:r>
        <w:rPr>
          <w:rFonts w:ascii="Times New Roman" w:hAnsi="Times New Roman" w:cs="Times New Roman"/>
          <w:sz w:val="24"/>
          <w:szCs w:val="24"/>
        </w:rPr>
        <w:t xml:space="preserve">threatened. </w:t>
      </w:r>
    </w:p>
    <w:p w14:paraId="75514BFA" w14:textId="77777777" w:rsidR="0096139B" w:rsidRDefault="00673239" w:rsidP="00673239">
      <w:pPr>
        <w:spacing w:line="480" w:lineRule="auto"/>
        <w:rPr>
          <w:rFonts w:ascii="Times New Roman" w:hAnsi="Times New Roman" w:cs="Times New Roman"/>
          <w:sz w:val="24"/>
          <w:szCs w:val="24"/>
        </w:rPr>
      </w:pPr>
      <w:r>
        <w:rPr>
          <w:rFonts w:ascii="Times New Roman" w:hAnsi="Times New Roman" w:cs="Times New Roman"/>
          <w:sz w:val="24"/>
          <w:szCs w:val="24"/>
        </w:rPr>
        <w:tab/>
      </w:r>
      <w:r w:rsidR="0096139B">
        <w:rPr>
          <w:rFonts w:ascii="Times New Roman" w:hAnsi="Times New Roman" w:cs="Times New Roman"/>
          <w:sz w:val="24"/>
          <w:szCs w:val="24"/>
        </w:rPr>
        <w:t>Some</w:t>
      </w:r>
      <w:r w:rsidR="007F1E21">
        <w:rPr>
          <w:rFonts w:ascii="Times New Roman" w:hAnsi="Times New Roman" w:cs="Times New Roman"/>
          <w:sz w:val="24"/>
          <w:szCs w:val="24"/>
        </w:rPr>
        <w:t xml:space="preserve"> scholars</w:t>
      </w:r>
      <w:r w:rsidR="0096139B">
        <w:rPr>
          <w:rFonts w:ascii="Times New Roman" w:hAnsi="Times New Roman" w:cs="Times New Roman"/>
          <w:sz w:val="24"/>
          <w:szCs w:val="24"/>
        </w:rPr>
        <w:t xml:space="preserve"> have portrayed Hezbollah’s entrance into </w:t>
      </w:r>
      <w:r w:rsidR="007F1E21">
        <w:rPr>
          <w:rFonts w:ascii="Times New Roman" w:hAnsi="Times New Roman" w:cs="Times New Roman"/>
          <w:sz w:val="24"/>
          <w:szCs w:val="24"/>
        </w:rPr>
        <w:t xml:space="preserve">the </w:t>
      </w:r>
      <w:r w:rsidR="0096139B">
        <w:rPr>
          <w:rFonts w:ascii="Times New Roman" w:hAnsi="Times New Roman" w:cs="Times New Roman"/>
          <w:sz w:val="24"/>
          <w:szCs w:val="24"/>
        </w:rPr>
        <w:t>Syria</w:t>
      </w:r>
      <w:r w:rsidR="007F1E21">
        <w:rPr>
          <w:rFonts w:ascii="Times New Roman" w:hAnsi="Times New Roman" w:cs="Times New Roman"/>
          <w:sz w:val="24"/>
          <w:szCs w:val="24"/>
        </w:rPr>
        <w:t>n civil war</w:t>
      </w:r>
      <w:r w:rsidR="0096139B">
        <w:rPr>
          <w:rFonts w:ascii="Times New Roman" w:hAnsi="Times New Roman" w:cs="Times New Roman"/>
          <w:sz w:val="24"/>
          <w:szCs w:val="24"/>
        </w:rPr>
        <w:t xml:space="preserve"> as being directed by Iran. Terrorism expert Daniel </w:t>
      </w:r>
      <w:proofErr w:type="spellStart"/>
      <w:r w:rsidR="0096139B">
        <w:rPr>
          <w:rFonts w:ascii="Times New Roman" w:hAnsi="Times New Roman" w:cs="Times New Roman"/>
          <w:sz w:val="24"/>
          <w:szCs w:val="24"/>
        </w:rPr>
        <w:t>Byman</w:t>
      </w:r>
      <w:proofErr w:type="spellEnd"/>
      <w:r w:rsidR="0096139B">
        <w:rPr>
          <w:rFonts w:ascii="Times New Roman" w:hAnsi="Times New Roman" w:cs="Times New Roman"/>
          <w:sz w:val="24"/>
          <w:szCs w:val="24"/>
        </w:rPr>
        <w:t xml:space="preserve"> testified in 2016 that: “</w:t>
      </w:r>
      <w:r w:rsidR="0096139B" w:rsidRPr="008F09F7">
        <w:rPr>
          <w:rFonts w:ascii="Times New Roman" w:hAnsi="Times New Roman" w:cs="Times New Roman"/>
          <w:sz w:val="24"/>
          <w:szCs w:val="24"/>
        </w:rPr>
        <w:t>Even more important, Hizballah’s closest ally, Iran was calling in all its favors and saw the potential fall of its ally in Damascus as a calamity.</w:t>
      </w:r>
      <w:r w:rsidR="0096139B">
        <w:rPr>
          <w:rFonts w:ascii="Times New Roman" w:hAnsi="Times New Roman" w:cs="Times New Roman"/>
          <w:sz w:val="24"/>
          <w:szCs w:val="24"/>
        </w:rPr>
        <w:t>”</w:t>
      </w:r>
      <w:r w:rsidR="0096139B">
        <w:rPr>
          <w:rStyle w:val="FootnoteReference"/>
          <w:rFonts w:ascii="Times New Roman" w:hAnsi="Times New Roman" w:cs="Times New Roman"/>
          <w:sz w:val="24"/>
          <w:szCs w:val="24"/>
        </w:rPr>
        <w:footnoteReference w:id="125"/>
      </w:r>
      <w:r w:rsidR="0096139B" w:rsidRPr="008F09F7">
        <w:rPr>
          <w:rFonts w:ascii="Times New Roman" w:hAnsi="Times New Roman" w:cs="Times New Roman"/>
          <w:sz w:val="24"/>
          <w:szCs w:val="24"/>
        </w:rPr>
        <w:t> </w:t>
      </w:r>
      <w:r w:rsidR="0096139B">
        <w:rPr>
          <w:rFonts w:ascii="Times New Roman" w:hAnsi="Times New Roman" w:cs="Times New Roman"/>
          <w:sz w:val="24"/>
          <w:szCs w:val="24"/>
        </w:rPr>
        <w:t xml:space="preserve">However, many experts </w:t>
      </w:r>
      <w:r>
        <w:rPr>
          <w:rFonts w:ascii="Times New Roman" w:hAnsi="Times New Roman" w:cs="Times New Roman"/>
          <w:sz w:val="24"/>
          <w:szCs w:val="24"/>
        </w:rPr>
        <w:t xml:space="preserve">actually </w:t>
      </w:r>
      <w:r w:rsidR="0096139B">
        <w:rPr>
          <w:rFonts w:ascii="Times New Roman" w:hAnsi="Times New Roman" w:cs="Times New Roman"/>
          <w:sz w:val="24"/>
          <w:szCs w:val="24"/>
        </w:rPr>
        <w:t>see Hezbollah’s involvement</w:t>
      </w:r>
      <w:r>
        <w:rPr>
          <w:rFonts w:ascii="Times New Roman" w:hAnsi="Times New Roman" w:cs="Times New Roman"/>
          <w:sz w:val="24"/>
          <w:szCs w:val="24"/>
        </w:rPr>
        <w:t xml:space="preserve"> as being driven by its </w:t>
      </w:r>
      <w:r w:rsidR="0096139B">
        <w:rPr>
          <w:rFonts w:ascii="Times New Roman" w:hAnsi="Times New Roman" w:cs="Times New Roman"/>
          <w:sz w:val="24"/>
          <w:szCs w:val="24"/>
        </w:rPr>
        <w:t>own interests, not Iran’s. In the words of Al-</w:t>
      </w:r>
      <w:proofErr w:type="spellStart"/>
      <w:r w:rsidR="0096139B">
        <w:rPr>
          <w:rFonts w:ascii="Times New Roman" w:hAnsi="Times New Roman" w:cs="Times New Roman"/>
          <w:sz w:val="24"/>
          <w:szCs w:val="24"/>
        </w:rPr>
        <w:t>Aloosy</w:t>
      </w:r>
      <w:proofErr w:type="spellEnd"/>
      <w:r w:rsidR="0096139B">
        <w:rPr>
          <w:rFonts w:ascii="Times New Roman" w:hAnsi="Times New Roman" w:cs="Times New Roman"/>
          <w:sz w:val="24"/>
          <w:szCs w:val="24"/>
        </w:rPr>
        <w:t>: “if Hezbollah is mostly concerned with the Iranian project in the region, then why is it more invested in Syria rather than Yemen and Iraq?”</w:t>
      </w:r>
      <w:r w:rsidR="0096139B">
        <w:rPr>
          <w:rStyle w:val="FootnoteReference"/>
          <w:rFonts w:ascii="Times New Roman" w:hAnsi="Times New Roman" w:cs="Times New Roman"/>
          <w:sz w:val="24"/>
          <w:szCs w:val="24"/>
        </w:rPr>
        <w:footnoteReference w:id="126"/>
      </w:r>
      <w:r>
        <w:rPr>
          <w:rFonts w:ascii="Times New Roman" w:hAnsi="Times New Roman" w:cs="Times New Roman"/>
          <w:sz w:val="24"/>
          <w:szCs w:val="24"/>
        </w:rPr>
        <w:t xml:space="preserve"> Several experts offer </w:t>
      </w:r>
      <w:r w:rsidR="007F1E21">
        <w:rPr>
          <w:rFonts w:ascii="Times New Roman" w:hAnsi="Times New Roman" w:cs="Times New Roman"/>
          <w:sz w:val="24"/>
          <w:szCs w:val="24"/>
        </w:rPr>
        <w:t xml:space="preserve">substantial </w:t>
      </w:r>
      <w:r>
        <w:rPr>
          <w:rFonts w:ascii="Times New Roman" w:hAnsi="Times New Roman" w:cs="Times New Roman"/>
          <w:sz w:val="24"/>
          <w:szCs w:val="24"/>
        </w:rPr>
        <w:t>evidence</w:t>
      </w:r>
      <w:r w:rsidR="007F1E21">
        <w:rPr>
          <w:rFonts w:ascii="Times New Roman" w:hAnsi="Times New Roman" w:cs="Times New Roman"/>
          <w:sz w:val="24"/>
          <w:szCs w:val="24"/>
        </w:rPr>
        <w:t xml:space="preserve"> of Hezbollah’s need for the Assad regime to survive</w:t>
      </w:r>
      <w:r>
        <w:rPr>
          <w:rFonts w:ascii="Times New Roman" w:hAnsi="Times New Roman" w:cs="Times New Roman"/>
          <w:sz w:val="24"/>
          <w:szCs w:val="24"/>
        </w:rPr>
        <w:t xml:space="preserve">. </w:t>
      </w:r>
      <w:r w:rsidR="0096139B">
        <w:rPr>
          <w:rFonts w:ascii="Times New Roman" w:hAnsi="Times New Roman" w:cs="Times New Roman"/>
          <w:sz w:val="24"/>
          <w:szCs w:val="24"/>
        </w:rPr>
        <w:t>Phillips notes that in early 2013, when Hezbollah’s overt military support began, Assad’s military position was untenable and jihadists and Salafists were becoming a worrying presence along Lebanon’s border.</w:t>
      </w:r>
      <w:r w:rsidR="0096139B">
        <w:rPr>
          <w:rStyle w:val="FootnoteReference"/>
          <w:rFonts w:ascii="Times New Roman" w:hAnsi="Times New Roman" w:cs="Times New Roman"/>
          <w:sz w:val="24"/>
          <w:szCs w:val="24"/>
        </w:rPr>
        <w:footnoteReference w:id="127"/>
      </w:r>
      <w:r>
        <w:rPr>
          <w:rFonts w:ascii="Times New Roman" w:hAnsi="Times New Roman" w:cs="Times New Roman"/>
          <w:sz w:val="24"/>
          <w:szCs w:val="24"/>
        </w:rPr>
        <w:t xml:space="preserve"> Daher similarly recognizes</w:t>
      </w:r>
      <w:r w:rsidR="0096139B">
        <w:rPr>
          <w:rFonts w:ascii="Times New Roman" w:hAnsi="Times New Roman" w:cs="Times New Roman"/>
          <w:sz w:val="24"/>
          <w:szCs w:val="24"/>
        </w:rPr>
        <w:t xml:space="preserve"> that Hezbollah felt it had to intervene once escalating attacks began in Shiite areas in Lebanon and Syria.</w:t>
      </w:r>
      <w:r w:rsidR="0096139B">
        <w:rPr>
          <w:rStyle w:val="FootnoteReference"/>
          <w:rFonts w:ascii="Times New Roman" w:hAnsi="Times New Roman" w:cs="Times New Roman"/>
          <w:sz w:val="24"/>
          <w:szCs w:val="24"/>
        </w:rPr>
        <w:footnoteReference w:id="128"/>
      </w:r>
      <w:r w:rsidR="0096139B">
        <w:rPr>
          <w:rFonts w:ascii="Times New Roman" w:hAnsi="Times New Roman" w:cs="Times New Roman"/>
          <w:sz w:val="24"/>
          <w:szCs w:val="24"/>
        </w:rPr>
        <w:t xml:space="preserve"> Daher further argues that Hezbollah’s participation was less about “an attempt to save the Syrian regime than an anticipation of possible negative repercussions” if Assad was </w:t>
      </w:r>
      <w:r w:rsidR="0096139B">
        <w:rPr>
          <w:rFonts w:ascii="Times New Roman" w:hAnsi="Times New Roman" w:cs="Times New Roman"/>
          <w:sz w:val="24"/>
          <w:szCs w:val="24"/>
        </w:rPr>
        <w:lastRenderedPageBreak/>
        <w:t>toppled.</w:t>
      </w:r>
      <w:r w:rsidR="0096139B">
        <w:rPr>
          <w:rStyle w:val="FootnoteReference"/>
          <w:rFonts w:ascii="Times New Roman" w:hAnsi="Times New Roman" w:cs="Times New Roman"/>
          <w:sz w:val="24"/>
          <w:szCs w:val="24"/>
        </w:rPr>
        <w:footnoteReference w:id="129"/>
      </w:r>
      <w:r w:rsidR="0096139B">
        <w:rPr>
          <w:rFonts w:ascii="Times New Roman" w:hAnsi="Times New Roman" w:cs="Times New Roman"/>
          <w:sz w:val="24"/>
          <w:szCs w:val="24"/>
        </w:rPr>
        <w:t xml:space="preserve"> </w:t>
      </w:r>
      <w:r>
        <w:rPr>
          <w:rFonts w:ascii="Times New Roman" w:hAnsi="Times New Roman" w:cs="Times New Roman"/>
          <w:sz w:val="24"/>
          <w:szCs w:val="24"/>
        </w:rPr>
        <w:t>Although Iran would also suffer greatly if Assad fell, there is no evidence that this was the cause of Hezbollah’s involvement.</w:t>
      </w:r>
      <w:r>
        <w:rPr>
          <w:rStyle w:val="FootnoteReference"/>
          <w:rFonts w:ascii="Times New Roman" w:hAnsi="Times New Roman" w:cs="Times New Roman"/>
          <w:sz w:val="24"/>
          <w:szCs w:val="24"/>
        </w:rPr>
        <w:footnoteReference w:id="130"/>
      </w:r>
      <w:r>
        <w:rPr>
          <w:rFonts w:ascii="Times New Roman" w:hAnsi="Times New Roman" w:cs="Times New Roman"/>
          <w:sz w:val="24"/>
          <w:szCs w:val="24"/>
        </w:rPr>
        <w:t xml:space="preserve"> </w:t>
      </w:r>
      <w:r w:rsidR="0096139B">
        <w:rPr>
          <w:rFonts w:ascii="Times New Roman" w:hAnsi="Times New Roman" w:cs="Times New Roman"/>
          <w:sz w:val="24"/>
          <w:szCs w:val="24"/>
        </w:rPr>
        <w:t xml:space="preserve">Discounting or minimizing militia interests is commonplace when the principal-agent framework is deployed. This is because there is a strong urge to analyze the principal’s interests instead of the agent’s interests. Both actors’ interests need to be examined to correct the potential overemphasis of principal’s control. </w:t>
      </w:r>
    </w:p>
    <w:p w14:paraId="4ADCA324" w14:textId="77777777" w:rsidR="00811F8F" w:rsidRDefault="00811F8F" w:rsidP="002A01B8">
      <w:pPr>
        <w:rPr>
          <w:rFonts w:asciiTheme="majorBidi" w:hAnsiTheme="majorBidi" w:cstheme="majorBidi"/>
          <w:noProof/>
          <w:sz w:val="24"/>
          <w:szCs w:val="24"/>
        </w:rPr>
      </w:pPr>
      <w:r>
        <w:rPr>
          <w:rFonts w:asciiTheme="majorBidi" w:hAnsiTheme="majorBidi" w:cstheme="majorBidi"/>
          <w:sz w:val="24"/>
          <w:szCs w:val="24"/>
          <w:u w:val="single"/>
        </w:rPr>
        <w:t xml:space="preserve">Variation between </w:t>
      </w:r>
      <w:r w:rsidR="002633C2">
        <w:rPr>
          <w:rFonts w:asciiTheme="majorBidi" w:hAnsiTheme="majorBidi" w:cstheme="majorBidi"/>
          <w:sz w:val="24"/>
          <w:szCs w:val="24"/>
          <w:u w:val="single"/>
        </w:rPr>
        <w:t>two similar cases (Hezbollah and Hamas)</w:t>
      </w:r>
      <w:r w:rsidRPr="005E30CB">
        <w:rPr>
          <w:rFonts w:asciiTheme="majorBidi" w:hAnsiTheme="majorBidi" w:cstheme="majorBidi"/>
          <w:noProof/>
          <w:sz w:val="24"/>
          <w:szCs w:val="24"/>
        </w:rPr>
        <w:t xml:space="preserve"> </w:t>
      </w:r>
    </w:p>
    <w:p w14:paraId="0D6B7685" w14:textId="77777777" w:rsidR="00117832" w:rsidRDefault="00117832" w:rsidP="00784BFC">
      <w:pPr>
        <w:spacing w:line="480" w:lineRule="auto"/>
        <w:rPr>
          <w:rFonts w:ascii="Times New Roman" w:hAnsi="Times New Roman" w:cs="Times New Roman"/>
          <w:sz w:val="24"/>
          <w:szCs w:val="24"/>
        </w:rPr>
      </w:pPr>
      <w:r>
        <w:rPr>
          <w:rFonts w:asciiTheme="majorBidi" w:hAnsiTheme="majorBidi" w:cstheme="majorBidi"/>
          <w:noProof/>
          <w:sz w:val="24"/>
          <w:szCs w:val="24"/>
        </w:rPr>
        <w:tab/>
      </w:r>
      <w:r>
        <w:rPr>
          <w:rFonts w:ascii="Times New Roman" w:hAnsi="Times New Roman" w:cs="Times New Roman"/>
          <w:sz w:val="24"/>
          <w:szCs w:val="24"/>
        </w:rPr>
        <w:t>In this case study, I will demonstrate that Iran and Hamas</w:t>
      </w:r>
      <w:r w:rsidR="00784BFC">
        <w:rPr>
          <w:rFonts w:ascii="Times New Roman" w:hAnsi="Times New Roman" w:cs="Times New Roman"/>
          <w:sz w:val="24"/>
          <w:szCs w:val="24"/>
        </w:rPr>
        <w:t xml:space="preserve">’ relationship began vertically </w:t>
      </w:r>
      <w:r>
        <w:rPr>
          <w:rFonts w:ascii="Times New Roman" w:hAnsi="Times New Roman" w:cs="Times New Roman"/>
          <w:sz w:val="24"/>
          <w:szCs w:val="24"/>
        </w:rPr>
        <w:t xml:space="preserve">and remained that way for decades. </w:t>
      </w:r>
      <w:r w:rsidR="003142A6">
        <w:rPr>
          <w:rFonts w:ascii="Times New Roman" w:hAnsi="Times New Roman" w:cs="Times New Roman"/>
          <w:sz w:val="24"/>
          <w:szCs w:val="24"/>
        </w:rPr>
        <w:t>This was likely the case because</w:t>
      </w:r>
      <w:r>
        <w:rPr>
          <w:rFonts w:ascii="Times New Roman" w:hAnsi="Times New Roman" w:cs="Times New Roman"/>
          <w:sz w:val="24"/>
          <w:szCs w:val="24"/>
        </w:rPr>
        <w:t xml:space="preserve"> trust never developed</w:t>
      </w:r>
      <w:r w:rsidR="00784BFC">
        <w:rPr>
          <w:rFonts w:ascii="Times New Roman" w:hAnsi="Times New Roman" w:cs="Times New Roman"/>
          <w:sz w:val="24"/>
          <w:szCs w:val="24"/>
        </w:rPr>
        <w:t xml:space="preserve"> between the actors</w:t>
      </w:r>
      <w:r w:rsidR="003142A6">
        <w:rPr>
          <w:rFonts w:ascii="Times New Roman" w:hAnsi="Times New Roman" w:cs="Times New Roman"/>
          <w:sz w:val="24"/>
          <w:szCs w:val="24"/>
        </w:rPr>
        <w:t xml:space="preserve">, </w:t>
      </w:r>
      <w:r>
        <w:rPr>
          <w:rFonts w:ascii="Times New Roman" w:hAnsi="Times New Roman" w:cs="Times New Roman"/>
          <w:sz w:val="24"/>
          <w:szCs w:val="24"/>
        </w:rPr>
        <w:t>due to interest misa</w:t>
      </w:r>
      <w:r w:rsidR="003142A6">
        <w:rPr>
          <w:rFonts w:ascii="Times New Roman" w:hAnsi="Times New Roman" w:cs="Times New Roman"/>
          <w:sz w:val="24"/>
          <w:szCs w:val="24"/>
        </w:rPr>
        <w:t xml:space="preserve">lignment. Therefore, </w:t>
      </w:r>
      <w:r>
        <w:rPr>
          <w:rFonts w:ascii="Times New Roman" w:hAnsi="Times New Roman" w:cs="Times New Roman"/>
          <w:sz w:val="24"/>
          <w:szCs w:val="24"/>
        </w:rPr>
        <w:t xml:space="preserve">the principal-agent framework adequately captures their relationship. </w:t>
      </w:r>
      <w:r w:rsidR="003142A6">
        <w:rPr>
          <w:rFonts w:ascii="Times New Roman" w:hAnsi="Times New Roman" w:cs="Times New Roman"/>
          <w:sz w:val="24"/>
          <w:szCs w:val="24"/>
        </w:rPr>
        <w:t xml:space="preserve">In the words of scholars Joshua </w:t>
      </w:r>
      <w:proofErr w:type="spellStart"/>
      <w:r w:rsidR="003142A6">
        <w:rPr>
          <w:rFonts w:ascii="Times New Roman" w:hAnsi="Times New Roman" w:cs="Times New Roman"/>
          <w:sz w:val="24"/>
          <w:szCs w:val="24"/>
        </w:rPr>
        <w:t>Gleis</w:t>
      </w:r>
      <w:proofErr w:type="spellEnd"/>
      <w:r w:rsidR="003142A6">
        <w:rPr>
          <w:rFonts w:ascii="Times New Roman" w:hAnsi="Times New Roman" w:cs="Times New Roman"/>
          <w:sz w:val="24"/>
          <w:szCs w:val="24"/>
        </w:rPr>
        <w:t xml:space="preserve"> and </w:t>
      </w:r>
      <w:proofErr w:type="spellStart"/>
      <w:r w:rsidR="003142A6">
        <w:rPr>
          <w:rFonts w:ascii="Times New Roman" w:hAnsi="Times New Roman" w:cs="Times New Roman"/>
          <w:sz w:val="24"/>
          <w:szCs w:val="24"/>
        </w:rPr>
        <w:t>Benedetta</w:t>
      </w:r>
      <w:proofErr w:type="spellEnd"/>
      <w:r w:rsidR="003142A6">
        <w:rPr>
          <w:rFonts w:ascii="Times New Roman" w:hAnsi="Times New Roman" w:cs="Times New Roman"/>
          <w:sz w:val="24"/>
          <w:szCs w:val="24"/>
        </w:rPr>
        <w:t xml:space="preserve"> </w:t>
      </w:r>
      <w:proofErr w:type="spellStart"/>
      <w:r w:rsidR="003142A6">
        <w:rPr>
          <w:rFonts w:ascii="Times New Roman" w:hAnsi="Times New Roman" w:cs="Times New Roman"/>
          <w:sz w:val="24"/>
          <w:szCs w:val="24"/>
        </w:rPr>
        <w:t>Berti</w:t>
      </w:r>
      <w:proofErr w:type="spellEnd"/>
      <w:r w:rsidR="003142A6">
        <w:rPr>
          <w:rFonts w:ascii="Times New Roman" w:hAnsi="Times New Roman" w:cs="Times New Roman"/>
          <w:sz w:val="24"/>
          <w:szCs w:val="24"/>
        </w:rPr>
        <w:t>: “The partnership between Iran and Hezbollah is much deeper and substantial than the convenience-based alliance with Hamas.”</w:t>
      </w:r>
      <w:r w:rsidR="003142A6">
        <w:rPr>
          <w:rStyle w:val="FootnoteReference"/>
          <w:rFonts w:ascii="Times New Roman" w:hAnsi="Times New Roman" w:cs="Times New Roman"/>
          <w:sz w:val="24"/>
          <w:szCs w:val="24"/>
        </w:rPr>
        <w:footnoteReference w:id="131"/>
      </w:r>
      <w:r w:rsidR="003142A6">
        <w:rPr>
          <w:rFonts w:ascii="Times New Roman" w:hAnsi="Times New Roman" w:cs="Times New Roman"/>
          <w:sz w:val="24"/>
          <w:szCs w:val="24"/>
        </w:rPr>
        <w:t xml:space="preserve"> </w:t>
      </w:r>
    </w:p>
    <w:p w14:paraId="6EAE8901" w14:textId="77777777" w:rsidR="00DF0D27" w:rsidRDefault="00080908" w:rsidP="00784BFC">
      <w:pPr>
        <w:spacing w:line="480" w:lineRule="auto"/>
        <w:rPr>
          <w:rFonts w:ascii="Times New Roman" w:hAnsi="Times New Roman" w:cs="Times New Roman"/>
          <w:sz w:val="24"/>
          <w:szCs w:val="24"/>
        </w:rPr>
      </w:pPr>
      <w:r>
        <w:rPr>
          <w:rFonts w:ascii="Times New Roman" w:hAnsi="Times New Roman" w:cs="Times New Roman"/>
          <w:sz w:val="24"/>
          <w:szCs w:val="24"/>
        </w:rPr>
        <w:tab/>
        <w:t>Founded in 1988, Hamas was undoubtedly influenced by the 1979 Iranian Revolution.</w:t>
      </w:r>
      <w:r>
        <w:rPr>
          <w:rStyle w:val="FootnoteReference"/>
          <w:rFonts w:ascii="Times New Roman" w:hAnsi="Times New Roman" w:cs="Times New Roman"/>
          <w:sz w:val="24"/>
          <w:szCs w:val="24"/>
        </w:rPr>
        <w:footnoteReference w:id="132"/>
      </w:r>
      <w:r>
        <w:rPr>
          <w:rFonts w:ascii="Times New Roman" w:hAnsi="Times New Roman" w:cs="Times New Roman"/>
          <w:sz w:val="24"/>
          <w:szCs w:val="24"/>
        </w:rPr>
        <w:t xml:space="preserve"> Yet, Hamas and Iran only had weak ties until 1992 when Iran “accepted a Hamas delegation, to which it pledged $30 million in annual funding as well weapons and advanced training at Iranian Revolutionary Guards Corp (IRGC) camps that existed in Iran, Lebanon, and Sudan.”</w:t>
      </w:r>
      <w:r>
        <w:rPr>
          <w:rStyle w:val="FootnoteReference"/>
          <w:rFonts w:ascii="Times New Roman" w:hAnsi="Times New Roman" w:cs="Times New Roman"/>
          <w:sz w:val="24"/>
          <w:szCs w:val="24"/>
        </w:rPr>
        <w:footnoteReference w:id="133"/>
      </w:r>
      <w:r>
        <w:rPr>
          <w:rFonts w:ascii="Times New Roman" w:hAnsi="Times New Roman" w:cs="Times New Roman"/>
          <w:sz w:val="24"/>
          <w:szCs w:val="24"/>
        </w:rPr>
        <w:t xml:space="preserve"> Since this time, Hamas’ relati</w:t>
      </w:r>
      <w:r w:rsidR="00784BFC">
        <w:rPr>
          <w:rFonts w:ascii="Times New Roman" w:hAnsi="Times New Roman" w:cs="Times New Roman"/>
          <w:sz w:val="24"/>
          <w:szCs w:val="24"/>
        </w:rPr>
        <w:t>onship with Iran has fluctuated,</w:t>
      </w:r>
      <w:r>
        <w:rPr>
          <w:rFonts w:ascii="Times New Roman" w:hAnsi="Times New Roman" w:cs="Times New Roman"/>
          <w:sz w:val="24"/>
          <w:szCs w:val="24"/>
        </w:rPr>
        <w:t xml:space="preserve"> depending on the political circumstances</w:t>
      </w:r>
      <w:r w:rsidR="00DF0D27">
        <w:rPr>
          <w:rFonts w:ascii="Times New Roman" w:hAnsi="Times New Roman" w:cs="Times New Roman"/>
          <w:sz w:val="24"/>
          <w:szCs w:val="24"/>
        </w:rPr>
        <w:t xml:space="preserve"> in the region</w:t>
      </w:r>
      <w:r>
        <w:rPr>
          <w:rFonts w:ascii="Times New Roman" w:hAnsi="Times New Roman" w:cs="Times New Roman"/>
          <w:sz w:val="24"/>
          <w:szCs w:val="24"/>
        </w:rPr>
        <w:t>.</w:t>
      </w:r>
      <w:r w:rsidR="00797715">
        <w:rPr>
          <w:rFonts w:ascii="Times New Roman" w:hAnsi="Times New Roman" w:cs="Times New Roman"/>
          <w:sz w:val="24"/>
          <w:szCs w:val="24"/>
        </w:rPr>
        <w:t xml:space="preserve"> Relations between Iran and Hamas reportedly increased in 1994 after violence “between Israel and Hamas intensified.”</w:t>
      </w:r>
      <w:r w:rsidR="00797715">
        <w:rPr>
          <w:rStyle w:val="FootnoteReference"/>
          <w:rFonts w:ascii="Times New Roman" w:hAnsi="Times New Roman" w:cs="Times New Roman"/>
          <w:sz w:val="24"/>
          <w:szCs w:val="24"/>
        </w:rPr>
        <w:footnoteReference w:id="134"/>
      </w:r>
      <w:r>
        <w:rPr>
          <w:rFonts w:ascii="Times New Roman" w:hAnsi="Times New Roman" w:cs="Times New Roman"/>
          <w:sz w:val="24"/>
          <w:szCs w:val="24"/>
        </w:rPr>
        <w:t xml:space="preserve"> </w:t>
      </w:r>
      <w:r w:rsidR="00784BFC">
        <w:rPr>
          <w:rFonts w:ascii="Times New Roman" w:hAnsi="Times New Roman" w:cs="Times New Roman"/>
          <w:sz w:val="24"/>
          <w:szCs w:val="24"/>
        </w:rPr>
        <w:t>R</w:t>
      </w:r>
      <w:r>
        <w:rPr>
          <w:rFonts w:ascii="Times New Roman" w:hAnsi="Times New Roman" w:cs="Times New Roman"/>
          <w:sz w:val="24"/>
          <w:szCs w:val="24"/>
        </w:rPr>
        <w:t>esearc</w:t>
      </w:r>
      <w:r w:rsidR="00784BFC">
        <w:rPr>
          <w:rFonts w:ascii="Times New Roman" w:hAnsi="Times New Roman" w:cs="Times New Roman"/>
          <w:sz w:val="24"/>
          <w:szCs w:val="24"/>
        </w:rPr>
        <w:t xml:space="preserve">her Matthew Levitt describes that one decade </w:t>
      </w:r>
      <w:r w:rsidR="00784BFC">
        <w:rPr>
          <w:rFonts w:ascii="Times New Roman" w:hAnsi="Times New Roman" w:cs="Times New Roman"/>
          <w:sz w:val="24"/>
          <w:szCs w:val="24"/>
        </w:rPr>
        <w:lastRenderedPageBreak/>
        <w:t>later,</w:t>
      </w:r>
      <w:r>
        <w:rPr>
          <w:rFonts w:ascii="Times New Roman" w:hAnsi="Times New Roman" w:cs="Times New Roman"/>
          <w:sz w:val="24"/>
          <w:szCs w:val="24"/>
        </w:rPr>
        <w:t xml:space="preserve"> Hamas sought out higher levels of Iranian funding “and a direct channel to” the IRGC after </w:t>
      </w:r>
      <w:r w:rsidR="00784BFC">
        <w:rPr>
          <w:rFonts w:ascii="Times New Roman" w:hAnsi="Times New Roman" w:cs="Times New Roman"/>
          <w:sz w:val="24"/>
          <w:szCs w:val="24"/>
        </w:rPr>
        <w:t>the a</w:t>
      </w:r>
      <w:r>
        <w:rPr>
          <w:rFonts w:ascii="Times New Roman" w:hAnsi="Times New Roman" w:cs="Times New Roman"/>
          <w:sz w:val="24"/>
          <w:szCs w:val="24"/>
        </w:rPr>
        <w:t>ssassinations of</w:t>
      </w:r>
      <w:r w:rsidR="00797715">
        <w:rPr>
          <w:rFonts w:ascii="Times New Roman" w:hAnsi="Times New Roman" w:cs="Times New Roman"/>
          <w:sz w:val="24"/>
          <w:szCs w:val="24"/>
        </w:rPr>
        <w:t xml:space="preserve"> prominent Hamas</w:t>
      </w:r>
      <w:r>
        <w:rPr>
          <w:rFonts w:ascii="Times New Roman" w:hAnsi="Times New Roman" w:cs="Times New Roman"/>
          <w:sz w:val="24"/>
          <w:szCs w:val="24"/>
        </w:rPr>
        <w:t xml:space="preserve"> leaders.</w:t>
      </w:r>
      <w:r>
        <w:rPr>
          <w:rStyle w:val="FootnoteReference"/>
          <w:rFonts w:ascii="Times New Roman" w:hAnsi="Times New Roman" w:cs="Times New Roman"/>
          <w:sz w:val="24"/>
          <w:szCs w:val="24"/>
        </w:rPr>
        <w:footnoteReference w:id="135"/>
      </w:r>
      <w:r>
        <w:rPr>
          <w:rFonts w:ascii="Times New Roman" w:hAnsi="Times New Roman" w:cs="Times New Roman"/>
          <w:sz w:val="24"/>
          <w:szCs w:val="24"/>
        </w:rPr>
        <w:t xml:space="preserve"> </w:t>
      </w:r>
      <w:r w:rsidR="00784BFC">
        <w:rPr>
          <w:rFonts w:ascii="Times New Roman" w:hAnsi="Times New Roman" w:cs="Times New Roman"/>
          <w:sz w:val="24"/>
          <w:szCs w:val="24"/>
        </w:rPr>
        <w:t>On the other side</w:t>
      </w:r>
      <w:r>
        <w:rPr>
          <w:rFonts w:ascii="Times New Roman" w:hAnsi="Times New Roman" w:cs="Times New Roman"/>
          <w:sz w:val="24"/>
          <w:szCs w:val="24"/>
        </w:rPr>
        <w:t xml:space="preserve">, Iran increased its relations with Hamas </w:t>
      </w:r>
      <w:r w:rsidR="00784BFC">
        <w:rPr>
          <w:rFonts w:ascii="Times New Roman" w:hAnsi="Times New Roman" w:cs="Times New Roman"/>
          <w:sz w:val="24"/>
          <w:szCs w:val="24"/>
        </w:rPr>
        <w:t>following</w:t>
      </w:r>
      <w:r>
        <w:rPr>
          <w:rFonts w:ascii="Times New Roman" w:hAnsi="Times New Roman" w:cs="Times New Roman"/>
          <w:sz w:val="24"/>
          <w:szCs w:val="24"/>
        </w:rPr>
        <w:t xml:space="preserve"> the </w:t>
      </w:r>
      <w:r w:rsidR="00784BFC">
        <w:rPr>
          <w:rFonts w:ascii="Times New Roman" w:hAnsi="Times New Roman" w:cs="Times New Roman"/>
          <w:sz w:val="24"/>
          <w:szCs w:val="24"/>
        </w:rPr>
        <w:t>militia</w:t>
      </w:r>
      <w:r>
        <w:rPr>
          <w:rFonts w:ascii="Times New Roman" w:hAnsi="Times New Roman" w:cs="Times New Roman"/>
          <w:sz w:val="24"/>
          <w:szCs w:val="24"/>
        </w:rPr>
        <w:t>’s Gaza takeover in 2007 after “Iran saw an opportunity to step in and develop a stronger alliance with Hamas.”</w:t>
      </w:r>
      <w:r>
        <w:rPr>
          <w:rStyle w:val="FootnoteReference"/>
          <w:rFonts w:ascii="Times New Roman" w:hAnsi="Times New Roman" w:cs="Times New Roman"/>
          <w:sz w:val="24"/>
          <w:szCs w:val="24"/>
        </w:rPr>
        <w:footnoteReference w:id="136"/>
      </w:r>
      <w:r>
        <w:rPr>
          <w:rFonts w:ascii="Times New Roman" w:hAnsi="Times New Roman" w:cs="Times New Roman"/>
          <w:sz w:val="24"/>
          <w:szCs w:val="24"/>
        </w:rPr>
        <w:t xml:space="preserve"> </w:t>
      </w:r>
      <w:proofErr w:type="spellStart"/>
      <w:r>
        <w:rPr>
          <w:rFonts w:ascii="Times New Roman" w:hAnsi="Times New Roman" w:cs="Times New Roman"/>
          <w:sz w:val="24"/>
          <w:szCs w:val="24"/>
        </w:rPr>
        <w:t>Gleis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Berti</w:t>
      </w:r>
      <w:proofErr w:type="spellEnd"/>
      <w:r>
        <w:rPr>
          <w:rFonts w:ascii="Times New Roman" w:hAnsi="Times New Roman" w:cs="Times New Roman"/>
          <w:sz w:val="24"/>
          <w:szCs w:val="24"/>
        </w:rPr>
        <w:t xml:space="preserve"> maintain that one “reason for this was the realization by Iran that Hamas was a growing power and potential ally whose relationship it needed to foster.”</w:t>
      </w:r>
      <w:r>
        <w:rPr>
          <w:rStyle w:val="FootnoteReference"/>
          <w:rFonts w:ascii="Times New Roman" w:hAnsi="Times New Roman" w:cs="Times New Roman"/>
          <w:sz w:val="24"/>
          <w:szCs w:val="24"/>
        </w:rPr>
        <w:footnoteReference w:id="137"/>
      </w:r>
      <w:r w:rsidR="00DF0D27">
        <w:rPr>
          <w:rFonts w:ascii="Times New Roman" w:hAnsi="Times New Roman" w:cs="Times New Roman"/>
          <w:sz w:val="24"/>
          <w:szCs w:val="24"/>
        </w:rPr>
        <w:t xml:space="preserve"> </w:t>
      </w:r>
      <w:r w:rsidR="00797715">
        <w:rPr>
          <w:rFonts w:ascii="Times New Roman" w:hAnsi="Times New Roman" w:cs="Times New Roman"/>
          <w:sz w:val="24"/>
          <w:szCs w:val="24"/>
        </w:rPr>
        <w:t>Koss states that in 2008, a year after the takeover, Iran and the Gulf states “provided the Hamas government with $150 million to $200 million.”</w:t>
      </w:r>
      <w:r w:rsidR="00797715">
        <w:rPr>
          <w:rStyle w:val="FootnoteReference"/>
          <w:rFonts w:ascii="Times New Roman" w:hAnsi="Times New Roman" w:cs="Times New Roman"/>
          <w:sz w:val="24"/>
          <w:szCs w:val="24"/>
        </w:rPr>
        <w:footnoteReference w:id="138"/>
      </w:r>
    </w:p>
    <w:p w14:paraId="38CAF083" w14:textId="77777777" w:rsidR="00080908" w:rsidRPr="00117832" w:rsidRDefault="00DF0D27" w:rsidP="000D45D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While </w:t>
      </w:r>
      <w:r w:rsidR="00784BFC">
        <w:rPr>
          <w:rFonts w:ascii="Times New Roman" w:hAnsi="Times New Roman" w:cs="Times New Roman"/>
          <w:sz w:val="24"/>
          <w:szCs w:val="24"/>
        </w:rPr>
        <w:t>describing</w:t>
      </w:r>
      <w:r>
        <w:rPr>
          <w:rFonts w:ascii="Times New Roman" w:hAnsi="Times New Roman" w:cs="Times New Roman"/>
          <w:sz w:val="24"/>
          <w:szCs w:val="24"/>
        </w:rPr>
        <w:t xml:space="preserve"> Hamas’ relationship with Iran, Levitt stated that Iranian funding of Hamas “fluctuates given circumstances on the ground; Iran is known to employ a performance-based approach to determining the level of funding.”</w:t>
      </w:r>
      <w:r>
        <w:rPr>
          <w:rStyle w:val="FootnoteReference"/>
          <w:rFonts w:ascii="Times New Roman" w:hAnsi="Times New Roman" w:cs="Times New Roman"/>
          <w:sz w:val="24"/>
          <w:szCs w:val="24"/>
        </w:rPr>
        <w:footnoteReference w:id="139"/>
      </w:r>
      <w:r>
        <w:rPr>
          <w:rFonts w:ascii="Times New Roman" w:hAnsi="Times New Roman" w:cs="Times New Roman"/>
          <w:sz w:val="24"/>
          <w:szCs w:val="24"/>
        </w:rPr>
        <w:t xml:space="preserve"> He refer</w:t>
      </w:r>
      <w:r w:rsidR="00797715">
        <w:rPr>
          <w:rFonts w:ascii="Times New Roman" w:hAnsi="Times New Roman" w:cs="Times New Roman"/>
          <w:sz w:val="24"/>
          <w:szCs w:val="24"/>
        </w:rPr>
        <w:t xml:space="preserve">s to </w:t>
      </w:r>
      <w:r w:rsidR="000D45DF">
        <w:rPr>
          <w:rFonts w:ascii="Times New Roman" w:hAnsi="Times New Roman" w:cs="Times New Roman"/>
          <w:sz w:val="24"/>
          <w:szCs w:val="24"/>
        </w:rPr>
        <w:t>U.S.</w:t>
      </w:r>
      <w:r w:rsidR="00797715">
        <w:rPr>
          <w:rFonts w:ascii="Times New Roman" w:hAnsi="Times New Roman" w:cs="Times New Roman"/>
          <w:sz w:val="24"/>
          <w:szCs w:val="24"/>
        </w:rPr>
        <w:t xml:space="preserve"> court documents that assert</w:t>
      </w:r>
      <w:r w:rsidR="000D45DF">
        <w:rPr>
          <w:rFonts w:ascii="Times New Roman" w:hAnsi="Times New Roman" w:cs="Times New Roman"/>
          <w:sz w:val="24"/>
          <w:szCs w:val="24"/>
        </w:rPr>
        <w:t xml:space="preserve"> that between 1995 and </w:t>
      </w:r>
      <w:r w:rsidR="00797715">
        <w:rPr>
          <w:rFonts w:ascii="Times New Roman" w:hAnsi="Times New Roman" w:cs="Times New Roman"/>
          <w:sz w:val="24"/>
          <w:szCs w:val="24"/>
        </w:rPr>
        <w:t xml:space="preserve">1996, Hamas received substantial funds </w:t>
      </w:r>
      <w:r>
        <w:rPr>
          <w:rFonts w:ascii="Times New Roman" w:hAnsi="Times New Roman" w:cs="Times New Roman"/>
          <w:sz w:val="24"/>
          <w:szCs w:val="24"/>
        </w:rPr>
        <w:t xml:space="preserve">from Iran </w:t>
      </w:r>
      <w:r w:rsidR="000D45DF">
        <w:rPr>
          <w:rFonts w:ascii="Times New Roman" w:hAnsi="Times New Roman" w:cs="Times New Roman"/>
          <w:sz w:val="24"/>
          <w:szCs w:val="24"/>
        </w:rPr>
        <w:t xml:space="preserve">as a result of carrying </w:t>
      </w:r>
      <w:r>
        <w:rPr>
          <w:rFonts w:ascii="Times New Roman" w:hAnsi="Times New Roman" w:cs="Times New Roman"/>
          <w:sz w:val="24"/>
          <w:szCs w:val="24"/>
        </w:rPr>
        <w:t>out several bus bombings</w:t>
      </w:r>
      <w:r w:rsidR="00797715">
        <w:rPr>
          <w:rFonts w:ascii="Times New Roman" w:hAnsi="Times New Roman" w:cs="Times New Roman"/>
          <w:sz w:val="24"/>
          <w:szCs w:val="24"/>
        </w:rPr>
        <w:t xml:space="preserve"> in Israel</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40"/>
      </w:r>
      <w:r>
        <w:rPr>
          <w:rFonts w:ascii="Times New Roman" w:hAnsi="Times New Roman" w:cs="Times New Roman"/>
          <w:sz w:val="24"/>
          <w:szCs w:val="24"/>
        </w:rPr>
        <w:t xml:space="preserve"> This is a clear example of Iran acting as a principal and Hamas acting as an agent. Levitt writes that “Palestinian leaders…resent Iranian influence and pressure” and provides another example of Iran exhibiting strong control over </w:t>
      </w:r>
      <w:r w:rsidR="000D45DF">
        <w:rPr>
          <w:rFonts w:ascii="Times New Roman" w:hAnsi="Times New Roman" w:cs="Times New Roman"/>
          <w:sz w:val="24"/>
          <w:szCs w:val="24"/>
        </w:rPr>
        <w:t>its militia</w:t>
      </w:r>
      <w:r>
        <w:rPr>
          <w:rFonts w:ascii="Times New Roman" w:hAnsi="Times New Roman" w:cs="Times New Roman"/>
          <w:sz w:val="24"/>
          <w:szCs w:val="24"/>
        </w:rPr>
        <w:t>. He points to a</w:t>
      </w:r>
      <w:r w:rsidR="00797715">
        <w:rPr>
          <w:rFonts w:ascii="Times New Roman" w:hAnsi="Times New Roman" w:cs="Times New Roman"/>
          <w:sz w:val="24"/>
          <w:szCs w:val="24"/>
        </w:rPr>
        <w:t xml:space="preserve"> </w:t>
      </w:r>
      <w:r>
        <w:rPr>
          <w:rFonts w:ascii="Times New Roman" w:hAnsi="Times New Roman" w:cs="Times New Roman"/>
          <w:sz w:val="24"/>
          <w:szCs w:val="24"/>
        </w:rPr>
        <w:t xml:space="preserve">2001 Palestinian intelligence document </w:t>
      </w:r>
      <w:r w:rsidR="00797715">
        <w:rPr>
          <w:rFonts w:ascii="Times New Roman" w:hAnsi="Times New Roman" w:cs="Times New Roman"/>
          <w:sz w:val="24"/>
          <w:szCs w:val="24"/>
        </w:rPr>
        <w:t>that describes</w:t>
      </w:r>
      <w:r>
        <w:rPr>
          <w:rFonts w:ascii="Times New Roman" w:hAnsi="Times New Roman" w:cs="Times New Roman"/>
          <w:sz w:val="24"/>
          <w:szCs w:val="24"/>
        </w:rPr>
        <w:t xml:space="preserve"> a meeting between Hamas, Islamic Jihad, and Hezbollah members that had been initiated “‘after an Iranian message had been transferred to the Hamas and Islamic Jihad leaderships, according to which they must not allow a calming down [of the situation] at this period.’”</w:t>
      </w:r>
      <w:r>
        <w:rPr>
          <w:rStyle w:val="FootnoteReference"/>
          <w:rFonts w:ascii="Times New Roman" w:hAnsi="Times New Roman" w:cs="Times New Roman"/>
          <w:sz w:val="24"/>
          <w:szCs w:val="24"/>
        </w:rPr>
        <w:footnoteReference w:id="141"/>
      </w:r>
      <w:r w:rsidR="00797715">
        <w:rPr>
          <w:rFonts w:ascii="Times New Roman" w:hAnsi="Times New Roman" w:cs="Times New Roman"/>
          <w:sz w:val="24"/>
          <w:szCs w:val="24"/>
        </w:rPr>
        <w:t xml:space="preserve"> In sum, Iran seems to treat Hamas </w:t>
      </w:r>
      <w:r w:rsidR="00797715">
        <w:rPr>
          <w:rFonts w:ascii="Times New Roman" w:hAnsi="Times New Roman" w:cs="Times New Roman"/>
          <w:sz w:val="24"/>
          <w:szCs w:val="24"/>
        </w:rPr>
        <w:lastRenderedPageBreak/>
        <w:t xml:space="preserve">as its agent, providing increased funding when it behaves according to its interests, and revoking funding when it behaves against its interests. </w:t>
      </w:r>
    </w:p>
    <w:p w14:paraId="5C79A2E3" w14:textId="77777777" w:rsidR="00117832" w:rsidRDefault="00811F8F" w:rsidP="000D45D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Unlike Hezbollah, Hamas is a Sunni Islamist group. This </w:t>
      </w:r>
      <w:r w:rsidR="003142A6">
        <w:rPr>
          <w:rFonts w:ascii="Times New Roman" w:hAnsi="Times New Roman" w:cs="Times New Roman"/>
          <w:sz w:val="24"/>
          <w:szCs w:val="24"/>
        </w:rPr>
        <w:t>has translated</w:t>
      </w:r>
      <w:r>
        <w:rPr>
          <w:rFonts w:ascii="Times New Roman" w:hAnsi="Times New Roman" w:cs="Times New Roman"/>
          <w:sz w:val="24"/>
          <w:szCs w:val="24"/>
        </w:rPr>
        <w:t xml:space="preserve"> into religious differences, which has led to interest </w:t>
      </w:r>
      <w:r w:rsidR="000D45DF">
        <w:rPr>
          <w:rFonts w:ascii="Times New Roman" w:hAnsi="Times New Roman" w:cs="Times New Roman"/>
          <w:sz w:val="24"/>
          <w:szCs w:val="24"/>
        </w:rPr>
        <w:t xml:space="preserve">divergence </w:t>
      </w:r>
      <w:r w:rsidR="00117832">
        <w:rPr>
          <w:rFonts w:ascii="Times New Roman" w:hAnsi="Times New Roman" w:cs="Times New Roman"/>
          <w:sz w:val="24"/>
          <w:szCs w:val="24"/>
        </w:rPr>
        <w:t>on numerous occasions</w:t>
      </w:r>
      <w:r>
        <w:rPr>
          <w:rFonts w:ascii="Times New Roman" w:hAnsi="Times New Roman" w:cs="Times New Roman"/>
          <w:sz w:val="24"/>
          <w:szCs w:val="24"/>
        </w:rPr>
        <w:t xml:space="preserve">. </w:t>
      </w:r>
      <w:proofErr w:type="spellStart"/>
      <w:r w:rsidR="003142A6">
        <w:rPr>
          <w:rFonts w:ascii="Times New Roman" w:hAnsi="Times New Roman" w:cs="Times New Roman"/>
          <w:sz w:val="24"/>
          <w:szCs w:val="24"/>
        </w:rPr>
        <w:t>Gleis</w:t>
      </w:r>
      <w:proofErr w:type="spellEnd"/>
      <w:r w:rsidR="003142A6">
        <w:rPr>
          <w:rFonts w:ascii="Times New Roman" w:hAnsi="Times New Roman" w:cs="Times New Roman"/>
          <w:sz w:val="24"/>
          <w:szCs w:val="24"/>
        </w:rPr>
        <w:t xml:space="preserve"> and </w:t>
      </w:r>
      <w:proofErr w:type="spellStart"/>
      <w:r w:rsidR="003142A6">
        <w:rPr>
          <w:rFonts w:ascii="Times New Roman" w:hAnsi="Times New Roman" w:cs="Times New Roman"/>
          <w:sz w:val="24"/>
          <w:szCs w:val="24"/>
        </w:rPr>
        <w:t>Berti</w:t>
      </w:r>
      <w:proofErr w:type="spellEnd"/>
      <w:r w:rsidR="003142A6">
        <w:rPr>
          <w:rFonts w:ascii="Times New Roman" w:hAnsi="Times New Roman" w:cs="Times New Roman"/>
          <w:sz w:val="24"/>
          <w:szCs w:val="24"/>
        </w:rPr>
        <w:t xml:space="preserve"> remark that “Hamas does not have a strong ideological affinity with Iran.”</w:t>
      </w:r>
      <w:r w:rsidR="003142A6">
        <w:rPr>
          <w:rStyle w:val="FootnoteReference"/>
          <w:rFonts w:ascii="Times New Roman" w:hAnsi="Times New Roman" w:cs="Times New Roman"/>
          <w:sz w:val="24"/>
          <w:szCs w:val="24"/>
        </w:rPr>
        <w:footnoteReference w:id="142"/>
      </w:r>
      <w:r w:rsidR="003142A6">
        <w:rPr>
          <w:rFonts w:ascii="Times New Roman" w:hAnsi="Times New Roman" w:cs="Times New Roman"/>
          <w:sz w:val="24"/>
          <w:szCs w:val="24"/>
        </w:rPr>
        <w:t xml:space="preserve"> This is because the organization came out of the Palestinian Muslim Brotherhood and “has retained a Sunni Islamist ideological outlook.”</w:t>
      </w:r>
      <w:r w:rsidR="003142A6">
        <w:rPr>
          <w:rStyle w:val="FootnoteReference"/>
          <w:rFonts w:ascii="Times New Roman" w:hAnsi="Times New Roman" w:cs="Times New Roman"/>
          <w:sz w:val="24"/>
          <w:szCs w:val="24"/>
        </w:rPr>
        <w:footnoteReference w:id="143"/>
      </w:r>
      <w:r w:rsidR="003142A6">
        <w:rPr>
          <w:rFonts w:ascii="Times New Roman" w:hAnsi="Times New Roman" w:cs="Times New Roman"/>
          <w:sz w:val="24"/>
          <w:szCs w:val="24"/>
        </w:rPr>
        <w:t xml:space="preserve"> </w:t>
      </w:r>
      <w:r>
        <w:rPr>
          <w:rFonts w:ascii="Times New Roman" w:hAnsi="Times New Roman" w:cs="Times New Roman"/>
          <w:sz w:val="24"/>
          <w:szCs w:val="24"/>
        </w:rPr>
        <w:t>Although Iran</w:t>
      </w:r>
      <w:r w:rsidR="00117832">
        <w:rPr>
          <w:rFonts w:ascii="Times New Roman" w:hAnsi="Times New Roman" w:cs="Times New Roman"/>
          <w:sz w:val="24"/>
          <w:szCs w:val="24"/>
        </w:rPr>
        <w:t>’s</w:t>
      </w:r>
      <w:r>
        <w:rPr>
          <w:rFonts w:ascii="Times New Roman" w:hAnsi="Times New Roman" w:cs="Times New Roman"/>
          <w:sz w:val="24"/>
          <w:szCs w:val="24"/>
        </w:rPr>
        <w:t xml:space="preserve"> and Hamas</w:t>
      </w:r>
      <w:r w:rsidR="00117832">
        <w:rPr>
          <w:rFonts w:ascii="Times New Roman" w:hAnsi="Times New Roman" w:cs="Times New Roman"/>
          <w:sz w:val="24"/>
          <w:szCs w:val="24"/>
        </w:rPr>
        <w:t xml:space="preserve">’ goals </w:t>
      </w:r>
      <w:r w:rsidR="003142A6">
        <w:rPr>
          <w:rFonts w:ascii="Times New Roman" w:hAnsi="Times New Roman" w:cs="Times New Roman"/>
          <w:sz w:val="24"/>
          <w:szCs w:val="24"/>
        </w:rPr>
        <w:t xml:space="preserve">usually </w:t>
      </w:r>
      <w:r w:rsidR="00117832">
        <w:rPr>
          <w:rFonts w:ascii="Times New Roman" w:hAnsi="Times New Roman" w:cs="Times New Roman"/>
          <w:sz w:val="24"/>
          <w:szCs w:val="24"/>
        </w:rPr>
        <w:t>converge in regards to</w:t>
      </w:r>
      <w:r>
        <w:rPr>
          <w:rFonts w:ascii="Times New Roman" w:hAnsi="Times New Roman" w:cs="Times New Roman"/>
          <w:sz w:val="24"/>
          <w:szCs w:val="24"/>
        </w:rPr>
        <w:t xml:space="preserve"> Israel and the</w:t>
      </w:r>
      <w:r w:rsidR="003142A6">
        <w:rPr>
          <w:rFonts w:ascii="Times New Roman" w:hAnsi="Times New Roman" w:cs="Times New Roman"/>
          <w:sz w:val="24"/>
          <w:szCs w:val="24"/>
        </w:rPr>
        <w:t xml:space="preserve"> West, especially the </w:t>
      </w:r>
      <w:r w:rsidR="000D45DF">
        <w:rPr>
          <w:rFonts w:ascii="Times New Roman" w:hAnsi="Times New Roman" w:cs="Times New Roman"/>
          <w:sz w:val="24"/>
          <w:szCs w:val="24"/>
        </w:rPr>
        <w:t>U.S.</w:t>
      </w:r>
      <w:r w:rsidR="003142A6">
        <w:rPr>
          <w:rFonts w:ascii="Times New Roman" w:hAnsi="Times New Roman" w:cs="Times New Roman"/>
          <w:sz w:val="24"/>
          <w:szCs w:val="24"/>
        </w:rPr>
        <w:t>,</w:t>
      </w:r>
      <w:r>
        <w:rPr>
          <w:rFonts w:ascii="Times New Roman" w:hAnsi="Times New Roman" w:cs="Times New Roman"/>
          <w:sz w:val="24"/>
          <w:szCs w:val="24"/>
        </w:rPr>
        <w:t xml:space="preserve"> there is not strong </w:t>
      </w:r>
      <w:r w:rsidR="00797715">
        <w:rPr>
          <w:rFonts w:ascii="Times New Roman" w:hAnsi="Times New Roman" w:cs="Times New Roman"/>
          <w:sz w:val="24"/>
          <w:szCs w:val="24"/>
        </w:rPr>
        <w:t xml:space="preserve">interest </w:t>
      </w:r>
      <w:r>
        <w:rPr>
          <w:rFonts w:ascii="Times New Roman" w:hAnsi="Times New Roman" w:cs="Times New Roman"/>
          <w:sz w:val="24"/>
          <w:szCs w:val="24"/>
        </w:rPr>
        <w:t xml:space="preserve">alignment beyond that. </w:t>
      </w:r>
      <w:proofErr w:type="spellStart"/>
      <w:r>
        <w:rPr>
          <w:rFonts w:ascii="Times New Roman" w:hAnsi="Times New Roman" w:cs="Times New Roman"/>
          <w:sz w:val="24"/>
          <w:szCs w:val="24"/>
        </w:rPr>
        <w:t>Ostovar</w:t>
      </w:r>
      <w:proofErr w:type="spellEnd"/>
      <w:r>
        <w:rPr>
          <w:rFonts w:ascii="Times New Roman" w:hAnsi="Times New Roman" w:cs="Times New Roman"/>
          <w:sz w:val="24"/>
          <w:szCs w:val="24"/>
        </w:rPr>
        <w:t xml:space="preserve"> claims that the “</w:t>
      </w:r>
      <w:r w:rsidRPr="003F2C9D">
        <w:rPr>
          <w:rFonts w:ascii="Times New Roman" w:hAnsi="Times New Roman" w:cs="Times New Roman"/>
          <w:sz w:val="24"/>
          <w:szCs w:val="24"/>
        </w:rPr>
        <w:t>sectarian divide between Tehran and its Sunni clients ha</w:t>
      </w:r>
      <w:r>
        <w:rPr>
          <w:rFonts w:ascii="Times New Roman" w:hAnsi="Times New Roman" w:cs="Times New Roman"/>
          <w:sz w:val="24"/>
          <w:szCs w:val="24"/>
        </w:rPr>
        <w:t>s remained a significant factor” because “</w:t>
      </w:r>
      <w:r w:rsidRPr="003F2C9D">
        <w:rPr>
          <w:rFonts w:ascii="Times New Roman" w:hAnsi="Times New Roman" w:cs="Times New Roman"/>
          <w:sz w:val="24"/>
          <w:szCs w:val="24"/>
        </w:rPr>
        <w:t>they view the region differently</w:t>
      </w:r>
      <w:r w:rsidR="003142A6">
        <w:rPr>
          <w:rFonts w:ascii="Times New Roman" w:hAnsi="Times New Roman" w:cs="Times New Roman"/>
          <w:sz w:val="24"/>
          <w:szCs w:val="24"/>
        </w:rPr>
        <w:t>.</w:t>
      </w:r>
      <w:r>
        <w:rPr>
          <w:rFonts w:ascii="Times New Roman" w:hAnsi="Times New Roman" w:cs="Times New Roman"/>
          <w:sz w:val="24"/>
          <w:szCs w:val="24"/>
        </w:rPr>
        <w:t>”</w:t>
      </w:r>
      <w:r w:rsidR="00117832">
        <w:rPr>
          <w:rStyle w:val="FootnoteReference"/>
          <w:rFonts w:ascii="Times New Roman" w:hAnsi="Times New Roman" w:cs="Times New Roman"/>
          <w:sz w:val="24"/>
          <w:szCs w:val="24"/>
        </w:rPr>
        <w:footnoteReference w:id="144"/>
      </w:r>
      <w:r w:rsidR="003142A6">
        <w:rPr>
          <w:rFonts w:ascii="Times New Roman" w:hAnsi="Times New Roman" w:cs="Times New Roman"/>
          <w:sz w:val="24"/>
          <w:szCs w:val="24"/>
        </w:rPr>
        <w:t xml:space="preserve"> These differences, </w:t>
      </w:r>
      <w:proofErr w:type="spellStart"/>
      <w:r w:rsidR="003142A6">
        <w:rPr>
          <w:rFonts w:ascii="Times New Roman" w:hAnsi="Times New Roman" w:cs="Times New Roman"/>
          <w:sz w:val="24"/>
          <w:szCs w:val="24"/>
        </w:rPr>
        <w:t>Ostovar</w:t>
      </w:r>
      <w:proofErr w:type="spellEnd"/>
      <w:r w:rsidR="003142A6">
        <w:rPr>
          <w:rFonts w:ascii="Times New Roman" w:hAnsi="Times New Roman" w:cs="Times New Roman"/>
          <w:sz w:val="24"/>
          <w:szCs w:val="24"/>
        </w:rPr>
        <w:t xml:space="preserve"> says, led to an “IRGC-associated news organization </w:t>
      </w:r>
      <w:proofErr w:type="spellStart"/>
      <w:r w:rsidR="003142A6">
        <w:rPr>
          <w:rFonts w:ascii="Times New Roman" w:hAnsi="Times New Roman" w:cs="Times New Roman"/>
          <w:sz w:val="24"/>
          <w:szCs w:val="24"/>
        </w:rPr>
        <w:t>argu</w:t>
      </w:r>
      <w:proofErr w:type="spellEnd"/>
      <w:r w:rsidR="003142A6">
        <w:rPr>
          <w:rFonts w:ascii="Times New Roman" w:hAnsi="Times New Roman" w:cs="Times New Roman"/>
          <w:sz w:val="24"/>
          <w:szCs w:val="24"/>
        </w:rPr>
        <w:t>[</w:t>
      </w:r>
      <w:proofErr w:type="spellStart"/>
      <w:r w:rsidR="003142A6">
        <w:rPr>
          <w:rFonts w:ascii="Times New Roman" w:hAnsi="Times New Roman" w:cs="Times New Roman"/>
          <w:sz w:val="24"/>
          <w:szCs w:val="24"/>
        </w:rPr>
        <w:t>ing</w:t>
      </w:r>
      <w:proofErr w:type="spellEnd"/>
      <w:r w:rsidR="003142A6">
        <w:rPr>
          <w:rFonts w:ascii="Times New Roman" w:hAnsi="Times New Roman" w:cs="Times New Roman"/>
          <w:sz w:val="24"/>
          <w:szCs w:val="24"/>
        </w:rPr>
        <w:t>] that the Palestinians’ Sunni identity has been the primary obstacle in Iran’s bilateral ties with PIJ and Hamas.”</w:t>
      </w:r>
      <w:r w:rsidR="003142A6">
        <w:rPr>
          <w:rStyle w:val="FootnoteReference"/>
          <w:rFonts w:ascii="Times New Roman" w:hAnsi="Times New Roman" w:cs="Times New Roman"/>
          <w:sz w:val="24"/>
          <w:szCs w:val="24"/>
        </w:rPr>
        <w:footnoteReference w:id="145"/>
      </w:r>
      <w:r w:rsidR="003142A6">
        <w:rPr>
          <w:rFonts w:ascii="Times New Roman" w:hAnsi="Times New Roman" w:cs="Times New Roman"/>
          <w:sz w:val="24"/>
          <w:szCs w:val="24"/>
        </w:rPr>
        <w:t xml:space="preserve"> Interest </w:t>
      </w:r>
      <w:r w:rsidR="000D45DF">
        <w:rPr>
          <w:rFonts w:ascii="Times New Roman" w:hAnsi="Times New Roman" w:cs="Times New Roman"/>
          <w:sz w:val="24"/>
          <w:szCs w:val="24"/>
        </w:rPr>
        <w:t xml:space="preserve">divergence </w:t>
      </w:r>
      <w:r>
        <w:rPr>
          <w:rFonts w:ascii="Times New Roman" w:hAnsi="Times New Roman" w:cs="Times New Roman"/>
          <w:sz w:val="24"/>
          <w:szCs w:val="24"/>
        </w:rPr>
        <w:t xml:space="preserve">undoubtedly impacts trust between Iran and Hamas. </w:t>
      </w:r>
    </w:p>
    <w:p w14:paraId="416ABB60" w14:textId="77777777" w:rsidR="00AE61CA" w:rsidRPr="00D6342E" w:rsidRDefault="00117832" w:rsidP="000D45DF">
      <w:pPr>
        <w:spacing w:line="480" w:lineRule="auto"/>
        <w:rPr>
          <w:rFonts w:ascii="Times New Roman" w:hAnsi="Times New Roman" w:cs="Times New Roman"/>
          <w:sz w:val="24"/>
          <w:szCs w:val="24"/>
        </w:rPr>
      </w:pPr>
      <w:r>
        <w:rPr>
          <w:rFonts w:ascii="Times New Roman" w:hAnsi="Times New Roman" w:cs="Times New Roman"/>
          <w:sz w:val="24"/>
          <w:szCs w:val="24"/>
        </w:rPr>
        <w:tab/>
      </w:r>
      <w:r w:rsidR="00811F8F">
        <w:rPr>
          <w:rFonts w:ascii="Times New Roman" w:hAnsi="Times New Roman" w:cs="Times New Roman"/>
          <w:sz w:val="24"/>
          <w:szCs w:val="24"/>
        </w:rPr>
        <w:t>An important, recent case of interest misalignment, which significantly lowered trust levels</w:t>
      </w:r>
      <w:r w:rsidR="000D45DF">
        <w:rPr>
          <w:rFonts w:ascii="Times New Roman" w:hAnsi="Times New Roman" w:cs="Times New Roman"/>
          <w:sz w:val="24"/>
          <w:szCs w:val="24"/>
        </w:rPr>
        <w:t>, was over the Syrian civil war.</w:t>
      </w:r>
      <w:r w:rsidR="00811F8F">
        <w:rPr>
          <w:rFonts w:ascii="Times New Roman" w:hAnsi="Times New Roman" w:cs="Times New Roman"/>
          <w:sz w:val="24"/>
          <w:szCs w:val="24"/>
        </w:rPr>
        <w:t xml:space="preserve"> Iran </w:t>
      </w:r>
      <w:r w:rsidR="00D6342E">
        <w:rPr>
          <w:rFonts w:ascii="Times New Roman" w:hAnsi="Times New Roman" w:cs="Times New Roman"/>
          <w:sz w:val="24"/>
          <w:szCs w:val="24"/>
        </w:rPr>
        <w:t xml:space="preserve">and Hezbollah </w:t>
      </w:r>
      <w:r w:rsidR="00811F8F">
        <w:rPr>
          <w:rFonts w:ascii="Times New Roman" w:hAnsi="Times New Roman" w:cs="Times New Roman"/>
          <w:sz w:val="24"/>
          <w:szCs w:val="24"/>
        </w:rPr>
        <w:t xml:space="preserve">sided with the </w:t>
      </w:r>
      <w:r w:rsidR="000D45DF">
        <w:rPr>
          <w:rFonts w:ascii="Times New Roman" w:hAnsi="Times New Roman" w:cs="Times New Roman"/>
          <w:sz w:val="24"/>
          <w:szCs w:val="24"/>
        </w:rPr>
        <w:t>Assad regime</w:t>
      </w:r>
      <w:r w:rsidR="00811F8F">
        <w:rPr>
          <w:rFonts w:ascii="Times New Roman" w:hAnsi="Times New Roman" w:cs="Times New Roman"/>
          <w:sz w:val="24"/>
          <w:szCs w:val="24"/>
        </w:rPr>
        <w:t xml:space="preserve"> and Hamas “</w:t>
      </w:r>
      <w:r w:rsidR="00811F8F" w:rsidRPr="003F2C9D">
        <w:rPr>
          <w:rFonts w:ascii="Times New Roman" w:hAnsi="Times New Roman" w:cs="Times New Roman"/>
          <w:sz w:val="24"/>
          <w:szCs w:val="24"/>
        </w:rPr>
        <w:t>sided with the largely Sunni rebellion</w:t>
      </w:r>
      <w:r w:rsidR="00811F8F">
        <w:rPr>
          <w:rFonts w:ascii="Times New Roman" w:hAnsi="Times New Roman" w:cs="Times New Roman"/>
          <w:sz w:val="24"/>
          <w:szCs w:val="24"/>
        </w:rPr>
        <w:t>.”</w:t>
      </w:r>
      <w:r w:rsidR="00811F8F">
        <w:rPr>
          <w:rStyle w:val="FootnoteReference"/>
          <w:rFonts w:ascii="Times New Roman" w:hAnsi="Times New Roman" w:cs="Times New Roman"/>
          <w:sz w:val="24"/>
          <w:szCs w:val="24"/>
        </w:rPr>
        <w:footnoteReference w:id="146"/>
      </w:r>
      <w:r w:rsidR="00811F8F">
        <w:rPr>
          <w:rFonts w:ascii="Times New Roman" w:hAnsi="Times New Roman" w:cs="Times New Roman"/>
          <w:sz w:val="24"/>
          <w:szCs w:val="24"/>
        </w:rPr>
        <w:t xml:space="preserve"> </w:t>
      </w:r>
      <w:r w:rsidR="00D6342E">
        <w:rPr>
          <w:rFonts w:ascii="Times New Roman" w:hAnsi="Times New Roman" w:cs="Times New Roman"/>
          <w:sz w:val="24"/>
          <w:szCs w:val="24"/>
        </w:rPr>
        <w:t>A</w:t>
      </w:r>
      <w:r w:rsidR="000D45DF">
        <w:rPr>
          <w:rFonts w:ascii="Times New Roman" w:hAnsi="Times New Roman" w:cs="Times New Roman"/>
          <w:sz w:val="24"/>
          <w:szCs w:val="24"/>
        </w:rPr>
        <w:t xml:space="preserve">fter </w:t>
      </w:r>
      <w:r w:rsidR="00D6342E">
        <w:rPr>
          <w:rFonts w:ascii="Times New Roman" w:hAnsi="Times New Roman" w:cs="Times New Roman"/>
          <w:sz w:val="24"/>
          <w:szCs w:val="24"/>
        </w:rPr>
        <w:t>finding themselves on opposite sides, Koss writes, Hezbollah, and ostensibly Iran, “blame</w:t>
      </w:r>
      <w:r w:rsidR="000D45DF">
        <w:rPr>
          <w:rFonts w:ascii="Times New Roman" w:hAnsi="Times New Roman" w:cs="Times New Roman"/>
          <w:sz w:val="24"/>
          <w:szCs w:val="24"/>
        </w:rPr>
        <w:t>[d]</w:t>
      </w:r>
      <w:r w:rsidR="00D6342E">
        <w:rPr>
          <w:rFonts w:ascii="Times New Roman" w:hAnsi="Times New Roman" w:cs="Times New Roman"/>
          <w:sz w:val="24"/>
          <w:szCs w:val="24"/>
        </w:rPr>
        <w:t xml:space="preserve"> Hamas for having moved closely to the Egyptian Muslim Brotherhood and for giving up resistance against Israel.”</w:t>
      </w:r>
      <w:r w:rsidR="00D6342E">
        <w:rPr>
          <w:rStyle w:val="FootnoteReference"/>
          <w:rFonts w:ascii="Times New Roman" w:hAnsi="Times New Roman" w:cs="Times New Roman"/>
          <w:sz w:val="24"/>
          <w:szCs w:val="24"/>
        </w:rPr>
        <w:footnoteReference w:id="147"/>
      </w:r>
      <w:r w:rsidR="00D6342E">
        <w:rPr>
          <w:rFonts w:ascii="Times New Roman" w:hAnsi="Times New Roman" w:cs="Times New Roman"/>
          <w:sz w:val="24"/>
          <w:szCs w:val="24"/>
        </w:rPr>
        <w:t xml:space="preserve"> </w:t>
      </w:r>
      <w:r w:rsidR="00811F8F">
        <w:rPr>
          <w:rFonts w:ascii="Times New Roman" w:hAnsi="Times New Roman" w:cs="Times New Roman"/>
          <w:sz w:val="24"/>
          <w:szCs w:val="24"/>
        </w:rPr>
        <w:t>This disagreement soured political relations between Iran</w:t>
      </w:r>
      <w:r w:rsidR="000D45DF">
        <w:rPr>
          <w:rFonts w:ascii="Times New Roman" w:hAnsi="Times New Roman" w:cs="Times New Roman"/>
          <w:sz w:val="24"/>
          <w:szCs w:val="24"/>
        </w:rPr>
        <w:t xml:space="preserve"> and Hezbollah,</w:t>
      </w:r>
      <w:r w:rsidR="00811F8F">
        <w:rPr>
          <w:rFonts w:ascii="Times New Roman" w:hAnsi="Times New Roman" w:cs="Times New Roman"/>
          <w:sz w:val="24"/>
          <w:szCs w:val="24"/>
        </w:rPr>
        <w:t xml:space="preserve"> and Hamas for several years. As reported by the </w:t>
      </w:r>
      <w:r w:rsidR="00811F8F">
        <w:rPr>
          <w:rFonts w:ascii="Times New Roman" w:hAnsi="Times New Roman" w:cs="Times New Roman"/>
          <w:i/>
          <w:iCs/>
          <w:sz w:val="24"/>
          <w:szCs w:val="24"/>
        </w:rPr>
        <w:t>Associated Press</w:t>
      </w:r>
      <w:r w:rsidR="00811F8F">
        <w:rPr>
          <w:rFonts w:ascii="Times New Roman" w:hAnsi="Times New Roman" w:cs="Times New Roman"/>
          <w:sz w:val="24"/>
          <w:szCs w:val="24"/>
        </w:rPr>
        <w:t>, “</w:t>
      </w:r>
      <w:r w:rsidR="00811F8F" w:rsidRPr="009161D0">
        <w:rPr>
          <w:rFonts w:ascii="Times New Roman" w:hAnsi="Times New Roman" w:cs="Times New Roman"/>
          <w:sz w:val="24"/>
          <w:szCs w:val="24"/>
        </w:rPr>
        <w:t>Hamas and Iran did not completely cut off their alliance after the fall-</w:t>
      </w:r>
      <w:r w:rsidR="00811F8F" w:rsidRPr="009161D0">
        <w:rPr>
          <w:rFonts w:ascii="Times New Roman" w:hAnsi="Times New Roman" w:cs="Times New Roman"/>
          <w:sz w:val="24"/>
          <w:szCs w:val="24"/>
        </w:rPr>
        <w:lastRenderedPageBreak/>
        <w:t>out with Assad. But ties cooled considerably.</w:t>
      </w:r>
      <w:r w:rsidR="00811F8F">
        <w:rPr>
          <w:rFonts w:ascii="Times New Roman" w:hAnsi="Times New Roman" w:cs="Times New Roman"/>
          <w:sz w:val="24"/>
          <w:szCs w:val="24"/>
        </w:rPr>
        <w:t>”</w:t>
      </w:r>
      <w:r w:rsidR="00811F8F" w:rsidRPr="009161D0">
        <w:rPr>
          <w:rStyle w:val="FootnoteReference"/>
          <w:rFonts w:ascii="Times New Roman" w:hAnsi="Times New Roman" w:cs="Times New Roman"/>
          <w:sz w:val="24"/>
          <w:szCs w:val="24"/>
        </w:rPr>
        <w:t xml:space="preserve"> </w:t>
      </w:r>
      <w:r w:rsidR="00811F8F">
        <w:rPr>
          <w:rStyle w:val="FootnoteReference"/>
          <w:rFonts w:ascii="Times New Roman" w:hAnsi="Times New Roman" w:cs="Times New Roman"/>
          <w:sz w:val="24"/>
          <w:szCs w:val="24"/>
        </w:rPr>
        <w:footnoteReference w:id="148"/>
      </w:r>
      <w:r w:rsidR="00811F8F">
        <w:rPr>
          <w:rFonts w:ascii="Times New Roman" w:hAnsi="Times New Roman" w:cs="Times New Roman"/>
          <w:sz w:val="24"/>
          <w:szCs w:val="24"/>
        </w:rPr>
        <w:t xml:space="preserve"> In particular, Iran significantly reduced its funding for Hamas’ armed wing.</w:t>
      </w:r>
      <w:r w:rsidR="00811F8F">
        <w:rPr>
          <w:rStyle w:val="FootnoteReference"/>
          <w:rFonts w:ascii="Times New Roman" w:hAnsi="Times New Roman" w:cs="Times New Roman"/>
          <w:sz w:val="24"/>
          <w:szCs w:val="24"/>
        </w:rPr>
        <w:footnoteReference w:id="149"/>
      </w:r>
      <w:r w:rsidR="00811F8F" w:rsidRPr="009161D0">
        <w:rPr>
          <w:rFonts w:ascii="Times New Roman" w:hAnsi="Times New Roman" w:cs="Times New Roman"/>
          <w:sz w:val="24"/>
          <w:szCs w:val="24"/>
        </w:rPr>
        <w:t> </w:t>
      </w:r>
      <w:r w:rsidR="00811F8F">
        <w:rPr>
          <w:rFonts w:ascii="Times New Roman" w:hAnsi="Times New Roman" w:cs="Times New Roman"/>
          <w:sz w:val="24"/>
          <w:szCs w:val="24"/>
        </w:rPr>
        <w:t>The fact that Hamas publically disagreed with Iran signifies the low</w:t>
      </w:r>
      <w:r w:rsidR="00797715">
        <w:rPr>
          <w:rFonts w:ascii="Times New Roman" w:hAnsi="Times New Roman" w:cs="Times New Roman"/>
          <w:sz w:val="24"/>
          <w:szCs w:val="24"/>
        </w:rPr>
        <w:t xml:space="preserve"> trust between the two actors</w:t>
      </w:r>
      <w:r w:rsidR="00811F8F">
        <w:rPr>
          <w:rFonts w:ascii="Times New Roman" w:hAnsi="Times New Roman" w:cs="Times New Roman"/>
          <w:sz w:val="24"/>
          <w:szCs w:val="24"/>
        </w:rPr>
        <w:t>. It is possible that Iran reduced funding for Hamas in an attempt to punish them for fai</w:t>
      </w:r>
      <w:r w:rsidR="000D45DF">
        <w:rPr>
          <w:rFonts w:ascii="Times New Roman" w:hAnsi="Times New Roman" w:cs="Times New Roman"/>
          <w:sz w:val="24"/>
          <w:szCs w:val="24"/>
        </w:rPr>
        <w:t>ling to comply with their desired actions</w:t>
      </w:r>
      <w:r w:rsidR="00811F8F">
        <w:rPr>
          <w:rFonts w:ascii="Times New Roman" w:hAnsi="Times New Roman" w:cs="Times New Roman"/>
          <w:sz w:val="24"/>
          <w:szCs w:val="24"/>
        </w:rPr>
        <w:t xml:space="preserve">. This follows the logic of Berman, Lake, </w:t>
      </w:r>
      <w:proofErr w:type="spellStart"/>
      <w:r w:rsidR="00811F8F">
        <w:rPr>
          <w:rFonts w:ascii="Times New Roman" w:hAnsi="Times New Roman" w:cs="Times New Roman"/>
          <w:sz w:val="24"/>
          <w:szCs w:val="24"/>
        </w:rPr>
        <w:t>Padró</w:t>
      </w:r>
      <w:proofErr w:type="spellEnd"/>
      <w:r w:rsidR="00811F8F">
        <w:rPr>
          <w:rFonts w:ascii="Times New Roman" w:hAnsi="Times New Roman" w:cs="Times New Roman"/>
          <w:sz w:val="24"/>
          <w:szCs w:val="24"/>
        </w:rPr>
        <w:t xml:space="preserve"> </w:t>
      </w:r>
      <w:proofErr w:type="spellStart"/>
      <w:r w:rsidR="00811F8F">
        <w:rPr>
          <w:rFonts w:ascii="Times New Roman" w:hAnsi="Times New Roman" w:cs="Times New Roman"/>
          <w:sz w:val="24"/>
          <w:szCs w:val="24"/>
        </w:rPr>
        <w:t>i</w:t>
      </w:r>
      <w:proofErr w:type="spellEnd"/>
      <w:r w:rsidR="00811F8F">
        <w:rPr>
          <w:rFonts w:ascii="Times New Roman" w:hAnsi="Times New Roman" w:cs="Times New Roman"/>
          <w:sz w:val="24"/>
          <w:szCs w:val="24"/>
        </w:rPr>
        <w:t xml:space="preserve"> Miquel, and </w:t>
      </w:r>
      <w:proofErr w:type="spellStart"/>
      <w:r w:rsidR="00811F8F">
        <w:rPr>
          <w:rFonts w:ascii="Times New Roman" w:hAnsi="Times New Roman" w:cs="Times New Roman"/>
          <w:sz w:val="24"/>
          <w:szCs w:val="24"/>
        </w:rPr>
        <w:t>Yared</w:t>
      </w:r>
      <w:proofErr w:type="spellEnd"/>
      <w:r w:rsidR="00811F8F">
        <w:rPr>
          <w:rFonts w:ascii="Times New Roman" w:hAnsi="Times New Roman" w:cs="Times New Roman"/>
          <w:sz w:val="24"/>
          <w:szCs w:val="24"/>
        </w:rPr>
        <w:t>: Iran tried to use a punishment “</w:t>
      </w:r>
      <w:r w:rsidR="00811F8F" w:rsidRPr="009161D0">
        <w:rPr>
          <w:rFonts w:ascii="Times New Roman" w:hAnsi="Times New Roman" w:cs="Times New Roman"/>
          <w:sz w:val="24"/>
          <w:szCs w:val="24"/>
        </w:rPr>
        <w:t>to compel the</w:t>
      </w:r>
      <w:r w:rsidR="00811F8F">
        <w:rPr>
          <w:rFonts w:ascii="Times New Roman" w:hAnsi="Times New Roman" w:cs="Times New Roman"/>
          <w:sz w:val="24"/>
          <w:szCs w:val="24"/>
        </w:rPr>
        <w:t>[</w:t>
      </w:r>
      <w:proofErr w:type="spellStart"/>
      <w:r w:rsidR="00811F8F">
        <w:rPr>
          <w:rFonts w:ascii="Times New Roman" w:hAnsi="Times New Roman" w:cs="Times New Roman"/>
          <w:sz w:val="24"/>
          <w:szCs w:val="24"/>
        </w:rPr>
        <w:t>ir</w:t>
      </w:r>
      <w:proofErr w:type="spellEnd"/>
      <w:r w:rsidR="00811F8F">
        <w:rPr>
          <w:rFonts w:ascii="Times New Roman" w:hAnsi="Times New Roman" w:cs="Times New Roman"/>
          <w:sz w:val="24"/>
          <w:szCs w:val="24"/>
        </w:rPr>
        <w:t>]</w:t>
      </w:r>
      <w:r w:rsidR="00811F8F" w:rsidRPr="009161D0">
        <w:rPr>
          <w:rFonts w:ascii="Times New Roman" w:hAnsi="Times New Roman" w:cs="Times New Roman"/>
          <w:sz w:val="24"/>
          <w:szCs w:val="24"/>
        </w:rPr>
        <w:t xml:space="preserve"> agent to carry out the </w:t>
      </w:r>
      <w:r w:rsidR="00811F8F">
        <w:rPr>
          <w:rFonts w:ascii="Times New Roman" w:hAnsi="Times New Roman" w:cs="Times New Roman"/>
          <w:sz w:val="24"/>
          <w:szCs w:val="24"/>
        </w:rPr>
        <w:t>ac</w:t>
      </w:r>
      <w:r w:rsidR="00D6342E">
        <w:rPr>
          <w:rFonts w:ascii="Times New Roman" w:hAnsi="Times New Roman" w:cs="Times New Roman"/>
          <w:sz w:val="24"/>
          <w:szCs w:val="24"/>
        </w:rPr>
        <w:t>tions” they wanted. In this example</w:t>
      </w:r>
      <w:r w:rsidR="00811F8F">
        <w:rPr>
          <w:rFonts w:ascii="Times New Roman" w:hAnsi="Times New Roman" w:cs="Times New Roman"/>
          <w:sz w:val="24"/>
          <w:szCs w:val="24"/>
        </w:rPr>
        <w:t>, Iran attempted to strengthen control over Hamas instead of allowing low control to persist.</w:t>
      </w:r>
      <w:r w:rsidR="00D6342E">
        <w:rPr>
          <w:rFonts w:ascii="Times New Roman" w:hAnsi="Times New Roman" w:cs="Times New Roman"/>
          <w:sz w:val="24"/>
          <w:szCs w:val="24"/>
        </w:rPr>
        <w:t xml:space="preserve"> </w:t>
      </w:r>
      <w:r w:rsidR="00797715">
        <w:rPr>
          <w:rFonts w:ascii="Times New Roman" w:hAnsi="Times New Roman" w:cs="Times New Roman"/>
          <w:sz w:val="24"/>
          <w:szCs w:val="24"/>
        </w:rPr>
        <w:t>This example, and the case of Hamas in general, indicates the significant variation in Iranian control across its militias.</w:t>
      </w:r>
    </w:p>
    <w:p w14:paraId="36A334B5" w14:textId="77777777" w:rsidR="00AE61CA" w:rsidRDefault="00AE61CA" w:rsidP="00750927">
      <w:pPr>
        <w:rPr>
          <w:rFonts w:asciiTheme="majorBidi" w:hAnsiTheme="majorBidi" w:cstheme="majorBidi"/>
          <w:b/>
          <w:bCs/>
          <w:sz w:val="24"/>
          <w:szCs w:val="24"/>
        </w:rPr>
      </w:pPr>
      <w:r>
        <w:rPr>
          <w:rFonts w:asciiTheme="majorBidi" w:hAnsiTheme="majorBidi" w:cstheme="majorBidi"/>
          <w:b/>
          <w:bCs/>
          <w:sz w:val="24"/>
          <w:szCs w:val="24"/>
        </w:rPr>
        <w:t>Conclusion</w:t>
      </w:r>
      <w:r w:rsidR="00923A9D">
        <w:rPr>
          <w:rFonts w:asciiTheme="majorBidi" w:hAnsiTheme="majorBidi" w:cstheme="majorBidi"/>
          <w:b/>
          <w:bCs/>
          <w:sz w:val="24"/>
          <w:szCs w:val="24"/>
        </w:rPr>
        <w:t xml:space="preserve"> </w:t>
      </w:r>
      <w:r w:rsidR="009052A8">
        <w:rPr>
          <w:rFonts w:asciiTheme="majorBidi" w:hAnsiTheme="majorBidi" w:cstheme="majorBidi"/>
          <w:b/>
          <w:bCs/>
          <w:sz w:val="24"/>
          <w:szCs w:val="24"/>
        </w:rPr>
        <w:t xml:space="preserve">and further research </w:t>
      </w:r>
    </w:p>
    <w:p w14:paraId="2E29CDA2" w14:textId="77777777" w:rsidR="00087A0B" w:rsidRDefault="003568FD" w:rsidP="00662F62">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This paper has attempted to highlight the value of bringing the alliance politics framework into the study of state control of militias. By </w:t>
      </w:r>
      <w:r w:rsidR="007C0F1C">
        <w:rPr>
          <w:rFonts w:ascii="Times New Roman" w:hAnsi="Times New Roman" w:cs="Times New Roman"/>
          <w:sz w:val="24"/>
          <w:szCs w:val="24"/>
        </w:rPr>
        <w:t>underscoring</w:t>
      </w:r>
      <w:r>
        <w:rPr>
          <w:rFonts w:ascii="Times New Roman" w:hAnsi="Times New Roman" w:cs="Times New Roman"/>
          <w:sz w:val="24"/>
          <w:szCs w:val="24"/>
        </w:rPr>
        <w:t xml:space="preserve"> the shortcomings of </w:t>
      </w:r>
      <w:r w:rsidR="007C0F1C">
        <w:rPr>
          <w:rFonts w:ascii="Times New Roman" w:hAnsi="Times New Roman" w:cs="Times New Roman"/>
          <w:sz w:val="24"/>
          <w:szCs w:val="24"/>
        </w:rPr>
        <w:t>applying principal-agent theory to</w:t>
      </w:r>
      <w:r>
        <w:rPr>
          <w:rFonts w:ascii="Times New Roman" w:hAnsi="Times New Roman" w:cs="Times New Roman"/>
          <w:sz w:val="24"/>
          <w:szCs w:val="24"/>
        </w:rPr>
        <w:t xml:space="preserve"> Hezbollah</w:t>
      </w:r>
      <w:r w:rsidR="00662F62">
        <w:rPr>
          <w:rFonts w:ascii="Times New Roman" w:hAnsi="Times New Roman" w:cs="Times New Roman"/>
          <w:sz w:val="24"/>
          <w:szCs w:val="24"/>
        </w:rPr>
        <w:t xml:space="preserve"> across time</w:t>
      </w:r>
      <w:r>
        <w:rPr>
          <w:rFonts w:ascii="Times New Roman" w:hAnsi="Times New Roman" w:cs="Times New Roman"/>
          <w:sz w:val="24"/>
          <w:szCs w:val="24"/>
        </w:rPr>
        <w:t xml:space="preserve">, I argue that a </w:t>
      </w:r>
      <w:r w:rsidR="007C0F1C">
        <w:rPr>
          <w:rFonts w:ascii="Times New Roman" w:hAnsi="Times New Roman" w:cs="Times New Roman"/>
          <w:sz w:val="24"/>
          <w:szCs w:val="24"/>
        </w:rPr>
        <w:t>superior</w:t>
      </w:r>
      <w:r>
        <w:rPr>
          <w:rFonts w:ascii="Times New Roman" w:hAnsi="Times New Roman" w:cs="Times New Roman"/>
          <w:sz w:val="24"/>
          <w:szCs w:val="24"/>
        </w:rPr>
        <w:t xml:space="preserve"> understanding of the relationship between </w:t>
      </w:r>
      <w:r w:rsidR="00662F62">
        <w:rPr>
          <w:rFonts w:ascii="Times New Roman" w:hAnsi="Times New Roman" w:cs="Times New Roman"/>
          <w:sz w:val="24"/>
          <w:szCs w:val="24"/>
        </w:rPr>
        <w:t>the two actors</w:t>
      </w:r>
      <w:r>
        <w:rPr>
          <w:rFonts w:ascii="Times New Roman" w:hAnsi="Times New Roman" w:cs="Times New Roman"/>
          <w:sz w:val="24"/>
          <w:szCs w:val="24"/>
        </w:rPr>
        <w:t xml:space="preserve"> emerges when Hezbollah is conceptualized </w:t>
      </w:r>
      <w:r w:rsidR="007C0F1C">
        <w:rPr>
          <w:rFonts w:ascii="Times New Roman" w:hAnsi="Times New Roman" w:cs="Times New Roman"/>
          <w:sz w:val="24"/>
          <w:szCs w:val="24"/>
        </w:rPr>
        <w:t xml:space="preserve">more as an ally of Iran, </w:t>
      </w:r>
      <w:r>
        <w:rPr>
          <w:rFonts w:ascii="Times New Roman" w:hAnsi="Times New Roman" w:cs="Times New Roman"/>
          <w:sz w:val="24"/>
          <w:szCs w:val="24"/>
        </w:rPr>
        <w:t>than an agent</w:t>
      </w:r>
      <w:r w:rsidR="007C0F1C">
        <w:rPr>
          <w:rFonts w:ascii="Times New Roman" w:hAnsi="Times New Roman" w:cs="Times New Roman"/>
          <w:sz w:val="24"/>
          <w:szCs w:val="24"/>
        </w:rPr>
        <w:t xml:space="preserve"> of Iran</w:t>
      </w:r>
      <w:r>
        <w:rPr>
          <w:rFonts w:ascii="Times New Roman" w:hAnsi="Times New Roman" w:cs="Times New Roman"/>
          <w:sz w:val="24"/>
          <w:szCs w:val="24"/>
        </w:rPr>
        <w:t xml:space="preserve">. While </w:t>
      </w:r>
      <w:r w:rsidR="007C0F1C">
        <w:rPr>
          <w:rFonts w:ascii="Times New Roman" w:hAnsi="Times New Roman" w:cs="Times New Roman"/>
          <w:sz w:val="24"/>
          <w:szCs w:val="24"/>
        </w:rPr>
        <w:t>the case studies presented here serve</w:t>
      </w:r>
      <w:r w:rsidR="00087A0B">
        <w:rPr>
          <w:rFonts w:ascii="Times New Roman" w:hAnsi="Times New Roman" w:cs="Times New Roman"/>
          <w:sz w:val="24"/>
          <w:szCs w:val="24"/>
        </w:rPr>
        <w:t xml:space="preserve"> as a plausibility probe, the theory laid out in this paper needs to be further developed and empirically tested. </w:t>
      </w:r>
    </w:p>
    <w:p w14:paraId="14C29D71" w14:textId="77777777" w:rsidR="00087A0B" w:rsidRDefault="00087A0B" w:rsidP="007C0F1C">
      <w:pPr>
        <w:spacing w:after="0" w:line="480" w:lineRule="auto"/>
        <w:rPr>
          <w:rFonts w:ascii="Times New Roman" w:hAnsi="Times New Roman" w:cs="Times New Roman"/>
          <w:sz w:val="24"/>
          <w:szCs w:val="24"/>
        </w:rPr>
      </w:pPr>
      <w:r>
        <w:rPr>
          <w:rFonts w:ascii="Times New Roman" w:hAnsi="Times New Roman" w:cs="Times New Roman"/>
          <w:sz w:val="24"/>
          <w:szCs w:val="24"/>
        </w:rPr>
        <w:tab/>
        <w:t>The theoretical questions that need further exploration are: What is the exact link between interest alignment and trust? Are there specific conditions under which trust can develop or trust cannot develop? Is there a relationship between time</w:t>
      </w:r>
      <w:r w:rsidR="007C0F1C">
        <w:rPr>
          <w:rFonts w:ascii="Times New Roman" w:hAnsi="Times New Roman" w:cs="Times New Roman"/>
          <w:sz w:val="24"/>
          <w:szCs w:val="24"/>
        </w:rPr>
        <w:t xml:space="preserve"> (the length of time there has been a relationship between the two actors)</w:t>
      </w:r>
      <w:r>
        <w:rPr>
          <w:rFonts w:ascii="Times New Roman" w:hAnsi="Times New Roman" w:cs="Times New Roman"/>
          <w:sz w:val="24"/>
          <w:szCs w:val="24"/>
        </w:rPr>
        <w:t xml:space="preserve"> and trust? Do trust levels differ between militias that have been </w:t>
      </w:r>
      <w:r w:rsidRPr="00087A0B">
        <w:rPr>
          <w:rFonts w:ascii="Times New Roman" w:hAnsi="Times New Roman" w:cs="Times New Roman"/>
          <w:i/>
          <w:iCs/>
          <w:sz w:val="24"/>
          <w:szCs w:val="24"/>
        </w:rPr>
        <w:t>created</w:t>
      </w:r>
      <w:r>
        <w:rPr>
          <w:rFonts w:ascii="Times New Roman" w:hAnsi="Times New Roman" w:cs="Times New Roman"/>
          <w:sz w:val="24"/>
          <w:szCs w:val="24"/>
        </w:rPr>
        <w:t xml:space="preserve"> by states as opposed to only </w:t>
      </w:r>
      <w:r>
        <w:rPr>
          <w:rFonts w:ascii="Times New Roman" w:hAnsi="Times New Roman" w:cs="Times New Roman"/>
          <w:i/>
          <w:iCs/>
          <w:sz w:val="24"/>
          <w:szCs w:val="24"/>
        </w:rPr>
        <w:t>supported</w:t>
      </w:r>
      <w:r>
        <w:rPr>
          <w:rFonts w:ascii="Times New Roman" w:hAnsi="Times New Roman" w:cs="Times New Roman"/>
          <w:sz w:val="24"/>
          <w:szCs w:val="24"/>
        </w:rPr>
        <w:t xml:space="preserve"> by states? Do trust levels differ between militias that have a single state supporter and militias that have multiple state supporters? In a first attempt to further think through these questions, I have created the chart </w:t>
      </w:r>
      <w:r>
        <w:rPr>
          <w:rFonts w:ascii="Times New Roman" w:hAnsi="Times New Roman" w:cs="Times New Roman"/>
          <w:sz w:val="24"/>
          <w:szCs w:val="24"/>
        </w:rPr>
        <w:lastRenderedPageBreak/>
        <w:t xml:space="preserve">below to incorporate </w:t>
      </w:r>
      <w:r w:rsidR="007C0F1C">
        <w:rPr>
          <w:rFonts w:ascii="Times New Roman" w:hAnsi="Times New Roman" w:cs="Times New Roman"/>
          <w:sz w:val="24"/>
          <w:szCs w:val="24"/>
        </w:rPr>
        <w:t>a second</w:t>
      </w:r>
      <w:r>
        <w:rPr>
          <w:rFonts w:ascii="Times New Roman" w:hAnsi="Times New Roman" w:cs="Times New Roman"/>
          <w:sz w:val="24"/>
          <w:szCs w:val="24"/>
        </w:rPr>
        <w:t xml:space="preserve"> dimension: resource dependence. Resource dependence is likely influenced by the length of time a state and militia have had a relationship</w:t>
      </w:r>
      <w:r w:rsidR="00CC2271">
        <w:rPr>
          <w:rFonts w:ascii="Times New Roman" w:hAnsi="Times New Roman" w:cs="Times New Roman"/>
          <w:sz w:val="24"/>
          <w:szCs w:val="24"/>
        </w:rPr>
        <w:t xml:space="preserve"> (via path dependence)</w:t>
      </w:r>
      <w:r>
        <w:rPr>
          <w:rFonts w:ascii="Times New Roman" w:hAnsi="Times New Roman" w:cs="Times New Roman"/>
          <w:sz w:val="24"/>
          <w:szCs w:val="24"/>
        </w:rPr>
        <w:t xml:space="preserve">, whether or not a state actually created the militia, and the number of </w:t>
      </w:r>
      <w:r w:rsidR="00CC2271">
        <w:rPr>
          <w:rFonts w:ascii="Times New Roman" w:hAnsi="Times New Roman" w:cs="Times New Roman"/>
          <w:sz w:val="24"/>
          <w:szCs w:val="24"/>
        </w:rPr>
        <w:t>state</w:t>
      </w:r>
      <w:r w:rsidR="00662F62">
        <w:rPr>
          <w:rFonts w:ascii="Times New Roman" w:hAnsi="Times New Roman" w:cs="Times New Roman"/>
          <w:sz w:val="24"/>
          <w:szCs w:val="24"/>
        </w:rPr>
        <w:t>s</w:t>
      </w:r>
      <w:r w:rsidR="00CC2271">
        <w:rPr>
          <w:rFonts w:ascii="Times New Roman" w:hAnsi="Times New Roman" w:cs="Times New Roman"/>
          <w:sz w:val="24"/>
          <w:szCs w:val="24"/>
        </w:rPr>
        <w:t xml:space="preserve"> supporting the militia. </w:t>
      </w:r>
    </w:p>
    <w:tbl>
      <w:tblPr>
        <w:tblStyle w:val="TableGrid"/>
        <w:tblW w:w="0" w:type="auto"/>
        <w:tblLook w:val="04A0" w:firstRow="1" w:lastRow="0" w:firstColumn="1" w:lastColumn="0" w:noHBand="0" w:noVBand="1"/>
      </w:tblPr>
      <w:tblGrid>
        <w:gridCol w:w="1525"/>
        <w:gridCol w:w="900"/>
        <w:gridCol w:w="3510"/>
        <w:gridCol w:w="3415"/>
      </w:tblGrid>
      <w:tr w:rsidR="00087A0B" w14:paraId="63D72E32" w14:textId="77777777" w:rsidTr="009052A8">
        <w:tc>
          <w:tcPr>
            <w:tcW w:w="2425" w:type="dxa"/>
            <w:gridSpan w:val="2"/>
            <w:vMerge w:val="restart"/>
            <w:shd w:val="clear" w:color="auto" w:fill="808080" w:themeFill="background1" w:themeFillShade="80"/>
          </w:tcPr>
          <w:p w14:paraId="091EA683" w14:textId="77777777" w:rsidR="00087A0B" w:rsidRDefault="00087A0B" w:rsidP="009052A8">
            <w:pPr>
              <w:jc w:val="center"/>
              <w:rPr>
                <w:rFonts w:asciiTheme="majorBidi" w:hAnsiTheme="majorBidi" w:cstheme="majorBidi"/>
                <w:b/>
                <w:bCs/>
                <w:sz w:val="24"/>
                <w:szCs w:val="24"/>
              </w:rPr>
            </w:pPr>
            <w:r>
              <w:rPr>
                <w:rFonts w:asciiTheme="majorBidi" w:hAnsiTheme="majorBidi" w:cstheme="majorBidi"/>
                <w:b/>
                <w:bCs/>
                <w:sz w:val="24"/>
                <w:szCs w:val="24"/>
              </w:rPr>
              <w:t>Prediction of relationship type</w:t>
            </w:r>
          </w:p>
        </w:tc>
        <w:tc>
          <w:tcPr>
            <w:tcW w:w="6925" w:type="dxa"/>
            <w:gridSpan w:val="2"/>
            <w:shd w:val="clear" w:color="auto" w:fill="808080" w:themeFill="background1" w:themeFillShade="80"/>
          </w:tcPr>
          <w:p w14:paraId="77E69460" w14:textId="77777777" w:rsidR="00087A0B" w:rsidRPr="00534B5F" w:rsidRDefault="00087A0B" w:rsidP="009052A8">
            <w:pPr>
              <w:tabs>
                <w:tab w:val="left" w:pos="1337"/>
              </w:tabs>
              <w:jc w:val="center"/>
              <w:rPr>
                <w:rFonts w:asciiTheme="majorBidi" w:hAnsiTheme="majorBidi" w:cstheme="majorBidi"/>
                <w:i/>
                <w:iCs/>
                <w:sz w:val="24"/>
                <w:szCs w:val="24"/>
              </w:rPr>
            </w:pPr>
            <w:r w:rsidRPr="00534B5F">
              <w:rPr>
                <w:rFonts w:asciiTheme="majorBidi" w:hAnsiTheme="majorBidi" w:cstheme="majorBidi"/>
                <w:i/>
                <w:iCs/>
                <w:sz w:val="24"/>
                <w:szCs w:val="24"/>
              </w:rPr>
              <w:t>Trust</w:t>
            </w:r>
          </w:p>
        </w:tc>
      </w:tr>
      <w:tr w:rsidR="00087A0B" w14:paraId="7C7CCE7C" w14:textId="77777777" w:rsidTr="009052A8">
        <w:trPr>
          <w:trHeight w:val="350"/>
        </w:trPr>
        <w:tc>
          <w:tcPr>
            <w:tcW w:w="2425" w:type="dxa"/>
            <w:gridSpan w:val="2"/>
            <w:vMerge/>
            <w:shd w:val="clear" w:color="auto" w:fill="808080" w:themeFill="background1" w:themeFillShade="80"/>
          </w:tcPr>
          <w:p w14:paraId="51140FCD" w14:textId="77777777" w:rsidR="00087A0B" w:rsidRDefault="00087A0B" w:rsidP="009052A8">
            <w:pPr>
              <w:rPr>
                <w:rFonts w:asciiTheme="majorBidi" w:hAnsiTheme="majorBidi" w:cstheme="majorBidi"/>
                <w:b/>
                <w:bCs/>
                <w:sz w:val="24"/>
                <w:szCs w:val="24"/>
              </w:rPr>
            </w:pPr>
          </w:p>
        </w:tc>
        <w:tc>
          <w:tcPr>
            <w:tcW w:w="3510" w:type="dxa"/>
          </w:tcPr>
          <w:p w14:paraId="09AF0AEF" w14:textId="77777777" w:rsidR="00087A0B" w:rsidRPr="00534B5F" w:rsidRDefault="00087A0B" w:rsidP="009052A8">
            <w:pPr>
              <w:jc w:val="center"/>
              <w:rPr>
                <w:rFonts w:asciiTheme="majorBidi" w:hAnsiTheme="majorBidi" w:cstheme="majorBidi"/>
                <w:sz w:val="24"/>
                <w:szCs w:val="24"/>
              </w:rPr>
            </w:pPr>
            <w:r w:rsidRPr="00534B5F">
              <w:rPr>
                <w:rFonts w:asciiTheme="majorBidi" w:hAnsiTheme="majorBidi" w:cstheme="majorBidi"/>
                <w:sz w:val="24"/>
                <w:szCs w:val="24"/>
              </w:rPr>
              <w:t>Low</w:t>
            </w:r>
          </w:p>
        </w:tc>
        <w:tc>
          <w:tcPr>
            <w:tcW w:w="3415" w:type="dxa"/>
          </w:tcPr>
          <w:p w14:paraId="1B43360A" w14:textId="77777777" w:rsidR="00087A0B" w:rsidRPr="00534B5F" w:rsidRDefault="00087A0B" w:rsidP="009052A8">
            <w:pPr>
              <w:jc w:val="center"/>
              <w:rPr>
                <w:rFonts w:asciiTheme="majorBidi" w:hAnsiTheme="majorBidi" w:cstheme="majorBidi"/>
                <w:sz w:val="24"/>
                <w:szCs w:val="24"/>
              </w:rPr>
            </w:pPr>
            <w:r w:rsidRPr="00534B5F">
              <w:rPr>
                <w:rFonts w:asciiTheme="majorBidi" w:hAnsiTheme="majorBidi" w:cstheme="majorBidi"/>
                <w:sz w:val="24"/>
                <w:szCs w:val="24"/>
              </w:rPr>
              <w:t>High</w:t>
            </w:r>
          </w:p>
        </w:tc>
      </w:tr>
      <w:tr w:rsidR="00087A0B" w14:paraId="20D3467B" w14:textId="77777777" w:rsidTr="009052A8">
        <w:tc>
          <w:tcPr>
            <w:tcW w:w="1525" w:type="dxa"/>
            <w:vMerge w:val="restart"/>
            <w:shd w:val="clear" w:color="auto" w:fill="808080" w:themeFill="background1" w:themeFillShade="80"/>
          </w:tcPr>
          <w:p w14:paraId="5B0A555E" w14:textId="77777777" w:rsidR="00087A0B" w:rsidRPr="00534B5F" w:rsidRDefault="00087A0B" w:rsidP="009052A8">
            <w:pPr>
              <w:jc w:val="center"/>
              <w:rPr>
                <w:rFonts w:asciiTheme="majorBidi" w:hAnsiTheme="majorBidi" w:cstheme="majorBidi"/>
                <w:i/>
                <w:iCs/>
                <w:sz w:val="24"/>
                <w:szCs w:val="24"/>
              </w:rPr>
            </w:pPr>
            <w:r w:rsidRPr="00534B5F">
              <w:rPr>
                <w:rFonts w:asciiTheme="majorBidi" w:hAnsiTheme="majorBidi" w:cstheme="majorBidi"/>
                <w:i/>
                <w:iCs/>
                <w:sz w:val="24"/>
                <w:szCs w:val="24"/>
              </w:rPr>
              <w:t>Resource dependence</w:t>
            </w:r>
          </w:p>
        </w:tc>
        <w:tc>
          <w:tcPr>
            <w:tcW w:w="900" w:type="dxa"/>
          </w:tcPr>
          <w:p w14:paraId="3679EDC3" w14:textId="77777777" w:rsidR="00087A0B" w:rsidRPr="00534B5F" w:rsidRDefault="00087A0B" w:rsidP="009052A8">
            <w:pPr>
              <w:jc w:val="center"/>
              <w:rPr>
                <w:rFonts w:asciiTheme="majorBidi" w:hAnsiTheme="majorBidi" w:cstheme="majorBidi"/>
                <w:sz w:val="24"/>
                <w:szCs w:val="24"/>
              </w:rPr>
            </w:pPr>
            <w:r w:rsidRPr="00534B5F">
              <w:rPr>
                <w:rFonts w:asciiTheme="majorBidi" w:hAnsiTheme="majorBidi" w:cstheme="majorBidi"/>
                <w:sz w:val="24"/>
                <w:szCs w:val="24"/>
              </w:rPr>
              <w:t>Low</w:t>
            </w:r>
          </w:p>
        </w:tc>
        <w:tc>
          <w:tcPr>
            <w:tcW w:w="3510" w:type="dxa"/>
          </w:tcPr>
          <w:p w14:paraId="7EA319EB" w14:textId="77777777" w:rsidR="00087A0B" w:rsidRPr="00534B5F" w:rsidRDefault="00087A0B" w:rsidP="009052A8">
            <w:pPr>
              <w:jc w:val="center"/>
              <w:rPr>
                <w:rFonts w:asciiTheme="majorBidi" w:hAnsiTheme="majorBidi" w:cstheme="majorBidi"/>
                <w:sz w:val="24"/>
                <w:szCs w:val="24"/>
              </w:rPr>
            </w:pPr>
            <w:r>
              <w:rPr>
                <w:rFonts w:asciiTheme="majorBidi" w:hAnsiTheme="majorBidi" w:cstheme="majorBidi"/>
                <w:sz w:val="24"/>
                <w:szCs w:val="24"/>
              </w:rPr>
              <w:t>Alliance politics</w:t>
            </w:r>
          </w:p>
        </w:tc>
        <w:tc>
          <w:tcPr>
            <w:tcW w:w="3415" w:type="dxa"/>
          </w:tcPr>
          <w:p w14:paraId="52264288" w14:textId="77777777" w:rsidR="00087A0B" w:rsidRPr="00534B5F" w:rsidRDefault="00087A0B" w:rsidP="009052A8">
            <w:pPr>
              <w:jc w:val="center"/>
              <w:rPr>
                <w:rFonts w:asciiTheme="majorBidi" w:hAnsiTheme="majorBidi" w:cstheme="majorBidi"/>
                <w:sz w:val="24"/>
                <w:szCs w:val="24"/>
              </w:rPr>
            </w:pPr>
            <w:r>
              <w:rPr>
                <w:rFonts w:asciiTheme="majorBidi" w:hAnsiTheme="majorBidi" w:cstheme="majorBidi"/>
                <w:sz w:val="24"/>
                <w:szCs w:val="24"/>
              </w:rPr>
              <w:t>Alliance politics</w:t>
            </w:r>
          </w:p>
        </w:tc>
      </w:tr>
      <w:tr w:rsidR="00087A0B" w14:paraId="17B0A0D0" w14:textId="77777777" w:rsidTr="009052A8">
        <w:tc>
          <w:tcPr>
            <w:tcW w:w="1525" w:type="dxa"/>
            <w:vMerge/>
            <w:shd w:val="clear" w:color="auto" w:fill="808080" w:themeFill="background1" w:themeFillShade="80"/>
          </w:tcPr>
          <w:p w14:paraId="6443A5D0" w14:textId="77777777" w:rsidR="00087A0B" w:rsidRDefault="00087A0B" w:rsidP="009052A8">
            <w:pPr>
              <w:rPr>
                <w:rFonts w:asciiTheme="majorBidi" w:hAnsiTheme="majorBidi" w:cstheme="majorBidi"/>
                <w:b/>
                <w:bCs/>
                <w:sz w:val="24"/>
                <w:szCs w:val="24"/>
              </w:rPr>
            </w:pPr>
          </w:p>
        </w:tc>
        <w:tc>
          <w:tcPr>
            <w:tcW w:w="900" w:type="dxa"/>
          </w:tcPr>
          <w:p w14:paraId="123D0132" w14:textId="77777777" w:rsidR="00087A0B" w:rsidRPr="00534B5F" w:rsidRDefault="00087A0B" w:rsidP="009052A8">
            <w:pPr>
              <w:jc w:val="center"/>
              <w:rPr>
                <w:rFonts w:asciiTheme="majorBidi" w:hAnsiTheme="majorBidi" w:cstheme="majorBidi"/>
                <w:sz w:val="24"/>
                <w:szCs w:val="24"/>
              </w:rPr>
            </w:pPr>
            <w:r w:rsidRPr="00534B5F">
              <w:rPr>
                <w:rFonts w:asciiTheme="majorBidi" w:hAnsiTheme="majorBidi" w:cstheme="majorBidi"/>
                <w:sz w:val="24"/>
                <w:szCs w:val="24"/>
              </w:rPr>
              <w:t>High</w:t>
            </w:r>
          </w:p>
        </w:tc>
        <w:tc>
          <w:tcPr>
            <w:tcW w:w="3510" w:type="dxa"/>
          </w:tcPr>
          <w:p w14:paraId="49638C77" w14:textId="77777777" w:rsidR="00087A0B" w:rsidRPr="00534B5F" w:rsidRDefault="00087A0B" w:rsidP="009052A8">
            <w:pPr>
              <w:jc w:val="center"/>
              <w:rPr>
                <w:rFonts w:asciiTheme="majorBidi" w:hAnsiTheme="majorBidi" w:cstheme="majorBidi"/>
                <w:sz w:val="24"/>
                <w:szCs w:val="24"/>
              </w:rPr>
            </w:pPr>
            <w:r>
              <w:rPr>
                <w:rFonts w:asciiTheme="majorBidi" w:hAnsiTheme="majorBidi" w:cstheme="majorBidi"/>
                <w:sz w:val="24"/>
                <w:szCs w:val="24"/>
              </w:rPr>
              <w:t>Principal-agent</w:t>
            </w:r>
          </w:p>
        </w:tc>
        <w:tc>
          <w:tcPr>
            <w:tcW w:w="3415" w:type="dxa"/>
          </w:tcPr>
          <w:p w14:paraId="0B109F01" w14:textId="77777777" w:rsidR="00087A0B" w:rsidRPr="00534B5F" w:rsidRDefault="00087A0B" w:rsidP="009052A8">
            <w:pPr>
              <w:jc w:val="center"/>
              <w:rPr>
                <w:rFonts w:asciiTheme="majorBidi" w:hAnsiTheme="majorBidi" w:cstheme="majorBidi"/>
                <w:sz w:val="24"/>
                <w:szCs w:val="24"/>
              </w:rPr>
            </w:pPr>
            <w:r>
              <w:rPr>
                <w:rFonts w:asciiTheme="majorBidi" w:hAnsiTheme="majorBidi" w:cstheme="majorBidi"/>
                <w:sz w:val="24"/>
                <w:szCs w:val="24"/>
              </w:rPr>
              <w:t>Alliance politics</w:t>
            </w:r>
          </w:p>
        </w:tc>
      </w:tr>
    </w:tbl>
    <w:p w14:paraId="6E160EEC" w14:textId="77777777" w:rsidR="00CC2271" w:rsidRDefault="00087A0B" w:rsidP="00087A0B">
      <w:pPr>
        <w:spacing w:after="0" w:line="480" w:lineRule="auto"/>
        <w:rPr>
          <w:rFonts w:ascii="Times New Roman" w:hAnsi="Times New Roman" w:cs="Times New Roman"/>
          <w:sz w:val="24"/>
          <w:szCs w:val="24"/>
        </w:rPr>
      </w:pPr>
      <w:r>
        <w:rPr>
          <w:rFonts w:ascii="Times New Roman" w:hAnsi="Times New Roman" w:cs="Times New Roman"/>
          <w:sz w:val="24"/>
          <w:szCs w:val="24"/>
        </w:rPr>
        <w:tab/>
      </w:r>
    </w:p>
    <w:p w14:paraId="5F4758E3" w14:textId="77777777" w:rsidR="00CC2271" w:rsidRDefault="007C0F1C" w:rsidP="007C0F1C">
      <w:pPr>
        <w:spacing w:after="0" w:line="480" w:lineRule="auto"/>
        <w:rPr>
          <w:rFonts w:ascii="Times New Roman" w:hAnsi="Times New Roman" w:cs="Times New Roman"/>
          <w:sz w:val="24"/>
          <w:szCs w:val="24"/>
        </w:rPr>
      </w:pPr>
      <w:r>
        <w:rPr>
          <w:rFonts w:ascii="Times New Roman" w:hAnsi="Times New Roman" w:cs="Times New Roman"/>
          <w:sz w:val="24"/>
          <w:szCs w:val="24"/>
        </w:rPr>
        <w:tab/>
        <w:t>By incorporating a key second variable</w:t>
      </w:r>
      <w:r w:rsidR="00CC2271">
        <w:rPr>
          <w:rFonts w:ascii="Times New Roman" w:hAnsi="Times New Roman" w:cs="Times New Roman"/>
          <w:sz w:val="24"/>
          <w:szCs w:val="24"/>
        </w:rPr>
        <w:t xml:space="preserve">, resource dependence, I might be able to better understand when each framework is most useful. As seen above, most state-militia relationships (three out of four) are best understood through the alliance politics framework. Only militias that have low levels of trust and high resource dependence with the state are best characterized as agents of the state. </w:t>
      </w:r>
      <w:r>
        <w:rPr>
          <w:rFonts w:ascii="Times New Roman" w:hAnsi="Times New Roman" w:cs="Times New Roman"/>
          <w:sz w:val="24"/>
          <w:szCs w:val="24"/>
        </w:rPr>
        <w:t>The value of this</w:t>
      </w:r>
      <w:r w:rsidR="00CC2271">
        <w:rPr>
          <w:rFonts w:ascii="Times New Roman" w:hAnsi="Times New Roman" w:cs="Times New Roman"/>
          <w:sz w:val="24"/>
          <w:szCs w:val="24"/>
        </w:rPr>
        <w:t xml:space="preserve"> 2x2</w:t>
      </w:r>
      <w:r>
        <w:rPr>
          <w:rFonts w:ascii="Times New Roman" w:hAnsi="Times New Roman" w:cs="Times New Roman"/>
          <w:sz w:val="24"/>
          <w:szCs w:val="24"/>
        </w:rPr>
        <w:t xml:space="preserve"> chart</w:t>
      </w:r>
      <w:r w:rsidR="00CC2271">
        <w:rPr>
          <w:rFonts w:ascii="Times New Roman" w:hAnsi="Times New Roman" w:cs="Times New Roman"/>
          <w:sz w:val="24"/>
          <w:szCs w:val="24"/>
        </w:rPr>
        <w:t xml:space="preserve"> needs to be assessed further in future research. </w:t>
      </w:r>
    </w:p>
    <w:p w14:paraId="4F29DEB2" w14:textId="77777777" w:rsidR="007C0F1C" w:rsidRDefault="00CC2271" w:rsidP="007C0F1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87A0B">
        <w:rPr>
          <w:rFonts w:ascii="Times New Roman" w:hAnsi="Times New Roman" w:cs="Times New Roman"/>
          <w:sz w:val="24"/>
          <w:szCs w:val="24"/>
        </w:rPr>
        <w:t xml:space="preserve">In addition to these theoretical questions, I need to advance and evaluate plausible alternative arguments. This is needed to determine the viability of the theory I have laid out in this paper. </w:t>
      </w:r>
      <w:r>
        <w:rPr>
          <w:rFonts w:ascii="Times New Roman" w:hAnsi="Times New Roman" w:cs="Times New Roman"/>
          <w:sz w:val="24"/>
          <w:szCs w:val="24"/>
        </w:rPr>
        <w:t>Some alternative arguments could be: militia</w:t>
      </w:r>
      <w:r w:rsidR="00662F62">
        <w:rPr>
          <w:rFonts w:ascii="Times New Roman" w:hAnsi="Times New Roman" w:cs="Times New Roman"/>
          <w:sz w:val="24"/>
          <w:szCs w:val="24"/>
        </w:rPr>
        <w:t>s’</w:t>
      </w:r>
      <w:r>
        <w:rPr>
          <w:rFonts w:ascii="Times New Roman" w:hAnsi="Times New Roman" w:cs="Times New Roman"/>
          <w:sz w:val="24"/>
          <w:szCs w:val="24"/>
        </w:rPr>
        <w:t xml:space="preserve"> operational capability, international pressures, and domestic politics. Further time could be spent coming up with additional alternative arguments and outlining each’s specific mechanisms. </w:t>
      </w:r>
    </w:p>
    <w:p w14:paraId="14513187" w14:textId="77777777" w:rsidR="00CC2271" w:rsidRDefault="007C0F1C" w:rsidP="007C0F1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C2271">
        <w:rPr>
          <w:rFonts w:ascii="Times New Roman" w:hAnsi="Times New Roman" w:cs="Times New Roman"/>
          <w:sz w:val="24"/>
          <w:szCs w:val="24"/>
        </w:rPr>
        <w:t>Finally, evaluating external validity is an important part of this project</w:t>
      </w:r>
      <w:r>
        <w:rPr>
          <w:rFonts w:ascii="Times New Roman" w:hAnsi="Times New Roman" w:cs="Times New Roman"/>
          <w:sz w:val="24"/>
          <w:szCs w:val="24"/>
        </w:rPr>
        <w:t>’s future</w:t>
      </w:r>
      <w:r w:rsidR="00CC2271">
        <w:rPr>
          <w:rFonts w:ascii="Times New Roman" w:hAnsi="Times New Roman" w:cs="Times New Roman"/>
          <w:sz w:val="24"/>
          <w:szCs w:val="24"/>
        </w:rPr>
        <w:t xml:space="preserve">. My two cases, Hezbollah and Hamas, could be </w:t>
      </w:r>
      <w:r>
        <w:rPr>
          <w:rFonts w:ascii="Times New Roman" w:hAnsi="Times New Roman" w:cs="Times New Roman"/>
          <w:sz w:val="24"/>
          <w:szCs w:val="24"/>
        </w:rPr>
        <w:t>outliers (they could be unique militia-state cases)</w:t>
      </w:r>
      <w:r w:rsidR="00CC2271">
        <w:rPr>
          <w:rFonts w:ascii="Times New Roman" w:hAnsi="Times New Roman" w:cs="Times New Roman"/>
          <w:sz w:val="24"/>
          <w:szCs w:val="24"/>
        </w:rPr>
        <w:t xml:space="preserve"> and it is possible that my theory might not travel outside the specific context. There is</w:t>
      </w:r>
      <w:r>
        <w:rPr>
          <w:rFonts w:ascii="Times New Roman" w:hAnsi="Times New Roman" w:cs="Times New Roman"/>
          <w:sz w:val="24"/>
          <w:szCs w:val="24"/>
        </w:rPr>
        <w:t xml:space="preserve"> a real possibility that my</w:t>
      </w:r>
      <w:r w:rsidR="00CC2271">
        <w:rPr>
          <w:rFonts w:ascii="Times New Roman" w:hAnsi="Times New Roman" w:cs="Times New Roman"/>
          <w:sz w:val="24"/>
          <w:szCs w:val="24"/>
        </w:rPr>
        <w:t xml:space="preserve"> theory is only applicable to Iranian militias, to militias found in the Middle East, or to certain “types” of militias.</w:t>
      </w:r>
      <w:r>
        <w:rPr>
          <w:rFonts w:ascii="Times New Roman" w:hAnsi="Times New Roman" w:cs="Times New Roman"/>
          <w:sz w:val="24"/>
          <w:szCs w:val="24"/>
        </w:rPr>
        <w:t xml:space="preserve"> By certain “types” of militias, I mean militias that have particular characteristics like militias without indigenous sources of funding (or support in general), or </w:t>
      </w:r>
      <w:r>
        <w:rPr>
          <w:rFonts w:ascii="Times New Roman" w:hAnsi="Times New Roman" w:cs="Times New Roman"/>
          <w:sz w:val="24"/>
          <w:szCs w:val="24"/>
        </w:rPr>
        <w:lastRenderedPageBreak/>
        <w:t xml:space="preserve">“foreign” militias which operate on other states’ territory. </w:t>
      </w:r>
      <w:r w:rsidR="00CC2271">
        <w:rPr>
          <w:rFonts w:ascii="Times New Roman" w:hAnsi="Times New Roman" w:cs="Times New Roman"/>
          <w:sz w:val="24"/>
          <w:szCs w:val="24"/>
        </w:rPr>
        <w:t>Finding additional cases across the world</w:t>
      </w:r>
      <w:r>
        <w:rPr>
          <w:rFonts w:ascii="Times New Roman" w:hAnsi="Times New Roman" w:cs="Times New Roman"/>
          <w:sz w:val="24"/>
          <w:szCs w:val="24"/>
        </w:rPr>
        <w:t xml:space="preserve"> where I can detect my observable implications</w:t>
      </w:r>
      <w:r w:rsidR="00CC2271">
        <w:rPr>
          <w:rFonts w:ascii="Times New Roman" w:hAnsi="Times New Roman" w:cs="Times New Roman"/>
          <w:sz w:val="24"/>
          <w:szCs w:val="24"/>
        </w:rPr>
        <w:t xml:space="preserve"> will help with my theory’</w:t>
      </w:r>
      <w:r>
        <w:rPr>
          <w:rFonts w:ascii="Times New Roman" w:hAnsi="Times New Roman" w:cs="Times New Roman"/>
          <w:sz w:val="24"/>
          <w:szCs w:val="24"/>
        </w:rPr>
        <w:t xml:space="preserve">s generalizability. </w:t>
      </w:r>
    </w:p>
    <w:p w14:paraId="09E5B9E0" w14:textId="77777777" w:rsidR="001B0F40" w:rsidRDefault="001B0F40" w:rsidP="007C0F1C">
      <w:pPr>
        <w:spacing w:after="0" w:line="480" w:lineRule="auto"/>
        <w:rPr>
          <w:rFonts w:ascii="Times New Roman" w:hAnsi="Times New Roman" w:cs="Times New Roman"/>
          <w:sz w:val="24"/>
          <w:szCs w:val="24"/>
        </w:rPr>
      </w:pPr>
    </w:p>
    <w:p w14:paraId="4D1871D5" w14:textId="77777777" w:rsidR="001B0F40" w:rsidRDefault="001B0F40" w:rsidP="007C0F1C">
      <w:pPr>
        <w:spacing w:after="0" w:line="480" w:lineRule="auto"/>
        <w:rPr>
          <w:rFonts w:ascii="Times New Roman" w:hAnsi="Times New Roman" w:cs="Times New Roman"/>
          <w:sz w:val="24"/>
          <w:szCs w:val="24"/>
        </w:rPr>
      </w:pPr>
    </w:p>
    <w:p w14:paraId="3DD3DFB5" w14:textId="77777777" w:rsidR="001B0F40" w:rsidRDefault="001B0F40" w:rsidP="007C0F1C">
      <w:pPr>
        <w:spacing w:after="0" w:line="480" w:lineRule="auto"/>
        <w:rPr>
          <w:rFonts w:ascii="Times New Roman" w:hAnsi="Times New Roman" w:cs="Times New Roman"/>
          <w:sz w:val="24"/>
          <w:szCs w:val="24"/>
        </w:rPr>
      </w:pPr>
    </w:p>
    <w:p w14:paraId="0439E8BE" w14:textId="77777777" w:rsidR="001B0F40" w:rsidRDefault="001B0F40" w:rsidP="007C0F1C">
      <w:pPr>
        <w:spacing w:after="0" w:line="480" w:lineRule="auto"/>
        <w:rPr>
          <w:rFonts w:ascii="Times New Roman" w:hAnsi="Times New Roman" w:cs="Times New Roman"/>
          <w:sz w:val="24"/>
          <w:szCs w:val="24"/>
        </w:rPr>
      </w:pPr>
    </w:p>
    <w:p w14:paraId="3CA2672A" w14:textId="77777777" w:rsidR="001B0F40" w:rsidRDefault="001B0F40" w:rsidP="007C0F1C">
      <w:pPr>
        <w:spacing w:after="0" w:line="480" w:lineRule="auto"/>
        <w:rPr>
          <w:rFonts w:ascii="Times New Roman" w:hAnsi="Times New Roman" w:cs="Times New Roman"/>
          <w:sz w:val="24"/>
          <w:szCs w:val="24"/>
        </w:rPr>
      </w:pPr>
    </w:p>
    <w:p w14:paraId="3D5C7B31" w14:textId="77777777" w:rsidR="001B0F40" w:rsidRDefault="001B0F40" w:rsidP="007C0F1C">
      <w:pPr>
        <w:spacing w:after="0" w:line="480" w:lineRule="auto"/>
        <w:rPr>
          <w:rFonts w:ascii="Times New Roman" w:hAnsi="Times New Roman" w:cs="Times New Roman"/>
          <w:sz w:val="24"/>
          <w:szCs w:val="24"/>
        </w:rPr>
      </w:pPr>
    </w:p>
    <w:p w14:paraId="1FEEE4D7" w14:textId="77777777" w:rsidR="001B0F40" w:rsidRDefault="001B0F40" w:rsidP="007C0F1C">
      <w:pPr>
        <w:spacing w:after="0" w:line="480" w:lineRule="auto"/>
        <w:rPr>
          <w:rFonts w:ascii="Times New Roman" w:hAnsi="Times New Roman" w:cs="Times New Roman"/>
          <w:sz w:val="24"/>
          <w:szCs w:val="24"/>
        </w:rPr>
      </w:pPr>
    </w:p>
    <w:p w14:paraId="2ACDBE02" w14:textId="77777777" w:rsidR="001B0F40" w:rsidRDefault="001B0F40" w:rsidP="007C0F1C">
      <w:pPr>
        <w:spacing w:after="0" w:line="480" w:lineRule="auto"/>
        <w:rPr>
          <w:rFonts w:ascii="Times New Roman" w:hAnsi="Times New Roman" w:cs="Times New Roman"/>
          <w:sz w:val="24"/>
          <w:szCs w:val="24"/>
        </w:rPr>
      </w:pPr>
    </w:p>
    <w:p w14:paraId="31FF2B85" w14:textId="77777777" w:rsidR="001B0F40" w:rsidRDefault="001B0F40" w:rsidP="007C0F1C">
      <w:pPr>
        <w:spacing w:after="0" w:line="480" w:lineRule="auto"/>
        <w:rPr>
          <w:rFonts w:ascii="Times New Roman" w:hAnsi="Times New Roman" w:cs="Times New Roman"/>
          <w:sz w:val="24"/>
          <w:szCs w:val="24"/>
        </w:rPr>
      </w:pPr>
    </w:p>
    <w:p w14:paraId="25354A29" w14:textId="77777777" w:rsidR="001B0F40" w:rsidRDefault="001B0F40" w:rsidP="007C0F1C">
      <w:pPr>
        <w:spacing w:after="0" w:line="480" w:lineRule="auto"/>
        <w:rPr>
          <w:rFonts w:ascii="Times New Roman" w:hAnsi="Times New Roman" w:cs="Times New Roman"/>
          <w:sz w:val="24"/>
          <w:szCs w:val="24"/>
        </w:rPr>
      </w:pPr>
    </w:p>
    <w:p w14:paraId="086ACD42" w14:textId="77777777" w:rsidR="001B0F40" w:rsidRDefault="001B0F40" w:rsidP="007C0F1C">
      <w:pPr>
        <w:spacing w:after="0" w:line="480" w:lineRule="auto"/>
        <w:rPr>
          <w:rFonts w:ascii="Times New Roman" w:hAnsi="Times New Roman" w:cs="Times New Roman"/>
          <w:sz w:val="24"/>
          <w:szCs w:val="24"/>
        </w:rPr>
      </w:pPr>
    </w:p>
    <w:p w14:paraId="0450FF99" w14:textId="77777777" w:rsidR="001B0F40" w:rsidRDefault="001B0F40" w:rsidP="007C0F1C">
      <w:pPr>
        <w:spacing w:after="0" w:line="480" w:lineRule="auto"/>
        <w:rPr>
          <w:rFonts w:ascii="Times New Roman" w:hAnsi="Times New Roman" w:cs="Times New Roman"/>
          <w:sz w:val="24"/>
          <w:szCs w:val="24"/>
        </w:rPr>
      </w:pPr>
    </w:p>
    <w:p w14:paraId="326A40E9" w14:textId="77777777" w:rsidR="001B0F40" w:rsidRDefault="001B0F40" w:rsidP="007C0F1C">
      <w:pPr>
        <w:spacing w:after="0" w:line="480" w:lineRule="auto"/>
        <w:rPr>
          <w:rFonts w:ascii="Times New Roman" w:hAnsi="Times New Roman" w:cs="Times New Roman"/>
          <w:sz w:val="24"/>
          <w:szCs w:val="24"/>
        </w:rPr>
      </w:pPr>
    </w:p>
    <w:p w14:paraId="31490A8E" w14:textId="77777777" w:rsidR="001B0F40" w:rsidRDefault="001B0F40" w:rsidP="007C0F1C">
      <w:pPr>
        <w:spacing w:after="0" w:line="480" w:lineRule="auto"/>
        <w:rPr>
          <w:rFonts w:ascii="Times New Roman" w:hAnsi="Times New Roman" w:cs="Times New Roman"/>
          <w:sz w:val="24"/>
          <w:szCs w:val="24"/>
        </w:rPr>
      </w:pPr>
    </w:p>
    <w:p w14:paraId="5A26B03E" w14:textId="77777777" w:rsidR="001B0F40" w:rsidRDefault="001B0F40" w:rsidP="007C0F1C">
      <w:pPr>
        <w:spacing w:after="0" w:line="480" w:lineRule="auto"/>
        <w:rPr>
          <w:rFonts w:ascii="Times New Roman" w:hAnsi="Times New Roman" w:cs="Times New Roman"/>
          <w:sz w:val="24"/>
          <w:szCs w:val="24"/>
        </w:rPr>
      </w:pPr>
    </w:p>
    <w:p w14:paraId="19441F61" w14:textId="77777777" w:rsidR="001B0F40" w:rsidRDefault="001B0F40" w:rsidP="007C0F1C">
      <w:pPr>
        <w:spacing w:after="0" w:line="480" w:lineRule="auto"/>
        <w:rPr>
          <w:rFonts w:ascii="Times New Roman" w:hAnsi="Times New Roman" w:cs="Times New Roman"/>
          <w:sz w:val="24"/>
          <w:szCs w:val="24"/>
        </w:rPr>
      </w:pPr>
    </w:p>
    <w:p w14:paraId="65749272" w14:textId="77777777" w:rsidR="001B0F40" w:rsidRDefault="001B0F40" w:rsidP="007C0F1C">
      <w:pPr>
        <w:spacing w:after="0" w:line="480" w:lineRule="auto"/>
        <w:rPr>
          <w:rFonts w:ascii="Times New Roman" w:hAnsi="Times New Roman" w:cs="Times New Roman"/>
          <w:sz w:val="24"/>
          <w:szCs w:val="24"/>
        </w:rPr>
      </w:pPr>
    </w:p>
    <w:p w14:paraId="442300D2" w14:textId="77777777" w:rsidR="001B0F40" w:rsidRDefault="001B0F40" w:rsidP="007C0F1C">
      <w:pPr>
        <w:spacing w:after="0" w:line="480" w:lineRule="auto"/>
        <w:rPr>
          <w:rFonts w:ascii="Times New Roman" w:hAnsi="Times New Roman" w:cs="Times New Roman"/>
          <w:sz w:val="24"/>
          <w:szCs w:val="24"/>
        </w:rPr>
      </w:pPr>
    </w:p>
    <w:p w14:paraId="0DE3573A" w14:textId="77777777" w:rsidR="001B0F40" w:rsidRDefault="001B0F40" w:rsidP="007C0F1C">
      <w:pPr>
        <w:spacing w:after="0" w:line="480" w:lineRule="auto"/>
        <w:rPr>
          <w:rFonts w:ascii="Times New Roman" w:hAnsi="Times New Roman" w:cs="Times New Roman"/>
          <w:sz w:val="24"/>
          <w:szCs w:val="24"/>
        </w:rPr>
      </w:pPr>
    </w:p>
    <w:p w14:paraId="659604DD" w14:textId="77777777" w:rsidR="001B0F40" w:rsidRDefault="001B0F40" w:rsidP="007C0F1C">
      <w:pPr>
        <w:spacing w:after="0" w:line="480" w:lineRule="auto"/>
        <w:rPr>
          <w:rFonts w:ascii="Times New Roman" w:hAnsi="Times New Roman" w:cs="Times New Roman"/>
          <w:sz w:val="24"/>
          <w:szCs w:val="24"/>
        </w:rPr>
      </w:pPr>
    </w:p>
    <w:p w14:paraId="47458659" w14:textId="77777777" w:rsidR="001B0F40" w:rsidRDefault="001B0F40" w:rsidP="007C0F1C">
      <w:pPr>
        <w:spacing w:after="0" w:line="480" w:lineRule="auto"/>
        <w:rPr>
          <w:rFonts w:ascii="Times New Roman" w:hAnsi="Times New Roman" w:cs="Times New Roman"/>
          <w:sz w:val="24"/>
          <w:szCs w:val="24"/>
        </w:rPr>
      </w:pPr>
    </w:p>
    <w:p w14:paraId="513FEC08" w14:textId="77777777" w:rsidR="001B0F40" w:rsidRDefault="001B0F40" w:rsidP="001B0F40">
      <w:pPr>
        <w:spacing w:after="0" w:line="480" w:lineRule="auto"/>
        <w:jc w:val="center"/>
        <w:rPr>
          <w:rFonts w:ascii="Times New Roman" w:hAnsi="Times New Roman" w:cs="Times New Roman"/>
          <w:b/>
          <w:bCs/>
          <w:sz w:val="24"/>
          <w:szCs w:val="24"/>
        </w:rPr>
      </w:pPr>
      <w:r w:rsidRPr="001B0F40">
        <w:rPr>
          <w:rFonts w:ascii="Times New Roman" w:hAnsi="Times New Roman" w:cs="Times New Roman"/>
          <w:b/>
          <w:bCs/>
          <w:sz w:val="24"/>
          <w:szCs w:val="24"/>
        </w:rPr>
        <w:lastRenderedPageBreak/>
        <w:t>Works Cited</w:t>
      </w:r>
    </w:p>
    <w:p w14:paraId="1C4ED7BC" w14:textId="77777777" w:rsidR="00487C49" w:rsidRDefault="00487C49" w:rsidP="00487C49">
      <w:pPr>
        <w:pStyle w:val="ListParagraph"/>
        <w:spacing w:after="0" w:line="240" w:lineRule="auto"/>
        <w:ind w:left="0"/>
        <w:rPr>
          <w:rFonts w:ascii="Times New Roman" w:hAnsi="Times New Roman" w:cs="Times New Roman"/>
          <w:sz w:val="24"/>
          <w:szCs w:val="24"/>
        </w:rPr>
      </w:pPr>
      <w:r w:rsidRPr="00487C49">
        <w:rPr>
          <w:rFonts w:ascii="Times New Roman" w:hAnsi="Times New Roman" w:cs="Times New Roman"/>
          <w:sz w:val="24"/>
          <w:szCs w:val="24"/>
        </w:rPr>
        <w:t>Al-</w:t>
      </w:r>
      <w:proofErr w:type="spellStart"/>
      <w:r w:rsidRPr="00487C49">
        <w:rPr>
          <w:rFonts w:ascii="Times New Roman" w:hAnsi="Times New Roman" w:cs="Times New Roman"/>
          <w:sz w:val="24"/>
          <w:szCs w:val="24"/>
        </w:rPr>
        <w:t>Aloosy</w:t>
      </w:r>
      <w:proofErr w:type="spellEnd"/>
      <w:r w:rsidRPr="00487C49">
        <w:rPr>
          <w:rFonts w:ascii="Times New Roman" w:hAnsi="Times New Roman" w:cs="Times New Roman"/>
          <w:sz w:val="24"/>
          <w:szCs w:val="24"/>
        </w:rPr>
        <w:t xml:space="preserve">, </w:t>
      </w:r>
      <w:proofErr w:type="spellStart"/>
      <w:r w:rsidRPr="00487C49">
        <w:rPr>
          <w:rFonts w:ascii="Times New Roman" w:hAnsi="Times New Roman" w:cs="Times New Roman"/>
          <w:sz w:val="24"/>
          <w:szCs w:val="24"/>
        </w:rPr>
        <w:t>Massaab</w:t>
      </w:r>
      <w:proofErr w:type="spellEnd"/>
      <w:r w:rsidRPr="00487C49">
        <w:rPr>
          <w:rFonts w:ascii="Times New Roman" w:hAnsi="Times New Roman" w:cs="Times New Roman"/>
          <w:sz w:val="24"/>
          <w:szCs w:val="24"/>
        </w:rPr>
        <w:t xml:space="preserve">, </w:t>
      </w:r>
      <w:r w:rsidRPr="00487C49">
        <w:rPr>
          <w:rFonts w:ascii="Times New Roman" w:hAnsi="Times New Roman" w:cs="Times New Roman"/>
          <w:i/>
          <w:iCs/>
          <w:sz w:val="24"/>
          <w:szCs w:val="24"/>
        </w:rPr>
        <w:t>The Changing Ideology of Hezbollah</w:t>
      </w:r>
      <w:r w:rsidRPr="00487C49">
        <w:rPr>
          <w:rFonts w:ascii="Times New Roman" w:hAnsi="Times New Roman" w:cs="Times New Roman"/>
          <w:sz w:val="24"/>
          <w:szCs w:val="24"/>
        </w:rPr>
        <w:t xml:space="preserve"> (Cham: Springer Nature Switzerland </w:t>
      </w:r>
    </w:p>
    <w:p w14:paraId="17B6FF32" w14:textId="77777777" w:rsidR="00487C49" w:rsidRPr="00487C49" w:rsidRDefault="00487C49" w:rsidP="00487C49">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Pr="00487C49">
        <w:rPr>
          <w:rFonts w:ascii="Times New Roman" w:hAnsi="Times New Roman" w:cs="Times New Roman"/>
          <w:sz w:val="24"/>
          <w:szCs w:val="24"/>
        </w:rPr>
        <w:t>AG, 2020)</w:t>
      </w:r>
    </w:p>
    <w:p w14:paraId="6268E7F8" w14:textId="77777777" w:rsidR="00487C49" w:rsidRPr="00487C49" w:rsidRDefault="00487C49" w:rsidP="001B0F40">
      <w:pPr>
        <w:pStyle w:val="ListParagraph"/>
        <w:spacing w:after="0" w:line="240" w:lineRule="auto"/>
        <w:ind w:left="0"/>
        <w:rPr>
          <w:rFonts w:ascii="Times New Roman" w:hAnsi="Times New Roman" w:cs="Times New Roman"/>
          <w:sz w:val="24"/>
          <w:szCs w:val="24"/>
        </w:rPr>
      </w:pPr>
    </w:p>
    <w:p w14:paraId="6D9807E2" w14:textId="77777777" w:rsidR="00487C49" w:rsidRDefault="00487C49" w:rsidP="001B0F40">
      <w:pPr>
        <w:pStyle w:val="ListParagraph"/>
        <w:spacing w:after="0" w:line="240" w:lineRule="auto"/>
        <w:ind w:left="0"/>
        <w:rPr>
          <w:rFonts w:ascii="Times New Roman" w:hAnsi="Times New Roman" w:cs="Times New Roman"/>
          <w:sz w:val="24"/>
          <w:szCs w:val="24"/>
        </w:rPr>
      </w:pPr>
      <w:proofErr w:type="spellStart"/>
      <w:r w:rsidRPr="00487C49">
        <w:rPr>
          <w:rFonts w:ascii="Times New Roman" w:hAnsi="Times New Roman" w:cs="Times New Roman"/>
          <w:sz w:val="24"/>
          <w:szCs w:val="24"/>
        </w:rPr>
        <w:t>Alagha</w:t>
      </w:r>
      <w:proofErr w:type="spellEnd"/>
      <w:r w:rsidRPr="00487C49">
        <w:rPr>
          <w:rFonts w:ascii="Times New Roman" w:hAnsi="Times New Roman" w:cs="Times New Roman"/>
          <w:sz w:val="24"/>
          <w:szCs w:val="24"/>
        </w:rPr>
        <w:t xml:space="preserve">, Joseph Elie, </w:t>
      </w:r>
      <w:proofErr w:type="spellStart"/>
      <w:r w:rsidRPr="00487C49">
        <w:rPr>
          <w:rFonts w:ascii="Times New Roman" w:hAnsi="Times New Roman" w:cs="Times New Roman"/>
          <w:i/>
          <w:iCs/>
          <w:sz w:val="24"/>
          <w:szCs w:val="24"/>
        </w:rPr>
        <w:t>Hizbullah’s</w:t>
      </w:r>
      <w:proofErr w:type="spellEnd"/>
      <w:r w:rsidRPr="00487C49">
        <w:rPr>
          <w:rFonts w:ascii="Times New Roman" w:hAnsi="Times New Roman" w:cs="Times New Roman"/>
          <w:i/>
          <w:iCs/>
          <w:sz w:val="24"/>
          <w:szCs w:val="24"/>
        </w:rPr>
        <w:t xml:space="preserve"> Identity Construction</w:t>
      </w:r>
      <w:r w:rsidRPr="00487C49">
        <w:rPr>
          <w:rFonts w:ascii="Times New Roman" w:hAnsi="Times New Roman" w:cs="Times New Roman"/>
          <w:sz w:val="24"/>
          <w:szCs w:val="24"/>
        </w:rPr>
        <w:t xml:space="preserve"> (Amsterdam: Amsterdam University </w:t>
      </w:r>
    </w:p>
    <w:p w14:paraId="7C734D6D" w14:textId="77777777" w:rsidR="00487C49" w:rsidRPr="00487C49" w:rsidRDefault="00487C49" w:rsidP="001B0F40">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Pr="00487C49">
        <w:rPr>
          <w:rFonts w:ascii="Times New Roman" w:hAnsi="Times New Roman" w:cs="Times New Roman"/>
          <w:sz w:val="24"/>
          <w:szCs w:val="24"/>
        </w:rPr>
        <w:t>Press, 2011)</w:t>
      </w:r>
    </w:p>
    <w:p w14:paraId="6E6E5730" w14:textId="77777777" w:rsidR="00487C49" w:rsidRPr="00487C49" w:rsidRDefault="00487C49" w:rsidP="001B0F40">
      <w:pPr>
        <w:pStyle w:val="ListParagraph"/>
        <w:spacing w:after="0" w:line="240" w:lineRule="auto"/>
        <w:ind w:left="0"/>
        <w:rPr>
          <w:rFonts w:ascii="Times New Roman" w:hAnsi="Times New Roman" w:cs="Times New Roman"/>
          <w:sz w:val="24"/>
          <w:szCs w:val="24"/>
        </w:rPr>
      </w:pPr>
    </w:p>
    <w:p w14:paraId="1A13D1BD" w14:textId="77777777" w:rsidR="00487C49" w:rsidRDefault="00487C49" w:rsidP="00487C49">
      <w:pPr>
        <w:pStyle w:val="ListParagraph"/>
        <w:spacing w:after="0" w:line="240" w:lineRule="auto"/>
        <w:ind w:left="0"/>
        <w:rPr>
          <w:rFonts w:ascii="Times New Roman" w:hAnsi="Times New Roman" w:cs="Times New Roman"/>
          <w:i/>
          <w:iCs/>
          <w:sz w:val="24"/>
          <w:szCs w:val="24"/>
        </w:rPr>
      </w:pPr>
      <w:proofErr w:type="spellStart"/>
      <w:r w:rsidRPr="00487C49">
        <w:rPr>
          <w:rFonts w:ascii="Times New Roman" w:hAnsi="Times New Roman" w:cs="Times New Roman"/>
          <w:sz w:val="24"/>
          <w:szCs w:val="24"/>
        </w:rPr>
        <w:t>Alagha</w:t>
      </w:r>
      <w:proofErr w:type="spellEnd"/>
      <w:r w:rsidRPr="00487C49">
        <w:rPr>
          <w:rFonts w:ascii="Times New Roman" w:hAnsi="Times New Roman" w:cs="Times New Roman"/>
          <w:sz w:val="24"/>
          <w:szCs w:val="24"/>
        </w:rPr>
        <w:t xml:space="preserve">, Joseph Elie, </w:t>
      </w:r>
      <w:r w:rsidRPr="00487C49">
        <w:rPr>
          <w:rFonts w:ascii="Times New Roman" w:hAnsi="Times New Roman" w:cs="Times New Roman"/>
          <w:i/>
          <w:iCs/>
          <w:sz w:val="24"/>
          <w:szCs w:val="24"/>
        </w:rPr>
        <w:t xml:space="preserve">The Shifts in </w:t>
      </w:r>
      <w:proofErr w:type="spellStart"/>
      <w:r w:rsidRPr="00487C49">
        <w:rPr>
          <w:rFonts w:ascii="Times New Roman" w:hAnsi="Times New Roman" w:cs="Times New Roman"/>
          <w:i/>
          <w:iCs/>
          <w:sz w:val="24"/>
          <w:szCs w:val="24"/>
        </w:rPr>
        <w:t>Hizbullah’s</w:t>
      </w:r>
      <w:proofErr w:type="spellEnd"/>
      <w:r w:rsidRPr="00487C49">
        <w:rPr>
          <w:rFonts w:ascii="Times New Roman" w:hAnsi="Times New Roman" w:cs="Times New Roman"/>
          <w:i/>
          <w:iCs/>
          <w:sz w:val="24"/>
          <w:szCs w:val="24"/>
        </w:rPr>
        <w:t xml:space="preserve"> Ideology: Religious Ideology, Political Ideology, </w:t>
      </w:r>
    </w:p>
    <w:p w14:paraId="0561F889" w14:textId="77777777" w:rsidR="00487C49" w:rsidRPr="00487C49" w:rsidRDefault="00487C49" w:rsidP="00487C49">
      <w:pPr>
        <w:pStyle w:val="ListParagraph"/>
        <w:spacing w:after="0" w:line="240" w:lineRule="auto"/>
        <w:ind w:left="0"/>
        <w:rPr>
          <w:rFonts w:ascii="Times New Roman" w:hAnsi="Times New Roman" w:cs="Times New Roman"/>
          <w:sz w:val="24"/>
          <w:szCs w:val="24"/>
        </w:rPr>
      </w:pPr>
      <w:r>
        <w:rPr>
          <w:rFonts w:ascii="Times New Roman" w:hAnsi="Times New Roman" w:cs="Times New Roman"/>
          <w:i/>
          <w:iCs/>
          <w:sz w:val="24"/>
          <w:szCs w:val="24"/>
        </w:rPr>
        <w:tab/>
      </w:r>
      <w:r w:rsidRPr="00487C49">
        <w:rPr>
          <w:rFonts w:ascii="Times New Roman" w:hAnsi="Times New Roman" w:cs="Times New Roman"/>
          <w:i/>
          <w:iCs/>
          <w:sz w:val="24"/>
          <w:szCs w:val="24"/>
        </w:rPr>
        <w:t>and Political Program</w:t>
      </w:r>
      <w:r w:rsidRPr="00487C49">
        <w:rPr>
          <w:rFonts w:ascii="Times New Roman" w:hAnsi="Times New Roman" w:cs="Times New Roman"/>
          <w:sz w:val="24"/>
          <w:szCs w:val="24"/>
        </w:rPr>
        <w:t xml:space="preserve"> (Amsterdam: Amsterdam University Press, 2006)</w:t>
      </w:r>
    </w:p>
    <w:p w14:paraId="1A884E14" w14:textId="77777777" w:rsidR="00487C49" w:rsidRPr="00487C49" w:rsidRDefault="00487C49" w:rsidP="001B0F40">
      <w:pPr>
        <w:pStyle w:val="ListParagraph"/>
        <w:spacing w:after="0" w:line="240" w:lineRule="auto"/>
        <w:ind w:left="0"/>
        <w:rPr>
          <w:rFonts w:ascii="Times New Roman" w:hAnsi="Times New Roman" w:cs="Times New Roman"/>
          <w:sz w:val="24"/>
          <w:szCs w:val="24"/>
        </w:rPr>
      </w:pPr>
    </w:p>
    <w:p w14:paraId="7A28127B" w14:textId="77777777" w:rsidR="00487C49" w:rsidRDefault="001B0F40" w:rsidP="001B0F40">
      <w:pPr>
        <w:pStyle w:val="ListParagraph"/>
        <w:spacing w:after="0" w:line="240" w:lineRule="auto"/>
        <w:ind w:left="0"/>
        <w:rPr>
          <w:rFonts w:ascii="Times New Roman" w:hAnsi="Times New Roman" w:cs="Times New Roman"/>
          <w:sz w:val="24"/>
          <w:szCs w:val="24"/>
        </w:rPr>
      </w:pPr>
      <w:r w:rsidRPr="00487C49">
        <w:rPr>
          <w:rFonts w:ascii="Times New Roman" w:hAnsi="Times New Roman" w:cs="Times New Roman"/>
          <w:sz w:val="24"/>
          <w:szCs w:val="24"/>
        </w:rPr>
        <w:t xml:space="preserve">Aliyev, Huseyn, “’No peace, no war’ proponents? How pro-regime militias affect civil war </w:t>
      </w:r>
    </w:p>
    <w:p w14:paraId="6E59E1E1" w14:textId="77777777" w:rsidR="001B0F40" w:rsidRPr="00487C49" w:rsidRDefault="00487C49" w:rsidP="00487C49">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1B0F40" w:rsidRPr="00487C49">
        <w:rPr>
          <w:rFonts w:ascii="Times New Roman" w:hAnsi="Times New Roman" w:cs="Times New Roman"/>
          <w:sz w:val="24"/>
          <w:szCs w:val="24"/>
        </w:rPr>
        <w:t xml:space="preserve">termination and outcomes,” </w:t>
      </w:r>
      <w:r w:rsidR="001B0F40" w:rsidRPr="00487C49">
        <w:rPr>
          <w:rFonts w:ascii="Times New Roman" w:hAnsi="Times New Roman" w:cs="Times New Roman"/>
          <w:i/>
          <w:sz w:val="24"/>
          <w:szCs w:val="24"/>
        </w:rPr>
        <w:t>Cooperation and Conflict</w:t>
      </w:r>
      <w:r w:rsidR="001B0F40" w:rsidRPr="00487C49">
        <w:rPr>
          <w:rFonts w:ascii="Times New Roman" w:hAnsi="Times New Roman" w:cs="Times New Roman"/>
          <w:sz w:val="24"/>
          <w:szCs w:val="24"/>
        </w:rPr>
        <w:t>, Vol. 54, No. 1 (2019)</w:t>
      </w:r>
    </w:p>
    <w:p w14:paraId="093B75D8" w14:textId="77777777" w:rsidR="001B0F40" w:rsidRPr="00487C49" w:rsidRDefault="001B0F40" w:rsidP="001B0F40">
      <w:pPr>
        <w:pStyle w:val="ListParagraph"/>
        <w:spacing w:after="0" w:line="240" w:lineRule="auto"/>
        <w:ind w:left="0"/>
        <w:rPr>
          <w:rFonts w:ascii="Times New Roman" w:hAnsi="Times New Roman" w:cs="Times New Roman"/>
          <w:sz w:val="24"/>
          <w:szCs w:val="24"/>
        </w:rPr>
      </w:pPr>
    </w:p>
    <w:p w14:paraId="492491BF" w14:textId="77777777" w:rsidR="00487C49" w:rsidRDefault="001B0F40" w:rsidP="001B0F40">
      <w:pPr>
        <w:pStyle w:val="ListParagraph"/>
        <w:spacing w:after="0" w:line="240" w:lineRule="auto"/>
        <w:ind w:left="0"/>
        <w:rPr>
          <w:rFonts w:ascii="Times New Roman" w:hAnsi="Times New Roman" w:cs="Times New Roman"/>
          <w:sz w:val="24"/>
          <w:szCs w:val="24"/>
        </w:rPr>
      </w:pPr>
      <w:r w:rsidRPr="00487C49">
        <w:rPr>
          <w:rFonts w:ascii="Times New Roman" w:hAnsi="Times New Roman" w:cs="Times New Roman"/>
          <w:sz w:val="24"/>
          <w:szCs w:val="24"/>
        </w:rPr>
        <w:t xml:space="preserve">Aliyev, Huseyn, “Pro-regime Militias and Civil War Duration,” </w:t>
      </w:r>
      <w:r w:rsidRPr="00487C49">
        <w:rPr>
          <w:rFonts w:ascii="Times New Roman" w:hAnsi="Times New Roman" w:cs="Times New Roman"/>
          <w:i/>
          <w:sz w:val="24"/>
          <w:szCs w:val="24"/>
        </w:rPr>
        <w:t>Terrorism and Political Violence</w:t>
      </w:r>
      <w:r w:rsidRPr="00487C49">
        <w:rPr>
          <w:rFonts w:ascii="Times New Roman" w:hAnsi="Times New Roman" w:cs="Times New Roman"/>
          <w:sz w:val="24"/>
          <w:szCs w:val="24"/>
        </w:rPr>
        <w:t xml:space="preserve"> </w:t>
      </w:r>
    </w:p>
    <w:p w14:paraId="1AF821A8" w14:textId="77777777" w:rsidR="001B0F40" w:rsidRPr="00487C49" w:rsidRDefault="00487C49" w:rsidP="00487C49">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1B0F40" w:rsidRPr="00487C49">
        <w:rPr>
          <w:rFonts w:ascii="Times New Roman" w:hAnsi="Times New Roman" w:cs="Times New Roman"/>
          <w:sz w:val="24"/>
          <w:szCs w:val="24"/>
        </w:rPr>
        <w:t>(2017)</w:t>
      </w:r>
    </w:p>
    <w:p w14:paraId="3C2FF8A2" w14:textId="77777777" w:rsidR="001B0F40" w:rsidRPr="00487C49" w:rsidRDefault="001B0F40" w:rsidP="001B0F40">
      <w:pPr>
        <w:pStyle w:val="ListParagraph"/>
        <w:spacing w:after="0" w:line="240" w:lineRule="auto"/>
        <w:ind w:left="0"/>
        <w:rPr>
          <w:rFonts w:ascii="Times New Roman" w:hAnsi="Times New Roman" w:cs="Times New Roman"/>
          <w:sz w:val="24"/>
          <w:szCs w:val="24"/>
        </w:rPr>
      </w:pPr>
    </w:p>
    <w:p w14:paraId="17622716" w14:textId="77777777" w:rsidR="00487C49" w:rsidRDefault="001B0F40" w:rsidP="00487C49">
      <w:pPr>
        <w:spacing w:after="0" w:line="240" w:lineRule="auto"/>
        <w:rPr>
          <w:rFonts w:ascii="Times New Roman" w:hAnsi="Times New Roman" w:cs="Times New Roman"/>
          <w:sz w:val="24"/>
          <w:szCs w:val="24"/>
        </w:rPr>
      </w:pPr>
      <w:r w:rsidRPr="00487C49">
        <w:rPr>
          <w:rFonts w:ascii="Times New Roman" w:hAnsi="Times New Roman" w:cs="Times New Roman"/>
          <w:sz w:val="24"/>
          <w:szCs w:val="24"/>
        </w:rPr>
        <w:t>Aliyev, Huseyn, “Strong militias, weak states and armed violence: Towards a</w:t>
      </w:r>
      <w:r w:rsidR="00487C49">
        <w:rPr>
          <w:rFonts w:ascii="Times New Roman" w:hAnsi="Times New Roman" w:cs="Times New Roman"/>
          <w:sz w:val="24"/>
          <w:szCs w:val="24"/>
        </w:rPr>
        <w:t xml:space="preserve"> theory of ‘state </w:t>
      </w:r>
    </w:p>
    <w:p w14:paraId="2B822E5E" w14:textId="77777777" w:rsidR="001B0F40" w:rsidRPr="00487C49" w:rsidRDefault="00487C49" w:rsidP="00487C4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1B0F40" w:rsidRPr="00487C49">
        <w:rPr>
          <w:rFonts w:ascii="Times New Roman" w:hAnsi="Times New Roman" w:cs="Times New Roman"/>
          <w:sz w:val="24"/>
          <w:szCs w:val="24"/>
        </w:rPr>
        <w:t xml:space="preserve">parallel’ paramilitaries,” </w:t>
      </w:r>
      <w:r w:rsidR="001B0F40" w:rsidRPr="00487C49">
        <w:rPr>
          <w:rFonts w:ascii="Times New Roman" w:hAnsi="Times New Roman" w:cs="Times New Roman"/>
          <w:i/>
          <w:sz w:val="24"/>
          <w:szCs w:val="24"/>
        </w:rPr>
        <w:t>Security Dialogue</w:t>
      </w:r>
      <w:r w:rsidR="001B0F40" w:rsidRPr="00487C49">
        <w:rPr>
          <w:rFonts w:ascii="Times New Roman" w:hAnsi="Times New Roman" w:cs="Times New Roman"/>
          <w:sz w:val="24"/>
          <w:szCs w:val="24"/>
        </w:rPr>
        <w:t>, Vol. 47, No. 6 (2016)</w:t>
      </w:r>
    </w:p>
    <w:p w14:paraId="3C39888B" w14:textId="77777777" w:rsidR="001B0F40" w:rsidRPr="00487C49" w:rsidRDefault="001B0F40" w:rsidP="001B0F40">
      <w:pPr>
        <w:pStyle w:val="ListParagraph"/>
        <w:spacing w:after="0" w:line="240" w:lineRule="auto"/>
        <w:ind w:left="0"/>
        <w:rPr>
          <w:rFonts w:ascii="Times New Roman" w:hAnsi="Times New Roman" w:cs="Times New Roman"/>
          <w:sz w:val="24"/>
          <w:szCs w:val="24"/>
        </w:rPr>
      </w:pPr>
    </w:p>
    <w:p w14:paraId="0637FF69" w14:textId="77777777" w:rsidR="00487C49" w:rsidRDefault="001B0F40" w:rsidP="00487C49">
      <w:pPr>
        <w:pStyle w:val="ListParagraph"/>
        <w:spacing w:after="0" w:line="240" w:lineRule="auto"/>
        <w:ind w:left="0"/>
        <w:rPr>
          <w:rFonts w:ascii="Times New Roman" w:hAnsi="Times New Roman" w:cs="Times New Roman"/>
          <w:sz w:val="24"/>
          <w:szCs w:val="24"/>
        </w:rPr>
      </w:pPr>
      <w:r w:rsidRPr="00487C49">
        <w:rPr>
          <w:rFonts w:ascii="Times New Roman" w:hAnsi="Times New Roman" w:cs="Times New Roman"/>
          <w:sz w:val="24"/>
          <w:szCs w:val="24"/>
        </w:rPr>
        <w:t xml:space="preserve">Aliyev, Huseyn, “When and How Do Militias Disband? Global Patterns of Pro-Government </w:t>
      </w:r>
    </w:p>
    <w:p w14:paraId="2D4E1A7D" w14:textId="77777777" w:rsidR="001B0F40" w:rsidRPr="00487C49" w:rsidRDefault="00487C49" w:rsidP="00487C49">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1B0F40" w:rsidRPr="00487C49">
        <w:rPr>
          <w:rFonts w:ascii="Times New Roman" w:hAnsi="Times New Roman" w:cs="Times New Roman"/>
          <w:sz w:val="24"/>
          <w:szCs w:val="24"/>
        </w:rPr>
        <w:t>Militia Demobilization in Civil Wa</w:t>
      </w:r>
      <w:r>
        <w:rPr>
          <w:rFonts w:ascii="Times New Roman" w:hAnsi="Times New Roman" w:cs="Times New Roman"/>
          <w:sz w:val="24"/>
          <w:szCs w:val="24"/>
        </w:rPr>
        <w:t>r</w:t>
      </w:r>
      <w:r w:rsidR="001B0F40" w:rsidRPr="00487C49">
        <w:rPr>
          <w:rFonts w:ascii="Times New Roman" w:hAnsi="Times New Roman" w:cs="Times New Roman"/>
          <w:sz w:val="24"/>
          <w:szCs w:val="24"/>
        </w:rPr>
        <w:t xml:space="preserve">s,” </w:t>
      </w:r>
      <w:r w:rsidR="001B0F40" w:rsidRPr="00487C49">
        <w:rPr>
          <w:rFonts w:ascii="Times New Roman" w:hAnsi="Times New Roman" w:cs="Times New Roman"/>
          <w:i/>
          <w:sz w:val="24"/>
          <w:szCs w:val="24"/>
        </w:rPr>
        <w:t>Studies in Conflict &amp; Terrorism</w:t>
      </w:r>
      <w:r w:rsidR="001B0F40" w:rsidRPr="00487C49">
        <w:rPr>
          <w:rFonts w:ascii="Times New Roman" w:hAnsi="Times New Roman" w:cs="Times New Roman"/>
          <w:sz w:val="24"/>
          <w:szCs w:val="24"/>
        </w:rPr>
        <w:t xml:space="preserve">, Vol. 41 (2018) </w:t>
      </w:r>
    </w:p>
    <w:p w14:paraId="285B01DB" w14:textId="77777777" w:rsidR="001B0F40" w:rsidRPr="00487C49" w:rsidRDefault="001B0F40" w:rsidP="001B0F40">
      <w:pPr>
        <w:pStyle w:val="ListParagraph"/>
        <w:spacing w:after="0" w:line="240" w:lineRule="auto"/>
        <w:ind w:left="0"/>
        <w:rPr>
          <w:rFonts w:ascii="Times New Roman" w:hAnsi="Times New Roman" w:cs="Times New Roman"/>
          <w:sz w:val="24"/>
          <w:szCs w:val="24"/>
        </w:rPr>
      </w:pPr>
    </w:p>
    <w:p w14:paraId="4662FD3C" w14:textId="77777777" w:rsidR="00487C49" w:rsidRPr="00487C49" w:rsidRDefault="00487C49" w:rsidP="001B0F40">
      <w:pPr>
        <w:spacing w:after="0" w:line="480" w:lineRule="auto"/>
        <w:rPr>
          <w:rFonts w:ascii="Times New Roman" w:hAnsi="Times New Roman" w:cs="Times New Roman"/>
          <w:sz w:val="24"/>
          <w:szCs w:val="24"/>
        </w:rPr>
      </w:pPr>
      <w:proofErr w:type="spellStart"/>
      <w:r w:rsidRPr="00487C49">
        <w:rPr>
          <w:rFonts w:ascii="Times New Roman" w:hAnsi="Times New Roman" w:cs="Times New Roman"/>
          <w:sz w:val="24"/>
          <w:szCs w:val="24"/>
        </w:rPr>
        <w:t>Azani</w:t>
      </w:r>
      <w:proofErr w:type="spellEnd"/>
      <w:r w:rsidRPr="00487C49">
        <w:rPr>
          <w:rFonts w:ascii="Times New Roman" w:hAnsi="Times New Roman" w:cs="Times New Roman"/>
          <w:sz w:val="24"/>
          <w:szCs w:val="24"/>
        </w:rPr>
        <w:t xml:space="preserve">, Eitan, </w:t>
      </w:r>
      <w:r w:rsidRPr="00487C49">
        <w:rPr>
          <w:rFonts w:ascii="Times New Roman" w:hAnsi="Times New Roman" w:cs="Times New Roman"/>
          <w:i/>
          <w:iCs/>
          <w:sz w:val="24"/>
          <w:szCs w:val="24"/>
        </w:rPr>
        <w:t>Hezbollah: The Story of the Party of God</w:t>
      </w:r>
      <w:r w:rsidRPr="00487C49">
        <w:rPr>
          <w:rFonts w:ascii="Times New Roman" w:hAnsi="Times New Roman" w:cs="Times New Roman"/>
          <w:sz w:val="24"/>
          <w:szCs w:val="24"/>
        </w:rPr>
        <w:t xml:space="preserve"> (New York: Palgrave MacMillan, 2009)</w:t>
      </w:r>
    </w:p>
    <w:p w14:paraId="5E99B5FF" w14:textId="77777777" w:rsidR="00487C49" w:rsidRDefault="001B0F40" w:rsidP="00487C49">
      <w:pPr>
        <w:spacing w:after="0" w:line="240" w:lineRule="auto"/>
        <w:rPr>
          <w:rFonts w:ascii="Times New Roman" w:hAnsi="Times New Roman" w:cs="Times New Roman"/>
          <w:i/>
          <w:iCs/>
          <w:sz w:val="24"/>
          <w:szCs w:val="24"/>
        </w:rPr>
      </w:pPr>
      <w:r w:rsidRPr="00487C49">
        <w:rPr>
          <w:rFonts w:ascii="Times New Roman" w:hAnsi="Times New Roman" w:cs="Times New Roman"/>
          <w:sz w:val="24"/>
          <w:szCs w:val="24"/>
        </w:rPr>
        <w:t xml:space="preserve">Berman, Eli, and David A. Lake, </w:t>
      </w:r>
      <w:r w:rsidRPr="00487C49">
        <w:rPr>
          <w:rFonts w:ascii="Times New Roman" w:hAnsi="Times New Roman" w:cs="Times New Roman"/>
          <w:i/>
          <w:iCs/>
          <w:sz w:val="24"/>
          <w:szCs w:val="24"/>
        </w:rPr>
        <w:t>Proxy Wars: Suppressing Violence Through Local Agents</w:t>
      </w:r>
      <w:r w:rsidRPr="00487C49">
        <w:rPr>
          <w:rFonts w:ascii="Times New Roman" w:hAnsi="Times New Roman" w:cs="Times New Roman"/>
          <w:sz w:val="24"/>
          <w:szCs w:val="24"/>
        </w:rPr>
        <w:t xml:space="preserve"> </w:t>
      </w:r>
      <w:r w:rsidR="00487C49">
        <w:rPr>
          <w:rFonts w:ascii="Times New Roman" w:hAnsi="Times New Roman" w:cs="Times New Roman"/>
          <w:sz w:val="24"/>
          <w:szCs w:val="24"/>
        </w:rPr>
        <w:tab/>
      </w:r>
      <w:r w:rsidRPr="00487C49">
        <w:rPr>
          <w:rFonts w:ascii="Times New Roman" w:hAnsi="Times New Roman" w:cs="Times New Roman"/>
          <w:sz w:val="24"/>
          <w:szCs w:val="24"/>
        </w:rPr>
        <w:t>(Ithaca: Cornell University Press), 2019</w:t>
      </w:r>
    </w:p>
    <w:p w14:paraId="49E7D140" w14:textId="77777777" w:rsidR="00487C49" w:rsidRPr="00487C49" w:rsidRDefault="00487C49" w:rsidP="00487C49">
      <w:pPr>
        <w:spacing w:after="0" w:line="240" w:lineRule="auto"/>
        <w:rPr>
          <w:rFonts w:ascii="Times New Roman" w:hAnsi="Times New Roman" w:cs="Times New Roman"/>
          <w:sz w:val="24"/>
          <w:szCs w:val="24"/>
        </w:rPr>
      </w:pPr>
    </w:p>
    <w:p w14:paraId="5D536761" w14:textId="77777777" w:rsidR="00487C49" w:rsidRDefault="001B0F40" w:rsidP="00487C49">
      <w:pPr>
        <w:spacing w:after="0" w:line="240" w:lineRule="auto"/>
        <w:rPr>
          <w:rFonts w:ascii="Times New Roman" w:hAnsi="Times New Roman" w:cs="Times New Roman"/>
          <w:sz w:val="24"/>
          <w:szCs w:val="24"/>
        </w:rPr>
      </w:pPr>
      <w:proofErr w:type="spellStart"/>
      <w:r w:rsidRPr="00487C49">
        <w:rPr>
          <w:rFonts w:ascii="Times New Roman" w:hAnsi="Times New Roman" w:cs="Times New Roman"/>
          <w:sz w:val="24"/>
          <w:szCs w:val="24"/>
        </w:rPr>
        <w:t>Byman</w:t>
      </w:r>
      <w:proofErr w:type="spellEnd"/>
      <w:r w:rsidRPr="00487C49">
        <w:rPr>
          <w:rFonts w:ascii="Times New Roman" w:hAnsi="Times New Roman" w:cs="Times New Roman"/>
          <w:sz w:val="24"/>
          <w:szCs w:val="24"/>
        </w:rPr>
        <w:t>, Daniel and Sarah E. Kreps, “Agents of Destruction? Ap</w:t>
      </w:r>
      <w:r w:rsidR="00487C49">
        <w:rPr>
          <w:rFonts w:ascii="Times New Roman" w:hAnsi="Times New Roman" w:cs="Times New Roman"/>
          <w:sz w:val="24"/>
          <w:szCs w:val="24"/>
        </w:rPr>
        <w:t xml:space="preserve">plying Principal-Agent Analysis </w:t>
      </w:r>
    </w:p>
    <w:p w14:paraId="63B1D9FD" w14:textId="77777777" w:rsidR="001B0F40" w:rsidRPr="00487C49" w:rsidRDefault="00487C49" w:rsidP="00487C4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1B0F40" w:rsidRPr="00487C49">
        <w:rPr>
          <w:rFonts w:ascii="Times New Roman" w:hAnsi="Times New Roman" w:cs="Times New Roman"/>
          <w:sz w:val="24"/>
          <w:szCs w:val="24"/>
        </w:rPr>
        <w:t xml:space="preserve">to State-Sponsored Terrorism,” </w:t>
      </w:r>
      <w:r w:rsidR="001B0F40" w:rsidRPr="00487C49">
        <w:rPr>
          <w:rFonts w:ascii="Times New Roman" w:hAnsi="Times New Roman" w:cs="Times New Roman"/>
          <w:i/>
          <w:sz w:val="24"/>
          <w:szCs w:val="24"/>
        </w:rPr>
        <w:t>International Studies Perspectives</w:t>
      </w:r>
      <w:r w:rsidR="001B0F40" w:rsidRPr="00487C49">
        <w:rPr>
          <w:rFonts w:ascii="Times New Roman" w:hAnsi="Times New Roman" w:cs="Times New Roman"/>
          <w:sz w:val="24"/>
          <w:szCs w:val="24"/>
        </w:rPr>
        <w:t>, Vol. 11 (2010)</w:t>
      </w:r>
    </w:p>
    <w:p w14:paraId="3904B260" w14:textId="77777777" w:rsidR="00487C49" w:rsidRDefault="00487C49" w:rsidP="00487C49">
      <w:pPr>
        <w:spacing w:after="0" w:line="240" w:lineRule="auto"/>
        <w:rPr>
          <w:rFonts w:ascii="Times New Roman" w:hAnsi="Times New Roman" w:cs="Times New Roman"/>
          <w:sz w:val="24"/>
          <w:szCs w:val="24"/>
        </w:rPr>
      </w:pPr>
    </w:p>
    <w:p w14:paraId="043BE332" w14:textId="77777777" w:rsidR="001B0F40" w:rsidRDefault="001B0F40" w:rsidP="00487C49">
      <w:pPr>
        <w:spacing w:after="0" w:line="240" w:lineRule="auto"/>
        <w:rPr>
          <w:rFonts w:ascii="Times New Roman" w:hAnsi="Times New Roman" w:cs="Times New Roman"/>
          <w:sz w:val="24"/>
          <w:szCs w:val="24"/>
        </w:rPr>
      </w:pPr>
      <w:r w:rsidRPr="00487C49">
        <w:rPr>
          <w:rFonts w:ascii="Times New Roman" w:hAnsi="Times New Roman" w:cs="Times New Roman"/>
          <w:sz w:val="24"/>
          <w:szCs w:val="24"/>
        </w:rPr>
        <w:t xml:space="preserve">Carey, Sabine C, and Neil J. Mitchell, “Progovernment Militias,” </w:t>
      </w:r>
      <w:r w:rsidR="00487C49">
        <w:rPr>
          <w:rFonts w:ascii="Times New Roman" w:hAnsi="Times New Roman" w:cs="Times New Roman"/>
          <w:i/>
          <w:sz w:val="24"/>
          <w:szCs w:val="24"/>
        </w:rPr>
        <w:t xml:space="preserve">Annual Review of Political </w:t>
      </w:r>
      <w:r w:rsidR="00487C49">
        <w:rPr>
          <w:rFonts w:ascii="Times New Roman" w:hAnsi="Times New Roman" w:cs="Times New Roman"/>
          <w:i/>
          <w:sz w:val="24"/>
          <w:szCs w:val="24"/>
        </w:rPr>
        <w:tab/>
      </w:r>
      <w:r w:rsidRPr="00487C49">
        <w:rPr>
          <w:rFonts w:ascii="Times New Roman" w:hAnsi="Times New Roman" w:cs="Times New Roman"/>
          <w:i/>
          <w:sz w:val="24"/>
          <w:szCs w:val="24"/>
        </w:rPr>
        <w:t>Science</w:t>
      </w:r>
      <w:r w:rsidRPr="00487C49">
        <w:rPr>
          <w:rFonts w:ascii="Times New Roman" w:hAnsi="Times New Roman" w:cs="Times New Roman"/>
          <w:sz w:val="24"/>
          <w:szCs w:val="24"/>
        </w:rPr>
        <w:t>, Vol. 20 (2017)</w:t>
      </w:r>
    </w:p>
    <w:p w14:paraId="0887B23C" w14:textId="77777777" w:rsidR="00487C49" w:rsidRPr="00487C49" w:rsidRDefault="00487C49" w:rsidP="00487C49">
      <w:pPr>
        <w:spacing w:after="0" w:line="240" w:lineRule="auto"/>
        <w:rPr>
          <w:rFonts w:ascii="Times New Roman" w:hAnsi="Times New Roman" w:cs="Times New Roman"/>
          <w:sz w:val="24"/>
          <w:szCs w:val="24"/>
        </w:rPr>
      </w:pPr>
    </w:p>
    <w:p w14:paraId="58CD5CB2" w14:textId="77777777" w:rsidR="00487C49" w:rsidRPr="00487C49" w:rsidRDefault="00487C49" w:rsidP="001B0F40">
      <w:pPr>
        <w:spacing w:after="0" w:line="480" w:lineRule="auto"/>
        <w:rPr>
          <w:rFonts w:ascii="Times New Roman" w:hAnsi="Times New Roman" w:cs="Times New Roman"/>
          <w:sz w:val="24"/>
          <w:szCs w:val="24"/>
        </w:rPr>
      </w:pPr>
      <w:r w:rsidRPr="00487C49">
        <w:rPr>
          <w:rFonts w:ascii="Times New Roman" w:hAnsi="Times New Roman" w:cs="Times New Roman"/>
          <w:sz w:val="24"/>
          <w:szCs w:val="24"/>
        </w:rPr>
        <w:t xml:space="preserve">Daher, </w:t>
      </w:r>
      <w:proofErr w:type="spellStart"/>
      <w:r w:rsidRPr="00487C49">
        <w:rPr>
          <w:rFonts w:ascii="Times New Roman" w:hAnsi="Times New Roman" w:cs="Times New Roman"/>
          <w:sz w:val="24"/>
          <w:szCs w:val="24"/>
        </w:rPr>
        <w:t>Aurélie</w:t>
      </w:r>
      <w:proofErr w:type="spellEnd"/>
      <w:r w:rsidRPr="00487C49">
        <w:rPr>
          <w:rFonts w:ascii="Times New Roman" w:hAnsi="Times New Roman" w:cs="Times New Roman"/>
          <w:sz w:val="24"/>
          <w:szCs w:val="24"/>
        </w:rPr>
        <w:t>,</w:t>
      </w:r>
      <w:r w:rsidRPr="00487C49">
        <w:rPr>
          <w:rFonts w:ascii="Times New Roman" w:hAnsi="Times New Roman" w:cs="Times New Roman"/>
          <w:i/>
          <w:iCs/>
          <w:sz w:val="24"/>
          <w:szCs w:val="24"/>
        </w:rPr>
        <w:t xml:space="preserve"> Hezbollah: </w:t>
      </w:r>
      <w:proofErr w:type="spellStart"/>
      <w:r w:rsidRPr="00487C49">
        <w:rPr>
          <w:rFonts w:ascii="Times New Roman" w:hAnsi="Times New Roman" w:cs="Times New Roman"/>
          <w:i/>
          <w:iCs/>
          <w:sz w:val="24"/>
          <w:szCs w:val="24"/>
        </w:rPr>
        <w:t>Mobilisation</w:t>
      </w:r>
      <w:proofErr w:type="spellEnd"/>
      <w:r w:rsidRPr="00487C49">
        <w:rPr>
          <w:rFonts w:ascii="Times New Roman" w:hAnsi="Times New Roman" w:cs="Times New Roman"/>
          <w:i/>
          <w:iCs/>
          <w:sz w:val="24"/>
          <w:szCs w:val="24"/>
        </w:rPr>
        <w:t xml:space="preserve"> and Power</w:t>
      </w:r>
      <w:r w:rsidRPr="00487C49">
        <w:rPr>
          <w:rFonts w:ascii="Times New Roman" w:hAnsi="Times New Roman" w:cs="Times New Roman"/>
          <w:sz w:val="24"/>
          <w:szCs w:val="24"/>
        </w:rPr>
        <w:t xml:space="preserve"> (New York: Oxford University Press, 2019)</w:t>
      </w:r>
    </w:p>
    <w:p w14:paraId="5969FBA5" w14:textId="77777777" w:rsidR="00487C49" w:rsidRPr="00487C49" w:rsidRDefault="00487C49" w:rsidP="00487C49">
      <w:pPr>
        <w:spacing w:after="0" w:line="240" w:lineRule="auto"/>
        <w:rPr>
          <w:rFonts w:ascii="Times New Roman" w:hAnsi="Times New Roman" w:cs="Times New Roman"/>
          <w:sz w:val="24"/>
          <w:szCs w:val="24"/>
        </w:rPr>
      </w:pPr>
      <w:r w:rsidRPr="00487C49">
        <w:rPr>
          <w:rFonts w:ascii="Times New Roman" w:hAnsi="Times New Roman" w:cs="Times New Roman"/>
          <w:sz w:val="24"/>
          <w:szCs w:val="24"/>
        </w:rPr>
        <w:t xml:space="preserve">El Husseini, </w:t>
      </w:r>
      <w:proofErr w:type="spellStart"/>
      <w:r w:rsidRPr="00487C49">
        <w:rPr>
          <w:rFonts w:ascii="Times New Roman" w:hAnsi="Times New Roman" w:cs="Times New Roman"/>
          <w:sz w:val="24"/>
          <w:szCs w:val="24"/>
        </w:rPr>
        <w:t>Rola</w:t>
      </w:r>
      <w:proofErr w:type="spellEnd"/>
      <w:r w:rsidRPr="00487C49">
        <w:rPr>
          <w:rFonts w:ascii="Times New Roman" w:hAnsi="Times New Roman" w:cs="Times New Roman"/>
          <w:sz w:val="24"/>
          <w:szCs w:val="24"/>
        </w:rPr>
        <w:t xml:space="preserve">, “Hezbollah and the Axis of Refusal: Hamas, Iran and Syria,” </w:t>
      </w:r>
      <w:r w:rsidRPr="00487C49">
        <w:rPr>
          <w:rFonts w:ascii="Times New Roman" w:hAnsi="Times New Roman" w:cs="Times New Roman"/>
          <w:i/>
          <w:iCs/>
          <w:sz w:val="24"/>
          <w:szCs w:val="24"/>
        </w:rPr>
        <w:t xml:space="preserve">Third World </w:t>
      </w:r>
      <w:r>
        <w:rPr>
          <w:rFonts w:ascii="Times New Roman" w:hAnsi="Times New Roman" w:cs="Times New Roman"/>
          <w:i/>
          <w:iCs/>
          <w:sz w:val="24"/>
          <w:szCs w:val="24"/>
        </w:rPr>
        <w:tab/>
      </w:r>
      <w:r w:rsidRPr="00487C49">
        <w:rPr>
          <w:rFonts w:ascii="Times New Roman" w:hAnsi="Times New Roman" w:cs="Times New Roman"/>
          <w:i/>
          <w:iCs/>
          <w:sz w:val="24"/>
          <w:szCs w:val="24"/>
        </w:rPr>
        <w:t>Quarterly</w:t>
      </w:r>
      <w:r w:rsidRPr="00487C49">
        <w:rPr>
          <w:rFonts w:ascii="Times New Roman" w:hAnsi="Times New Roman" w:cs="Times New Roman"/>
          <w:sz w:val="24"/>
          <w:szCs w:val="24"/>
        </w:rPr>
        <w:t>, Vol. 31, No. 5 (2010)</w:t>
      </w:r>
    </w:p>
    <w:p w14:paraId="51E7C0C2" w14:textId="77777777" w:rsidR="00487C49" w:rsidRDefault="00487C49" w:rsidP="00487C49">
      <w:pPr>
        <w:spacing w:after="0" w:line="240" w:lineRule="auto"/>
        <w:rPr>
          <w:rFonts w:ascii="Times New Roman" w:hAnsi="Times New Roman" w:cs="Times New Roman"/>
          <w:sz w:val="24"/>
          <w:szCs w:val="24"/>
        </w:rPr>
      </w:pPr>
    </w:p>
    <w:p w14:paraId="42DAA7D2" w14:textId="77777777" w:rsidR="001B0F40" w:rsidRDefault="001B0F40" w:rsidP="00487C49">
      <w:pPr>
        <w:spacing w:after="0" w:line="240" w:lineRule="auto"/>
        <w:rPr>
          <w:rFonts w:ascii="Times New Roman" w:hAnsi="Times New Roman" w:cs="Times New Roman"/>
          <w:sz w:val="24"/>
          <w:szCs w:val="24"/>
        </w:rPr>
      </w:pPr>
      <w:r w:rsidRPr="00487C49">
        <w:rPr>
          <w:rFonts w:ascii="Times New Roman" w:hAnsi="Times New Roman" w:cs="Times New Roman"/>
          <w:sz w:val="24"/>
          <w:szCs w:val="24"/>
        </w:rPr>
        <w:t xml:space="preserve">Farrell, Henry, and Jack Knight, “Trust and Institutional Compliance,” Unpublished paper (May </w:t>
      </w:r>
      <w:r w:rsidR="00487C49">
        <w:rPr>
          <w:rFonts w:ascii="Times New Roman" w:hAnsi="Times New Roman" w:cs="Times New Roman"/>
          <w:sz w:val="24"/>
          <w:szCs w:val="24"/>
        </w:rPr>
        <w:tab/>
      </w:r>
      <w:r w:rsidRPr="00487C49">
        <w:rPr>
          <w:rFonts w:ascii="Times New Roman" w:hAnsi="Times New Roman" w:cs="Times New Roman"/>
          <w:sz w:val="24"/>
          <w:szCs w:val="24"/>
        </w:rPr>
        <w:t>2006)</w:t>
      </w:r>
    </w:p>
    <w:p w14:paraId="5964F8DB" w14:textId="77777777" w:rsidR="00487C49" w:rsidRPr="00487C49" w:rsidRDefault="00487C49" w:rsidP="00487C49">
      <w:pPr>
        <w:spacing w:after="0" w:line="240" w:lineRule="auto"/>
        <w:rPr>
          <w:rFonts w:ascii="Times New Roman" w:hAnsi="Times New Roman" w:cs="Times New Roman"/>
          <w:sz w:val="24"/>
          <w:szCs w:val="24"/>
        </w:rPr>
      </w:pPr>
    </w:p>
    <w:p w14:paraId="11ABD409" w14:textId="77777777" w:rsidR="001B0F40" w:rsidRPr="00487C49" w:rsidRDefault="001B0F40" w:rsidP="00487C49">
      <w:pPr>
        <w:spacing w:after="0" w:line="240" w:lineRule="auto"/>
        <w:rPr>
          <w:rFonts w:ascii="Times New Roman" w:hAnsi="Times New Roman" w:cs="Times New Roman"/>
          <w:sz w:val="24"/>
          <w:szCs w:val="24"/>
        </w:rPr>
      </w:pPr>
      <w:r w:rsidRPr="00487C49">
        <w:rPr>
          <w:rFonts w:ascii="Times New Roman" w:hAnsi="Times New Roman" w:cs="Times New Roman"/>
          <w:sz w:val="24"/>
          <w:szCs w:val="24"/>
        </w:rPr>
        <w:t xml:space="preserve">Findley, Michael G. and </w:t>
      </w:r>
      <w:proofErr w:type="spellStart"/>
      <w:r w:rsidRPr="00487C49">
        <w:rPr>
          <w:rFonts w:ascii="Times New Roman" w:hAnsi="Times New Roman" w:cs="Times New Roman"/>
          <w:sz w:val="24"/>
          <w:szCs w:val="24"/>
        </w:rPr>
        <w:t>Tze</w:t>
      </w:r>
      <w:proofErr w:type="spellEnd"/>
      <w:r w:rsidRPr="00487C49">
        <w:rPr>
          <w:rFonts w:ascii="Times New Roman" w:hAnsi="Times New Roman" w:cs="Times New Roman"/>
          <w:sz w:val="24"/>
          <w:szCs w:val="24"/>
        </w:rPr>
        <w:t xml:space="preserve"> Kwang Teo, “Rethinking Third-Party Interventions into Civil Wars: </w:t>
      </w:r>
      <w:r w:rsidR="00487C49">
        <w:rPr>
          <w:rFonts w:ascii="Times New Roman" w:hAnsi="Times New Roman" w:cs="Times New Roman"/>
          <w:sz w:val="24"/>
          <w:szCs w:val="24"/>
        </w:rPr>
        <w:tab/>
      </w:r>
      <w:r w:rsidRPr="00487C49">
        <w:rPr>
          <w:rFonts w:ascii="Times New Roman" w:hAnsi="Times New Roman" w:cs="Times New Roman"/>
          <w:sz w:val="24"/>
          <w:szCs w:val="24"/>
        </w:rPr>
        <w:t xml:space="preserve">An Actor-Centric Approach,” </w:t>
      </w:r>
      <w:r w:rsidRPr="00487C49">
        <w:rPr>
          <w:rFonts w:ascii="Times New Roman" w:hAnsi="Times New Roman" w:cs="Times New Roman"/>
          <w:i/>
          <w:iCs/>
          <w:sz w:val="24"/>
          <w:szCs w:val="24"/>
        </w:rPr>
        <w:t>Journal of Politics</w:t>
      </w:r>
      <w:r w:rsidRPr="00487C49">
        <w:rPr>
          <w:rFonts w:ascii="Times New Roman" w:hAnsi="Times New Roman" w:cs="Times New Roman"/>
          <w:sz w:val="24"/>
          <w:szCs w:val="24"/>
        </w:rPr>
        <w:t>, Vol. 68, No. 4 (November 2006)</w:t>
      </w:r>
    </w:p>
    <w:p w14:paraId="07F21505" w14:textId="77777777" w:rsidR="00487C49" w:rsidRDefault="00487C49" w:rsidP="00487C49">
      <w:pPr>
        <w:spacing w:after="0" w:line="240" w:lineRule="auto"/>
        <w:rPr>
          <w:rFonts w:ascii="Times New Roman" w:hAnsi="Times New Roman" w:cs="Times New Roman"/>
          <w:sz w:val="24"/>
          <w:szCs w:val="24"/>
        </w:rPr>
      </w:pPr>
    </w:p>
    <w:p w14:paraId="6D1D19AF" w14:textId="77777777" w:rsidR="001B0F40" w:rsidRPr="00487C49" w:rsidRDefault="001B0F40" w:rsidP="00487C49">
      <w:pPr>
        <w:spacing w:after="0" w:line="240" w:lineRule="auto"/>
        <w:rPr>
          <w:rFonts w:ascii="Times New Roman" w:hAnsi="Times New Roman" w:cs="Times New Roman"/>
          <w:sz w:val="24"/>
          <w:szCs w:val="24"/>
        </w:rPr>
      </w:pPr>
      <w:proofErr w:type="spellStart"/>
      <w:r w:rsidRPr="00487C49">
        <w:rPr>
          <w:rFonts w:ascii="Times New Roman" w:hAnsi="Times New Roman" w:cs="Times New Roman"/>
          <w:sz w:val="24"/>
          <w:szCs w:val="24"/>
        </w:rPr>
        <w:lastRenderedPageBreak/>
        <w:t>Gleditsch</w:t>
      </w:r>
      <w:proofErr w:type="spellEnd"/>
      <w:r w:rsidRPr="00487C49">
        <w:rPr>
          <w:rFonts w:ascii="Times New Roman" w:hAnsi="Times New Roman" w:cs="Times New Roman"/>
          <w:sz w:val="24"/>
          <w:szCs w:val="24"/>
        </w:rPr>
        <w:t xml:space="preserve">, Kristian </w:t>
      </w:r>
      <w:proofErr w:type="spellStart"/>
      <w:r w:rsidRPr="00487C49">
        <w:rPr>
          <w:rFonts w:ascii="Times New Roman" w:hAnsi="Times New Roman" w:cs="Times New Roman"/>
          <w:sz w:val="24"/>
          <w:szCs w:val="24"/>
        </w:rPr>
        <w:t>Skrede</w:t>
      </w:r>
      <w:proofErr w:type="spellEnd"/>
      <w:r w:rsidRPr="00487C49">
        <w:rPr>
          <w:rFonts w:ascii="Times New Roman" w:hAnsi="Times New Roman" w:cs="Times New Roman"/>
          <w:sz w:val="24"/>
          <w:szCs w:val="24"/>
        </w:rPr>
        <w:t xml:space="preserve">, “Transnational Dimensions of Civil War,” </w:t>
      </w:r>
      <w:r w:rsidRPr="00487C49">
        <w:rPr>
          <w:rFonts w:ascii="Times New Roman" w:hAnsi="Times New Roman" w:cs="Times New Roman"/>
          <w:i/>
          <w:iCs/>
          <w:sz w:val="24"/>
          <w:szCs w:val="24"/>
        </w:rPr>
        <w:t xml:space="preserve">Journal of Peace </w:t>
      </w:r>
      <w:r w:rsidR="00487C49">
        <w:rPr>
          <w:rFonts w:ascii="Times New Roman" w:hAnsi="Times New Roman" w:cs="Times New Roman"/>
          <w:i/>
          <w:iCs/>
          <w:sz w:val="24"/>
          <w:szCs w:val="24"/>
        </w:rPr>
        <w:tab/>
      </w:r>
      <w:r w:rsidRPr="00487C49">
        <w:rPr>
          <w:rFonts w:ascii="Times New Roman" w:hAnsi="Times New Roman" w:cs="Times New Roman"/>
          <w:i/>
          <w:iCs/>
          <w:sz w:val="24"/>
          <w:szCs w:val="24"/>
        </w:rPr>
        <w:t>Research</w:t>
      </w:r>
      <w:r w:rsidRPr="00487C49">
        <w:rPr>
          <w:rFonts w:ascii="Times New Roman" w:hAnsi="Times New Roman" w:cs="Times New Roman"/>
          <w:sz w:val="24"/>
          <w:szCs w:val="24"/>
        </w:rPr>
        <w:t>, Vol. 44, No. 3 (2007)</w:t>
      </w:r>
    </w:p>
    <w:p w14:paraId="106F499C" w14:textId="77777777" w:rsidR="00487C49" w:rsidRDefault="00487C49" w:rsidP="00487C49">
      <w:pPr>
        <w:spacing w:after="0" w:line="240" w:lineRule="auto"/>
        <w:rPr>
          <w:rFonts w:ascii="Times New Roman" w:hAnsi="Times New Roman" w:cs="Times New Roman"/>
          <w:sz w:val="24"/>
          <w:szCs w:val="24"/>
        </w:rPr>
      </w:pPr>
    </w:p>
    <w:p w14:paraId="1867A30A" w14:textId="77777777" w:rsidR="00487C49" w:rsidRDefault="00487C49" w:rsidP="00487C49">
      <w:pPr>
        <w:spacing w:after="0" w:line="240" w:lineRule="auto"/>
        <w:rPr>
          <w:rFonts w:ascii="Times New Roman" w:hAnsi="Times New Roman" w:cs="Times New Roman"/>
          <w:sz w:val="24"/>
          <w:szCs w:val="24"/>
        </w:rPr>
      </w:pPr>
      <w:proofErr w:type="spellStart"/>
      <w:r w:rsidRPr="00487C49">
        <w:rPr>
          <w:rFonts w:ascii="Times New Roman" w:hAnsi="Times New Roman" w:cs="Times New Roman"/>
          <w:sz w:val="24"/>
          <w:szCs w:val="24"/>
        </w:rPr>
        <w:t>Gleis</w:t>
      </w:r>
      <w:proofErr w:type="spellEnd"/>
      <w:r w:rsidRPr="00487C49">
        <w:rPr>
          <w:rFonts w:ascii="Times New Roman" w:hAnsi="Times New Roman" w:cs="Times New Roman"/>
          <w:sz w:val="24"/>
          <w:szCs w:val="24"/>
        </w:rPr>
        <w:t xml:space="preserve">, Joshua L. and </w:t>
      </w:r>
      <w:proofErr w:type="spellStart"/>
      <w:r w:rsidRPr="00487C49">
        <w:rPr>
          <w:rFonts w:ascii="Times New Roman" w:hAnsi="Times New Roman" w:cs="Times New Roman"/>
          <w:sz w:val="24"/>
          <w:szCs w:val="24"/>
        </w:rPr>
        <w:t>Benedetta</w:t>
      </w:r>
      <w:proofErr w:type="spellEnd"/>
      <w:r w:rsidRPr="00487C49">
        <w:rPr>
          <w:rFonts w:ascii="Times New Roman" w:hAnsi="Times New Roman" w:cs="Times New Roman"/>
          <w:sz w:val="24"/>
          <w:szCs w:val="24"/>
        </w:rPr>
        <w:t xml:space="preserve"> </w:t>
      </w:r>
      <w:proofErr w:type="spellStart"/>
      <w:r w:rsidRPr="00487C49">
        <w:rPr>
          <w:rFonts w:ascii="Times New Roman" w:hAnsi="Times New Roman" w:cs="Times New Roman"/>
          <w:sz w:val="24"/>
          <w:szCs w:val="24"/>
        </w:rPr>
        <w:t>Berti</w:t>
      </w:r>
      <w:proofErr w:type="spellEnd"/>
      <w:r w:rsidRPr="00487C49">
        <w:rPr>
          <w:rFonts w:ascii="Times New Roman" w:hAnsi="Times New Roman" w:cs="Times New Roman"/>
          <w:sz w:val="24"/>
          <w:szCs w:val="24"/>
        </w:rPr>
        <w:t xml:space="preserve">, </w:t>
      </w:r>
      <w:r w:rsidRPr="00487C49">
        <w:rPr>
          <w:rFonts w:ascii="Times New Roman" w:hAnsi="Times New Roman" w:cs="Times New Roman"/>
          <w:i/>
          <w:iCs/>
          <w:sz w:val="24"/>
          <w:szCs w:val="24"/>
        </w:rPr>
        <w:t>Hezbollah and Hamas: A Comparative Study</w:t>
      </w:r>
      <w:r w:rsidRPr="00487C49">
        <w:rPr>
          <w:rFonts w:ascii="Times New Roman" w:hAnsi="Times New Roman" w:cs="Times New Roman"/>
          <w:sz w:val="24"/>
          <w:szCs w:val="24"/>
        </w:rPr>
        <w:t xml:space="preserve"> (Baltimore: </w:t>
      </w:r>
      <w:r>
        <w:rPr>
          <w:rFonts w:ascii="Times New Roman" w:hAnsi="Times New Roman" w:cs="Times New Roman"/>
          <w:sz w:val="24"/>
          <w:szCs w:val="24"/>
        </w:rPr>
        <w:tab/>
      </w:r>
      <w:r w:rsidRPr="00487C49">
        <w:rPr>
          <w:rFonts w:ascii="Times New Roman" w:hAnsi="Times New Roman" w:cs="Times New Roman"/>
          <w:sz w:val="24"/>
          <w:szCs w:val="24"/>
        </w:rPr>
        <w:t>The Johns Hopkins University Press, 2012)</w:t>
      </w:r>
    </w:p>
    <w:p w14:paraId="5AE68767" w14:textId="77777777" w:rsidR="00487C49" w:rsidRPr="00487C49" w:rsidRDefault="00487C49" w:rsidP="00487C49">
      <w:pPr>
        <w:spacing w:after="0" w:line="240" w:lineRule="auto"/>
        <w:rPr>
          <w:rFonts w:ascii="Times New Roman" w:hAnsi="Times New Roman" w:cs="Times New Roman"/>
          <w:sz w:val="24"/>
          <w:szCs w:val="24"/>
        </w:rPr>
      </w:pPr>
    </w:p>
    <w:p w14:paraId="58E57347" w14:textId="77777777" w:rsidR="00487C49" w:rsidRPr="00487C49" w:rsidRDefault="00487C49" w:rsidP="00487C49">
      <w:pPr>
        <w:spacing w:after="0" w:line="480" w:lineRule="auto"/>
        <w:rPr>
          <w:rFonts w:ascii="Times New Roman" w:hAnsi="Times New Roman" w:cs="Times New Roman"/>
          <w:sz w:val="24"/>
          <w:szCs w:val="24"/>
        </w:rPr>
      </w:pPr>
      <w:proofErr w:type="spellStart"/>
      <w:r w:rsidRPr="00487C49">
        <w:rPr>
          <w:rFonts w:ascii="Times New Roman" w:hAnsi="Times New Roman" w:cs="Times New Roman"/>
          <w:sz w:val="24"/>
          <w:szCs w:val="24"/>
        </w:rPr>
        <w:t>Hamzeh</w:t>
      </w:r>
      <w:proofErr w:type="spellEnd"/>
      <w:r w:rsidRPr="00487C49">
        <w:rPr>
          <w:rFonts w:ascii="Times New Roman" w:hAnsi="Times New Roman" w:cs="Times New Roman"/>
          <w:sz w:val="24"/>
          <w:szCs w:val="24"/>
        </w:rPr>
        <w:t xml:space="preserve">, Ahmad Nizar, </w:t>
      </w:r>
      <w:r w:rsidRPr="00487C49">
        <w:rPr>
          <w:rFonts w:ascii="Times New Roman" w:hAnsi="Times New Roman" w:cs="Times New Roman"/>
          <w:i/>
          <w:iCs/>
          <w:sz w:val="24"/>
          <w:szCs w:val="24"/>
        </w:rPr>
        <w:t xml:space="preserve">In the Path of </w:t>
      </w:r>
      <w:proofErr w:type="spellStart"/>
      <w:r w:rsidRPr="00487C49">
        <w:rPr>
          <w:rFonts w:ascii="Times New Roman" w:hAnsi="Times New Roman" w:cs="Times New Roman"/>
          <w:i/>
          <w:iCs/>
          <w:sz w:val="24"/>
          <w:szCs w:val="24"/>
        </w:rPr>
        <w:t>Hizbullah</w:t>
      </w:r>
      <w:proofErr w:type="spellEnd"/>
      <w:r w:rsidRPr="00487C49">
        <w:rPr>
          <w:rFonts w:ascii="Times New Roman" w:hAnsi="Times New Roman" w:cs="Times New Roman"/>
          <w:sz w:val="24"/>
          <w:szCs w:val="24"/>
        </w:rPr>
        <w:t xml:space="preserve"> (Syracuse: University of Syracuse Press, 2004)</w:t>
      </w:r>
    </w:p>
    <w:p w14:paraId="7584441B" w14:textId="77777777" w:rsidR="00487C49" w:rsidRDefault="001B0F40" w:rsidP="00487C49">
      <w:pPr>
        <w:spacing w:after="0" w:line="240" w:lineRule="auto"/>
        <w:rPr>
          <w:rFonts w:ascii="Times New Roman" w:hAnsi="Times New Roman" w:cs="Times New Roman"/>
          <w:sz w:val="24"/>
          <w:szCs w:val="24"/>
        </w:rPr>
      </w:pPr>
      <w:r w:rsidRPr="00487C49">
        <w:rPr>
          <w:rFonts w:ascii="Times New Roman" w:hAnsi="Times New Roman" w:cs="Times New Roman"/>
          <w:sz w:val="24"/>
          <w:szCs w:val="24"/>
        </w:rPr>
        <w:t xml:space="preserve">Jensen, Michael C., and William H. </w:t>
      </w:r>
      <w:proofErr w:type="spellStart"/>
      <w:r w:rsidRPr="00487C49">
        <w:rPr>
          <w:rFonts w:ascii="Times New Roman" w:hAnsi="Times New Roman" w:cs="Times New Roman"/>
          <w:sz w:val="24"/>
          <w:szCs w:val="24"/>
        </w:rPr>
        <w:t>Meckling</w:t>
      </w:r>
      <w:proofErr w:type="spellEnd"/>
      <w:r w:rsidRPr="00487C49">
        <w:rPr>
          <w:rFonts w:ascii="Times New Roman" w:hAnsi="Times New Roman" w:cs="Times New Roman"/>
          <w:sz w:val="24"/>
          <w:szCs w:val="24"/>
        </w:rPr>
        <w:t xml:space="preserve">, “Theory of the Firm: Managerial Behavior, </w:t>
      </w:r>
    </w:p>
    <w:p w14:paraId="6E35AD6D" w14:textId="77777777" w:rsidR="00487C49" w:rsidRDefault="00487C49" w:rsidP="00487C4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1B0F40" w:rsidRPr="00487C49">
        <w:rPr>
          <w:rFonts w:ascii="Times New Roman" w:hAnsi="Times New Roman" w:cs="Times New Roman"/>
          <w:sz w:val="24"/>
          <w:szCs w:val="24"/>
        </w:rPr>
        <w:t xml:space="preserve">Agency Costs and Ownership Structure,” </w:t>
      </w:r>
      <w:r w:rsidR="001B0F40" w:rsidRPr="00487C49">
        <w:rPr>
          <w:rFonts w:ascii="Times New Roman" w:hAnsi="Times New Roman" w:cs="Times New Roman"/>
          <w:i/>
          <w:iCs/>
          <w:sz w:val="24"/>
          <w:szCs w:val="24"/>
        </w:rPr>
        <w:t>Journal of Financial Economics</w:t>
      </w:r>
      <w:r w:rsidR="001B0F40" w:rsidRPr="00487C49">
        <w:rPr>
          <w:rFonts w:ascii="Times New Roman" w:hAnsi="Times New Roman" w:cs="Times New Roman"/>
          <w:sz w:val="24"/>
          <w:szCs w:val="24"/>
        </w:rPr>
        <w:t xml:space="preserve">, Vol. 3, No. 4 </w:t>
      </w:r>
    </w:p>
    <w:p w14:paraId="1C4B24E9" w14:textId="77777777" w:rsidR="001B0F40" w:rsidRDefault="00487C49" w:rsidP="00487C4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1B0F40" w:rsidRPr="00487C49">
        <w:rPr>
          <w:rFonts w:ascii="Times New Roman" w:hAnsi="Times New Roman" w:cs="Times New Roman"/>
          <w:sz w:val="24"/>
          <w:szCs w:val="24"/>
        </w:rPr>
        <w:t>(October 1976)</w:t>
      </w:r>
    </w:p>
    <w:p w14:paraId="09D3D14B" w14:textId="77777777" w:rsidR="00487C49" w:rsidRPr="00487C49" w:rsidRDefault="00487C49" w:rsidP="00487C49">
      <w:pPr>
        <w:spacing w:after="0" w:line="240" w:lineRule="auto"/>
        <w:rPr>
          <w:rFonts w:ascii="Times New Roman" w:hAnsi="Times New Roman" w:cs="Times New Roman"/>
          <w:sz w:val="24"/>
          <w:szCs w:val="24"/>
        </w:rPr>
      </w:pPr>
    </w:p>
    <w:p w14:paraId="1E10EB23" w14:textId="77777777" w:rsidR="001B0F40" w:rsidRPr="00487C49" w:rsidRDefault="001B0F40" w:rsidP="00487C49">
      <w:pPr>
        <w:spacing w:after="0" w:line="240" w:lineRule="auto"/>
        <w:rPr>
          <w:rFonts w:ascii="Times New Roman" w:hAnsi="Times New Roman" w:cs="Times New Roman"/>
          <w:sz w:val="24"/>
          <w:szCs w:val="24"/>
        </w:rPr>
      </w:pPr>
      <w:proofErr w:type="spellStart"/>
      <w:r w:rsidRPr="00487C49">
        <w:rPr>
          <w:rFonts w:ascii="Times New Roman" w:hAnsi="Times New Roman" w:cs="Times New Roman"/>
          <w:sz w:val="24"/>
          <w:szCs w:val="24"/>
        </w:rPr>
        <w:t>Jentzsch</w:t>
      </w:r>
      <w:proofErr w:type="spellEnd"/>
      <w:r w:rsidRPr="00487C49">
        <w:rPr>
          <w:rFonts w:ascii="Times New Roman" w:hAnsi="Times New Roman" w:cs="Times New Roman"/>
          <w:sz w:val="24"/>
          <w:szCs w:val="24"/>
        </w:rPr>
        <w:t xml:space="preserve">, Corinna, </w:t>
      </w:r>
      <w:proofErr w:type="spellStart"/>
      <w:r w:rsidRPr="00487C49">
        <w:rPr>
          <w:rFonts w:ascii="Times New Roman" w:hAnsi="Times New Roman" w:cs="Times New Roman"/>
          <w:sz w:val="24"/>
          <w:szCs w:val="24"/>
        </w:rPr>
        <w:t>Stathis</w:t>
      </w:r>
      <w:proofErr w:type="spellEnd"/>
      <w:r w:rsidRPr="00487C49">
        <w:rPr>
          <w:rFonts w:ascii="Times New Roman" w:hAnsi="Times New Roman" w:cs="Times New Roman"/>
          <w:sz w:val="24"/>
          <w:szCs w:val="24"/>
        </w:rPr>
        <w:t xml:space="preserve"> N. </w:t>
      </w:r>
      <w:proofErr w:type="spellStart"/>
      <w:r w:rsidRPr="00487C49">
        <w:rPr>
          <w:rFonts w:ascii="Times New Roman" w:hAnsi="Times New Roman" w:cs="Times New Roman"/>
          <w:sz w:val="24"/>
          <w:szCs w:val="24"/>
        </w:rPr>
        <w:t>Kalyvas</w:t>
      </w:r>
      <w:proofErr w:type="spellEnd"/>
      <w:r w:rsidRPr="00487C49">
        <w:rPr>
          <w:rFonts w:ascii="Times New Roman" w:hAnsi="Times New Roman" w:cs="Times New Roman"/>
          <w:sz w:val="24"/>
          <w:szCs w:val="24"/>
        </w:rPr>
        <w:t xml:space="preserve">, and Livia Isabella </w:t>
      </w:r>
      <w:proofErr w:type="spellStart"/>
      <w:r w:rsidRPr="00487C49">
        <w:rPr>
          <w:rFonts w:ascii="Times New Roman" w:hAnsi="Times New Roman" w:cs="Times New Roman"/>
          <w:sz w:val="24"/>
          <w:szCs w:val="24"/>
        </w:rPr>
        <w:t>Schubiger</w:t>
      </w:r>
      <w:proofErr w:type="spellEnd"/>
      <w:r w:rsidRPr="00487C49">
        <w:rPr>
          <w:rFonts w:ascii="Times New Roman" w:hAnsi="Times New Roman" w:cs="Times New Roman"/>
          <w:sz w:val="24"/>
          <w:szCs w:val="24"/>
        </w:rPr>
        <w:t xml:space="preserve"> in “Militias in Civil Wars,” </w:t>
      </w:r>
    </w:p>
    <w:p w14:paraId="0A195CBC" w14:textId="77777777" w:rsidR="001B0F40" w:rsidRDefault="001B0F40" w:rsidP="00487C49">
      <w:pPr>
        <w:spacing w:after="0" w:line="240" w:lineRule="auto"/>
        <w:rPr>
          <w:rFonts w:ascii="Times New Roman" w:hAnsi="Times New Roman" w:cs="Times New Roman"/>
          <w:sz w:val="24"/>
          <w:szCs w:val="24"/>
        </w:rPr>
      </w:pPr>
      <w:r w:rsidRPr="00487C49">
        <w:rPr>
          <w:rFonts w:ascii="Times New Roman" w:hAnsi="Times New Roman" w:cs="Times New Roman"/>
          <w:sz w:val="24"/>
          <w:szCs w:val="24"/>
        </w:rPr>
        <w:tab/>
      </w:r>
      <w:r w:rsidRPr="00487C49">
        <w:rPr>
          <w:rFonts w:ascii="Times New Roman" w:hAnsi="Times New Roman" w:cs="Times New Roman"/>
          <w:i/>
          <w:iCs/>
          <w:sz w:val="24"/>
          <w:szCs w:val="24"/>
        </w:rPr>
        <w:t>Journal of Conflict Resolution</w:t>
      </w:r>
      <w:r w:rsidRPr="00487C49">
        <w:rPr>
          <w:rFonts w:ascii="Times New Roman" w:hAnsi="Times New Roman" w:cs="Times New Roman"/>
          <w:sz w:val="24"/>
          <w:szCs w:val="24"/>
        </w:rPr>
        <w:t>, Vol. 59, No. 5 (2015)</w:t>
      </w:r>
    </w:p>
    <w:p w14:paraId="0A07428F" w14:textId="77777777" w:rsidR="00487C49" w:rsidRPr="00487C49" w:rsidRDefault="00487C49" w:rsidP="00487C49">
      <w:pPr>
        <w:spacing w:after="0" w:line="240" w:lineRule="auto"/>
        <w:rPr>
          <w:rFonts w:ascii="Times New Roman" w:hAnsi="Times New Roman" w:cs="Times New Roman"/>
          <w:sz w:val="24"/>
          <w:szCs w:val="24"/>
        </w:rPr>
      </w:pPr>
    </w:p>
    <w:p w14:paraId="53912C82" w14:textId="77777777" w:rsidR="00487C49" w:rsidRPr="00487C49" w:rsidRDefault="00487C49" w:rsidP="00487C49">
      <w:pPr>
        <w:spacing w:after="0" w:line="240" w:lineRule="auto"/>
        <w:rPr>
          <w:rFonts w:ascii="Times New Roman" w:hAnsi="Times New Roman" w:cs="Times New Roman"/>
          <w:i/>
          <w:iCs/>
          <w:sz w:val="24"/>
          <w:szCs w:val="24"/>
        </w:rPr>
      </w:pPr>
      <w:r w:rsidRPr="00487C49">
        <w:rPr>
          <w:rFonts w:ascii="Times New Roman" w:hAnsi="Times New Roman" w:cs="Times New Roman"/>
          <w:sz w:val="24"/>
          <w:szCs w:val="24"/>
        </w:rPr>
        <w:t>Koss, Maren,</w:t>
      </w:r>
      <w:r w:rsidRPr="00487C49">
        <w:rPr>
          <w:rFonts w:ascii="Times New Roman" w:hAnsi="Times New Roman" w:cs="Times New Roman"/>
          <w:i/>
          <w:iCs/>
          <w:sz w:val="24"/>
          <w:szCs w:val="24"/>
        </w:rPr>
        <w:t xml:space="preserve"> Resistance, Power and Conceptions of Political Order in Islamist Organizations: </w:t>
      </w:r>
      <w:r>
        <w:rPr>
          <w:rFonts w:ascii="Times New Roman" w:hAnsi="Times New Roman" w:cs="Times New Roman"/>
          <w:i/>
          <w:iCs/>
          <w:sz w:val="24"/>
          <w:szCs w:val="24"/>
        </w:rPr>
        <w:tab/>
      </w:r>
      <w:r w:rsidRPr="00487C49">
        <w:rPr>
          <w:rFonts w:ascii="Times New Roman" w:hAnsi="Times New Roman" w:cs="Times New Roman"/>
          <w:i/>
          <w:iCs/>
          <w:sz w:val="24"/>
          <w:szCs w:val="24"/>
        </w:rPr>
        <w:t xml:space="preserve">Comparing Hezbollah and Hamas </w:t>
      </w:r>
      <w:r w:rsidRPr="00487C49">
        <w:rPr>
          <w:rFonts w:ascii="Times New Roman" w:hAnsi="Times New Roman" w:cs="Times New Roman"/>
          <w:sz w:val="24"/>
          <w:szCs w:val="24"/>
        </w:rPr>
        <w:t>(London: Routledge, 2018)</w:t>
      </w:r>
    </w:p>
    <w:p w14:paraId="036558CA" w14:textId="77777777" w:rsidR="00487C49" w:rsidRDefault="00487C49" w:rsidP="00487C49">
      <w:pPr>
        <w:spacing w:after="0" w:line="240" w:lineRule="auto"/>
        <w:rPr>
          <w:rFonts w:ascii="Times New Roman" w:hAnsi="Times New Roman" w:cs="Times New Roman"/>
          <w:sz w:val="24"/>
          <w:szCs w:val="24"/>
        </w:rPr>
      </w:pPr>
    </w:p>
    <w:p w14:paraId="620BDD86" w14:textId="77777777" w:rsidR="001B0F40" w:rsidRDefault="001B0F40" w:rsidP="00487C49">
      <w:pPr>
        <w:spacing w:after="0" w:line="240" w:lineRule="auto"/>
        <w:rPr>
          <w:rFonts w:ascii="Times New Roman" w:hAnsi="Times New Roman" w:cs="Times New Roman"/>
          <w:sz w:val="24"/>
          <w:szCs w:val="24"/>
        </w:rPr>
      </w:pPr>
      <w:r w:rsidRPr="00487C49">
        <w:rPr>
          <w:rFonts w:ascii="Times New Roman" w:hAnsi="Times New Roman" w:cs="Times New Roman"/>
          <w:sz w:val="24"/>
          <w:szCs w:val="24"/>
        </w:rPr>
        <w:t>Levi, Margaret, “A State of Trust,” in Eds.</w:t>
      </w:r>
      <w:r w:rsidRPr="00487C49">
        <w:rPr>
          <w:rFonts w:ascii="Times New Roman" w:hAnsi="Times New Roman" w:cs="Times New Roman"/>
          <w:sz w:val="24"/>
          <w:szCs w:val="24"/>
          <w:shd w:val="clear" w:color="auto" w:fill="FFFFFF"/>
        </w:rPr>
        <w:t xml:space="preserve"> </w:t>
      </w:r>
      <w:r w:rsidRPr="00487C49">
        <w:rPr>
          <w:rFonts w:ascii="Times New Roman" w:hAnsi="Times New Roman" w:cs="Times New Roman"/>
          <w:sz w:val="24"/>
          <w:szCs w:val="24"/>
        </w:rPr>
        <w:t xml:space="preserve">Valerie Braithwaite and Margaret Levi, </w:t>
      </w:r>
      <w:r w:rsidRPr="00487C49">
        <w:rPr>
          <w:rFonts w:ascii="Times New Roman" w:hAnsi="Times New Roman" w:cs="Times New Roman"/>
          <w:i/>
          <w:iCs/>
          <w:sz w:val="24"/>
          <w:szCs w:val="24"/>
        </w:rPr>
        <w:t xml:space="preserve">Trust and </w:t>
      </w:r>
      <w:r w:rsidR="00487C49">
        <w:rPr>
          <w:rFonts w:ascii="Times New Roman" w:hAnsi="Times New Roman" w:cs="Times New Roman"/>
          <w:i/>
          <w:iCs/>
          <w:sz w:val="24"/>
          <w:szCs w:val="24"/>
        </w:rPr>
        <w:tab/>
      </w:r>
      <w:r w:rsidRPr="00487C49">
        <w:rPr>
          <w:rFonts w:ascii="Times New Roman" w:hAnsi="Times New Roman" w:cs="Times New Roman"/>
          <w:i/>
          <w:iCs/>
          <w:sz w:val="24"/>
          <w:szCs w:val="24"/>
        </w:rPr>
        <w:t>Governance</w:t>
      </w:r>
      <w:r w:rsidRPr="00487C49">
        <w:rPr>
          <w:rFonts w:ascii="Times New Roman" w:hAnsi="Times New Roman" w:cs="Times New Roman"/>
          <w:sz w:val="24"/>
          <w:szCs w:val="24"/>
        </w:rPr>
        <w:t xml:space="preserve"> (New York: Russell Sage Foundation, 1998)</w:t>
      </w:r>
    </w:p>
    <w:p w14:paraId="7C3E5AF5" w14:textId="77777777" w:rsidR="00487C49" w:rsidRPr="00487C49" w:rsidRDefault="00487C49" w:rsidP="00487C49">
      <w:pPr>
        <w:spacing w:after="0" w:line="240" w:lineRule="auto"/>
        <w:rPr>
          <w:rFonts w:ascii="Times New Roman" w:hAnsi="Times New Roman" w:cs="Times New Roman"/>
          <w:sz w:val="24"/>
          <w:szCs w:val="24"/>
        </w:rPr>
      </w:pPr>
    </w:p>
    <w:p w14:paraId="7F345DD0" w14:textId="77777777" w:rsidR="00487C49" w:rsidRDefault="00487C49" w:rsidP="00487C49">
      <w:pPr>
        <w:spacing w:after="0" w:line="240" w:lineRule="auto"/>
        <w:rPr>
          <w:rFonts w:ascii="Times New Roman" w:hAnsi="Times New Roman" w:cs="Times New Roman"/>
          <w:sz w:val="24"/>
          <w:szCs w:val="24"/>
        </w:rPr>
      </w:pPr>
      <w:r w:rsidRPr="00487C49">
        <w:rPr>
          <w:rFonts w:ascii="Times New Roman" w:hAnsi="Times New Roman" w:cs="Times New Roman"/>
          <w:sz w:val="24"/>
          <w:szCs w:val="24"/>
        </w:rPr>
        <w:t>Levitt, Matthew,</w:t>
      </w:r>
      <w:r w:rsidRPr="00487C49">
        <w:rPr>
          <w:rFonts w:ascii="Times New Roman" w:hAnsi="Times New Roman" w:cs="Times New Roman"/>
          <w:i/>
          <w:iCs/>
          <w:sz w:val="24"/>
          <w:szCs w:val="24"/>
        </w:rPr>
        <w:t xml:space="preserve"> Hamas: Politics, Charity, and Terrorism in the Service of Jihad</w:t>
      </w:r>
      <w:r w:rsidRPr="00487C49">
        <w:rPr>
          <w:rFonts w:ascii="Times New Roman" w:hAnsi="Times New Roman" w:cs="Times New Roman"/>
          <w:sz w:val="24"/>
          <w:szCs w:val="24"/>
        </w:rPr>
        <w:t xml:space="preserve"> (Yale: Yale </w:t>
      </w:r>
      <w:r>
        <w:rPr>
          <w:rFonts w:ascii="Times New Roman" w:hAnsi="Times New Roman" w:cs="Times New Roman"/>
          <w:sz w:val="24"/>
          <w:szCs w:val="24"/>
        </w:rPr>
        <w:tab/>
      </w:r>
      <w:r w:rsidRPr="00487C49">
        <w:rPr>
          <w:rFonts w:ascii="Times New Roman" w:hAnsi="Times New Roman" w:cs="Times New Roman"/>
          <w:sz w:val="24"/>
          <w:szCs w:val="24"/>
        </w:rPr>
        <w:t>University Press, 2007)</w:t>
      </w:r>
    </w:p>
    <w:p w14:paraId="16FFFBA9" w14:textId="77777777" w:rsidR="00487C49" w:rsidRDefault="00487C49" w:rsidP="00487C49">
      <w:pPr>
        <w:spacing w:after="0" w:line="240" w:lineRule="auto"/>
        <w:rPr>
          <w:rFonts w:ascii="Times New Roman" w:hAnsi="Times New Roman" w:cs="Times New Roman"/>
          <w:sz w:val="24"/>
          <w:szCs w:val="24"/>
        </w:rPr>
      </w:pPr>
    </w:p>
    <w:p w14:paraId="7566490D" w14:textId="77777777" w:rsidR="00487C49" w:rsidRDefault="00487C49" w:rsidP="00487C49">
      <w:pPr>
        <w:spacing w:after="0" w:line="240" w:lineRule="auto"/>
        <w:rPr>
          <w:rFonts w:ascii="Times New Roman" w:hAnsi="Times New Roman" w:cs="Times New Roman"/>
          <w:sz w:val="24"/>
          <w:szCs w:val="24"/>
        </w:rPr>
      </w:pPr>
      <w:r w:rsidRPr="00487C49">
        <w:rPr>
          <w:rFonts w:ascii="Times New Roman" w:hAnsi="Times New Roman" w:cs="Times New Roman"/>
          <w:sz w:val="24"/>
          <w:szCs w:val="24"/>
        </w:rPr>
        <w:t xml:space="preserve">Levitt, Matthew, </w:t>
      </w:r>
      <w:r w:rsidRPr="00487C49">
        <w:rPr>
          <w:rFonts w:ascii="Times New Roman" w:hAnsi="Times New Roman" w:cs="Times New Roman"/>
          <w:i/>
          <w:iCs/>
          <w:sz w:val="24"/>
          <w:szCs w:val="24"/>
        </w:rPr>
        <w:t>Hezbollah: The Global Footprint of Lebanon’s Party of God</w:t>
      </w:r>
      <w:r w:rsidRPr="00487C49">
        <w:rPr>
          <w:rFonts w:ascii="Times New Roman" w:hAnsi="Times New Roman" w:cs="Times New Roman"/>
          <w:sz w:val="24"/>
          <w:szCs w:val="24"/>
        </w:rPr>
        <w:t xml:space="preserve"> (Washington: </w:t>
      </w:r>
    </w:p>
    <w:p w14:paraId="700D5C93" w14:textId="77777777" w:rsidR="00487C49" w:rsidRDefault="00487C49" w:rsidP="00487C4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487C49">
        <w:rPr>
          <w:rFonts w:ascii="Times New Roman" w:hAnsi="Times New Roman" w:cs="Times New Roman"/>
          <w:sz w:val="24"/>
          <w:szCs w:val="24"/>
        </w:rPr>
        <w:t>Georgetown University Press, 2013)</w:t>
      </w:r>
    </w:p>
    <w:p w14:paraId="4BA5601F" w14:textId="77777777" w:rsidR="00487C49" w:rsidRPr="00487C49" w:rsidRDefault="00487C49" w:rsidP="00487C49">
      <w:pPr>
        <w:spacing w:after="0" w:line="240" w:lineRule="auto"/>
        <w:rPr>
          <w:rFonts w:ascii="Times New Roman" w:hAnsi="Times New Roman" w:cs="Times New Roman"/>
          <w:sz w:val="24"/>
          <w:szCs w:val="24"/>
        </w:rPr>
      </w:pPr>
    </w:p>
    <w:p w14:paraId="226574AF" w14:textId="77777777" w:rsidR="00487C49" w:rsidRDefault="001B0F40" w:rsidP="00487C49">
      <w:pPr>
        <w:spacing w:after="0" w:line="240" w:lineRule="auto"/>
        <w:rPr>
          <w:rFonts w:ascii="Times New Roman" w:hAnsi="Times New Roman" w:cs="Times New Roman"/>
          <w:sz w:val="24"/>
          <w:szCs w:val="24"/>
        </w:rPr>
      </w:pPr>
      <w:r w:rsidRPr="00487C49">
        <w:rPr>
          <w:rFonts w:ascii="Times New Roman" w:hAnsi="Times New Roman" w:cs="Times New Roman"/>
          <w:sz w:val="24"/>
          <w:szCs w:val="24"/>
        </w:rPr>
        <w:t xml:space="preserve">Miller, Gary J., “Monitoring, Rules, and the Control Paradox: Can the Good Soldier </w:t>
      </w:r>
      <w:proofErr w:type="spellStart"/>
      <w:r w:rsidRPr="00487C49">
        <w:rPr>
          <w:rFonts w:ascii="Times New Roman" w:hAnsi="Times New Roman" w:cs="Times New Roman"/>
          <w:sz w:val="24"/>
          <w:szCs w:val="24"/>
        </w:rPr>
        <w:t>Švejk</w:t>
      </w:r>
      <w:proofErr w:type="spellEnd"/>
      <w:r w:rsidRPr="00487C49">
        <w:rPr>
          <w:rFonts w:ascii="Times New Roman" w:hAnsi="Times New Roman" w:cs="Times New Roman"/>
          <w:sz w:val="24"/>
          <w:szCs w:val="24"/>
        </w:rPr>
        <w:t xml:space="preserve"> Be </w:t>
      </w:r>
    </w:p>
    <w:p w14:paraId="293A14DF" w14:textId="77777777" w:rsidR="001B0F40" w:rsidRDefault="00487C49" w:rsidP="00487C4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1B0F40" w:rsidRPr="00487C49">
        <w:rPr>
          <w:rFonts w:ascii="Times New Roman" w:hAnsi="Times New Roman" w:cs="Times New Roman"/>
          <w:sz w:val="24"/>
          <w:szCs w:val="24"/>
        </w:rPr>
        <w:t xml:space="preserve">Trusted?” in Kramer, R.M. and Tyler, T.R. (eds), </w:t>
      </w:r>
      <w:r w:rsidR="001B0F40" w:rsidRPr="00487C49">
        <w:rPr>
          <w:rFonts w:ascii="Times New Roman" w:hAnsi="Times New Roman" w:cs="Times New Roman"/>
          <w:i/>
          <w:iCs/>
          <w:sz w:val="24"/>
          <w:szCs w:val="24"/>
        </w:rPr>
        <w:t>Trust in Organizations</w:t>
      </w:r>
      <w:r w:rsidR="001B0F40" w:rsidRPr="00487C49">
        <w:rPr>
          <w:rFonts w:ascii="Times New Roman" w:hAnsi="Times New Roman" w:cs="Times New Roman"/>
          <w:sz w:val="24"/>
          <w:szCs w:val="24"/>
        </w:rPr>
        <w:t xml:space="preserve"> (Thousand </w:t>
      </w:r>
      <w:r>
        <w:rPr>
          <w:rFonts w:ascii="Times New Roman" w:hAnsi="Times New Roman" w:cs="Times New Roman"/>
          <w:sz w:val="24"/>
          <w:szCs w:val="24"/>
        </w:rPr>
        <w:tab/>
      </w:r>
      <w:r w:rsidR="001B0F40" w:rsidRPr="00487C49">
        <w:rPr>
          <w:rFonts w:ascii="Times New Roman" w:hAnsi="Times New Roman" w:cs="Times New Roman"/>
          <w:sz w:val="24"/>
          <w:szCs w:val="24"/>
        </w:rPr>
        <w:t>Oaks: Sage, 2004)</w:t>
      </w:r>
    </w:p>
    <w:p w14:paraId="343F8ACD" w14:textId="77777777" w:rsidR="00487C49" w:rsidRPr="00487C49" w:rsidRDefault="00487C49" w:rsidP="00487C49">
      <w:pPr>
        <w:spacing w:after="0" w:line="240" w:lineRule="auto"/>
        <w:rPr>
          <w:rFonts w:ascii="Times New Roman" w:hAnsi="Times New Roman" w:cs="Times New Roman"/>
          <w:sz w:val="24"/>
          <w:szCs w:val="24"/>
        </w:rPr>
      </w:pPr>
    </w:p>
    <w:p w14:paraId="04BCA182" w14:textId="77777777" w:rsidR="00487C49" w:rsidRDefault="001B0F40" w:rsidP="00487C49">
      <w:pPr>
        <w:spacing w:after="0" w:line="240" w:lineRule="auto"/>
        <w:rPr>
          <w:rFonts w:ascii="Times New Roman" w:hAnsi="Times New Roman" w:cs="Times New Roman"/>
          <w:i/>
          <w:iCs/>
          <w:sz w:val="24"/>
          <w:szCs w:val="24"/>
        </w:rPr>
      </w:pPr>
      <w:r w:rsidRPr="00487C49">
        <w:rPr>
          <w:rFonts w:ascii="Times New Roman" w:hAnsi="Times New Roman" w:cs="Times New Roman"/>
          <w:sz w:val="24"/>
          <w:szCs w:val="24"/>
        </w:rPr>
        <w:t xml:space="preserve">Miller, Gary J., “The Political Evolution of Principal-Agent Models,” </w:t>
      </w:r>
      <w:r w:rsidRPr="00487C49">
        <w:rPr>
          <w:rFonts w:ascii="Times New Roman" w:hAnsi="Times New Roman" w:cs="Times New Roman"/>
          <w:i/>
          <w:iCs/>
          <w:sz w:val="24"/>
          <w:szCs w:val="24"/>
        </w:rPr>
        <w:t xml:space="preserve">Annual Review of Political </w:t>
      </w:r>
    </w:p>
    <w:p w14:paraId="538CB332" w14:textId="77777777" w:rsidR="001B0F40" w:rsidRDefault="00487C49" w:rsidP="00487C49">
      <w:pPr>
        <w:spacing w:after="0" w:line="240" w:lineRule="auto"/>
        <w:rPr>
          <w:rFonts w:ascii="Times New Roman" w:hAnsi="Times New Roman" w:cs="Times New Roman"/>
          <w:sz w:val="24"/>
          <w:szCs w:val="24"/>
        </w:rPr>
      </w:pPr>
      <w:r>
        <w:rPr>
          <w:rFonts w:ascii="Times New Roman" w:hAnsi="Times New Roman" w:cs="Times New Roman"/>
          <w:i/>
          <w:iCs/>
          <w:sz w:val="24"/>
          <w:szCs w:val="24"/>
        </w:rPr>
        <w:tab/>
      </w:r>
      <w:r w:rsidR="001B0F40" w:rsidRPr="00487C49">
        <w:rPr>
          <w:rFonts w:ascii="Times New Roman" w:hAnsi="Times New Roman" w:cs="Times New Roman"/>
          <w:i/>
          <w:iCs/>
          <w:sz w:val="24"/>
          <w:szCs w:val="24"/>
        </w:rPr>
        <w:t>Science</w:t>
      </w:r>
      <w:r w:rsidR="001B0F40" w:rsidRPr="00487C49">
        <w:rPr>
          <w:rFonts w:ascii="Times New Roman" w:hAnsi="Times New Roman" w:cs="Times New Roman"/>
          <w:sz w:val="24"/>
          <w:szCs w:val="24"/>
        </w:rPr>
        <w:t>, Vol. 8 (2015)</w:t>
      </w:r>
    </w:p>
    <w:p w14:paraId="57C35D21" w14:textId="77777777" w:rsidR="00487C49" w:rsidRPr="00487C49" w:rsidRDefault="00487C49" w:rsidP="00487C49">
      <w:pPr>
        <w:spacing w:after="0" w:line="240" w:lineRule="auto"/>
        <w:rPr>
          <w:rFonts w:ascii="Times New Roman" w:hAnsi="Times New Roman" w:cs="Times New Roman"/>
          <w:sz w:val="24"/>
          <w:szCs w:val="24"/>
        </w:rPr>
      </w:pPr>
    </w:p>
    <w:p w14:paraId="7CD89E44" w14:textId="77777777" w:rsidR="00487C49" w:rsidRDefault="00487C49" w:rsidP="00487C49">
      <w:pPr>
        <w:spacing w:after="0" w:line="240" w:lineRule="auto"/>
        <w:rPr>
          <w:rFonts w:ascii="Times New Roman" w:hAnsi="Times New Roman" w:cs="Times New Roman"/>
          <w:sz w:val="24"/>
          <w:szCs w:val="24"/>
        </w:rPr>
      </w:pPr>
      <w:r w:rsidRPr="00487C49">
        <w:rPr>
          <w:rFonts w:ascii="Times New Roman" w:hAnsi="Times New Roman" w:cs="Times New Roman"/>
          <w:sz w:val="24"/>
          <w:szCs w:val="24"/>
        </w:rPr>
        <w:t xml:space="preserve">Norton, Augustus Richard, </w:t>
      </w:r>
      <w:r w:rsidRPr="00487C49">
        <w:rPr>
          <w:rFonts w:ascii="Times New Roman" w:hAnsi="Times New Roman" w:cs="Times New Roman"/>
          <w:i/>
          <w:iCs/>
          <w:sz w:val="24"/>
          <w:szCs w:val="24"/>
        </w:rPr>
        <w:t xml:space="preserve">Hezbollah: A Short History, </w:t>
      </w:r>
      <w:r w:rsidRPr="00487C49">
        <w:rPr>
          <w:rFonts w:ascii="Times New Roman" w:hAnsi="Times New Roman" w:cs="Times New Roman"/>
          <w:sz w:val="24"/>
          <w:szCs w:val="24"/>
        </w:rPr>
        <w:t>3rd edition,</w:t>
      </w:r>
      <w:r w:rsidRPr="00487C49">
        <w:rPr>
          <w:rFonts w:ascii="Times New Roman" w:hAnsi="Times New Roman" w:cs="Times New Roman"/>
          <w:i/>
          <w:iCs/>
          <w:sz w:val="24"/>
          <w:szCs w:val="24"/>
        </w:rPr>
        <w:t xml:space="preserve"> </w:t>
      </w:r>
      <w:r w:rsidRPr="00487C49">
        <w:rPr>
          <w:rFonts w:ascii="Times New Roman" w:hAnsi="Times New Roman" w:cs="Times New Roman"/>
          <w:sz w:val="24"/>
          <w:szCs w:val="24"/>
        </w:rPr>
        <w:t xml:space="preserve">(Princeton: Princeton </w:t>
      </w:r>
    </w:p>
    <w:p w14:paraId="1D3C8A65" w14:textId="77777777" w:rsidR="00487C49" w:rsidRDefault="00487C49" w:rsidP="00487C4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487C49">
        <w:rPr>
          <w:rFonts w:ascii="Times New Roman" w:hAnsi="Times New Roman" w:cs="Times New Roman"/>
          <w:sz w:val="24"/>
          <w:szCs w:val="24"/>
        </w:rPr>
        <w:t>University Press, 2018)</w:t>
      </w:r>
    </w:p>
    <w:p w14:paraId="3696098D" w14:textId="77777777" w:rsidR="00487C49" w:rsidRDefault="00487C49" w:rsidP="00487C49">
      <w:pPr>
        <w:spacing w:after="0" w:line="240" w:lineRule="auto"/>
        <w:rPr>
          <w:rFonts w:ascii="Times New Roman" w:hAnsi="Times New Roman" w:cs="Times New Roman"/>
          <w:sz w:val="24"/>
          <w:szCs w:val="24"/>
        </w:rPr>
      </w:pPr>
    </w:p>
    <w:p w14:paraId="34F93D4A" w14:textId="77777777" w:rsidR="00487C49" w:rsidRDefault="001B0F40" w:rsidP="00487C49">
      <w:pPr>
        <w:spacing w:after="0" w:line="240" w:lineRule="auto"/>
        <w:rPr>
          <w:rFonts w:ascii="Times New Roman" w:hAnsi="Times New Roman" w:cs="Times New Roman"/>
          <w:sz w:val="24"/>
          <w:szCs w:val="24"/>
        </w:rPr>
      </w:pPr>
      <w:proofErr w:type="spellStart"/>
      <w:r w:rsidRPr="00487C49">
        <w:rPr>
          <w:rFonts w:ascii="Times New Roman" w:hAnsi="Times New Roman" w:cs="Times New Roman"/>
          <w:sz w:val="24"/>
          <w:szCs w:val="24"/>
        </w:rPr>
        <w:t>Ostovar</w:t>
      </w:r>
      <w:proofErr w:type="spellEnd"/>
      <w:r w:rsidRPr="00487C49">
        <w:rPr>
          <w:rFonts w:ascii="Times New Roman" w:hAnsi="Times New Roman" w:cs="Times New Roman"/>
          <w:sz w:val="24"/>
          <w:szCs w:val="24"/>
        </w:rPr>
        <w:t xml:space="preserve">, </w:t>
      </w:r>
      <w:proofErr w:type="spellStart"/>
      <w:r w:rsidRPr="00487C49">
        <w:rPr>
          <w:rFonts w:ascii="Times New Roman" w:hAnsi="Times New Roman" w:cs="Times New Roman"/>
          <w:sz w:val="24"/>
          <w:szCs w:val="24"/>
        </w:rPr>
        <w:t>Afshon</w:t>
      </w:r>
      <w:proofErr w:type="spellEnd"/>
      <w:r w:rsidRPr="00487C49">
        <w:rPr>
          <w:rFonts w:ascii="Times New Roman" w:hAnsi="Times New Roman" w:cs="Times New Roman"/>
          <w:sz w:val="24"/>
          <w:szCs w:val="24"/>
        </w:rPr>
        <w:t xml:space="preserve">, “Iran, its clients, and the future of the Middle East: the limits of religion,” </w:t>
      </w:r>
    </w:p>
    <w:p w14:paraId="58B11C45" w14:textId="77777777" w:rsidR="001B0F40" w:rsidRDefault="00487C49" w:rsidP="00487C4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1B0F40" w:rsidRPr="00487C49">
        <w:rPr>
          <w:rFonts w:ascii="Times New Roman" w:hAnsi="Times New Roman" w:cs="Times New Roman"/>
          <w:i/>
          <w:iCs/>
          <w:sz w:val="24"/>
          <w:szCs w:val="24"/>
        </w:rPr>
        <w:t>International Affairs</w:t>
      </w:r>
      <w:r w:rsidR="001B0F40" w:rsidRPr="00487C49">
        <w:rPr>
          <w:rFonts w:ascii="Times New Roman" w:hAnsi="Times New Roman" w:cs="Times New Roman"/>
          <w:sz w:val="24"/>
          <w:szCs w:val="24"/>
        </w:rPr>
        <w:t>, Vol. 94, No. 6 (2018)</w:t>
      </w:r>
    </w:p>
    <w:p w14:paraId="1D965B7C" w14:textId="77777777" w:rsidR="00487C49" w:rsidRPr="00487C49" w:rsidRDefault="00487C49" w:rsidP="00487C49">
      <w:pPr>
        <w:spacing w:after="0" w:line="240" w:lineRule="auto"/>
        <w:rPr>
          <w:rFonts w:ascii="Times New Roman" w:hAnsi="Times New Roman" w:cs="Times New Roman"/>
          <w:sz w:val="24"/>
          <w:szCs w:val="24"/>
        </w:rPr>
      </w:pPr>
    </w:p>
    <w:p w14:paraId="2C406469" w14:textId="77777777" w:rsidR="00487C49" w:rsidRPr="00487C49" w:rsidRDefault="00487C49" w:rsidP="001B0F40">
      <w:pPr>
        <w:spacing w:after="0" w:line="480" w:lineRule="auto"/>
        <w:rPr>
          <w:rFonts w:ascii="Times New Roman" w:hAnsi="Times New Roman" w:cs="Times New Roman"/>
          <w:sz w:val="24"/>
          <w:szCs w:val="24"/>
        </w:rPr>
      </w:pPr>
      <w:r w:rsidRPr="00487C49">
        <w:rPr>
          <w:rFonts w:ascii="Times New Roman" w:hAnsi="Times New Roman" w:cs="Times New Roman"/>
          <w:sz w:val="24"/>
          <w:szCs w:val="24"/>
        </w:rPr>
        <w:t>Phillips, Christopher,</w:t>
      </w:r>
      <w:r w:rsidRPr="00487C49">
        <w:rPr>
          <w:rFonts w:ascii="Times New Roman" w:hAnsi="Times New Roman" w:cs="Times New Roman"/>
          <w:i/>
          <w:iCs/>
          <w:sz w:val="24"/>
          <w:szCs w:val="24"/>
        </w:rPr>
        <w:t xml:space="preserve"> The Battle for Syria</w:t>
      </w:r>
      <w:r w:rsidRPr="00487C49">
        <w:rPr>
          <w:rFonts w:ascii="Times New Roman" w:hAnsi="Times New Roman" w:cs="Times New Roman"/>
          <w:sz w:val="24"/>
          <w:szCs w:val="24"/>
        </w:rPr>
        <w:t xml:space="preserve"> (New Haven: Yale University Press, 2016)</w:t>
      </w:r>
    </w:p>
    <w:p w14:paraId="3D58EB1C" w14:textId="77777777" w:rsidR="00487C49" w:rsidRDefault="00487C49" w:rsidP="00487C49">
      <w:pPr>
        <w:spacing w:after="0" w:line="240" w:lineRule="auto"/>
        <w:rPr>
          <w:rFonts w:ascii="Times New Roman" w:hAnsi="Times New Roman" w:cs="Times New Roman"/>
          <w:sz w:val="24"/>
          <w:szCs w:val="24"/>
        </w:rPr>
      </w:pPr>
      <w:proofErr w:type="spellStart"/>
      <w:r w:rsidRPr="00487C49">
        <w:rPr>
          <w:rFonts w:ascii="Times New Roman" w:hAnsi="Times New Roman" w:cs="Times New Roman"/>
          <w:sz w:val="24"/>
          <w:szCs w:val="24"/>
        </w:rPr>
        <w:t>Ranstorp</w:t>
      </w:r>
      <w:proofErr w:type="spellEnd"/>
      <w:r w:rsidRPr="00487C49">
        <w:rPr>
          <w:rFonts w:ascii="Times New Roman" w:hAnsi="Times New Roman" w:cs="Times New Roman"/>
          <w:sz w:val="24"/>
          <w:szCs w:val="24"/>
        </w:rPr>
        <w:t>, Magnus, “The strategy and tactics of Hizballah's cur</w:t>
      </w:r>
      <w:r>
        <w:rPr>
          <w:rFonts w:ascii="Times New Roman" w:hAnsi="Times New Roman" w:cs="Times New Roman"/>
          <w:sz w:val="24"/>
          <w:szCs w:val="24"/>
        </w:rPr>
        <w:t>rent ‘</w:t>
      </w:r>
      <w:proofErr w:type="spellStart"/>
      <w:r>
        <w:rPr>
          <w:rFonts w:ascii="Times New Roman" w:hAnsi="Times New Roman" w:cs="Times New Roman"/>
          <w:sz w:val="24"/>
          <w:szCs w:val="24"/>
        </w:rPr>
        <w:t>Lebanonization</w:t>
      </w:r>
      <w:proofErr w:type="spellEnd"/>
      <w:r>
        <w:rPr>
          <w:rFonts w:ascii="Times New Roman" w:hAnsi="Times New Roman" w:cs="Times New Roman"/>
          <w:sz w:val="24"/>
          <w:szCs w:val="24"/>
        </w:rPr>
        <w:t xml:space="preserve"> process,’” </w:t>
      </w:r>
    </w:p>
    <w:p w14:paraId="17405848" w14:textId="77777777" w:rsidR="00487C49" w:rsidRPr="00487C49" w:rsidRDefault="00487C49" w:rsidP="00487C4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487C49">
        <w:rPr>
          <w:rFonts w:ascii="Times New Roman" w:hAnsi="Times New Roman" w:cs="Times New Roman"/>
          <w:i/>
          <w:iCs/>
          <w:sz w:val="24"/>
          <w:szCs w:val="24"/>
        </w:rPr>
        <w:t>Mediterranean Politics</w:t>
      </w:r>
      <w:r w:rsidRPr="00487C49">
        <w:rPr>
          <w:rFonts w:ascii="Times New Roman" w:hAnsi="Times New Roman" w:cs="Times New Roman"/>
          <w:sz w:val="24"/>
          <w:szCs w:val="24"/>
        </w:rPr>
        <w:t>, Vol. 3, No. 1 (1998)</w:t>
      </w:r>
    </w:p>
    <w:p w14:paraId="1A878419" w14:textId="77777777" w:rsidR="00487C49" w:rsidRPr="00487C49" w:rsidRDefault="00487C49" w:rsidP="001B0F40">
      <w:pPr>
        <w:spacing w:after="0" w:line="480" w:lineRule="auto"/>
        <w:rPr>
          <w:rFonts w:ascii="Times New Roman" w:hAnsi="Times New Roman" w:cs="Times New Roman"/>
          <w:sz w:val="24"/>
          <w:szCs w:val="24"/>
        </w:rPr>
      </w:pPr>
      <w:r w:rsidRPr="00487C49">
        <w:rPr>
          <w:rFonts w:ascii="Times New Roman" w:hAnsi="Times New Roman" w:cs="Times New Roman"/>
          <w:sz w:val="24"/>
          <w:szCs w:val="24"/>
        </w:rPr>
        <w:t>Saad-</w:t>
      </w:r>
      <w:proofErr w:type="spellStart"/>
      <w:r w:rsidRPr="00487C49">
        <w:rPr>
          <w:rFonts w:ascii="Times New Roman" w:hAnsi="Times New Roman" w:cs="Times New Roman"/>
          <w:sz w:val="24"/>
          <w:szCs w:val="24"/>
        </w:rPr>
        <w:t>Ghorayeb</w:t>
      </w:r>
      <w:proofErr w:type="spellEnd"/>
      <w:r w:rsidRPr="00487C49">
        <w:rPr>
          <w:rFonts w:ascii="Times New Roman" w:hAnsi="Times New Roman" w:cs="Times New Roman"/>
          <w:sz w:val="24"/>
          <w:szCs w:val="24"/>
        </w:rPr>
        <w:t>, Amal</w:t>
      </w:r>
      <w:r w:rsidRPr="00487C49">
        <w:rPr>
          <w:rFonts w:ascii="Times New Roman" w:hAnsi="Times New Roman" w:cs="Times New Roman"/>
          <w:i/>
          <w:iCs/>
          <w:sz w:val="24"/>
          <w:szCs w:val="24"/>
        </w:rPr>
        <w:t xml:space="preserve">, </w:t>
      </w:r>
      <w:proofErr w:type="spellStart"/>
      <w:r w:rsidRPr="00487C49">
        <w:rPr>
          <w:rFonts w:ascii="Times New Roman" w:hAnsi="Times New Roman" w:cs="Times New Roman"/>
          <w:i/>
          <w:iCs/>
          <w:sz w:val="24"/>
          <w:szCs w:val="24"/>
        </w:rPr>
        <w:t>Hizbu’llah</w:t>
      </w:r>
      <w:proofErr w:type="spellEnd"/>
      <w:r w:rsidRPr="00487C49">
        <w:rPr>
          <w:rFonts w:ascii="Times New Roman" w:hAnsi="Times New Roman" w:cs="Times New Roman"/>
          <w:i/>
          <w:iCs/>
          <w:sz w:val="24"/>
          <w:szCs w:val="24"/>
        </w:rPr>
        <w:t>: Politics and Religion</w:t>
      </w:r>
      <w:r w:rsidRPr="00487C49">
        <w:rPr>
          <w:rFonts w:ascii="Times New Roman" w:hAnsi="Times New Roman" w:cs="Times New Roman"/>
          <w:sz w:val="24"/>
          <w:szCs w:val="24"/>
        </w:rPr>
        <w:t xml:space="preserve"> (London, Pluto Press, 2001)</w:t>
      </w:r>
    </w:p>
    <w:p w14:paraId="5BE36090" w14:textId="77777777" w:rsidR="00487C49" w:rsidRDefault="001B0F40" w:rsidP="00487C49">
      <w:pPr>
        <w:spacing w:after="0" w:line="240" w:lineRule="auto"/>
        <w:rPr>
          <w:rFonts w:ascii="Times New Roman" w:hAnsi="Times New Roman" w:cs="Times New Roman"/>
          <w:sz w:val="24"/>
          <w:szCs w:val="24"/>
        </w:rPr>
      </w:pPr>
      <w:proofErr w:type="spellStart"/>
      <w:r w:rsidRPr="00487C49">
        <w:rPr>
          <w:rFonts w:ascii="Times New Roman" w:hAnsi="Times New Roman" w:cs="Times New Roman"/>
          <w:sz w:val="24"/>
          <w:szCs w:val="24"/>
        </w:rPr>
        <w:lastRenderedPageBreak/>
        <w:t>Salehyan</w:t>
      </w:r>
      <w:proofErr w:type="spellEnd"/>
      <w:r w:rsidRPr="00487C49">
        <w:rPr>
          <w:rFonts w:ascii="Times New Roman" w:hAnsi="Times New Roman" w:cs="Times New Roman"/>
          <w:sz w:val="24"/>
          <w:szCs w:val="24"/>
        </w:rPr>
        <w:t xml:space="preserve">, </w:t>
      </w:r>
      <w:proofErr w:type="spellStart"/>
      <w:r w:rsidRPr="00487C49">
        <w:rPr>
          <w:rFonts w:ascii="Times New Roman" w:hAnsi="Times New Roman" w:cs="Times New Roman"/>
          <w:sz w:val="24"/>
          <w:szCs w:val="24"/>
        </w:rPr>
        <w:t>Idean</w:t>
      </w:r>
      <w:proofErr w:type="spellEnd"/>
      <w:r w:rsidRPr="00487C49">
        <w:rPr>
          <w:rFonts w:ascii="Times New Roman" w:hAnsi="Times New Roman" w:cs="Times New Roman"/>
          <w:sz w:val="24"/>
          <w:szCs w:val="24"/>
        </w:rPr>
        <w:t xml:space="preserve">, Kristian </w:t>
      </w:r>
      <w:proofErr w:type="spellStart"/>
      <w:r w:rsidRPr="00487C49">
        <w:rPr>
          <w:rFonts w:ascii="Times New Roman" w:hAnsi="Times New Roman" w:cs="Times New Roman"/>
          <w:sz w:val="24"/>
          <w:szCs w:val="24"/>
        </w:rPr>
        <w:t>Skrede</w:t>
      </w:r>
      <w:proofErr w:type="spellEnd"/>
      <w:r w:rsidRPr="00487C49">
        <w:rPr>
          <w:rFonts w:ascii="Times New Roman" w:hAnsi="Times New Roman" w:cs="Times New Roman"/>
          <w:sz w:val="24"/>
          <w:szCs w:val="24"/>
        </w:rPr>
        <w:t xml:space="preserve"> </w:t>
      </w:r>
      <w:proofErr w:type="spellStart"/>
      <w:r w:rsidRPr="00487C49">
        <w:rPr>
          <w:rFonts w:ascii="Times New Roman" w:hAnsi="Times New Roman" w:cs="Times New Roman"/>
          <w:sz w:val="24"/>
          <w:szCs w:val="24"/>
        </w:rPr>
        <w:t>Gleditsch</w:t>
      </w:r>
      <w:proofErr w:type="spellEnd"/>
      <w:r w:rsidRPr="00487C49">
        <w:rPr>
          <w:rFonts w:ascii="Times New Roman" w:hAnsi="Times New Roman" w:cs="Times New Roman"/>
          <w:sz w:val="24"/>
          <w:szCs w:val="24"/>
        </w:rPr>
        <w:t xml:space="preserve">, and David E. Cunningham, “Explaining External </w:t>
      </w:r>
    </w:p>
    <w:p w14:paraId="3CFC57F8" w14:textId="77777777" w:rsidR="001B0F40" w:rsidRPr="00487C49" w:rsidRDefault="00487C49" w:rsidP="00487C4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1B0F40" w:rsidRPr="00487C49">
        <w:rPr>
          <w:rFonts w:ascii="Times New Roman" w:hAnsi="Times New Roman" w:cs="Times New Roman"/>
          <w:sz w:val="24"/>
          <w:szCs w:val="24"/>
        </w:rPr>
        <w:t xml:space="preserve">Support for Insurgent Groups,” </w:t>
      </w:r>
      <w:r w:rsidR="001B0F40" w:rsidRPr="00487C49">
        <w:rPr>
          <w:rFonts w:ascii="Times New Roman" w:hAnsi="Times New Roman" w:cs="Times New Roman"/>
          <w:i/>
          <w:iCs/>
          <w:sz w:val="24"/>
          <w:szCs w:val="24"/>
        </w:rPr>
        <w:t>International Organization</w:t>
      </w:r>
      <w:r w:rsidR="001B0F40" w:rsidRPr="00487C49">
        <w:rPr>
          <w:rFonts w:ascii="Times New Roman" w:hAnsi="Times New Roman" w:cs="Times New Roman"/>
          <w:sz w:val="24"/>
          <w:szCs w:val="24"/>
        </w:rPr>
        <w:t>, Vol. 65, No. 4 (2011)</w:t>
      </w:r>
    </w:p>
    <w:p w14:paraId="37C78EE6" w14:textId="77777777" w:rsidR="00487C49" w:rsidRDefault="00487C49" w:rsidP="00487C49">
      <w:pPr>
        <w:spacing w:after="0" w:line="240" w:lineRule="auto"/>
        <w:rPr>
          <w:rFonts w:ascii="Times New Roman" w:hAnsi="Times New Roman" w:cs="Times New Roman"/>
          <w:sz w:val="24"/>
          <w:szCs w:val="24"/>
        </w:rPr>
      </w:pPr>
    </w:p>
    <w:p w14:paraId="7DC1E42B" w14:textId="77777777" w:rsidR="00487C49" w:rsidRDefault="001B0F40" w:rsidP="00487C49">
      <w:pPr>
        <w:spacing w:after="0" w:line="240" w:lineRule="auto"/>
        <w:rPr>
          <w:rFonts w:ascii="Times New Roman" w:hAnsi="Times New Roman" w:cs="Times New Roman"/>
          <w:sz w:val="24"/>
          <w:szCs w:val="24"/>
        </w:rPr>
      </w:pPr>
      <w:r w:rsidRPr="00487C49">
        <w:rPr>
          <w:rFonts w:ascii="Times New Roman" w:hAnsi="Times New Roman" w:cs="Times New Roman"/>
          <w:sz w:val="24"/>
          <w:szCs w:val="24"/>
        </w:rPr>
        <w:t>San-</w:t>
      </w:r>
      <w:proofErr w:type="spellStart"/>
      <w:r w:rsidRPr="00487C49">
        <w:rPr>
          <w:rFonts w:ascii="Times New Roman" w:hAnsi="Times New Roman" w:cs="Times New Roman"/>
          <w:sz w:val="24"/>
          <w:szCs w:val="24"/>
        </w:rPr>
        <w:t>Akca</w:t>
      </w:r>
      <w:proofErr w:type="spellEnd"/>
      <w:r w:rsidRPr="00487C49">
        <w:rPr>
          <w:rFonts w:ascii="Times New Roman" w:hAnsi="Times New Roman" w:cs="Times New Roman"/>
          <w:sz w:val="24"/>
          <w:szCs w:val="24"/>
        </w:rPr>
        <w:t xml:space="preserve">, </w:t>
      </w:r>
      <w:proofErr w:type="spellStart"/>
      <w:r w:rsidRPr="00487C49">
        <w:rPr>
          <w:rFonts w:ascii="Times New Roman" w:hAnsi="Times New Roman" w:cs="Times New Roman"/>
          <w:sz w:val="24"/>
          <w:szCs w:val="24"/>
        </w:rPr>
        <w:t>Belgin</w:t>
      </w:r>
      <w:proofErr w:type="spellEnd"/>
      <w:r w:rsidRPr="00487C49">
        <w:rPr>
          <w:rFonts w:ascii="Times New Roman" w:hAnsi="Times New Roman" w:cs="Times New Roman"/>
          <w:sz w:val="24"/>
          <w:szCs w:val="24"/>
        </w:rPr>
        <w:t xml:space="preserve">, </w:t>
      </w:r>
      <w:r w:rsidRPr="00487C49">
        <w:rPr>
          <w:rFonts w:ascii="Times New Roman" w:hAnsi="Times New Roman" w:cs="Times New Roman"/>
          <w:i/>
          <w:iCs/>
          <w:sz w:val="24"/>
          <w:szCs w:val="24"/>
        </w:rPr>
        <w:t>States in Disguise: Causes of State Support for Rebel Groups</w:t>
      </w:r>
      <w:r w:rsidRPr="00487C49">
        <w:rPr>
          <w:rFonts w:ascii="Times New Roman" w:hAnsi="Times New Roman" w:cs="Times New Roman"/>
          <w:sz w:val="24"/>
          <w:szCs w:val="24"/>
        </w:rPr>
        <w:t xml:space="preserve"> (New York, </w:t>
      </w:r>
    </w:p>
    <w:p w14:paraId="125B44ED" w14:textId="77777777" w:rsidR="00487C49" w:rsidRDefault="00487C49" w:rsidP="00487C4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1B0F40" w:rsidRPr="00487C49">
        <w:rPr>
          <w:rFonts w:ascii="Times New Roman" w:hAnsi="Times New Roman" w:cs="Times New Roman"/>
          <w:sz w:val="24"/>
          <w:szCs w:val="24"/>
        </w:rPr>
        <w:t>Oxford University Press, 2016)</w:t>
      </w:r>
    </w:p>
    <w:p w14:paraId="527002F3" w14:textId="77777777" w:rsidR="00487C49" w:rsidRDefault="00487C49" w:rsidP="00487C49">
      <w:pPr>
        <w:spacing w:after="0" w:line="240" w:lineRule="auto"/>
        <w:rPr>
          <w:rFonts w:ascii="Times New Roman" w:hAnsi="Times New Roman" w:cs="Times New Roman"/>
          <w:sz w:val="24"/>
          <w:szCs w:val="24"/>
        </w:rPr>
      </w:pPr>
    </w:p>
    <w:p w14:paraId="2E2E0FBA" w14:textId="77777777" w:rsidR="00487C49" w:rsidRDefault="00487C49" w:rsidP="00487C49">
      <w:pPr>
        <w:spacing w:after="0" w:line="240" w:lineRule="auto"/>
        <w:rPr>
          <w:rFonts w:ascii="Times New Roman" w:hAnsi="Times New Roman" w:cs="Times New Roman"/>
          <w:sz w:val="24"/>
          <w:szCs w:val="24"/>
        </w:rPr>
      </w:pPr>
      <w:proofErr w:type="spellStart"/>
      <w:r w:rsidRPr="00487C49">
        <w:rPr>
          <w:rFonts w:ascii="Times New Roman" w:hAnsi="Times New Roman" w:cs="Times New Roman"/>
          <w:sz w:val="24"/>
          <w:szCs w:val="24"/>
        </w:rPr>
        <w:t>Saouli</w:t>
      </w:r>
      <w:proofErr w:type="spellEnd"/>
      <w:r w:rsidRPr="00487C49">
        <w:rPr>
          <w:rFonts w:ascii="Times New Roman" w:hAnsi="Times New Roman" w:cs="Times New Roman"/>
          <w:sz w:val="24"/>
          <w:szCs w:val="24"/>
        </w:rPr>
        <w:t xml:space="preserve">, </w:t>
      </w:r>
      <w:proofErr w:type="spellStart"/>
      <w:r w:rsidRPr="00487C49">
        <w:rPr>
          <w:rFonts w:ascii="Times New Roman" w:hAnsi="Times New Roman" w:cs="Times New Roman"/>
          <w:sz w:val="24"/>
          <w:szCs w:val="24"/>
        </w:rPr>
        <w:t>Adham</w:t>
      </w:r>
      <w:proofErr w:type="spellEnd"/>
      <w:r w:rsidRPr="00487C49">
        <w:rPr>
          <w:rFonts w:ascii="Times New Roman" w:hAnsi="Times New Roman" w:cs="Times New Roman"/>
          <w:sz w:val="24"/>
          <w:szCs w:val="24"/>
        </w:rPr>
        <w:t>,</w:t>
      </w:r>
      <w:r w:rsidRPr="00487C49">
        <w:rPr>
          <w:rFonts w:ascii="Times New Roman" w:hAnsi="Times New Roman" w:cs="Times New Roman"/>
          <w:i/>
          <w:iCs/>
          <w:sz w:val="24"/>
          <w:szCs w:val="24"/>
        </w:rPr>
        <w:t xml:space="preserve"> Hezbollah: </w:t>
      </w:r>
      <w:proofErr w:type="spellStart"/>
      <w:r w:rsidRPr="00487C49">
        <w:rPr>
          <w:rFonts w:ascii="Times New Roman" w:hAnsi="Times New Roman" w:cs="Times New Roman"/>
          <w:i/>
          <w:iCs/>
          <w:sz w:val="24"/>
          <w:szCs w:val="24"/>
        </w:rPr>
        <w:t>Socialisation</w:t>
      </w:r>
      <w:proofErr w:type="spellEnd"/>
      <w:r w:rsidRPr="00487C49">
        <w:rPr>
          <w:rFonts w:ascii="Times New Roman" w:hAnsi="Times New Roman" w:cs="Times New Roman"/>
          <w:i/>
          <w:iCs/>
          <w:sz w:val="24"/>
          <w:szCs w:val="24"/>
        </w:rPr>
        <w:t xml:space="preserve"> and Its Tragic Ironies</w:t>
      </w:r>
      <w:r w:rsidRPr="00487C49">
        <w:rPr>
          <w:rFonts w:ascii="Times New Roman" w:hAnsi="Times New Roman" w:cs="Times New Roman"/>
          <w:sz w:val="24"/>
          <w:szCs w:val="24"/>
        </w:rPr>
        <w:t xml:space="preserve"> (Edinburgh, Edinburgh </w:t>
      </w:r>
    </w:p>
    <w:p w14:paraId="381E182E" w14:textId="77777777" w:rsidR="00487C49" w:rsidRDefault="00487C49" w:rsidP="00487C4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487C49">
        <w:rPr>
          <w:rFonts w:ascii="Times New Roman" w:hAnsi="Times New Roman" w:cs="Times New Roman"/>
          <w:sz w:val="24"/>
          <w:szCs w:val="24"/>
        </w:rPr>
        <w:t>University Press, 2019)</w:t>
      </w:r>
    </w:p>
    <w:p w14:paraId="75926CBB" w14:textId="77777777" w:rsidR="00487C49" w:rsidRDefault="00487C49" w:rsidP="00487C49">
      <w:pPr>
        <w:spacing w:after="0" w:line="240" w:lineRule="auto"/>
        <w:rPr>
          <w:rFonts w:ascii="Times New Roman" w:hAnsi="Times New Roman" w:cs="Times New Roman"/>
          <w:sz w:val="24"/>
          <w:szCs w:val="24"/>
        </w:rPr>
      </w:pPr>
    </w:p>
    <w:p w14:paraId="0D6241D7" w14:textId="77777777" w:rsidR="001B0F40" w:rsidRPr="00487C49" w:rsidRDefault="001B0F40" w:rsidP="001B0F40">
      <w:pPr>
        <w:spacing w:after="0" w:line="480" w:lineRule="auto"/>
        <w:rPr>
          <w:rFonts w:ascii="Times New Roman" w:hAnsi="Times New Roman" w:cs="Times New Roman"/>
          <w:sz w:val="24"/>
          <w:szCs w:val="24"/>
        </w:rPr>
      </w:pPr>
      <w:r w:rsidRPr="00487C49">
        <w:rPr>
          <w:rFonts w:ascii="Times New Roman" w:hAnsi="Times New Roman" w:cs="Times New Roman"/>
          <w:sz w:val="24"/>
          <w:szCs w:val="24"/>
        </w:rPr>
        <w:t xml:space="preserve">Snyder, Glenn H., </w:t>
      </w:r>
      <w:r w:rsidRPr="00487C49">
        <w:rPr>
          <w:rFonts w:ascii="Times New Roman" w:hAnsi="Times New Roman" w:cs="Times New Roman"/>
          <w:i/>
          <w:iCs/>
          <w:sz w:val="24"/>
          <w:szCs w:val="24"/>
        </w:rPr>
        <w:t>Alliance Politics</w:t>
      </w:r>
      <w:r w:rsidRPr="00487C49">
        <w:rPr>
          <w:rFonts w:ascii="Times New Roman" w:hAnsi="Times New Roman" w:cs="Times New Roman"/>
          <w:sz w:val="24"/>
          <w:szCs w:val="24"/>
        </w:rPr>
        <w:t xml:space="preserve"> (Ithaca: Cornell University Press, 1997)</w:t>
      </w:r>
    </w:p>
    <w:p w14:paraId="0D848AFB" w14:textId="77777777" w:rsidR="00487C49" w:rsidRDefault="001B0F40" w:rsidP="00487C49">
      <w:pPr>
        <w:spacing w:after="0" w:line="240" w:lineRule="auto"/>
        <w:rPr>
          <w:rFonts w:ascii="Times New Roman" w:hAnsi="Times New Roman" w:cs="Times New Roman"/>
          <w:sz w:val="24"/>
          <w:szCs w:val="24"/>
        </w:rPr>
      </w:pPr>
      <w:proofErr w:type="spellStart"/>
      <w:r w:rsidRPr="00487C49">
        <w:rPr>
          <w:rFonts w:ascii="Times New Roman" w:hAnsi="Times New Roman" w:cs="Times New Roman"/>
          <w:sz w:val="24"/>
          <w:szCs w:val="24"/>
        </w:rPr>
        <w:t>Staniland</w:t>
      </w:r>
      <w:proofErr w:type="spellEnd"/>
      <w:r w:rsidRPr="00487C49">
        <w:rPr>
          <w:rFonts w:ascii="Times New Roman" w:hAnsi="Times New Roman" w:cs="Times New Roman"/>
          <w:sz w:val="24"/>
          <w:szCs w:val="24"/>
        </w:rPr>
        <w:t xml:space="preserve">, Paul, “Militias, Ideology, and the State,” </w:t>
      </w:r>
      <w:r w:rsidRPr="00487C49">
        <w:rPr>
          <w:rFonts w:ascii="Times New Roman" w:hAnsi="Times New Roman" w:cs="Times New Roman"/>
          <w:i/>
          <w:sz w:val="24"/>
          <w:szCs w:val="24"/>
        </w:rPr>
        <w:t>Journal of Conflict Resolution</w:t>
      </w:r>
      <w:r w:rsidR="00487C49">
        <w:rPr>
          <w:rFonts w:ascii="Times New Roman" w:hAnsi="Times New Roman" w:cs="Times New Roman"/>
          <w:sz w:val="24"/>
          <w:szCs w:val="24"/>
        </w:rPr>
        <w:t>, Vol. 59, No.</w:t>
      </w:r>
      <w:r w:rsidRPr="00487C49">
        <w:rPr>
          <w:rFonts w:ascii="Times New Roman" w:hAnsi="Times New Roman" w:cs="Times New Roman"/>
          <w:sz w:val="24"/>
          <w:szCs w:val="24"/>
        </w:rPr>
        <w:t xml:space="preserve">5 </w:t>
      </w:r>
    </w:p>
    <w:p w14:paraId="30D489AA" w14:textId="77777777" w:rsidR="00487C49" w:rsidRDefault="00487C49" w:rsidP="00487C4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1B0F40" w:rsidRPr="00487C49">
        <w:rPr>
          <w:rFonts w:ascii="Times New Roman" w:hAnsi="Times New Roman" w:cs="Times New Roman"/>
          <w:sz w:val="24"/>
          <w:szCs w:val="24"/>
        </w:rPr>
        <w:t>(2015)</w:t>
      </w:r>
    </w:p>
    <w:p w14:paraId="64B2075D" w14:textId="77777777" w:rsidR="00487C49" w:rsidRPr="00487C49" w:rsidRDefault="00487C49" w:rsidP="00487C49">
      <w:pPr>
        <w:spacing w:after="0" w:line="240" w:lineRule="auto"/>
        <w:rPr>
          <w:rFonts w:ascii="Times New Roman" w:hAnsi="Times New Roman" w:cs="Times New Roman"/>
          <w:sz w:val="24"/>
          <w:szCs w:val="24"/>
        </w:rPr>
      </w:pPr>
    </w:p>
    <w:p w14:paraId="1CD15500" w14:textId="77777777" w:rsidR="00487C49" w:rsidRDefault="001B0F40" w:rsidP="00487C49">
      <w:pPr>
        <w:spacing w:after="0" w:line="240" w:lineRule="auto"/>
        <w:rPr>
          <w:rFonts w:ascii="Times New Roman" w:hAnsi="Times New Roman" w:cs="Times New Roman"/>
          <w:sz w:val="24"/>
          <w:szCs w:val="24"/>
        </w:rPr>
      </w:pPr>
      <w:r w:rsidRPr="00487C49">
        <w:rPr>
          <w:rFonts w:ascii="Times New Roman" w:hAnsi="Times New Roman" w:cs="Times New Roman"/>
          <w:sz w:val="24"/>
          <w:szCs w:val="24"/>
        </w:rPr>
        <w:t xml:space="preserve">Stanton, Jessica A., “Regulating Militias: Governments, Militias, and Civilian Targeting in Civil </w:t>
      </w:r>
    </w:p>
    <w:p w14:paraId="25B6AF27" w14:textId="77777777" w:rsidR="001B0F40" w:rsidRDefault="00487C49" w:rsidP="00487C4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1B0F40" w:rsidRPr="00487C49">
        <w:rPr>
          <w:rFonts w:ascii="Times New Roman" w:hAnsi="Times New Roman" w:cs="Times New Roman"/>
          <w:sz w:val="24"/>
          <w:szCs w:val="24"/>
        </w:rPr>
        <w:t xml:space="preserve">War,” </w:t>
      </w:r>
      <w:r w:rsidR="001B0F40" w:rsidRPr="00487C49">
        <w:rPr>
          <w:rFonts w:ascii="Times New Roman" w:hAnsi="Times New Roman" w:cs="Times New Roman"/>
          <w:i/>
          <w:sz w:val="24"/>
          <w:szCs w:val="24"/>
        </w:rPr>
        <w:t>Journal of Conflict Resolution</w:t>
      </w:r>
      <w:r w:rsidR="001B0F40" w:rsidRPr="00487C49">
        <w:rPr>
          <w:rFonts w:ascii="Times New Roman" w:hAnsi="Times New Roman" w:cs="Times New Roman"/>
          <w:sz w:val="24"/>
          <w:szCs w:val="24"/>
        </w:rPr>
        <w:t>, Vol. 59, No. 5 (2015)</w:t>
      </w:r>
    </w:p>
    <w:p w14:paraId="6C6A2FF3" w14:textId="77777777" w:rsidR="00487C49" w:rsidRPr="00487C49" w:rsidRDefault="00487C49" w:rsidP="00487C49">
      <w:pPr>
        <w:spacing w:after="0" w:line="240" w:lineRule="auto"/>
        <w:rPr>
          <w:rFonts w:ascii="Times New Roman" w:hAnsi="Times New Roman" w:cs="Times New Roman"/>
          <w:sz w:val="24"/>
          <w:szCs w:val="24"/>
        </w:rPr>
      </w:pPr>
    </w:p>
    <w:p w14:paraId="40BE73BD" w14:textId="77777777" w:rsidR="00487C49" w:rsidRPr="00487C49" w:rsidRDefault="00487C49" w:rsidP="001B0F40">
      <w:pPr>
        <w:spacing w:after="0" w:line="480" w:lineRule="auto"/>
        <w:rPr>
          <w:rFonts w:ascii="Times New Roman" w:hAnsi="Times New Roman" w:cs="Times New Roman"/>
          <w:sz w:val="24"/>
          <w:szCs w:val="24"/>
        </w:rPr>
      </w:pPr>
      <w:proofErr w:type="spellStart"/>
      <w:r w:rsidRPr="00487C49">
        <w:rPr>
          <w:rFonts w:ascii="Times New Roman" w:hAnsi="Times New Roman" w:cs="Times New Roman"/>
          <w:sz w:val="24"/>
          <w:szCs w:val="24"/>
        </w:rPr>
        <w:t>Qassem</w:t>
      </w:r>
      <w:proofErr w:type="spellEnd"/>
      <w:r w:rsidRPr="00487C49">
        <w:rPr>
          <w:rFonts w:ascii="Times New Roman" w:hAnsi="Times New Roman" w:cs="Times New Roman"/>
          <w:sz w:val="24"/>
          <w:szCs w:val="24"/>
        </w:rPr>
        <w:t>, Naim,</w:t>
      </w:r>
      <w:r w:rsidRPr="00487C49">
        <w:rPr>
          <w:rFonts w:ascii="Times New Roman" w:hAnsi="Times New Roman" w:cs="Times New Roman"/>
          <w:i/>
          <w:iCs/>
          <w:sz w:val="24"/>
          <w:szCs w:val="24"/>
        </w:rPr>
        <w:t xml:space="preserve"> </w:t>
      </w:r>
      <w:proofErr w:type="spellStart"/>
      <w:r w:rsidRPr="00487C49">
        <w:rPr>
          <w:rFonts w:ascii="Times New Roman" w:hAnsi="Times New Roman" w:cs="Times New Roman"/>
          <w:i/>
          <w:iCs/>
          <w:sz w:val="24"/>
          <w:szCs w:val="24"/>
        </w:rPr>
        <w:t>Hizbullah</w:t>
      </w:r>
      <w:proofErr w:type="spellEnd"/>
      <w:r w:rsidRPr="00487C49">
        <w:rPr>
          <w:rFonts w:ascii="Times New Roman" w:hAnsi="Times New Roman" w:cs="Times New Roman"/>
          <w:i/>
          <w:iCs/>
          <w:sz w:val="24"/>
          <w:szCs w:val="24"/>
        </w:rPr>
        <w:t>: The Story from Within</w:t>
      </w:r>
      <w:r w:rsidRPr="00487C49">
        <w:rPr>
          <w:rFonts w:ascii="Times New Roman" w:hAnsi="Times New Roman" w:cs="Times New Roman"/>
          <w:sz w:val="24"/>
          <w:szCs w:val="24"/>
        </w:rPr>
        <w:t xml:space="preserve"> (London: SAQI Books, 2005)</w:t>
      </w:r>
    </w:p>
    <w:p w14:paraId="656AFA3E" w14:textId="77777777" w:rsidR="00487C49" w:rsidRDefault="001B0F40" w:rsidP="00487C49">
      <w:pPr>
        <w:spacing w:after="0" w:line="240" w:lineRule="auto"/>
        <w:rPr>
          <w:rFonts w:ascii="Times New Roman" w:hAnsi="Times New Roman" w:cs="Times New Roman"/>
          <w:sz w:val="24"/>
          <w:szCs w:val="24"/>
        </w:rPr>
      </w:pPr>
      <w:proofErr w:type="spellStart"/>
      <w:r w:rsidRPr="00487C49">
        <w:rPr>
          <w:rFonts w:ascii="Times New Roman" w:hAnsi="Times New Roman" w:cs="Times New Roman"/>
          <w:sz w:val="24"/>
          <w:szCs w:val="24"/>
        </w:rPr>
        <w:t>Zelin</w:t>
      </w:r>
      <w:proofErr w:type="spellEnd"/>
      <w:r w:rsidRPr="00487C49">
        <w:rPr>
          <w:rFonts w:ascii="Times New Roman" w:hAnsi="Times New Roman" w:cs="Times New Roman"/>
          <w:sz w:val="24"/>
          <w:szCs w:val="24"/>
        </w:rPr>
        <w:t xml:space="preserve">, Aaron, </w:t>
      </w:r>
      <w:r w:rsidRPr="00487C49">
        <w:rPr>
          <w:rFonts w:ascii="Times New Roman" w:hAnsi="Times New Roman" w:cs="Times New Roman"/>
          <w:i/>
          <w:iCs/>
          <w:sz w:val="24"/>
          <w:szCs w:val="24"/>
        </w:rPr>
        <w:t>Your Sons Are at Your Service: Tunisia’s Missionaries of Jihad</w:t>
      </w:r>
      <w:r w:rsidRPr="00487C49">
        <w:rPr>
          <w:rFonts w:ascii="Times New Roman" w:hAnsi="Times New Roman" w:cs="Times New Roman"/>
          <w:sz w:val="24"/>
          <w:szCs w:val="24"/>
        </w:rPr>
        <w:t xml:space="preserve"> (New York: </w:t>
      </w:r>
    </w:p>
    <w:p w14:paraId="540EFB88" w14:textId="77777777" w:rsidR="001B0F40" w:rsidRPr="00487C49" w:rsidRDefault="00487C49" w:rsidP="00487C4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1B0F40" w:rsidRPr="00487C49">
        <w:rPr>
          <w:rFonts w:ascii="Times New Roman" w:hAnsi="Times New Roman" w:cs="Times New Roman"/>
          <w:sz w:val="24"/>
          <w:szCs w:val="24"/>
        </w:rPr>
        <w:t>Columbia University Press, 2020)</w:t>
      </w:r>
    </w:p>
    <w:p w14:paraId="5DD47688" w14:textId="77777777" w:rsidR="001B0F40" w:rsidRPr="001B0F40" w:rsidRDefault="001B0F40" w:rsidP="001B0F40">
      <w:pPr>
        <w:spacing w:after="0" w:line="480" w:lineRule="auto"/>
        <w:jc w:val="center"/>
        <w:rPr>
          <w:rFonts w:ascii="Times New Roman" w:hAnsi="Times New Roman" w:cs="Times New Roman"/>
          <w:b/>
          <w:bCs/>
          <w:sz w:val="24"/>
          <w:szCs w:val="24"/>
        </w:rPr>
      </w:pPr>
    </w:p>
    <w:p w14:paraId="3AD42F5A" w14:textId="77777777" w:rsidR="002A01B8" w:rsidRDefault="002A01B8" w:rsidP="00AE61CA">
      <w:pPr>
        <w:rPr>
          <w:rFonts w:asciiTheme="majorBidi" w:hAnsiTheme="majorBidi" w:cstheme="majorBidi"/>
          <w:b/>
          <w:bCs/>
          <w:sz w:val="24"/>
          <w:szCs w:val="24"/>
        </w:rPr>
      </w:pPr>
    </w:p>
    <w:p w14:paraId="79295167" w14:textId="77777777" w:rsidR="00534B5F" w:rsidRPr="00534B5F" w:rsidRDefault="00534B5F" w:rsidP="00AE61CA">
      <w:pPr>
        <w:rPr>
          <w:rFonts w:asciiTheme="majorBidi" w:hAnsiTheme="majorBidi" w:cstheme="majorBidi"/>
          <w:b/>
          <w:bCs/>
          <w:i/>
          <w:iCs/>
          <w:sz w:val="24"/>
          <w:szCs w:val="24"/>
        </w:rPr>
      </w:pPr>
    </w:p>
    <w:sectPr w:rsidR="00534B5F" w:rsidRPr="00534B5F">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E1EB1" w14:textId="77777777" w:rsidR="000F3622" w:rsidRDefault="000F3622" w:rsidP="00C81DCD">
      <w:pPr>
        <w:spacing w:after="0" w:line="240" w:lineRule="auto"/>
      </w:pPr>
      <w:r>
        <w:separator/>
      </w:r>
    </w:p>
  </w:endnote>
  <w:endnote w:type="continuationSeparator" w:id="0">
    <w:p w14:paraId="7271734B" w14:textId="77777777" w:rsidR="000F3622" w:rsidRDefault="000F3622" w:rsidP="00C81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4"/>
        <w:szCs w:val="24"/>
      </w:rPr>
      <w:id w:val="1891385454"/>
      <w:docPartObj>
        <w:docPartGallery w:val="Page Numbers (Bottom of Page)"/>
        <w:docPartUnique/>
      </w:docPartObj>
    </w:sdtPr>
    <w:sdtEndPr>
      <w:rPr>
        <w:noProof/>
      </w:rPr>
    </w:sdtEndPr>
    <w:sdtContent>
      <w:p w14:paraId="5683959B" w14:textId="77777777" w:rsidR="00080908" w:rsidRPr="00926677" w:rsidRDefault="00080908">
        <w:pPr>
          <w:pStyle w:val="Footer"/>
          <w:jc w:val="center"/>
          <w:rPr>
            <w:rFonts w:asciiTheme="majorBidi" w:hAnsiTheme="majorBidi" w:cstheme="majorBidi"/>
            <w:sz w:val="24"/>
            <w:szCs w:val="24"/>
          </w:rPr>
        </w:pPr>
        <w:r w:rsidRPr="00926677">
          <w:rPr>
            <w:rFonts w:asciiTheme="majorBidi" w:hAnsiTheme="majorBidi" w:cstheme="majorBidi"/>
            <w:sz w:val="24"/>
            <w:szCs w:val="24"/>
          </w:rPr>
          <w:fldChar w:fldCharType="begin"/>
        </w:r>
        <w:r w:rsidRPr="00926677">
          <w:rPr>
            <w:rFonts w:asciiTheme="majorBidi" w:hAnsiTheme="majorBidi" w:cstheme="majorBidi"/>
            <w:sz w:val="24"/>
            <w:szCs w:val="24"/>
          </w:rPr>
          <w:instrText xml:space="preserve"> PAGE   \* MERGEFORMAT </w:instrText>
        </w:r>
        <w:r w:rsidRPr="00926677">
          <w:rPr>
            <w:rFonts w:asciiTheme="majorBidi" w:hAnsiTheme="majorBidi" w:cstheme="majorBidi"/>
            <w:sz w:val="24"/>
            <w:szCs w:val="24"/>
          </w:rPr>
          <w:fldChar w:fldCharType="separate"/>
        </w:r>
        <w:r w:rsidR="00487C49">
          <w:rPr>
            <w:rFonts w:asciiTheme="majorBidi" w:hAnsiTheme="majorBidi" w:cstheme="majorBidi"/>
            <w:noProof/>
            <w:sz w:val="24"/>
            <w:szCs w:val="24"/>
          </w:rPr>
          <w:t>12</w:t>
        </w:r>
        <w:r w:rsidRPr="00926677">
          <w:rPr>
            <w:rFonts w:asciiTheme="majorBidi" w:hAnsiTheme="majorBidi" w:cstheme="majorBidi"/>
            <w:noProof/>
            <w:sz w:val="24"/>
            <w:szCs w:val="24"/>
          </w:rPr>
          <w:fldChar w:fldCharType="end"/>
        </w:r>
      </w:p>
    </w:sdtContent>
  </w:sdt>
  <w:p w14:paraId="110F390C" w14:textId="77777777" w:rsidR="00080908" w:rsidRDefault="00080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77703" w14:textId="77777777" w:rsidR="000F3622" w:rsidRDefault="000F3622" w:rsidP="00C81DCD">
      <w:pPr>
        <w:spacing w:after="0" w:line="240" w:lineRule="auto"/>
      </w:pPr>
      <w:r>
        <w:separator/>
      </w:r>
    </w:p>
  </w:footnote>
  <w:footnote w:type="continuationSeparator" w:id="0">
    <w:p w14:paraId="3904ECCF" w14:textId="77777777" w:rsidR="000F3622" w:rsidRDefault="000F3622" w:rsidP="00C81DCD">
      <w:pPr>
        <w:spacing w:after="0" w:line="240" w:lineRule="auto"/>
      </w:pPr>
      <w:r>
        <w:continuationSeparator/>
      </w:r>
    </w:p>
  </w:footnote>
  <w:footnote w:id="1">
    <w:p w14:paraId="4ED13FE3" w14:textId="77777777" w:rsidR="00080908" w:rsidRPr="00A803E1" w:rsidRDefault="00080908">
      <w:pPr>
        <w:pStyle w:val="FootnoteText"/>
        <w:rPr>
          <w:rFonts w:ascii="Times New Roman" w:hAnsi="Times New Roman" w:cs="Times New Roman"/>
          <w:sz w:val="18"/>
          <w:szCs w:val="18"/>
        </w:rPr>
      </w:pPr>
      <w:r w:rsidRPr="00A803E1">
        <w:rPr>
          <w:rStyle w:val="FootnoteReference"/>
          <w:rFonts w:ascii="Times New Roman" w:hAnsi="Times New Roman" w:cs="Times New Roman"/>
          <w:sz w:val="18"/>
          <w:szCs w:val="18"/>
        </w:rPr>
        <w:footnoteRef/>
      </w:r>
      <w:r w:rsidRPr="00A803E1">
        <w:rPr>
          <w:rFonts w:ascii="Times New Roman" w:hAnsi="Times New Roman" w:cs="Times New Roman"/>
          <w:sz w:val="18"/>
          <w:szCs w:val="18"/>
        </w:rPr>
        <w:t xml:space="preserve">This definition is broader than the definition outlined by Corinna </w:t>
      </w:r>
      <w:proofErr w:type="spellStart"/>
      <w:r w:rsidRPr="00A803E1">
        <w:rPr>
          <w:rFonts w:ascii="Times New Roman" w:hAnsi="Times New Roman" w:cs="Times New Roman"/>
          <w:sz w:val="18"/>
          <w:szCs w:val="18"/>
        </w:rPr>
        <w:t>Jentzsch</w:t>
      </w:r>
      <w:proofErr w:type="spellEnd"/>
      <w:r w:rsidRPr="00A803E1">
        <w:rPr>
          <w:rFonts w:ascii="Times New Roman" w:hAnsi="Times New Roman" w:cs="Times New Roman"/>
          <w:sz w:val="18"/>
          <w:szCs w:val="18"/>
        </w:rPr>
        <w:t xml:space="preserve">, </w:t>
      </w:r>
      <w:proofErr w:type="spellStart"/>
      <w:r w:rsidRPr="00A803E1">
        <w:rPr>
          <w:rFonts w:ascii="Times New Roman" w:hAnsi="Times New Roman" w:cs="Times New Roman"/>
          <w:sz w:val="18"/>
          <w:szCs w:val="18"/>
        </w:rPr>
        <w:t>Stathis</w:t>
      </w:r>
      <w:proofErr w:type="spellEnd"/>
      <w:r w:rsidRPr="00A803E1">
        <w:rPr>
          <w:rFonts w:ascii="Times New Roman" w:hAnsi="Times New Roman" w:cs="Times New Roman"/>
          <w:sz w:val="18"/>
          <w:szCs w:val="18"/>
        </w:rPr>
        <w:t xml:space="preserve"> N. </w:t>
      </w:r>
      <w:proofErr w:type="spellStart"/>
      <w:r w:rsidRPr="00A803E1">
        <w:rPr>
          <w:rFonts w:ascii="Times New Roman" w:hAnsi="Times New Roman" w:cs="Times New Roman"/>
          <w:sz w:val="18"/>
          <w:szCs w:val="18"/>
        </w:rPr>
        <w:t>Kalyvas</w:t>
      </w:r>
      <w:proofErr w:type="spellEnd"/>
      <w:r w:rsidRPr="00A803E1">
        <w:rPr>
          <w:rFonts w:ascii="Times New Roman" w:hAnsi="Times New Roman" w:cs="Times New Roman"/>
          <w:sz w:val="18"/>
          <w:szCs w:val="18"/>
        </w:rPr>
        <w:t xml:space="preserve">, and Livia Isabella </w:t>
      </w:r>
      <w:proofErr w:type="spellStart"/>
      <w:r w:rsidRPr="00A803E1">
        <w:rPr>
          <w:rFonts w:ascii="Times New Roman" w:hAnsi="Times New Roman" w:cs="Times New Roman"/>
          <w:sz w:val="18"/>
          <w:szCs w:val="18"/>
        </w:rPr>
        <w:t>Schubiger</w:t>
      </w:r>
      <w:proofErr w:type="spellEnd"/>
      <w:r>
        <w:rPr>
          <w:rFonts w:ascii="Times New Roman" w:hAnsi="Times New Roman" w:cs="Times New Roman"/>
          <w:sz w:val="18"/>
          <w:szCs w:val="18"/>
        </w:rPr>
        <w:t xml:space="preserve"> in</w:t>
      </w:r>
      <w:r w:rsidRPr="00A803E1">
        <w:rPr>
          <w:rFonts w:ascii="Times New Roman" w:hAnsi="Times New Roman" w:cs="Times New Roman"/>
          <w:sz w:val="18"/>
          <w:szCs w:val="18"/>
        </w:rPr>
        <w:t xml:space="preserve"> “Militias in Civil Wars,” </w:t>
      </w:r>
      <w:r w:rsidRPr="00A803E1">
        <w:rPr>
          <w:rFonts w:ascii="Times New Roman" w:hAnsi="Times New Roman" w:cs="Times New Roman"/>
          <w:i/>
          <w:iCs/>
          <w:sz w:val="18"/>
          <w:szCs w:val="18"/>
        </w:rPr>
        <w:t>Journal of Conflict Resolution</w:t>
      </w:r>
      <w:r w:rsidRPr="00A803E1">
        <w:rPr>
          <w:rFonts w:ascii="Times New Roman" w:hAnsi="Times New Roman" w:cs="Times New Roman"/>
          <w:sz w:val="18"/>
          <w:szCs w:val="18"/>
        </w:rPr>
        <w:t xml:space="preserve">, Vol. 59, No. 5 (2015), </w:t>
      </w:r>
      <w:r>
        <w:rPr>
          <w:rFonts w:ascii="Times New Roman" w:hAnsi="Times New Roman" w:cs="Times New Roman"/>
          <w:sz w:val="18"/>
          <w:szCs w:val="18"/>
        </w:rPr>
        <w:t>p</w:t>
      </w:r>
      <w:r w:rsidRPr="00A803E1">
        <w:rPr>
          <w:rFonts w:ascii="Times New Roman" w:hAnsi="Times New Roman" w:cs="Times New Roman"/>
          <w:sz w:val="18"/>
          <w:szCs w:val="18"/>
        </w:rPr>
        <w:t xml:space="preserve">p. 755-769. </w:t>
      </w:r>
      <w:r>
        <w:rPr>
          <w:rFonts w:ascii="Times New Roman" w:hAnsi="Times New Roman" w:cs="Times New Roman"/>
          <w:sz w:val="18"/>
          <w:szCs w:val="18"/>
        </w:rPr>
        <w:t xml:space="preserve">This is because their definition focuses specifically on militias in civil wars, while mine allows for militias outside of civil war contexts. For the purposes of this paper, militias can be fighting against rebels on behalf of the state or against another state. </w:t>
      </w:r>
    </w:p>
  </w:footnote>
  <w:footnote w:id="2">
    <w:p w14:paraId="4C8CBBE9" w14:textId="77777777" w:rsidR="00080908" w:rsidRPr="00556F61" w:rsidRDefault="00080908" w:rsidP="00682EA6">
      <w:pPr>
        <w:pStyle w:val="FootnoteText"/>
        <w:rPr>
          <w:rFonts w:ascii="Times New Roman" w:hAnsi="Times New Roman" w:cs="Times New Roman"/>
          <w:sz w:val="18"/>
          <w:szCs w:val="18"/>
        </w:rPr>
      </w:pPr>
      <w:r w:rsidRPr="00A803E1">
        <w:rPr>
          <w:rStyle w:val="FootnoteReference"/>
          <w:rFonts w:ascii="Times New Roman" w:hAnsi="Times New Roman" w:cs="Times New Roman"/>
          <w:sz w:val="18"/>
          <w:szCs w:val="18"/>
        </w:rPr>
        <w:footnoteRef/>
      </w:r>
      <w:r w:rsidRPr="00A803E1">
        <w:rPr>
          <w:rFonts w:ascii="Times New Roman" w:hAnsi="Times New Roman" w:cs="Times New Roman"/>
          <w:sz w:val="18"/>
          <w:szCs w:val="18"/>
        </w:rPr>
        <w:t xml:space="preserve"> </w:t>
      </w:r>
      <w:proofErr w:type="spellStart"/>
      <w:r w:rsidRPr="00A803E1">
        <w:rPr>
          <w:rFonts w:ascii="Times New Roman" w:hAnsi="Times New Roman" w:cs="Times New Roman"/>
          <w:sz w:val="18"/>
          <w:szCs w:val="18"/>
        </w:rPr>
        <w:t>Kapur</w:t>
      </w:r>
      <w:proofErr w:type="spellEnd"/>
      <w:r w:rsidRPr="00A803E1">
        <w:rPr>
          <w:rFonts w:ascii="Times New Roman" w:hAnsi="Times New Roman" w:cs="Times New Roman"/>
          <w:sz w:val="18"/>
          <w:szCs w:val="18"/>
        </w:rPr>
        <w:t xml:space="preserve">, Paul S., </w:t>
      </w:r>
      <w:r w:rsidRPr="00A803E1">
        <w:rPr>
          <w:rFonts w:ascii="Times New Roman" w:hAnsi="Times New Roman" w:cs="Times New Roman"/>
          <w:i/>
          <w:iCs/>
          <w:sz w:val="18"/>
          <w:szCs w:val="18"/>
        </w:rPr>
        <w:t>Jihad as Grand Strategy: Islamist Militancy, National Security, and the Pakistani State</w:t>
      </w:r>
      <w:r w:rsidRPr="00A803E1">
        <w:rPr>
          <w:rFonts w:ascii="Times New Roman" w:hAnsi="Times New Roman" w:cs="Times New Roman"/>
          <w:sz w:val="18"/>
          <w:szCs w:val="18"/>
        </w:rPr>
        <w:t xml:space="preserve"> (New York: Oxford University Press, 2017), pp. 14-18.</w:t>
      </w:r>
      <w:r w:rsidRPr="00556F61">
        <w:rPr>
          <w:rFonts w:ascii="Times New Roman" w:hAnsi="Times New Roman" w:cs="Times New Roman"/>
          <w:sz w:val="18"/>
          <w:szCs w:val="18"/>
        </w:rPr>
        <w:t xml:space="preserve"> </w:t>
      </w:r>
    </w:p>
  </w:footnote>
  <w:footnote w:id="3">
    <w:p w14:paraId="4E11A852" w14:textId="77777777" w:rsidR="00080908" w:rsidRPr="0045315C" w:rsidRDefault="00080908">
      <w:pPr>
        <w:pStyle w:val="FootnoteText"/>
        <w:rPr>
          <w:rFonts w:asciiTheme="majorBidi" w:hAnsiTheme="majorBidi" w:cstheme="majorBidi"/>
          <w:sz w:val="18"/>
          <w:szCs w:val="18"/>
        </w:rPr>
      </w:pPr>
      <w:r w:rsidRPr="0045315C">
        <w:rPr>
          <w:rStyle w:val="FootnoteReference"/>
          <w:rFonts w:asciiTheme="majorBidi" w:hAnsiTheme="majorBidi" w:cstheme="majorBidi"/>
          <w:sz w:val="18"/>
          <w:szCs w:val="18"/>
        </w:rPr>
        <w:footnoteRef/>
      </w:r>
      <w:r w:rsidRPr="0045315C">
        <w:rPr>
          <w:rFonts w:asciiTheme="majorBidi" w:hAnsiTheme="majorBidi" w:cstheme="majorBidi"/>
          <w:sz w:val="18"/>
          <w:szCs w:val="18"/>
        </w:rPr>
        <w:t xml:space="preserve"> </w:t>
      </w:r>
      <w:proofErr w:type="spellStart"/>
      <w:r w:rsidRPr="0045315C">
        <w:rPr>
          <w:rFonts w:asciiTheme="majorBidi" w:hAnsiTheme="majorBidi" w:cstheme="majorBidi"/>
          <w:sz w:val="18"/>
          <w:szCs w:val="18"/>
        </w:rPr>
        <w:t>Afshon</w:t>
      </w:r>
      <w:proofErr w:type="spellEnd"/>
      <w:r w:rsidRPr="0045315C">
        <w:rPr>
          <w:rFonts w:asciiTheme="majorBidi" w:hAnsiTheme="majorBidi" w:cstheme="majorBidi"/>
          <w:sz w:val="18"/>
          <w:szCs w:val="18"/>
        </w:rPr>
        <w:t xml:space="preserve"> </w:t>
      </w:r>
      <w:proofErr w:type="spellStart"/>
      <w:r w:rsidRPr="0045315C">
        <w:rPr>
          <w:rFonts w:asciiTheme="majorBidi" w:hAnsiTheme="majorBidi" w:cstheme="majorBidi"/>
          <w:sz w:val="18"/>
          <w:szCs w:val="18"/>
        </w:rPr>
        <w:t>Ostovar</w:t>
      </w:r>
      <w:proofErr w:type="spellEnd"/>
      <w:r w:rsidRPr="0045315C">
        <w:rPr>
          <w:rFonts w:asciiTheme="majorBidi" w:hAnsiTheme="majorBidi" w:cstheme="majorBidi"/>
          <w:sz w:val="18"/>
          <w:szCs w:val="18"/>
        </w:rPr>
        <w:t xml:space="preserve">, “Iran, its clients, and the future of the Middle East: the limits of religion,” </w:t>
      </w:r>
      <w:r w:rsidRPr="0045315C">
        <w:rPr>
          <w:rFonts w:asciiTheme="majorBidi" w:hAnsiTheme="majorBidi" w:cstheme="majorBidi"/>
          <w:i/>
          <w:iCs/>
          <w:sz w:val="18"/>
          <w:szCs w:val="18"/>
        </w:rPr>
        <w:t>International Affairs</w:t>
      </w:r>
      <w:r w:rsidRPr="0045315C">
        <w:rPr>
          <w:rFonts w:asciiTheme="majorBidi" w:hAnsiTheme="majorBidi" w:cstheme="majorBidi"/>
          <w:sz w:val="18"/>
          <w:szCs w:val="18"/>
        </w:rPr>
        <w:t xml:space="preserve">, Vol. 94, No. 6 (2018), p. 1245. </w:t>
      </w:r>
    </w:p>
  </w:footnote>
  <w:footnote w:id="4">
    <w:p w14:paraId="167320FE" w14:textId="77777777" w:rsidR="00080908" w:rsidRPr="002A01B8" w:rsidRDefault="00080908" w:rsidP="0045315C">
      <w:pPr>
        <w:pStyle w:val="FootnoteText"/>
        <w:rPr>
          <w:rFonts w:ascii="Times New Roman" w:hAnsi="Times New Roman" w:cs="Times New Roman"/>
          <w:sz w:val="18"/>
          <w:szCs w:val="18"/>
        </w:rPr>
      </w:pPr>
      <w:r w:rsidRPr="002A01B8">
        <w:rPr>
          <w:rStyle w:val="FootnoteReference"/>
          <w:rFonts w:ascii="Times New Roman" w:hAnsi="Times New Roman" w:cs="Times New Roman"/>
          <w:sz w:val="18"/>
          <w:szCs w:val="18"/>
        </w:rPr>
        <w:footnoteRef/>
      </w:r>
      <w:r w:rsidRPr="002A01B8">
        <w:rPr>
          <w:rFonts w:ascii="Times New Roman" w:hAnsi="Times New Roman" w:cs="Times New Roman"/>
          <w:sz w:val="18"/>
          <w:szCs w:val="18"/>
        </w:rPr>
        <w:t xml:space="preserve"> </w:t>
      </w:r>
      <w:r w:rsidRPr="002A01B8">
        <w:rPr>
          <w:rFonts w:ascii="Times New Roman" w:hAnsi="Times New Roman" w:cs="Times New Roman"/>
          <w:i/>
          <w:iCs/>
          <w:sz w:val="18"/>
          <w:szCs w:val="18"/>
        </w:rPr>
        <w:t>Ibid</w:t>
      </w:r>
      <w:r w:rsidRPr="002A01B8">
        <w:rPr>
          <w:rFonts w:ascii="Times New Roman" w:hAnsi="Times New Roman" w:cs="Times New Roman"/>
          <w:sz w:val="18"/>
          <w:szCs w:val="18"/>
        </w:rPr>
        <w:t xml:space="preserve">. </w:t>
      </w:r>
    </w:p>
  </w:footnote>
  <w:footnote w:id="5">
    <w:p w14:paraId="59C56386" w14:textId="77777777" w:rsidR="00080908" w:rsidRPr="000C0836" w:rsidRDefault="00080908" w:rsidP="000C0836">
      <w:pPr>
        <w:pStyle w:val="FootnoteText"/>
        <w:rPr>
          <w:rFonts w:ascii="Times New Roman" w:hAnsi="Times New Roman" w:cs="Times New Roman"/>
          <w:sz w:val="18"/>
          <w:szCs w:val="18"/>
        </w:rPr>
      </w:pPr>
      <w:r w:rsidRPr="000C0836">
        <w:rPr>
          <w:rStyle w:val="FootnoteReference"/>
          <w:rFonts w:ascii="Times New Roman" w:hAnsi="Times New Roman" w:cs="Times New Roman"/>
          <w:sz w:val="18"/>
          <w:szCs w:val="18"/>
        </w:rPr>
        <w:footnoteRef/>
      </w:r>
      <w:r w:rsidRPr="000C0836">
        <w:rPr>
          <w:rFonts w:ascii="Times New Roman" w:hAnsi="Times New Roman" w:cs="Times New Roman"/>
          <w:sz w:val="18"/>
          <w:szCs w:val="18"/>
        </w:rPr>
        <w:t xml:space="preserve"> For example,</w:t>
      </w:r>
      <w:r>
        <w:rPr>
          <w:rFonts w:ascii="Times New Roman" w:hAnsi="Times New Roman" w:cs="Times New Roman"/>
          <w:sz w:val="18"/>
          <w:szCs w:val="18"/>
        </w:rPr>
        <w:t xml:space="preserve"> on</w:t>
      </w:r>
      <w:r w:rsidRPr="000C0836">
        <w:rPr>
          <w:rFonts w:ascii="Times New Roman" w:hAnsi="Times New Roman" w:cs="Times New Roman"/>
          <w:sz w:val="24"/>
          <w:szCs w:val="24"/>
        </w:rPr>
        <w:t xml:space="preserve"> </w:t>
      </w:r>
      <w:r w:rsidRPr="000C0836">
        <w:rPr>
          <w:rFonts w:ascii="Times New Roman" w:hAnsi="Times New Roman" w:cs="Times New Roman"/>
          <w:sz w:val="18"/>
          <w:szCs w:val="18"/>
        </w:rPr>
        <w:t xml:space="preserve">Liwa </w:t>
      </w:r>
      <w:proofErr w:type="spellStart"/>
      <w:r w:rsidRPr="000C0836">
        <w:rPr>
          <w:rFonts w:ascii="Times New Roman" w:hAnsi="Times New Roman" w:cs="Times New Roman"/>
          <w:sz w:val="18"/>
          <w:szCs w:val="18"/>
        </w:rPr>
        <w:t>Fatemiyoun</w:t>
      </w:r>
      <w:proofErr w:type="spellEnd"/>
      <w:r>
        <w:rPr>
          <w:rFonts w:ascii="Times New Roman" w:hAnsi="Times New Roman" w:cs="Times New Roman"/>
          <w:sz w:val="18"/>
          <w:szCs w:val="18"/>
        </w:rPr>
        <w:t xml:space="preserve">, </w:t>
      </w:r>
      <w:r w:rsidRPr="000C0836">
        <w:rPr>
          <w:rFonts w:ascii="Times New Roman" w:hAnsi="Times New Roman" w:cs="Times New Roman"/>
          <w:sz w:val="18"/>
          <w:szCs w:val="18"/>
        </w:rPr>
        <w:t xml:space="preserve">see Lars </w:t>
      </w:r>
      <w:proofErr w:type="spellStart"/>
      <w:r w:rsidRPr="000C0836">
        <w:rPr>
          <w:rFonts w:ascii="Times New Roman" w:hAnsi="Times New Roman" w:cs="Times New Roman"/>
          <w:sz w:val="18"/>
          <w:szCs w:val="18"/>
        </w:rPr>
        <w:t>Hauch</w:t>
      </w:r>
      <w:proofErr w:type="spellEnd"/>
      <w:r w:rsidRPr="000C0836">
        <w:rPr>
          <w:rFonts w:ascii="Times New Roman" w:hAnsi="Times New Roman" w:cs="Times New Roman"/>
          <w:sz w:val="18"/>
          <w:szCs w:val="18"/>
        </w:rPr>
        <w:t xml:space="preserve">, “Understanding the </w:t>
      </w:r>
      <w:proofErr w:type="spellStart"/>
      <w:r w:rsidRPr="000C0836">
        <w:rPr>
          <w:rFonts w:ascii="Times New Roman" w:hAnsi="Times New Roman" w:cs="Times New Roman"/>
          <w:sz w:val="18"/>
          <w:szCs w:val="18"/>
        </w:rPr>
        <w:t>Fatemiyoun</w:t>
      </w:r>
      <w:proofErr w:type="spellEnd"/>
      <w:r w:rsidRPr="000C0836">
        <w:rPr>
          <w:rFonts w:ascii="Times New Roman" w:hAnsi="Times New Roman" w:cs="Times New Roman"/>
          <w:sz w:val="18"/>
          <w:szCs w:val="18"/>
        </w:rPr>
        <w:t xml:space="preserve"> Division: Life Through the Eyes of a Militia Member,” </w:t>
      </w:r>
      <w:r w:rsidRPr="000C0836">
        <w:rPr>
          <w:rFonts w:ascii="Times New Roman" w:hAnsi="Times New Roman" w:cs="Times New Roman"/>
          <w:i/>
          <w:iCs/>
          <w:sz w:val="18"/>
          <w:szCs w:val="18"/>
        </w:rPr>
        <w:t>Middle East Institute</w:t>
      </w:r>
      <w:r>
        <w:rPr>
          <w:rFonts w:ascii="Times New Roman" w:hAnsi="Times New Roman" w:cs="Times New Roman"/>
          <w:sz w:val="18"/>
          <w:szCs w:val="18"/>
        </w:rPr>
        <w:t xml:space="preserve">, 5/22/19 and Tobias Schneider, “The </w:t>
      </w:r>
      <w:proofErr w:type="spellStart"/>
      <w:r>
        <w:rPr>
          <w:rFonts w:ascii="Times New Roman" w:hAnsi="Times New Roman" w:cs="Times New Roman"/>
          <w:sz w:val="18"/>
          <w:szCs w:val="18"/>
        </w:rPr>
        <w:t>Fatemiyoun</w:t>
      </w:r>
      <w:proofErr w:type="spellEnd"/>
      <w:r>
        <w:rPr>
          <w:rFonts w:ascii="Times New Roman" w:hAnsi="Times New Roman" w:cs="Times New Roman"/>
          <w:sz w:val="18"/>
          <w:szCs w:val="18"/>
        </w:rPr>
        <w:t xml:space="preserve"> Division: Afghan Fighters in the Syrian Civil War,” </w:t>
      </w:r>
      <w:r>
        <w:rPr>
          <w:rFonts w:ascii="Times New Roman" w:hAnsi="Times New Roman" w:cs="Times New Roman"/>
          <w:i/>
          <w:iCs/>
          <w:sz w:val="18"/>
          <w:szCs w:val="18"/>
        </w:rPr>
        <w:t>Middle East Institute</w:t>
      </w:r>
      <w:r>
        <w:rPr>
          <w:rFonts w:ascii="Times New Roman" w:hAnsi="Times New Roman" w:cs="Times New Roman"/>
          <w:sz w:val="18"/>
          <w:szCs w:val="18"/>
        </w:rPr>
        <w:t xml:space="preserve">, Policy Paper 2018-9 (October 2018). On </w:t>
      </w:r>
      <w:r w:rsidRPr="000C0836">
        <w:rPr>
          <w:rFonts w:ascii="Times New Roman" w:hAnsi="Times New Roman" w:cs="Times New Roman"/>
          <w:sz w:val="18"/>
          <w:szCs w:val="18"/>
        </w:rPr>
        <w:t xml:space="preserve">Liwa </w:t>
      </w:r>
      <w:proofErr w:type="spellStart"/>
      <w:r w:rsidRPr="000C0836">
        <w:rPr>
          <w:rFonts w:ascii="Times New Roman" w:hAnsi="Times New Roman" w:cs="Times New Roman"/>
          <w:sz w:val="18"/>
          <w:szCs w:val="18"/>
        </w:rPr>
        <w:t>Zainebiyoun</w:t>
      </w:r>
      <w:proofErr w:type="spellEnd"/>
      <w:r>
        <w:rPr>
          <w:rFonts w:ascii="Times New Roman" w:hAnsi="Times New Roman" w:cs="Times New Roman"/>
          <w:sz w:val="18"/>
          <w:szCs w:val="18"/>
        </w:rPr>
        <w:t xml:space="preserve">, see </w:t>
      </w:r>
      <w:r w:rsidRPr="000C0836">
        <w:rPr>
          <w:rFonts w:ascii="Times New Roman" w:hAnsi="Times New Roman" w:cs="Times New Roman"/>
          <w:sz w:val="18"/>
          <w:szCs w:val="18"/>
        </w:rPr>
        <w:t>Farhan Zahid</w:t>
      </w:r>
      <w:r>
        <w:rPr>
          <w:rFonts w:ascii="Times New Roman" w:hAnsi="Times New Roman" w:cs="Times New Roman"/>
          <w:sz w:val="18"/>
          <w:szCs w:val="18"/>
        </w:rPr>
        <w:t>, “</w:t>
      </w:r>
      <w:r w:rsidRPr="000C0836">
        <w:rPr>
          <w:rFonts w:ascii="Times New Roman" w:hAnsi="Times New Roman" w:cs="Times New Roman"/>
          <w:sz w:val="18"/>
          <w:szCs w:val="18"/>
        </w:rPr>
        <w:t xml:space="preserve">The </w:t>
      </w:r>
      <w:proofErr w:type="spellStart"/>
      <w:r w:rsidRPr="000C0836">
        <w:rPr>
          <w:rFonts w:ascii="Times New Roman" w:hAnsi="Times New Roman" w:cs="Times New Roman"/>
          <w:sz w:val="18"/>
          <w:szCs w:val="18"/>
        </w:rPr>
        <w:t>Zainabiyoun</w:t>
      </w:r>
      <w:proofErr w:type="spellEnd"/>
      <w:r w:rsidRPr="000C0836">
        <w:rPr>
          <w:rFonts w:ascii="Times New Roman" w:hAnsi="Times New Roman" w:cs="Times New Roman"/>
          <w:sz w:val="18"/>
          <w:szCs w:val="18"/>
        </w:rPr>
        <w:t xml:space="preserve"> Brigade: A Pakistani Shiite Militia Amid the Syrian Conflict</w:t>
      </w:r>
      <w:r>
        <w:rPr>
          <w:rFonts w:ascii="Times New Roman" w:hAnsi="Times New Roman" w:cs="Times New Roman"/>
          <w:sz w:val="18"/>
          <w:szCs w:val="18"/>
        </w:rPr>
        <w:t xml:space="preserve">,” </w:t>
      </w:r>
      <w:r>
        <w:rPr>
          <w:rFonts w:ascii="Times New Roman" w:hAnsi="Times New Roman" w:cs="Times New Roman"/>
          <w:i/>
          <w:iCs/>
          <w:sz w:val="18"/>
          <w:szCs w:val="18"/>
        </w:rPr>
        <w:t>The Jamestown Foundation’s Terrorism Monitor</w:t>
      </w:r>
      <w:r>
        <w:rPr>
          <w:rFonts w:ascii="Times New Roman" w:hAnsi="Times New Roman" w:cs="Times New Roman"/>
          <w:sz w:val="18"/>
          <w:szCs w:val="18"/>
        </w:rPr>
        <w:t xml:space="preserve">, Vol. 14, No. 11 (May 2016). </w:t>
      </w:r>
    </w:p>
  </w:footnote>
  <w:footnote w:id="6">
    <w:p w14:paraId="0487EED0" w14:textId="77777777" w:rsidR="00080908" w:rsidRPr="000C0836" w:rsidRDefault="00080908" w:rsidP="00653DE0">
      <w:pPr>
        <w:pStyle w:val="FootnoteText"/>
        <w:rPr>
          <w:rFonts w:ascii="Times New Roman" w:hAnsi="Times New Roman" w:cs="Times New Roman"/>
          <w:sz w:val="18"/>
          <w:szCs w:val="18"/>
        </w:rPr>
      </w:pPr>
      <w:r w:rsidRPr="000C0836">
        <w:rPr>
          <w:rStyle w:val="FootnoteReference"/>
          <w:rFonts w:ascii="Times New Roman" w:hAnsi="Times New Roman" w:cs="Times New Roman"/>
          <w:sz w:val="18"/>
          <w:szCs w:val="18"/>
        </w:rPr>
        <w:footnoteRef/>
      </w:r>
      <w:r w:rsidRPr="000C0836">
        <w:rPr>
          <w:rFonts w:ascii="Times New Roman" w:hAnsi="Times New Roman" w:cs="Times New Roman"/>
          <w:sz w:val="18"/>
          <w:szCs w:val="18"/>
        </w:rPr>
        <w:t xml:space="preserve"> For</w:t>
      </w:r>
      <w:r>
        <w:rPr>
          <w:rFonts w:ascii="Times New Roman" w:hAnsi="Times New Roman" w:cs="Times New Roman"/>
          <w:sz w:val="18"/>
          <w:szCs w:val="18"/>
        </w:rPr>
        <w:t xml:space="preserve"> a more nuanced view of the group-level dynamics of foreign fighters</w:t>
      </w:r>
      <w:r w:rsidRPr="000C0836">
        <w:rPr>
          <w:rFonts w:ascii="Times New Roman" w:hAnsi="Times New Roman" w:cs="Times New Roman"/>
          <w:sz w:val="18"/>
          <w:szCs w:val="18"/>
        </w:rPr>
        <w:t xml:space="preserve">, see Aaron </w:t>
      </w:r>
      <w:proofErr w:type="spellStart"/>
      <w:r w:rsidRPr="000C0836">
        <w:rPr>
          <w:rFonts w:ascii="Times New Roman" w:hAnsi="Times New Roman" w:cs="Times New Roman"/>
          <w:sz w:val="18"/>
          <w:szCs w:val="18"/>
        </w:rPr>
        <w:t>Zelin</w:t>
      </w:r>
      <w:proofErr w:type="spellEnd"/>
      <w:r w:rsidRPr="000C0836">
        <w:rPr>
          <w:rFonts w:ascii="Times New Roman" w:hAnsi="Times New Roman" w:cs="Times New Roman"/>
          <w:sz w:val="18"/>
          <w:szCs w:val="18"/>
        </w:rPr>
        <w:t xml:space="preserve">, </w:t>
      </w:r>
      <w:r w:rsidRPr="000C0836">
        <w:rPr>
          <w:rFonts w:ascii="Times New Roman" w:hAnsi="Times New Roman" w:cs="Times New Roman"/>
          <w:i/>
          <w:iCs/>
          <w:sz w:val="18"/>
          <w:szCs w:val="18"/>
        </w:rPr>
        <w:t>Your Sons Are at Your Service: Tunisia's Missionaries of Jihad</w:t>
      </w:r>
      <w:r w:rsidRPr="000C0836">
        <w:rPr>
          <w:rFonts w:ascii="Times New Roman" w:hAnsi="Times New Roman" w:cs="Times New Roman"/>
          <w:sz w:val="18"/>
          <w:szCs w:val="18"/>
        </w:rPr>
        <w:t xml:space="preserve"> (New York: Columbia University Press, 2020). </w:t>
      </w:r>
    </w:p>
  </w:footnote>
  <w:footnote w:id="7">
    <w:p w14:paraId="6DE160F3" w14:textId="77777777" w:rsidR="00080908" w:rsidRDefault="00080908">
      <w:pPr>
        <w:pStyle w:val="FootnoteText"/>
      </w:pPr>
      <w:r>
        <w:rPr>
          <w:rStyle w:val="FootnoteReference"/>
        </w:rPr>
        <w:footnoteRef/>
      </w:r>
      <w:r>
        <w:t xml:space="preserve"> </w:t>
      </w:r>
      <w:r w:rsidRPr="002A01B8">
        <w:rPr>
          <w:rFonts w:asciiTheme="majorBidi" w:hAnsiTheme="majorBidi" w:cstheme="majorBidi"/>
          <w:sz w:val="18"/>
          <w:szCs w:val="18"/>
        </w:rPr>
        <w:t xml:space="preserve">Eli Berman, and David A. Lake, </w:t>
      </w:r>
      <w:r w:rsidRPr="002A01B8">
        <w:rPr>
          <w:rFonts w:asciiTheme="majorBidi" w:hAnsiTheme="majorBidi" w:cstheme="majorBidi"/>
          <w:i/>
          <w:iCs/>
          <w:sz w:val="18"/>
          <w:szCs w:val="18"/>
        </w:rPr>
        <w:t>Proxy Wars: Suppressing Violence Through Local Agents</w:t>
      </w:r>
      <w:r w:rsidRPr="002A01B8">
        <w:rPr>
          <w:rFonts w:asciiTheme="majorBidi" w:hAnsiTheme="majorBidi" w:cstheme="majorBidi"/>
          <w:sz w:val="18"/>
          <w:szCs w:val="18"/>
        </w:rPr>
        <w:t xml:space="preserve"> (Ithaca: Cornell University Press), 2019</w:t>
      </w:r>
    </w:p>
  </w:footnote>
  <w:footnote w:id="8">
    <w:p w14:paraId="7A513DBD" w14:textId="77777777" w:rsidR="00080908" w:rsidRPr="002A01B8" w:rsidRDefault="00080908" w:rsidP="00D74366">
      <w:pPr>
        <w:pStyle w:val="ListParagraph"/>
        <w:spacing w:after="0" w:line="240" w:lineRule="auto"/>
        <w:ind w:left="0"/>
        <w:rPr>
          <w:rFonts w:asciiTheme="majorBidi" w:hAnsiTheme="majorBidi" w:cstheme="majorBidi"/>
          <w:i/>
          <w:sz w:val="18"/>
          <w:szCs w:val="18"/>
        </w:rPr>
      </w:pPr>
      <w:r w:rsidRPr="002A01B8">
        <w:rPr>
          <w:rStyle w:val="FootnoteReference"/>
          <w:rFonts w:asciiTheme="majorBidi" w:hAnsiTheme="majorBidi" w:cstheme="majorBidi"/>
          <w:sz w:val="18"/>
          <w:szCs w:val="18"/>
        </w:rPr>
        <w:footnoteRef/>
      </w:r>
      <w:r w:rsidRPr="002A01B8">
        <w:rPr>
          <w:rFonts w:asciiTheme="majorBidi" w:hAnsiTheme="majorBidi" w:cstheme="majorBidi"/>
          <w:sz w:val="18"/>
          <w:szCs w:val="18"/>
        </w:rPr>
        <w:t xml:space="preserve"> Carey, Sabine C, and Neil J. Mitchell, “Progovernment Militias,” </w:t>
      </w:r>
      <w:r w:rsidRPr="002A01B8">
        <w:rPr>
          <w:rFonts w:asciiTheme="majorBidi" w:hAnsiTheme="majorBidi" w:cstheme="majorBidi"/>
          <w:i/>
          <w:sz w:val="18"/>
          <w:szCs w:val="18"/>
        </w:rPr>
        <w:t>Annual Review of Political Science</w:t>
      </w:r>
      <w:r w:rsidRPr="002A01B8">
        <w:rPr>
          <w:rFonts w:asciiTheme="majorBidi" w:hAnsiTheme="majorBidi" w:cstheme="majorBidi"/>
          <w:sz w:val="18"/>
          <w:szCs w:val="18"/>
        </w:rPr>
        <w:t xml:space="preserve">, Vol. 20 (2017), p. 128. </w:t>
      </w:r>
    </w:p>
  </w:footnote>
  <w:footnote w:id="9">
    <w:p w14:paraId="19BA786B" w14:textId="77777777" w:rsidR="00080908" w:rsidRPr="002A01B8" w:rsidRDefault="00080908" w:rsidP="00D74366">
      <w:pPr>
        <w:pStyle w:val="FootnoteText"/>
        <w:rPr>
          <w:rFonts w:asciiTheme="majorBidi" w:hAnsiTheme="majorBidi" w:cstheme="majorBidi"/>
          <w:sz w:val="18"/>
          <w:szCs w:val="18"/>
        </w:rPr>
      </w:pPr>
      <w:r w:rsidRPr="002A01B8">
        <w:rPr>
          <w:rStyle w:val="FootnoteReference"/>
          <w:rFonts w:asciiTheme="majorBidi" w:hAnsiTheme="majorBidi" w:cstheme="majorBidi"/>
          <w:sz w:val="18"/>
          <w:szCs w:val="18"/>
        </w:rPr>
        <w:footnoteRef/>
      </w:r>
      <w:r w:rsidRPr="002A01B8">
        <w:rPr>
          <w:rFonts w:asciiTheme="majorBidi" w:hAnsiTheme="majorBidi" w:cstheme="majorBidi"/>
          <w:sz w:val="18"/>
          <w:szCs w:val="18"/>
        </w:rPr>
        <w:t xml:space="preserve"> </w:t>
      </w:r>
      <w:r w:rsidRPr="002A01B8">
        <w:rPr>
          <w:rFonts w:asciiTheme="majorBidi" w:hAnsiTheme="majorBidi" w:cstheme="majorBidi"/>
          <w:i/>
          <w:iCs/>
          <w:sz w:val="18"/>
          <w:szCs w:val="18"/>
        </w:rPr>
        <w:t>Ibid</w:t>
      </w:r>
      <w:r w:rsidRPr="002A01B8">
        <w:rPr>
          <w:rFonts w:asciiTheme="majorBidi" w:hAnsiTheme="majorBidi" w:cstheme="majorBidi"/>
          <w:sz w:val="18"/>
          <w:szCs w:val="18"/>
        </w:rPr>
        <w:t xml:space="preserve">. </w:t>
      </w:r>
    </w:p>
  </w:footnote>
  <w:footnote w:id="10">
    <w:p w14:paraId="21AA64FC" w14:textId="77777777" w:rsidR="00080908" w:rsidRPr="002A01B8" w:rsidRDefault="00080908" w:rsidP="00D74366">
      <w:pPr>
        <w:pStyle w:val="ListParagraph"/>
        <w:spacing w:after="0" w:line="240" w:lineRule="auto"/>
        <w:ind w:left="0"/>
        <w:rPr>
          <w:rFonts w:asciiTheme="majorBidi" w:hAnsiTheme="majorBidi" w:cstheme="majorBidi"/>
          <w:sz w:val="18"/>
          <w:szCs w:val="18"/>
        </w:rPr>
      </w:pPr>
      <w:r w:rsidRPr="002A01B8">
        <w:rPr>
          <w:rStyle w:val="FootnoteReference"/>
          <w:rFonts w:asciiTheme="majorBidi" w:hAnsiTheme="majorBidi" w:cstheme="majorBidi"/>
          <w:sz w:val="18"/>
          <w:szCs w:val="18"/>
        </w:rPr>
        <w:footnoteRef/>
      </w:r>
      <w:r w:rsidRPr="002A01B8">
        <w:rPr>
          <w:rFonts w:asciiTheme="majorBidi" w:hAnsiTheme="majorBidi" w:cstheme="majorBidi"/>
          <w:sz w:val="18"/>
          <w:szCs w:val="18"/>
        </w:rPr>
        <w:t xml:space="preserve"> Aliyev, Huseyn, “Strong militias, weak states and armed violence: Towards a theory of ‘state parallel’ paramilitaries,” </w:t>
      </w:r>
      <w:r w:rsidRPr="002A01B8">
        <w:rPr>
          <w:rFonts w:asciiTheme="majorBidi" w:hAnsiTheme="majorBidi" w:cstheme="majorBidi"/>
          <w:i/>
          <w:sz w:val="18"/>
          <w:szCs w:val="18"/>
        </w:rPr>
        <w:t>Security Dialogue</w:t>
      </w:r>
      <w:r w:rsidRPr="002A01B8">
        <w:rPr>
          <w:rFonts w:asciiTheme="majorBidi" w:hAnsiTheme="majorBidi" w:cstheme="majorBidi"/>
          <w:sz w:val="18"/>
          <w:szCs w:val="18"/>
        </w:rPr>
        <w:t xml:space="preserve">, Vol. 47, No. 6 (2016), pp. 498-516. </w:t>
      </w:r>
    </w:p>
  </w:footnote>
  <w:footnote w:id="11">
    <w:p w14:paraId="20F0CF4C" w14:textId="77777777" w:rsidR="00080908" w:rsidRPr="002A01B8" w:rsidRDefault="00080908" w:rsidP="00D74366">
      <w:pPr>
        <w:pStyle w:val="ListParagraph"/>
        <w:spacing w:after="0" w:line="240" w:lineRule="auto"/>
        <w:ind w:left="0"/>
        <w:rPr>
          <w:rFonts w:asciiTheme="majorBidi" w:hAnsiTheme="majorBidi" w:cstheme="majorBidi"/>
          <w:sz w:val="18"/>
          <w:szCs w:val="18"/>
        </w:rPr>
      </w:pPr>
      <w:r w:rsidRPr="002A01B8">
        <w:rPr>
          <w:rStyle w:val="FootnoteReference"/>
          <w:rFonts w:asciiTheme="majorBidi" w:hAnsiTheme="majorBidi" w:cstheme="majorBidi"/>
          <w:sz w:val="18"/>
          <w:szCs w:val="18"/>
        </w:rPr>
        <w:footnoteRef/>
      </w:r>
      <w:r w:rsidRPr="002A01B8">
        <w:rPr>
          <w:rFonts w:asciiTheme="majorBidi" w:hAnsiTheme="majorBidi" w:cstheme="majorBidi"/>
          <w:sz w:val="18"/>
          <w:szCs w:val="18"/>
        </w:rPr>
        <w:t xml:space="preserve"> </w:t>
      </w:r>
      <w:proofErr w:type="spellStart"/>
      <w:r w:rsidRPr="002A01B8">
        <w:rPr>
          <w:rFonts w:asciiTheme="majorBidi" w:hAnsiTheme="majorBidi" w:cstheme="majorBidi"/>
          <w:sz w:val="18"/>
          <w:szCs w:val="18"/>
        </w:rPr>
        <w:t>Staniland</w:t>
      </w:r>
      <w:proofErr w:type="spellEnd"/>
      <w:r w:rsidRPr="002A01B8">
        <w:rPr>
          <w:rFonts w:asciiTheme="majorBidi" w:hAnsiTheme="majorBidi" w:cstheme="majorBidi"/>
          <w:sz w:val="18"/>
          <w:szCs w:val="18"/>
        </w:rPr>
        <w:t xml:space="preserve">, Paul, “Militias, Ideology, and the State,” </w:t>
      </w:r>
      <w:r w:rsidRPr="002A01B8">
        <w:rPr>
          <w:rFonts w:asciiTheme="majorBidi" w:hAnsiTheme="majorBidi" w:cstheme="majorBidi"/>
          <w:i/>
          <w:sz w:val="18"/>
          <w:szCs w:val="18"/>
        </w:rPr>
        <w:t>Journal of Conflict Resolution</w:t>
      </w:r>
      <w:r w:rsidRPr="002A01B8">
        <w:rPr>
          <w:rFonts w:asciiTheme="majorBidi" w:hAnsiTheme="majorBidi" w:cstheme="majorBidi"/>
          <w:sz w:val="18"/>
          <w:szCs w:val="18"/>
        </w:rPr>
        <w:t xml:space="preserve">, Vol. 59, No. 5 (2015), pp. 770-793. </w:t>
      </w:r>
    </w:p>
  </w:footnote>
  <w:footnote w:id="12">
    <w:p w14:paraId="514D4F7B" w14:textId="77777777" w:rsidR="00080908" w:rsidRPr="002A01B8" w:rsidRDefault="00080908" w:rsidP="00D74366">
      <w:pPr>
        <w:pStyle w:val="ListParagraph"/>
        <w:spacing w:after="0" w:line="240" w:lineRule="auto"/>
        <w:ind w:left="0"/>
        <w:rPr>
          <w:rFonts w:asciiTheme="majorBidi" w:hAnsiTheme="majorBidi" w:cstheme="majorBidi"/>
          <w:sz w:val="18"/>
          <w:szCs w:val="18"/>
        </w:rPr>
      </w:pPr>
      <w:r w:rsidRPr="002A01B8">
        <w:rPr>
          <w:rStyle w:val="FootnoteReference"/>
          <w:rFonts w:asciiTheme="majorBidi" w:hAnsiTheme="majorBidi" w:cstheme="majorBidi"/>
          <w:sz w:val="18"/>
          <w:szCs w:val="18"/>
        </w:rPr>
        <w:footnoteRef/>
      </w:r>
      <w:r w:rsidRPr="002A01B8">
        <w:rPr>
          <w:rFonts w:asciiTheme="majorBidi" w:hAnsiTheme="majorBidi" w:cstheme="majorBidi"/>
          <w:sz w:val="18"/>
          <w:szCs w:val="18"/>
        </w:rPr>
        <w:t xml:space="preserve"> Stanton, Jessica A, “Regulating Militias: Governments, Militias, and Civilian Targeting in Civil War,” </w:t>
      </w:r>
      <w:r w:rsidRPr="002A01B8">
        <w:rPr>
          <w:rFonts w:asciiTheme="majorBidi" w:hAnsiTheme="majorBidi" w:cstheme="majorBidi"/>
          <w:i/>
          <w:sz w:val="18"/>
          <w:szCs w:val="18"/>
        </w:rPr>
        <w:t>Journal of Conflict Resolution</w:t>
      </w:r>
      <w:r w:rsidRPr="002A01B8">
        <w:rPr>
          <w:rFonts w:asciiTheme="majorBidi" w:hAnsiTheme="majorBidi" w:cstheme="majorBidi"/>
          <w:sz w:val="18"/>
          <w:szCs w:val="18"/>
        </w:rPr>
        <w:t xml:space="preserve">, Vol. 59, No. 5 (2015), pp. 899-923. </w:t>
      </w:r>
    </w:p>
  </w:footnote>
  <w:footnote w:id="13">
    <w:p w14:paraId="1DEEF65B" w14:textId="77777777" w:rsidR="00080908" w:rsidRPr="002A01B8" w:rsidRDefault="00080908" w:rsidP="00D74366">
      <w:pPr>
        <w:pStyle w:val="ListParagraph"/>
        <w:spacing w:after="0" w:line="240" w:lineRule="auto"/>
        <w:ind w:left="0"/>
        <w:rPr>
          <w:rFonts w:asciiTheme="majorBidi" w:hAnsiTheme="majorBidi" w:cstheme="majorBidi"/>
          <w:sz w:val="18"/>
          <w:szCs w:val="18"/>
        </w:rPr>
      </w:pPr>
      <w:r w:rsidRPr="002A01B8">
        <w:rPr>
          <w:rStyle w:val="FootnoteReference"/>
          <w:rFonts w:asciiTheme="majorBidi" w:hAnsiTheme="majorBidi" w:cstheme="majorBidi"/>
          <w:sz w:val="18"/>
          <w:szCs w:val="18"/>
        </w:rPr>
        <w:footnoteRef/>
      </w:r>
      <w:r w:rsidRPr="002A01B8">
        <w:rPr>
          <w:rFonts w:asciiTheme="majorBidi" w:hAnsiTheme="majorBidi" w:cstheme="majorBidi"/>
          <w:sz w:val="18"/>
          <w:szCs w:val="18"/>
        </w:rPr>
        <w:t xml:space="preserve"> Aliyev, Huseyn, “Pro-regime Militias and Civil War Duration,” </w:t>
      </w:r>
      <w:r w:rsidRPr="002A01B8">
        <w:rPr>
          <w:rFonts w:asciiTheme="majorBidi" w:hAnsiTheme="majorBidi" w:cstheme="majorBidi"/>
          <w:i/>
          <w:sz w:val="18"/>
          <w:szCs w:val="18"/>
        </w:rPr>
        <w:t>Terrorism and Political Violence</w:t>
      </w:r>
      <w:r w:rsidRPr="002A01B8">
        <w:rPr>
          <w:rFonts w:asciiTheme="majorBidi" w:hAnsiTheme="majorBidi" w:cstheme="majorBidi"/>
          <w:sz w:val="18"/>
          <w:szCs w:val="18"/>
        </w:rPr>
        <w:t xml:space="preserve"> (2017), pp. 1-21.  </w:t>
      </w:r>
    </w:p>
  </w:footnote>
  <w:footnote w:id="14">
    <w:p w14:paraId="736DBE46" w14:textId="77777777" w:rsidR="00080908" w:rsidRPr="002A01B8" w:rsidRDefault="00080908" w:rsidP="00D74366">
      <w:pPr>
        <w:pStyle w:val="ListParagraph"/>
        <w:spacing w:after="0" w:line="240" w:lineRule="auto"/>
        <w:ind w:left="0"/>
        <w:rPr>
          <w:rFonts w:asciiTheme="majorBidi" w:hAnsiTheme="majorBidi" w:cstheme="majorBidi"/>
          <w:sz w:val="18"/>
          <w:szCs w:val="18"/>
        </w:rPr>
      </w:pPr>
      <w:r w:rsidRPr="002A01B8">
        <w:rPr>
          <w:rStyle w:val="FootnoteReference"/>
          <w:rFonts w:asciiTheme="majorBidi" w:hAnsiTheme="majorBidi" w:cstheme="majorBidi"/>
          <w:sz w:val="18"/>
          <w:szCs w:val="18"/>
        </w:rPr>
        <w:footnoteRef/>
      </w:r>
      <w:r w:rsidRPr="002A01B8">
        <w:rPr>
          <w:rFonts w:asciiTheme="majorBidi" w:hAnsiTheme="majorBidi" w:cstheme="majorBidi"/>
          <w:sz w:val="18"/>
          <w:szCs w:val="18"/>
        </w:rPr>
        <w:t xml:space="preserve"> Aliyev, Huseyn, “When and How Do Militias Disband? Global Patterns of Pro-Government Militia Demobilization in Civil Was,” </w:t>
      </w:r>
      <w:r w:rsidRPr="002A01B8">
        <w:rPr>
          <w:rFonts w:asciiTheme="majorBidi" w:hAnsiTheme="majorBidi" w:cstheme="majorBidi"/>
          <w:i/>
          <w:sz w:val="18"/>
          <w:szCs w:val="18"/>
        </w:rPr>
        <w:t>Studies in Conflict &amp; Terrorism</w:t>
      </w:r>
      <w:r w:rsidRPr="002A01B8">
        <w:rPr>
          <w:rFonts w:asciiTheme="majorBidi" w:hAnsiTheme="majorBidi" w:cstheme="majorBidi"/>
          <w:sz w:val="18"/>
          <w:szCs w:val="18"/>
        </w:rPr>
        <w:t xml:space="preserve">, Vol. 41 (2018), pp. 1-20. </w:t>
      </w:r>
    </w:p>
  </w:footnote>
  <w:footnote w:id="15">
    <w:p w14:paraId="54296CA1" w14:textId="77777777" w:rsidR="00080908" w:rsidRPr="00802CE2" w:rsidRDefault="00080908" w:rsidP="00D74366">
      <w:pPr>
        <w:pStyle w:val="ListParagraph"/>
        <w:spacing w:after="0" w:line="240" w:lineRule="auto"/>
        <w:ind w:left="0"/>
        <w:rPr>
          <w:rFonts w:asciiTheme="majorBidi" w:hAnsiTheme="majorBidi" w:cstheme="majorBidi"/>
          <w:sz w:val="16"/>
          <w:szCs w:val="16"/>
        </w:rPr>
      </w:pPr>
      <w:r w:rsidRPr="002A01B8">
        <w:rPr>
          <w:rStyle w:val="FootnoteReference"/>
          <w:rFonts w:asciiTheme="majorBidi" w:hAnsiTheme="majorBidi" w:cstheme="majorBidi"/>
          <w:sz w:val="18"/>
          <w:szCs w:val="18"/>
        </w:rPr>
        <w:footnoteRef/>
      </w:r>
      <w:r w:rsidRPr="002A01B8">
        <w:rPr>
          <w:rFonts w:asciiTheme="majorBidi" w:hAnsiTheme="majorBidi" w:cstheme="majorBidi"/>
          <w:sz w:val="18"/>
          <w:szCs w:val="18"/>
        </w:rPr>
        <w:t xml:space="preserve"> Aliyev, Huseyn, “’No peace, no war’ proponents? How pro-regime militias affect civil war termination and outcomes,” </w:t>
      </w:r>
      <w:r w:rsidRPr="002A01B8">
        <w:rPr>
          <w:rFonts w:asciiTheme="majorBidi" w:hAnsiTheme="majorBidi" w:cstheme="majorBidi"/>
          <w:i/>
          <w:sz w:val="18"/>
          <w:szCs w:val="18"/>
        </w:rPr>
        <w:t>Cooperation and Conflict</w:t>
      </w:r>
      <w:r w:rsidRPr="002A01B8">
        <w:rPr>
          <w:rFonts w:asciiTheme="majorBidi" w:hAnsiTheme="majorBidi" w:cstheme="majorBidi"/>
          <w:sz w:val="18"/>
          <w:szCs w:val="18"/>
        </w:rPr>
        <w:t>, Vol. 54, No. 1 (2019), pp. 64-82.</w:t>
      </w:r>
      <w:r w:rsidRPr="00802CE2">
        <w:rPr>
          <w:rFonts w:asciiTheme="majorBidi" w:hAnsiTheme="majorBidi" w:cstheme="majorBidi"/>
          <w:sz w:val="16"/>
          <w:szCs w:val="16"/>
        </w:rPr>
        <w:t xml:space="preserve"> </w:t>
      </w:r>
    </w:p>
  </w:footnote>
  <w:footnote w:id="16">
    <w:p w14:paraId="5439373A" w14:textId="77777777" w:rsidR="00080908" w:rsidRPr="002A01B8" w:rsidRDefault="00080908" w:rsidP="00647245">
      <w:pPr>
        <w:pStyle w:val="FootnoteText"/>
        <w:rPr>
          <w:rFonts w:ascii="Times New Roman" w:hAnsi="Times New Roman" w:cs="Times New Roman"/>
          <w:sz w:val="18"/>
          <w:szCs w:val="18"/>
        </w:rPr>
      </w:pPr>
      <w:r w:rsidRPr="002A01B8">
        <w:rPr>
          <w:rStyle w:val="FootnoteReference"/>
          <w:rFonts w:ascii="Times New Roman" w:hAnsi="Times New Roman" w:cs="Times New Roman"/>
          <w:sz w:val="18"/>
          <w:szCs w:val="18"/>
        </w:rPr>
        <w:footnoteRef/>
      </w:r>
      <w:r w:rsidRPr="002A01B8">
        <w:rPr>
          <w:rFonts w:ascii="Times New Roman" w:hAnsi="Times New Roman" w:cs="Times New Roman"/>
          <w:sz w:val="18"/>
          <w:szCs w:val="18"/>
        </w:rPr>
        <w:t xml:space="preserve"> Carey and Mitchell, p. 130. </w:t>
      </w:r>
    </w:p>
  </w:footnote>
  <w:footnote w:id="17">
    <w:p w14:paraId="320884A3" w14:textId="77777777" w:rsidR="00080908" w:rsidRPr="002A01B8" w:rsidRDefault="00080908">
      <w:pPr>
        <w:pStyle w:val="FootnoteText"/>
        <w:rPr>
          <w:rFonts w:ascii="Times New Roman" w:hAnsi="Times New Roman" w:cs="Times New Roman"/>
          <w:sz w:val="18"/>
          <w:szCs w:val="18"/>
        </w:rPr>
      </w:pPr>
      <w:r w:rsidRPr="002A01B8">
        <w:rPr>
          <w:rStyle w:val="FootnoteReference"/>
          <w:rFonts w:ascii="Times New Roman" w:hAnsi="Times New Roman" w:cs="Times New Roman"/>
          <w:sz w:val="18"/>
          <w:szCs w:val="18"/>
        </w:rPr>
        <w:footnoteRef/>
      </w:r>
      <w:r w:rsidRPr="002A01B8">
        <w:rPr>
          <w:rFonts w:ascii="Times New Roman" w:hAnsi="Times New Roman" w:cs="Times New Roman"/>
          <w:sz w:val="18"/>
          <w:szCs w:val="18"/>
        </w:rPr>
        <w:t xml:space="preserve"> Carey and Mitchell, p. 131. </w:t>
      </w:r>
    </w:p>
  </w:footnote>
  <w:footnote w:id="18">
    <w:p w14:paraId="0BD52F85" w14:textId="77777777" w:rsidR="00080908" w:rsidRPr="002A01B8" w:rsidRDefault="00080908">
      <w:pPr>
        <w:pStyle w:val="FootnoteText"/>
        <w:rPr>
          <w:rFonts w:ascii="Times New Roman" w:hAnsi="Times New Roman" w:cs="Times New Roman"/>
          <w:sz w:val="18"/>
          <w:szCs w:val="18"/>
        </w:rPr>
      </w:pPr>
      <w:r w:rsidRPr="002A01B8">
        <w:rPr>
          <w:rStyle w:val="FootnoteReference"/>
          <w:rFonts w:ascii="Times New Roman" w:hAnsi="Times New Roman" w:cs="Times New Roman"/>
          <w:sz w:val="18"/>
          <w:szCs w:val="18"/>
        </w:rPr>
        <w:footnoteRef/>
      </w:r>
      <w:r w:rsidRPr="002A01B8">
        <w:rPr>
          <w:rFonts w:ascii="Times New Roman" w:hAnsi="Times New Roman" w:cs="Times New Roman"/>
          <w:sz w:val="18"/>
          <w:szCs w:val="18"/>
        </w:rPr>
        <w:t xml:space="preserve"> Carey and Mitchell, p. 132.</w:t>
      </w:r>
    </w:p>
  </w:footnote>
  <w:footnote w:id="19">
    <w:p w14:paraId="0C8CADAD" w14:textId="77777777" w:rsidR="00080908" w:rsidRPr="002A01B8" w:rsidRDefault="00080908">
      <w:pPr>
        <w:pStyle w:val="FootnoteText"/>
        <w:rPr>
          <w:rFonts w:ascii="Times New Roman" w:hAnsi="Times New Roman" w:cs="Times New Roman"/>
          <w:sz w:val="18"/>
          <w:szCs w:val="18"/>
        </w:rPr>
      </w:pPr>
      <w:r w:rsidRPr="002A01B8">
        <w:rPr>
          <w:rStyle w:val="FootnoteReference"/>
          <w:rFonts w:ascii="Times New Roman" w:hAnsi="Times New Roman" w:cs="Times New Roman"/>
          <w:sz w:val="18"/>
          <w:szCs w:val="18"/>
        </w:rPr>
        <w:footnoteRef/>
      </w:r>
      <w:r w:rsidRPr="002A01B8">
        <w:rPr>
          <w:rFonts w:ascii="Times New Roman" w:hAnsi="Times New Roman" w:cs="Times New Roman"/>
          <w:sz w:val="18"/>
          <w:szCs w:val="18"/>
        </w:rPr>
        <w:t xml:space="preserve"> </w:t>
      </w:r>
      <w:r w:rsidRPr="002A01B8">
        <w:rPr>
          <w:rFonts w:ascii="Times New Roman" w:hAnsi="Times New Roman" w:cs="Times New Roman"/>
          <w:i/>
          <w:iCs/>
          <w:sz w:val="18"/>
          <w:szCs w:val="18"/>
        </w:rPr>
        <w:t>Ibid</w:t>
      </w:r>
      <w:r w:rsidRPr="002A01B8">
        <w:rPr>
          <w:rFonts w:ascii="Times New Roman" w:hAnsi="Times New Roman" w:cs="Times New Roman"/>
          <w:sz w:val="18"/>
          <w:szCs w:val="18"/>
        </w:rPr>
        <w:t xml:space="preserve">. </w:t>
      </w:r>
    </w:p>
  </w:footnote>
  <w:footnote w:id="20">
    <w:p w14:paraId="0BEF8DB5" w14:textId="77777777" w:rsidR="00080908" w:rsidRPr="002A01B8" w:rsidRDefault="00080908">
      <w:pPr>
        <w:pStyle w:val="FootnoteText"/>
        <w:rPr>
          <w:sz w:val="18"/>
          <w:szCs w:val="18"/>
        </w:rPr>
      </w:pPr>
      <w:r w:rsidRPr="002A01B8">
        <w:rPr>
          <w:rStyle w:val="FootnoteReference"/>
          <w:rFonts w:ascii="Times New Roman" w:hAnsi="Times New Roman" w:cs="Times New Roman"/>
          <w:sz w:val="18"/>
          <w:szCs w:val="18"/>
        </w:rPr>
        <w:footnoteRef/>
      </w:r>
      <w:r w:rsidRPr="002A01B8">
        <w:rPr>
          <w:rFonts w:ascii="Times New Roman" w:hAnsi="Times New Roman" w:cs="Times New Roman"/>
          <w:sz w:val="18"/>
          <w:szCs w:val="18"/>
        </w:rPr>
        <w:t xml:space="preserve"> </w:t>
      </w:r>
      <w:r w:rsidRPr="002A01B8">
        <w:rPr>
          <w:rFonts w:ascii="Times New Roman" w:hAnsi="Times New Roman" w:cs="Times New Roman"/>
          <w:i/>
          <w:iCs/>
          <w:sz w:val="18"/>
          <w:szCs w:val="18"/>
        </w:rPr>
        <w:t>Ibid</w:t>
      </w:r>
      <w:r w:rsidRPr="002A01B8">
        <w:rPr>
          <w:rFonts w:ascii="Times New Roman" w:hAnsi="Times New Roman" w:cs="Times New Roman"/>
          <w:sz w:val="18"/>
          <w:szCs w:val="18"/>
        </w:rPr>
        <w:t>.</w:t>
      </w:r>
      <w:r w:rsidRPr="002A01B8">
        <w:rPr>
          <w:sz w:val="18"/>
          <w:szCs w:val="18"/>
        </w:rPr>
        <w:t xml:space="preserve"> </w:t>
      </w:r>
    </w:p>
  </w:footnote>
  <w:footnote w:id="21">
    <w:p w14:paraId="001C13A7" w14:textId="77777777" w:rsidR="00080908" w:rsidRPr="002A01B8" w:rsidRDefault="00080908" w:rsidP="00D74366">
      <w:pPr>
        <w:pStyle w:val="FootnoteText"/>
        <w:rPr>
          <w:rFonts w:asciiTheme="majorBidi" w:hAnsiTheme="majorBidi" w:cstheme="majorBidi"/>
          <w:sz w:val="18"/>
          <w:szCs w:val="18"/>
        </w:rPr>
      </w:pPr>
      <w:r w:rsidRPr="002A01B8">
        <w:rPr>
          <w:rStyle w:val="FootnoteReference"/>
          <w:rFonts w:asciiTheme="majorBidi" w:hAnsiTheme="majorBidi" w:cstheme="majorBidi"/>
          <w:sz w:val="18"/>
          <w:szCs w:val="18"/>
        </w:rPr>
        <w:footnoteRef/>
      </w:r>
      <w:r w:rsidRPr="002A01B8">
        <w:rPr>
          <w:rFonts w:asciiTheme="majorBidi" w:hAnsiTheme="majorBidi" w:cstheme="majorBidi"/>
          <w:sz w:val="18"/>
          <w:szCs w:val="18"/>
        </w:rPr>
        <w:t xml:space="preserve"> Huseyn, “Strong militias, weak states and armed violence,” p. 501. </w:t>
      </w:r>
    </w:p>
  </w:footnote>
  <w:footnote w:id="22">
    <w:p w14:paraId="502A984D" w14:textId="77777777" w:rsidR="00080908" w:rsidRPr="00647245" w:rsidRDefault="00080908" w:rsidP="00C06BF6">
      <w:pPr>
        <w:pStyle w:val="FootnoteText"/>
        <w:rPr>
          <w:rFonts w:asciiTheme="majorBidi" w:hAnsiTheme="majorBidi" w:cstheme="majorBidi"/>
          <w:sz w:val="16"/>
          <w:szCs w:val="16"/>
        </w:rPr>
      </w:pPr>
      <w:r w:rsidRPr="002A01B8">
        <w:rPr>
          <w:rStyle w:val="FootnoteReference"/>
          <w:rFonts w:asciiTheme="majorBidi" w:hAnsiTheme="majorBidi" w:cstheme="majorBidi"/>
          <w:sz w:val="18"/>
          <w:szCs w:val="18"/>
        </w:rPr>
        <w:footnoteRef/>
      </w:r>
      <w:r w:rsidRPr="002A01B8">
        <w:rPr>
          <w:rFonts w:asciiTheme="majorBidi" w:hAnsiTheme="majorBidi" w:cstheme="majorBidi"/>
          <w:sz w:val="18"/>
          <w:szCs w:val="18"/>
        </w:rPr>
        <w:t xml:space="preserve"> Huseyn, “Strong militias, weak states and armed violence,” p. 502-503.</w:t>
      </w:r>
      <w:r w:rsidRPr="00647245">
        <w:rPr>
          <w:rFonts w:asciiTheme="majorBidi" w:hAnsiTheme="majorBidi" w:cstheme="majorBidi"/>
          <w:sz w:val="16"/>
          <w:szCs w:val="16"/>
        </w:rPr>
        <w:t xml:space="preserve"> </w:t>
      </w:r>
    </w:p>
  </w:footnote>
  <w:footnote w:id="23">
    <w:p w14:paraId="0D21A961" w14:textId="77777777" w:rsidR="00080908" w:rsidRPr="002A01B8" w:rsidRDefault="00080908" w:rsidP="00C06BF6">
      <w:pPr>
        <w:pStyle w:val="ListParagraph"/>
        <w:spacing w:after="0" w:line="240" w:lineRule="auto"/>
        <w:ind w:left="0"/>
        <w:rPr>
          <w:rFonts w:asciiTheme="majorBidi" w:hAnsiTheme="majorBidi" w:cstheme="majorBidi"/>
          <w:sz w:val="18"/>
          <w:szCs w:val="18"/>
        </w:rPr>
      </w:pPr>
      <w:r w:rsidRPr="002A01B8">
        <w:rPr>
          <w:rStyle w:val="FootnoteReference"/>
          <w:rFonts w:asciiTheme="majorBidi" w:hAnsiTheme="majorBidi" w:cstheme="majorBidi"/>
          <w:sz w:val="18"/>
          <w:szCs w:val="18"/>
        </w:rPr>
        <w:footnoteRef/>
      </w:r>
      <w:r w:rsidRPr="002A01B8">
        <w:rPr>
          <w:rFonts w:asciiTheme="majorBidi" w:hAnsiTheme="majorBidi" w:cstheme="majorBidi"/>
          <w:sz w:val="18"/>
          <w:szCs w:val="18"/>
        </w:rPr>
        <w:t xml:space="preserve"> </w:t>
      </w:r>
      <w:proofErr w:type="spellStart"/>
      <w:r w:rsidRPr="002A01B8">
        <w:rPr>
          <w:rFonts w:asciiTheme="majorBidi" w:hAnsiTheme="majorBidi" w:cstheme="majorBidi"/>
          <w:sz w:val="18"/>
          <w:szCs w:val="18"/>
        </w:rPr>
        <w:t>Staniland</w:t>
      </w:r>
      <w:proofErr w:type="spellEnd"/>
      <w:r w:rsidRPr="002A01B8">
        <w:rPr>
          <w:rFonts w:asciiTheme="majorBidi" w:hAnsiTheme="majorBidi" w:cstheme="majorBidi"/>
          <w:sz w:val="18"/>
          <w:szCs w:val="18"/>
        </w:rPr>
        <w:t xml:space="preserve">, Paul, “Militias, Ideology, and the State,” </w:t>
      </w:r>
      <w:r w:rsidRPr="002A01B8">
        <w:rPr>
          <w:rFonts w:asciiTheme="majorBidi" w:hAnsiTheme="majorBidi" w:cstheme="majorBidi"/>
          <w:i/>
          <w:sz w:val="18"/>
          <w:szCs w:val="18"/>
        </w:rPr>
        <w:t>Journal of Conflict Resolution</w:t>
      </w:r>
      <w:r w:rsidRPr="002A01B8">
        <w:rPr>
          <w:rFonts w:asciiTheme="majorBidi" w:hAnsiTheme="majorBidi" w:cstheme="majorBidi"/>
          <w:sz w:val="18"/>
          <w:szCs w:val="18"/>
        </w:rPr>
        <w:t xml:space="preserve">, Vol. 59, No. 5 (2015), pp. 770-793. </w:t>
      </w:r>
    </w:p>
  </w:footnote>
  <w:footnote w:id="24">
    <w:p w14:paraId="5F6BA336" w14:textId="77777777" w:rsidR="00080908" w:rsidRPr="002A01B8" w:rsidRDefault="00080908" w:rsidP="00C06BF6">
      <w:pPr>
        <w:pStyle w:val="FootnoteText"/>
        <w:rPr>
          <w:rFonts w:asciiTheme="majorBidi" w:hAnsiTheme="majorBidi" w:cstheme="majorBidi"/>
          <w:sz w:val="18"/>
          <w:szCs w:val="18"/>
        </w:rPr>
      </w:pPr>
      <w:r w:rsidRPr="002A01B8">
        <w:rPr>
          <w:rStyle w:val="FootnoteReference"/>
          <w:rFonts w:asciiTheme="majorBidi" w:hAnsiTheme="majorBidi" w:cstheme="majorBidi"/>
          <w:sz w:val="18"/>
          <w:szCs w:val="18"/>
        </w:rPr>
        <w:footnoteRef/>
      </w:r>
      <w:r w:rsidRPr="002A01B8">
        <w:rPr>
          <w:rFonts w:asciiTheme="majorBidi" w:hAnsiTheme="majorBidi" w:cstheme="majorBidi"/>
          <w:sz w:val="18"/>
          <w:szCs w:val="18"/>
        </w:rPr>
        <w:t xml:space="preserve"> </w:t>
      </w:r>
      <w:proofErr w:type="spellStart"/>
      <w:r w:rsidRPr="002A01B8">
        <w:rPr>
          <w:rFonts w:asciiTheme="majorBidi" w:hAnsiTheme="majorBidi" w:cstheme="majorBidi"/>
          <w:sz w:val="18"/>
          <w:szCs w:val="18"/>
        </w:rPr>
        <w:t>Staniland</w:t>
      </w:r>
      <w:proofErr w:type="spellEnd"/>
      <w:r w:rsidRPr="002A01B8">
        <w:rPr>
          <w:rFonts w:asciiTheme="majorBidi" w:hAnsiTheme="majorBidi" w:cstheme="majorBidi"/>
          <w:sz w:val="18"/>
          <w:szCs w:val="18"/>
        </w:rPr>
        <w:t xml:space="preserve">, p. 781. </w:t>
      </w:r>
    </w:p>
  </w:footnote>
  <w:footnote w:id="25">
    <w:p w14:paraId="3F613891" w14:textId="77777777" w:rsidR="00080908" w:rsidRPr="002A01B8" w:rsidRDefault="00080908" w:rsidP="00C06BF6">
      <w:pPr>
        <w:pStyle w:val="FootnoteText"/>
        <w:rPr>
          <w:rFonts w:ascii="Times New Roman" w:hAnsi="Times New Roman" w:cs="Times New Roman"/>
          <w:sz w:val="18"/>
          <w:szCs w:val="18"/>
        </w:rPr>
      </w:pPr>
      <w:r w:rsidRPr="002A01B8">
        <w:rPr>
          <w:rStyle w:val="FootnoteReference"/>
          <w:rFonts w:asciiTheme="majorBidi" w:hAnsiTheme="majorBidi" w:cstheme="majorBidi"/>
          <w:sz w:val="18"/>
          <w:szCs w:val="18"/>
        </w:rPr>
        <w:footnoteRef/>
      </w:r>
      <w:r w:rsidRPr="002A01B8">
        <w:rPr>
          <w:rFonts w:asciiTheme="majorBidi" w:hAnsiTheme="majorBidi" w:cstheme="majorBidi"/>
          <w:sz w:val="18"/>
          <w:szCs w:val="18"/>
        </w:rPr>
        <w:t xml:space="preserve"> </w:t>
      </w:r>
      <w:r w:rsidRPr="002A01B8">
        <w:rPr>
          <w:rFonts w:asciiTheme="majorBidi" w:hAnsiTheme="majorBidi" w:cstheme="majorBidi"/>
          <w:i/>
          <w:iCs/>
          <w:sz w:val="18"/>
          <w:szCs w:val="18"/>
        </w:rPr>
        <w:t>Ibid</w:t>
      </w:r>
      <w:r w:rsidRPr="002A01B8">
        <w:rPr>
          <w:rFonts w:asciiTheme="majorBidi" w:hAnsiTheme="majorBidi" w:cstheme="majorBidi"/>
          <w:sz w:val="18"/>
          <w:szCs w:val="18"/>
        </w:rPr>
        <w:t>.</w:t>
      </w:r>
      <w:r w:rsidRPr="002A01B8">
        <w:rPr>
          <w:rFonts w:ascii="Times New Roman" w:hAnsi="Times New Roman" w:cs="Times New Roman"/>
          <w:sz w:val="18"/>
          <w:szCs w:val="18"/>
        </w:rPr>
        <w:t xml:space="preserve"> </w:t>
      </w:r>
    </w:p>
  </w:footnote>
  <w:footnote w:id="26">
    <w:p w14:paraId="0FC3E660" w14:textId="77777777" w:rsidR="00080908" w:rsidRPr="002A01B8" w:rsidRDefault="00080908">
      <w:pPr>
        <w:pStyle w:val="FootnoteText"/>
        <w:rPr>
          <w:sz w:val="18"/>
          <w:szCs w:val="18"/>
        </w:rPr>
      </w:pPr>
      <w:r w:rsidRPr="002A01B8">
        <w:rPr>
          <w:rStyle w:val="FootnoteReference"/>
          <w:rFonts w:ascii="Times New Roman" w:hAnsi="Times New Roman" w:cs="Times New Roman"/>
          <w:sz w:val="18"/>
          <w:szCs w:val="18"/>
        </w:rPr>
        <w:footnoteRef/>
      </w:r>
      <w:r w:rsidRPr="002A01B8">
        <w:rPr>
          <w:rFonts w:ascii="Times New Roman" w:hAnsi="Times New Roman" w:cs="Times New Roman"/>
          <w:sz w:val="18"/>
          <w:szCs w:val="18"/>
        </w:rPr>
        <w:t xml:space="preserve"> </w:t>
      </w:r>
      <w:proofErr w:type="spellStart"/>
      <w:r w:rsidRPr="002A01B8">
        <w:rPr>
          <w:rFonts w:ascii="Times New Roman" w:hAnsi="Times New Roman" w:cs="Times New Roman"/>
          <w:sz w:val="18"/>
          <w:szCs w:val="18"/>
        </w:rPr>
        <w:t>Staniland</w:t>
      </w:r>
      <w:proofErr w:type="spellEnd"/>
      <w:r w:rsidRPr="002A01B8">
        <w:rPr>
          <w:rFonts w:ascii="Times New Roman" w:hAnsi="Times New Roman" w:cs="Times New Roman"/>
          <w:sz w:val="18"/>
          <w:szCs w:val="18"/>
        </w:rPr>
        <w:t xml:space="preserve">, p. 771. </w:t>
      </w:r>
    </w:p>
  </w:footnote>
  <w:footnote w:id="27">
    <w:p w14:paraId="6969A03A" w14:textId="77777777" w:rsidR="00080908" w:rsidRPr="00AC65B0" w:rsidRDefault="00080908" w:rsidP="00802CE2">
      <w:pPr>
        <w:pStyle w:val="ListParagraph"/>
        <w:spacing w:after="0" w:line="240" w:lineRule="auto"/>
        <w:ind w:left="0"/>
        <w:rPr>
          <w:rFonts w:ascii="Times New Roman" w:hAnsi="Times New Roman" w:cs="Times New Roman"/>
          <w:sz w:val="16"/>
          <w:szCs w:val="16"/>
        </w:rPr>
      </w:pPr>
      <w:r w:rsidRPr="002A01B8">
        <w:rPr>
          <w:rStyle w:val="FootnoteReference"/>
          <w:rFonts w:ascii="Times New Roman" w:hAnsi="Times New Roman" w:cs="Times New Roman"/>
          <w:sz w:val="18"/>
          <w:szCs w:val="18"/>
        </w:rPr>
        <w:footnoteRef/>
      </w:r>
      <w:r w:rsidRPr="002A01B8">
        <w:rPr>
          <w:rFonts w:ascii="Times New Roman" w:hAnsi="Times New Roman" w:cs="Times New Roman"/>
          <w:sz w:val="18"/>
          <w:szCs w:val="18"/>
        </w:rPr>
        <w:t xml:space="preserve"> </w:t>
      </w:r>
      <w:proofErr w:type="spellStart"/>
      <w:r w:rsidRPr="002A01B8">
        <w:rPr>
          <w:rFonts w:ascii="Times New Roman" w:hAnsi="Times New Roman" w:cs="Times New Roman"/>
          <w:sz w:val="18"/>
          <w:szCs w:val="18"/>
        </w:rPr>
        <w:t>Byman</w:t>
      </w:r>
      <w:proofErr w:type="spellEnd"/>
      <w:r w:rsidRPr="002A01B8">
        <w:rPr>
          <w:rFonts w:ascii="Times New Roman" w:hAnsi="Times New Roman" w:cs="Times New Roman"/>
          <w:sz w:val="18"/>
          <w:szCs w:val="18"/>
        </w:rPr>
        <w:t xml:space="preserve">, Daniel and Sarah E. Kreps, “Agents of Destruction? Applying Principal-Agent Analysis to State-Sponsored Terrorism,” </w:t>
      </w:r>
      <w:r w:rsidRPr="002A01B8">
        <w:rPr>
          <w:rFonts w:ascii="Times New Roman" w:hAnsi="Times New Roman" w:cs="Times New Roman"/>
          <w:i/>
          <w:sz w:val="18"/>
          <w:szCs w:val="18"/>
        </w:rPr>
        <w:t>International Studies Perspectives</w:t>
      </w:r>
      <w:r w:rsidRPr="002A01B8">
        <w:rPr>
          <w:rFonts w:ascii="Times New Roman" w:hAnsi="Times New Roman" w:cs="Times New Roman"/>
          <w:sz w:val="18"/>
          <w:szCs w:val="18"/>
        </w:rPr>
        <w:t>, Vol. 11 (2010), p. 1.</w:t>
      </w:r>
      <w:r w:rsidRPr="00AC65B0">
        <w:rPr>
          <w:rFonts w:ascii="Times New Roman" w:hAnsi="Times New Roman" w:cs="Times New Roman"/>
          <w:sz w:val="16"/>
          <w:szCs w:val="16"/>
        </w:rPr>
        <w:t xml:space="preserve"> </w:t>
      </w:r>
    </w:p>
  </w:footnote>
  <w:footnote w:id="28">
    <w:p w14:paraId="1434C97C" w14:textId="77777777" w:rsidR="00080908" w:rsidRPr="002A01B8" w:rsidRDefault="00080908">
      <w:pPr>
        <w:pStyle w:val="FootnoteText"/>
        <w:rPr>
          <w:rFonts w:ascii="Times New Roman" w:hAnsi="Times New Roman" w:cs="Times New Roman"/>
          <w:sz w:val="18"/>
          <w:szCs w:val="18"/>
        </w:rPr>
      </w:pPr>
      <w:r w:rsidRPr="002A01B8">
        <w:rPr>
          <w:rStyle w:val="FootnoteReference"/>
          <w:rFonts w:ascii="Times New Roman" w:hAnsi="Times New Roman" w:cs="Times New Roman"/>
          <w:sz w:val="18"/>
          <w:szCs w:val="18"/>
        </w:rPr>
        <w:footnoteRef/>
      </w:r>
      <w:r w:rsidRPr="002A01B8">
        <w:rPr>
          <w:rFonts w:ascii="Times New Roman" w:hAnsi="Times New Roman" w:cs="Times New Roman"/>
          <w:sz w:val="18"/>
          <w:szCs w:val="18"/>
        </w:rPr>
        <w:t xml:space="preserve"> </w:t>
      </w:r>
      <w:proofErr w:type="spellStart"/>
      <w:r w:rsidRPr="002A01B8">
        <w:rPr>
          <w:rFonts w:ascii="Times New Roman" w:hAnsi="Times New Roman" w:cs="Times New Roman"/>
          <w:sz w:val="18"/>
          <w:szCs w:val="18"/>
        </w:rPr>
        <w:t>Byman</w:t>
      </w:r>
      <w:proofErr w:type="spellEnd"/>
      <w:r w:rsidRPr="002A01B8">
        <w:rPr>
          <w:rFonts w:ascii="Times New Roman" w:hAnsi="Times New Roman" w:cs="Times New Roman"/>
          <w:sz w:val="18"/>
          <w:szCs w:val="18"/>
        </w:rPr>
        <w:t xml:space="preserve"> and Kreps, p. 9. </w:t>
      </w:r>
    </w:p>
  </w:footnote>
  <w:footnote w:id="29">
    <w:p w14:paraId="4822498D" w14:textId="77777777" w:rsidR="00080908" w:rsidRPr="002A01B8" w:rsidRDefault="00080908">
      <w:pPr>
        <w:pStyle w:val="FootnoteText"/>
        <w:rPr>
          <w:rFonts w:ascii="Times New Roman" w:hAnsi="Times New Roman" w:cs="Times New Roman"/>
          <w:sz w:val="18"/>
          <w:szCs w:val="18"/>
        </w:rPr>
      </w:pPr>
      <w:r w:rsidRPr="002A01B8">
        <w:rPr>
          <w:rStyle w:val="FootnoteReference"/>
          <w:rFonts w:ascii="Times New Roman" w:hAnsi="Times New Roman" w:cs="Times New Roman"/>
          <w:sz w:val="18"/>
          <w:szCs w:val="18"/>
        </w:rPr>
        <w:footnoteRef/>
      </w:r>
      <w:r w:rsidRPr="002A01B8">
        <w:rPr>
          <w:rFonts w:ascii="Times New Roman" w:hAnsi="Times New Roman" w:cs="Times New Roman"/>
          <w:sz w:val="18"/>
          <w:szCs w:val="18"/>
        </w:rPr>
        <w:t xml:space="preserve"> </w:t>
      </w:r>
      <w:r w:rsidRPr="002A01B8">
        <w:rPr>
          <w:rFonts w:ascii="Times New Roman" w:hAnsi="Times New Roman" w:cs="Times New Roman"/>
          <w:i/>
          <w:iCs/>
          <w:sz w:val="18"/>
          <w:szCs w:val="18"/>
        </w:rPr>
        <w:t>Ibid</w:t>
      </w:r>
      <w:r w:rsidRPr="002A01B8">
        <w:rPr>
          <w:rFonts w:ascii="Times New Roman" w:hAnsi="Times New Roman" w:cs="Times New Roman"/>
          <w:sz w:val="18"/>
          <w:szCs w:val="18"/>
        </w:rPr>
        <w:t xml:space="preserve">. </w:t>
      </w:r>
    </w:p>
  </w:footnote>
  <w:footnote w:id="30">
    <w:p w14:paraId="666C8634" w14:textId="77777777" w:rsidR="00080908" w:rsidRPr="002A01B8" w:rsidRDefault="00080908">
      <w:pPr>
        <w:pStyle w:val="FootnoteText"/>
        <w:rPr>
          <w:rFonts w:ascii="Times New Roman" w:hAnsi="Times New Roman" w:cs="Times New Roman"/>
          <w:sz w:val="18"/>
          <w:szCs w:val="18"/>
        </w:rPr>
      </w:pPr>
      <w:r w:rsidRPr="002A01B8">
        <w:rPr>
          <w:rStyle w:val="FootnoteReference"/>
          <w:rFonts w:ascii="Times New Roman" w:hAnsi="Times New Roman" w:cs="Times New Roman"/>
          <w:sz w:val="18"/>
          <w:szCs w:val="18"/>
        </w:rPr>
        <w:footnoteRef/>
      </w:r>
      <w:r w:rsidRPr="002A01B8">
        <w:rPr>
          <w:rFonts w:ascii="Times New Roman" w:hAnsi="Times New Roman" w:cs="Times New Roman"/>
          <w:sz w:val="18"/>
          <w:szCs w:val="18"/>
        </w:rPr>
        <w:t xml:space="preserve"> </w:t>
      </w:r>
      <w:proofErr w:type="spellStart"/>
      <w:r w:rsidRPr="002A01B8">
        <w:rPr>
          <w:rFonts w:ascii="Times New Roman" w:hAnsi="Times New Roman" w:cs="Times New Roman"/>
          <w:sz w:val="18"/>
          <w:szCs w:val="18"/>
        </w:rPr>
        <w:t>Byman</w:t>
      </w:r>
      <w:proofErr w:type="spellEnd"/>
      <w:r w:rsidRPr="002A01B8">
        <w:rPr>
          <w:rFonts w:ascii="Times New Roman" w:hAnsi="Times New Roman" w:cs="Times New Roman"/>
          <w:sz w:val="18"/>
          <w:szCs w:val="18"/>
        </w:rPr>
        <w:t xml:space="preserve"> and Kreps, p. 10. </w:t>
      </w:r>
    </w:p>
  </w:footnote>
  <w:footnote w:id="31">
    <w:p w14:paraId="6C656CE1" w14:textId="77777777" w:rsidR="00080908" w:rsidRPr="002A01B8" w:rsidRDefault="00080908">
      <w:pPr>
        <w:pStyle w:val="FootnoteText"/>
        <w:rPr>
          <w:rFonts w:ascii="Times New Roman" w:hAnsi="Times New Roman" w:cs="Times New Roman"/>
          <w:sz w:val="18"/>
          <w:szCs w:val="18"/>
        </w:rPr>
      </w:pPr>
      <w:r w:rsidRPr="002A01B8">
        <w:rPr>
          <w:rStyle w:val="FootnoteReference"/>
          <w:rFonts w:ascii="Times New Roman" w:hAnsi="Times New Roman" w:cs="Times New Roman"/>
          <w:sz w:val="18"/>
          <w:szCs w:val="18"/>
        </w:rPr>
        <w:footnoteRef/>
      </w:r>
      <w:r w:rsidRPr="002A01B8">
        <w:rPr>
          <w:rFonts w:ascii="Times New Roman" w:hAnsi="Times New Roman" w:cs="Times New Roman"/>
          <w:sz w:val="18"/>
          <w:szCs w:val="18"/>
        </w:rPr>
        <w:t xml:space="preserve"> </w:t>
      </w:r>
      <w:proofErr w:type="spellStart"/>
      <w:r w:rsidRPr="002A01B8">
        <w:rPr>
          <w:rFonts w:ascii="Times New Roman" w:hAnsi="Times New Roman" w:cs="Times New Roman"/>
          <w:sz w:val="18"/>
          <w:szCs w:val="18"/>
        </w:rPr>
        <w:t>Byman</w:t>
      </w:r>
      <w:proofErr w:type="spellEnd"/>
      <w:r w:rsidRPr="002A01B8">
        <w:rPr>
          <w:rFonts w:ascii="Times New Roman" w:hAnsi="Times New Roman" w:cs="Times New Roman"/>
          <w:sz w:val="18"/>
          <w:szCs w:val="18"/>
        </w:rPr>
        <w:t xml:space="preserve"> and Kreps, p. 11. </w:t>
      </w:r>
    </w:p>
  </w:footnote>
  <w:footnote w:id="32">
    <w:p w14:paraId="0A0ED479" w14:textId="77777777" w:rsidR="00080908" w:rsidRPr="002A01B8" w:rsidRDefault="00080908">
      <w:pPr>
        <w:pStyle w:val="FootnoteText"/>
        <w:rPr>
          <w:rFonts w:ascii="Times New Roman" w:hAnsi="Times New Roman" w:cs="Times New Roman"/>
          <w:sz w:val="18"/>
          <w:szCs w:val="18"/>
        </w:rPr>
      </w:pPr>
      <w:r w:rsidRPr="002A01B8">
        <w:rPr>
          <w:rStyle w:val="FootnoteReference"/>
          <w:rFonts w:ascii="Times New Roman" w:hAnsi="Times New Roman" w:cs="Times New Roman"/>
          <w:sz w:val="18"/>
          <w:szCs w:val="18"/>
        </w:rPr>
        <w:footnoteRef/>
      </w:r>
      <w:r w:rsidRPr="002A01B8">
        <w:rPr>
          <w:rFonts w:ascii="Times New Roman" w:hAnsi="Times New Roman" w:cs="Times New Roman"/>
          <w:sz w:val="18"/>
          <w:szCs w:val="18"/>
        </w:rPr>
        <w:t xml:space="preserve"> </w:t>
      </w:r>
      <w:proofErr w:type="spellStart"/>
      <w:r w:rsidRPr="002A01B8">
        <w:rPr>
          <w:rFonts w:ascii="Times New Roman" w:hAnsi="Times New Roman" w:cs="Times New Roman"/>
          <w:sz w:val="18"/>
          <w:szCs w:val="18"/>
        </w:rPr>
        <w:t>Byman</w:t>
      </w:r>
      <w:proofErr w:type="spellEnd"/>
      <w:r w:rsidRPr="002A01B8">
        <w:rPr>
          <w:rFonts w:ascii="Times New Roman" w:hAnsi="Times New Roman" w:cs="Times New Roman"/>
          <w:sz w:val="18"/>
          <w:szCs w:val="18"/>
        </w:rPr>
        <w:t xml:space="preserve"> and Kreps, p. 12. </w:t>
      </w:r>
    </w:p>
  </w:footnote>
  <w:footnote w:id="33">
    <w:p w14:paraId="75F9EC9D" w14:textId="77777777" w:rsidR="00080908" w:rsidRPr="002A01B8" w:rsidRDefault="00080908">
      <w:pPr>
        <w:pStyle w:val="FootnoteText"/>
        <w:rPr>
          <w:rFonts w:ascii="Times New Roman" w:hAnsi="Times New Roman" w:cs="Times New Roman"/>
          <w:sz w:val="18"/>
          <w:szCs w:val="18"/>
        </w:rPr>
      </w:pPr>
      <w:r w:rsidRPr="002A01B8">
        <w:rPr>
          <w:rStyle w:val="FootnoteReference"/>
          <w:rFonts w:ascii="Times New Roman" w:hAnsi="Times New Roman" w:cs="Times New Roman"/>
          <w:sz w:val="18"/>
          <w:szCs w:val="18"/>
        </w:rPr>
        <w:footnoteRef/>
      </w:r>
      <w:r w:rsidRPr="002A01B8">
        <w:rPr>
          <w:rFonts w:ascii="Times New Roman" w:hAnsi="Times New Roman" w:cs="Times New Roman"/>
          <w:sz w:val="18"/>
          <w:szCs w:val="18"/>
        </w:rPr>
        <w:t xml:space="preserve"> </w:t>
      </w:r>
      <w:r w:rsidRPr="002A01B8">
        <w:rPr>
          <w:rFonts w:ascii="Times New Roman" w:hAnsi="Times New Roman" w:cs="Times New Roman"/>
          <w:i/>
          <w:iCs/>
          <w:sz w:val="18"/>
          <w:szCs w:val="18"/>
        </w:rPr>
        <w:t>Ibid</w:t>
      </w:r>
      <w:r w:rsidRPr="002A01B8">
        <w:rPr>
          <w:rFonts w:ascii="Times New Roman" w:hAnsi="Times New Roman" w:cs="Times New Roman"/>
          <w:sz w:val="18"/>
          <w:szCs w:val="18"/>
        </w:rPr>
        <w:t xml:space="preserve">. </w:t>
      </w:r>
    </w:p>
  </w:footnote>
  <w:footnote w:id="34">
    <w:p w14:paraId="0FF727E4" w14:textId="77777777" w:rsidR="00080908" w:rsidRPr="002A01B8" w:rsidRDefault="00080908">
      <w:pPr>
        <w:pStyle w:val="FootnoteText"/>
        <w:rPr>
          <w:sz w:val="18"/>
          <w:szCs w:val="18"/>
        </w:rPr>
      </w:pPr>
      <w:r w:rsidRPr="002A01B8">
        <w:rPr>
          <w:rStyle w:val="FootnoteReference"/>
          <w:rFonts w:ascii="Times New Roman" w:hAnsi="Times New Roman" w:cs="Times New Roman"/>
          <w:sz w:val="18"/>
          <w:szCs w:val="18"/>
        </w:rPr>
        <w:footnoteRef/>
      </w:r>
      <w:r w:rsidRPr="002A01B8">
        <w:rPr>
          <w:rFonts w:ascii="Times New Roman" w:hAnsi="Times New Roman" w:cs="Times New Roman"/>
          <w:sz w:val="18"/>
          <w:szCs w:val="18"/>
        </w:rPr>
        <w:t xml:space="preserve"> </w:t>
      </w:r>
      <w:proofErr w:type="spellStart"/>
      <w:r w:rsidRPr="002A01B8">
        <w:rPr>
          <w:rFonts w:ascii="Times New Roman" w:hAnsi="Times New Roman" w:cs="Times New Roman"/>
          <w:sz w:val="18"/>
          <w:szCs w:val="18"/>
        </w:rPr>
        <w:t>Byman</w:t>
      </w:r>
      <w:proofErr w:type="spellEnd"/>
      <w:r w:rsidRPr="002A01B8">
        <w:rPr>
          <w:rFonts w:ascii="Times New Roman" w:hAnsi="Times New Roman" w:cs="Times New Roman"/>
          <w:sz w:val="18"/>
          <w:szCs w:val="18"/>
        </w:rPr>
        <w:t xml:space="preserve"> and Kreps, p. 13.</w:t>
      </w:r>
      <w:r w:rsidRPr="002A01B8">
        <w:rPr>
          <w:rFonts w:asciiTheme="majorBidi" w:hAnsiTheme="majorBidi" w:cstheme="majorBidi"/>
          <w:sz w:val="18"/>
          <w:szCs w:val="18"/>
        </w:rPr>
        <w:t xml:space="preserve"> </w:t>
      </w:r>
    </w:p>
  </w:footnote>
  <w:footnote w:id="35">
    <w:p w14:paraId="17C21C30" w14:textId="77777777" w:rsidR="00080908" w:rsidRPr="002A01B8" w:rsidRDefault="00080908">
      <w:pPr>
        <w:pStyle w:val="FootnoteText"/>
        <w:rPr>
          <w:rFonts w:asciiTheme="majorBidi" w:hAnsiTheme="majorBidi" w:cstheme="majorBidi"/>
          <w:sz w:val="18"/>
          <w:szCs w:val="18"/>
        </w:rPr>
      </w:pPr>
      <w:r w:rsidRPr="002A01B8">
        <w:rPr>
          <w:rStyle w:val="FootnoteReference"/>
          <w:rFonts w:asciiTheme="majorBidi" w:hAnsiTheme="majorBidi" w:cstheme="majorBidi"/>
          <w:sz w:val="18"/>
          <w:szCs w:val="18"/>
        </w:rPr>
        <w:footnoteRef/>
      </w:r>
      <w:r w:rsidRPr="002A01B8">
        <w:rPr>
          <w:rFonts w:asciiTheme="majorBidi" w:hAnsiTheme="majorBidi" w:cstheme="majorBidi"/>
          <w:sz w:val="18"/>
          <w:szCs w:val="18"/>
        </w:rPr>
        <w:t xml:space="preserve"> San-</w:t>
      </w:r>
      <w:proofErr w:type="spellStart"/>
      <w:r w:rsidRPr="002A01B8">
        <w:rPr>
          <w:rFonts w:asciiTheme="majorBidi" w:hAnsiTheme="majorBidi" w:cstheme="majorBidi"/>
          <w:sz w:val="18"/>
          <w:szCs w:val="18"/>
        </w:rPr>
        <w:t>Akca</w:t>
      </w:r>
      <w:proofErr w:type="spellEnd"/>
      <w:r w:rsidRPr="002A01B8">
        <w:rPr>
          <w:rFonts w:asciiTheme="majorBidi" w:hAnsiTheme="majorBidi" w:cstheme="majorBidi"/>
          <w:sz w:val="18"/>
          <w:szCs w:val="18"/>
        </w:rPr>
        <w:t xml:space="preserve">, </w:t>
      </w:r>
      <w:proofErr w:type="spellStart"/>
      <w:r w:rsidRPr="002A01B8">
        <w:rPr>
          <w:rFonts w:asciiTheme="majorBidi" w:hAnsiTheme="majorBidi" w:cstheme="majorBidi"/>
          <w:sz w:val="18"/>
          <w:szCs w:val="18"/>
        </w:rPr>
        <w:t>Belgin</w:t>
      </w:r>
      <w:proofErr w:type="spellEnd"/>
      <w:r w:rsidRPr="002A01B8">
        <w:rPr>
          <w:rFonts w:asciiTheme="majorBidi" w:hAnsiTheme="majorBidi" w:cstheme="majorBidi"/>
          <w:sz w:val="18"/>
          <w:szCs w:val="18"/>
        </w:rPr>
        <w:t xml:space="preserve">, </w:t>
      </w:r>
      <w:r w:rsidRPr="002A01B8">
        <w:rPr>
          <w:rFonts w:asciiTheme="majorBidi" w:hAnsiTheme="majorBidi" w:cstheme="majorBidi"/>
          <w:i/>
          <w:iCs/>
          <w:sz w:val="18"/>
          <w:szCs w:val="18"/>
        </w:rPr>
        <w:t>States in Disguise: Causes of State Support for Rebel Groups</w:t>
      </w:r>
      <w:r w:rsidRPr="002A01B8">
        <w:rPr>
          <w:rFonts w:asciiTheme="majorBidi" w:hAnsiTheme="majorBidi" w:cstheme="majorBidi"/>
          <w:sz w:val="18"/>
          <w:szCs w:val="18"/>
        </w:rPr>
        <w:t xml:space="preserve"> (New York, Oxford University Press, 2016). </w:t>
      </w:r>
    </w:p>
  </w:footnote>
  <w:footnote w:id="36">
    <w:p w14:paraId="0CC0266C" w14:textId="77777777" w:rsidR="00080908" w:rsidRPr="00A209C8" w:rsidRDefault="00080908">
      <w:pPr>
        <w:pStyle w:val="FootnoteText"/>
        <w:rPr>
          <w:rFonts w:ascii="Times New Roman" w:hAnsi="Times New Roman" w:cs="Times New Roman"/>
          <w:sz w:val="16"/>
          <w:szCs w:val="16"/>
        </w:rPr>
      </w:pPr>
      <w:r w:rsidRPr="002A01B8">
        <w:rPr>
          <w:rStyle w:val="FootnoteReference"/>
          <w:rFonts w:ascii="Times New Roman" w:hAnsi="Times New Roman" w:cs="Times New Roman"/>
          <w:sz w:val="18"/>
          <w:szCs w:val="18"/>
        </w:rPr>
        <w:footnoteRef/>
      </w:r>
      <w:r w:rsidRPr="002A01B8">
        <w:rPr>
          <w:rFonts w:ascii="Times New Roman" w:hAnsi="Times New Roman" w:cs="Times New Roman"/>
          <w:sz w:val="18"/>
          <w:szCs w:val="18"/>
        </w:rPr>
        <w:t xml:space="preserve"> San-</w:t>
      </w:r>
      <w:proofErr w:type="spellStart"/>
      <w:r w:rsidRPr="002A01B8">
        <w:rPr>
          <w:rFonts w:ascii="Times New Roman" w:hAnsi="Times New Roman" w:cs="Times New Roman"/>
          <w:sz w:val="18"/>
          <w:szCs w:val="18"/>
        </w:rPr>
        <w:t>Akca</w:t>
      </w:r>
      <w:proofErr w:type="spellEnd"/>
      <w:r w:rsidRPr="002A01B8">
        <w:rPr>
          <w:rFonts w:ascii="Times New Roman" w:hAnsi="Times New Roman" w:cs="Times New Roman"/>
          <w:sz w:val="18"/>
          <w:szCs w:val="18"/>
        </w:rPr>
        <w:t>, p. 2.</w:t>
      </w:r>
      <w:r w:rsidRPr="00A209C8">
        <w:rPr>
          <w:rFonts w:ascii="Times New Roman" w:hAnsi="Times New Roman" w:cs="Times New Roman"/>
          <w:sz w:val="16"/>
          <w:szCs w:val="16"/>
        </w:rPr>
        <w:t xml:space="preserve"> </w:t>
      </w:r>
    </w:p>
  </w:footnote>
  <w:footnote w:id="37">
    <w:p w14:paraId="428EAD90" w14:textId="77777777" w:rsidR="00080908" w:rsidRPr="002A01B8" w:rsidRDefault="00080908">
      <w:pPr>
        <w:pStyle w:val="FootnoteText"/>
        <w:rPr>
          <w:rFonts w:ascii="Times New Roman" w:hAnsi="Times New Roman" w:cs="Times New Roman"/>
          <w:sz w:val="18"/>
          <w:szCs w:val="18"/>
        </w:rPr>
      </w:pPr>
      <w:r w:rsidRPr="002A01B8">
        <w:rPr>
          <w:rStyle w:val="FootnoteReference"/>
          <w:rFonts w:ascii="Times New Roman" w:hAnsi="Times New Roman" w:cs="Times New Roman"/>
          <w:sz w:val="18"/>
          <w:szCs w:val="18"/>
        </w:rPr>
        <w:footnoteRef/>
      </w:r>
      <w:r w:rsidRPr="002A01B8">
        <w:rPr>
          <w:rFonts w:ascii="Times New Roman" w:hAnsi="Times New Roman" w:cs="Times New Roman"/>
          <w:sz w:val="18"/>
          <w:szCs w:val="18"/>
        </w:rPr>
        <w:t xml:space="preserve"> San-</w:t>
      </w:r>
      <w:proofErr w:type="spellStart"/>
      <w:r w:rsidRPr="002A01B8">
        <w:rPr>
          <w:rFonts w:ascii="Times New Roman" w:hAnsi="Times New Roman" w:cs="Times New Roman"/>
          <w:sz w:val="18"/>
          <w:szCs w:val="18"/>
        </w:rPr>
        <w:t>Akca</w:t>
      </w:r>
      <w:proofErr w:type="spellEnd"/>
      <w:r w:rsidRPr="002A01B8">
        <w:rPr>
          <w:rFonts w:ascii="Times New Roman" w:hAnsi="Times New Roman" w:cs="Times New Roman"/>
          <w:sz w:val="18"/>
          <w:szCs w:val="18"/>
        </w:rPr>
        <w:t xml:space="preserve">, p. 12. </w:t>
      </w:r>
    </w:p>
  </w:footnote>
  <w:footnote w:id="38">
    <w:p w14:paraId="76A54D38" w14:textId="77777777" w:rsidR="00080908" w:rsidRPr="002A01B8" w:rsidRDefault="00080908">
      <w:pPr>
        <w:pStyle w:val="FootnoteText"/>
        <w:rPr>
          <w:rFonts w:ascii="Times New Roman" w:hAnsi="Times New Roman" w:cs="Times New Roman"/>
          <w:sz w:val="18"/>
          <w:szCs w:val="18"/>
        </w:rPr>
      </w:pPr>
      <w:r w:rsidRPr="002A01B8">
        <w:rPr>
          <w:rStyle w:val="FootnoteReference"/>
          <w:rFonts w:ascii="Times New Roman" w:hAnsi="Times New Roman" w:cs="Times New Roman"/>
          <w:sz w:val="18"/>
          <w:szCs w:val="18"/>
        </w:rPr>
        <w:footnoteRef/>
      </w:r>
      <w:r w:rsidRPr="002A01B8">
        <w:rPr>
          <w:rFonts w:ascii="Times New Roman" w:hAnsi="Times New Roman" w:cs="Times New Roman"/>
          <w:sz w:val="18"/>
          <w:szCs w:val="18"/>
        </w:rPr>
        <w:t xml:space="preserve"> San-</w:t>
      </w:r>
      <w:proofErr w:type="spellStart"/>
      <w:r w:rsidRPr="002A01B8">
        <w:rPr>
          <w:rFonts w:ascii="Times New Roman" w:hAnsi="Times New Roman" w:cs="Times New Roman"/>
          <w:sz w:val="18"/>
          <w:szCs w:val="18"/>
        </w:rPr>
        <w:t>Akca</w:t>
      </w:r>
      <w:proofErr w:type="spellEnd"/>
      <w:r w:rsidRPr="002A01B8">
        <w:rPr>
          <w:rFonts w:ascii="Times New Roman" w:hAnsi="Times New Roman" w:cs="Times New Roman"/>
          <w:sz w:val="18"/>
          <w:szCs w:val="18"/>
        </w:rPr>
        <w:t xml:space="preserve">, p. 14. </w:t>
      </w:r>
    </w:p>
  </w:footnote>
  <w:footnote w:id="39">
    <w:p w14:paraId="3E904A5D" w14:textId="77777777" w:rsidR="00080908" w:rsidRPr="002A01B8" w:rsidRDefault="00080908">
      <w:pPr>
        <w:pStyle w:val="FootnoteText"/>
        <w:rPr>
          <w:rFonts w:ascii="Times New Roman" w:hAnsi="Times New Roman" w:cs="Times New Roman"/>
          <w:sz w:val="18"/>
          <w:szCs w:val="18"/>
        </w:rPr>
      </w:pPr>
      <w:r w:rsidRPr="002A01B8">
        <w:rPr>
          <w:rStyle w:val="FootnoteReference"/>
          <w:rFonts w:ascii="Times New Roman" w:hAnsi="Times New Roman" w:cs="Times New Roman"/>
          <w:sz w:val="18"/>
          <w:szCs w:val="18"/>
        </w:rPr>
        <w:footnoteRef/>
      </w:r>
      <w:r w:rsidRPr="002A01B8">
        <w:rPr>
          <w:rFonts w:ascii="Times New Roman" w:hAnsi="Times New Roman" w:cs="Times New Roman"/>
          <w:sz w:val="18"/>
          <w:szCs w:val="18"/>
        </w:rPr>
        <w:t xml:space="preserve"> </w:t>
      </w:r>
      <w:r w:rsidRPr="002A01B8">
        <w:rPr>
          <w:rFonts w:ascii="Times New Roman" w:hAnsi="Times New Roman" w:cs="Times New Roman"/>
          <w:i/>
          <w:iCs/>
          <w:sz w:val="18"/>
          <w:szCs w:val="18"/>
        </w:rPr>
        <w:t>Ibid</w:t>
      </w:r>
      <w:r w:rsidRPr="002A01B8">
        <w:rPr>
          <w:rFonts w:ascii="Times New Roman" w:hAnsi="Times New Roman" w:cs="Times New Roman"/>
          <w:sz w:val="18"/>
          <w:szCs w:val="18"/>
        </w:rPr>
        <w:t xml:space="preserve">. </w:t>
      </w:r>
    </w:p>
  </w:footnote>
  <w:footnote w:id="40">
    <w:p w14:paraId="4081B6B7" w14:textId="77777777" w:rsidR="00080908" w:rsidRPr="002A01B8" w:rsidRDefault="00080908">
      <w:pPr>
        <w:pStyle w:val="FootnoteText"/>
        <w:rPr>
          <w:rFonts w:ascii="Times New Roman" w:hAnsi="Times New Roman" w:cs="Times New Roman"/>
          <w:sz w:val="18"/>
          <w:szCs w:val="18"/>
        </w:rPr>
      </w:pPr>
      <w:r w:rsidRPr="002A01B8">
        <w:rPr>
          <w:rStyle w:val="FootnoteReference"/>
          <w:rFonts w:ascii="Times New Roman" w:hAnsi="Times New Roman" w:cs="Times New Roman"/>
          <w:sz w:val="18"/>
          <w:szCs w:val="18"/>
        </w:rPr>
        <w:footnoteRef/>
      </w:r>
      <w:r w:rsidRPr="002A01B8">
        <w:rPr>
          <w:rFonts w:ascii="Times New Roman" w:hAnsi="Times New Roman" w:cs="Times New Roman"/>
          <w:sz w:val="18"/>
          <w:szCs w:val="18"/>
        </w:rPr>
        <w:t xml:space="preserve"> San-</w:t>
      </w:r>
      <w:proofErr w:type="spellStart"/>
      <w:r w:rsidRPr="002A01B8">
        <w:rPr>
          <w:rFonts w:ascii="Times New Roman" w:hAnsi="Times New Roman" w:cs="Times New Roman"/>
          <w:sz w:val="18"/>
          <w:szCs w:val="18"/>
        </w:rPr>
        <w:t>Akca</w:t>
      </w:r>
      <w:proofErr w:type="spellEnd"/>
      <w:r w:rsidRPr="002A01B8">
        <w:rPr>
          <w:rFonts w:ascii="Times New Roman" w:hAnsi="Times New Roman" w:cs="Times New Roman"/>
          <w:sz w:val="18"/>
          <w:szCs w:val="18"/>
        </w:rPr>
        <w:t xml:space="preserve">, p. 23. </w:t>
      </w:r>
    </w:p>
  </w:footnote>
  <w:footnote w:id="41">
    <w:p w14:paraId="4B4B57A8" w14:textId="77777777" w:rsidR="00080908" w:rsidRPr="002A01B8" w:rsidRDefault="00080908">
      <w:pPr>
        <w:pStyle w:val="FootnoteText"/>
        <w:rPr>
          <w:rFonts w:ascii="Times New Roman" w:hAnsi="Times New Roman" w:cs="Times New Roman"/>
          <w:sz w:val="18"/>
          <w:szCs w:val="18"/>
        </w:rPr>
      </w:pPr>
      <w:r w:rsidRPr="002A01B8">
        <w:rPr>
          <w:rStyle w:val="FootnoteReference"/>
          <w:rFonts w:ascii="Times New Roman" w:hAnsi="Times New Roman" w:cs="Times New Roman"/>
          <w:sz w:val="18"/>
          <w:szCs w:val="18"/>
        </w:rPr>
        <w:footnoteRef/>
      </w:r>
      <w:r w:rsidRPr="002A01B8">
        <w:rPr>
          <w:rFonts w:ascii="Times New Roman" w:hAnsi="Times New Roman" w:cs="Times New Roman"/>
          <w:sz w:val="18"/>
          <w:szCs w:val="18"/>
        </w:rPr>
        <w:t xml:space="preserve"> </w:t>
      </w:r>
      <w:r w:rsidRPr="002A01B8">
        <w:rPr>
          <w:rFonts w:ascii="Times New Roman" w:hAnsi="Times New Roman" w:cs="Times New Roman"/>
          <w:i/>
          <w:iCs/>
          <w:sz w:val="18"/>
          <w:szCs w:val="18"/>
        </w:rPr>
        <w:t>Ibid</w:t>
      </w:r>
      <w:r w:rsidRPr="002A01B8">
        <w:rPr>
          <w:rFonts w:ascii="Times New Roman" w:hAnsi="Times New Roman" w:cs="Times New Roman"/>
          <w:sz w:val="18"/>
          <w:szCs w:val="18"/>
        </w:rPr>
        <w:t xml:space="preserve">. </w:t>
      </w:r>
    </w:p>
  </w:footnote>
  <w:footnote w:id="42">
    <w:p w14:paraId="246EA552" w14:textId="77777777" w:rsidR="00080908" w:rsidRPr="002A01B8" w:rsidRDefault="00080908">
      <w:pPr>
        <w:pStyle w:val="FootnoteText"/>
        <w:rPr>
          <w:rFonts w:ascii="Times New Roman" w:hAnsi="Times New Roman" w:cs="Times New Roman"/>
          <w:sz w:val="18"/>
          <w:szCs w:val="18"/>
        </w:rPr>
      </w:pPr>
      <w:r w:rsidRPr="002A01B8">
        <w:rPr>
          <w:rStyle w:val="FootnoteReference"/>
          <w:rFonts w:ascii="Times New Roman" w:hAnsi="Times New Roman" w:cs="Times New Roman"/>
          <w:sz w:val="18"/>
          <w:szCs w:val="18"/>
        </w:rPr>
        <w:footnoteRef/>
      </w:r>
      <w:r w:rsidRPr="002A01B8">
        <w:rPr>
          <w:rFonts w:ascii="Times New Roman" w:hAnsi="Times New Roman" w:cs="Times New Roman"/>
          <w:sz w:val="18"/>
          <w:szCs w:val="18"/>
        </w:rPr>
        <w:t xml:space="preserve"> San-</w:t>
      </w:r>
      <w:proofErr w:type="spellStart"/>
      <w:r w:rsidRPr="002A01B8">
        <w:rPr>
          <w:rFonts w:ascii="Times New Roman" w:hAnsi="Times New Roman" w:cs="Times New Roman"/>
          <w:sz w:val="18"/>
          <w:szCs w:val="18"/>
        </w:rPr>
        <w:t>Akca</w:t>
      </w:r>
      <w:proofErr w:type="spellEnd"/>
      <w:r w:rsidRPr="002A01B8">
        <w:rPr>
          <w:rFonts w:ascii="Times New Roman" w:hAnsi="Times New Roman" w:cs="Times New Roman"/>
          <w:sz w:val="18"/>
          <w:szCs w:val="18"/>
        </w:rPr>
        <w:t xml:space="preserve">, p. 38. </w:t>
      </w:r>
    </w:p>
  </w:footnote>
  <w:footnote w:id="43">
    <w:p w14:paraId="43C8F3BC" w14:textId="77777777" w:rsidR="00080908" w:rsidRPr="002A01B8" w:rsidRDefault="00080908">
      <w:pPr>
        <w:pStyle w:val="FootnoteText"/>
        <w:rPr>
          <w:rFonts w:ascii="Times New Roman" w:hAnsi="Times New Roman" w:cs="Times New Roman"/>
          <w:sz w:val="18"/>
          <w:szCs w:val="18"/>
        </w:rPr>
      </w:pPr>
      <w:r w:rsidRPr="002A01B8">
        <w:rPr>
          <w:rStyle w:val="FootnoteReference"/>
          <w:rFonts w:ascii="Times New Roman" w:hAnsi="Times New Roman" w:cs="Times New Roman"/>
          <w:sz w:val="18"/>
          <w:szCs w:val="18"/>
        </w:rPr>
        <w:footnoteRef/>
      </w:r>
      <w:r w:rsidRPr="002A01B8">
        <w:rPr>
          <w:rFonts w:ascii="Times New Roman" w:hAnsi="Times New Roman" w:cs="Times New Roman"/>
          <w:sz w:val="18"/>
          <w:szCs w:val="18"/>
        </w:rPr>
        <w:t xml:space="preserve"> San-</w:t>
      </w:r>
      <w:proofErr w:type="spellStart"/>
      <w:r w:rsidRPr="002A01B8">
        <w:rPr>
          <w:rFonts w:ascii="Times New Roman" w:hAnsi="Times New Roman" w:cs="Times New Roman"/>
          <w:sz w:val="18"/>
          <w:szCs w:val="18"/>
        </w:rPr>
        <w:t>Akca</w:t>
      </w:r>
      <w:proofErr w:type="spellEnd"/>
      <w:r w:rsidRPr="002A01B8">
        <w:rPr>
          <w:rFonts w:ascii="Times New Roman" w:hAnsi="Times New Roman" w:cs="Times New Roman"/>
          <w:sz w:val="18"/>
          <w:szCs w:val="18"/>
        </w:rPr>
        <w:t xml:space="preserve">, p. 39. </w:t>
      </w:r>
    </w:p>
  </w:footnote>
  <w:footnote w:id="44">
    <w:p w14:paraId="0F3B4EF0" w14:textId="77777777" w:rsidR="00080908" w:rsidRPr="002A01B8" w:rsidRDefault="00080908" w:rsidP="00A209C8">
      <w:pPr>
        <w:pStyle w:val="FootnoteText"/>
        <w:rPr>
          <w:sz w:val="18"/>
          <w:szCs w:val="18"/>
        </w:rPr>
      </w:pPr>
      <w:r w:rsidRPr="002A01B8">
        <w:rPr>
          <w:rStyle w:val="FootnoteReference"/>
          <w:rFonts w:ascii="Times New Roman" w:hAnsi="Times New Roman" w:cs="Times New Roman"/>
          <w:sz w:val="18"/>
          <w:szCs w:val="18"/>
        </w:rPr>
        <w:footnoteRef/>
      </w:r>
      <w:r w:rsidRPr="002A01B8">
        <w:rPr>
          <w:rFonts w:ascii="Times New Roman" w:hAnsi="Times New Roman" w:cs="Times New Roman"/>
          <w:sz w:val="18"/>
          <w:szCs w:val="18"/>
        </w:rPr>
        <w:t xml:space="preserve"> </w:t>
      </w:r>
      <w:proofErr w:type="spellStart"/>
      <w:r w:rsidRPr="002A01B8">
        <w:rPr>
          <w:rFonts w:ascii="Times New Roman" w:hAnsi="Times New Roman" w:cs="Times New Roman"/>
          <w:sz w:val="18"/>
          <w:szCs w:val="18"/>
        </w:rPr>
        <w:t>Salehyan</w:t>
      </w:r>
      <w:proofErr w:type="spellEnd"/>
      <w:r w:rsidRPr="002A01B8">
        <w:rPr>
          <w:rFonts w:ascii="Times New Roman" w:hAnsi="Times New Roman" w:cs="Times New Roman"/>
          <w:sz w:val="18"/>
          <w:szCs w:val="18"/>
        </w:rPr>
        <w:t xml:space="preserve">, </w:t>
      </w:r>
      <w:proofErr w:type="spellStart"/>
      <w:r w:rsidRPr="002A01B8">
        <w:rPr>
          <w:rFonts w:ascii="Times New Roman" w:hAnsi="Times New Roman" w:cs="Times New Roman"/>
          <w:sz w:val="18"/>
          <w:szCs w:val="18"/>
        </w:rPr>
        <w:t>Idean</w:t>
      </w:r>
      <w:proofErr w:type="spellEnd"/>
      <w:r w:rsidRPr="002A01B8">
        <w:rPr>
          <w:rFonts w:ascii="Times New Roman" w:hAnsi="Times New Roman" w:cs="Times New Roman"/>
          <w:sz w:val="18"/>
          <w:szCs w:val="18"/>
        </w:rPr>
        <w:t xml:space="preserve">, Kristian </w:t>
      </w:r>
      <w:proofErr w:type="spellStart"/>
      <w:r w:rsidRPr="002A01B8">
        <w:rPr>
          <w:rFonts w:ascii="Times New Roman" w:hAnsi="Times New Roman" w:cs="Times New Roman"/>
          <w:sz w:val="18"/>
          <w:szCs w:val="18"/>
        </w:rPr>
        <w:t>Skrede</w:t>
      </w:r>
      <w:proofErr w:type="spellEnd"/>
      <w:r w:rsidRPr="002A01B8">
        <w:rPr>
          <w:rFonts w:ascii="Times New Roman" w:hAnsi="Times New Roman" w:cs="Times New Roman"/>
          <w:sz w:val="18"/>
          <w:szCs w:val="18"/>
        </w:rPr>
        <w:t xml:space="preserve"> </w:t>
      </w:r>
      <w:proofErr w:type="spellStart"/>
      <w:r w:rsidRPr="002A01B8">
        <w:rPr>
          <w:rFonts w:ascii="Times New Roman" w:hAnsi="Times New Roman" w:cs="Times New Roman"/>
          <w:sz w:val="18"/>
          <w:szCs w:val="18"/>
        </w:rPr>
        <w:t>Gleditsch</w:t>
      </w:r>
      <w:proofErr w:type="spellEnd"/>
      <w:r w:rsidRPr="002A01B8">
        <w:rPr>
          <w:rFonts w:ascii="Times New Roman" w:hAnsi="Times New Roman" w:cs="Times New Roman"/>
          <w:sz w:val="18"/>
          <w:szCs w:val="18"/>
        </w:rPr>
        <w:t xml:space="preserve">, and David E. Cunningham, “Explaining External Support for Insurgent Groups,” </w:t>
      </w:r>
      <w:r w:rsidRPr="002A01B8">
        <w:rPr>
          <w:rFonts w:ascii="Times New Roman" w:hAnsi="Times New Roman" w:cs="Times New Roman"/>
          <w:i/>
          <w:iCs/>
          <w:sz w:val="18"/>
          <w:szCs w:val="18"/>
        </w:rPr>
        <w:t>International Organization</w:t>
      </w:r>
      <w:r w:rsidRPr="002A01B8">
        <w:rPr>
          <w:rFonts w:ascii="Times New Roman" w:hAnsi="Times New Roman" w:cs="Times New Roman"/>
          <w:sz w:val="18"/>
          <w:szCs w:val="18"/>
        </w:rPr>
        <w:t xml:space="preserve">, Vol. 65, No. 4 (2011), p. 714. </w:t>
      </w:r>
    </w:p>
  </w:footnote>
  <w:footnote w:id="45">
    <w:p w14:paraId="71500648" w14:textId="77777777" w:rsidR="00080908" w:rsidRPr="00923278" w:rsidRDefault="00080908" w:rsidP="00493908">
      <w:pPr>
        <w:pStyle w:val="FootnoteText"/>
        <w:rPr>
          <w:rFonts w:ascii="Times New Roman" w:hAnsi="Times New Roman" w:cs="Times New Roman"/>
          <w:sz w:val="16"/>
          <w:szCs w:val="16"/>
        </w:rPr>
      </w:pPr>
      <w:r w:rsidRPr="002A01B8">
        <w:rPr>
          <w:rStyle w:val="FootnoteReference"/>
          <w:rFonts w:ascii="Times New Roman" w:hAnsi="Times New Roman" w:cs="Times New Roman"/>
          <w:sz w:val="18"/>
          <w:szCs w:val="18"/>
        </w:rPr>
        <w:footnoteRef/>
      </w:r>
      <w:r w:rsidRPr="002A01B8">
        <w:rPr>
          <w:rFonts w:ascii="Times New Roman" w:hAnsi="Times New Roman" w:cs="Times New Roman"/>
          <w:sz w:val="18"/>
          <w:szCs w:val="18"/>
        </w:rPr>
        <w:t xml:space="preserve"> </w:t>
      </w:r>
      <w:proofErr w:type="spellStart"/>
      <w:r w:rsidRPr="002A01B8">
        <w:rPr>
          <w:rFonts w:ascii="Times New Roman" w:hAnsi="Times New Roman" w:cs="Times New Roman"/>
          <w:sz w:val="18"/>
          <w:szCs w:val="18"/>
        </w:rPr>
        <w:t>Salehyan</w:t>
      </w:r>
      <w:proofErr w:type="spellEnd"/>
      <w:r w:rsidRPr="002A01B8">
        <w:rPr>
          <w:rFonts w:ascii="Times New Roman" w:hAnsi="Times New Roman" w:cs="Times New Roman"/>
          <w:sz w:val="18"/>
          <w:szCs w:val="18"/>
        </w:rPr>
        <w:t xml:space="preserve">, </w:t>
      </w:r>
      <w:proofErr w:type="spellStart"/>
      <w:r w:rsidRPr="002A01B8">
        <w:rPr>
          <w:rFonts w:ascii="Times New Roman" w:hAnsi="Times New Roman" w:cs="Times New Roman"/>
          <w:sz w:val="18"/>
          <w:szCs w:val="18"/>
        </w:rPr>
        <w:t>Gleditsch</w:t>
      </w:r>
      <w:proofErr w:type="spellEnd"/>
      <w:r w:rsidRPr="002A01B8">
        <w:rPr>
          <w:rFonts w:ascii="Times New Roman" w:hAnsi="Times New Roman" w:cs="Times New Roman"/>
          <w:sz w:val="18"/>
          <w:szCs w:val="18"/>
        </w:rPr>
        <w:t>, and Cunningham, p. 715.</w:t>
      </w:r>
      <w:r w:rsidRPr="00923278">
        <w:rPr>
          <w:rFonts w:ascii="Times New Roman" w:hAnsi="Times New Roman" w:cs="Times New Roman"/>
          <w:sz w:val="16"/>
          <w:szCs w:val="16"/>
        </w:rPr>
        <w:t xml:space="preserve"> </w:t>
      </w:r>
    </w:p>
  </w:footnote>
  <w:footnote w:id="46">
    <w:p w14:paraId="260DE1BB" w14:textId="77777777" w:rsidR="00080908" w:rsidRPr="002A01B8" w:rsidRDefault="00080908">
      <w:pPr>
        <w:pStyle w:val="FootnoteText"/>
        <w:rPr>
          <w:rFonts w:ascii="Times New Roman" w:hAnsi="Times New Roman" w:cs="Times New Roman"/>
          <w:sz w:val="18"/>
          <w:szCs w:val="18"/>
        </w:rPr>
      </w:pPr>
      <w:r w:rsidRPr="002A01B8">
        <w:rPr>
          <w:rStyle w:val="FootnoteReference"/>
          <w:rFonts w:ascii="Times New Roman" w:hAnsi="Times New Roman" w:cs="Times New Roman"/>
          <w:sz w:val="18"/>
          <w:szCs w:val="18"/>
        </w:rPr>
        <w:footnoteRef/>
      </w:r>
      <w:r w:rsidRPr="002A01B8">
        <w:rPr>
          <w:rFonts w:ascii="Times New Roman" w:hAnsi="Times New Roman" w:cs="Times New Roman"/>
          <w:sz w:val="18"/>
          <w:szCs w:val="18"/>
        </w:rPr>
        <w:t xml:space="preserve"> San-</w:t>
      </w:r>
      <w:proofErr w:type="spellStart"/>
      <w:r w:rsidRPr="002A01B8">
        <w:rPr>
          <w:rFonts w:ascii="Times New Roman" w:hAnsi="Times New Roman" w:cs="Times New Roman"/>
          <w:sz w:val="18"/>
          <w:szCs w:val="18"/>
        </w:rPr>
        <w:t>Akca</w:t>
      </w:r>
      <w:proofErr w:type="spellEnd"/>
      <w:r w:rsidRPr="002A01B8">
        <w:rPr>
          <w:rFonts w:ascii="Times New Roman" w:hAnsi="Times New Roman" w:cs="Times New Roman"/>
          <w:sz w:val="18"/>
          <w:szCs w:val="18"/>
        </w:rPr>
        <w:t xml:space="preserve">, p. 61. </w:t>
      </w:r>
    </w:p>
  </w:footnote>
  <w:footnote w:id="47">
    <w:p w14:paraId="7D999A39" w14:textId="77777777" w:rsidR="00080908" w:rsidRPr="002A01B8" w:rsidRDefault="00080908">
      <w:pPr>
        <w:pStyle w:val="FootnoteText"/>
        <w:rPr>
          <w:rFonts w:ascii="Times New Roman" w:hAnsi="Times New Roman" w:cs="Times New Roman"/>
          <w:sz w:val="18"/>
          <w:szCs w:val="18"/>
        </w:rPr>
      </w:pPr>
      <w:r w:rsidRPr="002A01B8">
        <w:rPr>
          <w:rStyle w:val="FootnoteReference"/>
          <w:rFonts w:ascii="Times New Roman" w:hAnsi="Times New Roman" w:cs="Times New Roman"/>
          <w:sz w:val="18"/>
          <w:szCs w:val="18"/>
        </w:rPr>
        <w:footnoteRef/>
      </w:r>
      <w:r w:rsidRPr="002A01B8">
        <w:rPr>
          <w:rFonts w:ascii="Times New Roman" w:hAnsi="Times New Roman" w:cs="Times New Roman"/>
          <w:sz w:val="18"/>
          <w:szCs w:val="18"/>
        </w:rPr>
        <w:t xml:space="preserve"> </w:t>
      </w:r>
      <w:proofErr w:type="spellStart"/>
      <w:r w:rsidRPr="002A01B8">
        <w:rPr>
          <w:rFonts w:ascii="Times New Roman" w:hAnsi="Times New Roman" w:cs="Times New Roman"/>
          <w:sz w:val="18"/>
          <w:szCs w:val="18"/>
        </w:rPr>
        <w:t>Gleditsch</w:t>
      </w:r>
      <w:proofErr w:type="spellEnd"/>
      <w:r w:rsidRPr="002A01B8">
        <w:rPr>
          <w:rFonts w:ascii="Times New Roman" w:hAnsi="Times New Roman" w:cs="Times New Roman"/>
          <w:sz w:val="18"/>
          <w:szCs w:val="18"/>
        </w:rPr>
        <w:t xml:space="preserve">, Kristian </w:t>
      </w:r>
      <w:proofErr w:type="spellStart"/>
      <w:r w:rsidRPr="002A01B8">
        <w:rPr>
          <w:rFonts w:ascii="Times New Roman" w:hAnsi="Times New Roman" w:cs="Times New Roman"/>
          <w:sz w:val="18"/>
          <w:szCs w:val="18"/>
        </w:rPr>
        <w:t>Skrede</w:t>
      </w:r>
      <w:proofErr w:type="spellEnd"/>
      <w:r w:rsidRPr="002A01B8">
        <w:rPr>
          <w:rFonts w:ascii="Times New Roman" w:hAnsi="Times New Roman" w:cs="Times New Roman"/>
          <w:sz w:val="18"/>
          <w:szCs w:val="18"/>
        </w:rPr>
        <w:t xml:space="preserve">, “Transnational Dimensions of Civil War,” </w:t>
      </w:r>
      <w:r w:rsidRPr="002A01B8">
        <w:rPr>
          <w:rFonts w:ascii="Times New Roman" w:hAnsi="Times New Roman" w:cs="Times New Roman"/>
          <w:i/>
          <w:iCs/>
          <w:sz w:val="18"/>
          <w:szCs w:val="18"/>
        </w:rPr>
        <w:t>Journal of Peace Research</w:t>
      </w:r>
      <w:r w:rsidRPr="002A01B8">
        <w:rPr>
          <w:rFonts w:ascii="Times New Roman" w:hAnsi="Times New Roman" w:cs="Times New Roman"/>
          <w:sz w:val="18"/>
          <w:szCs w:val="18"/>
        </w:rPr>
        <w:t xml:space="preserve">, Vol. 44, No. 3 (2007), p. 297. </w:t>
      </w:r>
    </w:p>
  </w:footnote>
  <w:footnote w:id="48">
    <w:p w14:paraId="08BE6E01" w14:textId="77777777" w:rsidR="00080908" w:rsidRPr="002A01B8" w:rsidRDefault="00080908" w:rsidP="00325CE9">
      <w:pPr>
        <w:pStyle w:val="FootnoteText"/>
        <w:rPr>
          <w:rFonts w:ascii="Times New Roman" w:hAnsi="Times New Roman" w:cs="Times New Roman"/>
          <w:sz w:val="18"/>
          <w:szCs w:val="18"/>
        </w:rPr>
      </w:pPr>
      <w:r w:rsidRPr="002A01B8">
        <w:rPr>
          <w:rStyle w:val="FootnoteReference"/>
          <w:rFonts w:ascii="Times New Roman" w:hAnsi="Times New Roman" w:cs="Times New Roman"/>
          <w:sz w:val="18"/>
          <w:szCs w:val="18"/>
        </w:rPr>
        <w:footnoteRef/>
      </w:r>
      <w:r w:rsidRPr="002A01B8">
        <w:rPr>
          <w:rFonts w:ascii="Times New Roman" w:hAnsi="Times New Roman" w:cs="Times New Roman"/>
          <w:sz w:val="18"/>
          <w:szCs w:val="18"/>
        </w:rPr>
        <w:t xml:space="preserve"> Michael G. Findley and </w:t>
      </w:r>
      <w:proofErr w:type="spellStart"/>
      <w:r w:rsidRPr="002A01B8">
        <w:rPr>
          <w:rFonts w:ascii="Times New Roman" w:hAnsi="Times New Roman" w:cs="Times New Roman"/>
          <w:sz w:val="18"/>
          <w:szCs w:val="18"/>
        </w:rPr>
        <w:t>Tze</w:t>
      </w:r>
      <w:proofErr w:type="spellEnd"/>
      <w:r w:rsidRPr="002A01B8">
        <w:rPr>
          <w:rFonts w:ascii="Times New Roman" w:hAnsi="Times New Roman" w:cs="Times New Roman"/>
          <w:sz w:val="18"/>
          <w:szCs w:val="18"/>
        </w:rPr>
        <w:t xml:space="preserve"> Kwang Teo, “Rethinking Third-Party Interventions into Civil Wars: An Actor-Centric Approach,” </w:t>
      </w:r>
      <w:r w:rsidRPr="002A01B8">
        <w:rPr>
          <w:rFonts w:ascii="Times New Roman" w:hAnsi="Times New Roman" w:cs="Times New Roman"/>
          <w:i/>
          <w:iCs/>
          <w:sz w:val="18"/>
          <w:szCs w:val="18"/>
        </w:rPr>
        <w:t>Journal of Politics</w:t>
      </w:r>
      <w:r w:rsidRPr="002A01B8">
        <w:rPr>
          <w:rFonts w:ascii="Times New Roman" w:hAnsi="Times New Roman" w:cs="Times New Roman"/>
          <w:sz w:val="18"/>
          <w:szCs w:val="18"/>
        </w:rPr>
        <w:t xml:space="preserve">, Vol. 68, No. 4 (November 2006), p. 832. </w:t>
      </w:r>
    </w:p>
  </w:footnote>
  <w:footnote w:id="49">
    <w:p w14:paraId="0C8EC20E" w14:textId="77777777" w:rsidR="00080908" w:rsidRPr="002A01B8" w:rsidRDefault="00080908">
      <w:pPr>
        <w:pStyle w:val="FootnoteText"/>
        <w:rPr>
          <w:rFonts w:ascii="Times New Roman" w:hAnsi="Times New Roman" w:cs="Times New Roman"/>
          <w:sz w:val="18"/>
          <w:szCs w:val="18"/>
        </w:rPr>
      </w:pPr>
      <w:r w:rsidRPr="002A01B8">
        <w:rPr>
          <w:rStyle w:val="FootnoteReference"/>
          <w:rFonts w:ascii="Times New Roman" w:hAnsi="Times New Roman" w:cs="Times New Roman"/>
          <w:sz w:val="18"/>
          <w:szCs w:val="18"/>
        </w:rPr>
        <w:footnoteRef/>
      </w:r>
      <w:r w:rsidRPr="002A01B8">
        <w:rPr>
          <w:rFonts w:ascii="Times New Roman" w:hAnsi="Times New Roman" w:cs="Times New Roman"/>
          <w:sz w:val="18"/>
          <w:szCs w:val="18"/>
        </w:rPr>
        <w:t xml:space="preserve"> San-</w:t>
      </w:r>
      <w:proofErr w:type="spellStart"/>
      <w:r w:rsidRPr="002A01B8">
        <w:rPr>
          <w:rFonts w:ascii="Times New Roman" w:hAnsi="Times New Roman" w:cs="Times New Roman"/>
          <w:sz w:val="18"/>
          <w:szCs w:val="18"/>
        </w:rPr>
        <w:t>Akca</w:t>
      </w:r>
      <w:proofErr w:type="spellEnd"/>
      <w:r w:rsidRPr="002A01B8">
        <w:rPr>
          <w:rFonts w:ascii="Times New Roman" w:hAnsi="Times New Roman" w:cs="Times New Roman"/>
          <w:sz w:val="18"/>
          <w:szCs w:val="18"/>
        </w:rPr>
        <w:t>, p. 30.</w:t>
      </w:r>
    </w:p>
  </w:footnote>
  <w:footnote w:id="50">
    <w:p w14:paraId="5BB75492" w14:textId="77777777" w:rsidR="00080908" w:rsidRPr="00DE27EA" w:rsidRDefault="00080908" w:rsidP="00E02A34">
      <w:pPr>
        <w:pStyle w:val="FootnoteText"/>
        <w:rPr>
          <w:rFonts w:ascii="Times New Roman" w:hAnsi="Times New Roman" w:cs="Times New Roman"/>
          <w:sz w:val="16"/>
          <w:szCs w:val="16"/>
        </w:rPr>
      </w:pPr>
      <w:r w:rsidRPr="002A01B8">
        <w:rPr>
          <w:rStyle w:val="FootnoteReference"/>
          <w:rFonts w:ascii="Times New Roman" w:hAnsi="Times New Roman" w:cs="Times New Roman"/>
          <w:sz w:val="18"/>
          <w:szCs w:val="18"/>
        </w:rPr>
        <w:footnoteRef/>
      </w:r>
      <w:r w:rsidRPr="002A01B8">
        <w:rPr>
          <w:rFonts w:ascii="Times New Roman" w:hAnsi="Times New Roman" w:cs="Times New Roman"/>
          <w:sz w:val="18"/>
          <w:szCs w:val="18"/>
        </w:rPr>
        <w:t xml:space="preserve">Gary J. Miller, “Monitoring, Rules, and the Control Paradox: Can the Good Soldier </w:t>
      </w:r>
      <w:proofErr w:type="spellStart"/>
      <w:r w:rsidRPr="002A01B8">
        <w:rPr>
          <w:rFonts w:ascii="Times New Roman" w:hAnsi="Times New Roman" w:cs="Times New Roman"/>
          <w:sz w:val="18"/>
          <w:szCs w:val="18"/>
        </w:rPr>
        <w:t>Švejk</w:t>
      </w:r>
      <w:proofErr w:type="spellEnd"/>
      <w:r w:rsidRPr="002A01B8">
        <w:rPr>
          <w:rFonts w:ascii="Times New Roman" w:hAnsi="Times New Roman" w:cs="Times New Roman"/>
          <w:sz w:val="18"/>
          <w:szCs w:val="18"/>
        </w:rPr>
        <w:t xml:space="preserve"> Be Trusted?” in Kramer, R.M. and Tyler, T.R. (eds), </w:t>
      </w:r>
      <w:r w:rsidRPr="002A01B8">
        <w:rPr>
          <w:rFonts w:ascii="Times New Roman" w:hAnsi="Times New Roman" w:cs="Times New Roman"/>
          <w:i/>
          <w:iCs/>
          <w:sz w:val="18"/>
          <w:szCs w:val="18"/>
        </w:rPr>
        <w:t>Trust in Organizations</w:t>
      </w:r>
      <w:r w:rsidRPr="002A01B8">
        <w:rPr>
          <w:rFonts w:ascii="Times New Roman" w:hAnsi="Times New Roman" w:cs="Times New Roman"/>
          <w:sz w:val="18"/>
          <w:szCs w:val="18"/>
        </w:rPr>
        <w:t xml:space="preserve"> (Thousand Oaks: Sage, 2004), p. 112.</w:t>
      </w:r>
      <w:r w:rsidRPr="00DE27EA">
        <w:rPr>
          <w:rFonts w:ascii="Times New Roman" w:hAnsi="Times New Roman" w:cs="Times New Roman"/>
          <w:sz w:val="16"/>
          <w:szCs w:val="16"/>
        </w:rPr>
        <w:t xml:space="preserve"> </w:t>
      </w:r>
    </w:p>
  </w:footnote>
  <w:footnote w:id="51">
    <w:p w14:paraId="23345BCD" w14:textId="77777777" w:rsidR="00080908" w:rsidRPr="002A01B8" w:rsidRDefault="00080908" w:rsidP="00325CE9">
      <w:pPr>
        <w:pStyle w:val="FootnoteText"/>
        <w:rPr>
          <w:rFonts w:asciiTheme="majorBidi" w:hAnsiTheme="majorBidi" w:cstheme="majorBidi"/>
          <w:sz w:val="18"/>
          <w:szCs w:val="18"/>
        </w:rPr>
      </w:pPr>
      <w:r w:rsidRPr="002A01B8">
        <w:rPr>
          <w:rStyle w:val="FootnoteReference"/>
          <w:rFonts w:asciiTheme="majorBidi" w:hAnsiTheme="majorBidi" w:cstheme="majorBidi"/>
          <w:sz w:val="18"/>
          <w:szCs w:val="18"/>
        </w:rPr>
        <w:footnoteRef/>
      </w:r>
      <w:r w:rsidRPr="002A01B8">
        <w:rPr>
          <w:rFonts w:asciiTheme="majorBidi" w:hAnsiTheme="majorBidi" w:cstheme="majorBidi"/>
          <w:sz w:val="18"/>
          <w:szCs w:val="18"/>
        </w:rPr>
        <w:t xml:space="preserve"> Michael C. Jensen and William H. </w:t>
      </w:r>
      <w:proofErr w:type="spellStart"/>
      <w:r w:rsidRPr="002A01B8">
        <w:rPr>
          <w:rFonts w:asciiTheme="majorBidi" w:hAnsiTheme="majorBidi" w:cstheme="majorBidi"/>
          <w:sz w:val="18"/>
          <w:szCs w:val="18"/>
        </w:rPr>
        <w:t>Meckling</w:t>
      </w:r>
      <w:proofErr w:type="spellEnd"/>
      <w:r w:rsidRPr="002A01B8">
        <w:rPr>
          <w:rFonts w:asciiTheme="majorBidi" w:hAnsiTheme="majorBidi" w:cstheme="majorBidi"/>
          <w:sz w:val="18"/>
          <w:szCs w:val="18"/>
        </w:rPr>
        <w:t xml:space="preserve">, “Theory of the Firm: Managerial Behavior, Agency Costs and Ownership Structure,” </w:t>
      </w:r>
      <w:r w:rsidRPr="002A01B8">
        <w:rPr>
          <w:rFonts w:asciiTheme="majorBidi" w:hAnsiTheme="majorBidi" w:cstheme="majorBidi"/>
          <w:i/>
          <w:iCs/>
          <w:sz w:val="18"/>
          <w:szCs w:val="18"/>
        </w:rPr>
        <w:t>Journal of Financial Economics</w:t>
      </w:r>
      <w:r w:rsidRPr="002A01B8">
        <w:rPr>
          <w:rFonts w:asciiTheme="majorBidi" w:hAnsiTheme="majorBidi" w:cstheme="majorBidi"/>
          <w:sz w:val="18"/>
          <w:szCs w:val="18"/>
        </w:rPr>
        <w:t xml:space="preserve">, Vol. 3, No. 4 (October 1976), p. 308. </w:t>
      </w:r>
    </w:p>
  </w:footnote>
  <w:footnote w:id="52">
    <w:p w14:paraId="2AB29D7E" w14:textId="77777777" w:rsidR="00080908" w:rsidRPr="002A01B8" w:rsidRDefault="00080908" w:rsidP="00325CE9">
      <w:pPr>
        <w:pStyle w:val="FootnoteText"/>
        <w:rPr>
          <w:rFonts w:asciiTheme="majorBidi" w:hAnsiTheme="majorBidi" w:cstheme="majorBidi"/>
          <w:sz w:val="18"/>
          <w:szCs w:val="18"/>
        </w:rPr>
      </w:pPr>
      <w:r w:rsidRPr="002A01B8">
        <w:rPr>
          <w:rStyle w:val="FootnoteReference"/>
          <w:rFonts w:asciiTheme="majorBidi" w:hAnsiTheme="majorBidi" w:cstheme="majorBidi"/>
          <w:sz w:val="18"/>
          <w:szCs w:val="18"/>
        </w:rPr>
        <w:footnoteRef/>
      </w:r>
      <w:r w:rsidRPr="002A01B8">
        <w:rPr>
          <w:rFonts w:asciiTheme="majorBidi" w:hAnsiTheme="majorBidi" w:cstheme="majorBidi"/>
          <w:sz w:val="18"/>
          <w:szCs w:val="18"/>
        </w:rPr>
        <w:t xml:space="preserve"> </w:t>
      </w:r>
      <w:r w:rsidRPr="002A01B8">
        <w:rPr>
          <w:rFonts w:asciiTheme="majorBidi" w:hAnsiTheme="majorBidi" w:cstheme="majorBidi"/>
          <w:i/>
          <w:iCs/>
          <w:sz w:val="18"/>
          <w:szCs w:val="18"/>
        </w:rPr>
        <w:t>Ibid</w:t>
      </w:r>
      <w:r w:rsidRPr="002A01B8">
        <w:rPr>
          <w:rFonts w:asciiTheme="majorBidi" w:hAnsiTheme="majorBidi" w:cstheme="majorBidi"/>
          <w:sz w:val="18"/>
          <w:szCs w:val="18"/>
        </w:rPr>
        <w:t xml:space="preserve">. </w:t>
      </w:r>
    </w:p>
  </w:footnote>
  <w:footnote w:id="53">
    <w:p w14:paraId="2150B255" w14:textId="77777777" w:rsidR="00080908" w:rsidRPr="002A01B8" w:rsidRDefault="00080908" w:rsidP="00325CE9">
      <w:pPr>
        <w:pStyle w:val="FootnoteText"/>
        <w:rPr>
          <w:rFonts w:asciiTheme="majorBidi" w:hAnsiTheme="majorBidi" w:cstheme="majorBidi"/>
          <w:sz w:val="18"/>
          <w:szCs w:val="18"/>
        </w:rPr>
      </w:pPr>
      <w:r w:rsidRPr="002A01B8">
        <w:rPr>
          <w:rStyle w:val="FootnoteReference"/>
          <w:rFonts w:asciiTheme="majorBidi" w:hAnsiTheme="majorBidi" w:cstheme="majorBidi"/>
          <w:sz w:val="18"/>
          <w:szCs w:val="18"/>
        </w:rPr>
        <w:footnoteRef/>
      </w:r>
      <w:r w:rsidRPr="002A01B8">
        <w:rPr>
          <w:rFonts w:asciiTheme="majorBidi" w:hAnsiTheme="majorBidi" w:cstheme="majorBidi"/>
          <w:sz w:val="18"/>
          <w:szCs w:val="18"/>
        </w:rPr>
        <w:t xml:space="preserve"> Eli Berman, David A. Lake, Gerard </w:t>
      </w:r>
      <w:proofErr w:type="spellStart"/>
      <w:r w:rsidRPr="002A01B8">
        <w:rPr>
          <w:rFonts w:asciiTheme="majorBidi" w:hAnsiTheme="majorBidi" w:cstheme="majorBidi"/>
          <w:sz w:val="18"/>
          <w:szCs w:val="18"/>
        </w:rPr>
        <w:t>Padró</w:t>
      </w:r>
      <w:proofErr w:type="spellEnd"/>
      <w:r w:rsidRPr="002A01B8">
        <w:rPr>
          <w:rFonts w:asciiTheme="majorBidi" w:hAnsiTheme="majorBidi" w:cstheme="majorBidi"/>
          <w:sz w:val="18"/>
          <w:szCs w:val="18"/>
        </w:rPr>
        <w:t xml:space="preserve"> </w:t>
      </w:r>
      <w:proofErr w:type="spellStart"/>
      <w:r w:rsidRPr="002A01B8">
        <w:rPr>
          <w:rFonts w:asciiTheme="majorBidi" w:hAnsiTheme="majorBidi" w:cstheme="majorBidi"/>
          <w:sz w:val="18"/>
          <w:szCs w:val="18"/>
        </w:rPr>
        <w:t>i</w:t>
      </w:r>
      <w:proofErr w:type="spellEnd"/>
      <w:r w:rsidRPr="002A01B8">
        <w:rPr>
          <w:rFonts w:asciiTheme="majorBidi" w:hAnsiTheme="majorBidi" w:cstheme="majorBidi"/>
          <w:sz w:val="18"/>
          <w:szCs w:val="18"/>
        </w:rPr>
        <w:t xml:space="preserve"> Miquel, and Pierre </w:t>
      </w:r>
      <w:proofErr w:type="spellStart"/>
      <w:r w:rsidRPr="002A01B8">
        <w:rPr>
          <w:rFonts w:asciiTheme="majorBidi" w:hAnsiTheme="majorBidi" w:cstheme="majorBidi"/>
          <w:sz w:val="18"/>
          <w:szCs w:val="18"/>
        </w:rPr>
        <w:t>Yared</w:t>
      </w:r>
      <w:proofErr w:type="spellEnd"/>
      <w:r w:rsidRPr="002A01B8">
        <w:rPr>
          <w:rFonts w:asciiTheme="majorBidi" w:hAnsiTheme="majorBidi" w:cstheme="majorBidi"/>
          <w:sz w:val="18"/>
          <w:szCs w:val="18"/>
        </w:rPr>
        <w:t xml:space="preserve">, “Principals, Agents, and Indirect Foreign Policies,” in eds. Eli Berman, and David A. Lake, </w:t>
      </w:r>
      <w:r w:rsidRPr="002A01B8">
        <w:rPr>
          <w:rFonts w:asciiTheme="majorBidi" w:hAnsiTheme="majorBidi" w:cstheme="majorBidi"/>
          <w:i/>
          <w:iCs/>
          <w:sz w:val="18"/>
          <w:szCs w:val="18"/>
        </w:rPr>
        <w:t>Proxy Wars: Suppressing Violence Through Local Agents</w:t>
      </w:r>
      <w:r w:rsidRPr="002A01B8">
        <w:rPr>
          <w:rFonts w:asciiTheme="majorBidi" w:hAnsiTheme="majorBidi" w:cstheme="majorBidi"/>
          <w:sz w:val="18"/>
          <w:szCs w:val="18"/>
        </w:rPr>
        <w:t xml:space="preserve"> (Ithaca: Cornell University Press), 2019, pp. 14-15. </w:t>
      </w:r>
    </w:p>
  </w:footnote>
  <w:footnote w:id="54">
    <w:p w14:paraId="2FD62C44" w14:textId="77777777" w:rsidR="00080908" w:rsidRPr="002A01B8" w:rsidRDefault="00080908" w:rsidP="00325CE9">
      <w:pPr>
        <w:pStyle w:val="FootnoteText"/>
        <w:rPr>
          <w:rFonts w:asciiTheme="majorBidi" w:hAnsiTheme="majorBidi" w:cstheme="majorBidi"/>
          <w:sz w:val="18"/>
          <w:szCs w:val="18"/>
        </w:rPr>
      </w:pPr>
      <w:r w:rsidRPr="002A01B8">
        <w:rPr>
          <w:rStyle w:val="FootnoteReference"/>
          <w:rFonts w:asciiTheme="majorBidi" w:hAnsiTheme="majorBidi" w:cstheme="majorBidi"/>
          <w:sz w:val="18"/>
          <w:szCs w:val="18"/>
        </w:rPr>
        <w:footnoteRef/>
      </w:r>
      <w:r w:rsidRPr="002A01B8">
        <w:rPr>
          <w:rFonts w:asciiTheme="majorBidi" w:hAnsiTheme="majorBidi" w:cstheme="majorBidi"/>
          <w:sz w:val="18"/>
          <w:szCs w:val="18"/>
        </w:rPr>
        <w:t xml:space="preserve"> </w:t>
      </w:r>
      <w:r w:rsidRPr="002A01B8">
        <w:rPr>
          <w:rFonts w:asciiTheme="majorBidi" w:hAnsiTheme="majorBidi" w:cstheme="majorBidi"/>
          <w:i/>
          <w:iCs/>
          <w:sz w:val="18"/>
          <w:szCs w:val="18"/>
        </w:rPr>
        <w:t>Ibid</w:t>
      </w:r>
      <w:r w:rsidRPr="002A01B8">
        <w:rPr>
          <w:rFonts w:asciiTheme="majorBidi" w:hAnsiTheme="majorBidi" w:cstheme="majorBidi"/>
          <w:sz w:val="18"/>
          <w:szCs w:val="18"/>
        </w:rPr>
        <w:t xml:space="preserve">. </w:t>
      </w:r>
    </w:p>
  </w:footnote>
  <w:footnote w:id="55">
    <w:p w14:paraId="466CE7D2" w14:textId="77777777" w:rsidR="00080908" w:rsidRPr="002A01B8" w:rsidRDefault="00080908" w:rsidP="00325CE9">
      <w:pPr>
        <w:pStyle w:val="FootnoteText"/>
        <w:rPr>
          <w:rFonts w:asciiTheme="majorBidi" w:hAnsiTheme="majorBidi" w:cstheme="majorBidi"/>
          <w:sz w:val="18"/>
          <w:szCs w:val="18"/>
        </w:rPr>
      </w:pPr>
      <w:r w:rsidRPr="002A01B8">
        <w:rPr>
          <w:rStyle w:val="FootnoteReference"/>
          <w:rFonts w:asciiTheme="majorBidi" w:hAnsiTheme="majorBidi" w:cstheme="majorBidi"/>
          <w:sz w:val="18"/>
          <w:szCs w:val="18"/>
        </w:rPr>
        <w:footnoteRef/>
      </w:r>
      <w:r w:rsidRPr="002A01B8">
        <w:rPr>
          <w:rFonts w:asciiTheme="majorBidi" w:hAnsiTheme="majorBidi" w:cstheme="majorBidi"/>
          <w:sz w:val="18"/>
          <w:szCs w:val="18"/>
        </w:rPr>
        <w:t xml:space="preserve"> </w:t>
      </w:r>
      <w:r w:rsidRPr="002A01B8">
        <w:rPr>
          <w:rFonts w:asciiTheme="majorBidi" w:hAnsiTheme="majorBidi" w:cstheme="majorBidi"/>
          <w:i/>
          <w:iCs/>
          <w:sz w:val="18"/>
          <w:szCs w:val="18"/>
        </w:rPr>
        <w:t>Ibid</w:t>
      </w:r>
      <w:r w:rsidRPr="002A01B8">
        <w:rPr>
          <w:rFonts w:asciiTheme="majorBidi" w:hAnsiTheme="majorBidi" w:cstheme="majorBidi"/>
          <w:sz w:val="18"/>
          <w:szCs w:val="18"/>
        </w:rPr>
        <w:t xml:space="preserve">, p. 13. </w:t>
      </w:r>
    </w:p>
  </w:footnote>
  <w:footnote w:id="56">
    <w:p w14:paraId="5B064931" w14:textId="77777777" w:rsidR="00080908" w:rsidRPr="002A01B8" w:rsidRDefault="00080908" w:rsidP="00082D22">
      <w:pPr>
        <w:pStyle w:val="FootnoteText"/>
        <w:rPr>
          <w:rFonts w:asciiTheme="majorBidi" w:hAnsiTheme="majorBidi" w:cstheme="majorBidi"/>
          <w:sz w:val="18"/>
          <w:szCs w:val="18"/>
        </w:rPr>
      </w:pPr>
      <w:r w:rsidRPr="002A01B8">
        <w:rPr>
          <w:rStyle w:val="FootnoteReference"/>
          <w:rFonts w:asciiTheme="majorBidi" w:hAnsiTheme="majorBidi" w:cstheme="majorBidi"/>
          <w:sz w:val="18"/>
          <w:szCs w:val="18"/>
        </w:rPr>
        <w:footnoteRef/>
      </w:r>
      <w:r w:rsidRPr="002A01B8">
        <w:rPr>
          <w:rFonts w:asciiTheme="majorBidi" w:hAnsiTheme="majorBidi" w:cstheme="majorBidi"/>
          <w:sz w:val="18"/>
          <w:szCs w:val="18"/>
        </w:rPr>
        <w:t xml:space="preserve"> </w:t>
      </w:r>
      <w:r w:rsidRPr="002A01B8">
        <w:rPr>
          <w:rFonts w:asciiTheme="majorBidi" w:hAnsiTheme="majorBidi" w:cstheme="majorBidi"/>
          <w:i/>
          <w:iCs/>
          <w:sz w:val="18"/>
          <w:szCs w:val="18"/>
        </w:rPr>
        <w:t>Ibid</w:t>
      </w:r>
      <w:r w:rsidRPr="002A01B8">
        <w:rPr>
          <w:rFonts w:asciiTheme="majorBidi" w:hAnsiTheme="majorBidi" w:cstheme="majorBidi"/>
          <w:sz w:val="18"/>
          <w:szCs w:val="18"/>
        </w:rPr>
        <w:t xml:space="preserve">, p. 19. </w:t>
      </w:r>
    </w:p>
  </w:footnote>
  <w:footnote w:id="57">
    <w:p w14:paraId="1B32B7D7" w14:textId="77777777" w:rsidR="00080908" w:rsidRDefault="00080908" w:rsidP="00DA70B2">
      <w:pPr>
        <w:pStyle w:val="FootnoteText"/>
      </w:pPr>
      <w:r w:rsidRPr="002A01B8">
        <w:rPr>
          <w:rStyle w:val="FootnoteReference"/>
          <w:rFonts w:asciiTheme="majorBidi" w:hAnsiTheme="majorBidi" w:cstheme="majorBidi"/>
          <w:sz w:val="18"/>
          <w:szCs w:val="18"/>
        </w:rPr>
        <w:footnoteRef/>
      </w:r>
      <w:r w:rsidRPr="002A01B8">
        <w:rPr>
          <w:rFonts w:asciiTheme="majorBidi" w:hAnsiTheme="majorBidi" w:cstheme="majorBidi"/>
          <w:sz w:val="18"/>
          <w:szCs w:val="18"/>
        </w:rPr>
        <w:t xml:space="preserve"> Because the principal-agent theory has differing forms (based on different underlying assumptions), not all versions of principal-agent theory are </w:t>
      </w:r>
      <w:r>
        <w:rPr>
          <w:rFonts w:asciiTheme="majorBidi" w:hAnsiTheme="majorBidi" w:cstheme="majorBidi"/>
          <w:sz w:val="18"/>
          <w:szCs w:val="18"/>
        </w:rPr>
        <w:t>uniform</w:t>
      </w:r>
      <w:r w:rsidRPr="002A01B8">
        <w:rPr>
          <w:rFonts w:asciiTheme="majorBidi" w:hAnsiTheme="majorBidi" w:cstheme="majorBidi"/>
          <w:sz w:val="18"/>
          <w:szCs w:val="18"/>
        </w:rPr>
        <w:t xml:space="preserve">. See Gary J. Miller, “The Political Evolution of Principal-Agent Models,” </w:t>
      </w:r>
      <w:r w:rsidRPr="002A01B8">
        <w:rPr>
          <w:rFonts w:asciiTheme="majorBidi" w:hAnsiTheme="majorBidi" w:cstheme="majorBidi"/>
          <w:i/>
          <w:iCs/>
          <w:sz w:val="18"/>
          <w:szCs w:val="18"/>
        </w:rPr>
        <w:t>Annual Review of Political Science</w:t>
      </w:r>
      <w:r w:rsidRPr="002A01B8">
        <w:rPr>
          <w:rFonts w:asciiTheme="majorBidi" w:hAnsiTheme="majorBidi" w:cstheme="majorBidi"/>
          <w:sz w:val="18"/>
          <w:szCs w:val="18"/>
        </w:rPr>
        <w:t>, Vol. 8 (2015), pp. 203-225 for a discussion of different versions of principal-agent theory.</w:t>
      </w:r>
    </w:p>
  </w:footnote>
  <w:footnote w:id="58">
    <w:p w14:paraId="03C3812F" w14:textId="77777777" w:rsidR="00080908" w:rsidRPr="002A01B8" w:rsidRDefault="00080908" w:rsidP="00325CE9">
      <w:pPr>
        <w:pStyle w:val="FootnoteText"/>
        <w:rPr>
          <w:rFonts w:ascii="Times New Roman" w:hAnsi="Times New Roman" w:cs="Times New Roman"/>
          <w:sz w:val="18"/>
          <w:szCs w:val="18"/>
        </w:rPr>
      </w:pPr>
      <w:r w:rsidRPr="002A01B8">
        <w:rPr>
          <w:rStyle w:val="FootnoteReference"/>
          <w:rFonts w:ascii="Times New Roman" w:hAnsi="Times New Roman" w:cs="Times New Roman"/>
          <w:sz w:val="18"/>
          <w:szCs w:val="18"/>
        </w:rPr>
        <w:footnoteRef/>
      </w:r>
      <w:r w:rsidRPr="002A01B8">
        <w:rPr>
          <w:rFonts w:ascii="Times New Roman" w:hAnsi="Times New Roman" w:cs="Times New Roman"/>
          <w:sz w:val="18"/>
          <w:szCs w:val="18"/>
        </w:rPr>
        <w:t xml:space="preserve"> Miller, p. 99. </w:t>
      </w:r>
    </w:p>
  </w:footnote>
  <w:footnote w:id="59">
    <w:p w14:paraId="7E3FA5E3" w14:textId="77777777" w:rsidR="00080908" w:rsidRPr="002A01B8" w:rsidRDefault="00080908" w:rsidP="00325CE9">
      <w:pPr>
        <w:pStyle w:val="FootnoteText"/>
        <w:rPr>
          <w:rFonts w:ascii="Times New Roman" w:hAnsi="Times New Roman" w:cs="Times New Roman"/>
          <w:sz w:val="18"/>
          <w:szCs w:val="18"/>
        </w:rPr>
      </w:pPr>
      <w:r w:rsidRPr="002A01B8">
        <w:rPr>
          <w:rStyle w:val="FootnoteReference"/>
          <w:rFonts w:ascii="Times New Roman" w:hAnsi="Times New Roman" w:cs="Times New Roman"/>
          <w:sz w:val="18"/>
          <w:szCs w:val="18"/>
        </w:rPr>
        <w:footnoteRef/>
      </w:r>
      <w:r w:rsidRPr="002A01B8">
        <w:rPr>
          <w:rFonts w:ascii="Times New Roman" w:hAnsi="Times New Roman" w:cs="Times New Roman"/>
          <w:sz w:val="18"/>
          <w:szCs w:val="18"/>
        </w:rPr>
        <w:t xml:space="preserve"> </w:t>
      </w:r>
      <w:r w:rsidRPr="002A01B8">
        <w:rPr>
          <w:rFonts w:ascii="Times New Roman" w:hAnsi="Times New Roman" w:cs="Times New Roman"/>
          <w:i/>
          <w:iCs/>
          <w:sz w:val="18"/>
          <w:szCs w:val="18"/>
        </w:rPr>
        <w:t>Ibid</w:t>
      </w:r>
      <w:r w:rsidRPr="002A01B8">
        <w:rPr>
          <w:rFonts w:ascii="Times New Roman" w:hAnsi="Times New Roman" w:cs="Times New Roman"/>
          <w:sz w:val="18"/>
          <w:szCs w:val="18"/>
        </w:rPr>
        <w:t xml:space="preserve">, p. 112. </w:t>
      </w:r>
    </w:p>
  </w:footnote>
  <w:footnote w:id="60">
    <w:p w14:paraId="6ACBF00C" w14:textId="77777777" w:rsidR="00080908" w:rsidRPr="00E02A34" w:rsidRDefault="00080908" w:rsidP="00325CE9">
      <w:pPr>
        <w:pStyle w:val="FootnoteText"/>
        <w:rPr>
          <w:rFonts w:ascii="Times New Roman" w:hAnsi="Times New Roman" w:cs="Times New Roman"/>
          <w:sz w:val="16"/>
          <w:szCs w:val="16"/>
        </w:rPr>
      </w:pPr>
      <w:r w:rsidRPr="002A01B8">
        <w:rPr>
          <w:rStyle w:val="FootnoteReference"/>
          <w:rFonts w:ascii="Times New Roman" w:hAnsi="Times New Roman" w:cs="Times New Roman"/>
          <w:sz w:val="18"/>
          <w:szCs w:val="18"/>
        </w:rPr>
        <w:footnoteRef/>
      </w:r>
      <w:r w:rsidRPr="002A01B8">
        <w:rPr>
          <w:rFonts w:ascii="Times New Roman" w:hAnsi="Times New Roman" w:cs="Times New Roman"/>
          <w:sz w:val="18"/>
          <w:szCs w:val="18"/>
        </w:rPr>
        <w:t xml:space="preserve"> </w:t>
      </w:r>
      <w:r w:rsidRPr="002A01B8">
        <w:rPr>
          <w:rFonts w:ascii="Times New Roman" w:hAnsi="Times New Roman" w:cs="Times New Roman"/>
          <w:i/>
          <w:iCs/>
          <w:sz w:val="18"/>
          <w:szCs w:val="18"/>
        </w:rPr>
        <w:t>Ibid</w:t>
      </w:r>
      <w:r w:rsidRPr="002A01B8">
        <w:rPr>
          <w:rFonts w:ascii="Times New Roman" w:hAnsi="Times New Roman" w:cs="Times New Roman"/>
          <w:sz w:val="18"/>
          <w:szCs w:val="18"/>
        </w:rPr>
        <w:t>.</w:t>
      </w:r>
      <w:r w:rsidRPr="00E02A34">
        <w:rPr>
          <w:rFonts w:ascii="Times New Roman" w:hAnsi="Times New Roman" w:cs="Times New Roman"/>
          <w:sz w:val="16"/>
          <w:szCs w:val="16"/>
        </w:rPr>
        <w:t xml:space="preserve"> </w:t>
      </w:r>
    </w:p>
  </w:footnote>
  <w:footnote w:id="61">
    <w:p w14:paraId="2CC4DC7E" w14:textId="77777777" w:rsidR="00080908" w:rsidRPr="002A01B8" w:rsidRDefault="00080908" w:rsidP="006A28C1">
      <w:pPr>
        <w:pStyle w:val="FootnoteText"/>
        <w:rPr>
          <w:rFonts w:ascii="Times New Roman" w:hAnsi="Times New Roman" w:cs="Times New Roman"/>
          <w:sz w:val="18"/>
          <w:szCs w:val="18"/>
        </w:rPr>
      </w:pPr>
      <w:r w:rsidRPr="002A01B8">
        <w:rPr>
          <w:rStyle w:val="FootnoteReference"/>
          <w:rFonts w:ascii="Times New Roman" w:hAnsi="Times New Roman" w:cs="Times New Roman"/>
          <w:sz w:val="18"/>
          <w:szCs w:val="18"/>
        </w:rPr>
        <w:footnoteRef/>
      </w:r>
      <w:r w:rsidRPr="002A01B8">
        <w:rPr>
          <w:rFonts w:ascii="Times New Roman" w:hAnsi="Times New Roman" w:cs="Times New Roman"/>
          <w:sz w:val="18"/>
          <w:szCs w:val="18"/>
        </w:rPr>
        <w:t xml:space="preserve"> </w:t>
      </w:r>
      <w:r w:rsidRPr="006A28C1">
        <w:rPr>
          <w:rFonts w:ascii="Times New Roman" w:hAnsi="Times New Roman" w:cs="Times New Roman"/>
          <w:sz w:val="18"/>
          <w:szCs w:val="18"/>
        </w:rPr>
        <w:t>Margaret Levi</w:t>
      </w:r>
      <w:r>
        <w:rPr>
          <w:rFonts w:ascii="Times New Roman" w:hAnsi="Times New Roman" w:cs="Times New Roman"/>
          <w:sz w:val="18"/>
          <w:szCs w:val="18"/>
        </w:rPr>
        <w:t>, “A State of Trust,” in Eds.</w:t>
      </w:r>
      <w:r w:rsidRPr="006A28C1">
        <w:rPr>
          <w:rFonts w:ascii="Arial" w:hAnsi="Arial" w:cs="Arial"/>
          <w:color w:val="333333"/>
          <w:sz w:val="13"/>
          <w:szCs w:val="13"/>
          <w:shd w:val="clear" w:color="auto" w:fill="FFFFFF"/>
        </w:rPr>
        <w:t xml:space="preserve"> </w:t>
      </w:r>
      <w:r>
        <w:rPr>
          <w:rFonts w:ascii="Times New Roman" w:hAnsi="Times New Roman" w:cs="Times New Roman"/>
          <w:sz w:val="18"/>
          <w:szCs w:val="18"/>
        </w:rPr>
        <w:t xml:space="preserve">Valerie Braithwaite and </w:t>
      </w:r>
      <w:r w:rsidRPr="006A28C1">
        <w:rPr>
          <w:rFonts w:ascii="Times New Roman" w:hAnsi="Times New Roman" w:cs="Times New Roman"/>
          <w:sz w:val="18"/>
          <w:szCs w:val="18"/>
        </w:rPr>
        <w:t>Margaret Levi</w:t>
      </w:r>
      <w:r w:rsidRPr="002A01B8">
        <w:rPr>
          <w:rFonts w:ascii="Times New Roman" w:hAnsi="Times New Roman" w:cs="Times New Roman"/>
          <w:sz w:val="18"/>
          <w:szCs w:val="18"/>
        </w:rPr>
        <w:t>,</w:t>
      </w:r>
      <w:r>
        <w:rPr>
          <w:rFonts w:ascii="Times New Roman" w:hAnsi="Times New Roman" w:cs="Times New Roman"/>
          <w:sz w:val="18"/>
          <w:szCs w:val="18"/>
        </w:rPr>
        <w:t xml:space="preserve"> </w:t>
      </w:r>
      <w:r>
        <w:rPr>
          <w:rFonts w:ascii="Times New Roman" w:hAnsi="Times New Roman" w:cs="Times New Roman"/>
          <w:i/>
          <w:iCs/>
          <w:sz w:val="18"/>
          <w:szCs w:val="18"/>
        </w:rPr>
        <w:t>Trust and Governance</w:t>
      </w:r>
      <w:r>
        <w:rPr>
          <w:rFonts w:ascii="Times New Roman" w:hAnsi="Times New Roman" w:cs="Times New Roman"/>
          <w:sz w:val="18"/>
          <w:szCs w:val="18"/>
        </w:rPr>
        <w:t xml:space="preserve"> (New York: Russell Sage Foundation), 1998,</w:t>
      </w:r>
      <w:r w:rsidRPr="002A01B8">
        <w:rPr>
          <w:rFonts w:ascii="Times New Roman" w:hAnsi="Times New Roman" w:cs="Times New Roman"/>
          <w:sz w:val="18"/>
          <w:szCs w:val="18"/>
        </w:rPr>
        <w:t xml:space="preserve"> p. 78. </w:t>
      </w:r>
    </w:p>
  </w:footnote>
  <w:footnote w:id="62">
    <w:p w14:paraId="174BA96A" w14:textId="77777777" w:rsidR="00080908" w:rsidRPr="002A01B8" w:rsidRDefault="00080908" w:rsidP="00325CE9">
      <w:pPr>
        <w:pStyle w:val="FootnoteText"/>
        <w:rPr>
          <w:sz w:val="18"/>
          <w:szCs w:val="18"/>
        </w:rPr>
      </w:pPr>
      <w:r w:rsidRPr="002A01B8">
        <w:rPr>
          <w:rStyle w:val="FootnoteReference"/>
          <w:rFonts w:ascii="Times New Roman" w:hAnsi="Times New Roman" w:cs="Times New Roman"/>
          <w:sz w:val="18"/>
          <w:szCs w:val="18"/>
        </w:rPr>
        <w:footnoteRef/>
      </w:r>
      <w:r w:rsidRPr="002A01B8">
        <w:rPr>
          <w:rFonts w:ascii="Times New Roman" w:hAnsi="Times New Roman" w:cs="Times New Roman"/>
          <w:sz w:val="18"/>
          <w:szCs w:val="18"/>
        </w:rPr>
        <w:t xml:space="preserve"> Farrell, Henry, and Jack Knight, “Trust and Institutional Compliance,” Unpublished paper (May 2006), p. 5. </w:t>
      </w:r>
    </w:p>
  </w:footnote>
  <w:footnote w:id="63">
    <w:p w14:paraId="4CAF009A" w14:textId="77777777" w:rsidR="00080908" w:rsidRPr="00330222" w:rsidRDefault="00080908" w:rsidP="00325CE9">
      <w:pPr>
        <w:pStyle w:val="FootnoteText"/>
        <w:rPr>
          <w:rFonts w:ascii="Times New Roman" w:hAnsi="Times New Roman" w:cs="Times New Roman"/>
          <w:sz w:val="18"/>
          <w:szCs w:val="18"/>
        </w:rPr>
      </w:pPr>
      <w:r w:rsidRPr="00330222">
        <w:rPr>
          <w:rStyle w:val="FootnoteReference"/>
          <w:rFonts w:ascii="Times New Roman" w:hAnsi="Times New Roman" w:cs="Times New Roman"/>
          <w:sz w:val="18"/>
          <w:szCs w:val="18"/>
        </w:rPr>
        <w:footnoteRef/>
      </w:r>
      <w:r w:rsidRPr="00330222">
        <w:rPr>
          <w:rFonts w:ascii="Times New Roman" w:hAnsi="Times New Roman" w:cs="Times New Roman"/>
          <w:sz w:val="18"/>
          <w:szCs w:val="18"/>
        </w:rPr>
        <w:t xml:space="preserve"> Berman, Lake, </w:t>
      </w:r>
      <w:proofErr w:type="spellStart"/>
      <w:r w:rsidRPr="00330222">
        <w:rPr>
          <w:rFonts w:ascii="Times New Roman" w:hAnsi="Times New Roman" w:cs="Times New Roman"/>
          <w:sz w:val="18"/>
          <w:szCs w:val="18"/>
        </w:rPr>
        <w:t>Padró</w:t>
      </w:r>
      <w:proofErr w:type="spellEnd"/>
      <w:r w:rsidRPr="00330222">
        <w:rPr>
          <w:rFonts w:ascii="Times New Roman" w:hAnsi="Times New Roman" w:cs="Times New Roman"/>
          <w:sz w:val="18"/>
          <w:szCs w:val="18"/>
        </w:rPr>
        <w:t xml:space="preserve"> </w:t>
      </w:r>
      <w:proofErr w:type="spellStart"/>
      <w:r w:rsidRPr="00330222">
        <w:rPr>
          <w:rFonts w:ascii="Times New Roman" w:hAnsi="Times New Roman" w:cs="Times New Roman"/>
          <w:sz w:val="18"/>
          <w:szCs w:val="18"/>
        </w:rPr>
        <w:t>i</w:t>
      </w:r>
      <w:proofErr w:type="spellEnd"/>
      <w:r w:rsidRPr="00330222">
        <w:rPr>
          <w:rFonts w:ascii="Times New Roman" w:hAnsi="Times New Roman" w:cs="Times New Roman"/>
          <w:sz w:val="18"/>
          <w:szCs w:val="18"/>
        </w:rPr>
        <w:t xml:space="preserve"> Miquel, and </w:t>
      </w:r>
      <w:proofErr w:type="spellStart"/>
      <w:r w:rsidRPr="00330222">
        <w:rPr>
          <w:rFonts w:ascii="Times New Roman" w:hAnsi="Times New Roman" w:cs="Times New Roman"/>
          <w:sz w:val="18"/>
          <w:szCs w:val="18"/>
        </w:rPr>
        <w:t>Yared</w:t>
      </w:r>
      <w:proofErr w:type="spellEnd"/>
      <w:r w:rsidRPr="00330222">
        <w:rPr>
          <w:rFonts w:ascii="Times New Roman" w:hAnsi="Times New Roman" w:cs="Times New Roman"/>
          <w:sz w:val="18"/>
          <w:szCs w:val="18"/>
        </w:rPr>
        <w:t xml:space="preserve">, p. 3.  </w:t>
      </w:r>
    </w:p>
  </w:footnote>
  <w:footnote w:id="64">
    <w:p w14:paraId="70B6FD84" w14:textId="77777777" w:rsidR="00080908" w:rsidRDefault="00080908">
      <w:pPr>
        <w:pStyle w:val="FootnoteText"/>
      </w:pPr>
      <w:r w:rsidRPr="00330222">
        <w:rPr>
          <w:rStyle w:val="FootnoteReference"/>
          <w:rFonts w:ascii="Times New Roman" w:hAnsi="Times New Roman" w:cs="Times New Roman"/>
          <w:sz w:val="18"/>
          <w:szCs w:val="18"/>
        </w:rPr>
        <w:footnoteRef/>
      </w:r>
      <w:r w:rsidRPr="00330222">
        <w:rPr>
          <w:rFonts w:ascii="Times New Roman" w:hAnsi="Times New Roman" w:cs="Times New Roman"/>
          <w:sz w:val="18"/>
          <w:szCs w:val="18"/>
        </w:rPr>
        <w:t xml:space="preserve"> Carey and Mitchell, p. 133.</w:t>
      </w:r>
      <w:r>
        <w:t xml:space="preserve"> </w:t>
      </w:r>
    </w:p>
  </w:footnote>
  <w:footnote w:id="65">
    <w:p w14:paraId="3728AE89" w14:textId="77777777" w:rsidR="00080908" w:rsidRPr="002A01B8" w:rsidRDefault="00080908" w:rsidP="004D14F0">
      <w:pPr>
        <w:pStyle w:val="FootnoteText"/>
        <w:rPr>
          <w:rFonts w:asciiTheme="majorBidi" w:hAnsiTheme="majorBidi" w:cstheme="majorBidi"/>
          <w:sz w:val="18"/>
          <w:szCs w:val="18"/>
        </w:rPr>
      </w:pPr>
      <w:r w:rsidRPr="002A01B8">
        <w:rPr>
          <w:rStyle w:val="FootnoteReference"/>
          <w:rFonts w:asciiTheme="majorBidi" w:hAnsiTheme="majorBidi" w:cstheme="majorBidi"/>
          <w:sz w:val="18"/>
          <w:szCs w:val="18"/>
        </w:rPr>
        <w:footnoteRef/>
      </w:r>
      <w:r w:rsidRPr="002A01B8">
        <w:rPr>
          <w:rFonts w:asciiTheme="majorBidi" w:hAnsiTheme="majorBidi" w:cstheme="majorBidi"/>
          <w:sz w:val="18"/>
          <w:szCs w:val="18"/>
        </w:rPr>
        <w:t xml:space="preserve"> Glenn H. Snyder, </w:t>
      </w:r>
      <w:r w:rsidRPr="002A01B8">
        <w:rPr>
          <w:rFonts w:asciiTheme="majorBidi" w:hAnsiTheme="majorBidi" w:cstheme="majorBidi"/>
          <w:i/>
          <w:iCs/>
          <w:sz w:val="18"/>
          <w:szCs w:val="18"/>
        </w:rPr>
        <w:t>Alliance Politics</w:t>
      </w:r>
      <w:r w:rsidRPr="002A01B8">
        <w:rPr>
          <w:rFonts w:asciiTheme="majorBidi" w:hAnsiTheme="majorBidi" w:cstheme="majorBidi"/>
          <w:sz w:val="18"/>
          <w:szCs w:val="18"/>
        </w:rPr>
        <w:t xml:space="preserve"> (Ithaca: Cornell University Press, 1997), p. 5. </w:t>
      </w:r>
    </w:p>
  </w:footnote>
  <w:footnote w:id="66">
    <w:p w14:paraId="2EBC81BB" w14:textId="77777777" w:rsidR="00080908" w:rsidRPr="00BE13D3" w:rsidRDefault="00080908" w:rsidP="00CC2FCD">
      <w:pPr>
        <w:pStyle w:val="FootnoteText"/>
        <w:rPr>
          <w:rFonts w:asciiTheme="majorBidi" w:hAnsiTheme="majorBidi" w:cstheme="majorBidi"/>
          <w:sz w:val="16"/>
          <w:szCs w:val="16"/>
        </w:rPr>
      </w:pPr>
      <w:r w:rsidRPr="002A01B8">
        <w:rPr>
          <w:rStyle w:val="FootnoteReference"/>
          <w:rFonts w:asciiTheme="majorBidi" w:hAnsiTheme="majorBidi" w:cstheme="majorBidi"/>
          <w:sz w:val="18"/>
          <w:szCs w:val="18"/>
        </w:rPr>
        <w:footnoteRef/>
      </w:r>
      <w:r w:rsidRPr="002A01B8">
        <w:rPr>
          <w:rFonts w:asciiTheme="majorBidi" w:hAnsiTheme="majorBidi" w:cstheme="majorBidi"/>
          <w:sz w:val="18"/>
          <w:szCs w:val="18"/>
        </w:rPr>
        <w:t xml:space="preserve"> Snyder, p. 12.</w:t>
      </w:r>
      <w:r w:rsidRPr="00BE13D3">
        <w:rPr>
          <w:rFonts w:asciiTheme="majorBidi" w:hAnsiTheme="majorBidi" w:cstheme="majorBidi"/>
          <w:sz w:val="16"/>
          <w:szCs w:val="16"/>
        </w:rPr>
        <w:t xml:space="preserve"> </w:t>
      </w:r>
    </w:p>
  </w:footnote>
  <w:footnote w:id="67">
    <w:p w14:paraId="10C9B31C" w14:textId="77777777" w:rsidR="00080908" w:rsidRPr="002A01B8" w:rsidRDefault="00080908" w:rsidP="004D14F0">
      <w:pPr>
        <w:pStyle w:val="FootnoteText"/>
        <w:rPr>
          <w:rFonts w:ascii="Times New Roman" w:hAnsi="Times New Roman" w:cs="Times New Roman"/>
          <w:sz w:val="18"/>
          <w:szCs w:val="18"/>
        </w:rPr>
      </w:pPr>
      <w:r w:rsidRPr="002A01B8">
        <w:rPr>
          <w:rStyle w:val="FootnoteReference"/>
          <w:rFonts w:ascii="Times New Roman" w:hAnsi="Times New Roman" w:cs="Times New Roman"/>
          <w:sz w:val="18"/>
          <w:szCs w:val="18"/>
        </w:rPr>
        <w:footnoteRef/>
      </w:r>
      <w:r w:rsidRPr="002A01B8">
        <w:rPr>
          <w:rFonts w:ascii="Times New Roman" w:hAnsi="Times New Roman" w:cs="Times New Roman"/>
          <w:sz w:val="18"/>
          <w:szCs w:val="18"/>
        </w:rPr>
        <w:t xml:space="preserve"> </w:t>
      </w:r>
      <w:r w:rsidRPr="002A01B8">
        <w:rPr>
          <w:rFonts w:asciiTheme="majorBidi" w:hAnsiTheme="majorBidi" w:cstheme="majorBidi"/>
          <w:sz w:val="18"/>
          <w:szCs w:val="18"/>
        </w:rPr>
        <w:t>Snyder</w:t>
      </w:r>
      <w:r w:rsidRPr="002A01B8">
        <w:rPr>
          <w:rFonts w:ascii="Times New Roman" w:hAnsi="Times New Roman" w:cs="Times New Roman"/>
          <w:sz w:val="18"/>
          <w:szCs w:val="18"/>
        </w:rPr>
        <w:t xml:space="preserve">, p. 75. </w:t>
      </w:r>
    </w:p>
  </w:footnote>
  <w:footnote w:id="68">
    <w:p w14:paraId="24E8FA49" w14:textId="77777777" w:rsidR="00080908" w:rsidRPr="002A01B8" w:rsidRDefault="00080908" w:rsidP="004D14F0">
      <w:pPr>
        <w:pStyle w:val="FootnoteText"/>
        <w:rPr>
          <w:rFonts w:ascii="Times New Roman" w:hAnsi="Times New Roman" w:cs="Times New Roman"/>
          <w:sz w:val="18"/>
          <w:szCs w:val="18"/>
        </w:rPr>
      </w:pPr>
      <w:r w:rsidRPr="002A01B8">
        <w:rPr>
          <w:rStyle w:val="FootnoteReference"/>
          <w:rFonts w:ascii="Times New Roman" w:hAnsi="Times New Roman" w:cs="Times New Roman"/>
          <w:sz w:val="18"/>
          <w:szCs w:val="18"/>
        </w:rPr>
        <w:footnoteRef/>
      </w:r>
      <w:r w:rsidRPr="002A01B8">
        <w:rPr>
          <w:rFonts w:ascii="Times New Roman" w:hAnsi="Times New Roman" w:cs="Times New Roman"/>
          <w:sz w:val="18"/>
          <w:szCs w:val="18"/>
        </w:rPr>
        <w:t xml:space="preserve"> </w:t>
      </w:r>
      <w:r w:rsidRPr="002A01B8">
        <w:rPr>
          <w:rFonts w:asciiTheme="majorBidi" w:hAnsiTheme="majorBidi" w:cstheme="majorBidi"/>
          <w:sz w:val="18"/>
          <w:szCs w:val="18"/>
        </w:rPr>
        <w:t>Snyder</w:t>
      </w:r>
      <w:r w:rsidRPr="002A01B8">
        <w:rPr>
          <w:rFonts w:ascii="Times New Roman" w:hAnsi="Times New Roman" w:cs="Times New Roman"/>
          <w:sz w:val="18"/>
          <w:szCs w:val="18"/>
        </w:rPr>
        <w:t xml:space="preserve">, p. 37. </w:t>
      </w:r>
    </w:p>
  </w:footnote>
  <w:footnote w:id="69">
    <w:p w14:paraId="18D69671" w14:textId="77777777" w:rsidR="00080908" w:rsidRPr="002A01B8" w:rsidRDefault="00080908" w:rsidP="004D14F0">
      <w:pPr>
        <w:pStyle w:val="FootnoteText"/>
        <w:rPr>
          <w:rFonts w:ascii="Times New Roman" w:hAnsi="Times New Roman" w:cs="Times New Roman"/>
          <w:sz w:val="18"/>
          <w:szCs w:val="18"/>
        </w:rPr>
      </w:pPr>
      <w:r w:rsidRPr="002A01B8">
        <w:rPr>
          <w:rStyle w:val="FootnoteReference"/>
          <w:rFonts w:ascii="Times New Roman" w:hAnsi="Times New Roman" w:cs="Times New Roman"/>
          <w:sz w:val="18"/>
          <w:szCs w:val="18"/>
        </w:rPr>
        <w:footnoteRef/>
      </w:r>
      <w:r w:rsidRPr="002A01B8">
        <w:rPr>
          <w:rFonts w:ascii="Times New Roman" w:hAnsi="Times New Roman" w:cs="Times New Roman"/>
          <w:sz w:val="18"/>
          <w:szCs w:val="18"/>
        </w:rPr>
        <w:t xml:space="preserve"> </w:t>
      </w:r>
      <w:r w:rsidRPr="002A01B8">
        <w:rPr>
          <w:rFonts w:asciiTheme="majorBidi" w:hAnsiTheme="majorBidi" w:cstheme="majorBidi"/>
          <w:sz w:val="18"/>
          <w:szCs w:val="18"/>
        </w:rPr>
        <w:t>Snyder</w:t>
      </w:r>
      <w:r w:rsidRPr="002A01B8">
        <w:rPr>
          <w:rFonts w:ascii="Times New Roman" w:hAnsi="Times New Roman" w:cs="Times New Roman"/>
          <w:sz w:val="18"/>
          <w:szCs w:val="18"/>
        </w:rPr>
        <w:t>, pp. 166-167.</w:t>
      </w:r>
    </w:p>
  </w:footnote>
  <w:footnote w:id="70">
    <w:p w14:paraId="7B56314F" w14:textId="77777777" w:rsidR="00080908" w:rsidRPr="007221F1" w:rsidRDefault="00080908" w:rsidP="004D14F0">
      <w:pPr>
        <w:pStyle w:val="FootnoteText"/>
        <w:rPr>
          <w:rFonts w:ascii="Times New Roman" w:hAnsi="Times New Roman" w:cs="Times New Roman"/>
          <w:sz w:val="18"/>
          <w:szCs w:val="18"/>
        </w:rPr>
      </w:pPr>
      <w:r w:rsidRPr="002A01B8">
        <w:rPr>
          <w:rStyle w:val="FootnoteReference"/>
          <w:rFonts w:ascii="Times New Roman" w:hAnsi="Times New Roman" w:cs="Times New Roman"/>
          <w:sz w:val="18"/>
          <w:szCs w:val="18"/>
        </w:rPr>
        <w:footnoteRef/>
      </w:r>
      <w:r w:rsidRPr="002A01B8">
        <w:rPr>
          <w:rFonts w:ascii="Times New Roman" w:hAnsi="Times New Roman" w:cs="Times New Roman"/>
          <w:sz w:val="18"/>
          <w:szCs w:val="18"/>
        </w:rPr>
        <w:t xml:space="preserve"> </w:t>
      </w:r>
      <w:r w:rsidRPr="002A01B8">
        <w:rPr>
          <w:rFonts w:asciiTheme="majorBidi" w:hAnsiTheme="majorBidi" w:cstheme="majorBidi"/>
          <w:sz w:val="18"/>
          <w:szCs w:val="18"/>
        </w:rPr>
        <w:t>Snyder</w:t>
      </w:r>
      <w:r w:rsidRPr="002A01B8">
        <w:rPr>
          <w:rFonts w:ascii="Times New Roman" w:hAnsi="Times New Roman" w:cs="Times New Roman"/>
          <w:sz w:val="18"/>
          <w:szCs w:val="18"/>
        </w:rPr>
        <w:t>, pp. 169.</w:t>
      </w:r>
      <w:r w:rsidRPr="007221F1">
        <w:rPr>
          <w:rFonts w:ascii="Times New Roman" w:hAnsi="Times New Roman" w:cs="Times New Roman"/>
          <w:sz w:val="18"/>
          <w:szCs w:val="18"/>
        </w:rPr>
        <w:t xml:space="preserve"> </w:t>
      </w:r>
    </w:p>
  </w:footnote>
  <w:footnote w:id="71">
    <w:p w14:paraId="34AE8FBF" w14:textId="77777777" w:rsidR="00080908" w:rsidRPr="002A01B8" w:rsidRDefault="00080908" w:rsidP="002A01B8">
      <w:pPr>
        <w:pStyle w:val="FootnoteText"/>
        <w:rPr>
          <w:rFonts w:asciiTheme="majorBidi" w:hAnsiTheme="majorBidi" w:cstheme="majorBidi"/>
          <w:sz w:val="18"/>
          <w:szCs w:val="18"/>
        </w:rPr>
      </w:pPr>
      <w:r w:rsidRPr="002A01B8">
        <w:rPr>
          <w:rStyle w:val="FootnoteReference"/>
          <w:rFonts w:asciiTheme="majorBidi" w:hAnsiTheme="majorBidi" w:cstheme="majorBidi"/>
          <w:sz w:val="18"/>
          <w:szCs w:val="18"/>
        </w:rPr>
        <w:footnoteRef/>
      </w:r>
      <w:r w:rsidRPr="002A01B8">
        <w:rPr>
          <w:rFonts w:asciiTheme="majorBidi" w:hAnsiTheme="majorBidi" w:cstheme="majorBidi"/>
          <w:sz w:val="18"/>
          <w:szCs w:val="18"/>
        </w:rPr>
        <w:t xml:space="preserve"> </w:t>
      </w:r>
      <w:proofErr w:type="spellStart"/>
      <w:r w:rsidRPr="002A01B8">
        <w:rPr>
          <w:rFonts w:asciiTheme="majorBidi" w:hAnsiTheme="majorBidi" w:cstheme="majorBidi"/>
          <w:sz w:val="18"/>
          <w:szCs w:val="18"/>
        </w:rPr>
        <w:t>Afshon</w:t>
      </w:r>
      <w:proofErr w:type="spellEnd"/>
      <w:r w:rsidRPr="002A01B8">
        <w:rPr>
          <w:rFonts w:asciiTheme="majorBidi" w:hAnsiTheme="majorBidi" w:cstheme="majorBidi"/>
          <w:sz w:val="18"/>
          <w:szCs w:val="18"/>
        </w:rPr>
        <w:t xml:space="preserve"> </w:t>
      </w:r>
      <w:proofErr w:type="spellStart"/>
      <w:r w:rsidRPr="002A01B8">
        <w:rPr>
          <w:rFonts w:asciiTheme="majorBidi" w:hAnsiTheme="majorBidi" w:cstheme="majorBidi"/>
          <w:sz w:val="18"/>
          <w:szCs w:val="18"/>
        </w:rPr>
        <w:t>Ostovar</w:t>
      </w:r>
      <w:proofErr w:type="spellEnd"/>
      <w:r w:rsidRPr="002A01B8">
        <w:rPr>
          <w:rFonts w:asciiTheme="majorBidi" w:hAnsiTheme="majorBidi" w:cstheme="majorBidi"/>
          <w:sz w:val="18"/>
          <w:szCs w:val="18"/>
        </w:rPr>
        <w:t xml:space="preserve">, “Iran, its clients, and the future of the Middle East: the limits of religion,” </w:t>
      </w:r>
      <w:r w:rsidRPr="002A01B8">
        <w:rPr>
          <w:rFonts w:asciiTheme="majorBidi" w:hAnsiTheme="majorBidi" w:cstheme="majorBidi"/>
          <w:i/>
          <w:iCs/>
          <w:sz w:val="18"/>
          <w:szCs w:val="18"/>
        </w:rPr>
        <w:t>International Affairs</w:t>
      </w:r>
      <w:r w:rsidRPr="002A01B8">
        <w:rPr>
          <w:rFonts w:asciiTheme="majorBidi" w:hAnsiTheme="majorBidi" w:cstheme="majorBidi"/>
          <w:sz w:val="18"/>
          <w:szCs w:val="18"/>
        </w:rPr>
        <w:t xml:space="preserve">, Vol. 94, No. 6 (2018), pp. 1237-1255. </w:t>
      </w:r>
    </w:p>
  </w:footnote>
  <w:footnote w:id="72">
    <w:p w14:paraId="27CD6988" w14:textId="77777777" w:rsidR="00080908" w:rsidRPr="002A01B8" w:rsidRDefault="00080908" w:rsidP="002A01B8">
      <w:pPr>
        <w:pStyle w:val="FootnoteText"/>
        <w:rPr>
          <w:rFonts w:asciiTheme="majorBidi" w:hAnsiTheme="majorBidi" w:cstheme="majorBidi"/>
          <w:sz w:val="18"/>
          <w:szCs w:val="18"/>
        </w:rPr>
      </w:pPr>
      <w:r w:rsidRPr="002A01B8">
        <w:rPr>
          <w:rStyle w:val="FootnoteReference"/>
          <w:rFonts w:asciiTheme="majorBidi" w:hAnsiTheme="majorBidi" w:cstheme="majorBidi"/>
          <w:sz w:val="18"/>
          <w:szCs w:val="18"/>
        </w:rPr>
        <w:footnoteRef/>
      </w:r>
      <w:r w:rsidRPr="002A01B8">
        <w:rPr>
          <w:rFonts w:asciiTheme="majorBidi" w:hAnsiTheme="majorBidi" w:cstheme="majorBidi"/>
          <w:sz w:val="18"/>
          <w:szCs w:val="18"/>
        </w:rPr>
        <w:t xml:space="preserve"> </w:t>
      </w:r>
      <w:r w:rsidRPr="002A01B8">
        <w:rPr>
          <w:rFonts w:asciiTheme="majorBidi" w:hAnsiTheme="majorBidi" w:cstheme="majorBidi"/>
          <w:i/>
          <w:iCs/>
          <w:sz w:val="18"/>
          <w:szCs w:val="18"/>
        </w:rPr>
        <w:t>Ibid</w:t>
      </w:r>
      <w:r w:rsidRPr="002A01B8">
        <w:rPr>
          <w:rFonts w:asciiTheme="majorBidi" w:hAnsiTheme="majorBidi" w:cstheme="majorBidi"/>
          <w:sz w:val="18"/>
          <w:szCs w:val="18"/>
        </w:rPr>
        <w:t xml:space="preserve">, p. 1238. </w:t>
      </w:r>
    </w:p>
  </w:footnote>
  <w:footnote w:id="73">
    <w:p w14:paraId="0E564367" w14:textId="77777777" w:rsidR="00080908" w:rsidRPr="002A01B8" w:rsidRDefault="00080908" w:rsidP="002A01B8">
      <w:pPr>
        <w:pStyle w:val="FootnoteText"/>
        <w:rPr>
          <w:rFonts w:asciiTheme="majorBidi" w:hAnsiTheme="majorBidi" w:cstheme="majorBidi"/>
          <w:sz w:val="18"/>
          <w:szCs w:val="18"/>
        </w:rPr>
      </w:pPr>
      <w:r w:rsidRPr="002A01B8">
        <w:rPr>
          <w:rStyle w:val="FootnoteReference"/>
          <w:rFonts w:asciiTheme="majorBidi" w:hAnsiTheme="majorBidi" w:cstheme="majorBidi"/>
          <w:sz w:val="18"/>
          <w:szCs w:val="18"/>
        </w:rPr>
        <w:footnoteRef/>
      </w:r>
      <w:r w:rsidRPr="002A01B8">
        <w:rPr>
          <w:rFonts w:asciiTheme="majorBidi" w:hAnsiTheme="majorBidi" w:cstheme="majorBidi"/>
          <w:sz w:val="18"/>
          <w:szCs w:val="18"/>
        </w:rPr>
        <w:t xml:space="preserve"> </w:t>
      </w:r>
      <w:r w:rsidRPr="002A01B8">
        <w:rPr>
          <w:rFonts w:asciiTheme="majorBidi" w:hAnsiTheme="majorBidi" w:cstheme="majorBidi"/>
          <w:i/>
          <w:iCs/>
          <w:sz w:val="18"/>
          <w:szCs w:val="18"/>
        </w:rPr>
        <w:t>Ibid</w:t>
      </w:r>
      <w:r w:rsidRPr="002A01B8">
        <w:rPr>
          <w:rFonts w:asciiTheme="majorBidi" w:hAnsiTheme="majorBidi" w:cstheme="majorBidi"/>
          <w:sz w:val="18"/>
          <w:szCs w:val="18"/>
        </w:rPr>
        <w:t xml:space="preserve">, pp. 1239, 1241. </w:t>
      </w:r>
    </w:p>
  </w:footnote>
  <w:footnote w:id="74">
    <w:p w14:paraId="1E64745A" w14:textId="77777777" w:rsidR="00080908" w:rsidRPr="00734EEE" w:rsidRDefault="00080908" w:rsidP="002A01B8">
      <w:pPr>
        <w:pStyle w:val="FootnoteText"/>
        <w:rPr>
          <w:rFonts w:asciiTheme="majorBidi" w:hAnsiTheme="majorBidi" w:cstheme="majorBidi"/>
          <w:sz w:val="16"/>
          <w:szCs w:val="16"/>
        </w:rPr>
      </w:pPr>
      <w:r w:rsidRPr="002A01B8">
        <w:rPr>
          <w:rStyle w:val="FootnoteReference"/>
          <w:rFonts w:asciiTheme="majorBidi" w:hAnsiTheme="majorBidi" w:cstheme="majorBidi"/>
          <w:sz w:val="18"/>
          <w:szCs w:val="18"/>
        </w:rPr>
        <w:footnoteRef/>
      </w:r>
      <w:r w:rsidRPr="002A01B8">
        <w:rPr>
          <w:rFonts w:asciiTheme="majorBidi" w:hAnsiTheme="majorBidi" w:cstheme="majorBidi"/>
          <w:sz w:val="18"/>
          <w:szCs w:val="18"/>
        </w:rPr>
        <w:t xml:space="preserve"> </w:t>
      </w:r>
      <w:r w:rsidRPr="002A01B8">
        <w:rPr>
          <w:rFonts w:asciiTheme="majorBidi" w:hAnsiTheme="majorBidi" w:cstheme="majorBidi"/>
          <w:i/>
          <w:iCs/>
          <w:sz w:val="18"/>
          <w:szCs w:val="18"/>
        </w:rPr>
        <w:t>Ibid</w:t>
      </w:r>
      <w:r w:rsidRPr="002A01B8">
        <w:rPr>
          <w:rFonts w:asciiTheme="majorBidi" w:hAnsiTheme="majorBidi" w:cstheme="majorBidi"/>
          <w:sz w:val="18"/>
          <w:szCs w:val="18"/>
        </w:rPr>
        <w:t>, p. 1241.</w:t>
      </w:r>
      <w:r w:rsidRPr="00734EEE">
        <w:rPr>
          <w:rFonts w:asciiTheme="majorBidi" w:hAnsiTheme="majorBidi" w:cstheme="majorBidi"/>
          <w:sz w:val="16"/>
          <w:szCs w:val="16"/>
        </w:rPr>
        <w:t xml:space="preserve"> </w:t>
      </w:r>
    </w:p>
  </w:footnote>
  <w:footnote w:id="75">
    <w:p w14:paraId="0ED06170" w14:textId="77777777" w:rsidR="00080908" w:rsidRPr="00BD3D37" w:rsidRDefault="00080908" w:rsidP="00811F8F">
      <w:pPr>
        <w:pStyle w:val="FootnoteText"/>
        <w:rPr>
          <w:rFonts w:ascii="Times New Roman" w:hAnsi="Times New Roman" w:cs="Times New Roman"/>
          <w:sz w:val="18"/>
          <w:szCs w:val="18"/>
        </w:rPr>
      </w:pPr>
      <w:r w:rsidRPr="00BD3D37">
        <w:rPr>
          <w:rStyle w:val="FootnoteReference"/>
          <w:rFonts w:ascii="Times New Roman" w:hAnsi="Times New Roman" w:cs="Times New Roman"/>
          <w:sz w:val="18"/>
          <w:szCs w:val="18"/>
        </w:rPr>
        <w:footnoteRef/>
      </w:r>
      <w:r w:rsidRPr="00BD3D37">
        <w:rPr>
          <w:rFonts w:ascii="Times New Roman" w:hAnsi="Times New Roman" w:cs="Times New Roman"/>
          <w:sz w:val="18"/>
          <w:szCs w:val="18"/>
        </w:rPr>
        <w:t xml:space="preserve"> Matthew Levitt, </w:t>
      </w:r>
      <w:r w:rsidRPr="00BD3D37">
        <w:rPr>
          <w:rFonts w:ascii="Times New Roman" w:hAnsi="Times New Roman" w:cs="Times New Roman"/>
          <w:i/>
          <w:iCs/>
          <w:sz w:val="18"/>
          <w:szCs w:val="18"/>
        </w:rPr>
        <w:t>Hezbollah: The Global Footprint of Lebanon’s Party of God</w:t>
      </w:r>
      <w:r w:rsidRPr="00BD3D37">
        <w:rPr>
          <w:rFonts w:ascii="Times New Roman" w:hAnsi="Times New Roman" w:cs="Times New Roman"/>
          <w:sz w:val="18"/>
          <w:szCs w:val="18"/>
        </w:rPr>
        <w:t xml:space="preserve"> (Washington: Georgetown University Press, 2013), pp. 8-9; Augustus Richard Norton, </w:t>
      </w:r>
      <w:r w:rsidRPr="00BD3D37">
        <w:rPr>
          <w:rFonts w:ascii="Times New Roman" w:hAnsi="Times New Roman" w:cs="Times New Roman"/>
          <w:i/>
          <w:iCs/>
          <w:sz w:val="18"/>
          <w:szCs w:val="18"/>
        </w:rPr>
        <w:t xml:space="preserve">Hezbollah: A Short History, </w:t>
      </w:r>
      <w:r w:rsidRPr="00BD3D37">
        <w:rPr>
          <w:rFonts w:ascii="Times New Roman" w:hAnsi="Times New Roman" w:cs="Times New Roman"/>
          <w:sz w:val="18"/>
          <w:szCs w:val="18"/>
        </w:rPr>
        <w:t>3rd edition,</w:t>
      </w:r>
      <w:r w:rsidRPr="00BD3D37">
        <w:rPr>
          <w:rFonts w:ascii="Times New Roman" w:hAnsi="Times New Roman" w:cs="Times New Roman"/>
          <w:i/>
          <w:iCs/>
          <w:sz w:val="18"/>
          <w:szCs w:val="18"/>
        </w:rPr>
        <w:t xml:space="preserve"> </w:t>
      </w:r>
      <w:r w:rsidRPr="00BD3D37">
        <w:rPr>
          <w:rFonts w:ascii="Times New Roman" w:hAnsi="Times New Roman" w:cs="Times New Roman"/>
          <w:sz w:val="18"/>
          <w:szCs w:val="18"/>
        </w:rPr>
        <w:t xml:space="preserve">(Princeton: Princeton University Press, 2018), p. 27. </w:t>
      </w:r>
    </w:p>
  </w:footnote>
  <w:footnote w:id="76">
    <w:p w14:paraId="6B36B6C3" w14:textId="77777777" w:rsidR="00080908" w:rsidRPr="00BD3D37" w:rsidRDefault="00080908" w:rsidP="00BD3D37">
      <w:pPr>
        <w:pStyle w:val="FootnoteText"/>
        <w:rPr>
          <w:rFonts w:ascii="Times New Roman" w:hAnsi="Times New Roman" w:cs="Times New Roman"/>
          <w:sz w:val="18"/>
          <w:szCs w:val="18"/>
        </w:rPr>
      </w:pPr>
      <w:r w:rsidRPr="00BD3D37">
        <w:rPr>
          <w:rStyle w:val="FootnoteReference"/>
          <w:rFonts w:ascii="Times New Roman" w:hAnsi="Times New Roman" w:cs="Times New Roman"/>
          <w:sz w:val="18"/>
          <w:szCs w:val="18"/>
        </w:rPr>
        <w:footnoteRef/>
      </w:r>
      <w:r w:rsidRPr="00BD3D37">
        <w:rPr>
          <w:rFonts w:ascii="Times New Roman" w:hAnsi="Times New Roman" w:cs="Times New Roman"/>
          <w:sz w:val="18"/>
          <w:szCs w:val="18"/>
        </w:rPr>
        <w:t xml:space="preserve"> </w:t>
      </w:r>
      <w:proofErr w:type="spellStart"/>
      <w:r w:rsidRPr="00BD3D37">
        <w:rPr>
          <w:rFonts w:ascii="Times New Roman" w:hAnsi="Times New Roman" w:cs="Times New Roman"/>
          <w:sz w:val="18"/>
          <w:szCs w:val="18"/>
        </w:rPr>
        <w:t>Adham</w:t>
      </w:r>
      <w:proofErr w:type="spellEnd"/>
      <w:r w:rsidRPr="00BD3D37">
        <w:rPr>
          <w:rFonts w:ascii="Times New Roman" w:hAnsi="Times New Roman" w:cs="Times New Roman"/>
          <w:sz w:val="18"/>
          <w:szCs w:val="18"/>
        </w:rPr>
        <w:t xml:space="preserve"> </w:t>
      </w:r>
      <w:proofErr w:type="spellStart"/>
      <w:r w:rsidRPr="00BD3D37">
        <w:rPr>
          <w:rFonts w:ascii="Times New Roman" w:hAnsi="Times New Roman" w:cs="Times New Roman"/>
          <w:sz w:val="18"/>
          <w:szCs w:val="18"/>
        </w:rPr>
        <w:t>Saouli</w:t>
      </w:r>
      <w:proofErr w:type="spellEnd"/>
      <w:r w:rsidRPr="00BD3D37">
        <w:rPr>
          <w:rFonts w:ascii="Times New Roman" w:hAnsi="Times New Roman" w:cs="Times New Roman"/>
          <w:sz w:val="18"/>
          <w:szCs w:val="18"/>
        </w:rPr>
        <w:t xml:space="preserve">, </w:t>
      </w:r>
      <w:r w:rsidRPr="00BD3D37">
        <w:rPr>
          <w:rFonts w:ascii="Times New Roman" w:hAnsi="Times New Roman" w:cs="Times New Roman"/>
          <w:i/>
          <w:iCs/>
          <w:sz w:val="18"/>
          <w:szCs w:val="18"/>
        </w:rPr>
        <w:t xml:space="preserve">Hezbollah: </w:t>
      </w:r>
      <w:proofErr w:type="spellStart"/>
      <w:r w:rsidRPr="00BD3D37">
        <w:rPr>
          <w:rFonts w:ascii="Times New Roman" w:hAnsi="Times New Roman" w:cs="Times New Roman"/>
          <w:i/>
          <w:iCs/>
          <w:sz w:val="18"/>
          <w:szCs w:val="18"/>
        </w:rPr>
        <w:t>Socialisation</w:t>
      </w:r>
      <w:proofErr w:type="spellEnd"/>
      <w:r w:rsidRPr="00BD3D37">
        <w:rPr>
          <w:rFonts w:ascii="Times New Roman" w:hAnsi="Times New Roman" w:cs="Times New Roman"/>
          <w:i/>
          <w:iCs/>
          <w:sz w:val="18"/>
          <w:szCs w:val="18"/>
        </w:rPr>
        <w:t xml:space="preserve"> and Its Tragic Ironies</w:t>
      </w:r>
      <w:r w:rsidRPr="00BD3D37">
        <w:rPr>
          <w:rFonts w:ascii="Times New Roman" w:hAnsi="Times New Roman" w:cs="Times New Roman"/>
          <w:sz w:val="18"/>
          <w:szCs w:val="18"/>
        </w:rPr>
        <w:t xml:space="preserve"> (Edinburgh, Edinburgh University Press, 2019), p. 149.</w:t>
      </w:r>
    </w:p>
  </w:footnote>
  <w:footnote w:id="77">
    <w:p w14:paraId="2D0E5612" w14:textId="77777777" w:rsidR="00080908" w:rsidRPr="00BD3D37" w:rsidRDefault="00080908" w:rsidP="00495C32">
      <w:pPr>
        <w:pStyle w:val="FootnoteText"/>
        <w:rPr>
          <w:rFonts w:ascii="Times New Roman" w:hAnsi="Times New Roman" w:cs="Times New Roman"/>
          <w:sz w:val="18"/>
          <w:szCs w:val="18"/>
        </w:rPr>
      </w:pPr>
      <w:r w:rsidRPr="00BD3D37">
        <w:rPr>
          <w:rStyle w:val="FootnoteReference"/>
          <w:rFonts w:ascii="Times New Roman" w:hAnsi="Times New Roman" w:cs="Times New Roman"/>
          <w:sz w:val="18"/>
          <w:szCs w:val="18"/>
        </w:rPr>
        <w:footnoteRef/>
      </w:r>
      <w:r w:rsidRPr="00BD3D37">
        <w:rPr>
          <w:rFonts w:ascii="Times New Roman" w:hAnsi="Times New Roman" w:cs="Times New Roman"/>
          <w:sz w:val="18"/>
          <w:szCs w:val="18"/>
        </w:rPr>
        <w:t xml:space="preserve"> Eitan </w:t>
      </w:r>
      <w:proofErr w:type="spellStart"/>
      <w:r w:rsidRPr="00BD3D37">
        <w:rPr>
          <w:rFonts w:ascii="Times New Roman" w:hAnsi="Times New Roman" w:cs="Times New Roman"/>
          <w:sz w:val="18"/>
          <w:szCs w:val="18"/>
        </w:rPr>
        <w:t>Azani</w:t>
      </w:r>
      <w:proofErr w:type="spellEnd"/>
      <w:r w:rsidRPr="00BD3D37">
        <w:rPr>
          <w:rFonts w:ascii="Times New Roman" w:hAnsi="Times New Roman" w:cs="Times New Roman"/>
          <w:sz w:val="18"/>
          <w:szCs w:val="18"/>
        </w:rPr>
        <w:t xml:space="preserve">, </w:t>
      </w:r>
      <w:r w:rsidRPr="00BD3D37">
        <w:rPr>
          <w:rFonts w:ascii="Times New Roman" w:hAnsi="Times New Roman" w:cs="Times New Roman"/>
          <w:i/>
          <w:iCs/>
          <w:sz w:val="18"/>
          <w:szCs w:val="18"/>
        </w:rPr>
        <w:t>Hezbollah: The Story of the Party of God</w:t>
      </w:r>
      <w:r w:rsidRPr="00BD3D37">
        <w:rPr>
          <w:rFonts w:ascii="Times New Roman" w:hAnsi="Times New Roman" w:cs="Times New Roman"/>
          <w:sz w:val="18"/>
          <w:szCs w:val="18"/>
        </w:rPr>
        <w:t xml:space="preserve"> (New York: Palgrave MacMillan, 2009), p. 62.</w:t>
      </w:r>
    </w:p>
  </w:footnote>
  <w:footnote w:id="78">
    <w:p w14:paraId="1A08B480" w14:textId="77777777" w:rsidR="00080908" w:rsidRPr="002A01B8" w:rsidRDefault="00080908" w:rsidP="00811F8F">
      <w:pPr>
        <w:pStyle w:val="FootnoteText"/>
        <w:rPr>
          <w:rFonts w:ascii="Times New Roman" w:hAnsi="Times New Roman" w:cs="Times New Roman"/>
          <w:sz w:val="18"/>
          <w:szCs w:val="18"/>
        </w:rPr>
      </w:pPr>
      <w:r w:rsidRPr="00BD3D37">
        <w:rPr>
          <w:rStyle w:val="FootnoteReference"/>
          <w:rFonts w:ascii="Times New Roman" w:hAnsi="Times New Roman" w:cs="Times New Roman"/>
          <w:sz w:val="18"/>
          <w:szCs w:val="18"/>
        </w:rPr>
        <w:footnoteRef/>
      </w:r>
      <w:r w:rsidRPr="00BD3D37">
        <w:rPr>
          <w:rFonts w:ascii="Times New Roman" w:hAnsi="Times New Roman" w:cs="Times New Roman"/>
          <w:sz w:val="18"/>
          <w:szCs w:val="18"/>
        </w:rPr>
        <w:t xml:space="preserve"> Levitt, p. 12.</w:t>
      </w:r>
      <w:r w:rsidRPr="002A01B8">
        <w:rPr>
          <w:rFonts w:ascii="Times New Roman" w:hAnsi="Times New Roman" w:cs="Times New Roman"/>
          <w:sz w:val="18"/>
          <w:szCs w:val="18"/>
        </w:rPr>
        <w:t xml:space="preserve"> </w:t>
      </w:r>
    </w:p>
  </w:footnote>
  <w:footnote w:id="79">
    <w:p w14:paraId="5B0162AC" w14:textId="77777777" w:rsidR="00080908" w:rsidRPr="00D25403" w:rsidRDefault="00080908" w:rsidP="005D4C29">
      <w:pPr>
        <w:pStyle w:val="FootnoteText"/>
        <w:rPr>
          <w:rFonts w:ascii="Times New Roman" w:hAnsi="Times New Roman" w:cs="Times New Roman"/>
          <w:sz w:val="18"/>
          <w:szCs w:val="18"/>
        </w:rPr>
      </w:pPr>
      <w:r w:rsidRPr="00D25403">
        <w:rPr>
          <w:rStyle w:val="FootnoteReference"/>
          <w:rFonts w:ascii="Times New Roman" w:hAnsi="Times New Roman" w:cs="Times New Roman"/>
          <w:sz w:val="18"/>
          <w:szCs w:val="18"/>
        </w:rPr>
        <w:footnoteRef/>
      </w:r>
      <w:r w:rsidRPr="00D25403">
        <w:rPr>
          <w:rFonts w:ascii="Times New Roman" w:hAnsi="Times New Roman" w:cs="Times New Roman"/>
          <w:sz w:val="18"/>
          <w:szCs w:val="18"/>
        </w:rPr>
        <w:t xml:space="preserve">Ahmad Nizar </w:t>
      </w:r>
      <w:proofErr w:type="spellStart"/>
      <w:r w:rsidRPr="00D25403">
        <w:rPr>
          <w:rFonts w:ascii="Times New Roman" w:hAnsi="Times New Roman" w:cs="Times New Roman"/>
          <w:sz w:val="18"/>
          <w:szCs w:val="18"/>
        </w:rPr>
        <w:t>Hamzeh</w:t>
      </w:r>
      <w:proofErr w:type="spellEnd"/>
      <w:r w:rsidRPr="00D25403">
        <w:rPr>
          <w:rFonts w:ascii="Times New Roman" w:hAnsi="Times New Roman" w:cs="Times New Roman"/>
          <w:sz w:val="18"/>
          <w:szCs w:val="18"/>
        </w:rPr>
        <w:t xml:space="preserve">, </w:t>
      </w:r>
      <w:r w:rsidRPr="00D25403">
        <w:rPr>
          <w:rFonts w:ascii="Times New Roman" w:hAnsi="Times New Roman" w:cs="Times New Roman"/>
          <w:i/>
          <w:iCs/>
          <w:sz w:val="18"/>
          <w:szCs w:val="18"/>
        </w:rPr>
        <w:t xml:space="preserve">In the Path of </w:t>
      </w:r>
      <w:proofErr w:type="spellStart"/>
      <w:r w:rsidRPr="00D25403">
        <w:rPr>
          <w:rFonts w:ascii="Times New Roman" w:hAnsi="Times New Roman" w:cs="Times New Roman"/>
          <w:i/>
          <w:iCs/>
          <w:sz w:val="18"/>
          <w:szCs w:val="18"/>
        </w:rPr>
        <w:t>Hizbullah</w:t>
      </w:r>
      <w:proofErr w:type="spellEnd"/>
      <w:r w:rsidRPr="00D25403">
        <w:rPr>
          <w:rFonts w:ascii="Times New Roman" w:hAnsi="Times New Roman" w:cs="Times New Roman"/>
          <w:sz w:val="18"/>
          <w:szCs w:val="18"/>
        </w:rPr>
        <w:t xml:space="preserve"> (Syracuse: University of Syracuse Press, 2004), p. 71. </w:t>
      </w:r>
    </w:p>
  </w:footnote>
  <w:footnote w:id="80">
    <w:p w14:paraId="5F3347F5" w14:textId="77777777" w:rsidR="00080908" w:rsidRPr="00D25403" w:rsidRDefault="00080908" w:rsidP="00495C32">
      <w:pPr>
        <w:pStyle w:val="FootnoteText"/>
        <w:rPr>
          <w:rFonts w:ascii="Times New Roman" w:hAnsi="Times New Roman" w:cs="Times New Roman"/>
          <w:sz w:val="18"/>
          <w:szCs w:val="18"/>
        </w:rPr>
      </w:pPr>
      <w:r w:rsidRPr="00D25403">
        <w:rPr>
          <w:rStyle w:val="FootnoteReference"/>
          <w:rFonts w:ascii="Times New Roman" w:hAnsi="Times New Roman" w:cs="Times New Roman"/>
          <w:sz w:val="18"/>
          <w:szCs w:val="18"/>
        </w:rPr>
        <w:footnoteRef/>
      </w:r>
      <w:r w:rsidRPr="00D25403">
        <w:rPr>
          <w:rFonts w:ascii="Times New Roman" w:hAnsi="Times New Roman" w:cs="Times New Roman"/>
          <w:sz w:val="18"/>
          <w:szCs w:val="18"/>
        </w:rPr>
        <w:t xml:space="preserve"> </w:t>
      </w:r>
      <w:proofErr w:type="spellStart"/>
      <w:r w:rsidRPr="00D25403">
        <w:rPr>
          <w:rFonts w:ascii="Times New Roman" w:hAnsi="Times New Roman" w:cs="Times New Roman"/>
          <w:sz w:val="18"/>
          <w:szCs w:val="18"/>
        </w:rPr>
        <w:t>Massaab</w:t>
      </w:r>
      <w:proofErr w:type="spellEnd"/>
      <w:r w:rsidRPr="00D25403">
        <w:rPr>
          <w:rFonts w:ascii="Times New Roman" w:hAnsi="Times New Roman" w:cs="Times New Roman"/>
          <w:sz w:val="18"/>
          <w:szCs w:val="18"/>
        </w:rPr>
        <w:t xml:space="preserve"> Al-</w:t>
      </w:r>
      <w:proofErr w:type="spellStart"/>
      <w:r w:rsidRPr="00D25403">
        <w:rPr>
          <w:rFonts w:ascii="Times New Roman" w:hAnsi="Times New Roman" w:cs="Times New Roman"/>
          <w:sz w:val="18"/>
          <w:szCs w:val="18"/>
        </w:rPr>
        <w:t>Aloosy</w:t>
      </w:r>
      <w:proofErr w:type="spellEnd"/>
      <w:r w:rsidRPr="00D25403">
        <w:rPr>
          <w:rFonts w:ascii="Times New Roman" w:hAnsi="Times New Roman" w:cs="Times New Roman"/>
          <w:sz w:val="18"/>
          <w:szCs w:val="18"/>
        </w:rPr>
        <w:t xml:space="preserve">, </w:t>
      </w:r>
      <w:r w:rsidRPr="00D25403">
        <w:rPr>
          <w:rFonts w:ascii="Times New Roman" w:hAnsi="Times New Roman" w:cs="Times New Roman"/>
          <w:i/>
          <w:iCs/>
          <w:sz w:val="18"/>
          <w:szCs w:val="18"/>
        </w:rPr>
        <w:t>The Changing Ideology of Hezbollah</w:t>
      </w:r>
      <w:r w:rsidRPr="00D25403">
        <w:rPr>
          <w:rFonts w:ascii="Times New Roman" w:hAnsi="Times New Roman" w:cs="Times New Roman"/>
          <w:sz w:val="18"/>
          <w:szCs w:val="18"/>
        </w:rPr>
        <w:t xml:space="preserve"> (Cham: Springer Nature Switzerland AG, 2020), p. 77. </w:t>
      </w:r>
    </w:p>
  </w:footnote>
  <w:footnote w:id="81">
    <w:p w14:paraId="4D5C7C49" w14:textId="77777777" w:rsidR="00080908" w:rsidRPr="00D25403" w:rsidRDefault="00080908" w:rsidP="00811F8F">
      <w:pPr>
        <w:pStyle w:val="FootnoteText"/>
        <w:rPr>
          <w:rFonts w:ascii="Times New Roman" w:hAnsi="Times New Roman" w:cs="Times New Roman"/>
          <w:sz w:val="18"/>
          <w:szCs w:val="18"/>
        </w:rPr>
      </w:pPr>
      <w:r w:rsidRPr="00D25403">
        <w:rPr>
          <w:rStyle w:val="FootnoteReference"/>
          <w:rFonts w:ascii="Times New Roman" w:hAnsi="Times New Roman" w:cs="Times New Roman"/>
          <w:sz w:val="18"/>
          <w:szCs w:val="18"/>
        </w:rPr>
        <w:footnoteRef/>
      </w:r>
      <w:r w:rsidRPr="00D25403">
        <w:rPr>
          <w:rFonts w:ascii="Times New Roman" w:hAnsi="Times New Roman" w:cs="Times New Roman"/>
          <w:sz w:val="18"/>
          <w:szCs w:val="18"/>
        </w:rPr>
        <w:t xml:space="preserve"> </w:t>
      </w:r>
      <w:proofErr w:type="spellStart"/>
      <w:r w:rsidRPr="00D25403">
        <w:rPr>
          <w:rFonts w:ascii="Times New Roman" w:hAnsi="Times New Roman" w:cs="Times New Roman"/>
          <w:sz w:val="18"/>
          <w:szCs w:val="18"/>
        </w:rPr>
        <w:t>Azani</w:t>
      </w:r>
      <w:proofErr w:type="spellEnd"/>
      <w:r w:rsidRPr="00D25403">
        <w:rPr>
          <w:rFonts w:ascii="Times New Roman" w:hAnsi="Times New Roman" w:cs="Times New Roman"/>
          <w:sz w:val="18"/>
          <w:szCs w:val="18"/>
        </w:rPr>
        <w:t xml:space="preserve">, p. 186. </w:t>
      </w:r>
    </w:p>
  </w:footnote>
  <w:footnote w:id="82">
    <w:p w14:paraId="7018E724" w14:textId="77777777" w:rsidR="00080908" w:rsidRPr="00D25403" w:rsidRDefault="00080908" w:rsidP="00811F8F">
      <w:pPr>
        <w:pStyle w:val="FootnoteText"/>
        <w:rPr>
          <w:rFonts w:ascii="Times New Roman" w:hAnsi="Times New Roman" w:cs="Times New Roman"/>
          <w:sz w:val="18"/>
          <w:szCs w:val="18"/>
        </w:rPr>
      </w:pPr>
      <w:r w:rsidRPr="00D25403">
        <w:rPr>
          <w:rStyle w:val="FootnoteReference"/>
          <w:rFonts w:ascii="Times New Roman" w:hAnsi="Times New Roman" w:cs="Times New Roman"/>
          <w:sz w:val="18"/>
          <w:szCs w:val="18"/>
        </w:rPr>
        <w:footnoteRef/>
      </w:r>
      <w:r w:rsidRPr="00D25403">
        <w:rPr>
          <w:rFonts w:ascii="Times New Roman" w:hAnsi="Times New Roman" w:cs="Times New Roman"/>
          <w:sz w:val="18"/>
          <w:szCs w:val="18"/>
        </w:rPr>
        <w:t xml:space="preserve"> </w:t>
      </w:r>
      <w:proofErr w:type="spellStart"/>
      <w:r w:rsidRPr="00D25403">
        <w:rPr>
          <w:rFonts w:ascii="Times New Roman" w:hAnsi="Times New Roman" w:cs="Times New Roman"/>
          <w:sz w:val="18"/>
          <w:szCs w:val="18"/>
        </w:rPr>
        <w:t>Azani</w:t>
      </w:r>
      <w:proofErr w:type="spellEnd"/>
      <w:r w:rsidRPr="00D25403">
        <w:rPr>
          <w:rFonts w:ascii="Times New Roman" w:hAnsi="Times New Roman" w:cs="Times New Roman"/>
          <w:sz w:val="18"/>
          <w:szCs w:val="18"/>
        </w:rPr>
        <w:t xml:space="preserve">, p. 70. </w:t>
      </w:r>
    </w:p>
  </w:footnote>
  <w:footnote w:id="83">
    <w:p w14:paraId="06683C21" w14:textId="77777777" w:rsidR="00080908" w:rsidRPr="00EF5C96" w:rsidRDefault="00080908" w:rsidP="00811F8F">
      <w:pPr>
        <w:pStyle w:val="FootnoteText"/>
        <w:rPr>
          <w:rFonts w:ascii="Times New Roman" w:hAnsi="Times New Roman" w:cs="Times New Roman"/>
          <w:sz w:val="18"/>
          <w:szCs w:val="18"/>
        </w:rPr>
      </w:pPr>
      <w:r w:rsidRPr="00D25403">
        <w:rPr>
          <w:rStyle w:val="FootnoteReference"/>
          <w:rFonts w:ascii="Times New Roman" w:hAnsi="Times New Roman" w:cs="Times New Roman"/>
          <w:sz w:val="18"/>
          <w:szCs w:val="18"/>
        </w:rPr>
        <w:footnoteRef/>
      </w:r>
      <w:r w:rsidRPr="00D25403">
        <w:rPr>
          <w:rFonts w:ascii="Times New Roman" w:hAnsi="Times New Roman" w:cs="Times New Roman"/>
          <w:sz w:val="18"/>
          <w:szCs w:val="18"/>
        </w:rPr>
        <w:t xml:space="preserve"> </w:t>
      </w:r>
      <w:r w:rsidRPr="00D25403">
        <w:rPr>
          <w:rFonts w:ascii="Times New Roman" w:hAnsi="Times New Roman" w:cs="Times New Roman"/>
          <w:i/>
          <w:iCs/>
          <w:sz w:val="18"/>
          <w:szCs w:val="18"/>
        </w:rPr>
        <w:t>Ibid</w:t>
      </w:r>
      <w:r w:rsidRPr="00D25403">
        <w:rPr>
          <w:rFonts w:ascii="Times New Roman" w:hAnsi="Times New Roman" w:cs="Times New Roman"/>
          <w:sz w:val="18"/>
          <w:szCs w:val="18"/>
        </w:rPr>
        <w:t>.</w:t>
      </w:r>
      <w:r w:rsidRPr="00EF5C96">
        <w:rPr>
          <w:rFonts w:ascii="Times New Roman" w:hAnsi="Times New Roman" w:cs="Times New Roman"/>
          <w:sz w:val="18"/>
          <w:szCs w:val="18"/>
        </w:rPr>
        <w:t xml:space="preserve"> </w:t>
      </w:r>
    </w:p>
  </w:footnote>
  <w:footnote w:id="84">
    <w:p w14:paraId="67D76EC4" w14:textId="77777777" w:rsidR="00080908" w:rsidRPr="00D25403" w:rsidRDefault="00080908">
      <w:pPr>
        <w:pStyle w:val="FootnoteText"/>
        <w:rPr>
          <w:rFonts w:ascii="Times New Roman" w:hAnsi="Times New Roman" w:cs="Times New Roman"/>
          <w:sz w:val="18"/>
          <w:szCs w:val="18"/>
        </w:rPr>
      </w:pPr>
      <w:r w:rsidRPr="00D25403">
        <w:rPr>
          <w:rStyle w:val="FootnoteReference"/>
          <w:rFonts w:ascii="Times New Roman" w:hAnsi="Times New Roman" w:cs="Times New Roman"/>
          <w:sz w:val="18"/>
          <w:szCs w:val="18"/>
        </w:rPr>
        <w:footnoteRef/>
      </w:r>
      <w:r w:rsidRPr="00D25403">
        <w:rPr>
          <w:rFonts w:ascii="Times New Roman" w:hAnsi="Times New Roman" w:cs="Times New Roman"/>
          <w:sz w:val="18"/>
          <w:szCs w:val="18"/>
        </w:rPr>
        <w:t xml:space="preserve"> </w:t>
      </w:r>
      <w:proofErr w:type="spellStart"/>
      <w:r w:rsidRPr="00D25403">
        <w:rPr>
          <w:rFonts w:ascii="Times New Roman" w:hAnsi="Times New Roman" w:cs="Times New Roman"/>
          <w:sz w:val="18"/>
          <w:szCs w:val="18"/>
        </w:rPr>
        <w:t>Hamzeh</w:t>
      </w:r>
      <w:proofErr w:type="spellEnd"/>
      <w:r w:rsidRPr="00D25403">
        <w:rPr>
          <w:rFonts w:ascii="Times New Roman" w:hAnsi="Times New Roman" w:cs="Times New Roman"/>
          <w:sz w:val="18"/>
          <w:szCs w:val="18"/>
        </w:rPr>
        <w:t xml:space="preserve">, p. 86. </w:t>
      </w:r>
    </w:p>
  </w:footnote>
  <w:footnote w:id="85">
    <w:p w14:paraId="4EC1388F" w14:textId="77777777" w:rsidR="00080908" w:rsidRPr="00D25403" w:rsidRDefault="00080908" w:rsidP="004F0B63">
      <w:pPr>
        <w:pStyle w:val="FootnoteText"/>
        <w:rPr>
          <w:rFonts w:ascii="Times New Roman" w:hAnsi="Times New Roman" w:cs="Times New Roman"/>
          <w:sz w:val="18"/>
          <w:szCs w:val="18"/>
        </w:rPr>
      </w:pPr>
      <w:r w:rsidRPr="00D25403">
        <w:rPr>
          <w:rStyle w:val="FootnoteReference"/>
          <w:rFonts w:ascii="Times New Roman" w:hAnsi="Times New Roman" w:cs="Times New Roman"/>
          <w:sz w:val="18"/>
          <w:szCs w:val="18"/>
        </w:rPr>
        <w:footnoteRef/>
      </w:r>
      <w:r w:rsidRPr="00D25403">
        <w:rPr>
          <w:rFonts w:ascii="Times New Roman" w:hAnsi="Times New Roman" w:cs="Times New Roman"/>
          <w:sz w:val="18"/>
          <w:szCs w:val="18"/>
        </w:rPr>
        <w:t xml:space="preserve"> Joseph Elie </w:t>
      </w:r>
      <w:proofErr w:type="spellStart"/>
      <w:r w:rsidRPr="00D25403">
        <w:rPr>
          <w:rFonts w:ascii="Times New Roman" w:hAnsi="Times New Roman" w:cs="Times New Roman"/>
          <w:sz w:val="18"/>
          <w:szCs w:val="18"/>
        </w:rPr>
        <w:t>Alagha</w:t>
      </w:r>
      <w:proofErr w:type="spellEnd"/>
      <w:r w:rsidRPr="00D25403">
        <w:rPr>
          <w:rFonts w:ascii="Times New Roman" w:hAnsi="Times New Roman" w:cs="Times New Roman"/>
          <w:sz w:val="18"/>
          <w:szCs w:val="18"/>
        </w:rPr>
        <w:t xml:space="preserve">, </w:t>
      </w:r>
      <w:proofErr w:type="spellStart"/>
      <w:r w:rsidRPr="00D25403">
        <w:rPr>
          <w:rFonts w:ascii="Times New Roman" w:hAnsi="Times New Roman" w:cs="Times New Roman"/>
          <w:i/>
          <w:iCs/>
          <w:sz w:val="18"/>
          <w:szCs w:val="18"/>
        </w:rPr>
        <w:t>Hizbullah’s</w:t>
      </w:r>
      <w:proofErr w:type="spellEnd"/>
      <w:r w:rsidRPr="00D25403">
        <w:rPr>
          <w:rFonts w:ascii="Times New Roman" w:hAnsi="Times New Roman" w:cs="Times New Roman"/>
          <w:i/>
          <w:iCs/>
          <w:sz w:val="18"/>
          <w:szCs w:val="18"/>
        </w:rPr>
        <w:t xml:space="preserve"> Identity Construction</w:t>
      </w:r>
      <w:r w:rsidRPr="00D25403">
        <w:rPr>
          <w:rFonts w:ascii="Times New Roman" w:hAnsi="Times New Roman" w:cs="Times New Roman"/>
          <w:sz w:val="18"/>
          <w:szCs w:val="18"/>
        </w:rPr>
        <w:t xml:space="preserve"> (Amsterdam: Amsterdam University Press, 2011), p. 51. </w:t>
      </w:r>
    </w:p>
  </w:footnote>
  <w:footnote w:id="86">
    <w:p w14:paraId="65A39A3E" w14:textId="77777777" w:rsidR="00080908" w:rsidRPr="00D25403" w:rsidRDefault="00080908">
      <w:pPr>
        <w:pStyle w:val="FootnoteText"/>
        <w:rPr>
          <w:rFonts w:ascii="Times New Roman" w:hAnsi="Times New Roman" w:cs="Times New Roman"/>
          <w:sz w:val="18"/>
          <w:szCs w:val="18"/>
        </w:rPr>
      </w:pPr>
      <w:r w:rsidRPr="00D25403">
        <w:rPr>
          <w:rStyle w:val="FootnoteReference"/>
          <w:rFonts w:ascii="Times New Roman" w:hAnsi="Times New Roman" w:cs="Times New Roman"/>
          <w:sz w:val="18"/>
          <w:szCs w:val="18"/>
        </w:rPr>
        <w:footnoteRef/>
      </w:r>
      <w:r w:rsidRPr="00D25403">
        <w:rPr>
          <w:rFonts w:ascii="Times New Roman" w:hAnsi="Times New Roman" w:cs="Times New Roman"/>
          <w:sz w:val="18"/>
          <w:szCs w:val="18"/>
        </w:rPr>
        <w:t xml:space="preserve"> </w:t>
      </w:r>
      <w:r w:rsidRPr="00D25403">
        <w:rPr>
          <w:rFonts w:ascii="Times New Roman" w:hAnsi="Times New Roman" w:cs="Times New Roman"/>
          <w:i/>
          <w:iCs/>
          <w:sz w:val="18"/>
          <w:szCs w:val="18"/>
        </w:rPr>
        <w:t>Ibid</w:t>
      </w:r>
      <w:r w:rsidRPr="00D25403">
        <w:rPr>
          <w:rFonts w:ascii="Times New Roman" w:hAnsi="Times New Roman" w:cs="Times New Roman"/>
          <w:sz w:val="18"/>
          <w:szCs w:val="18"/>
        </w:rPr>
        <w:t xml:space="preserve">. </w:t>
      </w:r>
    </w:p>
  </w:footnote>
  <w:footnote w:id="87">
    <w:p w14:paraId="506123A0" w14:textId="77777777" w:rsidR="00080908" w:rsidRPr="00D25403" w:rsidRDefault="00080908">
      <w:pPr>
        <w:pStyle w:val="FootnoteText"/>
        <w:rPr>
          <w:rFonts w:ascii="Times New Roman" w:hAnsi="Times New Roman" w:cs="Times New Roman"/>
          <w:sz w:val="18"/>
          <w:szCs w:val="18"/>
        </w:rPr>
      </w:pPr>
      <w:r w:rsidRPr="00D25403">
        <w:rPr>
          <w:rStyle w:val="FootnoteReference"/>
          <w:rFonts w:ascii="Times New Roman" w:hAnsi="Times New Roman" w:cs="Times New Roman"/>
          <w:sz w:val="18"/>
          <w:szCs w:val="18"/>
        </w:rPr>
        <w:footnoteRef/>
      </w:r>
      <w:r w:rsidRPr="00D25403">
        <w:rPr>
          <w:rFonts w:ascii="Times New Roman" w:hAnsi="Times New Roman" w:cs="Times New Roman"/>
          <w:sz w:val="18"/>
          <w:szCs w:val="18"/>
        </w:rPr>
        <w:t xml:space="preserve"> </w:t>
      </w:r>
      <w:proofErr w:type="spellStart"/>
      <w:r w:rsidRPr="00D25403">
        <w:rPr>
          <w:rFonts w:ascii="Times New Roman" w:hAnsi="Times New Roman" w:cs="Times New Roman"/>
          <w:sz w:val="18"/>
          <w:szCs w:val="18"/>
        </w:rPr>
        <w:t>Alagha</w:t>
      </w:r>
      <w:proofErr w:type="spellEnd"/>
      <w:r w:rsidRPr="00D25403">
        <w:rPr>
          <w:rFonts w:ascii="Times New Roman" w:hAnsi="Times New Roman" w:cs="Times New Roman"/>
          <w:sz w:val="18"/>
          <w:szCs w:val="18"/>
        </w:rPr>
        <w:t xml:space="preserve">, p. 53. </w:t>
      </w:r>
    </w:p>
  </w:footnote>
  <w:footnote w:id="88">
    <w:p w14:paraId="39A08891" w14:textId="77777777" w:rsidR="00080908" w:rsidRPr="00D25403" w:rsidRDefault="00080908">
      <w:pPr>
        <w:pStyle w:val="FootnoteText"/>
        <w:rPr>
          <w:rFonts w:ascii="Times New Roman" w:hAnsi="Times New Roman" w:cs="Times New Roman"/>
          <w:sz w:val="18"/>
          <w:szCs w:val="18"/>
        </w:rPr>
      </w:pPr>
      <w:r w:rsidRPr="00D25403">
        <w:rPr>
          <w:rStyle w:val="FootnoteReference"/>
          <w:rFonts w:ascii="Times New Roman" w:hAnsi="Times New Roman" w:cs="Times New Roman"/>
          <w:sz w:val="18"/>
          <w:szCs w:val="18"/>
        </w:rPr>
        <w:footnoteRef/>
      </w:r>
      <w:r w:rsidRPr="00D25403">
        <w:rPr>
          <w:rFonts w:ascii="Times New Roman" w:hAnsi="Times New Roman" w:cs="Times New Roman"/>
          <w:sz w:val="18"/>
          <w:szCs w:val="18"/>
        </w:rPr>
        <w:t xml:space="preserve"> </w:t>
      </w:r>
      <w:r w:rsidRPr="00D25403">
        <w:rPr>
          <w:rFonts w:ascii="Times New Roman" w:hAnsi="Times New Roman" w:cs="Times New Roman"/>
          <w:i/>
          <w:iCs/>
          <w:sz w:val="18"/>
          <w:szCs w:val="18"/>
        </w:rPr>
        <w:t>Ibid</w:t>
      </w:r>
      <w:r w:rsidRPr="00D25403">
        <w:rPr>
          <w:rFonts w:ascii="Times New Roman" w:hAnsi="Times New Roman" w:cs="Times New Roman"/>
          <w:sz w:val="18"/>
          <w:szCs w:val="18"/>
        </w:rPr>
        <w:t xml:space="preserve">. </w:t>
      </w:r>
    </w:p>
  </w:footnote>
  <w:footnote w:id="89">
    <w:p w14:paraId="5EA3FB8A" w14:textId="77777777" w:rsidR="00080908" w:rsidRPr="004553B0" w:rsidRDefault="00080908" w:rsidP="00BD3D37">
      <w:pPr>
        <w:pStyle w:val="FootnoteText"/>
        <w:rPr>
          <w:rFonts w:ascii="Times New Roman" w:hAnsi="Times New Roman" w:cs="Times New Roman"/>
          <w:sz w:val="18"/>
          <w:szCs w:val="18"/>
        </w:rPr>
      </w:pPr>
      <w:r w:rsidRPr="00D25403">
        <w:rPr>
          <w:rStyle w:val="FootnoteReference"/>
          <w:rFonts w:ascii="Times New Roman" w:hAnsi="Times New Roman" w:cs="Times New Roman"/>
          <w:sz w:val="18"/>
          <w:szCs w:val="18"/>
        </w:rPr>
        <w:footnoteRef/>
      </w:r>
      <w:r w:rsidRPr="00D25403">
        <w:rPr>
          <w:rFonts w:ascii="Times New Roman" w:hAnsi="Times New Roman" w:cs="Times New Roman"/>
          <w:sz w:val="18"/>
          <w:szCs w:val="18"/>
        </w:rPr>
        <w:t xml:space="preserve"> </w:t>
      </w:r>
      <w:proofErr w:type="spellStart"/>
      <w:r w:rsidRPr="00D25403">
        <w:rPr>
          <w:rFonts w:ascii="Times New Roman" w:hAnsi="Times New Roman" w:cs="Times New Roman"/>
          <w:sz w:val="18"/>
          <w:szCs w:val="18"/>
        </w:rPr>
        <w:t>Saouli</w:t>
      </w:r>
      <w:proofErr w:type="spellEnd"/>
      <w:r w:rsidRPr="00D25403">
        <w:rPr>
          <w:rFonts w:ascii="Times New Roman" w:hAnsi="Times New Roman" w:cs="Times New Roman"/>
          <w:sz w:val="18"/>
          <w:szCs w:val="18"/>
        </w:rPr>
        <w:t>, p. 67.</w:t>
      </w:r>
      <w:r w:rsidRPr="004553B0">
        <w:rPr>
          <w:rFonts w:ascii="Times New Roman" w:hAnsi="Times New Roman" w:cs="Times New Roman"/>
          <w:sz w:val="18"/>
          <w:szCs w:val="18"/>
        </w:rPr>
        <w:t xml:space="preserve"> </w:t>
      </w:r>
    </w:p>
  </w:footnote>
  <w:footnote w:id="90">
    <w:p w14:paraId="53F5C74E" w14:textId="77777777" w:rsidR="00080908" w:rsidRPr="004553B0" w:rsidRDefault="00080908" w:rsidP="00926677">
      <w:pPr>
        <w:pStyle w:val="FootnoteText"/>
        <w:rPr>
          <w:rFonts w:ascii="Times New Roman" w:hAnsi="Times New Roman" w:cs="Times New Roman"/>
          <w:sz w:val="18"/>
          <w:szCs w:val="18"/>
        </w:rPr>
      </w:pPr>
      <w:r w:rsidRPr="004553B0">
        <w:rPr>
          <w:rStyle w:val="FootnoteReference"/>
          <w:rFonts w:ascii="Times New Roman" w:hAnsi="Times New Roman" w:cs="Times New Roman"/>
          <w:sz w:val="18"/>
          <w:szCs w:val="18"/>
        </w:rPr>
        <w:footnoteRef/>
      </w:r>
      <w:r w:rsidRPr="004553B0">
        <w:rPr>
          <w:rFonts w:ascii="Times New Roman" w:hAnsi="Times New Roman" w:cs="Times New Roman"/>
          <w:sz w:val="18"/>
          <w:szCs w:val="18"/>
        </w:rPr>
        <w:t xml:space="preserve"> </w:t>
      </w:r>
      <w:proofErr w:type="spellStart"/>
      <w:r w:rsidRPr="004553B0">
        <w:rPr>
          <w:rFonts w:ascii="Times New Roman" w:hAnsi="Times New Roman" w:cs="Times New Roman"/>
          <w:sz w:val="18"/>
          <w:szCs w:val="18"/>
        </w:rPr>
        <w:t>Rola</w:t>
      </w:r>
      <w:proofErr w:type="spellEnd"/>
      <w:r w:rsidRPr="004553B0">
        <w:rPr>
          <w:rFonts w:ascii="Times New Roman" w:hAnsi="Times New Roman" w:cs="Times New Roman"/>
          <w:sz w:val="18"/>
          <w:szCs w:val="18"/>
        </w:rPr>
        <w:t xml:space="preserve"> El Husseini, “Hezbollah and the Axis of Refusal: Hamas, Iran and Syria,” </w:t>
      </w:r>
      <w:r w:rsidRPr="004553B0">
        <w:rPr>
          <w:rFonts w:ascii="Times New Roman" w:hAnsi="Times New Roman" w:cs="Times New Roman"/>
          <w:i/>
          <w:iCs/>
          <w:sz w:val="18"/>
          <w:szCs w:val="18"/>
        </w:rPr>
        <w:t>Third World Quarterly</w:t>
      </w:r>
      <w:r w:rsidRPr="004553B0">
        <w:rPr>
          <w:rFonts w:ascii="Times New Roman" w:hAnsi="Times New Roman" w:cs="Times New Roman"/>
          <w:sz w:val="18"/>
          <w:szCs w:val="18"/>
        </w:rPr>
        <w:t>, Vol. 31, No. 5 (2010), p. 810.</w:t>
      </w:r>
    </w:p>
  </w:footnote>
  <w:footnote w:id="91">
    <w:p w14:paraId="16EBE3F0" w14:textId="77777777" w:rsidR="00080908" w:rsidRPr="00926677" w:rsidRDefault="00080908" w:rsidP="00926677">
      <w:pPr>
        <w:pStyle w:val="FootnoteText"/>
        <w:rPr>
          <w:rFonts w:ascii="Times New Roman" w:hAnsi="Times New Roman" w:cs="Times New Roman"/>
          <w:sz w:val="18"/>
          <w:szCs w:val="18"/>
        </w:rPr>
      </w:pPr>
      <w:r w:rsidRPr="004553B0">
        <w:rPr>
          <w:rStyle w:val="FootnoteReference"/>
          <w:rFonts w:ascii="Times New Roman" w:hAnsi="Times New Roman" w:cs="Times New Roman"/>
          <w:sz w:val="18"/>
          <w:szCs w:val="18"/>
        </w:rPr>
        <w:footnoteRef/>
      </w:r>
      <w:r w:rsidRPr="004553B0">
        <w:rPr>
          <w:rFonts w:ascii="Times New Roman" w:hAnsi="Times New Roman" w:cs="Times New Roman"/>
          <w:sz w:val="18"/>
          <w:szCs w:val="18"/>
        </w:rPr>
        <w:t xml:space="preserve"> Magnus </w:t>
      </w:r>
      <w:proofErr w:type="spellStart"/>
      <w:r w:rsidRPr="004553B0">
        <w:rPr>
          <w:rFonts w:ascii="Times New Roman" w:hAnsi="Times New Roman" w:cs="Times New Roman"/>
          <w:sz w:val="18"/>
          <w:szCs w:val="18"/>
        </w:rPr>
        <w:t>Ranstorp</w:t>
      </w:r>
      <w:proofErr w:type="spellEnd"/>
      <w:r w:rsidRPr="004553B0">
        <w:rPr>
          <w:rFonts w:ascii="Times New Roman" w:hAnsi="Times New Roman" w:cs="Times New Roman"/>
          <w:sz w:val="18"/>
          <w:szCs w:val="18"/>
        </w:rPr>
        <w:t>, “The strategy and tactics of Hizballah's current ‘</w:t>
      </w:r>
      <w:proofErr w:type="spellStart"/>
      <w:r w:rsidRPr="004553B0">
        <w:rPr>
          <w:rFonts w:ascii="Times New Roman" w:hAnsi="Times New Roman" w:cs="Times New Roman"/>
          <w:sz w:val="18"/>
          <w:szCs w:val="18"/>
        </w:rPr>
        <w:t>Lebanonization</w:t>
      </w:r>
      <w:proofErr w:type="spellEnd"/>
      <w:r w:rsidRPr="004553B0">
        <w:rPr>
          <w:rFonts w:ascii="Times New Roman" w:hAnsi="Times New Roman" w:cs="Times New Roman"/>
          <w:sz w:val="18"/>
          <w:szCs w:val="18"/>
        </w:rPr>
        <w:t xml:space="preserve"> process,’” </w:t>
      </w:r>
      <w:r w:rsidRPr="004553B0">
        <w:rPr>
          <w:rFonts w:ascii="Times New Roman" w:hAnsi="Times New Roman" w:cs="Times New Roman"/>
          <w:i/>
          <w:iCs/>
          <w:sz w:val="18"/>
          <w:szCs w:val="18"/>
        </w:rPr>
        <w:t>Mediterranean Politics</w:t>
      </w:r>
      <w:r w:rsidRPr="004553B0">
        <w:rPr>
          <w:rFonts w:ascii="Times New Roman" w:hAnsi="Times New Roman" w:cs="Times New Roman"/>
          <w:sz w:val="18"/>
          <w:szCs w:val="18"/>
        </w:rPr>
        <w:t>, Vol. 3, No. 1 (1998), p. 104.</w:t>
      </w:r>
      <w:r w:rsidRPr="00926677">
        <w:rPr>
          <w:rFonts w:ascii="Times New Roman" w:hAnsi="Times New Roman" w:cs="Times New Roman"/>
          <w:sz w:val="18"/>
          <w:szCs w:val="18"/>
        </w:rPr>
        <w:t xml:space="preserve"> </w:t>
      </w:r>
    </w:p>
  </w:footnote>
  <w:footnote w:id="92">
    <w:p w14:paraId="7294378A" w14:textId="77777777" w:rsidR="00080908" w:rsidRPr="00447DF8" w:rsidRDefault="00080908" w:rsidP="00080F15">
      <w:pPr>
        <w:pStyle w:val="FootnoteText"/>
        <w:rPr>
          <w:rFonts w:ascii="Times New Roman" w:hAnsi="Times New Roman" w:cs="Times New Roman"/>
          <w:sz w:val="18"/>
          <w:szCs w:val="18"/>
        </w:rPr>
      </w:pPr>
      <w:r w:rsidRPr="00447DF8">
        <w:rPr>
          <w:rStyle w:val="FootnoteReference"/>
          <w:rFonts w:ascii="Times New Roman" w:hAnsi="Times New Roman" w:cs="Times New Roman"/>
          <w:sz w:val="18"/>
          <w:szCs w:val="18"/>
        </w:rPr>
        <w:footnoteRef/>
      </w:r>
      <w:r w:rsidRPr="00447DF8">
        <w:rPr>
          <w:rFonts w:ascii="Times New Roman" w:hAnsi="Times New Roman" w:cs="Times New Roman"/>
          <w:sz w:val="18"/>
          <w:szCs w:val="18"/>
        </w:rPr>
        <w:t xml:space="preserve"> </w:t>
      </w:r>
      <w:proofErr w:type="spellStart"/>
      <w:r w:rsidRPr="00447DF8">
        <w:rPr>
          <w:rFonts w:ascii="Times New Roman" w:hAnsi="Times New Roman" w:cs="Times New Roman"/>
          <w:sz w:val="18"/>
          <w:szCs w:val="18"/>
        </w:rPr>
        <w:t>Qassem</w:t>
      </w:r>
      <w:proofErr w:type="spellEnd"/>
      <w:r w:rsidRPr="00447DF8">
        <w:rPr>
          <w:rFonts w:ascii="Times New Roman" w:hAnsi="Times New Roman" w:cs="Times New Roman"/>
          <w:sz w:val="18"/>
          <w:szCs w:val="18"/>
        </w:rPr>
        <w:t xml:space="preserve">, p. 238. </w:t>
      </w:r>
    </w:p>
  </w:footnote>
  <w:footnote w:id="93">
    <w:p w14:paraId="3B23A2AB" w14:textId="77777777" w:rsidR="00080908" w:rsidRPr="00447DF8" w:rsidRDefault="00080908">
      <w:pPr>
        <w:pStyle w:val="FootnoteText"/>
        <w:rPr>
          <w:rFonts w:ascii="Times New Roman" w:hAnsi="Times New Roman" w:cs="Times New Roman"/>
          <w:sz w:val="18"/>
          <w:szCs w:val="18"/>
        </w:rPr>
      </w:pPr>
      <w:r w:rsidRPr="00447DF8">
        <w:rPr>
          <w:rStyle w:val="FootnoteReference"/>
          <w:rFonts w:ascii="Times New Roman" w:hAnsi="Times New Roman" w:cs="Times New Roman"/>
          <w:sz w:val="18"/>
          <w:szCs w:val="18"/>
        </w:rPr>
        <w:footnoteRef/>
      </w:r>
      <w:r w:rsidRPr="00447DF8">
        <w:rPr>
          <w:rFonts w:ascii="Times New Roman" w:hAnsi="Times New Roman" w:cs="Times New Roman"/>
          <w:sz w:val="18"/>
          <w:szCs w:val="18"/>
        </w:rPr>
        <w:t xml:space="preserve"> </w:t>
      </w:r>
      <w:proofErr w:type="spellStart"/>
      <w:r w:rsidRPr="00447DF8">
        <w:rPr>
          <w:rFonts w:ascii="Times New Roman" w:hAnsi="Times New Roman" w:cs="Times New Roman"/>
          <w:sz w:val="18"/>
          <w:szCs w:val="18"/>
        </w:rPr>
        <w:t>Saouli</w:t>
      </w:r>
      <w:proofErr w:type="spellEnd"/>
      <w:r w:rsidRPr="00447DF8">
        <w:rPr>
          <w:rFonts w:ascii="Times New Roman" w:hAnsi="Times New Roman" w:cs="Times New Roman"/>
          <w:sz w:val="18"/>
          <w:szCs w:val="18"/>
        </w:rPr>
        <w:t xml:space="preserve">, p. 150. </w:t>
      </w:r>
    </w:p>
  </w:footnote>
  <w:footnote w:id="94">
    <w:p w14:paraId="61244592" w14:textId="77777777" w:rsidR="00080908" w:rsidRPr="00447DF8" w:rsidRDefault="00080908">
      <w:pPr>
        <w:pStyle w:val="FootnoteText"/>
        <w:rPr>
          <w:rFonts w:ascii="Times New Roman" w:hAnsi="Times New Roman" w:cs="Times New Roman"/>
          <w:sz w:val="18"/>
          <w:szCs w:val="18"/>
        </w:rPr>
      </w:pPr>
      <w:r w:rsidRPr="00447DF8">
        <w:rPr>
          <w:rStyle w:val="FootnoteReference"/>
          <w:rFonts w:ascii="Times New Roman" w:hAnsi="Times New Roman" w:cs="Times New Roman"/>
          <w:sz w:val="18"/>
          <w:szCs w:val="18"/>
        </w:rPr>
        <w:footnoteRef/>
      </w:r>
      <w:r w:rsidRPr="00447DF8">
        <w:rPr>
          <w:rFonts w:ascii="Times New Roman" w:hAnsi="Times New Roman" w:cs="Times New Roman"/>
          <w:sz w:val="18"/>
          <w:szCs w:val="18"/>
        </w:rPr>
        <w:t xml:space="preserve"> </w:t>
      </w:r>
      <w:r w:rsidRPr="00447DF8">
        <w:rPr>
          <w:rFonts w:ascii="Times New Roman" w:hAnsi="Times New Roman" w:cs="Times New Roman"/>
          <w:i/>
          <w:iCs/>
          <w:sz w:val="18"/>
          <w:szCs w:val="18"/>
        </w:rPr>
        <w:t>Ibid</w:t>
      </w:r>
      <w:r w:rsidRPr="00447DF8">
        <w:rPr>
          <w:rFonts w:ascii="Times New Roman" w:hAnsi="Times New Roman" w:cs="Times New Roman"/>
          <w:sz w:val="18"/>
          <w:szCs w:val="18"/>
        </w:rPr>
        <w:t xml:space="preserve">. </w:t>
      </w:r>
    </w:p>
  </w:footnote>
  <w:footnote w:id="95">
    <w:p w14:paraId="478DEEDF" w14:textId="77777777" w:rsidR="00080908" w:rsidRPr="002A01B8" w:rsidRDefault="00080908" w:rsidP="00447DF8">
      <w:pPr>
        <w:pStyle w:val="FootnoteText"/>
        <w:rPr>
          <w:rFonts w:ascii="Times New Roman" w:hAnsi="Times New Roman" w:cs="Times New Roman"/>
          <w:sz w:val="18"/>
          <w:szCs w:val="18"/>
        </w:rPr>
      </w:pPr>
      <w:r w:rsidRPr="002A01B8">
        <w:rPr>
          <w:rStyle w:val="FootnoteReference"/>
          <w:rFonts w:ascii="Times New Roman" w:hAnsi="Times New Roman" w:cs="Times New Roman"/>
          <w:sz w:val="18"/>
          <w:szCs w:val="18"/>
        </w:rPr>
        <w:footnoteRef/>
      </w:r>
      <w:r w:rsidRPr="002A01B8">
        <w:rPr>
          <w:rFonts w:ascii="Times New Roman" w:hAnsi="Times New Roman" w:cs="Times New Roman"/>
          <w:sz w:val="18"/>
          <w:szCs w:val="18"/>
        </w:rPr>
        <w:t xml:space="preserve"> </w:t>
      </w:r>
      <w:r w:rsidRPr="002A01B8">
        <w:rPr>
          <w:rFonts w:asciiTheme="majorBidi" w:hAnsiTheme="majorBidi" w:cstheme="majorBidi"/>
          <w:sz w:val="18"/>
          <w:szCs w:val="18"/>
        </w:rPr>
        <w:t>Snyder</w:t>
      </w:r>
      <w:r w:rsidRPr="002A01B8">
        <w:rPr>
          <w:rFonts w:ascii="Times New Roman" w:hAnsi="Times New Roman" w:cs="Times New Roman"/>
          <w:sz w:val="18"/>
          <w:szCs w:val="18"/>
        </w:rPr>
        <w:t xml:space="preserve">, p. 75. </w:t>
      </w:r>
    </w:p>
  </w:footnote>
  <w:footnote w:id="96">
    <w:p w14:paraId="2B11AC04" w14:textId="77777777" w:rsidR="00080908" w:rsidRPr="00D25403" w:rsidRDefault="00080908">
      <w:pPr>
        <w:pStyle w:val="FootnoteText"/>
        <w:rPr>
          <w:rFonts w:ascii="Times New Roman" w:hAnsi="Times New Roman" w:cs="Times New Roman"/>
          <w:sz w:val="18"/>
          <w:szCs w:val="18"/>
        </w:rPr>
      </w:pPr>
      <w:r w:rsidRPr="00D25403">
        <w:rPr>
          <w:rStyle w:val="FootnoteReference"/>
          <w:rFonts w:ascii="Times New Roman" w:hAnsi="Times New Roman" w:cs="Times New Roman"/>
          <w:sz w:val="18"/>
          <w:szCs w:val="18"/>
        </w:rPr>
        <w:footnoteRef/>
      </w:r>
      <w:r w:rsidRPr="00D25403">
        <w:rPr>
          <w:rFonts w:ascii="Times New Roman" w:hAnsi="Times New Roman" w:cs="Times New Roman"/>
          <w:sz w:val="18"/>
          <w:szCs w:val="18"/>
        </w:rPr>
        <w:t xml:space="preserve"> </w:t>
      </w:r>
      <w:proofErr w:type="spellStart"/>
      <w:r w:rsidRPr="00D25403">
        <w:rPr>
          <w:rFonts w:ascii="Times New Roman" w:hAnsi="Times New Roman" w:cs="Times New Roman"/>
          <w:sz w:val="18"/>
          <w:szCs w:val="18"/>
        </w:rPr>
        <w:t>Saouli</w:t>
      </w:r>
      <w:proofErr w:type="spellEnd"/>
      <w:r w:rsidRPr="00D25403">
        <w:rPr>
          <w:rFonts w:ascii="Times New Roman" w:hAnsi="Times New Roman" w:cs="Times New Roman"/>
          <w:sz w:val="18"/>
          <w:szCs w:val="18"/>
        </w:rPr>
        <w:t xml:space="preserve"> discusses how the events of May 1988 “showed how far Iran was willing to go to preserve its main ally in Lebanon and thus its influence there” (100-101). </w:t>
      </w:r>
    </w:p>
  </w:footnote>
  <w:footnote w:id="97">
    <w:p w14:paraId="6000E879" w14:textId="77777777" w:rsidR="00080908" w:rsidRPr="0096139B" w:rsidRDefault="00080908">
      <w:pPr>
        <w:pStyle w:val="FootnoteText"/>
        <w:rPr>
          <w:rFonts w:ascii="Times New Roman" w:hAnsi="Times New Roman" w:cs="Times New Roman"/>
          <w:sz w:val="18"/>
          <w:szCs w:val="18"/>
        </w:rPr>
      </w:pPr>
      <w:r w:rsidRPr="0096139B">
        <w:rPr>
          <w:rStyle w:val="FootnoteReference"/>
          <w:rFonts w:ascii="Times New Roman" w:hAnsi="Times New Roman" w:cs="Times New Roman"/>
          <w:sz w:val="18"/>
          <w:szCs w:val="18"/>
        </w:rPr>
        <w:footnoteRef/>
      </w:r>
      <w:r w:rsidRPr="0096139B">
        <w:rPr>
          <w:rFonts w:ascii="Times New Roman" w:hAnsi="Times New Roman" w:cs="Times New Roman"/>
          <w:sz w:val="18"/>
          <w:szCs w:val="18"/>
        </w:rPr>
        <w:t xml:space="preserve"> Amal Saad-</w:t>
      </w:r>
      <w:proofErr w:type="spellStart"/>
      <w:r w:rsidRPr="0096139B">
        <w:rPr>
          <w:rFonts w:ascii="Times New Roman" w:hAnsi="Times New Roman" w:cs="Times New Roman"/>
          <w:sz w:val="18"/>
          <w:szCs w:val="18"/>
        </w:rPr>
        <w:t>Ghorayeb</w:t>
      </w:r>
      <w:proofErr w:type="spellEnd"/>
      <w:r w:rsidRPr="0096139B">
        <w:rPr>
          <w:rFonts w:ascii="Times New Roman" w:hAnsi="Times New Roman" w:cs="Times New Roman"/>
          <w:sz w:val="18"/>
          <w:szCs w:val="18"/>
        </w:rPr>
        <w:t xml:space="preserve">, </w:t>
      </w:r>
      <w:proofErr w:type="spellStart"/>
      <w:r w:rsidRPr="0096139B">
        <w:rPr>
          <w:rFonts w:ascii="Times New Roman" w:hAnsi="Times New Roman" w:cs="Times New Roman"/>
          <w:i/>
          <w:iCs/>
          <w:sz w:val="18"/>
          <w:szCs w:val="18"/>
        </w:rPr>
        <w:t>Hizbu’llah</w:t>
      </w:r>
      <w:proofErr w:type="spellEnd"/>
      <w:r w:rsidRPr="0096139B">
        <w:rPr>
          <w:rFonts w:ascii="Times New Roman" w:hAnsi="Times New Roman" w:cs="Times New Roman"/>
          <w:i/>
          <w:iCs/>
          <w:sz w:val="18"/>
          <w:szCs w:val="18"/>
        </w:rPr>
        <w:t>: Politics and Religion</w:t>
      </w:r>
      <w:r w:rsidRPr="0096139B">
        <w:rPr>
          <w:rFonts w:ascii="Times New Roman" w:hAnsi="Times New Roman" w:cs="Times New Roman"/>
          <w:sz w:val="18"/>
          <w:szCs w:val="18"/>
        </w:rPr>
        <w:t xml:space="preserve"> (</w:t>
      </w:r>
      <w:r>
        <w:rPr>
          <w:rFonts w:ascii="Times New Roman" w:hAnsi="Times New Roman" w:cs="Times New Roman"/>
          <w:sz w:val="18"/>
          <w:szCs w:val="18"/>
        </w:rPr>
        <w:t xml:space="preserve">London, </w:t>
      </w:r>
      <w:r w:rsidRPr="0096139B">
        <w:rPr>
          <w:rFonts w:ascii="Times New Roman" w:hAnsi="Times New Roman" w:cs="Times New Roman"/>
          <w:sz w:val="18"/>
          <w:szCs w:val="18"/>
        </w:rPr>
        <w:t xml:space="preserve">Pluto Press, 2001), p. 14. </w:t>
      </w:r>
    </w:p>
  </w:footnote>
  <w:footnote w:id="98">
    <w:p w14:paraId="1DE34DB0" w14:textId="77777777" w:rsidR="00080908" w:rsidRPr="00447DF8" w:rsidRDefault="00080908" w:rsidP="00811F8F">
      <w:pPr>
        <w:pStyle w:val="FootnoteText"/>
        <w:rPr>
          <w:rFonts w:ascii="Times New Roman" w:hAnsi="Times New Roman" w:cs="Times New Roman"/>
          <w:sz w:val="18"/>
          <w:szCs w:val="18"/>
        </w:rPr>
      </w:pPr>
      <w:r w:rsidRPr="00447DF8">
        <w:rPr>
          <w:rStyle w:val="FootnoteReference"/>
          <w:rFonts w:ascii="Times New Roman" w:hAnsi="Times New Roman" w:cs="Times New Roman"/>
          <w:sz w:val="18"/>
          <w:szCs w:val="18"/>
        </w:rPr>
        <w:footnoteRef/>
      </w:r>
      <w:r w:rsidRPr="00447DF8">
        <w:rPr>
          <w:rFonts w:ascii="Times New Roman" w:hAnsi="Times New Roman" w:cs="Times New Roman"/>
          <w:sz w:val="18"/>
          <w:szCs w:val="18"/>
        </w:rPr>
        <w:t xml:space="preserve"> </w:t>
      </w:r>
      <w:proofErr w:type="spellStart"/>
      <w:r w:rsidRPr="00447DF8">
        <w:rPr>
          <w:rFonts w:ascii="Times New Roman" w:hAnsi="Times New Roman" w:cs="Times New Roman"/>
          <w:sz w:val="18"/>
          <w:szCs w:val="18"/>
        </w:rPr>
        <w:t>Azani</w:t>
      </w:r>
      <w:proofErr w:type="spellEnd"/>
      <w:r w:rsidRPr="00447DF8">
        <w:rPr>
          <w:rFonts w:ascii="Times New Roman" w:hAnsi="Times New Roman" w:cs="Times New Roman"/>
          <w:sz w:val="18"/>
          <w:szCs w:val="18"/>
        </w:rPr>
        <w:t xml:space="preserve">, p. 98. </w:t>
      </w:r>
    </w:p>
  </w:footnote>
  <w:footnote w:id="99">
    <w:p w14:paraId="342829B6" w14:textId="77777777" w:rsidR="00080908" w:rsidRPr="00447DF8" w:rsidRDefault="00080908" w:rsidP="00811F8F">
      <w:pPr>
        <w:pStyle w:val="FootnoteText"/>
        <w:rPr>
          <w:rFonts w:asciiTheme="majorBidi" w:hAnsiTheme="majorBidi" w:cstheme="majorBidi"/>
          <w:sz w:val="18"/>
          <w:szCs w:val="18"/>
        </w:rPr>
      </w:pPr>
      <w:r w:rsidRPr="00447DF8">
        <w:rPr>
          <w:rStyle w:val="FootnoteReference"/>
          <w:rFonts w:ascii="Times New Roman" w:hAnsi="Times New Roman" w:cs="Times New Roman"/>
          <w:sz w:val="18"/>
          <w:szCs w:val="18"/>
        </w:rPr>
        <w:footnoteRef/>
      </w:r>
      <w:r w:rsidRPr="00447DF8">
        <w:rPr>
          <w:rFonts w:ascii="Times New Roman" w:hAnsi="Times New Roman" w:cs="Times New Roman"/>
          <w:sz w:val="18"/>
          <w:szCs w:val="18"/>
        </w:rPr>
        <w:t xml:space="preserve"> Norton, p. 87.</w:t>
      </w:r>
      <w:r w:rsidRPr="00447DF8">
        <w:rPr>
          <w:rFonts w:asciiTheme="majorBidi" w:hAnsiTheme="majorBidi" w:cstheme="majorBidi"/>
          <w:sz w:val="18"/>
          <w:szCs w:val="18"/>
        </w:rPr>
        <w:t xml:space="preserve"> </w:t>
      </w:r>
    </w:p>
  </w:footnote>
  <w:footnote w:id="100">
    <w:p w14:paraId="03D4FD9E" w14:textId="77777777" w:rsidR="00080908" w:rsidRPr="00447DF8" w:rsidRDefault="00080908" w:rsidP="00811F8F">
      <w:pPr>
        <w:pStyle w:val="FootnoteText"/>
        <w:rPr>
          <w:rFonts w:asciiTheme="majorBidi" w:hAnsiTheme="majorBidi" w:cstheme="majorBidi"/>
          <w:sz w:val="18"/>
          <w:szCs w:val="18"/>
        </w:rPr>
      </w:pPr>
      <w:r w:rsidRPr="00447DF8">
        <w:rPr>
          <w:rStyle w:val="FootnoteReference"/>
          <w:rFonts w:asciiTheme="majorBidi" w:hAnsiTheme="majorBidi" w:cstheme="majorBidi"/>
          <w:sz w:val="18"/>
          <w:szCs w:val="18"/>
        </w:rPr>
        <w:footnoteRef/>
      </w:r>
      <w:r w:rsidRPr="00447DF8">
        <w:rPr>
          <w:rFonts w:asciiTheme="majorBidi" w:hAnsiTheme="majorBidi" w:cstheme="majorBidi"/>
          <w:sz w:val="18"/>
          <w:szCs w:val="18"/>
        </w:rPr>
        <w:t xml:space="preserve"> </w:t>
      </w:r>
      <w:proofErr w:type="spellStart"/>
      <w:r w:rsidRPr="00447DF8">
        <w:rPr>
          <w:rFonts w:asciiTheme="majorBidi" w:hAnsiTheme="majorBidi" w:cstheme="majorBidi"/>
          <w:sz w:val="18"/>
          <w:szCs w:val="18"/>
        </w:rPr>
        <w:t>Azani</w:t>
      </w:r>
      <w:proofErr w:type="spellEnd"/>
      <w:r w:rsidRPr="00447DF8">
        <w:rPr>
          <w:rFonts w:asciiTheme="majorBidi" w:hAnsiTheme="majorBidi" w:cstheme="majorBidi"/>
          <w:sz w:val="18"/>
          <w:szCs w:val="18"/>
        </w:rPr>
        <w:t xml:space="preserve">, p. 97. </w:t>
      </w:r>
    </w:p>
  </w:footnote>
  <w:footnote w:id="101">
    <w:p w14:paraId="1D12495A" w14:textId="77777777" w:rsidR="00080908" w:rsidRPr="009D072D" w:rsidRDefault="00080908" w:rsidP="00811F8F">
      <w:pPr>
        <w:pStyle w:val="FootnoteText"/>
        <w:rPr>
          <w:rFonts w:ascii="Times New Roman" w:hAnsi="Times New Roman" w:cs="Times New Roman"/>
          <w:sz w:val="18"/>
          <w:szCs w:val="18"/>
        </w:rPr>
      </w:pPr>
      <w:r w:rsidRPr="00447DF8">
        <w:rPr>
          <w:rStyle w:val="FootnoteReference"/>
          <w:rFonts w:asciiTheme="majorBidi" w:hAnsiTheme="majorBidi" w:cstheme="majorBidi"/>
          <w:sz w:val="18"/>
          <w:szCs w:val="18"/>
        </w:rPr>
        <w:footnoteRef/>
      </w:r>
      <w:r w:rsidRPr="00447DF8">
        <w:rPr>
          <w:rFonts w:asciiTheme="majorBidi" w:hAnsiTheme="majorBidi" w:cstheme="majorBidi"/>
          <w:sz w:val="18"/>
          <w:szCs w:val="18"/>
        </w:rPr>
        <w:t xml:space="preserve"> </w:t>
      </w:r>
      <w:proofErr w:type="spellStart"/>
      <w:r w:rsidRPr="00447DF8">
        <w:rPr>
          <w:rFonts w:asciiTheme="majorBidi" w:hAnsiTheme="majorBidi" w:cstheme="majorBidi"/>
          <w:sz w:val="18"/>
          <w:szCs w:val="18"/>
        </w:rPr>
        <w:t>Azani</w:t>
      </w:r>
      <w:proofErr w:type="spellEnd"/>
      <w:r w:rsidRPr="00447DF8">
        <w:rPr>
          <w:rFonts w:asciiTheme="majorBidi" w:hAnsiTheme="majorBidi" w:cstheme="majorBidi"/>
          <w:sz w:val="18"/>
          <w:szCs w:val="18"/>
        </w:rPr>
        <w:t>, p. 96.</w:t>
      </w:r>
      <w:r w:rsidRPr="009D072D">
        <w:rPr>
          <w:rFonts w:ascii="Times New Roman" w:hAnsi="Times New Roman" w:cs="Times New Roman"/>
          <w:sz w:val="18"/>
          <w:szCs w:val="18"/>
        </w:rPr>
        <w:t xml:space="preserve"> </w:t>
      </w:r>
    </w:p>
  </w:footnote>
  <w:footnote w:id="102">
    <w:p w14:paraId="6194C8F3" w14:textId="77777777" w:rsidR="00080908" w:rsidRPr="00DD60AE" w:rsidRDefault="00080908" w:rsidP="00853458">
      <w:pPr>
        <w:pStyle w:val="FootnoteText"/>
        <w:rPr>
          <w:rFonts w:ascii="Times New Roman" w:hAnsi="Times New Roman" w:cs="Times New Roman"/>
          <w:sz w:val="18"/>
          <w:szCs w:val="18"/>
        </w:rPr>
      </w:pPr>
      <w:r w:rsidRPr="00DD60AE">
        <w:rPr>
          <w:rStyle w:val="FootnoteReference"/>
          <w:rFonts w:ascii="Times New Roman" w:hAnsi="Times New Roman" w:cs="Times New Roman"/>
          <w:sz w:val="18"/>
          <w:szCs w:val="18"/>
        </w:rPr>
        <w:footnoteRef/>
      </w:r>
      <w:r w:rsidRPr="00DD60AE">
        <w:rPr>
          <w:rFonts w:ascii="Times New Roman" w:hAnsi="Times New Roman" w:cs="Times New Roman"/>
          <w:sz w:val="18"/>
          <w:szCs w:val="18"/>
        </w:rPr>
        <w:t xml:space="preserve"> Joseph Elie </w:t>
      </w:r>
      <w:proofErr w:type="spellStart"/>
      <w:r w:rsidRPr="00DD60AE">
        <w:rPr>
          <w:rFonts w:ascii="Times New Roman" w:hAnsi="Times New Roman" w:cs="Times New Roman"/>
          <w:sz w:val="18"/>
          <w:szCs w:val="18"/>
        </w:rPr>
        <w:t>Alagha</w:t>
      </w:r>
      <w:proofErr w:type="spellEnd"/>
      <w:r w:rsidRPr="00DD60AE">
        <w:rPr>
          <w:rFonts w:ascii="Times New Roman" w:hAnsi="Times New Roman" w:cs="Times New Roman"/>
          <w:sz w:val="18"/>
          <w:szCs w:val="18"/>
        </w:rPr>
        <w:t xml:space="preserve">, </w:t>
      </w:r>
      <w:r w:rsidRPr="00DD60AE">
        <w:rPr>
          <w:rFonts w:ascii="Times New Roman" w:hAnsi="Times New Roman" w:cs="Times New Roman"/>
          <w:i/>
          <w:iCs/>
          <w:sz w:val="18"/>
          <w:szCs w:val="18"/>
        </w:rPr>
        <w:t xml:space="preserve">The Shifts in </w:t>
      </w:r>
      <w:proofErr w:type="spellStart"/>
      <w:r w:rsidRPr="00DD60AE">
        <w:rPr>
          <w:rFonts w:ascii="Times New Roman" w:hAnsi="Times New Roman" w:cs="Times New Roman"/>
          <w:i/>
          <w:iCs/>
          <w:sz w:val="18"/>
          <w:szCs w:val="18"/>
        </w:rPr>
        <w:t>Hizbullah’s</w:t>
      </w:r>
      <w:proofErr w:type="spellEnd"/>
      <w:r w:rsidRPr="00DD60AE">
        <w:rPr>
          <w:rFonts w:ascii="Times New Roman" w:hAnsi="Times New Roman" w:cs="Times New Roman"/>
          <w:i/>
          <w:iCs/>
          <w:sz w:val="18"/>
          <w:szCs w:val="18"/>
        </w:rPr>
        <w:t xml:space="preserve"> Ideology: Religious Ideology, Political Ideology, and Political Program</w:t>
      </w:r>
      <w:r w:rsidRPr="00DD60AE">
        <w:rPr>
          <w:rFonts w:ascii="Times New Roman" w:hAnsi="Times New Roman" w:cs="Times New Roman"/>
          <w:sz w:val="18"/>
          <w:szCs w:val="18"/>
        </w:rPr>
        <w:t xml:space="preserve"> (</w:t>
      </w:r>
      <w:r>
        <w:rPr>
          <w:rFonts w:ascii="Times New Roman" w:hAnsi="Times New Roman" w:cs="Times New Roman"/>
          <w:sz w:val="18"/>
          <w:szCs w:val="18"/>
        </w:rPr>
        <w:t xml:space="preserve">Amsterdam: </w:t>
      </w:r>
      <w:r w:rsidRPr="00DD60AE">
        <w:rPr>
          <w:rFonts w:ascii="Times New Roman" w:hAnsi="Times New Roman" w:cs="Times New Roman"/>
          <w:sz w:val="18"/>
          <w:szCs w:val="18"/>
        </w:rPr>
        <w:t xml:space="preserve">Amsterdam University Press, 2006), p. </w:t>
      </w:r>
      <w:r>
        <w:rPr>
          <w:rFonts w:ascii="Times New Roman" w:hAnsi="Times New Roman" w:cs="Times New Roman"/>
          <w:sz w:val="18"/>
          <w:szCs w:val="18"/>
        </w:rPr>
        <w:t xml:space="preserve">54. </w:t>
      </w:r>
    </w:p>
  </w:footnote>
  <w:footnote w:id="103">
    <w:p w14:paraId="23EE0884" w14:textId="77777777" w:rsidR="00080908" w:rsidRPr="002A01B8" w:rsidRDefault="00080908" w:rsidP="00811F8F">
      <w:pPr>
        <w:pStyle w:val="FootnoteText"/>
        <w:rPr>
          <w:rFonts w:ascii="Times New Roman" w:hAnsi="Times New Roman" w:cs="Times New Roman"/>
          <w:sz w:val="18"/>
          <w:szCs w:val="18"/>
        </w:rPr>
      </w:pPr>
      <w:r w:rsidRPr="002A01B8">
        <w:rPr>
          <w:rStyle w:val="FootnoteReference"/>
          <w:rFonts w:ascii="Times New Roman" w:hAnsi="Times New Roman" w:cs="Times New Roman"/>
          <w:sz w:val="18"/>
          <w:szCs w:val="18"/>
        </w:rPr>
        <w:footnoteRef/>
      </w:r>
      <w:r w:rsidRPr="002A01B8">
        <w:rPr>
          <w:rFonts w:ascii="Times New Roman" w:hAnsi="Times New Roman" w:cs="Times New Roman"/>
          <w:sz w:val="18"/>
          <w:szCs w:val="18"/>
        </w:rPr>
        <w:t xml:space="preserve"> </w:t>
      </w:r>
      <w:proofErr w:type="spellStart"/>
      <w:r w:rsidRPr="002A01B8">
        <w:rPr>
          <w:rFonts w:ascii="Times New Roman" w:hAnsi="Times New Roman" w:cs="Times New Roman"/>
          <w:sz w:val="18"/>
          <w:szCs w:val="18"/>
        </w:rPr>
        <w:t>Aurélie</w:t>
      </w:r>
      <w:proofErr w:type="spellEnd"/>
      <w:r w:rsidRPr="002A01B8">
        <w:rPr>
          <w:rFonts w:ascii="Times New Roman" w:hAnsi="Times New Roman" w:cs="Times New Roman"/>
          <w:sz w:val="18"/>
          <w:szCs w:val="18"/>
        </w:rPr>
        <w:t xml:space="preserve"> Daher, </w:t>
      </w:r>
      <w:r w:rsidRPr="002A01B8">
        <w:rPr>
          <w:rFonts w:ascii="Times New Roman" w:hAnsi="Times New Roman" w:cs="Times New Roman"/>
          <w:i/>
          <w:iCs/>
          <w:sz w:val="18"/>
          <w:szCs w:val="18"/>
        </w:rPr>
        <w:t xml:space="preserve">Hezbollah: </w:t>
      </w:r>
      <w:proofErr w:type="spellStart"/>
      <w:r w:rsidRPr="002A01B8">
        <w:rPr>
          <w:rFonts w:ascii="Times New Roman" w:hAnsi="Times New Roman" w:cs="Times New Roman"/>
          <w:i/>
          <w:iCs/>
          <w:sz w:val="18"/>
          <w:szCs w:val="18"/>
        </w:rPr>
        <w:t>Mobilisation</w:t>
      </w:r>
      <w:proofErr w:type="spellEnd"/>
      <w:r w:rsidRPr="002A01B8">
        <w:rPr>
          <w:rFonts w:ascii="Times New Roman" w:hAnsi="Times New Roman" w:cs="Times New Roman"/>
          <w:i/>
          <w:iCs/>
          <w:sz w:val="18"/>
          <w:szCs w:val="18"/>
        </w:rPr>
        <w:t xml:space="preserve"> and Power</w:t>
      </w:r>
      <w:r w:rsidRPr="002A01B8">
        <w:rPr>
          <w:rFonts w:ascii="Times New Roman" w:hAnsi="Times New Roman" w:cs="Times New Roman"/>
          <w:sz w:val="18"/>
          <w:szCs w:val="18"/>
        </w:rPr>
        <w:t xml:space="preserve"> (New York: Oxford University Press, 2019), p. 76. </w:t>
      </w:r>
    </w:p>
  </w:footnote>
  <w:footnote w:id="104">
    <w:p w14:paraId="7DC97B8D" w14:textId="77777777" w:rsidR="00080908" w:rsidRPr="00DD60AE" w:rsidRDefault="00080908" w:rsidP="00811F8F">
      <w:pPr>
        <w:pStyle w:val="FootnoteText"/>
        <w:rPr>
          <w:rFonts w:ascii="Times New Roman" w:hAnsi="Times New Roman" w:cs="Times New Roman"/>
          <w:sz w:val="18"/>
          <w:szCs w:val="18"/>
        </w:rPr>
      </w:pPr>
      <w:r w:rsidRPr="00DD60AE">
        <w:rPr>
          <w:rStyle w:val="FootnoteReference"/>
          <w:rFonts w:ascii="Times New Roman" w:hAnsi="Times New Roman" w:cs="Times New Roman"/>
          <w:sz w:val="18"/>
          <w:szCs w:val="18"/>
        </w:rPr>
        <w:footnoteRef/>
      </w:r>
      <w:r w:rsidRPr="00DD60AE">
        <w:rPr>
          <w:rFonts w:ascii="Times New Roman" w:hAnsi="Times New Roman" w:cs="Times New Roman"/>
          <w:sz w:val="18"/>
          <w:szCs w:val="18"/>
        </w:rPr>
        <w:t xml:space="preserve"> Daher, p. 145. </w:t>
      </w:r>
    </w:p>
  </w:footnote>
  <w:footnote w:id="105">
    <w:p w14:paraId="3595DAFE" w14:textId="77777777" w:rsidR="00080908" w:rsidRPr="00DD60AE" w:rsidRDefault="00080908" w:rsidP="00DD60AE">
      <w:pPr>
        <w:pStyle w:val="FootnoteText"/>
        <w:rPr>
          <w:rFonts w:ascii="Times New Roman" w:hAnsi="Times New Roman" w:cs="Times New Roman"/>
          <w:sz w:val="18"/>
          <w:szCs w:val="18"/>
        </w:rPr>
      </w:pPr>
      <w:r w:rsidRPr="00DD60AE">
        <w:rPr>
          <w:rStyle w:val="FootnoteReference"/>
          <w:rFonts w:ascii="Times New Roman" w:hAnsi="Times New Roman" w:cs="Times New Roman"/>
          <w:sz w:val="18"/>
          <w:szCs w:val="18"/>
        </w:rPr>
        <w:footnoteRef/>
      </w:r>
      <w:r w:rsidRPr="00DD60AE">
        <w:rPr>
          <w:rFonts w:ascii="Times New Roman" w:hAnsi="Times New Roman" w:cs="Times New Roman"/>
          <w:sz w:val="18"/>
          <w:szCs w:val="18"/>
        </w:rPr>
        <w:t xml:space="preserve"> </w:t>
      </w:r>
      <w:r w:rsidRPr="00DD60AE">
        <w:rPr>
          <w:rFonts w:ascii="Times New Roman" w:hAnsi="Times New Roman" w:cs="Times New Roman"/>
          <w:i/>
          <w:iCs/>
          <w:sz w:val="18"/>
          <w:szCs w:val="18"/>
        </w:rPr>
        <w:t>Ibid</w:t>
      </w:r>
      <w:r w:rsidRPr="00DD60AE">
        <w:rPr>
          <w:rFonts w:ascii="Times New Roman" w:hAnsi="Times New Roman" w:cs="Times New Roman"/>
          <w:sz w:val="18"/>
          <w:szCs w:val="18"/>
        </w:rPr>
        <w:t xml:space="preserve">. </w:t>
      </w:r>
    </w:p>
  </w:footnote>
  <w:footnote w:id="106">
    <w:p w14:paraId="50FF0509" w14:textId="77777777" w:rsidR="00080908" w:rsidRPr="00DD60AE" w:rsidRDefault="00080908">
      <w:pPr>
        <w:pStyle w:val="FootnoteText"/>
        <w:rPr>
          <w:rFonts w:ascii="Times New Roman" w:hAnsi="Times New Roman" w:cs="Times New Roman"/>
          <w:sz w:val="18"/>
          <w:szCs w:val="18"/>
        </w:rPr>
      </w:pPr>
      <w:r w:rsidRPr="00DD60AE">
        <w:rPr>
          <w:rStyle w:val="FootnoteReference"/>
          <w:rFonts w:ascii="Times New Roman" w:hAnsi="Times New Roman" w:cs="Times New Roman"/>
          <w:sz w:val="18"/>
          <w:szCs w:val="18"/>
        </w:rPr>
        <w:footnoteRef/>
      </w:r>
      <w:r w:rsidRPr="00DD60AE">
        <w:rPr>
          <w:rFonts w:ascii="Times New Roman" w:hAnsi="Times New Roman" w:cs="Times New Roman"/>
          <w:sz w:val="18"/>
          <w:szCs w:val="18"/>
        </w:rPr>
        <w:t xml:space="preserve"> Naim </w:t>
      </w:r>
      <w:proofErr w:type="spellStart"/>
      <w:r w:rsidRPr="00DD60AE">
        <w:rPr>
          <w:rFonts w:ascii="Times New Roman" w:hAnsi="Times New Roman" w:cs="Times New Roman"/>
          <w:sz w:val="18"/>
          <w:szCs w:val="18"/>
        </w:rPr>
        <w:t>Qassem</w:t>
      </w:r>
      <w:proofErr w:type="spellEnd"/>
      <w:r w:rsidRPr="00DD60AE">
        <w:rPr>
          <w:rFonts w:ascii="Times New Roman" w:hAnsi="Times New Roman" w:cs="Times New Roman"/>
          <w:sz w:val="18"/>
          <w:szCs w:val="18"/>
        </w:rPr>
        <w:t xml:space="preserve">, </w:t>
      </w:r>
      <w:proofErr w:type="spellStart"/>
      <w:r w:rsidRPr="00DD60AE">
        <w:rPr>
          <w:rFonts w:ascii="Times New Roman" w:hAnsi="Times New Roman" w:cs="Times New Roman"/>
          <w:i/>
          <w:iCs/>
          <w:sz w:val="18"/>
          <w:szCs w:val="18"/>
        </w:rPr>
        <w:t>Hizbullah</w:t>
      </w:r>
      <w:proofErr w:type="spellEnd"/>
      <w:r w:rsidRPr="00DD60AE">
        <w:rPr>
          <w:rFonts w:ascii="Times New Roman" w:hAnsi="Times New Roman" w:cs="Times New Roman"/>
          <w:i/>
          <w:iCs/>
          <w:sz w:val="18"/>
          <w:szCs w:val="18"/>
        </w:rPr>
        <w:t>: The Story from Within</w:t>
      </w:r>
      <w:r w:rsidRPr="00DD60AE">
        <w:rPr>
          <w:rFonts w:ascii="Times New Roman" w:hAnsi="Times New Roman" w:cs="Times New Roman"/>
          <w:sz w:val="18"/>
          <w:szCs w:val="18"/>
        </w:rPr>
        <w:t xml:space="preserve"> (London: SAQI Books, 2005), p. 236. </w:t>
      </w:r>
    </w:p>
  </w:footnote>
  <w:footnote w:id="107">
    <w:p w14:paraId="6270FE0A" w14:textId="77777777" w:rsidR="00080908" w:rsidRPr="00DD60AE" w:rsidRDefault="00080908" w:rsidP="002A01B8">
      <w:pPr>
        <w:pStyle w:val="FootnoteText"/>
        <w:rPr>
          <w:rFonts w:ascii="Times New Roman" w:hAnsi="Times New Roman" w:cs="Times New Roman"/>
          <w:sz w:val="18"/>
          <w:szCs w:val="18"/>
        </w:rPr>
      </w:pPr>
      <w:r w:rsidRPr="00DD60AE">
        <w:rPr>
          <w:rStyle w:val="FootnoteReference"/>
          <w:rFonts w:ascii="Times New Roman" w:hAnsi="Times New Roman" w:cs="Times New Roman"/>
          <w:sz w:val="18"/>
          <w:szCs w:val="18"/>
        </w:rPr>
        <w:footnoteRef/>
      </w:r>
      <w:r w:rsidRPr="00DD60AE">
        <w:rPr>
          <w:rFonts w:ascii="Times New Roman" w:hAnsi="Times New Roman" w:cs="Times New Roman"/>
          <w:sz w:val="18"/>
          <w:szCs w:val="18"/>
        </w:rPr>
        <w:t xml:space="preserve"> Daher, p. 76. </w:t>
      </w:r>
    </w:p>
  </w:footnote>
  <w:footnote w:id="108">
    <w:p w14:paraId="23CEA252" w14:textId="77777777" w:rsidR="00080908" w:rsidRPr="00DD60AE" w:rsidRDefault="00080908" w:rsidP="002A01B8">
      <w:pPr>
        <w:pStyle w:val="FootnoteText"/>
        <w:rPr>
          <w:rFonts w:ascii="Times New Roman" w:hAnsi="Times New Roman" w:cs="Times New Roman"/>
          <w:sz w:val="18"/>
          <w:szCs w:val="18"/>
        </w:rPr>
      </w:pPr>
      <w:r w:rsidRPr="00DD60AE">
        <w:rPr>
          <w:rStyle w:val="FootnoteReference"/>
          <w:rFonts w:ascii="Times New Roman" w:hAnsi="Times New Roman" w:cs="Times New Roman"/>
          <w:sz w:val="18"/>
          <w:szCs w:val="18"/>
        </w:rPr>
        <w:footnoteRef/>
      </w:r>
      <w:r w:rsidRPr="00DD60AE">
        <w:rPr>
          <w:rFonts w:ascii="Times New Roman" w:hAnsi="Times New Roman" w:cs="Times New Roman"/>
          <w:sz w:val="18"/>
          <w:szCs w:val="18"/>
        </w:rPr>
        <w:t xml:space="preserve"> </w:t>
      </w:r>
      <w:r w:rsidRPr="00DD60AE">
        <w:rPr>
          <w:rFonts w:ascii="Times New Roman" w:hAnsi="Times New Roman" w:cs="Times New Roman"/>
          <w:i/>
          <w:iCs/>
          <w:sz w:val="18"/>
          <w:szCs w:val="18"/>
        </w:rPr>
        <w:t>Ibid</w:t>
      </w:r>
      <w:r w:rsidRPr="00DD60AE">
        <w:rPr>
          <w:rFonts w:ascii="Times New Roman" w:hAnsi="Times New Roman" w:cs="Times New Roman"/>
          <w:sz w:val="18"/>
          <w:szCs w:val="18"/>
        </w:rPr>
        <w:t>, p. 145.</w:t>
      </w:r>
    </w:p>
  </w:footnote>
  <w:footnote w:id="109">
    <w:p w14:paraId="4935F1B7" w14:textId="77777777" w:rsidR="00080908" w:rsidRPr="003F2C9D" w:rsidRDefault="00080908" w:rsidP="002A01B8">
      <w:pPr>
        <w:pStyle w:val="FootnoteText"/>
        <w:rPr>
          <w:rFonts w:asciiTheme="majorBidi" w:hAnsiTheme="majorBidi" w:cstheme="majorBidi"/>
          <w:sz w:val="16"/>
          <w:szCs w:val="16"/>
        </w:rPr>
      </w:pPr>
      <w:r w:rsidRPr="00DD60AE">
        <w:rPr>
          <w:rStyle w:val="FootnoteReference"/>
          <w:rFonts w:ascii="Times New Roman" w:hAnsi="Times New Roman" w:cs="Times New Roman"/>
          <w:sz w:val="18"/>
          <w:szCs w:val="18"/>
        </w:rPr>
        <w:footnoteRef/>
      </w:r>
      <w:r w:rsidRPr="00DD60AE">
        <w:rPr>
          <w:rFonts w:ascii="Times New Roman" w:hAnsi="Times New Roman" w:cs="Times New Roman"/>
          <w:sz w:val="18"/>
          <w:szCs w:val="18"/>
        </w:rPr>
        <w:t xml:space="preserve"> </w:t>
      </w:r>
      <w:r w:rsidRPr="00DD60AE">
        <w:rPr>
          <w:rFonts w:ascii="Times New Roman" w:hAnsi="Times New Roman" w:cs="Times New Roman"/>
          <w:i/>
          <w:iCs/>
          <w:sz w:val="18"/>
          <w:szCs w:val="18"/>
        </w:rPr>
        <w:t>Ibid</w:t>
      </w:r>
      <w:r w:rsidRPr="00DD60AE">
        <w:rPr>
          <w:rFonts w:ascii="Times New Roman" w:hAnsi="Times New Roman" w:cs="Times New Roman"/>
          <w:sz w:val="18"/>
          <w:szCs w:val="18"/>
        </w:rPr>
        <w:t>, p. 19.</w:t>
      </w:r>
      <w:r w:rsidRPr="003F2C9D">
        <w:rPr>
          <w:rFonts w:asciiTheme="majorBidi" w:hAnsiTheme="majorBidi" w:cstheme="majorBidi"/>
          <w:sz w:val="16"/>
          <w:szCs w:val="16"/>
        </w:rPr>
        <w:t xml:space="preserve"> </w:t>
      </w:r>
    </w:p>
  </w:footnote>
  <w:footnote w:id="110">
    <w:p w14:paraId="3586CFB9" w14:textId="77777777" w:rsidR="00080908" w:rsidRPr="00C7435A" w:rsidRDefault="00080908" w:rsidP="00811F8F">
      <w:pPr>
        <w:pStyle w:val="FootnoteText"/>
        <w:rPr>
          <w:rFonts w:ascii="Times New Roman" w:hAnsi="Times New Roman" w:cs="Times New Roman"/>
          <w:sz w:val="18"/>
          <w:szCs w:val="18"/>
        </w:rPr>
      </w:pPr>
      <w:r w:rsidRPr="00C7435A">
        <w:rPr>
          <w:rStyle w:val="FootnoteReference"/>
          <w:rFonts w:ascii="Times New Roman" w:hAnsi="Times New Roman" w:cs="Times New Roman"/>
          <w:sz w:val="18"/>
          <w:szCs w:val="18"/>
        </w:rPr>
        <w:footnoteRef/>
      </w:r>
      <w:r w:rsidRPr="00C7435A">
        <w:rPr>
          <w:rFonts w:ascii="Times New Roman" w:hAnsi="Times New Roman" w:cs="Times New Roman"/>
          <w:sz w:val="18"/>
          <w:szCs w:val="18"/>
        </w:rPr>
        <w:t xml:space="preserve"> Ali </w:t>
      </w:r>
      <w:proofErr w:type="spellStart"/>
      <w:r w:rsidRPr="00C7435A">
        <w:rPr>
          <w:rFonts w:ascii="Times New Roman" w:hAnsi="Times New Roman" w:cs="Times New Roman"/>
          <w:sz w:val="18"/>
          <w:szCs w:val="18"/>
        </w:rPr>
        <w:t>Alfoneh</w:t>
      </w:r>
      <w:proofErr w:type="spellEnd"/>
      <w:r w:rsidRPr="00C7435A">
        <w:rPr>
          <w:rFonts w:ascii="Times New Roman" w:hAnsi="Times New Roman" w:cs="Times New Roman"/>
          <w:sz w:val="18"/>
          <w:szCs w:val="18"/>
        </w:rPr>
        <w:t xml:space="preserve">, “Lebanese Hezbollah vs. Tehran,” </w:t>
      </w:r>
      <w:r w:rsidRPr="00C7435A">
        <w:rPr>
          <w:rFonts w:ascii="Times New Roman" w:hAnsi="Times New Roman" w:cs="Times New Roman"/>
          <w:i/>
          <w:iCs/>
          <w:sz w:val="18"/>
          <w:szCs w:val="18"/>
        </w:rPr>
        <w:t>AEI</w:t>
      </w:r>
      <w:r w:rsidRPr="00C7435A">
        <w:rPr>
          <w:rFonts w:ascii="Times New Roman" w:hAnsi="Times New Roman" w:cs="Times New Roman"/>
          <w:sz w:val="18"/>
          <w:szCs w:val="18"/>
        </w:rPr>
        <w:t xml:space="preserve">, 5/16/12.; Ze’ev Schiff, “Israel's War </w:t>
      </w:r>
      <w:proofErr w:type="gramStart"/>
      <w:r w:rsidRPr="00C7435A">
        <w:rPr>
          <w:rFonts w:ascii="Times New Roman" w:hAnsi="Times New Roman" w:cs="Times New Roman"/>
          <w:sz w:val="18"/>
          <w:szCs w:val="18"/>
        </w:rPr>
        <w:t>With</w:t>
      </w:r>
      <w:proofErr w:type="gramEnd"/>
      <w:r w:rsidRPr="00C7435A">
        <w:rPr>
          <w:rFonts w:ascii="Times New Roman" w:hAnsi="Times New Roman" w:cs="Times New Roman"/>
          <w:sz w:val="18"/>
          <w:szCs w:val="18"/>
        </w:rPr>
        <w:t xml:space="preserve"> Iran,” </w:t>
      </w:r>
      <w:r w:rsidRPr="00C7435A">
        <w:rPr>
          <w:rFonts w:ascii="Times New Roman" w:hAnsi="Times New Roman" w:cs="Times New Roman"/>
          <w:i/>
          <w:iCs/>
          <w:sz w:val="18"/>
          <w:szCs w:val="18"/>
        </w:rPr>
        <w:t>Foreign Affairs</w:t>
      </w:r>
      <w:r w:rsidRPr="00C7435A">
        <w:rPr>
          <w:rFonts w:ascii="Times New Roman" w:hAnsi="Times New Roman" w:cs="Times New Roman"/>
          <w:sz w:val="18"/>
          <w:szCs w:val="18"/>
        </w:rPr>
        <w:t xml:space="preserve"> (November/December 2006). </w:t>
      </w:r>
    </w:p>
  </w:footnote>
  <w:footnote w:id="111">
    <w:p w14:paraId="0FDBC8AC" w14:textId="77777777" w:rsidR="00080908" w:rsidRPr="00C7435A" w:rsidRDefault="00080908" w:rsidP="00811F8F">
      <w:pPr>
        <w:pStyle w:val="FootnoteText"/>
        <w:rPr>
          <w:rFonts w:ascii="Times New Roman" w:hAnsi="Times New Roman" w:cs="Times New Roman"/>
          <w:sz w:val="18"/>
          <w:szCs w:val="18"/>
        </w:rPr>
      </w:pPr>
      <w:r w:rsidRPr="00C7435A">
        <w:rPr>
          <w:rStyle w:val="FootnoteReference"/>
          <w:rFonts w:ascii="Times New Roman" w:hAnsi="Times New Roman" w:cs="Times New Roman"/>
          <w:sz w:val="18"/>
          <w:szCs w:val="18"/>
        </w:rPr>
        <w:footnoteRef/>
      </w:r>
      <w:r w:rsidRPr="00C7435A">
        <w:rPr>
          <w:rFonts w:ascii="Times New Roman" w:hAnsi="Times New Roman" w:cs="Times New Roman"/>
          <w:sz w:val="18"/>
          <w:szCs w:val="18"/>
        </w:rPr>
        <w:t xml:space="preserve"> Paul Salem, “The Aftereffects of the Israeli-</w:t>
      </w:r>
      <w:proofErr w:type="spellStart"/>
      <w:r w:rsidRPr="00C7435A">
        <w:rPr>
          <w:rFonts w:ascii="Times New Roman" w:hAnsi="Times New Roman" w:cs="Times New Roman"/>
          <w:sz w:val="18"/>
          <w:szCs w:val="18"/>
        </w:rPr>
        <w:t>Hizbollah</w:t>
      </w:r>
      <w:proofErr w:type="spellEnd"/>
      <w:r w:rsidRPr="00C7435A">
        <w:rPr>
          <w:rFonts w:ascii="Times New Roman" w:hAnsi="Times New Roman" w:cs="Times New Roman"/>
          <w:sz w:val="18"/>
          <w:szCs w:val="18"/>
        </w:rPr>
        <w:t xml:space="preserve"> War,” </w:t>
      </w:r>
      <w:r w:rsidRPr="00C7435A">
        <w:rPr>
          <w:rFonts w:ascii="Times New Roman" w:hAnsi="Times New Roman" w:cs="Times New Roman"/>
          <w:i/>
          <w:iCs/>
          <w:sz w:val="18"/>
          <w:szCs w:val="18"/>
        </w:rPr>
        <w:t>Carnegie Endowment</w:t>
      </w:r>
      <w:r w:rsidRPr="00C7435A">
        <w:rPr>
          <w:rFonts w:ascii="Times New Roman" w:hAnsi="Times New Roman" w:cs="Times New Roman"/>
          <w:sz w:val="18"/>
          <w:szCs w:val="18"/>
        </w:rPr>
        <w:t xml:space="preserve">, p. 6.  </w:t>
      </w:r>
    </w:p>
  </w:footnote>
  <w:footnote w:id="112">
    <w:p w14:paraId="7DAE2780" w14:textId="77777777" w:rsidR="00080908" w:rsidRPr="00C7435A" w:rsidRDefault="00080908" w:rsidP="00811F8F">
      <w:pPr>
        <w:pStyle w:val="FootnoteText"/>
        <w:rPr>
          <w:rFonts w:asciiTheme="majorBidi" w:hAnsiTheme="majorBidi" w:cstheme="majorBidi"/>
          <w:sz w:val="18"/>
          <w:szCs w:val="18"/>
        </w:rPr>
      </w:pPr>
      <w:r w:rsidRPr="00C7435A">
        <w:rPr>
          <w:rStyle w:val="FootnoteReference"/>
          <w:rFonts w:ascii="Times New Roman" w:hAnsi="Times New Roman" w:cs="Times New Roman"/>
          <w:sz w:val="18"/>
          <w:szCs w:val="18"/>
        </w:rPr>
        <w:footnoteRef/>
      </w:r>
      <w:r w:rsidRPr="00C7435A">
        <w:rPr>
          <w:rFonts w:ascii="Times New Roman" w:hAnsi="Times New Roman" w:cs="Times New Roman"/>
          <w:sz w:val="18"/>
          <w:szCs w:val="18"/>
        </w:rPr>
        <w:t xml:space="preserve"> Salem, p. 6.</w:t>
      </w:r>
      <w:r w:rsidRPr="00C7435A">
        <w:rPr>
          <w:rFonts w:asciiTheme="majorBidi" w:hAnsiTheme="majorBidi" w:cstheme="majorBidi"/>
          <w:sz w:val="18"/>
          <w:szCs w:val="18"/>
        </w:rPr>
        <w:t xml:space="preserve"> </w:t>
      </w:r>
    </w:p>
  </w:footnote>
  <w:footnote w:id="113">
    <w:p w14:paraId="1D2E6279" w14:textId="77777777" w:rsidR="00080908" w:rsidRPr="00C7435A" w:rsidRDefault="00080908" w:rsidP="00811F8F">
      <w:pPr>
        <w:pStyle w:val="FootnoteText"/>
        <w:rPr>
          <w:rFonts w:asciiTheme="majorBidi" w:hAnsiTheme="majorBidi" w:cstheme="majorBidi"/>
          <w:sz w:val="18"/>
          <w:szCs w:val="18"/>
        </w:rPr>
      </w:pPr>
      <w:r w:rsidRPr="00C7435A">
        <w:rPr>
          <w:rStyle w:val="FootnoteReference"/>
          <w:rFonts w:asciiTheme="majorBidi" w:hAnsiTheme="majorBidi" w:cstheme="majorBidi"/>
          <w:sz w:val="18"/>
          <w:szCs w:val="18"/>
        </w:rPr>
        <w:footnoteRef/>
      </w:r>
      <w:r w:rsidRPr="00C7435A">
        <w:rPr>
          <w:rFonts w:asciiTheme="majorBidi" w:hAnsiTheme="majorBidi" w:cstheme="majorBidi"/>
          <w:sz w:val="18"/>
          <w:szCs w:val="18"/>
        </w:rPr>
        <w:t xml:space="preserve"> Nahum Barnea, “Israel vs. Hezbollah,” </w:t>
      </w:r>
      <w:r w:rsidRPr="00C7435A">
        <w:rPr>
          <w:rFonts w:asciiTheme="majorBidi" w:hAnsiTheme="majorBidi" w:cstheme="majorBidi"/>
          <w:i/>
          <w:iCs/>
          <w:sz w:val="18"/>
          <w:szCs w:val="18"/>
        </w:rPr>
        <w:t>Foreign Policy</w:t>
      </w:r>
      <w:r w:rsidRPr="00C7435A">
        <w:rPr>
          <w:rFonts w:asciiTheme="majorBidi" w:hAnsiTheme="majorBidi" w:cstheme="majorBidi"/>
          <w:sz w:val="18"/>
          <w:szCs w:val="18"/>
        </w:rPr>
        <w:t xml:space="preserve">, No. 157 (November/December 2006), p. 26. </w:t>
      </w:r>
    </w:p>
  </w:footnote>
  <w:footnote w:id="114">
    <w:p w14:paraId="178470EF" w14:textId="77777777" w:rsidR="00080908" w:rsidRPr="00C9217A" w:rsidRDefault="00080908" w:rsidP="00811F8F">
      <w:pPr>
        <w:pStyle w:val="FootnoteText"/>
        <w:rPr>
          <w:rFonts w:ascii="Times New Roman" w:hAnsi="Times New Roman" w:cs="Times New Roman"/>
          <w:sz w:val="18"/>
          <w:szCs w:val="18"/>
        </w:rPr>
      </w:pPr>
      <w:r w:rsidRPr="00C7435A">
        <w:rPr>
          <w:rStyle w:val="FootnoteReference"/>
          <w:rFonts w:asciiTheme="majorBidi" w:hAnsiTheme="majorBidi" w:cstheme="majorBidi"/>
          <w:sz w:val="18"/>
          <w:szCs w:val="18"/>
        </w:rPr>
        <w:footnoteRef/>
      </w:r>
      <w:r w:rsidRPr="00C7435A">
        <w:rPr>
          <w:rFonts w:asciiTheme="majorBidi" w:hAnsiTheme="majorBidi" w:cstheme="majorBidi"/>
          <w:sz w:val="18"/>
          <w:szCs w:val="18"/>
        </w:rPr>
        <w:t xml:space="preserve"> Sharon </w:t>
      </w:r>
      <w:proofErr w:type="spellStart"/>
      <w:r w:rsidRPr="00C7435A">
        <w:rPr>
          <w:rFonts w:asciiTheme="majorBidi" w:hAnsiTheme="majorBidi" w:cstheme="majorBidi"/>
          <w:sz w:val="18"/>
          <w:szCs w:val="18"/>
        </w:rPr>
        <w:t>Squassoni</w:t>
      </w:r>
      <w:proofErr w:type="spellEnd"/>
      <w:r w:rsidRPr="00C7435A">
        <w:rPr>
          <w:rFonts w:asciiTheme="majorBidi" w:hAnsiTheme="majorBidi" w:cstheme="majorBidi"/>
          <w:sz w:val="18"/>
          <w:szCs w:val="18"/>
        </w:rPr>
        <w:t xml:space="preserve">, “Iran’s Nuclear Program: Recent Developments,” </w:t>
      </w:r>
      <w:r w:rsidRPr="00C7435A">
        <w:rPr>
          <w:rFonts w:asciiTheme="majorBidi" w:hAnsiTheme="majorBidi" w:cstheme="majorBidi"/>
          <w:i/>
          <w:iCs/>
          <w:sz w:val="18"/>
          <w:szCs w:val="18"/>
        </w:rPr>
        <w:t>CRS Report for Congress</w:t>
      </w:r>
      <w:r w:rsidRPr="00C7435A">
        <w:rPr>
          <w:rFonts w:asciiTheme="majorBidi" w:hAnsiTheme="majorBidi" w:cstheme="majorBidi"/>
          <w:sz w:val="18"/>
          <w:szCs w:val="18"/>
        </w:rPr>
        <w:t>, 9/6/06, p. 1.</w:t>
      </w:r>
      <w:r>
        <w:rPr>
          <w:rFonts w:ascii="Times New Roman" w:hAnsi="Times New Roman" w:cs="Times New Roman"/>
          <w:sz w:val="18"/>
          <w:szCs w:val="18"/>
        </w:rPr>
        <w:t xml:space="preserve"> </w:t>
      </w:r>
    </w:p>
  </w:footnote>
  <w:footnote w:id="115">
    <w:p w14:paraId="4EED4469" w14:textId="77777777" w:rsidR="00080908" w:rsidRPr="00022200" w:rsidRDefault="00080908" w:rsidP="00811F8F">
      <w:pPr>
        <w:pStyle w:val="FootnoteText"/>
        <w:rPr>
          <w:rFonts w:ascii="Times New Roman" w:hAnsi="Times New Roman" w:cs="Times New Roman"/>
          <w:sz w:val="18"/>
          <w:szCs w:val="18"/>
        </w:rPr>
      </w:pPr>
      <w:r w:rsidRPr="00997281">
        <w:rPr>
          <w:rStyle w:val="FootnoteReference"/>
          <w:rFonts w:ascii="Times New Roman" w:hAnsi="Times New Roman" w:cs="Times New Roman"/>
          <w:sz w:val="18"/>
          <w:szCs w:val="18"/>
        </w:rPr>
        <w:footnoteRef/>
      </w:r>
      <w:r w:rsidRPr="00997281">
        <w:rPr>
          <w:rFonts w:ascii="Times New Roman" w:hAnsi="Times New Roman" w:cs="Times New Roman"/>
          <w:sz w:val="18"/>
          <w:szCs w:val="18"/>
        </w:rPr>
        <w:t xml:space="preserve"> Jon Lee Anderson, “The Battle for Lebanon,” </w:t>
      </w:r>
      <w:r w:rsidRPr="00997281">
        <w:rPr>
          <w:rFonts w:ascii="Times New Roman" w:hAnsi="Times New Roman" w:cs="Times New Roman"/>
          <w:i/>
          <w:iCs/>
          <w:sz w:val="18"/>
          <w:szCs w:val="18"/>
        </w:rPr>
        <w:t>The New Yorker</w:t>
      </w:r>
      <w:r w:rsidRPr="00997281">
        <w:rPr>
          <w:rFonts w:ascii="Times New Roman" w:hAnsi="Times New Roman" w:cs="Times New Roman"/>
          <w:sz w:val="18"/>
          <w:szCs w:val="18"/>
        </w:rPr>
        <w:t>, 7/30/06.</w:t>
      </w:r>
    </w:p>
  </w:footnote>
  <w:footnote w:id="116">
    <w:p w14:paraId="7F6643D6" w14:textId="77777777" w:rsidR="00080908" w:rsidRPr="003B574C" w:rsidRDefault="00080908" w:rsidP="00811F8F">
      <w:pPr>
        <w:pStyle w:val="FootnoteText"/>
        <w:rPr>
          <w:rFonts w:asciiTheme="majorBidi" w:hAnsiTheme="majorBidi" w:cstheme="majorBidi"/>
          <w:sz w:val="18"/>
          <w:szCs w:val="18"/>
        </w:rPr>
      </w:pPr>
      <w:r w:rsidRPr="003B574C">
        <w:rPr>
          <w:rStyle w:val="FootnoteReference"/>
          <w:rFonts w:asciiTheme="majorBidi" w:hAnsiTheme="majorBidi" w:cstheme="majorBidi"/>
          <w:sz w:val="18"/>
          <w:szCs w:val="18"/>
        </w:rPr>
        <w:footnoteRef/>
      </w:r>
      <w:r w:rsidRPr="003B574C">
        <w:rPr>
          <w:rFonts w:asciiTheme="majorBidi" w:hAnsiTheme="majorBidi" w:cstheme="majorBidi"/>
          <w:sz w:val="18"/>
          <w:szCs w:val="18"/>
        </w:rPr>
        <w:t xml:space="preserve"> Daher, p. 176. </w:t>
      </w:r>
    </w:p>
  </w:footnote>
  <w:footnote w:id="117">
    <w:p w14:paraId="114564D4" w14:textId="77777777" w:rsidR="00080908" w:rsidRPr="003B574C" w:rsidRDefault="00080908" w:rsidP="00811F8F">
      <w:pPr>
        <w:pStyle w:val="FootnoteText"/>
        <w:rPr>
          <w:rFonts w:asciiTheme="majorBidi" w:hAnsiTheme="majorBidi" w:cstheme="majorBidi"/>
          <w:sz w:val="18"/>
          <w:szCs w:val="18"/>
        </w:rPr>
      </w:pPr>
      <w:r w:rsidRPr="003B574C">
        <w:rPr>
          <w:rStyle w:val="FootnoteReference"/>
          <w:rFonts w:asciiTheme="majorBidi" w:hAnsiTheme="majorBidi" w:cstheme="majorBidi"/>
          <w:sz w:val="18"/>
          <w:szCs w:val="18"/>
        </w:rPr>
        <w:footnoteRef/>
      </w:r>
      <w:r w:rsidRPr="003B574C">
        <w:rPr>
          <w:rFonts w:asciiTheme="majorBidi" w:hAnsiTheme="majorBidi" w:cstheme="majorBidi"/>
          <w:sz w:val="18"/>
          <w:szCs w:val="18"/>
        </w:rPr>
        <w:t xml:space="preserve"> Daher, p. 201. </w:t>
      </w:r>
    </w:p>
  </w:footnote>
  <w:footnote w:id="118">
    <w:p w14:paraId="2E39C4B3" w14:textId="77777777" w:rsidR="00080908" w:rsidRPr="00C7435A" w:rsidRDefault="00080908" w:rsidP="00C7435A">
      <w:pPr>
        <w:pStyle w:val="FootnoteText"/>
        <w:rPr>
          <w:rFonts w:ascii="Times New Roman" w:hAnsi="Times New Roman" w:cs="Times New Roman"/>
          <w:sz w:val="18"/>
          <w:szCs w:val="18"/>
        </w:rPr>
      </w:pPr>
      <w:r w:rsidRPr="00C7435A">
        <w:rPr>
          <w:rStyle w:val="FootnoteReference"/>
          <w:rFonts w:ascii="Times New Roman" w:hAnsi="Times New Roman" w:cs="Times New Roman"/>
          <w:sz w:val="18"/>
          <w:szCs w:val="18"/>
        </w:rPr>
        <w:footnoteRef/>
      </w:r>
      <w:r w:rsidRPr="00C7435A">
        <w:rPr>
          <w:rFonts w:ascii="Times New Roman" w:hAnsi="Times New Roman" w:cs="Times New Roman"/>
          <w:sz w:val="18"/>
          <w:szCs w:val="18"/>
        </w:rPr>
        <w:t xml:space="preserve"> </w:t>
      </w:r>
      <w:proofErr w:type="spellStart"/>
      <w:r w:rsidRPr="00C7435A">
        <w:rPr>
          <w:rFonts w:ascii="Times New Roman" w:hAnsi="Times New Roman" w:cs="Times New Roman"/>
          <w:sz w:val="18"/>
          <w:szCs w:val="18"/>
        </w:rPr>
        <w:t>Alagha</w:t>
      </w:r>
      <w:proofErr w:type="spellEnd"/>
      <w:r w:rsidRPr="00C7435A">
        <w:rPr>
          <w:rFonts w:ascii="Times New Roman" w:hAnsi="Times New Roman" w:cs="Times New Roman"/>
          <w:sz w:val="18"/>
          <w:szCs w:val="18"/>
        </w:rPr>
        <w:t xml:space="preserve">, p. 54. </w:t>
      </w:r>
    </w:p>
  </w:footnote>
  <w:footnote w:id="119">
    <w:p w14:paraId="793BDCE4" w14:textId="77777777" w:rsidR="00080908" w:rsidRPr="00C7435A" w:rsidRDefault="00080908" w:rsidP="00C7435A">
      <w:pPr>
        <w:pStyle w:val="FootnoteText"/>
        <w:rPr>
          <w:rFonts w:ascii="Times New Roman" w:hAnsi="Times New Roman" w:cs="Times New Roman"/>
          <w:sz w:val="18"/>
          <w:szCs w:val="18"/>
        </w:rPr>
      </w:pPr>
      <w:r w:rsidRPr="00C7435A">
        <w:rPr>
          <w:rStyle w:val="FootnoteReference"/>
          <w:rFonts w:ascii="Times New Roman" w:hAnsi="Times New Roman" w:cs="Times New Roman"/>
          <w:sz w:val="18"/>
          <w:szCs w:val="18"/>
        </w:rPr>
        <w:footnoteRef/>
      </w:r>
      <w:r w:rsidRPr="00C7435A">
        <w:rPr>
          <w:rFonts w:ascii="Times New Roman" w:hAnsi="Times New Roman" w:cs="Times New Roman"/>
          <w:sz w:val="18"/>
          <w:szCs w:val="18"/>
        </w:rPr>
        <w:t xml:space="preserve"> </w:t>
      </w:r>
      <w:r w:rsidRPr="00C7435A">
        <w:rPr>
          <w:rFonts w:ascii="Times New Roman" w:hAnsi="Times New Roman" w:cs="Times New Roman"/>
          <w:i/>
          <w:iCs/>
          <w:sz w:val="18"/>
          <w:szCs w:val="18"/>
        </w:rPr>
        <w:t>Ibid</w:t>
      </w:r>
      <w:r w:rsidRPr="00C7435A">
        <w:rPr>
          <w:rFonts w:ascii="Times New Roman" w:hAnsi="Times New Roman" w:cs="Times New Roman"/>
          <w:sz w:val="18"/>
          <w:szCs w:val="18"/>
        </w:rPr>
        <w:t xml:space="preserve">. </w:t>
      </w:r>
    </w:p>
  </w:footnote>
  <w:footnote w:id="120">
    <w:p w14:paraId="08961D2E" w14:textId="77777777" w:rsidR="00080908" w:rsidRPr="003B574C" w:rsidRDefault="00080908" w:rsidP="00811F8F">
      <w:pPr>
        <w:pStyle w:val="FootnoteText"/>
        <w:rPr>
          <w:rFonts w:asciiTheme="majorBidi" w:hAnsiTheme="majorBidi" w:cstheme="majorBidi"/>
          <w:sz w:val="18"/>
          <w:szCs w:val="18"/>
        </w:rPr>
      </w:pPr>
      <w:r w:rsidRPr="003B574C">
        <w:rPr>
          <w:rStyle w:val="FootnoteReference"/>
          <w:rFonts w:asciiTheme="majorBidi" w:hAnsiTheme="majorBidi" w:cstheme="majorBidi"/>
          <w:sz w:val="18"/>
          <w:szCs w:val="18"/>
        </w:rPr>
        <w:footnoteRef/>
      </w:r>
      <w:r w:rsidRPr="003B574C">
        <w:rPr>
          <w:rFonts w:asciiTheme="majorBidi" w:hAnsiTheme="majorBidi" w:cstheme="majorBidi"/>
          <w:sz w:val="18"/>
          <w:szCs w:val="18"/>
        </w:rPr>
        <w:t xml:space="preserve"> </w:t>
      </w:r>
      <w:proofErr w:type="spellStart"/>
      <w:r w:rsidRPr="003B574C">
        <w:rPr>
          <w:rFonts w:asciiTheme="majorBidi" w:hAnsiTheme="majorBidi" w:cstheme="majorBidi"/>
          <w:sz w:val="18"/>
          <w:szCs w:val="18"/>
        </w:rPr>
        <w:t>Alfoneh</w:t>
      </w:r>
      <w:proofErr w:type="spellEnd"/>
      <w:r w:rsidRPr="003B574C">
        <w:rPr>
          <w:rFonts w:asciiTheme="majorBidi" w:hAnsiTheme="majorBidi" w:cstheme="majorBidi"/>
          <w:sz w:val="18"/>
          <w:szCs w:val="18"/>
        </w:rPr>
        <w:t xml:space="preserve">, 2012. </w:t>
      </w:r>
    </w:p>
  </w:footnote>
  <w:footnote w:id="121">
    <w:p w14:paraId="01EA150D" w14:textId="77777777" w:rsidR="00080908" w:rsidRPr="003B574C" w:rsidRDefault="00080908" w:rsidP="00811F8F">
      <w:pPr>
        <w:pStyle w:val="FootnoteText"/>
        <w:rPr>
          <w:rFonts w:asciiTheme="majorBidi" w:hAnsiTheme="majorBidi" w:cstheme="majorBidi"/>
          <w:sz w:val="18"/>
          <w:szCs w:val="18"/>
        </w:rPr>
      </w:pPr>
      <w:r w:rsidRPr="003B574C">
        <w:rPr>
          <w:rStyle w:val="FootnoteReference"/>
          <w:rFonts w:asciiTheme="majorBidi" w:hAnsiTheme="majorBidi" w:cstheme="majorBidi"/>
          <w:sz w:val="18"/>
          <w:szCs w:val="18"/>
        </w:rPr>
        <w:footnoteRef/>
      </w:r>
      <w:r w:rsidRPr="003B574C">
        <w:rPr>
          <w:rFonts w:asciiTheme="majorBidi" w:hAnsiTheme="majorBidi" w:cstheme="majorBidi"/>
          <w:sz w:val="18"/>
          <w:szCs w:val="18"/>
        </w:rPr>
        <w:t xml:space="preserve"> David Ignatius, “Is Israel preparing to attack Iran?” </w:t>
      </w:r>
      <w:r w:rsidRPr="003B574C">
        <w:rPr>
          <w:rFonts w:asciiTheme="majorBidi" w:hAnsiTheme="majorBidi" w:cstheme="majorBidi"/>
          <w:i/>
          <w:iCs/>
          <w:sz w:val="18"/>
          <w:szCs w:val="18"/>
        </w:rPr>
        <w:t>The Washington Post</w:t>
      </w:r>
      <w:r w:rsidRPr="003B574C">
        <w:rPr>
          <w:rFonts w:asciiTheme="majorBidi" w:hAnsiTheme="majorBidi" w:cstheme="majorBidi"/>
          <w:sz w:val="18"/>
          <w:szCs w:val="18"/>
        </w:rPr>
        <w:t xml:space="preserve">, 2/2/12. </w:t>
      </w:r>
    </w:p>
  </w:footnote>
  <w:footnote w:id="122">
    <w:p w14:paraId="0C365510" w14:textId="77777777" w:rsidR="00080908" w:rsidRDefault="00080908" w:rsidP="00811F8F">
      <w:pPr>
        <w:pStyle w:val="FootnoteText"/>
      </w:pPr>
      <w:r w:rsidRPr="003B574C">
        <w:rPr>
          <w:rStyle w:val="FootnoteReference"/>
          <w:rFonts w:asciiTheme="majorBidi" w:hAnsiTheme="majorBidi" w:cstheme="majorBidi"/>
          <w:sz w:val="18"/>
          <w:szCs w:val="18"/>
        </w:rPr>
        <w:footnoteRef/>
      </w:r>
      <w:r w:rsidRPr="003B574C">
        <w:rPr>
          <w:rFonts w:asciiTheme="majorBidi" w:hAnsiTheme="majorBidi" w:cstheme="majorBidi"/>
          <w:sz w:val="18"/>
          <w:szCs w:val="18"/>
        </w:rPr>
        <w:t xml:space="preserve"> </w:t>
      </w:r>
      <w:proofErr w:type="spellStart"/>
      <w:r w:rsidRPr="003B574C">
        <w:rPr>
          <w:rFonts w:asciiTheme="majorBidi" w:hAnsiTheme="majorBidi" w:cstheme="majorBidi"/>
          <w:sz w:val="18"/>
          <w:szCs w:val="18"/>
        </w:rPr>
        <w:t>Alfoneh</w:t>
      </w:r>
      <w:proofErr w:type="spellEnd"/>
      <w:r w:rsidRPr="003B574C">
        <w:rPr>
          <w:rFonts w:asciiTheme="majorBidi" w:hAnsiTheme="majorBidi" w:cstheme="majorBidi"/>
          <w:sz w:val="18"/>
          <w:szCs w:val="18"/>
        </w:rPr>
        <w:t>, 2012.</w:t>
      </w:r>
    </w:p>
  </w:footnote>
  <w:footnote w:id="123">
    <w:p w14:paraId="1B6A0947" w14:textId="77777777" w:rsidR="00080908" w:rsidRPr="002A01B8" w:rsidRDefault="00080908" w:rsidP="0096139B">
      <w:pPr>
        <w:pStyle w:val="FootnoteText"/>
        <w:rPr>
          <w:rFonts w:ascii="Times New Roman" w:hAnsi="Times New Roman" w:cs="Times New Roman"/>
          <w:sz w:val="18"/>
          <w:szCs w:val="18"/>
        </w:rPr>
      </w:pPr>
      <w:r w:rsidRPr="002A01B8">
        <w:rPr>
          <w:rStyle w:val="FootnoteReference"/>
          <w:rFonts w:ascii="Times New Roman" w:hAnsi="Times New Roman" w:cs="Times New Roman"/>
          <w:sz w:val="18"/>
          <w:szCs w:val="18"/>
        </w:rPr>
        <w:footnoteRef/>
      </w:r>
      <w:r w:rsidRPr="002A01B8">
        <w:rPr>
          <w:rFonts w:ascii="Times New Roman" w:hAnsi="Times New Roman" w:cs="Times New Roman"/>
          <w:sz w:val="18"/>
          <w:szCs w:val="18"/>
        </w:rPr>
        <w:t xml:space="preserve"> Christopher Phillips, </w:t>
      </w:r>
      <w:r w:rsidRPr="002A01B8">
        <w:rPr>
          <w:rFonts w:ascii="Times New Roman" w:hAnsi="Times New Roman" w:cs="Times New Roman"/>
          <w:i/>
          <w:iCs/>
          <w:sz w:val="18"/>
          <w:szCs w:val="18"/>
        </w:rPr>
        <w:t>The Battle for Syria</w:t>
      </w:r>
      <w:r w:rsidRPr="002A01B8">
        <w:rPr>
          <w:rFonts w:ascii="Times New Roman" w:hAnsi="Times New Roman" w:cs="Times New Roman"/>
          <w:sz w:val="18"/>
          <w:szCs w:val="18"/>
        </w:rPr>
        <w:t xml:space="preserve"> (New Haven: Yale University Press, 2016), p. 157.</w:t>
      </w:r>
    </w:p>
  </w:footnote>
  <w:footnote w:id="124">
    <w:p w14:paraId="4DF2B7AF" w14:textId="77777777" w:rsidR="00080908" w:rsidRPr="0096139B" w:rsidRDefault="00080908" w:rsidP="0096139B">
      <w:pPr>
        <w:pStyle w:val="FootnoteText"/>
        <w:rPr>
          <w:rFonts w:ascii="Times New Roman" w:hAnsi="Times New Roman" w:cs="Times New Roman"/>
          <w:sz w:val="18"/>
          <w:szCs w:val="18"/>
        </w:rPr>
      </w:pPr>
      <w:r w:rsidRPr="0096139B">
        <w:rPr>
          <w:rStyle w:val="FootnoteReference"/>
          <w:rFonts w:ascii="Times New Roman" w:hAnsi="Times New Roman" w:cs="Times New Roman"/>
          <w:sz w:val="18"/>
          <w:szCs w:val="18"/>
        </w:rPr>
        <w:footnoteRef/>
      </w:r>
      <w:r w:rsidRPr="0096139B">
        <w:rPr>
          <w:rFonts w:ascii="Times New Roman" w:hAnsi="Times New Roman" w:cs="Times New Roman"/>
          <w:sz w:val="18"/>
          <w:szCs w:val="18"/>
        </w:rPr>
        <w:t xml:space="preserve"> Daher, p. 272. </w:t>
      </w:r>
    </w:p>
  </w:footnote>
  <w:footnote w:id="125">
    <w:p w14:paraId="737D896D" w14:textId="77777777" w:rsidR="00080908" w:rsidRPr="00673239" w:rsidRDefault="00080908" w:rsidP="0096139B">
      <w:pPr>
        <w:pStyle w:val="FootnoteText"/>
        <w:rPr>
          <w:rFonts w:ascii="Times New Roman" w:hAnsi="Times New Roman" w:cs="Times New Roman"/>
          <w:sz w:val="18"/>
          <w:szCs w:val="18"/>
        </w:rPr>
      </w:pPr>
      <w:r w:rsidRPr="00673239">
        <w:rPr>
          <w:rStyle w:val="FootnoteReference"/>
          <w:rFonts w:ascii="Times New Roman" w:hAnsi="Times New Roman" w:cs="Times New Roman"/>
          <w:sz w:val="18"/>
          <w:szCs w:val="18"/>
        </w:rPr>
        <w:footnoteRef/>
      </w:r>
      <w:r w:rsidRPr="00673239">
        <w:rPr>
          <w:rFonts w:ascii="Times New Roman" w:hAnsi="Times New Roman" w:cs="Times New Roman"/>
          <w:sz w:val="18"/>
          <w:szCs w:val="18"/>
        </w:rPr>
        <w:t xml:space="preserve"> Daniel L. </w:t>
      </w:r>
      <w:proofErr w:type="spellStart"/>
      <w:r w:rsidRPr="00673239">
        <w:rPr>
          <w:rFonts w:ascii="Times New Roman" w:hAnsi="Times New Roman" w:cs="Times New Roman"/>
          <w:sz w:val="18"/>
          <w:szCs w:val="18"/>
        </w:rPr>
        <w:t>Byman</w:t>
      </w:r>
      <w:proofErr w:type="spellEnd"/>
      <w:r w:rsidRPr="00673239">
        <w:rPr>
          <w:rFonts w:ascii="Times New Roman" w:hAnsi="Times New Roman" w:cs="Times New Roman"/>
          <w:sz w:val="18"/>
          <w:szCs w:val="18"/>
        </w:rPr>
        <w:t xml:space="preserve">, “Hezbollah’s Growing Threat Against U.S. National Security Interests in the Middle East,” House Committee on Foreign Affairs Testimony, 3/22/16.  </w:t>
      </w:r>
    </w:p>
  </w:footnote>
  <w:footnote w:id="126">
    <w:p w14:paraId="320E22D2" w14:textId="77777777" w:rsidR="00080908" w:rsidRPr="00673239" w:rsidRDefault="00080908">
      <w:pPr>
        <w:pStyle w:val="FootnoteText"/>
        <w:rPr>
          <w:rFonts w:ascii="Times New Roman" w:hAnsi="Times New Roman" w:cs="Times New Roman"/>
          <w:sz w:val="18"/>
          <w:szCs w:val="18"/>
        </w:rPr>
      </w:pPr>
      <w:r w:rsidRPr="00673239">
        <w:rPr>
          <w:rStyle w:val="FootnoteReference"/>
          <w:rFonts w:ascii="Times New Roman" w:hAnsi="Times New Roman" w:cs="Times New Roman"/>
          <w:sz w:val="18"/>
          <w:szCs w:val="18"/>
        </w:rPr>
        <w:footnoteRef/>
      </w:r>
      <w:r w:rsidRPr="00673239">
        <w:rPr>
          <w:rFonts w:ascii="Times New Roman" w:hAnsi="Times New Roman" w:cs="Times New Roman"/>
          <w:sz w:val="18"/>
          <w:szCs w:val="18"/>
        </w:rPr>
        <w:t xml:space="preserve"> Al-</w:t>
      </w:r>
      <w:proofErr w:type="spellStart"/>
      <w:r w:rsidRPr="00673239">
        <w:rPr>
          <w:rFonts w:ascii="Times New Roman" w:hAnsi="Times New Roman" w:cs="Times New Roman"/>
          <w:sz w:val="18"/>
          <w:szCs w:val="18"/>
        </w:rPr>
        <w:t>Aloosy</w:t>
      </w:r>
      <w:proofErr w:type="spellEnd"/>
      <w:r w:rsidRPr="00673239">
        <w:rPr>
          <w:rFonts w:ascii="Times New Roman" w:hAnsi="Times New Roman" w:cs="Times New Roman"/>
          <w:sz w:val="18"/>
          <w:szCs w:val="18"/>
        </w:rPr>
        <w:t xml:space="preserve">, p. 95. </w:t>
      </w:r>
    </w:p>
  </w:footnote>
  <w:footnote w:id="127">
    <w:p w14:paraId="635A8E74" w14:textId="77777777" w:rsidR="00080908" w:rsidRPr="00673239" w:rsidRDefault="00080908" w:rsidP="0096139B">
      <w:pPr>
        <w:pStyle w:val="FootnoteText"/>
        <w:rPr>
          <w:rFonts w:ascii="Times New Roman" w:hAnsi="Times New Roman" w:cs="Times New Roman"/>
          <w:sz w:val="18"/>
          <w:szCs w:val="18"/>
        </w:rPr>
      </w:pPr>
      <w:r w:rsidRPr="00673239">
        <w:rPr>
          <w:rStyle w:val="FootnoteReference"/>
          <w:rFonts w:ascii="Times New Roman" w:hAnsi="Times New Roman" w:cs="Times New Roman"/>
          <w:sz w:val="18"/>
          <w:szCs w:val="18"/>
        </w:rPr>
        <w:footnoteRef/>
      </w:r>
      <w:r w:rsidRPr="00673239">
        <w:rPr>
          <w:rFonts w:ascii="Times New Roman" w:hAnsi="Times New Roman" w:cs="Times New Roman"/>
          <w:sz w:val="18"/>
          <w:szCs w:val="18"/>
        </w:rPr>
        <w:t xml:space="preserve"> Phillips, p. 157.</w:t>
      </w:r>
    </w:p>
  </w:footnote>
  <w:footnote w:id="128">
    <w:p w14:paraId="2417F2E0" w14:textId="77777777" w:rsidR="00080908" w:rsidRPr="00673239" w:rsidRDefault="00080908" w:rsidP="0096139B">
      <w:pPr>
        <w:pStyle w:val="FootnoteText"/>
        <w:rPr>
          <w:rFonts w:ascii="Times New Roman" w:hAnsi="Times New Roman" w:cs="Times New Roman"/>
          <w:sz w:val="18"/>
          <w:szCs w:val="18"/>
        </w:rPr>
      </w:pPr>
      <w:r w:rsidRPr="00673239">
        <w:rPr>
          <w:rStyle w:val="FootnoteReference"/>
          <w:rFonts w:ascii="Times New Roman" w:hAnsi="Times New Roman" w:cs="Times New Roman"/>
          <w:sz w:val="18"/>
          <w:szCs w:val="18"/>
        </w:rPr>
        <w:footnoteRef/>
      </w:r>
      <w:r w:rsidRPr="00673239">
        <w:rPr>
          <w:rFonts w:ascii="Times New Roman" w:hAnsi="Times New Roman" w:cs="Times New Roman"/>
          <w:sz w:val="18"/>
          <w:szCs w:val="18"/>
        </w:rPr>
        <w:t xml:space="preserve"> Daher, p. 276. </w:t>
      </w:r>
    </w:p>
  </w:footnote>
  <w:footnote w:id="129">
    <w:p w14:paraId="45CD4315" w14:textId="77777777" w:rsidR="00080908" w:rsidRPr="00673239" w:rsidRDefault="00080908" w:rsidP="0096139B">
      <w:pPr>
        <w:pStyle w:val="FootnoteText"/>
        <w:rPr>
          <w:rFonts w:ascii="Times New Roman" w:hAnsi="Times New Roman" w:cs="Times New Roman"/>
          <w:sz w:val="18"/>
          <w:szCs w:val="18"/>
        </w:rPr>
      </w:pPr>
      <w:r w:rsidRPr="00673239">
        <w:rPr>
          <w:rStyle w:val="FootnoteReference"/>
          <w:rFonts w:ascii="Times New Roman" w:hAnsi="Times New Roman" w:cs="Times New Roman"/>
          <w:sz w:val="18"/>
          <w:szCs w:val="18"/>
        </w:rPr>
        <w:footnoteRef/>
      </w:r>
      <w:r w:rsidRPr="00673239">
        <w:rPr>
          <w:rFonts w:ascii="Times New Roman" w:hAnsi="Times New Roman" w:cs="Times New Roman"/>
          <w:sz w:val="18"/>
          <w:szCs w:val="18"/>
        </w:rPr>
        <w:t xml:space="preserve"> Daher, p. 277. </w:t>
      </w:r>
    </w:p>
  </w:footnote>
  <w:footnote w:id="130">
    <w:p w14:paraId="6E934FF2" w14:textId="77777777" w:rsidR="00080908" w:rsidRDefault="00080908">
      <w:pPr>
        <w:pStyle w:val="FootnoteText"/>
      </w:pPr>
      <w:r w:rsidRPr="00673239">
        <w:rPr>
          <w:rStyle w:val="FootnoteReference"/>
          <w:rFonts w:ascii="Times New Roman" w:hAnsi="Times New Roman" w:cs="Times New Roman"/>
          <w:sz w:val="18"/>
          <w:szCs w:val="18"/>
        </w:rPr>
        <w:footnoteRef/>
      </w:r>
      <w:r w:rsidRPr="00673239">
        <w:rPr>
          <w:rFonts w:ascii="Times New Roman" w:hAnsi="Times New Roman" w:cs="Times New Roman"/>
          <w:sz w:val="18"/>
          <w:szCs w:val="18"/>
        </w:rPr>
        <w:t xml:space="preserve"> Al-</w:t>
      </w:r>
      <w:proofErr w:type="spellStart"/>
      <w:r w:rsidRPr="00673239">
        <w:rPr>
          <w:rFonts w:ascii="Times New Roman" w:hAnsi="Times New Roman" w:cs="Times New Roman"/>
          <w:sz w:val="18"/>
          <w:szCs w:val="18"/>
        </w:rPr>
        <w:t>Aloosy</w:t>
      </w:r>
      <w:proofErr w:type="spellEnd"/>
      <w:r w:rsidRPr="00673239">
        <w:rPr>
          <w:rFonts w:ascii="Times New Roman" w:hAnsi="Times New Roman" w:cs="Times New Roman"/>
          <w:sz w:val="18"/>
          <w:szCs w:val="18"/>
        </w:rPr>
        <w:t>, p. 148-149.</w:t>
      </w:r>
      <w:r>
        <w:rPr>
          <w:rFonts w:ascii="Times New Roman" w:hAnsi="Times New Roman" w:cs="Times New Roman"/>
          <w:sz w:val="18"/>
          <w:szCs w:val="18"/>
        </w:rPr>
        <w:t xml:space="preserve">  </w:t>
      </w:r>
    </w:p>
  </w:footnote>
  <w:footnote w:id="131">
    <w:p w14:paraId="246EF685" w14:textId="77777777" w:rsidR="00080908" w:rsidRPr="00797715" w:rsidRDefault="00080908">
      <w:pPr>
        <w:pStyle w:val="FootnoteText"/>
        <w:rPr>
          <w:rFonts w:ascii="Times New Roman" w:hAnsi="Times New Roman" w:cs="Times New Roman"/>
          <w:sz w:val="18"/>
          <w:szCs w:val="18"/>
        </w:rPr>
      </w:pPr>
      <w:r w:rsidRPr="00797715">
        <w:rPr>
          <w:rStyle w:val="FootnoteReference"/>
          <w:rFonts w:ascii="Times New Roman" w:hAnsi="Times New Roman" w:cs="Times New Roman"/>
          <w:sz w:val="18"/>
          <w:szCs w:val="18"/>
        </w:rPr>
        <w:footnoteRef/>
      </w:r>
      <w:r w:rsidRPr="00797715">
        <w:rPr>
          <w:rFonts w:ascii="Times New Roman" w:hAnsi="Times New Roman" w:cs="Times New Roman"/>
          <w:sz w:val="18"/>
          <w:szCs w:val="18"/>
        </w:rPr>
        <w:t xml:space="preserve"> Joshua L. </w:t>
      </w:r>
      <w:proofErr w:type="spellStart"/>
      <w:r w:rsidRPr="00797715">
        <w:rPr>
          <w:rFonts w:ascii="Times New Roman" w:hAnsi="Times New Roman" w:cs="Times New Roman"/>
          <w:sz w:val="18"/>
          <w:szCs w:val="18"/>
        </w:rPr>
        <w:t>Gleis</w:t>
      </w:r>
      <w:proofErr w:type="spellEnd"/>
      <w:r w:rsidRPr="00797715">
        <w:rPr>
          <w:rFonts w:ascii="Times New Roman" w:hAnsi="Times New Roman" w:cs="Times New Roman"/>
          <w:sz w:val="18"/>
          <w:szCs w:val="18"/>
        </w:rPr>
        <w:t xml:space="preserve"> and </w:t>
      </w:r>
      <w:proofErr w:type="spellStart"/>
      <w:r w:rsidRPr="00797715">
        <w:rPr>
          <w:rFonts w:ascii="Times New Roman" w:hAnsi="Times New Roman" w:cs="Times New Roman"/>
          <w:sz w:val="18"/>
          <w:szCs w:val="18"/>
        </w:rPr>
        <w:t>Benedetta</w:t>
      </w:r>
      <w:proofErr w:type="spellEnd"/>
      <w:r w:rsidRPr="00797715">
        <w:rPr>
          <w:rFonts w:ascii="Times New Roman" w:hAnsi="Times New Roman" w:cs="Times New Roman"/>
          <w:sz w:val="18"/>
          <w:szCs w:val="18"/>
        </w:rPr>
        <w:t xml:space="preserve"> </w:t>
      </w:r>
      <w:proofErr w:type="spellStart"/>
      <w:r w:rsidRPr="00797715">
        <w:rPr>
          <w:rFonts w:ascii="Times New Roman" w:hAnsi="Times New Roman" w:cs="Times New Roman"/>
          <w:sz w:val="18"/>
          <w:szCs w:val="18"/>
        </w:rPr>
        <w:t>Berti</w:t>
      </w:r>
      <w:proofErr w:type="spellEnd"/>
      <w:r w:rsidRPr="00797715">
        <w:rPr>
          <w:rFonts w:ascii="Times New Roman" w:hAnsi="Times New Roman" w:cs="Times New Roman"/>
          <w:sz w:val="18"/>
          <w:szCs w:val="18"/>
        </w:rPr>
        <w:t xml:space="preserve">, </w:t>
      </w:r>
      <w:r w:rsidRPr="00797715">
        <w:rPr>
          <w:rFonts w:ascii="Times New Roman" w:hAnsi="Times New Roman" w:cs="Times New Roman"/>
          <w:i/>
          <w:iCs/>
          <w:sz w:val="18"/>
          <w:szCs w:val="18"/>
        </w:rPr>
        <w:t>Hezbollah and Hamas: A Comparative Study</w:t>
      </w:r>
      <w:r w:rsidRPr="00797715">
        <w:rPr>
          <w:rFonts w:ascii="Times New Roman" w:hAnsi="Times New Roman" w:cs="Times New Roman"/>
          <w:sz w:val="18"/>
          <w:szCs w:val="18"/>
        </w:rPr>
        <w:t xml:space="preserve"> (Baltimore: The Johns Hopkins University Press, 2012), p. 188. </w:t>
      </w:r>
    </w:p>
  </w:footnote>
  <w:footnote w:id="132">
    <w:p w14:paraId="4FF40CAE" w14:textId="77777777" w:rsidR="00080908" w:rsidRPr="00797715" w:rsidRDefault="00080908">
      <w:pPr>
        <w:pStyle w:val="FootnoteText"/>
        <w:rPr>
          <w:rFonts w:ascii="Times New Roman" w:hAnsi="Times New Roman" w:cs="Times New Roman"/>
          <w:sz w:val="18"/>
          <w:szCs w:val="18"/>
        </w:rPr>
      </w:pPr>
      <w:r w:rsidRPr="00797715">
        <w:rPr>
          <w:rStyle w:val="FootnoteReference"/>
          <w:rFonts w:ascii="Times New Roman" w:hAnsi="Times New Roman" w:cs="Times New Roman"/>
          <w:sz w:val="18"/>
          <w:szCs w:val="18"/>
        </w:rPr>
        <w:footnoteRef/>
      </w:r>
      <w:r w:rsidRPr="00797715">
        <w:rPr>
          <w:rFonts w:ascii="Times New Roman" w:hAnsi="Times New Roman" w:cs="Times New Roman"/>
          <w:sz w:val="18"/>
          <w:szCs w:val="18"/>
        </w:rPr>
        <w:t xml:space="preserve"> </w:t>
      </w:r>
      <w:proofErr w:type="spellStart"/>
      <w:r w:rsidRPr="00797715">
        <w:rPr>
          <w:rFonts w:ascii="Times New Roman" w:hAnsi="Times New Roman" w:cs="Times New Roman"/>
          <w:sz w:val="18"/>
          <w:szCs w:val="18"/>
        </w:rPr>
        <w:t>Gleis</w:t>
      </w:r>
      <w:proofErr w:type="spellEnd"/>
      <w:r w:rsidRPr="00797715">
        <w:rPr>
          <w:rFonts w:ascii="Times New Roman" w:hAnsi="Times New Roman" w:cs="Times New Roman"/>
          <w:sz w:val="18"/>
          <w:szCs w:val="18"/>
        </w:rPr>
        <w:t xml:space="preserve"> and </w:t>
      </w:r>
      <w:proofErr w:type="spellStart"/>
      <w:r w:rsidRPr="00797715">
        <w:rPr>
          <w:rFonts w:ascii="Times New Roman" w:hAnsi="Times New Roman" w:cs="Times New Roman"/>
          <w:sz w:val="18"/>
          <w:szCs w:val="18"/>
        </w:rPr>
        <w:t>Berti</w:t>
      </w:r>
      <w:proofErr w:type="spellEnd"/>
      <w:r w:rsidRPr="00797715">
        <w:rPr>
          <w:rFonts w:ascii="Times New Roman" w:hAnsi="Times New Roman" w:cs="Times New Roman"/>
          <w:sz w:val="18"/>
          <w:szCs w:val="18"/>
        </w:rPr>
        <w:t xml:space="preserve">, p. 120. </w:t>
      </w:r>
    </w:p>
  </w:footnote>
  <w:footnote w:id="133">
    <w:p w14:paraId="60974A2C" w14:textId="77777777" w:rsidR="00080908" w:rsidRPr="00797715" w:rsidRDefault="00080908">
      <w:pPr>
        <w:pStyle w:val="FootnoteText"/>
        <w:rPr>
          <w:rFonts w:ascii="Times New Roman" w:hAnsi="Times New Roman" w:cs="Times New Roman"/>
          <w:sz w:val="18"/>
          <w:szCs w:val="18"/>
        </w:rPr>
      </w:pPr>
      <w:r w:rsidRPr="00797715">
        <w:rPr>
          <w:rStyle w:val="FootnoteReference"/>
          <w:rFonts w:ascii="Times New Roman" w:hAnsi="Times New Roman" w:cs="Times New Roman"/>
          <w:sz w:val="18"/>
          <w:szCs w:val="18"/>
        </w:rPr>
        <w:footnoteRef/>
      </w:r>
      <w:r w:rsidRPr="00797715">
        <w:rPr>
          <w:rFonts w:ascii="Times New Roman" w:hAnsi="Times New Roman" w:cs="Times New Roman"/>
          <w:sz w:val="18"/>
          <w:szCs w:val="18"/>
        </w:rPr>
        <w:t xml:space="preserve"> </w:t>
      </w:r>
      <w:proofErr w:type="spellStart"/>
      <w:r w:rsidRPr="00797715">
        <w:rPr>
          <w:rFonts w:ascii="Times New Roman" w:hAnsi="Times New Roman" w:cs="Times New Roman"/>
          <w:sz w:val="18"/>
          <w:szCs w:val="18"/>
        </w:rPr>
        <w:t>Gleis</w:t>
      </w:r>
      <w:proofErr w:type="spellEnd"/>
      <w:r w:rsidRPr="00797715">
        <w:rPr>
          <w:rFonts w:ascii="Times New Roman" w:hAnsi="Times New Roman" w:cs="Times New Roman"/>
          <w:sz w:val="18"/>
          <w:szCs w:val="18"/>
        </w:rPr>
        <w:t xml:space="preserve"> and </w:t>
      </w:r>
      <w:proofErr w:type="spellStart"/>
      <w:r w:rsidRPr="00797715">
        <w:rPr>
          <w:rFonts w:ascii="Times New Roman" w:hAnsi="Times New Roman" w:cs="Times New Roman"/>
          <w:sz w:val="18"/>
          <w:szCs w:val="18"/>
        </w:rPr>
        <w:t>Berti</w:t>
      </w:r>
      <w:proofErr w:type="spellEnd"/>
      <w:r w:rsidRPr="00797715">
        <w:rPr>
          <w:rFonts w:ascii="Times New Roman" w:hAnsi="Times New Roman" w:cs="Times New Roman"/>
          <w:sz w:val="18"/>
          <w:szCs w:val="18"/>
        </w:rPr>
        <w:t xml:space="preserve">, p. 121. </w:t>
      </w:r>
    </w:p>
  </w:footnote>
  <w:footnote w:id="134">
    <w:p w14:paraId="27056775" w14:textId="77777777" w:rsidR="00797715" w:rsidRPr="00797715" w:rsidRDefault="00797715" w:rsidP="00797715">
      <w:pPr>
        <w:pStyle w:val="FootnoteText"/>
        <w:rPr>
          <w:rFonts w:ascii="Times New Roman" w:hAnsi="Times New Roman" w:cs="Times New Roman"/>
          <w:sz w:val="18"/>
          <w:szCs w:val="18"/>
        </w:rPr>
      </w:pPr>
      <w:r w:rsidRPr="00797715">
        <w:rPr>
          <w:rStyle w:val="FootnoteReference"/>
          <w:rFonts w:ascii="Times New Roman" w:hAnsi="Times New Roman" w:cs="Times New Roman"/>
          <w:sz w:val="18"/>
          <w:szCs w:val="18"/>
        </w:rPr>
        <w:footnoteRef/>
      </w:r>
      <w:r w:rsidRPr="00797715">
        <w:rPr>
          <w:rFonts w:ascii="Times New Roman" w:hAnsi="Times New Roman" w:cs="Times New Roman"/>
          <w:sz w:val="18"/>
          <w:szCs w:val="18"/>
        </w:rPr>
        <w:t xml:space="preserve"> Maren Koss, </w:t>
      </w:r>
      <w:r w:rsidRPr="00797715">
        <w:rPr>
          <w:rFonts w:ascii="Times New Roman" w:hAnsi="Times New Roman" w:cs="Times New Roman"/>
          <w:i/>
          <w:iCs/>
          <w:sz w:val="18"/>
          <w:szCs w:val="18"/>
        </w:rPr>
        <w:t xml:space="preserve">Resistance, Power and Conceptions of Political Order in Islamist Organizations: Comparing Hezbollah and Hamas </w:t>
      </w:r>
      <w:r w:rsidRPr="00797715">
        <w:rPr>
          <w:rFonts w:ascii="Times New Roman" w:hAnsi="Times New Roman" w:cs="Times New Roman"/>
          <w:sz w:val="18"/>
          <w:szCs w:val="18"/>
        </w:rPr>
        <w:t xml:space="preserve">(London: Routledge, 2018), p. 95. </w:t>
      </w:r>
    </w:p>
  </w:footnote>
  <w:footnote w:id="135">
    <w:p w14:paraId="155EB572" w14:textId="77777777" w:rsidR="00080908" w:rsidRPr="00797715" w:rsidRDefault="00080908">
      <w:pPr>
        <w:pStyle w:val="FootnoteText"/>
        <w:rPr>
          <w:rFonts w:ascii="Times New Roman" w:hAnsi="Times New Roman" w:cs="Times New Roman"/>
          <w:sz w:val="18"/>
          <w:szCs w:val="18"/>
        </w:rPr>
      </w:pPr>
      <w:r w:rsidRPr="00797715">
        <w:rPr>
          <w:rStyle w:val="FootnoteReference"/>
          <w:rFonts w:ascii="Times New Roman" w:hAnsi="Times New Roman" w:cs="Times New Roman"/>
          <w:sz w:val="18"/>
          <w:szCs w:val="18"/>
        </w:rPr>
        <w:footnoteRef/>
      </w:r>
      <w:r w:rsidRPr="00797715">
        <w:rPr>
          <w:rFonts w:ascii="Times New Roman" w:hAnsi="Times New Roman" w:cs="Times New Roman"/>
          <w:sz w:val="18"/>
          <w:szCs w:val="18"/>
        </w:rPr>
        <w:t xml:space="preserve"> Matthew Levitt, </w:t>
      </w:r>
      <w:r w:rsidRPr="00797715">
        <w:rPr>
          <w:rFonts w:ascii="Times New Roman" w:hAnsi="Times New Roman" w:cs="Times New Roman"/>
          <w:i/>
          <w:iCs/>
          <w:sz w:val="18"/>
          <w:szCs w:val="18"/>
        </w:rPr>
        <w:t>Hamas: Politics, Charity, and Terrorism in the Service of Jihad</w:t>
      </w:r>
      <w:r w:rsidRPr="00797715">
        <w:rPr>
          <w:rFonts w:ascii="Times New Roman" w:hAnsi="Times New Roman" w:cs="Times New Roman"/>
          <w:sz w:val="18"/>
          <w:szCs w:val="18"/>
        </w:rPr>
        <w:t xml:space="preserve"> (Yale: Yale University Press, 2007), p. 46. </w:t>
      </w:r>
    </w:p>
  </w:footnote>
  <w:footnote w:id="136">
    <w:p w14:paraId="6D6383E5" w14:textId="77777777" w:rsidR="00080908" w:rsidRPr="00797715" w:rsidRDefault="00080908">
      <w:pPr>
        <w:pStyle w:val="FootnoteText"/>
        <w:rPr>
          <w:rFonts w:ascii="Times New Roman" w:hAnsi="Times New Roman" w:cs="Times New Roman"/>
          <w:sz w:val="18"/>
          <w:szCs w:val="18"/>
        </w:rPr>
      </w:pPr>
      <w:r w:rsidRPr="00797715">
        <w:rPr>
          <w:rStyle w:val="FootnoteReference"/>
          <w:rFonts w:ascii="Times New Roman" w:hAnsi="Times New Roman" w:cs="Times New Roman"/>
          <w:sz w:val="18"/>
          <w:szCs w:val="18"/>
        </w:rPr>
        <w:footnoteRef/>
      </w:r>
      <w:r w:rsidRPr="00797715">
        <w:rPr>
          <w:rFonts w:ascii="Times New Roman" w:hAnsi="Times New Roman" w:cs="Times New Roman"/>
          <w:sz w:val="18"/>
          <w:szCs w:val="18"/>
        </w:rPr>
        <w:t xml:space="preserve"> </w:t>
      </w:r>
      <w:proofErr w:type="spellStart"/>
      <w:r w:rsidRPr="00797715">
        <w:rPr>
          <w:rFonts w:ascii="Times New Roman" w:hAnsi="Times New Roman" w:cs="Times New Roman"/>
          <w:sz w:val="18"/>
          <w:szCs w:val="18"/>
        </w:rPr>
        <w:t>Gleis</w:t>
      </w:r>
      <w:proofErr w:type="spellEnd"/>
      <w:r w:rsidRPr="00797715">
        <w:rPr>
          <w:rFonts w:ascii="Times New Roman" w:hAnsi="Times New Roman" w:cs="Times New Roman"/>
          <w:sz w:val="18"/>
          <w:szCs w:val="18"/>
        </w:rPr>
        <w:t xml:space="preserve"> and </w:t>
      </w:r>
      <w:proofErr w:type="spellStart"/>
      <w:r w:rsidRPr="00797715">
        <w:rPr>
          <w:rFonts w:ascii="Times New Roman" w:hAnsi="Times New Roman" w:cs="Times New Roman"/>
          <w:sz w:val="18"/>
          <w:szCs w:val="18"/>
        </w:rPr>
        <w:t>Berti</w:t>
      </w:r>
      <w:proofErr w:type="spellEnd"/>
      <w:r w:rsidRPr="00797715">
        <w:rPr>
          <w:rFonts w:ascii="Times New Roman" w:hAnsi="Times New Roman" w:cs="Times New Roman"/>
          <w:sz w:val="18"/>
          <w:szCs w:val="18"/>
        </w:rPr>
        <w:t xml:space="preserve">, p. 132. </w:t>
      </w:r>
    </w:p>
  </w:footnote>
  <w:footnote w:id="137">
    <w:p w14:paraId="1DC7CBD9" w14:textId="77777777" w:rsidR="00080908" w:rsidRPr="00797715" w:rsidRDefault="00080908">
      <w:pPr>
        <w:pStyle w:val="FootnoteText"/>
        <w:rPr>
          <w:rFonts w:ascii="Times New Roman" w:hAnsi="Times New Roman" w:cs="Times New Roman"/>
          <w:sz w:val="18"/>
          <w:szCs w:val="18"/>
        </w:rPr>
      </w:pPr>
      <w:r w:rsidRPr="00797715">
        <w:rPr>
          <w:rStyle w:val="FootnoteReference"/>
          <w:rFonts w:ascii="Times New Roman" w:hAnsi="Times New Roman" w:cs="Times New Roman"/>
          <w:sz w:val="18"/>
          <w:szCs w:val="18"/>
        </w:rPr>
        <w:footnoteRef/>
      </w:r>
      <w:r w:rsidRPr="00797715">
        <w:rPr>
          <w:rFonts w:ascii="Times New Roman" w:hAnsi="Times New Roman" w:cs="Times New Roman"/>
          <w:sz w:val="18"/>
          <w:szCs w:val="18"/>
        </w:rPr>
        <w:t xml:space="preserve"> </w:t>
      </w:r>
      <w:r w:rsidRPr="00797715">
        <w:rPr>
          <w:rFonts w:ascii="Times New Roman" w:hAnsi="Times New Roman" w:cs="Times New Roman"/>
          <w:i/>
          <w:iCs/>
          <w:sz w:val="18"/>
          <w:szCs w:val="18"/>
        </w:rPr>
        <w:t>Ibid</w:t>
      </w:r>
      <w:r w:rsidRPr="00797715">
        <w:rPr>
          <w:rFonts w:ascii="Times New Roman" w:hAnsi="Times New Roman" w:cs="Times New Roman"/>
          <w:sz w:val="18"/>
          <w:szCs w:val="18"/>
        </w:rPr>
        <w:t>.</w:t>
      </w:r>
    </w:p>
  </w:footnote>
  <w:footnote w:id="138">
    <w:p w14:paraId="14E40DCA" w14:textId="77777777" w:rsidR="00797715" w:rsidRDefault="00797715">
      <w:pPr>
        <w:pStyle w:val="FootnoteText"/>
      </w:pPr>
      <w:r w:rsidRPr="00797715">
        <w:rPr>
          <w:rStyle w:val="FootnoteReference"/>
          <w:rFonts w:ascii="Times New Roman" w:hAnsi="Times New Roman" w:cs="Times New Roman"/>
          <w:sz w:val="18"/>
          <w:szCs w:val="18"/>
        </w:rPr>
        <w:footnoteRef/>
      </w:r>
      <w:r w:rsidRPr="00797715">
        <w:rPr>
          <w:rFonts w:ascii="Times New Roman" w:hAnsi="Times New Roman" w:cs="Times New Roman"/>
          <w:sz w:val="18"/>
          <w:szCs w:val="18"/>
        </w:rPr>
        <w:t xml:space="preserve"> Koss, p. 114.</w:t>
      </w:r>
      <w:r>
        <w:t xml:space="preserve"> </w:t>
      </w:r>
    </w:p>
  </w:footnote>
  <w:footnote w:id="139">
    <w:p w14:paraId="0BF1BC94" w14:textId="77777777" w:rsidR="00DF0D27" w:rsidRPr="00DF0D27" w:rsidRDefault="00DF0D27">
      <w:pPr>
        <w:pStyle w:val="FootnoteText"/>
        <w:rPr>
          <w:rFonts w:ascii="Times New Roman" w:hAnsi="Times New Roman" w:cs="Times New Roman"/>
          <w:sz w:val="18"/>
          <w:szCs w:val="18"/>
        </w:rPr>
      </w:pPr>
      <w:r w:rsidRPr="00797715">
        <w:rPr>
          <w:rStyle w:val="FootnoteReference"/>
          <w:rFonts w:ascii="Times New Roman" w:hAnsi="Times New Roman" w:cs="Times New Roman"/>
          <w:sz w:val="18"/>
          <w:szCs w:val="18"/>
        </w:rPr>
        <w:footnoteRef/>
      </w:r>
      <w:r w:rsidRPr="00797715">
        <w:rPr>
          <w:rFonts w:ascii="Times New Roman" w:hAnsi="Times New Roman" w:cs="Times New Roman"/>
          <w:sz w:val="18"/>
          <w:szCs w:val="18"/>
        </w:rPr>
        <w:t xml:space="preserve"> Levitt, p. 172.</w:t>
      </w:r>
      <w:r w:rsidRPr="00DF0D27">
        <w:rPr>
          <w:rFonts w:ascii="Times New Roman" w:hAnsi="Times New Roman" w:cs="Times New Roman"/>
          <w:sz w:val="18"/>
          <w:szCs w:val="18"/>
        </w:rPr>
        <w:t xml:space="preserve"> </w:t>
      </w:r>
    </w:p>
  </w:footnote>
  <w:footnote w:id="140">
    <w:p w14:paraId="53DC2419" w14:textId="77777777" w:rsidR="00DF0D27" w:rsidRPr="00DF0D27" w:rsidRDefault="00DF0D27">
      <w:pPr>
        <w:pStyle w:val="FootnoteText"/>
      </w:pPr>
      <w:r w:rsidRPr="00DF0D27">
        <w:rPr>
          <w:rStyle w:val="FootnoteReference"/>
          <w:rFonts w:ascii="Times New Roman" w:hAnsi="Times New Roman" w:cs="Times New Roman"/>
          <w:sz w:val="18"/>
          <w:szCs w:val="18"/>
        </w:rPr>
        <w:footnoteRef/>
      </w:r>
      <w:r w:rsidRPr="00DF0D27">
        <w:rPr>
          <w:rFonts w:ascii="Times New Roman" w:hAnsi="Times New Roman" w:cs="Times New Roman"/>
          <w:sz w:val="18"/>
          <w:szCs w:val="18"/>
        </w:rPr>
        <w:t xml:space="preserve"> </w:t>
      </w:r>
      <w:r w:rsidRPr="00DF0D27">
        <w:rPr>
          <w:rFonts w:ascii="Times New Roman" w:hAnsi="Times New Roman" w:cs="Times New Roman"/>
          <w:i/>
          <w:iCs/>
          <w:sz w:val="18"/>
          <w:szCs w:val="18"/>
        </w:rPr>
        <w:t>Ibid</w:t>
      </w:r>
      <w:r w:rsidRPr="00DF0D27">
        <w:rPr>
          <w:rFonts w:ascii="Times New Roman" w:hAnsi="Times New Roman" w:cs="Times New Roman"/>
          <w:sz w:val="18"/>
          <w:szCs w:val="18"/>
        </w:rPr>
        <w:t>.</w:t>
      </w:r>
      <w:r>
        <w:t xml:space="preserve"> </w:t>
      </w:r>
    </w:p>
  </w:footnote>
  <w:footnote w:id="141">
    <w:p w14:paraId="3F61C4F9" w14:textId="77777777" w:rsidR="00DF0D27" w:rsidRPr="00DF0D27" w:rsidRDefault="00DF0D27">
      <w:pPr>
        <w:pStyle w:val="FootnoteText"/>
        <w:rPr>
          <w:rFonts w:asciiTheme="majorBidi" w:hAnsiTheme="majorBidi" w:cstheme="majorBidi"/>
          <w:sz w:val="16"/>
          <w:szCs w:val="16"/>
        </w:rPr>
      </w:pPr>
      <w:r w:rsidRPr="00DF0D27">
        <w:rPr>
          <w:rStyle w:val="FootnoteReference"/>
          <w:rFonts w:asciiTheme="majorBidi" w:hAnsiTheme="majorBidi" w:cstheme="majorBidi"/>
          <w:sz w:val="16"/>
          <w:szCs w:val="16"/>
        </w:rPr>
        <w:footnoteRef/>
      </w:r>
      <w:r w:rsidRPr="00DF0D27">
        <w:rPr>
          <w:rFonts w:asciiTheme="majorBidi" w:hAnsiTheme="majorBidi" w:cstheme="majorBidi"/>
          <w:sz w:val="16"/>
          <w:szCs w:val="16"/>
        </w:rPr>
        <w:t xml:space="preserve"> Levitt, p. 174-175. </w:t>
      </w:r>
    </w:p>
  </w:footnote>
  <w:footnote w:id="142">
    <w:p w14:paraId="24CE61E5" w14:textId="77777777" w:rsidR="00080908" w:rsidRPr="00DF0D27" w:rsidRDefault="00080908" w:rsidP="003142A6">
      <w:pPr>
        <w:pStyle w:val="FootnoteText"/>
        <w:rPr>
          <w:rFonts w:asciiTheme="majorBidi" w:hAnsiTheme="majorBidi" w:cstheme="majorBidi"/>
          <w:sz w:val="16"/>
          <w:szCs w:val="16"/>
        </w:rPr>
      </w:pPr>
      <w:r w:rsidRPr="00DF0D27">
        <w:rPr>
          <w:rStyle w:val="FootnoteReference"/>
          <w:rFonts w:asciiTheme="majorBidi" w:hAnsiTheme="majorBidi" w:cstheme="majorBidi"/>
          <w:sz w:val="16"/>
          <w:szCs w:val="16"/>
        </w:rPr>
        <w:footnoteRef/>
      </w:r>
      <w:r w:rsidRPr="00DF0D27">
        <w:rPr>
          <w:rFonts w:asciiTheme="majorBidi" w:hAnsiTheme="majorBidi" w:cstheme="majorBidi"/>
          <w:sz w:val="16"/>
          <w:szCs w:val="16"/>
        </w:rPr>
        <w:t xml:space="preserve"> </w:t>
      </w:r>
      <w:proofErr w:type="spellStart"/>
      <w:r w:rsidR="00DF0D27" w:rsidRPr="00DF0D27">
        <w:rPr>
          <w:rFonts w:asciiTheme="majorBidi" w:hAnsiTheme="majorBidi" w:cstheme="majorBidi"/>
          <w:sz w:val="16"/>
          <w:szCs w:val="16"/>
        </w:rPr>
        <w:t>Gleis</w:t>
      </w:r>
      <w:proofErr w:type="spellEnd"/>
      <w:r w:rsidR="00DF0D27" w:rsidRPr="00DF0D27">
        <w:rPr>
          <w:rFonts w:asciiTheme="majorBidi" w:hAnsiTheme="majorBidi" w:cstheme="majorBidi"/>
          <w:sz w:val="16"/>
          <w:szCs w:val="16"/>
        </w:rPr>
        <w:t xml:space="preserve"> and </w:t>
      </w:r>
      <w:proofErr w:type="spellStart"/>
      <w:r w:rsidR="00DF0D27" w:rsidRPr="00DF0D27">
        <w:rPr>
          <w:rFonts w:asciiTheme="majorBidi" w:hAnsiTheme="majorBidi" w:cstheme="majorBidi"/>
          <w:sz w:val="16"/>
          <w:szCs w:val="16"/>
        </w:rPr>
        <w:t>Berti</w:t>
      </w:r>
      <w:proofErr w:type="spellEnd"/>
      <w:r w:rsidR="00DF0D27" w:rsidRPr="00DF0D27">
        <w:rPr>
          <w:rFonts w:asciiTheme="majorBidi" w:hAnsiTheme="majorBidi" w:cstheme="majorBidi"/>
          <w:sz w:val="16"/>
          <w:szCs w:val="16"/>
        </w:rPr>
        <w:t xml:space="preserve">, p. 188. </w:t>
      </w:r>
    </w:p>
  </w:footnote>
  <w:footnote w:id="143">
    <w:p w14:paraId="1C8E5513" w14:textId="77777777" w:rsidR="00080908" w:rsidRPr="00DF0D27" w:rsidRDefault="00080908">
      <w:pPr>
        <w:pStyle w:val="FootnoteText"/>
        <w:rPr>
          <w:rFonts w:asciiTheme="majorBidi" w:hAnsiTheme="majorBidi" w:cstheme="majorBidi"/>
          <w:sz w:val="16"/>
          <w:szCs w:val="16"/>
        </w:rPr>
      </w:pPr>
      <w:r w:rsidRPr="00DF0D27">
        <w:rPr>
          <w:rStyle w:val="FootnoteReference"/>
          <w:rFonts w:asciiTheme="majorBidi" w:hAnsiTheme="majorBidi" w:cstheme="majorBidi"/>
          <w:sz w:val="16"/>
          <w:szCs w:val="16"/>
        </w:rPr>
        <w:footnoteRef/>
      </w:r>
      <w:r w:rsidRPr="00DF0D27">
        <w:rPr>
          <w:rFonts w:asciiTheme="majorBidi" w:hAnsiTheme="majorBidi" w:cstheme="majorBidi"/>
          <w:sz w:val="16"/>
          <w:szCs w:val="16"/>
        </w:rPr>
        <w:t xml:space="preserve"> </w:t>
      </w:r>
      <w:proofErr w:type="spellStart"/>
      <w:r w:rsidRPr="00DF0D27">
        <w:rPr>
          <w:rFonts w:asciiTheme="majorBidi" w:hAnsiTheme="majorBidi" w:cstheme="majorBidi"/>
          <w:sz w:val="16"/>
          <w:szCs w:val="16"/>
        </w:rPr>
        <w:t>Ostovar</w:t>
      </w:r>
      <w:proofErr w:type="spellEnd"/>
      <w:r w:rsidRPr="00DF0D27">
        <w:rPr>
          <w:rFonts w:asciiTheme="majorBidi" w:hAnsiTheme="majorBidi" w:cstheme="majorBidi"/>
          <w:sz w:val="16"/>
          <w:szCs w:val="16"/>
        </w:rPr>
        <w:t>, “Iran, its clients, and the future of the Middle East: the limits of religion,” p. 1244.</w:t>
      </w:r>
    </w:p>
  </w:footnote>
  <w:footnote w:id="144">
    <w:p w14:paraId="1B628D4D" w14:textId="77777777" w:rsidR="00080908" w:rsidRPr="00D6342E" w:rsidRDefault="00080908" w:rsidP="00D6342E">
      <w:pPr>
        <w:pStyle w:val="FootnoteText"/>
        <w:rPr>
          <w:rFonts w:asciiTheme="majorBidi" w:hAnsiTheme="majorBidi" w:cstheme="majorBidi"/>
          <w:sz w:val="16"/>
          <w:szCs w:val="16"/>
        </w:rPr>
      </w:pPr>
      <w:r w:rsidRPr="00DF0D27">
        <w:rPr>
          <w:rStyle w:val="FootnoteReference"/>
          <w:rFonts w:asciiTheme="majorBidi" w:hAnsiTheme="majorBidi" w:cstheme="majorBidi"/>
          <w:sz w:val="16"/>
          <w:szCs w:val="16"/>
        </w:rPr>
        <w:footnoteRef/>
      </w:r>
      <w:r w:rsidRPr="00DF0D27">
        <w:rPr>
          <w:rFonts w:asciiTheme="majorBidi" w:hAnsiTheme="majorBidi" w:cstheme="majorBidi"/>
          <w:sz w:val="16"/>
          <w:szCs w:val="16"/>
        </w:rPr>
        <w:t xml:space="preserve"> </w:t>
      </w:r>
      <w:r w:rsidR="00D6342E">
        <w:rPr>
          <w:rFonts w:asciiTheme="majorBidi" w:hAnsiTheme="majorBidi" w:cstheme="majorBidi"/>
          <w:i/>
          <w:iCs/>
          <w:sz w:val="16"/>
          <w:szCs w:val="16"/>
        </w:rPr>
        <w:t>Ibid</w:t>
      </w:r>
      <w:r w:rsidR="00D6342E">
        <w:rPr>
          <w:rFonts w:asciiTheme="majorBidi" w:hAnsiTheme="majorBidi" w:cstheme="majorBidi"/>
          <w:sz w:val="16"/>
          <w:szCs w:val="16"/>
        </w:rPr>
        <w:t>.</w:t>
      </w:r>
    </w:p>
  </w:footnote>
  <w:footnote w:id="145">
    <w:p w14:paraId="2ED37CD2" w14:textId="77777777" w:rsidR="00080908" w:rsidRPr="00D6342E" w:rsidRDefault="00080908" w:rsidP="00D6342E">
      <w:pPr>
        <w:pStyle w:val="FootnoteText"/>
        <w:rPr>
          <w:rFonts w:ascii="Times New Roman" w:hAnsi="Times New Roman" w:cs="Times New Roman"/>
          <w:sz w:val="18"/>
          <w:szCs w:val="18"/>
        </w:rPr>
      </w:pPr>
      <w:r w:rsidRPr="00D6342E">
        <w:rPr>
          <w:rStyle w:val="FootnoteReference"/>
          <w:rFonts w:ascii="Times New Roman" w:hAnsi="Times New Roman" w:cs="Times New Roman"/>
          <w:sz w:val="18"/>
          <w:szCs w:val="18"/>
        </w:rPr>
        <w:footnoteRef/>
      </w:r>
      <w:r w:rsidRPr="00D6342E">
        <w:rPr>
          <w:rFonts w:ascii="Times New Roman" w:hAnsi="Times New Roman" w:cs="Times New Roman"/>
          <w:sz w:val="18"/>
          <w:szCs w:val="18"/>
        </w:rPr>
        <w:t xml:space="preserve"> </w:t>
      </w:r>
      <w:r w:rsidR="00D6342E">
        <w:rPr>
          <w:rFonts w:ascii="Times New Roman" w:hAnsi="Times New Roman" w:cs="Times New Roman"/>
          <w:i/>
          <w:iCs/>
          <w:sz w:val="18"/>
          <w:szCs w:val="18"/>
        </w:rPr>
        <w:t>Ibid</w:t>
      </w:r>
      <w:r w:rsidR="00D6342E">
        <w:rPr>
          <w:rFonts w:ascii="Times New Roman" w:hAnsi="Times New Roman" w:cs="Times New Roman"/>
          <w:sz w:val="18"/>
          <w:szCs w:val="18"/>
        </w:rPr>
        <w:t>.</w:t>
      </w:r>
    </w:p>
  </w:footnote>
  <w:footnote w:id="146">
    <w:p w14:paraId="02684076" w14:textId="77777777" w:rsidR="00080908" w:rsidRPr="00D6342E" w:rsidRDefault="00080908" w:rsidP="00D6342E">
      <w:pPr>
        <w:pStyle w:val="FootnoteText"/>
        <w:rPr>
          <w:rFonts w:ascii="Times New Roman" w:hAnsi="Times New Roman" w:cs="Times New Roman"/>
          <w:sz w:val="18"/>
          <w:szCs w:val="18"/>
        </w:rPr>
      </w:pPr>
      <w:r w:rsidRPr="00D6342E">
        <w:rPr>
          <w:rStyle w:val="FootnoteReference"/>
          <w:rFonts w:ascii="Times New Roman" w:hAnsi="Times New Roman" w:cs="Times New Roman"/>
          <w:sz w:val="18"/>
          <w:szCs w:val="18"/>
        </w:rPr>
        <w:footnoteRef/>
      </w:r>
      <w:r w:rsidRPr="00D6342E">
        <w:rPr>
          <w:rFonts w:ascii="Times New Roman" w:hAnsi="Times New Roman" w:cs="Times New Roman"/>
          <w:sz w:val="18"/>
          <w:szCs w:val="18"/>
        </w:rPr>
        <w:t xml:space="preserve"> </w:t>
      </w:r>
      <w:r w:rsidR="00D6342E">
        <w:rPr>
          <w:rFonts w:ascii="Times New Roman" w:hAnsi="Times New Roman" w:cs="Times New Roman"/>
          <w:i/>
          <w:iCs/>
          <w:sz w:val="18"/>
          <w:szCs w:val="18"/>
        </w:rPr>
        <w:t>Ibid</w:t>
      </w:r>
      <w:r w:rsidR="00D6342E">
        <w:rPr>
          <w:rFonts w:ascii="Times New Roman" w:hAnsi="Times New Roman" w:cs="Times New Roman"/>
          <w:sz w:val="18"/>
          <w:szCs w:val="18"/>
        </w:rPr>
        <w:t>.</w:t>
      </w:r>
    </w:p>
  </w:footnote>
  <w:footnote w:id="147">
    <w:p w14:paraId="747D9CDF" w14:textId="77777777" w:rsidR="00D6342E" w:rsidRPr="00D6342E" w:rsidRDefault="00D6342E">
      <w:pPr>
        <w:pStyle w:val="FootnoteText"/>
        <w:rPr>
          <w:rFonts w:ascii="Times New Roman" w:hAnsi="Times New Roman" w:cs="Times New Roman"/>
          <w:sz w:val="18"/>
          <w:szCs w:val="18"/>
        </w:rPr>
      </w:pPr>
      <w:r w:rsidRPr="00D6342E">
        <w:rPr>
          <w:rStyle w:val="FootnoteReference"/>
          <w:rFonts w:ascii="Times New Roman" w:hAnsi="Times New Roman" w:cs="Times New Roman"/>
          <w:sz w:val="18"/>
          <w:szCs w:val="18"/>
        </w:rPr>
        <w:footnoteRef/>
      </w:r>
      <w:r w:rsidRPr="00D6342E">
        <w:rPr>
          <w:rFonts w:ascii="Times New Roman" w:hAnsi="Times New Roman" w:cs="Times New Roman"/>
          <w:sz w:val="18"/>
          <w:szCs w:val="18"/>
        </w:rPr>
        <w:t xml:space="preserve"> Koss, p. 126. </w:t>
      </w:r>
    </w:p>
  </w:footnote>
  <w:footnote w:id="148">
    <w:p w14:paraId="11F80516" w14:textId="77777777" w:rsidR="00080908" w:rsidRPr="00D6342E" w:rsidRDefault="00080908" w:rsidP="00811F8F">
      <w:pPr>
        <w:pStyle w:val="FootnoteText"/>
        <w:rPr>
          <w:rFonts w:ascii="Times New Roman" w:hAnsi="Times New Roman" w:cs="Times New Roman"/>
          <w:sz w:val="18"/>
          <w:szCs w:val="18"/>
        </w:rPr>
      </w:pPr>
      <w:r w:rsidRPr="00D6342E">
        <w:rPr>
          <w:rStyle w:val="FootnoteReference"/>
          <w:rFonts w:ascii="Times New Roman" w:hAnsi="Times New Roman" w:cs="Times New Roman"/>
          <w:sz w:val="18"/>
          <w:szCs w:val="18"/>
        </w:rPr>
        <w:footnoteRef/>
      </w:r>
      <w:r w:rsidRPr="00D6342E">
        <w:rPr>
          <w:rFonts w:ascii="Times New Roman" w:hAnsi="Times New Roman" w:cs="Times New Roman"/>
          <w:sz w:val="18"/>
          <w:szCs w:val="18"/>
        </w:rPr>
        <w:t xml:space="preserve"> Bassem </w:t>
      </w:r>
      <w:proofErr w:type="spellStart"/>
      <w:r w:rsidRPr="00D6342E">
        <w:rPr>
          <w:rFonts w:ascii="Times New Roman" w:hAnsi="Times New Roman" w:cs="Times New Roman"/>
          <w:sz w:val="18"/>
          <w:szCs w:val="18"/>
        </w:rPr>
        <w:t>Mroue</w:t>
      </w:r>
      <w:proofErr w:type="spellEnd"/>
      <w:r w:rsidRPr="00D6342E">
        <w:rPr>
          <w:rFonts w:ascii="Times New Roman" w:hAnsi="Times New Roman" w:cs="Times New Roman"/>
          <w:sz w:val="18"/>
          <w:szCs w:val="18"/>
        </w:rPr>
        <w:t xml:space="preserve">, “Iran tries to reconcile Syria and Hamas, rebuilding alliance,” </w:t>
      </w:r>
      <w:r w:rsidRPr="00D6342E">
        <w:rPr>
          <w:rFonts w:ascii="Times New Roman" w:hAnsi="Times New Roman" w:cs="Times New Roman"/>
          <w:i/>
          <w:iCs/>
          <w:sz w:val="18"/>
          <w:szCs w:val="18"/>
        </w:rPr>
        <w:t>Associated Press</w:t>
      </w:r>
      <w:r w:rsidRPr="00D6342E">
        <w:rPr>
          <w:rFonts w:ascii="Times New Roman" w:hAnsi="Times New Roman" w:cs="Times New Roman"/>
          <w:sz w:val="18"/>
          <w:szCs w:val="18"/>
        </w:rPr>
        <w:t xml:space="preserve">, 8/23/17. </w:t>
      </w:r>
    </w:p>
  </w:footnote>
  <w:footnote w:id="149">
    <w:p w14:paraId="72E7E0F3" w14:textId="77777777" w:rsidR="00080908" w:rsidRPr="002A01B8" w:rsidRDefault="00080908" w:rsidP="00811F8F">
      <w:pPr>
        <w:pStyle w:val="FootnoteText"/>
        <w:rPr>
          <w:rFonts w:ascii="Times New Roman" w:hAnsi="Times New Roman" w:cs="Times New Roman"/>
          <w:sz w:val="18"/>
          <w:szCs w:val="18"/>
        </w:rPr>
      </w:pPr>
      <w:r w:rsidRPr="00D6342E">
        <w:rPr>
          <w:rStyle w:val="FootnoteReference"/>
          <w:rFonts w:ascii="Times New Roman" w:hAnsi="Times New Roman" w:cs="Times New Roman"/>
          <w:sz w:val="18"/>
          <w:szCs w:val="18"/>
        </w:rPr>
        <w:footnoteRef/>
      </w:r>
      <w:r w:rsidRPr="00D6342E">
        <w:rPr>
          <w:rFonts w:ascii="Times New Roman" w:hAnsi="Times New Roman" w:cs="Times New Roman"/>
          <w:sz w:val="18"/>
          <w:szCs w:val="18"/>
        </w:rPr>
        <w:t xml:space="preserve"> </w:t>
      </w:r>
      <w:r w:rsidRPr="00D6342E">
        <w:rPr>
          <w:rFonts w:ascii="Times New Roman" w:hAnsi="Times New Roman" w:cs="Times New Roman"/>
          <w:i/>
          <w:iCs/>
          <w:sz w:val="18"/>
          <w:szCs w:val="18"/>
        </w:rPr>
        <w:t>Ibid</w:t>
      </w:r>
      <w:r w:rsidRPr="00D6342E">
        <w:rPr>
          <w:rFonts w:ascii="Times New Roman" w:hAnsi="Times New Roman" w:cs="Times New Roman"/>
          <w:sz w:val="18"/>
          <w:szCs w:val="18"/>
        </w:rPr>
        <w:t>.</w:t>
      </w:r>
      <w:r w:rsidRPr="002A01B8">
        <w:rPr>
          <w:rFonts w:ascii="Times New Roman" w:hAnsi="Times New Roman" w:cs="Times New Roman"/>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C253D"/>
    <w:multiLevelType w:val="hybridMultilevel"/>
    <w:tmpl w:val="8B1E8418"/>
    <w:lvl w:ilvl="0" w:tplc="2920FF66">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5654D26"/>
    <w:multiLevelType w:val="hybridMultilevel"/>
    <w:tmpl w:val="545499C0"/>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75D1F4A"/>
    <w:multiLevelType w:val="hybridMultilevel"/>
    <w:tmpl w:val="FE5250F8"/>
    <w:lvl w:ilvl="0" w:tplc="DB6E87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FA72046"/>
    <w:multiLevelType w:val="hybridMultilevel"/>
    <w:tmpl w:val="B0C02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3567F0"/>
    <w:multiLevelType w:val="hybridMultilevel"/>
    <w:tmpl w:val="7D4668DA"/>
    <w:lvl w:ilvl="0" w:tplc="2920FF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3F48D0"/>
    <w:multiLevelType w:val="hybridMultilevel"/>
    <w:tmpl w:val="E74E4A44"/>
    <w:lvl w:ilvl="0" w:tplc="558AEC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39596940">
    <w:abstractNumId w:val="4"/>
  </w:num>
  <w:num w:numId="2" w16cid:durableId="1011879900">
    <w:abstractNumId w:val="0"/>
  </w:num>
  <w:num w:numId="3" w16cid:durableId="18169251">
    <w:abstractNumId w:val="3"/>
  </w:num>
  <w:num w:numId="4" w16cid:durableId="1694453406">
    <w:abstractNumId w:val="2"/>
  </w:num>
  <w:num w:numId="5" w16cid:durableId="308285376">
    <w:abstractNumId w:val="5"/>
  </w:num>
  <w:num w:numId="6" w16cid:durableId="12539307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C8D"/>
    <w:rsid w:val="000024C1"/>
    <w:rsid w:val="00003858"/>
    <w:rsid w:val="0000488E"/>
    <w:rsid w:val="00012CB3"/>
    <w:rsid w:val="000439F4"/>
    <w:rsid w:val="00044409"/>
    <w:rsid w:val="000557B4"/>
    <w:rsid w:val="00066B34"/>
    <w:rsid w:val="00080908"/>
    <w:rsid w:val="00080F15"/>
    <w:rsid w:val="00082D22"/>
    <w:rsid w:val="00087A0B"/>
    <w:rsid w:val="000C0836"/>
    <w:rsid w:val="000D45DF"/>
    <w:rsid w:val="000D63F1"/>
    <w:rsid w:val="000E2127"/>
    <w:rsid w:val="000F3622"/>
    <w:rsid w:val="00117832"/>
    <w:rsid w:val="00136248"/>
    <w:rsid w:val="00152BBC"/>
    <w:rsid w:val="001549A2"/>
    <w:rsid w:val="00160166"/>
    <w:rsid w:val="001A18C4"/>
    <w:rsid w:val="001A40C7"/>
    <w:rsid w:val="001B0F40"/>
    <w:rsid w:val="001C1E71"/>
    <w:rsid w:val="001C7CE2"/>
    <w:rsid w:val="001F3EC2"/>
    <w:rsid w:val="001F7E68"/>
    <w:rsid w:val="00205962"/>
    <w:rsid w:val="002344D3"/>
    <w:rsid w:val="002633C2"/>
    <w:rsid w:val="00290EA9"/>
    <w:rsid w:val="002A01B8"/>
    <w:rsid w:val="002E6F95"/>
    <w:rsid w:val="003142A6"/>
    <w:rsid w:val="003221E9"/>
    <w:rsid w:val="00325CE9"/>
    <w:rsid w:val="00330222"/>
    <w:rsid w:val="0033793A"/>
    <w:rsid w:val="003568FD"/>
    <w:rsid w:val="00362078"/>
    <w:rsid w:val="003C345D"/>
    <w:rsid w:val="003C65A2"/>
    <w:rsid w:val="003D677E"/>
    <w:rsid w:val="003E44E2"/>
    <w:rsid w:val="00412D01"/>
    <w:rsid w:val="0042347D"/>
    <w:rsid w:val="004376C4"/>
    <w:rsid w:val="00447DF8"/>
    <w:rsid w:val="0045315C"/>
    <w:rsid w:val="004553B0"/>
    <w:rsid w:val="004658E5"/>
    <w:rsid w:val="004678E6"/>
    <w:rsid w:val="00471906"/>
    <w:rsid w:val="00481B1F"/>
    <w:rsid w:val="00487C49"/>
    <w:rsid w:val="00493908"/>
    <w:rsid w:val="00495C32"/>
    <w:rsid w:val="004D14F0"/>
    <w:rsid w:val="004E55FD"/>
    <w:rsid w:val="004E6E8C"/>
    <w:rsid w:val="004F0B63"/>
    <w:rsid w:val="00502D65"/>
    <w:rsid w:val="00516484"/>
    <w:rsid w:val="00516F7C"/>
    <w:rsid w:val="0052140F"/>
    <w:rsid w:val="00534B5F"/>
    <w:rsid w:val="00552E0C"/>
    <w:rsid w:val="00566727"/>
    <w:rsid w:val="0059378C"/>
    <w:rsid w:val="005B728F"/>
    <w:rsid w:val="005D4C29"/>
    <w:rsid w:val="005D6DD2"/>
    <w:rsid w:val="005D7C8D"/>
    <w:rsid w:val="0060672B"/>
    <w:rsid w:val="00641721"/>
    <w:rsid w:val="00647245"/>
    <w:rsid w:val="00653DE0"/>
    <w:rsid w:val="00657334"/>
    <w:rsid w:val="00662F62"/>
    <w:rsid w:val="00673239"/>
    <w:rsid w:val="00682EA6"/>
    <w:rsid w:val="00697292"/>
    <w:rsid w:val="006A28C1"/>
    <w:rsid w:val="006A44BE"/>
    <w:rsid w:val="006D6BC4"/>
    <w:rsid w:val="006E2EC2"/>
    <w:rsid w:val="006E5D11"/>
    <w:rsid w:val="00710C06"/>
    <w:rsid w:val="00716C7C"/>
    <w:rsid w:val="007307C5"/>
    <w:rsid w:val="00746832"/>
    <w:rsid w:val="00750927"/>
    <w:rsid w:val="00751D70"/>
    <w:rsid w:val="00784BFC"/>
    <w:rsid w:val="00797715"/>
    <w:rsid w:val="007A1108"/>
    <w:rsid w:val="007B311D"/>
    <w:rsid w:val="007C0F1C"/>
    <w:rsid w:val="007F1E21"/>
    <w:rsid w:val="00802CE2"/>
    <w:rsid w:val="00811F8F"/>
    <w:rsid w:val="00816B8B"/>
    <w:rsid w:val="00850A21"/>
    <w:rsid w:val="00853458"/>
    <w:rsid w:val="008C3419"/>
    <w:rsid w:val="009052A8"/>
    <w:rsid w:val="009120B3"/>
    <w:rsid w:val="00923278"/>
    <w:rsid w:val="00923A9D"/>
    <w:rsid w:val="00926677"/>
    <w:rsid w:val="009371EC"/>
    <w:rsid w:val="0096139B"/>
    <w:rsid w:val="00983DB8"/>
    <w:rsid w:val="009976D8"/>
    <w:rsid w:val="00A10EDC"/>
    <w:rsid w:val="00A209C8"/>
    <w:rsid w:val="00A21975"/>
    <w:rsid w:val="00A2511F"/>
    <w:rsid w:val="00A316AE"/>
    <w:rsid w:val="00A3271F"/>
    <w:rsid w:val="00A40AA2"/>
    <w:rsid w:val="00A5325E"/>
    <w:rsid w:val="00A803E1"/>
    <w:rsid w:val="00A965F8"/>
    <w:rsid w:val="00AC65B0"/>
    <w:rsid w:val="00AC727B"/>
    <w:rsid w:val="00AE61CA"/>
    <w:rsid w:val="00AF1FCE"/>
    <w:rsid w:val="00B260CA"/>
    <w:rsid w:val="00B96BD6"/>
    <w:rsid w:val="00BB3CB3"/>
    <w:rsid w:val="00BD3D37"/>
    <w:rsid w:val="00BE13D3"/>
    <w:rsid w:val="00BE7DE6"/>
    <w:rsid w:val="00C06BF6"/>
    <w:rsid w:val="00C67B94"/>
    <w:rsid w:val="00C7435A"/>
    <w:rsid w:val="00C81DCD"/>
    <w:rsid w:val="00C96F8A"/>
    <w:rsid w:val="00CA3C99"/>
    <w:rsid w:val="00CC2271"/>
    <w:rsid w:val="00CC2FCD"/>
    <w:rsid w:val="00D058D8"/>
    <w:rsid w:val="00D234C6"/>
    <w:rsid w:val="00D25403"/>
    <w:rsid w:val="00D30AE5"/>
    <w:rsid w:val="00D36C49"/>
    <w:rsid w:val="00D51921"/>
    <w:rsid w:val="00D6342E"/>
    <w:rsid w:val="00D74366"/>
    <w:rsid w:val="00D902A3"/>
    <w:rsid w:val="00DA70B2"/>
    <w:rsid w:val="00DB44A5"/>
    <w:rsid w:val="00DB491D"/>
    <w:rsid w:val="00DC4764"/>
    <w:rsid w:val="00DC48A7"/>
    <w:rsid w:val="00DD60AE"/>
    <w:rsid w:val="00DF0D27"/>
    <w:rsid w:val="00E02A34"/>
    <w:rsid w:val="00E369B5"/>
    <w:rsid w:val="00E764B1"/>
    <w:rsid w:val="00E97A9E"/>
    <w:rsid w:val="00EB77A9"/>
    <w:rsid w:val="00EC5F48"/>
    <w:rsid w:val="00ED7E7F"/>
    <w:rsid w:val="00EE2467"/>
    <w:rsid w:val="00EF5C96"/>
    <w:rsid w:val="00F624E4"/>
    <w:rsid w:val="00F63262"/>
    <w:rsid w:val="00F70BFA"/>
    <w:rsid w:val="00F764B6"/>
    <w:rsid w:val="00FD046F"/>
    <w:rsid w:val="00FE0733"/>
    <w:rsid w:val="00FF1D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1FD96"/>
  <w15:chartTrackingRefBased/>
  <w15:docId w15:val="{BD4BA31B-E12A-4052-9232-ECBC9C0B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81D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1DCD"/>
    <w:rPr>
      <w:sz w:val="20"/>
      <w:szCs w:val="20"/>
    </w:rPr>
  </w:style>
  <w:style w:type="character" w:styleId="FootnoteReference">
    <w:name w:val="footnote reference"/>
    <w:basedOn w:val="DefaultParagraphFont"/>
    <w:uiPriority w:val="99"/>
    <w:semiHidden/>
    <w:unhideWhenUsed/>
    <w:rsid w:val="00C81DCD"/>
    <w:rPr>
      <w:vertAlign w:val="superscript"/>
    </w:rPr>
  </w:style>
  <w:style w:type="paragraph" w:styleId="ListParagraph">
    <w:name w:val="List Paragraph"/>
    <w:basedOn w:val="Normal"/>
    <w:uiPriority w:val="34"/>
    <w:qFormat/>
    <w:rsid w:val="00516F7C"/>
    <w:pPr>
      <w:ind w:left="720"/>
      <w:contextualSpacing/>
    </w:pPr>
  </w:style>
  <w:style w:type="table" w:styleId="TableGrid">
    <w:name w:val="Table Grid"/>
    <w:basedOn w:val="TableNormal"/>
    <w:uiPriority w:val="39"/>
    <w:rsid w:val="00516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6DD2"/>
    <w:rPr>
      <w:sz w:val="16"/>
      <w:szCs w:val="16"/>
    </w:rPr>
  </w:style>
  <w:style w:type="paragraph" w:styleId="CommentText">
    <w:name w:val="annotation text"/>
    <w:basedOn w:val="Normal"/>
    <w:link w:val="CommentTextChar"/>
    <w:uiPriority w:val="99"/>
    <w:unhideWhenUsed/>
    <w:rsid w:val="005D6DD2"/>
    <w:pPr>
      <w:spacing w:line="240" w:lineRule="auto"/>
    </w:pPr>
    <w:rPr>
      <w:sz w:val="20"/>
      <w:szCs w:val="20"/>
    </w:rPr>
  </w:style>
  <w:style w:type="character" w:customStyle="1" w:styleId="CommentTextChar">
    <w:name w:val="Comment Text Char"/>
    <w:basedOn w:val="DefaultParagraphFont"/>
    <w:link w:val="CommentText"/>
    <w:uiPriority w:val="99"/>
    <w:rsid w:val="005D6DD2"/>
    <w:rPr>
      <w:sz w:val="20"/>
      <w:szCs w:val="20"/>
    </w:rPr>
  </w:style>
  <w:style w:type="paragraph" w:styleId="CommentSubject">
    <w:name w:val="annotation subject"/>
    <w:basedOn w:val="CommentText"/>
    <w:next w:val="CommentText"/>
    <w:link w:val="CommentSubjectChar"/>
    <w:uiPriority w:val="99"/>
    <w:semiHidden/>
    <w:unhideWhenUsed/>
    <w:rsid w:val="005D6DD2"/>
    <w:rPr>
      <w:b/>
      <w:bCs/>
    </w:rPr>
  </w:style>
  <w:style w:type="character" w:customStyle="1" w:styleId="CommentSubjectChar">
    <w:name w:val="Comment Subject Char"/>
    <w:basedOn w:val="CommentTextChar"/>
    <w:link w:val="CommentSubject"/>
    <w:uiPriority w:val="99"/>
    <w:semiHidden/>
    <w:rsid w:val="005D6DD2"/>
    <w:rPr>
      <w:b/>
      <w:bCs/>
      <w:sz w:val="20"/>
      <w:szCs w:val="20"/>
    </w:rPr>
  </w:style>
  <w:style w:type="paragraph" w:styleId="BalloonText">
    <w:name w:val="Balloon Text"/>
    <w:basedOn w:val="Normal"/>
    <w:link w:val="BalloonTextChar"/>
    <w:uiPriority w:val="99"/>
    <w:semiHidden/>
    <w:unhideWhenUsed/>
    <w:rsid w:val="005D6D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DD2"/>
    <w:rPr>
      <w:rFonts w:ascii="Segoe UI" w:hAnsi="Segoe UI" w:cs="Segoe UI"/>
      <w:sz w:val="18"/>
      <w:szCs w:val="18"/>
    </w:rPr>
  </w:style>
  <w:style w:type="paragraph" w:styleId="Header">
    <w:name w:val="header"/>
    <w:basedOn w:val="Normal"/>
    <w:link w:val="HeaderChar"/>
    <w:uiPriority w:val="99"/>
    <w:unhideWhenUsed/>
    <w:rsid w:val="009266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677"/>
  </w:style>
  <w:style w:type="paragraph" w:styleId="Footer">
    <w:name w:val="footer"/>
    <w:basedOn w:val="Normal"/>
    <w:link w:val="FooterChar"/>
    <w:uiPriority w:val="99"/>
    <w:unhideWhenUsed/>
    <w:rsid w:val="009266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255886">
      <w:bodyDiv w:val="1"/>
      <w:marLeft w:val="0"/>
      <w:marRight w:val="0"/>
      <w:marTop w:val="0"/>
      <w:marBottom w:val="0"/>
      <w:divBdr>
        <w:top w:val="none" w:sz="0" w:space="0" w:color="auto"/>
        <w:left w:val="none" w:sz="0" w:space="0" w:color="auto"/>
        <w:bottom w:val="none" w:sz="0" w:space="0" w:color="auto"/>
        <w:right w:val="none" w:sz="0" w:space="0" w:color="auto"/>
      </w:divBdr>
      <w:divsChild>
        <w:div w:id="1330911855">
          <w:marLeft w:val="547"/>
          <w:marRight w:val="0"/>
          <w:marTop w:val="0"/>
          <w:marBottom w:val="0"/>
          <w:divBdr>
            <w:top w:val="none" w:sz="0" w:space="0" w:color="auto"/>
            <w:left w:val="none" w:sz="0" w:space="0" w:color="auto"/>
            <w:bottom w:val="none" w:sz="0" w:space="0" w:color="auto"/>
            <w:right w:val="none" w:sz="0" w:space="0" w:color="auto"/>
          </w:divBdr>
        </w:div>
      </w:divsChild>
    </w:div>
    <w:div w:id="961886433">
      <w:bodyDiv w:val="1"/>
      <w:marLeft w:val="0"/>
      <w:marRight w:val="0"/>
      <w:marTop w:val="0"/>
      <w:marBottom w:val="0"/>
      <w:divBdr>
        <w:top w:val="none" w:sz="0" w:space="0" w:color="auto"/>
        <w:left w:val="none" w:sz="0" w:space="0" w:color="auto"/>
        <w:bottom w:val="none" w:sz="0" w:space="0" w:color="auto"/>
        <w:right w:val="none" w:sz="0" w:space="0" w:color="auto"/>
      </w:divBdr>
      <w:divsChild>
        <w:div w:id="840588683">
          <w:marLeft w:val="547"/>
          <w:marRight w:val="0"/>
          <w:marTop w:val="0"/>
          <w:marBottom w:val="0"/>
          <w:divBdr>
            <w:top w:val="none" w:sz="0" w:space="0" w:color="auto"/>
            <w:left w:val="none" w:sz="0" w:space="0" w:color="auto"/>
            <w:bottom w:val="none" w:sz="0" w:space="0" w:color="auto"/>
            <w:right w:val="none" w:sz="0" w:space="0" w:color="auto"/>
          </w:divBdr>
        </w:div>
      </w:divsChild>
    </w:div>
    <w:div w:id="1098604123">
      <w:bodyDiv w:val="1"/>
      <w:marLeft w:val="0"/>
      <w:marRight w:val="0"/>
      <w:marTop w:val="0"/>
      <w:marBottom w:val="0"/>
      <w:divBdr>
        <w:top w:val="none" w:sz="0" w:space="0" w:color="auto"/>
        <w:left w:val="none" w:sz="0" w:space="0" w:color="auto"/>
        <w:bottom w:val="none" w:sz="0" w:space="0" w:color="auto"/>
        <w:right w:val="none" w:sz="0" w:space="0" w:color="auto"/>
      </w:divBdr>
    </w:div>
    <w:div w:id="202358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D67282-1FF0-49DC-85D3-5F46985D94C4}" type="doc">
      <dgm:prSet loTypeId="urn:microsoft.com/office/officeart/2005/8/layout/chevron1" loCatId="process" qsTypeId="urn:microsoft.com/office/officeart/2005/8/quickstyle/simple1" qsCatId="simple" csTypeId="urn:microsoft.com/office/officeart/2005/8/colors/accent1_2" csCatId="accent1" phldr="1"/>
      <dgm:spPr/>
    </dgm:pt>
    <dgm:pt modelId="{107DCD90-CCE3-453A-8271-A6C33FA8A649}">
      <dgm:prSet phldrT="[Text]"/>
      <dgm:spPr/>
      <dgm:t>
        <a:bodyPr/>
        <a:lstStyle/>
        <a:p>
          <a:r>
            <a:rPr lang="en-US"/>
            <a:t>Interest alignment</a:t>
          </a:r>
        </a:p>
      </dgm:t>
    </dgm:pt>
    <dgm:pt modelId="{15235D14-4514-46C0-8BE3-9DD4D452534E}" type="parTrans" cxnId="{E69BA4E4-C4CE-43B0-859D-3D9EBA128D53}">
      <dgm:prSet/>
      <dgm:spPr/>
      <dgm:t>
        <a:bodyPr/>
        <a:lstStyle/>
        <a:p>
          <a:endParaRPr lang="en-US"/>
        </a:p>
      </dgm:t>
    </dgm:pt>
    <dgm:pt modelId="{32F93D51-1878-424B-94A6-2775A5D8CFE0}" type="sibTrans" cxnId="{E69BA4E4-C4CE-43B0-859D-3D9EBA128D53}">
      <dgm:prSet/>
      <dgm:spPr/>
      <dgm:t>
        <a:bodyPr/>
        <a:lstStyle/>
        <a:p>
          <a:endParaRPr lang="en-US"/>
        </a:p>
      </dgm:t>
    </dgm:pt>
    <dgm:pt modelId="{7EBC3333-E3DD-4C3B-AF33-0F813A788C98}">
      <dgm:prSet phldrT="[Text]"/>
      <dgm:spPr/>
      <dgm:t>
        <a:bodyPr/>
        <a:lstStyle/>
        <a:p>
          <a:r>
            <a:rPr lang="en-US"/>
            <a:t>Trust</a:t>
          </a:r>
        </a:p>
      </dgm:t>
    </dgm:pt>
    <dgm:pt modelId="{893C9660-069C-4D58-90EC-2422E4E17A2E}" type="parTrans" cxnId="{2D5DAD66-E703-44FF-8A83-001660300393}">
      <dgm:prSet/>
      <dgm:spPr/>
      <dgm:t>
        <a:bodyPr/>
        <a:lstStyle/>
        <a:p>
          <a:endParaRPr lang="en-US"/>
        </a:p>
      </dgm:t>
    </dgm:pt>
    <dgm:pt modelId="{836452B9-CF46-42B2-9EFD-38CD5B4609B7}" type="sibTrans" cxnId="{2D5DAD66-E703-44FF-8A83-001660300393}">
      <dgm:prSet/>
      <dgm:spPr/>
      <dgm:t>
        <a:bodyPr/>
        <a:lstStyle/>
        <a:p>
          <a:endParaRPr lang="en-US"/>
        </a:p>
      </dgm:t>
    </dgm:pt>
    <dgm:pt modelId="{478DB0D6-11AA-48AD-878C-38F4ABF18322}">
      <dgm:prSet/>
      <dgm:spPr/>
      <dgm:t>
        <a:bodyPr/>
        <a:lstStyle/>
        <a:p>
          <a:r>
            <a:rPr lang="en-US"/>
            <a:t>Less control is necessary</a:t>
          </a:r>
        </a:p>
      </dgm:t>
    </dgm:pt>
    <dgm:pt modelId="{96DB14A9-3218-4526-92B1-8D21C66A8DBF}" type="parTrans" cxnId="{A6C0FF9A-46E5-49AA-96C3-CB62D19155DE}">
      <dgm:prSet/>
      <dgm:spPr/>
      <dgm:t>
        <a:bodyPr/>
        <a:lstStyle/>
        <a:p>
          <a:endParaRPr lang="en-US"/>
        </a:p>
      </dgm:t>
    </dgm:pt>
    <dgm:pt modelId="{6C90A124-B799-4527-A98E-B18E949B3EFB}" type="sibTrans" cxnId="{A6C0FF9A-46E5-49AA-96C3-CB62D19155DE}">
      <dgm:prSet/>
      <dgm:spPr/>
      <dgm:t>
        <a:bodyPr/>
        <a:lstStyle/>
        <a:p>
          <a:endParaRPr lang="en-US"/>
        </a:p>
      </dgm:t>
    </dgm:pt>
    <dgm:pt modelId="{4ACEE685-860F-4F6D-97C4-FEB7E3469E7D}">
      <dgm:prSet/>
      <dgm:spPr/>
      <dgm:t>
        <a:bodyPr/>
        <a:lstStyle/>
        <a:p>
          <a:r>
            <a:rPr lang="en-US"/>
            <a:t>More horizontal relationship</a:t>
          </a:r>
        </a:p>
      </dgm:t>
    </dgm:pt>
    <dgm:pt modelId="{9658AE34-33C7-479D-A8CB-9ECD2B8F45A7}" type="parTrans" cxnId="{428CCDE0-6193-4CB9-B39E-5C4461A2EF77}">
      <dgm:prSet/>
      <dgm:spPr/>
      <dgm:t>
        <a:bodyPr/>
        <a:lstStyle/>
        <a:p>
          <a:endParaRPr lang="en-US"/>
        </a:p>
      </dgm:t>
    </dgm:pt>
    <dgm:pt modelId="{BE3ABF05-DC98-4F14-B16F-91840BBCAD1C}" type="sibTrans" cxnId="{428CCDE0-6193-4CB9-B39E-5C4461A2EF77}">
      <dgm:prSet/>
      <dgm:spPr/>
      <dgm:t>
        <a:bodyPr/>
        <a:lstStyle/>
        <a:p>
          <a:endParaRPr lang="en-US"/>
        </a:p>
      </dgm:t>
    </dgm:pt>
    <dgm:pt modelId="{728C553E-ACDF-4BED-9189-B75BA2AACD03}" type="pres">
      <dgm:prSet presAssocID="{78D67282-1FF0-49DC-85D3-5F46985D94C4}" presName="Name0" presStyleCnt="0">
        <dgm:presLayoutVars>
          <dgm:dir/>
          <dgm:animLvl val="lvl"/>
          <dgm:resizeHandles val="exact"/>
        </dgm:presLayoutVars>
      </dgm:prSet>
      <dgm:spPr/>
    </dgm:pt>
    <dgm:pt modelId="{1B8B74D8-BDEC-4579-95F1-DE9AD8076C1E}" type="pres">
      <dgm:prSet presAssocID="{107DCD90-CCE3-453A-8271-A6C33FA8A649}" presName="parTxOnly" presStyleLbl="node1" presStyleIdx="0" presStyleCnt="4" custScaleX="96612">
        <dgm:presLayoutVars>
          <dgm:chMax val="0"/>
          <dgm:chPref val="0"/>
          <dgm:bulletEnabled val="1"/>
        </dgm:presLayoutVars>
      </dgm:prSet>
      <dgm:spPr/>
    </dgm:pt>
    <dgm:pt modelId="{9ACBD899-ABFA-45DE-AF17-0BE13EE67976}" type="pres">
      <dgm:prSet presAssocID="{32F93D51-1878-424B-94A6-2775A5D8CFE0}" presName="parTxOnlySpace" presStyleCnt="0"/>
      <dgm:spPr/>
    </dgm:pt>
    <dgm:pt modelId="{CC66E8E8-59F7-4908-B58F-DA6DD8310234}" type="pres">
      <dgm:prSet presAssocID="{7EBC3333-E3DD-4C3B-AF33-0F813A788C98}" presName="parTxOnly" presStyleLbl="node1" presStyleIdx="1" presStyleCnt="4">
        <dgm:presLayoutVars>
          <dgm:chMax val="0"/>
          <dgm:chPref val="0"/>
          <dgm:bulletEnabled val="1"/>
        </dgm:presLayoutVars>
      </dgm:prSet>
      <dgm:spPr/>
    </dgm:pt>
    <dgm:pt modelId="{FB905C17-1731-4CB2-AAC8-C5CF2434ED65}" type="pres">
      <dgm:prSet presAssocID="{836452B9-CF46-42B2-9EFD-38CD5B4609B7}" presName="parTxOnlySpace" presStyleCnt="0"/>
      <dgm:spPr/>
    </dgm:pt>
    <dgm:pt modelId="{9E9ECBEE-EB09-4BC1-BBB2-DA1EA7EBB7E1}" type="pres">
      <dgm:prSet presAssocID="{478DB0D6-11AA-48AD-878C-38F4ABF18322}" presName="parTxOnly" presStyleLbl="node1" presStyleIdx="2" presStyleCnt="4">
        <dgm:presLayoutVars>
          <dgm:chMax val="0"/>
          <dgm:chPref val="0"/>
          <dgm:bulletEnabled val="1"/>
        </dgm:presLayoutVars>
      </dgm:prSet>
      <dgm:spPr/>
    </dgm:pt>
    <dgm:pt modelId="{E2CBD984-D634-454F-9482-BDCAEF7663FE}" type="pres">
      <dgm:prSet presAssocID="{6C90A124-B799-4527-A98E-B18E949B3EFB}" presName="parTxOnlySpace" presStyleCnt="0"/>
      <dgm:spPr/>
    </dgm:pt>
    <dgm:pt modelId="{FE66467D-3B35-45F2-BBBC-81C156D9BB1A}" type="pres">
      <dgm:prSet presAssocID="{4ACEE685-860F-4F6D-97C4-FEB7E3469E7D}" presName="parTxOnly" presStyleLbl="node1" presStyleIdx="3" presStyleCnt="4">
        <dgm:presLayoutVars>
          <dgm:chMax val="0"/>
          <dgm:chPref val="0"/>
          <dgm:bulletEnabled val="1"/>
        </dgm:presLayoutVars>
      </dgm:prSet>
      <dgm:spPr/>
    </dgm:pt>
  </dgm:ptLst>
  <dgm:cxnLst>
    <dgm:cxn modelId="{8DAE161D-C443-4003-B1FC-8526CC43625F}" type="presOf" srcId="{107DCD90-CCE3-453A-8271-A6C33FA8A649}" destId="{1B8B74D8-BDEC-4579-95F1-DE9AD8076C1E}" srcOrd="0" destOrd="0" presId="urn:microsoft.com/office/officeart/2005/8/layout/chevron1"/>
    <dgm:cxn modelId="{2D5DAD66-E703-44FF-8A83-001660300393}" srcId="{78D67282-1FF0-49DC-85D3-5F46985D94C4}" destId="{7EBC3333-E3DD-4C3B-AF33-0F813A788C98}" srcOrd="1" destOrd="0" parTransId="{893C9660-069C-4D58-90EC-2422E4E17A2E}" sibTransId="{836452B9-CF46-42B2-9EFD-38CD5B4609B7}"/>
    <dgm:cxn modelId="{90235D67-E464-4A3D-BD2E-48D81BA3A164}" type="presOf" srcId="{4ACEE685-860F-4F6D-97C4-FEB7E3469E7D}" destId="{FE66467D-3B35-45F2-BBBC-81C156D9BB1A}" srcOrd="0" destOrd="0" presId="urn:microsoft.com/office/officeart/2005/8/layout/chevron1"/>
    <dgm:cxn modelId="{004A2A8E-32B1-4837-AAF7-BF3532FF3933}" type="presOf" srcId="{478DB0D6-11AA-48AD-878C-38F4ABF18322}" destId="{9E9ECBEE-EB09-4BC1-BBB2-DA1EA7EBB7E1}" srcOrd="0" destOrd="0" presId="urn:microsoft.com/office/officeart/2005/8/layout/chevron1"/>
    <dgm:cxn modelId="{A6C0FF9A-46E5-49AA-96C3-CB62D19155DE}" srcId="{78D67282-1FF0-49DC-85D3-5F46985D94C4}" destId="{478DB0D6-11AA-48AD-878C-38F4ABF18322}" srcOrd="2" destOrd="0" parTransId="{96DB14A9-3218-4526-92B1-8D21C66A8DBF}" sibTransId="{6C90A124-B799-4527-A98E-B18E949B3EFB}"/>
    <dgm:cxn modelId="{61108BC8-94EC-4F63-A765-0B07584E6145}" type="presOf" srcId="{78D67282-1FF0-49DC-85D3-5F46985D94C4}" destId="{728C553E-ACDF-4BED-9189-B75BA2AACD03}" srcOrd="0" destOrd="0" presId="urn:microsoft.com/office/officeart/2005/8/layout/chevron1"/>
    <dgm:cxn modelId="{E17D77C9-AD90-409D-99C0-5C090761BA3D}" type="presOf" srcId="{7EBC3333-E3DD-4C3B-AF33-0F813A788C98}" destId="{CC66E8E8-59F7-4908-B58F-DA6DD8310234}" srcOrd="0" destOrd="0" presId="urn:microsoft.com/office/officeart/2005/8/layout/chevron1"/>
    <dgm:cxn modelId="{428CCDE0-6193-4CB9-B39E-5C4461A2EF77}" srcId="{78D67282-1FF0-49DC-85D3-5F46985D94C4}" destId="{4ACEE685-860F-4F6D-97C4-FEB7E3469E7D}" srcOrd="3" destOrd="0" parTransId="{9658AE34-33C7-479D-A8CB-9ECD2B8F45A7}" sibTransId="{BE3ABF05-DC98-4F14-B16F-91840BBCAD1C}"/>
    <dgm:cxn modelId="{E69BA4E4-C4CE-43B0-859D-3D9EBA128D53}" srcId="{78D67282-1FF0-49DC-85D3-5F46985D94C4}" destId="{107DCD90-CCE3-453A-8271-A6C33FA8A649}" srcOrd="0" destOrd="0" parTransId="{15235D14-4514-46C0-8BE3-9DD4D452534E}" sibTransId="{32F93D51-1878-424B-94A6-2775A5D8CFE0}"/>
    <dgm:cxn modelId="{EF4D4362-62F1-48D6-B243-C7C795C46188}" type="presParOf" srcId="{728C553E-ACDF-4BED-9189-B75BA2AACD03}" destId="{1B8B74D8-BDEC-4579-95F1-DE9AD8076C1E}" srcOrd="0" destOrd="0" presId="urn:microsoft.com/office/officeart/2005/8/layout/chevron1"/>
    <dgm:cxn modelId="{DC365C84-8E7A-4117-86FA-FD4B68DCE363}" type="presParOf" srcId="{728C553E-ACDF-4BED-9189-B75BA2AACD03}" destId="{9ACBD899-ABFA-45DE-AF17-0BE13EE67976}" srcOrd="1" destOrd="0" presId="urn:microsoft.com/office/officeart/2005/8/layout/chevron1"/>
    <dgm:cxn modelId="{A135CFDE-4A4E-4AC2-929A-314BE2FAAF0E}" type="presParOf" srcId="{728C553E-ACDF-4BED-9189-B75BA2AACD03}" destId="{CC66E8E8-59F7-4908-B58F-DA6DD8310234}" srcOrd="2" destOrd="0" presId="urn:microsoft.com/office/officeart/2005/8/layout/chevron1"/>
    <dgm:cxn modelId="{5F94D5DA-2F8A-4693-B0DD-E1D29CBB2CEA}" type="presParOf" srcId="{728C553E-ACDF-4BED-9189-B75BA2AACD03}" destId="{FB905C17-1731-4CB2-AAC8-C5CF2434ED65}" srcOrd="3" destOrd="0" presId="urn:microsoft.com/office/officeart/2005/8/layout/chevron1"/>
    <dgm:cxn modelId="{78D2320A-4464-4F8F-8A56-F29DBF780ED9}" type="presParOf" srcId="{728C553E-ACDF-4BED-9189-B75BA2AACD03}" destId="{9E9ECBEE-EB09-4BC1-BBB2-DA1EA7EBB7E1}" srcOrd="4" destOrd="0" presId="urn:microsoft.com/office/officeart/2005/8/layout/chevron1"/>
    <dgm:cxn modelId="{2E0F1BA6-C642-43AC-9561-0E63B0754E7F}" type="presParOf" srcId="{728C553E-ACDF-4BED-9189-B75BA2AACD03}" destId="{E2CBD984-D634-454F-9482-BDCAEF7663FE}" srcOrd="5" destOrd="0" presId="urn:microsoft.com/office/officeart/2005/8/layout/chevron1"/>
    <dgm:cxn modelId="{B9BEA840-044F-49B2-A7F5-27703EE63F73}" type="presParOf" srcId="{728C553E-ACDF-4BED-9189-B75BA2AACD03}" destId="{FE66467D-3B35-45F2-BBBC-81C156D9BB1A}" srcOrd="6" destOrd="0" presId="urn:microsoft.com/office/officeart/2005/8/layout/chevro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8D67282-1FF0-49DC-85D3-5F46985D94C4}" type="doc">
      <dgm:prSet loTypeId="urn:microsoft.com/office/officeart/2005/8/layout/chevron1" loCatId="process" qsTypeId="urn:microsoft.com/office/officeart/2005/8/quickstyle/simple1" qsCatId="simple" csTypeId="urn:microsoft.com/office/officeart/2005/8/colors/accent1_2" csCatId="accent1" phldr="1"/>
      <dgm:spPr/>
    </dgm:pt>
    <dgm:pt modelId="{107DCD90-CCE3-453A-8271-A6C33FA8A649}">
      <dgm:prSet phldrT="[Text]"/>
      <dgm:spPr/>
      <dgm:t>
        <a:bodyPr/>
        <a:lstStyle/>
        <a:p>
          <a:r>
            <a:rPr lang="en-US"/>
            <a:t>Interest misalignment</a:t>
          </a:r>
        </a:p>
      </dgm:t>
    </dgm:pt>
    <dgm:pt modelId="{15235D14-4514-46C0-8BE3-9DD4D452534E}" type="parTrans" cxnId="{E69BA4E4-C4CE-43B0-859D-3D9EBA128D53}">
      <dgm:prSet/>
      <dgm:spPr/>
      <dgm:t>
        <a:bodyPr/>
        <a:lstStyle/>
        <a:p>
          <a:endParaRPr lang="en-US"/>
        </a:p>
      </dgm:t>
    </dgm:pt>
    <dgm:pt modelId="{32F93D51-1878-424B-94A6-2775A5D8CFE0}" type="sibTrans" cxnId="{E69BA4E4-C4CE-43B0-859D-3D9EBA128D53}">
      <dgm:prSet/>
      <dgm:spPr/>
      <dgm:t>
        <a:bodyPr/>
        <a:lstStyle/>
        <a:p>
          <a:endParaRPr lang="en-US"/>
        </a:p>
      </dgm:t>
    </dgm:pt>
    <dgm:pt modelId="{7EBC3333-E3DD-4C3B-AF33-0F813A788C98}">
      <dgm:prSet phldrT="[Text]"/>
      <dgm:spPr/>
      <dgm:t>
        <a:bodyPr/>
        <a:lstStyle/>
        <a:p>
          <a:r>
            <a:rPr lang="en-US"/>
            <a:t>Less trust</a:t>
          </a:r>
        </a:p>
      </dgm:t>
    </dgm:pt>
    <dgm:pt modelId="{893C9660-069C-4D58-90EC-2422E4E17A2E}" type="parTrans" cxnId="{2D5DAD66-E703-44FF-8A83-001660300393}">
      <dgm:prSet/>
      <dgm:spPr/>
      <dgm:t>
        <a:bodyPr/>
        <a:lstStyle/>
        <a:p>
          <a:endParaRPr lang="en-US"/>
        </a:p>
      </dgm:t>
    </dgm:pt>
    <dgm:pt modelId="{836452B9-CF46-42B2-9EFD-38CD5B4609B7}" type="sibTrans" cxnId="{2D5DAD66-E703-44FF-8A83-001660300393}">
      <dgm:prSet/>
      <dgm:spPr/>
      <dgm:t>
        <a:bodyPr/>
        <a:lstStyle/>
        <a:p>
          <a:endParaRPr lang="en-US"/>
        </a:p>
      </dgm:t>
    </dgm:pt>
    <dgm:pt modelId="{478DB0D6-11AA-48AD-878C-38F4ABF18322}">
      <dgm:prSet/>
      <dgm:spPr/>
      <dgm:t>
        <a:bodyPr/>
        <a:lstStyle/>
        <a:p>
          <a:r>
            <a:rPr lang="en-US"/>
            <a:t>More control is necessary</a:t>
          </a:r>
        </a:p>
      </dgm:t>
    </dgm:pt>
    <dgm:pt modelId="{96DB14A9-3218-4526-92B1-8D21C66A8DBF}" type="parTrans" cxnId="{A6C0FF9A-46E5-49AA-96C3-CB62D19155DE}">
      <dgm:prSet/>
      <dgm:spPr/>
      <dgm:t>
        <a:bodyPr/>
        <a:lstStyle/>
        <a:p>
          <a:endParaRPr lang="en-US"/>
        </a:p>
      </dgm:t>
    </dgm:pt>
    <dgm:pt modelId="{6C90A124-B799-4527-A98E-B18E949B3EFB}" type="sibTrans" cxnId="{A6C0FF9A-46E5-49AA-96C3-CB62D19155DE}">
      <dgm:prSet/>
      <dgm:spPr/>
      <dgm:t>
        <a:bodyPr/>
        <a:lstStyle/>
        <a:p>
          <a:endParaRPr lang="en-US"/>
        </a:p>
      </dgm:t>
    </dgm:pt>
    <dgm:pt modelId="{4ACEE685-860F-4F6D-97C4-FEB7E3469E7D}">
      <dgm:prSet/>
      <dgm:spPr/>
      <dgm:t>
        <a:bodyPr/>
        <a:lstStyle/>
        <a:p>
          <a:r>
            <a:rPr lang="en-US"/>
            <a:t>More vertical relationship</a:t>
          </a:r>
        </a:p>
      </dgm:t>
    </dgm:pt>
    <dgm:pt modelId="{9658AE34-33C7-479D-A8CB-9ECD2B8F45A7}" type="parTrans" cxnId="{428CCDE0-6193-4CB9-B39E-5C4461A2EF77}">
      <dgm:prSet/>
      <dgm:spPr/>
      <dgm:t>
        <a:bodyPr/>
        <a:lstStyle/>
        <a:p>
          <a:endParaRPr lang="en-US"/>
        </a:p>
      </dgm:t>
    </dgm:pt>
    <dgm:pt modelId="{BE3ABF05-DC98-4F14-B16F-91840BBCAD1C}" type="sibTrans" cxnId="{428CCDE0-6193-4CB9-B39E-5C4461A2EF77}">
      <dgm:prSet/>
      <dgm:spPr/>
      <dgm:t>
        <a:bodyPr/>
        <a:lstStyle/>
        <a:p>
          <a:endParaRPr lang="en-US"/>
        </a:p>
      </dgm:t>
    </dgm:pt>
    <dgm:pt modelId="{728C553E-ACDF-4BED-9189-B75BA2AACD03}" type="pres">
      <dgm:prSet presAssocID="{78D67282-1FF0-49DC-85D3-5F46985D94C4}" presName="Name0" presStyleCnt="0">
        <dgm:presLayoutVars>
          <dgm:dir/>
          <dgm:animLvl val="lvl"/>
          <dgm:resizeHandles val="exact"/>
        </dgm:presLayoutVars>
      </dgm:prSet>
      <dgm:spPr/>
    </dgm:pt>
    <dgm:pt modelId="{1B8B74D8-BDEC-4579-95F1-DE9AD8076C1E}" type="pres">
      <dgm:prSet presAssocID="{107DCD90-CCE3-453A-8271-A6C33FA8A649}" presName="parTxOnly" presStyleLbl="node1" presStyleIdx="0" presStyleCnt="4" custScaleX="96612">
        <dgm:presLayoutVars>
          <dgm:chMax val="0"/>
          <dgm:chPref val="0"/>
          <dgm:bulletEnabled val="1"/>
        </dgm:presLayoutVars>
      </dgm:prSet>
      <dgm:spPr/>
    </dgm:pt>
    <dgm:pt modelId="{9ACBD899-ABFA-45DE-AF17-0BE13EE67976}" type="pres">
      <dgm:prSet presAssocID="{32F93D51-1878-424B-94A6-2775A5D8CFE0}" presName="parTxOnlySpace" presStyleCnt="0"/>
      <dgm:spPr/>
    </dgm:pt>
    <dgm:pt modelId="{CC66E8E8-59F7-4908-B58F-DA6DD8310234}" type="pres">
      <dgm:prSet presAssocID="{7EBC3333-E3DD-4C3B-AF33-0F813A788C98}" presName="parTxOnly" presStyleLbl="node1" presStyleIdx="1" presStyleCnt="4">
        <dgm:presLayoutVars>
          <dgm:chMax val="0"/>
          <dgm:chPref val="0"/>
          <dgm:bulletEnabled val="1"/>
        </dgm:presLayoutVars>
      </dgm:prSet>
      <dgm:spPr/>
    </dgm:pt>
    <dgm:pt modelId="{FB905C17-1731-4CB2-AAC8-C5CF2434ED65}" type="pres">
      <dgm:prSet presAssocID="{836452B9-CF46-42B2-9EFD-38CD5B4609B7}" presName="parTxOnlySpace" presStyleCnt="0"/>
      <dgm:spPr/>
    </dgm:pt>
    <dgm:pt modelId="{9E9ECBEE-EB09-4BC1-BBB2-DA1EA7EBB7E1}" type="pres">
      <dgm:prSet presAssocID="{478DB0D6-11AA-48AD-878C-38F4ABF18322}" presName="parTxOnly" presStyleLbl="node1" presStyleIdx="2" presStyleCnt="4">
        <dgm:presLayoutVars>
          <dgm:chMax val="0"/>
          <dgm:chPref val="0"/>
          <dgm:bulletEnabled val="1"/>
        </dgm:presLayoutVars>
      </dgm:prSet>
      <dgm:spPr/>
    </dgm:pt>
    <dgm:pt modelId="{E2CBD984-D634-454F-9482-BDCAEF7663FE}" type="pres">
      <dgm:prSet presAssocID="{6C90A124-B799-4527-A98E-B18E949B3EFB}" presName="parTxOnlySpace" presStyleCnt="0"/>
      <dgm:spPr/>
    </dgm:pt>
    <dgm:pt modelId="{FE66467D-3B35-45F2-BBBC-81C156D9BB1A}" type="pres">
      <dgm:prSet presAssocID="{4ACEE685-860F-4F6D-97C4-FEB7E3469E7D}" presName="parTxOnly" presStyleLbl="node1" presStyleIdx="3" presStyleCnt="4">
        <dgm:presLayoutVars>
          <dgm:chMax val="0"/>
          <dgm:chPref val="0"/>
          <dgm:bulletEnabled val="1"/>
        </dgm:presLayoutVars>
      </dgm:prSet>
      <dgm:spPr/>
    </dgm:pt>
  </dgm:ptLst>
  <dgm:cxnLst>
    <dgm:cxn modelId="{53554F22-6C8D-4A0F-A843-E421FD085B50}" type="presOf" srcId="{478DB0D6-11AA-48AD-878C-38F4ABF18322}" destId="{9E9ECBEE-EB09-4BC1-BBB2-DA1EA7EBB7E1}" srcOrd="0" destOrd="0" presId="urn:microsoft.com/office/officeart/2005/8/layout/chevron1"/>
    <dgm:cxn modelId="{2D5DAD66-E703-44FF-8A83-001660300393}" srcId="{78D67282-1FF0-49DC-85D3-5F46985D94C4}" destId="{7EBC3333-E3DD-4C3B-AF33-0F813A788C98}" srcOrd="1" destOrd="0" parTransId="{893C9660-069C-4D58-90EC-2422E4E17A2E}" sibTransId="{836452B9-CF46-42B2-9EFD-38CD5B4609B7}"/>
    <dgm:cxn modelId="{4C36B473-5441-444E-BD23-FF252A19BA34}" type="presOf" srcId="{7EBC3333-E3DD-4C3B-AF33-0F813A788C98}" destId="{CC66E8E8-59F7-4908-B58F-DA6DD8310234}" srcOrd="0" destOrd="0" presId="urn:microsoft.com/office/officeart/2005/8/layout/chevron1"/>
    <dgm:cxn modelId="{B1CF568E-2049-4F18-8FC1-9BF73113FF2F}" type="presOf" srcId="{78D67282-1FF0-49DC-85D3-5F46985D94C4}" destId="{728C553E-ACDF-4BED-9189-B75BA2AACD03}" srcOrd="0" destOrd="0" presId="urn:microsoft.com/office/officeart/2005/8/layout/chevron1"/>
    <dgm:cxn modelId="{A6C0FF9A-46E5-49AA-96C3-CB62D19155DE}" srcId="{78D67282-1FF0-49DC-85D3-5F46985D94C4}" destId="{478DB0D6-11AA-48AD-878C-38F4ABF18322}" srcOrd="2" destOrd="0" parTransId="{96DB14A9-3218-4526-92B1-8D21C66A8DBF}" sibTransId="{6C90A124-B799-4527-A98E-B18E949B3EFB}"/>
    <dgm:cxn modelId="{1ACCD8A9-706E-48D3-A3ED-903A2C5AA245}" type="presOf" srcId="{4ACEE685-860F-4F6D-97C4-FEB7E3469E7D}" destId="{FE66467D-3B35-45F2-BBBC-81C156D9BB1A}" srcOrd="0" destOrd="0" presId="urn:microsoft.com/office/officeart/2005/8/layout/chevron1"/>
    <dgm:cxn modelId="{545C38DB-DEAD-4DA5-BCC0-70A54062F2E5}" type="presOf" srcId="{107DCD90-CCE3-453A-8271-A6C33FA8A649}" destId="{1B8B74D8-BDEC-4579-95F1-DE9AD8076C1E}" srcOrd="0" destOrd="0" presId="urn:microsoft.com/office/officeart/2005/8/layout/chevron1"/>
    <dgm:cxn modelId="{428CCDE0-6193-4CB9-B39E-5C4461A2EF77}" srcId="{78D67282-1FF0-49DC-85D3-5F46985D94C4}" destId="{4ACEE685-860F-4F6D-97C4-FEB7E3469E7D}" srcOrd="3" destOrd="0" parTransId="{9658AE34-33C7-479D-A8CB-9ECD2B8F45A7}" sibTransId="{BE3ABF05-DC98-4F14-B16F-91840BBCAD1C}"/>
    <dgm:cxn modelId="{E69BA4E4-C4CE-43B0-859D-3D9EBA128D53}" srcId="{78D67282-1FF0-49DC-85D3-5F46985D94C4}" destId="{107DCD90-CCE3-453A-8271-A6C33FA8A649}" srcOrd="0" destOrd="0" parTransId="{15235D14-4514-46C0-8BE3-9DD4D452534E}" sibTransId="{32F93D51-1878-424B-94A6-2775A5D8CFE0}"/>
    <dgm:cxn modelId="{AFD71A42-CCB0-4D55-A708-F60DB9BF9793}" type="presParOf" srcId="{728C553E-ACDF-4BED-9189-B75BA2AACD03}" destId="{1B8B74D8-BDEC-4579-95F1-DE9AD8076C1E}" srcOrd="0" destOrd="0" presId="urn:microsoft.com/office/officeart/2005/8/layout/chevron1"/>
    <dgm:cxn modelId="{0588D471-CDF4-4C7A-9D1F-28054F386E67}" type="presParOf" srcId="{728C553E-ACDF-4BED-9189-B75BA2AACD03}" destId="{9ACBD899-ABFA-45DE-AF17-0BE13EE67976}" srcOrd="1" destOrd="0" presId="urn:microsoft.com/office/officeart/2005/8/layout/chevron1"/>
    <dgm:cxn modelId="{E3DFB426-F60D-43A1-9A73-63286601A57C}" type="presParOf" srcId="{728C553E-ACDF-4BED-9189-B75BA2AACD03}" destId="{CC66E8E8-59F7-4908-B58F-DA6DD8310234}" srcOrd="2" destOrd="0" presId="urn:microsoft.com/office/officeart/2005/8/layout/chevron1"/>
    <dgm:cxn modelId="{E7535508-3DF7-461E-8482-F76A2544511B}" type="presParOf" srcId="{728C553E-ACDF-4BED-9189-B75BA2AACD03}" destId="{FB905C17-1731-4CB2-AAC8-C5CF2434ED65}" srcOrd="3" destOrd="0" presId="urn:microsoft.com/office/officeart/2005/8/layout/chevron1"/>
    <dgm:cxn modelId="{83A0A4FA-314C-43C5-986D-F8C91DF04EAB}" type="presParOf" srcId="{728C553E-ACDF-4BED-9189-B75BA2AACD03}" destId="{9E9ECBEE-EB09-4BC1-BBB2-DA1EA7EBB7E1}" srcOrd="4" destOrd="0" presId="urn:microsoft.com/office/officeart/2005/8/layout/chevron1"/>
    <dgm:cxn modelId="{FC2CE383-3614-4EEA-AB21-935457687AF3}" type="presParOf" srcId="{728C553E-ACDF-4BED-9189-B75BA2AACD03}" destId="{E2CBD984-D634-454F-9482-BDCAEF7663FE}" srcOrd="5" destOrd="0" presId="urn:microsoft.com/office/officeart/2005/8/layout/chevron1"/>
    <dgm:cxn modelId="{2AC1A9E6-AEED-4688-9666-889C061119C0}" type="presParOf" srcId="{728C553E-ACDF-4BED-9189-B75BA2AACD03}" destId="{FE66467D-3B35-45F2-BBBC-81C156D9BB1A}" srcOrd="6" destOrd="0" presId="urn:microsoft.com/office/officeart/2005/8/layout/chevro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8B74D8-BDEC-4579-95F1-DE9AD8076C1E}">
      <dsp:nvSpPr>
        <dsp:cNvPr id="0" name=""/>
        <dsp:cNvSpPr/>
      </dsp:nvSpPr>
      <dsp:spPr>
        <a:xfrm>
          <a:off x="3577" y="0"/>
          <a:ext cx="1673528" cy="198119"/>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kern="1200"/>
            <a:t>Interest alignment</a:t>
          </a:r>
        </a:p>
      </dsp:txBody>
      <dsp:txXfrm>
        <a:off x="102637" y="0"/>
        <a:ext cx="1475409" cy="198119"/>
      </dsp:txXfrm>
    </dsp:sp>
    <dsp:sp modelId="{CC66E8E8-59F7-4908-B58F-DA6DD8310234}">
      <dsp:nvSpPr>
        <dsp:cNvPr id="0" name=""/>
        <dsp:cNvSpPr/>
      </dsp:nvSpPr>
      <dsp:spPr>
        <a:xfrm>
          <a:off x="1503884" y="0"/>
          <a:ext cx="1732216" cy="198119"/>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kern="1200"/>
            <a:t>Trust</a:t>
          </a:r>
        </a:p>
      </dsp:txBody>
      <dsp:txXfrm>
        <a:off x="1602944" y="0"/>
        <a:ext cx="1534097" cy="198119"/>
      </dsp:txXfrm>
    </dsp:sp>
    <dsp:sp modelId="{9E9ECBEE-EB09-4BC1-BBB2-DA1EA7EBB7E1}">
      <dsp:nvSpPr>
        <dsp:cNvPr id="0" name=""/>
        <dsp:cNvSpPr/>
      </dsp:nvSpPr>
      <dsp:spPr>
        <a:xfrm>
          <a:off x="3062879" y="0"/>
          <a:ext cx="1732216" cy="198119"/>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kern="1200"/>
            <a:t>Less control is necessary</a:t>
          </a:r>
        </a:p>
      </dsp:txBody>
      <dsp:txXfrm>
        <a:off x="3161939" y="0"/>
        <a:ext cx="1534097" cy="198119"/>
      </dsp:txXfrm>
    </dsp:sp>
    <dsp:sp modelId="{FE66467D-3B35-45F2-BBBC-81C156D9BB1A}">
      <dsp:nvSpPr>
        <dsp:cNvPr id="0" name=""/>
        <dsp:cNvSpPr/>
      </dsp:nvSpPr>
      <dsp:spPr>
        <a:xfrm>
          <a:off x="4621874" y="0"/>
          <a:ext cx="1732216" cy="198119"/>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kern="1200"/>
            <a:t>More horizontal relationship</a:t>
          </a:r>
        </a:p>
      </dsp:txBody>
      <dsp:txXfrm>
        <a:off x="4720934" y="0"/>
        <a:ext cx="1534097" cy="19811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8B74D8-BDEC-4579-95F1-DE9AD8076C1E}">
      <dsp:nvSpPr>
        <dsp:cNvPr id="0" name=""/>
        <dsp:cNvSpPr/>
      </dsp:nvSpPr>
      <dsp:spPr>
        <a:xfrm>
          <a:off x="3592" y="0"/>
          <a:ext cx="1680340" cy="18478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kern="1200"/>
            <a:t>Interest misalignment</a:t>
          </a:r>
        </a:p>
      </dsp:txBody>
      <dsp:txXfrm>
        <a:off x="95985" y="0"/>
        <a:ext cx="1495555" cy="184785"/>
      </dsp:txXfrm>
    </dsp:sp>
    <dsp:sp modelId="{CC66E8E8-59F7-4908-B58F-DA6DD8310234}">
      <dsp:nvSpPr>
        <dsp:cNvPr id="0" name=""/>
        <dsp:cNvSpPr/>
      </dsp:nvSpPr>
      <dsp:spPr>
        <a:xfrm>
          <a:off x="1510006" y="0"/>
          <a:ext cx="1739267" cy="18478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kern="1200"/>
            <a:t>Less trust</a:t>
          </a:r>
        </a:p>
      </dsp:txBody>
      <dsp:txXfrm>
        <a:off x="1602399" y="0"/>
        <a:ext cx="1554482" cy="184785"/>
      </dsp:txXfrm>
    </dsp:sp>
    <dsp:sp modelId="{9E9ECBEE-EB09-4BC1-BBB2-DA1EA7EBB7E1}">
      <dsp:nvSpPr>
        <dsp:cNvPr id="0" name=""/>
        <dsp:cNvSpPr/>
      </dsp:nvSpPr>
      <dsp:spPr>
        <a:xfrm>
          <a:off x="3075346" y="0"/>
          <a:ext cx="1739267" cy="18478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kern="1200"/>
            <a:t>More control is necessary</a:t>
          </a:r>
        </a:p>
      </dsp:txBody>
      <dsp:txXfrm>
        <a:off x="3167739" y="0"/>
        <a:ext cx="1554482" cy="184785"/>
      </dsp:txXfrm>
    </dsp:sp>
    <dsp:sp modelId="{FE66467D-3B35-45F2-BBBC-81C156D9BB1A}">
      <dsp:nvSpPr>
        <dsp:cNvPr id="0" name=""/>
        <dsp:cNvSpPr/>
      </dsp:nvSpPr>
      <dsp:spPr>
        <a:xfrm>
          <a:off x="4640687" y="0"/>
          <a:ext cx="1739267" cy="18478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US" sz="1100" kern="1200"/>
            <a:t>More vertical relationship</a:t>
          </a:r>
        </a:p>
      </dsp:txBody>
      <dsp:txXfrm>
        <a:off x="4733080" y="0"/>
        <a:ext cx="1554482" cy="18478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9069D-2D9D-42AD-BB4F-9FD30F988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9839</Words>
  <Characters>56086</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Leore Ben-Chorin</dc:creator>
  <cp:keywords/>
  <dc:description/>
  <cp:lastModifiedBy>Leore Benchorin</cp:lastModifiedBy>
  <cp:revision>3</cp:revision>
  <dcterms:created xsi:type="dcterms:W3CDTF">2023-03-10T11:27:00Z</dcterms:created>
  <dcterms:modified xsi:type="dcterms:W3CDTF">2023-03-10T11:29:00Z</dcterms:modified>
</cp:coreProperties>
</file>