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EE" w:rsidRDefault="00173CEE" w:rsidP="00A1500D">
      <w:pPr>
        <w:jc w:val="both"/>
        <w:rPr>
          <w:rFonts w:ascii="Times New Roman" w:hAnsi="Times New Roman" w:cs="Times New Roman"/>
          <w:b/>
        </w:rPr>
      </w:pPr>
    </w:p>
    <w:p w:rsidR="00173CEE" w:rsidRDefault="00173CEE" w:rsidP="00A1500D">
      <w:pPr>
        <w:jc w:val="both"/>
        <w:rPr>
          <w:rFonts w:ascii="Times New Roman" w:hAnsi="Times New Roman" w:cs="Times New Roman"/>
          <w:b/>
        </w:rPr>
      </w:pPr>
    </w:p>
    <w:p w:rsidR="00B130BC" w:rsidRPr="00173CEE" w:rsidRDefault="008635B5" w:rsidP="00464C1C">
      <w:pPr>
        <w:jc w:val="center"/>
        <w:rPr>
          <w:rFonts w:ascii="Times New Roman" w:hAnsi="Times New Roman" w:cs="Times New Roman"/>
          <w:sz w:val="32"/>
          <w:szCs w:val="32"/>
        </w:rPr>
      </w:pPr>
      <w:r w:rsidRPr="00173CEE">
        <w:rPr>
          <w:rFonts w:ascii="Times New Roman" w:hAnsi="Times New Roman" w:cs="Times New Roman"/>
          <w:b/>
          <w:sz w:val="32"/>
          <w:szCs w:val="32"/>
        </w:rPr>
        <w:t>“Comparative Intergovernmental Politics: CETA Negotiations between Canada and the EU”</w:t>
      </w:r>
    </w:p>
    <w:p w:rsidR="008635B5" w:rsidRDefault="008635B5" w:rsidP="00464C1C">
      <w:pPr>
        <w:jc w:val="center"/>
        <w:rPr>
          <w:rFonts w:ascii="Times New Roman" w:hAnsi="Times New Roman" w:cs="Times New Roman"/>
        </w:rPr>
      </w:pPr>
    </w:p>
    <w:p w:rsidR="00173CEE" w:rsidRDefault="00173CEE" w:rsidP="00464C1C">
      <w:pPr>
        <w:jc w:val="center"/>
        <w:rPr>
          <w:rFonts w:ascii="Times New Roman" w:hAnsi="Times New Roman" w:cs="Times New Roman"/>
        </w:rPr>
      </w:pPr>
    </w:p>
    <w:p w:rsidR="00173CEE" w:rsidRDefault="00173CEE" w:rsidP="00464C1C">
      <w:pPr>
        <w:jc w:val="center"/>
        <w:rPr>
          <w:rFonts w:ascii="Times New Roman" w:hAnsi="Times New Roman" w:cs="Times New Roman"/>
        </w:rPr>
      </w:pPr>
    </w:p>
    <w:p w:rsidR="00621838" w:rsidRDefault="00621838" w:rsidP="00464C1C">
      <w:pPr>
        <w:jc w:val="center"/>
        <w:rPr>
          <w:rFonts w:ascii="Times New Roman" w:hAnsi="Times New Roman" w:cs="Times New Roman"/>
        </w:rPr>
      </w:pPr>
      <w:r>
        <w:rPr>
          <w:rFonts w:ascii="Times New Roman" w:hAnsi="Times New Roman" w:cs="Times New Roman"/>
        </w:rPr>
        <w:t>Paper prepared for the Western Political Science Association (WPSA) Annual Meeting in Seattle, WA, 2014</w:t>
      </w:r>
    </w:p>
    <w:p w:rsidR="00621838" w:rsidRDefault="00621838" w:rsidP="00464C1C">
      <w:pPr>
        <w:jc w:val="center"/>
        <w:rPr>
          <w:rFonts w:ascii="Times New Roman" w:hAnsi="Times New Roman" w:cs="Times New Roman"/>
        </w:rPr>
      </w:pPr>
    </w:p>
    <w:p w:rsidR="00173CEE" w:rsidRDefault="00173CEE" w:rsidP="00464C1C">
      <w:pPr>
        <w:jc w:val="center"/>
        <w:rPr>
          <w:rFonts w:ascii="Times New Roman" w:hAnsi="Times New Roman" w:cs="Times New Roman"/>
        </w:rPr>
      </w:pPr>
    </w:p>
    <w:p w:rsidR="00173CEE" w:rsidRDefault="00173CEE" w:rsidP="00464C1C">
      <w:pPr>
        <w:jc w:val="center"/>
        <w:rPr>
          <w:rFonts w:ascii="Times New Roman" w:hAnsi="Times New Roman" w:cs="Times New Roman"/>
        </w:rPr>
      </w:pPr>
    </w:p>
    <w:p w:rsidR="00621838" w:rsidRDefault="00621838" w:rsidP="00464C1C">
      <w:pPr>
        <w:jc w:val="center"/>
        <w:rPr>
          <w:rFonts w:ascii="Times New Roman" w:hAnsi="Times New Roman" w:cs="Times New Roman"/>
        </w:rPr>
      </w:pPr>
      <w:r>
        <w:rPr>
          <w:rFonts w:ascii="Times New Roman" w:hAnsi="Times New Roman" w:cs="Times New Roman"/>
        </w:rPr>
        <w:t>Panel 01.18: Regional Integration and Intergovernmental Politics</w:t>
      </w:r>
    </w:p>
    <w:p w:rsidR="00621838" w:rsidRDefault="00621838" w:rsidP="00464C1C">
      <w:pPr>
        <w:jc w:val="center"/>
        <w:rPr>
          <w:rFonts w:ascii="Times New Roman" w:hAnsi="Times New Roman" w:cs="Times New Roman"/>
        </w:rPr>
      </w:pPr>
    </w:p>
    <w:p w:rsidR="00173CEE" w:rsidRDefault="00173CEE" w:rsidP="00464C1C">
      <w:pPr>
        <w:jc w:val="center"/>
        <w:rPr>
          <w:rFonts w:ascii="Times New Roman" w:hAnsi="Times New Roman" w:cs="Times New Roman"/>
        </w:rPr>
      </w:pPr>
    </w:p>
    <w:p w:rsidR="008D2894" w:rsidRDefault="008D2894" w:rsidP="00464C1C">
      <w:pPr>
        <w:jc w:val="center"/>
        <w:rPr>
          <w:rFonts w:ascii="Times New Roman" w:hAnsi="Times New Roman" w:cs="Times New Roman"/>
        </w:rPr>
      </w:pPr>
    </w:p>
    <w:p w:rsidR="00173CEE" w:rsidRDefault="00173CEE" w:rsidP="00464C1C">
      <w:pPr>
        <w:jc w:val="center"/>
        <w:rPr>
          <w:rFonts w:ascii="Times New Roman" w:hAnsi="Times New Roman" w:cs="Times New Roman"/>
        </w:rPr>
      </w:pPr>
    </w:p>
    <w:p w:rsidR="00621838" w:rsidRDefault="00621838" w:rsidP="00464C1C">
      <w:pPr>
        <w:jc w:val="center"/>
        <w:rPr>
          <w:rFonts w:ascii="Times New Roman" w:hAnsi="Times New Roman" w:cs="Times New Roman"/>
        </w:rPr>
      </w:pPr>
    </w:p>
    <w:p w:rsidR="00173CEE" w:rsidRDefault="0090590C" w:rsidP="00464C1C">
      <w:pPr>
        <w:jc w:val="center"/>
        <w:rPr>
          <w:rFonts w:ascii="Times New Roman" w:hAnsi="Times New Roman" w:cs="Times New Roman"/>
        </w:rPr>
      </w:pPr>
      <w:r>
        <w:rPr>
          <w:rFonts w:ascii="Times New Roman" w:hAnsi="Times New Roman" w:cs="Times New Roman"/>
          <w:u w:val="single"/>
        </w:rPr>
        <w:t>Abstract</w:t>
      </w:r>
    </w:p>
    <w:p w:rsidR="00173CEE" w:rsidRDefault="0090590C" w:rsidP="00A1500D">
      <w:pPr>
        <w:jc w:val="both"/>
        <w:rPr>
          <w:rFonts w:ascii="Times New Roman" w:hAnsi="Times New Roman" w:cs="Times New Roman"/>
        </w:rPr>
      </w:pPr>
      <w:r>
        <w:rPr>
          <w:rFonts w:ascii="Times New Roman" w:hAnsi="Times New Roman" w:cs="Times New Roman"/>
        </w:rPr>
        <w:tab/>
      </w:r>
      <w:r w:rsidR="00B36BD8">
        <w:rPr>
          <w:rFonts w:ascii="Times New Roman" w:hAnsi="Times New Roman" w:cs="Times New Roman"/>
        </w:rPr>
        <w:t xml:space="preserve">The Comprehensive Economic and Trade Agreement </w:t>
      </w:r>
      <w:r w:rsidR="008D2894">
        <w:rPr>
          <w:rFonts w:ascii="Times New Roman" w:hAnsi="Times New Roman" w:cs="Times New Roman"/>
        </w:rPr>
        <w:t>(CETA) between Canada and the European Union (EU)</w:t>
      </w:r>
      <w:r w:rsidR="00B36BD8">
        <w:rPr>
          <w:rFonts w:ascii="Times New Roman" w:hAnsi="Times New Roman" w:cs="Times New Roman"/>
        </w:rPr>
        <w:t xml:space="preserve"> </w:t>
      </w:r>
      <w:r w:rsidR="008D2894">
        <w:rPr>
          <w:rFonts w:ascii="Times New Roman" w:hAnsi="Times New Roman" w:cs="Times New Roman"/>
        </w:rPr>
        <w:t xml:space="preserve">required long-term negotiations between two major polities of the industrialized world. This paper examines the dynamics of </w:t>
      </w:r>
      <w:proofErr w:type="spellStart"/>
      <w:r w:rsidR="008D2894">
        <w:rPr>
          <w:rFonts w:ascii="Times New Roman" w:hAnsi="Times New Roman" w:cs="Times New Roman"/>
        </w:rPr>
        <w:t>intergovernmentalism</w:t>
      </w:r>
      <w:proofErr w:type="spellEnd"/>
      <w:r w:rsidR="008D2894">
        <w:rPr>
          <w:rFonts w:ascii="Times New Roman" w:hAnsi="Times New Roman" w:cs="Times New Roman"/>
        </w:rPr>
        <w:t xml:space="preserve"> in the policy area of external trade with</w:t>
      </w:r>
      <w:r w:rsidR="0008748C">
        <w:rPr>
          <w:rFonts w:ascii="Times New Roman" w:hAnsi="Times New Roman" w:cs="Times New Roman"/>
        </w:rPr>
        <w:t>in the settings of the Canadian provinces</w:t>
      </w:r>
      <w:r w:rsidR="008D2894">
        <w:rPr>
          <w:rFonts w:ascii="Times New Roman" w:hAnsi="Times New Roman" w:cs="Times New Roman"/>
        </w:rPr>
        <w:t xml:space="preserve"> and the EU</w:t>
      </w:r>
      <w:r w:rsidR="0008748C">
        <w:rPr>
          <w:rFonts w:ascii="Times New Roman" w:hAnsi="Times New Roman" w:cs="Times New Roman"/>
        </w:rPr>
        <w:t xml:space="preserve"> member states</w:t>
      </w:r>
      <w:r w:rsidR="008D2894">
        <w:rPr>
          <w:rFonts w:ascii="Times New Roman" w:hAnsi="Times New Roman" w:cs="Times New Roman"/>
        </w:rPr>
        <w:t>, and uses the findings to suggest that in this realm the EU is a stronger example of federal synthesis of decision-making than is Canada. This is significant because it contradicts many established theories of federalism within political science, and implies that the EU may become a strong source of normative example for federal-style polities in the globalized world.</w:t>
      </w:r>
    </w:p>
    <w:p w:rsidR="00173CEE" w:rsidRDefault="00173CEE" w:rsidP="00A1500D">
      <w:pPr>
        <w:jc w:val="both"/>
        <w:rPr>
          <w:rFonts w:ascii="Times New Roman" w:hAnsi="Times New Roman" w:cs="Times New Roman"/>
        </w:rPr>
      </w:pPr>
    </w:p>
    <w:p w:rsidR="00173CEE" w:rsidRDefault="00173CEE" w:rsidP="00A1500D">
      <w:pPr>
        <w:jc w:val="both"/>
        <w:rPr>
          <w:rFonts w:ascii="Times New Roman" w:hAnsi="Times New Roman" w:cs="Times New Roman"/>
        </w:rPr>
      </w:pPr>
    </w:p>
    <w:p w:rsidR="00173CEE" w:rsidRDefault="00173CEE" w:rsidP="00A1500D">
      <w:pPr>
        <w:jc w:val="both"/>
        <w:rPr>
          <w:rFonts w:ascii="Times New Roman" w:hAnsi="Times New Roman" w:cs="Times New Roman"/>
        </w:rPr>
      </w:pPr>
    </w:p>
    <w:p w:rsidR="00173CEE" w:rsidRDefault="00173CEE" w:rsidP="00A1500D">
      <w:pPr>
        <w:jc w:val="both"/>
        <w:rPr>
          <w:rFonts w:ascii="Times New Roman" w:hAnsi="Times New Roman" w:cs="Times New Roman"/>
        </w:rPr>
      </w:pPr>
    </w:p>
    <w:p w:rsidR="00173CEE" w:rsidRDefault="00173CEE" w:rsidP="00A1500D">
      <w:pPr>
        <w:jc w:val="both"/>
        <w:rPr>
          <w:rFonts w:ascii="Times New Roman" w:hAnsi="Times New Roman" w:cs="Times New Roman"/>
        </w:rPr>
      </w:pPr>
    </w:p>
    <w:p w:rsidR="00173CEE" w:rsidRDefault="00173CEE" w:rsidP="00A1500D">
      <w:pPr>
        <w:jc w:val="both"/>
        <w:rPr>
          <w:rFonts w:ascii="Times New Roman" w:hAnsi="Times New Roman" w:cs="Times New Roman"/>
        </w:rPr>
      </w:pPr>
    </w:p>
    <w:p w:rsidR="00173CEE" w:rsidRDefault="00173CEE" w:rsidP="00A1500D">
      <w:pPr>
        <w:jc w:val="both"/>
        <w:rPr>
          <w:rFonts w:ascii="Times New Roman" w:hAnsi="Times New Roman" w:cs="Times New Roman"/>
        </w:rPr>
      </w:pPr>
    </w:p>
    <w:p w:rsidR="00173CEE" w:rsidRDefault="00173CEE" w:rsidP="00A1500D">
      <w:pPr>
        <w:jc w:val="both"/>
        <w:rPr>
          <w:rFonts w:ascii="Times New Roman" w:hAnsi="Times New Roman" w:cs="Times New Roman"/>
        </w:rPr>
      </w:pPr>
    </w:p>
    <w:p w:rsidR="00173CEE" w:rsidRDefault="00173CEE" w:rsidP="00A1500D">
      <w:pPr>
        <w:jc w:val="both"/>
        <w:rPr>
          <w:rFonts w:ascii="Times New Roman" w:hAnsi="Times New Roman" w:cs="Times New Roman"/>
        </w:rPr>
      </w:pPr>
    </w:p>
    <w:p w:rsidR="00621838" w:rsidRPr="00173CEE" w:rsidRDefault="00621838" w:rsidP="00464C1C">
      <w:pPr>
        <w:jc w:val="center"/>
        <w:rPr>
          <w:rFonts w:ascii="Times New Roman" w:hAnsi="Times New Roman" w:cs="Times New Roman"/>
          <w:b/>
          <w:u w:val="single"/>
        </w:rPr>
      </w:pPr>
      <w:r w:rsidRPr="00173CEE">
        <w:rPr>
          <w:rFonts w:ascii="Times New Roman" w:hAnsi="Times New Roman" w:cs="Times New Roman"/>
          <w:b/>
          <w:u w:val="single"/>
        </w:rPr>
        <w:t xml:space="preserve">Dr. Valerie J. </w:t>
      </w:r>
      <w:proofErr w:type="spellStart"/>
      <w:r w:rsidRPr="00173CEE">
        <w:rPr>
          <w:rFonts w:ascii="Times New Roman" w:hAnsi="Times New Roman" w:cs="Times New Roman"/>
          <w:b/>
          <w:u w:val="single"/>
        </w:rPr>
        <w:t>D’Erman</w:t>
      </w:r>
      <w:proofErr w:type="spellEnd"/>
    </w:p>
    <w:p w:rsidR="00621838" w:rsidRDefault="00621838" w:rsidP="00464C1C">
      <w:pPr>
        <w:jc w:val="center"/>
        <w:rPr>
          <w:rFonts w:ascii="Times New Roman" w:hAnsi="Times New Roman" w:cs="Times New Roman"/>
        </w:rPr>
      </w:pPr>
      <w:r>
        <w:rPr>
          <w:rFonts w:ascii="Times New Roman" w:hAnsi="Times New Roman" w:cs="Times New Roman"/>
        </w:rPr>
        <w:t>Sessional Instructor, Department of Political Science and European Studies Program</w:t>
      </w:r>
    </w:p>
    <w:p w:rsidR="00621838" w:rsidRDefault="00621838" w:rsidP="00464C1C">
      <w:pPr>
        <w:jc w:val="center"/>
        <w:rPr>
          <w:rFonts w:ascii="Times New Roman" w:hAnsi="Times New Roman" w:cs="Times New Roman"/>
        </w:rPr>
      </w:pPr>
      <w:r>
        <w:rPr>
          <w:rFonts w:ascii="Times New Roman" w:hAnsi="Times New Roman" w:cs="Times New Roman"/>
        </w:rPr>
        <w:t>University of Victoria</w:t>
      </w:r>
    </w:p>
    <w:p w:rsidR="00621838" w:rsidRDefault="00621838" w:rsidP="00464C1C">
      <w:pPr>
        <w:jc w:val="center"/>
        <w:rPr>
          <w:rFonts w:ascii="Times New Roman" w:hAnsi="Times New Roman" w:cs="Times New Roman"/>
        </w:rPr>
      </w:pPr>
      <w:r>
        <w:rPr>
          <w:rFonts w:ascii="Times New Roman" w:hAnsi="Times New Roman" w:cs="Times New Roman"/>
        </w:rPr>
        <w:t>Victoria, BC, Canada</w:t>
      </w:r>
    </w:p>
    <w:p w:rsidR="00621838" w:rsidRDefault="00621838" w:rsidP="00464C1C">
      <w:pPr>
        <w:jc w:val="center"/>
        <w:rPr>
          <w:rFonts w:ascii="Times New Roman" w:hAnsi="Times New Roman" w:cs="Times New Roman"/>
        </w:rPr>
      </w:pPr>
      <w:r>
        <w:rPr>
          <w:rFonts w:ascii="Times New Roman" w:hAnsi="Times New Roman" w:cs="Times New Roman"/>
        </w:rPr>
        <w:t xml:space="preserve">Email: </w:t>
      </w:r>
      <w:hyperlink r:id="rId9" w:history="1">
        <w:r w:rsidRPr="0071680C">
          <w:rPr>
            <w:rStyle w:val="Hyperlink"/>
            <w:rFonts w:ascii="Times New Roman" w:hAnsi="Times New Roman" w:cs="Times New Roman"/>
          </w:rPr>
          <w:t>vjderman@uvic.ca</w:t>
        </w:r>
      </w:hyperlink>
    </w:p>
    <w:p w:rsidR="00621838" w:rsidRDefault="00621838" w:rsidP="00464C1C">
      <w:pPr>
        <w:jc w:val="center"/>
        <w:rPr>
          <w:rFonts w:ascii="Times New Roman" w:hAnsi="Times New Roman" w:cs="Times New Roman"/>
        </w:rPr>
      </w:pPr>
    </w:p>
    <w:p w:rsidR="008D2894" w:rsidRDefault="008D2894" w:rsidP="00464C1C">
      <w:pPr>
        <w:jc w:val="center"/>
        <w:rPr>
          <w:rFonts w:ascii="Times New Roman" w:hAnsi="Times New Roman" w:cs="Times New Roman"/>
        </w:rPr>
      </w:pPr>
    </w:p>
    <w:p w:rsidR="0076482C" w:rsidRDefault="0076482C" w:rsidP="00464C1C">
      <w:pPr>
        <w:jc w:val="center"/>
        <w:rPr>
          <w:rFonts w:ascii="Times New Roman" w:hAnsi="Times New Roman" w:cs="Times New Roman"/>
          <w:u w:val="single"/>
        </w:rPr>
      </w:pPr>
      <w:r>
        <w:rPr>
          <w:rFonts w:ascii="Times New Roman" w:hAnsi="Times New Roman" w:cs="Times New Roman"/>
          <w:i/>
        </w:rPr>
        <w:t>Draft copy – please do not cite without permission</w:t>
      </w:r>
      <w:r>
        <w:rPr>
          <w:rFonts w:ascii="Times New Roman" w:hAnsi="Times New Roman" w:cs="Times New Roman"/>
          <w:u w:val="single"/>
        </w:rPr>
        <w:br w:type="page"/>
      </w:r>
    </w:p>
    <w:p w:rsidR="008635B5" w:rsidRDefault="008635B5" w:rsidP="00A1500D">
      <w:pPr>
        <w:spacing w:line="480" w:lineRule="auto"/>
        <w:jc w:val="both"/>
        <w:rPr>
          <w:rFonts w:ascii="Times New Roman" w:hAnsi="Times New Roman" w:cs="Times New Roman"/>
        </w:rPr>
      </w:pPr>
      <w:r>
        <w:rPr>
          <w:rFonts w:ascii="Times New Roman" w:hAnsi="Times New Roman" w:cs="Times New Roman"/>
          <w:u w:val="single"/>
        </w:rPr>
        <w:lastRenderedPageBreak/>
        <w:t>Introduction</w:t>
      </w:r>
    </w:p>
    <w:p w:rsidR="008635B5" w:rsidRDefault="008635B5" w:rsidP="00A1500D">
      <w:pPr>
        <w:spacing w:line="480" w:lineRule="auto"/>
        <w:jc w:val="both"/>
        <w:rPr>
          <w:rFonts w:ascii="Times New Roman" w:hAnsi="Times New Roman" w:cs="Times New Roman"/>
        </w:rPr>
      </w:pPr>
      <w:r>
        <w:rPr>
          <w:rFonts w:ascii="Times New Roman" w:hAnsi="Times New Roman" w:cs="Times New Roman"/>
        </w:rPr>
        <w:tab/>
        <w:t>The Comprehensive Economic and Trade Agreement (CETA) brokered between Canada and the Eur</w:t>
      </w:r>
      <w:r w:rsidR="00443310">
        <w:rPr>
          <w:rFonts w:ascii="Times New Roman" w:hAnsi="Times New Roman" w:cs="Times New Roman"/>
        </w:rPr>
        <w:t>opean Union (EU) represents the</w:t>
      </w:r>
      <w:r>
        <w:rPr>
          <w:rFonts w:ascii="Times New Roman" w:hAnsi="Times New Roman" w:cs="Times New Roman"/>
        </w:rPr>
        <w:t xml:space="preserve"> largest free trade agreement in the </w:t>
      </w:r>
      <w:r w:rsidR="00443310">
        <w:rPr>
          <w:rFonts w:ascii="Times New Roman" w:hAnsi="Times New Roman" w:cs="Times New Roman"/>
        </w:rPr>
        <w:t xml:space="preserve">wealthy </w:t>
      </w:r>
      <w:r>
        <w:rPr>
          <w:rFonts w:ascii="Times New Roman" w:hAnsi="Times New Roman" w:cs="Times New Roman"/>
        </w:rPr>
        <w:t xml:space="preserve">industrialized world to date. </w:t>
      </w:r>
      <w:r w:rsidR="00443310">
        <w:rPr>
          <w:rFonts w:ascii="Times New Roman" w:hAnsi="Times New Roman" w:cs="Times New Roman"/>
        </w:rPr>
        <w:t xml:space="preserve">‘Largest’, in this sense, refers to the sizes of the combined Canadian market and EU Single Market, as well as the scope of the areas under agreement. </w:t>
      </w:r>
      <w:r w:rsidR="00EC361D">
        <w:rPr>
          <w:rFonts w:ascii="Times New Roman" w:hAnsi="Times New Roman" w:cs="Times New Roman"/>
        </w:rPr>
        <w:t>The estimated value of combined international trade is approxima</w:t>
      </w:r>
      <w:r w:rsidR="00F2767D">
        <w:rPr>
          <w:rFonts w:ascii="Times New Roman" w:hAnsi="Times New Roman" w:cs="Times New Roman"/>
        </w:rPr>
        <w:t>tely 61.6 billion</w:t>
      </w:r>
      <w:r w:rsidR="00F2767D">
        <w:rPr>
          <w:rStyle w:val="FootnoteReference"/>
          <w:rFonts w:ascii="Times New Roman" w:hAnsi="Times New Roman" w:cs="Times New Roman"/>
        </w:rPr>
        <w:footnoteReference w:id="1"/>
      </w:r>
      <w:r w:rsidR="00EC361D">
        <w:rPr>
          <w:rFonts w:ascii="Times New Roman" w:hAnsi="Times New Roman" w:cs="Times New Roman"/>
        </w:rPr>
        <w:t xml:space="preserve">; as well, </w:t>
      </w:r>
      <w:r w:rsidR="00896150">
        <w:rPr>
          <w:rFonts w:ascii="Times New Roman" w:hAnsi="Times New Roman" w:cs="Times New Roman"/>
        </w:rPr>
        <w:t>the agreement targets</w:t>
      </w:r>
      <w:r w:rsidR="00A72BCC">
        <w:rPr>
          <w:rFonts w:ascii="Times New Roman" w:hAnsi="Times New Roman" w:cs="Times New Roman"/>
        </w:rPr>
        <w:t xml:space="preserve"> the removal of</w:t>
      </w:r>
      <w:r w:rsidR="00EC361D">
        <w:rPr>
          <w:rFonts w:ascii="Times New Roman" w:hAnsi="Times New Roman" w:cs="Times New Roman"/>
        </w:rPr>
        <w:t xml:space="preserve"> non-tariff barriers </w:t>
      </w:r>
      <w:r w:rsidR="00896150">
        <w:rPr>
          <w:rFonts w:ascii="Times New Roman" w:hAnsi="Times New Roman" w:cs="Times New Roman"/>
        </w:rPr>
        <w:t xml:space="preserve">(i.e., </w:t>
      </w:r>
      <w:r w:rsidR="00A72BCC">
        <w:rPr>
          <w:rFonts w:ascii="Times New Roman" w:hAnsi="Times New Roman" w:cs="Times New Roman"/>
        </w:rPr>
        <w:t xml:space="preserve">special licensing, regulatory regimes, anti-dumping measures) </w:t>
      </w:r>
      <w:r w:rsidR="00EC361D">
        <w:rPr>
          <w:rFonts w:ascii="Times New Roman" w:hAnsi="Times New Roman" w:cs="Times New Roman"/>
        </w:rPr>
        <w:t>rather than conventional trade barriers (i.e.</w:t>
      </w:r>
      <w:r w:rsidR="00A72BCC">
        <w:rPr>
          <w:rFonts w:ascii="Times New Roman" w:hAnsi="Times New Roman" w:cs="Times New Roman"/>
        </w:rPr>
        <w:t>, customs tariffs, quotas), many of which were already significantly low between Canada and the EU.</w:t>
      </w:r>
      <w:r w:rsidR="00EC361D">
        <w:rPr>
          <w:rFonts w:ascii="Times New Roman" w:hAnsi="Times New Roman" w:cs="Times New Roman"/>
        </w:rPr>
        <w:t xml:space="preserve"> </w:t>
      </w:r>
      <w:r w:rsidR="00443310">
        <w:rPr>
          <w:rFonts w:ascii="Times New Roman" w:hAnsi="Times New Roman" w:cs="Times New Roman"/>
        </w:rPr>
        <w:t>Discussions on closer economic partnership began in 2007 at the 2007 EU-Canada Summit in Berlin, where leaders agreed to complete a joint study. After publication of the joint study in 2008, leaders agreed to pursue negotiations toward a comprehensive economic agreement</w:t>
      </w:r>
      <w:r>
        <w:rPr>
          <w:rFonts w:ascii="Times New Roman" w:hAnsi="Times New Roman" w:cs="Times New Roman"/>
        </w:rPr>
        <w:t xml:space="preserve">. </w:t>
      </w:r>
      <w:r w:rsidR="00443310">
        <w:rPr>
          <w:rFonts w:ascii="Times New Roman" w:hAnsi="Times New Roman" w:cs="Times New Roman"/>
        </w:rPr>
        <w:t xml:space="preserve">As of October 2013, Canadian Prime Minister Stephen Harper and European Commission President </w:t>
      </w:r>
      <w:r w:rsidR="00443310" w:rsidRPr="00443310">
        <w:rPr>
          <w:rFonts w:ascii="Times New Roman" w:hAnsi="Times New Roman" w:cs="Times New Roman"/>
        </w:rPr>
        <w:t xml:space="preserve">José Manuel </w:t>
      </w:r>
      <w:proofErr w:type="spellStart"/>
      <w:r w:rsidR="00443310" w:rsidRPr="00443310">
        <w:rPr>
          <w:rFonts w:ascii="Times New Roman" w:hAnsi="Times New Roman" w:cs="Times New Roman"/>
        </w:rPr>
        <w:t>Barroso</w:t>
      </w:r>
      <w:proofErr w:type="spellEnd"/>
      <w:r w:rsidR="00443310">
        <w:rPr>
          <w:rFonts w:ascii="Times New Roman" w:hAnsi="Times New Roman" w:cs="Times New Roman"/>
        </w:rPr>
        <w:t xml:space="preserve"> agreed in principle to the resulting package of CETA negotiations.</w:t>
      </w:r>
      <w:r w:rsidR="00443310">
        <w:rPr>
          <w:rStyle w:val="FootnoteReference"/>
          <w:rFonts w:ascii="Times New Roman" w:hAnsi="Times New Roman" w:cs="Times New Roman"/>
        </w:rPr>
        <w:footnoteReference w:id="2"/>
      </w:r>
      <w:r w:rsidR="00443310">
        <w:rPr>
          <w:rFonts w:ascii="Times New Roman" w:hAnsi="Times New Roman" w:cs="Times New Roman"/>
        </w:rPr>
        <w:t xml:space="preserve"> </w:t>
      </w:r>
      <w:r>
        <w:rPr>
          <w:rFonts w:ascii="Times New Roman" w:hAnsi="Times New Roman" w:cs="Times New Roman"/>
        </w:rPr>
        <w:t>Prior to CETA, both Canada and the EU have each successfully negotiated other free trade agreements with other significant economic areas (most notably, Canada within NAFTA, a</w:t>
      </w:r>
      <w:r w:rsidR="00325F37">
        <w:rPr>
          <w:rFonts w:ascii="Times New Roman" w:hAnsi="Times New Roman" w:cs="Times New Roman"/>
        </w:rPr>
        <w:t>nd the EU’s agreement</w:t>
      </w:r>
      <w:r w:rsidR="00EA56C2">
        <w:rPr>
          <w:rFonts w:ascii="Times New Roman" w:hAnsi="Times New Roman" w:cs="Times New Roman"/>
        </w:rPr>
        <w:t xml:space="preserve"> with South Korea</w:t>
      </w:r>
      <w:r w:rsidR="00325F37">
        <w:rPr>
          <w:rFonts w:ascii="Times New Roman" w:hAnsi="Times New Roman" w:cs="Times New Roman"/>
        </w:rPr>
        <w:t>)</w:t>
      </w:r>
      <w:r>
        <w:rPr>
          <w:rFonts w:ascii="Times New Roman" w:hAnsi="Times New Roman" w:cs="Times New Roman"/>
        </w:rPr>
        <w:t xml:space="preserve">; however, the scope of CETA’s provisions and the political and economic impacts </w:t>
      </w:r>
      <w:r w:rsidR="00123D34">
        <w:rPr>
          <w:rFonts w:ascii="Times New Roman" w:hAnsi="Times New Roman" w:cs="Times New Roman"/>
        </w:rPr>
        <w:t>of trans-Atlantic free trade are</w:t>
      </w:r>
      <w:r>
        <w:rPr>
          <w:rFonts w:ascii="Times New Roman" w:hAnsi="Times New Roman" w:cs="Times New Roman"/>
        </w:rPr>
        <w:t xml:space="preserve"> thus far unparalleled.</w:t>
      </w:r>
      <w:r w:rsidR="00DC3F3C">
        <w:rPr>
          <w:rStyle w:val="FootnoteReference"/>
          <w:rFonts w:ascii="Times New Roman" w:hAnsi="Times New Roman" w:cs="Times New Roman"/>
        </w:rPr>
        <w:footnoteReference w:id="3"/>
      </w:r>
    </w:p>
    <w:p w:rsidR="00017B6A" w:rsidRPr="008E7292" w:rsidRDefault="00EA56C2" w:rsidP="00A1500D">
      <w:pPr>
        <w:spacing w:line="480" w:lineRule="auto"/>
        <w:jc w:val="both"/>
        <w:rPr>
          <w:rFonts w:ascii="Times New Roman" w:hAnsi="Times New Roman" w:cs="Times New Roman"/>
        </w:rPr>
      </w:pPr>
      <w:r>
        <w:rPr>
          <w:rFonts w:ascii="Times New Roman" w:hAnsi="Times New Roman" w:cs="Times New Roman"/>
        </w:rPr>
        <w:tab/>
        <w:t>Due to the size, scope, and political precedence of CETA</w:t>
      </w:r>
      <w:r w:rsidR="008635B5">
        <w:rPr>
          <w:rFonts w:ascii="Times New Roman" w:hAnsi="Times New Roman" w:cs="Times New Roman"/>
        </w:rPr>
        <w:t xml:space="preserve">, an examination of </w:t>
      </w:r>
      <w:r w:rsidR="008635B5">
        <w:rPr>
          <w:rFonts w:ascii="Times New Roman" w:hAnsi="Times New Roman" w:cs="Times New Roman"/>
          <w:i/>
        </w:rPr>
        <w:t>how</w:t>
      </w:r>
      <w:r w:rsidR="00325F37">
        <w:rPr>
          <w:rFonts w:ascii="Times New Roman" w:hAnsi="Times New Roman" w:cs="Times New Roman"/>
        </w:rPr>
        <w:t xml:space="preserve"> the t</w:t>
      </w:r>
      <w:r w:rsidR="00DA0B7F">
        <w:rPr>
          <w:rFonts w:ascii="Times New Roman" w:hAnsi="Times New Roman" w:cs="Times New Roman"/>
        </w:rPr>
        <w:t>wo sides reached the agreement to date</w:t>
      </w:r>
      <w:r w:rsidR="008635B5">
        <w:rPr>
          <w:rFonts w:ascii="Times New Roman" w:hAnsi="Times New Roman" w:cs="Times New Roman"/>
        </w:rPr>
        <w:t xml:space="preserve"> is worthwhile for understanding the negotiation dynamics between two wealthy – and decentrali</w:t>
      </w:r>
      <w:r>
        <w:rPr>
          <w:rFonts w:ascii="Times New Roman" w:hAnsi="Times New Roman" w:cs="Times New Roman"/>
        </w:rPr>
        <w:t>zed – entities. C</w:t>
      </w:r>
      <w:r w:rsidR="008635B5">
        <w:rPr>
          <w:rFonts w:ascii="Times New Roman" w:hAnsi="Times New Roman" w:cs="Times New Roman"/>
        </w:rPr>
        <w:t xml:space="preserve">omparing the interaction between the </w:t>
      </w:r>
      <w:r w:rsidR="008635B5">
        <w:rPr>
          <w:rFonts w:ascii="Times New Roman" w:hAnsi="Times New Roman" w:cs="Times New Roman"/>
        </w:rPr>
        <w:lastRenderedPageBreak/>
        <w:t>provinces and the federal government in Canada with the interaction between the EU Comm</w:t>
      </w:r>
      <w:r>
        <w:rPr>
          <w:rFonts w:ascii="Times New Roman" w:hAnsi="Times New Roman" w:cs="Times New Roman"/>
        </w:rPr>
        <w:t>ission and the member</w:t>
      </w:r>
      <w:r w:rsidR="008635B5">
        <w:rPr>
          <w:rFonts w:ascii="Times New Roman" w:hAnsi="Times New Roman" w:cs="Times New Roman"/>
        </w:rPr>
        <w:t xml:space="preserve"> states of the EU</w:t>
      </w:r>
      <w:r w:rsidR="00E37FB7">
        <w:rPr>
          <w:rFonts w:ascii="Times New Roman" w:hAnsi="Times New Roman" w:cs="Times New Roman"/>
        </w:rPr>
        <w:t xml:space="preserve"> holds the potential to offer substantive implications for the logic of multi-lev</w:t>
      </w:r>
      <w:r w:rsidR="00123D34">
        <w:rPr>
          <w:rFonts w:ascii="Times New Roman" w:hAnsi="Times New Roman" w:cs="Times New Roman"/>
        </w:rPr>
        <w:t>el governance,</w:t>
      </w:r>
      <w:r w:rsidR="00E37FB7">
        <w:rPr>
          <w:rFonts w:ascii="Times New Roman" w:hAnsi="Times New Roman" w:cs="Times New Roman"/>
        </w:rPr>
        <w:t xml:space="preserve"> as well as the study of federalism a</w:t>
      </w:r>
      <w:r>
        <w:rPr>
          <w:rFonts w:ascii="Times New Roman" w:hAnsi="Times New Roman" w:cs="Times New Roman"/>
        </w:rPr>
        <w:t>nd federal types of governance. In particular, many federalist scholars assert that Canada provides a solid prototype of a federal nation with divided powers between central and regional governments, while the EU remains a supranational experiment that mimics some federal-like processes of governance but ultimately remains a collection of distinct nation-states sharing a confined realm of shared economic (and, to some extent, poli</w:t>
      </w:r>
      <w:r w:rsidR="00F2767D">
        <w:rPr>
          <w:rFonts w:ascii="Times New Roman" w:hAnsi="Times New Roman" w:cs="Times New Roman"/>
        </w:rPr>
        <w:t>tical) decision-making</w:t>
      </w:r>
      <w:r>
        <w:rPr>
          <w:rFonts w:ascii="Times New Roman" w:hAnsi="Times New Roman" w:cs="Times New Roman"/>
        </w:rPr>
        <w:t>.</w:t>
      </w:r>
      <w:r w:rsidR="00F2767D">
        <w:rPr>
          <w:rStyle w:val="FootnoteReference"/>
          <w:rFonts w:ascii="Times New Roman" w:hAnsi="Times New Roman" w:cs="Times New Roman"/>
        </w:rPr>
        <w:footnoteReference w:id="4"/>
      </w:r>
      <w:r>
        <w:rPr>
          <w:rFonts w:ascii="Times New Roman" w:hAnsi="Times New Roman" w:cs="Times New Roman"/>
        </w:rPr>
        <w:t xml:space="preserve"> Other scholars argue that while the conventional national form of federation is absent from the EU, the overarching application of shared authority between the EU institutions and member states in different policy areas is indeed applicable toward categorizing the EU within a comparative framework of </w:t>
      </w:r>
      <w:r w:rsidR="00F2767D">
        <w:rPr>
          <w:rFonts w:ascii="Times New Roman" w:hAnsi="Times New Roman" w:cs="Times New Roman"/>
        </w:rPr>
        <w:t>federal-style polities</w:t>
      </w:r>
      <w:r>
        <w:rPr>
          <w:rFonts w:ascii="Times New Roman" w:hAnsi="Times New Roman" w:cs="Times New Roman"/>
        </w:rPr>
        <w:t>.</w:t>
      </w:r>
      <w:r w:rsidR="00F2767D">
        <w:rPr>
          <w:rStyle w:val="FootnoteReference"/>
          <w:rFonts w:ascii="Times New Roman" w:hAnsi="Times New Roman" w:cs="Times New Roman"/>
        </w:rPr>
        <w:footnoteReference w:id="5"/>
      </w:r>
      <w:r>
        <w:rPr>
          <w:rFonts w:ascii="Times New Roman" w:hAnsi="Times New Roman" w:cs="Times New Roman"/>
        </w:rPr>
        <w:t xml:space="preserve"> This is justified not only by detailed study of EU governance, but also the </w:t>
      </w:r>
      <w:r w:rsidR="008E7292">
        <w:rPr>
          <w:rFonts w:ascii="Times New Roman" w:hAnsi="Times New Roman" w:cs="Times New Roman"/>
        </w:rPr>
        <w:t xml:space="preserve">consideration that </w:t>
      </w:r>
      <w:r w:rsidR="008E7292">
        <w:rPr>
          <w:rFonts w:ascii="Times New Roman" w:hAnsi="Times New Roman" w:cs="Times New Roman"/>
          <w:i/>
        </w:rPr>
        <w:t>all</w:t>
      </w:r>
      <w:r w:rsidR="008E7292">
        <w:rPr>
          <w:rFonts w:ascii="Times New Roman" w:hAnsi="Times New Roman" w:cs="Times New Roman"/>
        </w:rPr>
        <w:t xml:space="preserve"> federations have significant differences from other and yet all still offer import i</w:t>
      </w:r>
      <w:r w:rsidR="00A37494">
        <w:rPr>
          <w:rFonts w:ascii="Times New Roman" w:hAnsi="Times New Roman" w:cs="Times New Roman"/>
        </w:rPr>
        <w:t>nto the central idea of harmony in shared rule between different regions</w:t>
      </w:r>
      <w:r w:rsidR="008E7292">
        <w:rPr>
          <w:rFonts w:ascii="Times New Roman" w:hAnsi="Times New Roman" w:cs="Times New Roman"/>
        </w:rPr>
        <w:t>.</w:t>
      </w:r>
    </w:p>
    <w:p w:rsidR="008635B5" w:rsidRPr="00C734F0" w:rsidRDefault="00E37FB7" w:rsidP="00A1500D">
      <w:pPr>
        <w:spacing w:line="480" w:lineRule="auto"/>
        <w:ind w:firstLine="720"/>
        <w:jc w:val="both"/>
        <w:rPr>
          <w:rFonts w:ascii="Times New Roman" w:hAnsi="Times New Roman" w:cs="Times New Roman"/>
        </w:rPr>
      </w:pPr>
      <w:r>
        <w:rPr>
          <w:rFonts w:ascii="Times New Roman" w:hAnsi="Times New Roman" w:cs="Times New Roman"/>
        </w:rPr>
        <w:t xml:space="preserve">The process of CETA in Canada received a great deal of coverage by </w:t>
      </w:r>
      <w:r w:rsidR="001316B8">
        <w:rPr>
          <w:rFonts w:ascii="Times New Roman" w:hAnsi="Times New Roman" w:cs="Times New Roman"/>
        </w:rPr>
        <w:t xml:space="preserve">municipal governments, </w:t>
      </w:r>
      <w:r>
        <w:rPr>
          <w:rFonts w:ascii="Times New Roman" w:hAnsi="Times New Roman" w:cs="Times New Roman"/>
        </w:rPr>
        <w:t>news sources and business groups – perhaps logically, as the EU is Canada’s 2</w:t>
      </w:r>
      <w:r w:rsidRPr="00E37FB7">
        <w:rPr>
          <w:rFonts w:ascii="Times New Roman" w:hAnsi="Times New Roman" w:cs="Times New Roman"/>
          <w:vertAlign w:val="superscript"/>
        </w:rPr>
        <w:t>nd</w:t>
      </w:r>
      <w:r>
        <w:rPr>
          <w:rFonts w:ascii="Times New Roman" w:hAnsi="Times New Roman" w:cs="Times New Roman"/>
        </w:rPr>
        <w:t xml:space="preserve"> large trading partn</w:t>
      </w:r>
      <w:r w:rsidR="00731A22">
        <w:rPr>
          <w:rFonts w:ascii="Times New Roman" w:hAnsi="Times New Roman" w:cs="Times New Roman"/>
        </w:rPr>
        <w:t>er and represents Canada’s</w:t>
      </w:r>
      <w:r w:rsidR="00AA1A78">
        <w:rPr>
          <w:rFonts w:ascii="Times New Roman" w:hAnsi="Times New Roman" w:cs="Times New Roman"/>
        </w:rPr>
        <w:t xml:space="preserve"> second most important source of foreign direct investment.</w:t>
      </w:r>
      <w:r w:rsidR="00731A22">
        <w:rPr>
          <w:rFonts w:ascii="Times New Roman" w:hAnsi="Times New Roman" w:cs="Times New Roman"/>
        </w:rPr>
        <w:t xml:space="preserve"> The EU represents 9.5% of Canada’s total external trade.</w:t>
      </w:r>
      <w:r w:rsidR="00AA1A78">
        <w:rPr>
          <w:rStyle w:val="FootnoteReference"/>
          <w:rFonts w:ascii="Times New Roman" w:hAnsi="Times New Roman" w:cs="Times New Roman"/>
        </w:rPr>
        <w:footnoteReference w:id="6"/>
      </w:r>
      <w:r w:rsidR="004055B3">
        <w:rPr>
          <w:rFonts w:ascii="Times New Roman" w:hAnsi="Times New Roman" w:cs="Times New Roman"/>
        </w:rPr>
        <w:t xml:space="preserve"> </w:t>
      </w:r>
      <w:r>
        <w:rPr>
          <w:rFonts w:ascii="Times New Roman" w:hAnsi="Times New Roman" w:cs="Times New Roman"/>
        </w:rPr>
        <w:t>At various points during CETA negotiations, provincial authorities and municipal governments levelled criticism at the federal government in Ottawa for conducting the negotiations with a lack of transparency and consultation. Provincia</w:t>
      </w:r>
      <w:r w:rsidR="004055B3">
        <w:rPr>
          <w:rFonts w:ascii="Times New Roman" w:hAnsi="Times New Roman" w:cs="Times New Roman"/>
        </w:rPr>
        <w:t>l actors demanded more inclusion during negotiation</w:t>
      </w:r>
      <w:r>
        <w:rPr>
          <w:rFonts w:ascii="Times New Roman" w:hAnsi="Times New Roman" w:cs="Times New Roman"/>
        </w:rPr>
        <w:t xml:space="preserve"> as individual entities </w:t>
      </w:r>
      <w:r>
        <w:rPr>
          <w:rFonts w:ascii="Times New Roman" w:hAnsi="Times New Roman" w:cs="Times New Roman"/>
        </w:rPr>
        <w:lastRenderedPageBreak/>
        <w:t>who sought to calculate their respective gains and losses in a potential free trade agreement with such a large and competitive market. By contrast, within the EU, there was relatively minimal coverage of CETA in Brussels and within most member states (with some important exceptions, outlined below). Economics alone can explain this in part: Canada is the EU’s 12</w:t>
      </w:r>
      <w:r w:rsidRPr="00E37FB7">
        <w:rPr>
          <w:rFonts w:ascii="Times New Roman" w:hAnsi="Times New Roman" w:cs="Times New Roman"/>
          <w:vertAlign w:val="superscript"/>
        </w:rPr>
        <w:t>th</w:t>
      </w:r>
      <w:r>
        <w:rPr>
          <w:rFonts w:ascii="Times New Roman" w:hAnsi="Times New Roman" w:cs="Times New Roman"/>
        </w:rPr>
        <w:t xml:space="preserve"> </w:t>
      </w:r>
      <w:r w:rsidR="00155DF2">
        <w:rPr>
          <w:rFonts w:ascii="Times New Roman" w:hAnsi="Times New Roman" w:cs="Times New Roman"/>
        </w:rPr>
        <w:t>trading partner, representing 1.8</w:t>
      </w:r>
      <w:r>
        <w:rPr>
          <w:rFonts w:ascii="Times New Roman" w:hAnsi="Times New Roman" w:cs="Times New Roman"/>
        </w:rPr>
        <w:t xml:space="preserve">% of </w:t>
      </w:r>
      <w:r w:rsidR="00155DF2">
        <w:rPr>
          <w:rFonts w:ascii="Times New Roman" w:hAnsi="Times New Roman" w:cs="Times New Roman"/>
        </w:rPr>
        <w:t>the EU’s total external trade.</w:t>
      </w:r>
      <w:r w:rsidR="00155DF2">
        <w:rPr>
          <w:rStyle w:val="FootnoteReference"/>
          <w:rFonts w:ascii="Times New Roman" w:hAnsi="Times New Roman" w:cs="Times New Roman"/>
        </w:rPr>
        <w:footnoteReference w:id="7"/>
      </w:r>
      <w:r>
        <w:rPr>
          <w:rFonts w:ascii="Times New Roman" w:hAnsi="Times New Roman" w:cs="Times New Roman"/>
        </w:rPr>
        <w:t xml:space="preserve"> </w:t>
      </w:r>
      <w:r w:rsidR="00155DF2">
        <w:rPr>
          <w:rFonts w:ascii="Times New Roman" w:hAnsi="Times New Roman" w:cs="Times New Roman"/>
        </w:rPr>
        <w:t>This asymmetry of trade balance between the two entities offers one intuitive explanation for the differential level of interest; simply put, as the</w:t>
      </w:r>
      <w:r>
        <w:rPr>
          <w:rFonts w:ascii="Times New Roman" w:hAnsi="Times New Roman" w:cs="Times New Roman"/>
        </w:rPr>
        <w:t xml:space="preserve"> EU had more leverage through which to conduct negotiations, </w:t>
      </w:r>
      <w:r w:rsidR="00155DF2">
        <w:rPr>
          <w:rFonts w:ascii="Times New Roman" w:hAnsi="Times New Roman" w:cs="Times New Roman"/>
        </w:rPr>
        <w:t>t</w:t>
      </w:r>
      <w:r w:rsidR="00AE7154">
        <w:rPr>
          <w:rFonts w:ascii="Times New Roman" w:hAnsi="Times New Roman" w:cs="Times New Roman"/>
        </w:rPr>
        <w:t>here was arguable less provocation of</w:t>
      </w:r>
      <w:r>
        <w:rPr>
          <w:rFonts w:ascii="Times New Roman" w:hAnsi="Times New Roman" w:cs="Times New Roman"/>
        </w:rPr>
        <w:t xml:space="preserve"> insecurity among its members. This paper argues, however, that economics and leverage alone do not account for a full explanation of why internal negotiating dynamics in Canada were more contentious than within the EU.</w:t>
      </w:r>
      <w:r w:rsidR="00F209D6">
        <w:rPr>
          <w:rFonts w:ascii="Times New Roman" w:hAnsi="Times New Roman" w:cs="Times New Roman"/>
        </w:rPr>
        <w:t xml:space="preserve"> Instead, this paper argues that the delineation of competences within the EU with regard to international trade made for a more streamli</w:t>
      </w:r>
      <w:r w:rsidR="001F28C3">
        <w:rPr>
          <w:rFonts w:ascii="Times New Roman" w:hAnsi="Times New Roman" w:cs="Times New Roman"/>
        </w:rPr>
        <w:t xml:space="preserve">ned process, in contrast to the Canadian form of provincial-federal involvement in negotiations. The </w:t>
      </w:r>
      <w:r w:rsidR="001F28C3" w:rsidRPr="001F28C3">
        <w:rPr>
          <w:rFonts w:ascii="Times New Roman" w:hAnsi="Times New Roman" w:cs="Times New Roman"/>
        </w:rPr>
        <w:t xml:space="preserve">EU member states are not involved directly in the negotiations because they have authorized the European Commission to negotiate on their </w:t>
      </w:r>
      <w:r w:rsidR="001F28C3">
        <w:rPr>
          <w:rFonts w:ascii="Times New Roman" w:hAnsi="Times New Roman" w:cs="Times New Roman"/>
        </w:rPr>
        <w:t>behalf, whereas</w:t>
      </w:r>
      <w:r w:rsidR="001F28C3" w:rsidRPr="001F28C3">
        <w:rPr>
          <w:rFonts w:ascii="Times New Roman" w:hAnsi="Times New Roman" w:cs="Times New Roman"/>
        </w:rPr>
        <w:t xml:space="preserve"> the Canadian provinces and territories play a more proactive role than do the EU member states in the ongoing negotiations toward a</w:t>
      </w:r>
      <w:r w:rsidR="001F28C3">
        <w:rPr>
          <w:rFonts w:ascii="Times New Roman" w:hAnsi="Times New Roman" w:cs="Times New Roman"/>
        </w:rPr>
        <w:t xml:space="preserve"> CETA.</w:t>
      </w:r>
      <w:r w:rsidR="00446C2A">
        <w:rPr>
          <w:rStyle w:val="FootnoteReference"/>
          <w:rFonts w:ascii="Times New Roman" w:hAnsi="Times New Roman" w:cs="Times New Roman"/>
        </w:rPr>
        <w:footnoteReference w:id="8"/>
      </w:r>
      <w:r w:rsidR="001F28C3">
        <w:rPr>
          <w:rFonts w:ascii="Times New Roman" w:hAnsi="Times New Roman" w:cs="Times New Roman"/>
        </w:rPr>
        <w:t xml:space="preserve"> This difference has two implications: first, institutional differences matter, in that the organization of delegation and responsibility had potentially more impact on resulting agreements than the idea of difference between a prov</w:t>
      </w:r>
      <w:r w:rsidR="00C734F0">
        <w:rPr>
          <w:rFonts w:ascii="Times New Roman" w:hAnsi="Times New Roman" w:cs="Times New Roman"/>
        </w:rPr>
        <w:t>ince and a country; second,</w:t>
      </w:r>
      <w:r w:rsidR="001F28C3">
        <w:rPr>
          <w:rFonts w:ascii="Times New Roman" w:hAnsi="Times New Roman" w:cs="Times New Roman"/>
        </w:rPr>
        <w:t xml:space="preserve"> the area of international trade competency offers a direct contrast to the </w:t>
      </w:r>
      <w:r w:rsidR="00C734F0">
        <w:rPr>
          <w:rFonts w:ascii="Times New Roman" w:hAnsi="Times New Roman" w:cs="Times New Roman"/>
        </w:rPr>
        <w:t xml:space="preserve">intuitive hypothesis of which political entity behaves more like a federation. The EU – which is </w:t>
      </w:r>
      <w:r w:rsidR="00C734F0">
        <w:rPr>
          <w:rFonts w:ascii="Times New Roman" w:hAnsi="Times New Roman" w:cs="Times New Roman"/>
          <w:i/>
        </w:rPr>
        <w:t>not</w:t>
      </w:r>
      <w:r w:rsidR="00C734F0">
        <w:rPr>
          <w:rFonts w:ascii="Times New Roman" w:hAnsi="Times New Roman" w:cs="Times New Roman"/>
        </w:rPr>
        <w:t xml:space="preserve"> a single country and remains comprised of very distinct European countries – has more integration </w:t>
      </w:r>
      <w:r w:rsidR="00C734F0">
        <w:rPr>
          <w:rFonts w:ascii="Times New Roman" w:hAnsi="Times New Roman" w:cs="Times New Roman"/>
        </w:rPr>
        <w:lastRenderedPageBreak/>
        <w:t>between regional and central levels with regard to trade negotiations than does Canada, which instead provides an example of sharper debates between the provincial and federal levels.</w:t>
      </w:r>
    </w:p>
    <w:p w:rsidR="00AE5313" w:rsidRDefault="00AE5313" w:rsidP="00A1500D">
      <w:pPr>
        <w:spacing w:line="480" w:lineRule="auto"/>
        <w:jc w:val="both"/>
        <w:rPr>
          <w:rFonts w:ascii="Times New Roman" w:hAnsi="Times New Roman" w:cs="Times New Roman"/>
        </w:rPr>
      </w:pPr>
      <w:r>
        <w:rPr>
          <w:rFonts w:ascii="Times New Roman" w:hAnsi="Times New Roman" w:cs="Times New Roman"/>
        </w:rPr>
        <w:tab/>
      </w:r>
      <w:r w:rsidR="007C6C63" w:rsidRPr="007C6C63">
        <w:rPr>
          <w:rFonts w:ascii="Times New Roman" w:hAnsi="Times New Roman" w:cs="Times New Roman"/>
        </w:rPr>
        <w:t>The next section of the paper provides a brief overview of the CETA agreement from its inception, as well as a brief overview of the main tenants of federal theories. This is followed by a summary of internal negotiation dynamics within Canada and the EU, respectively. The</w:t>
      </w:r>
      <w:r w:rsidR="007C6C63">
        <w:rPr>
          <w:rFonts w:ascii="Times New Roman" w:hAnsi="Times New Roman" w:cs="Times New Roman"/>
        </w:rPr>
        <w:t xml:space="preserve"> </w:t>
      </w:r>
      <w:r>
        <w:rPr>
          <w:rFonts w:ascii="Times New Roman" w:hAnsi="Times New Roman" w:cs="Times New Roman"/>
        </w:rPr>
        <w:t>summary includes a description of how federal-provincial processes operate within Canada with respect to external trade, as well as how the EU Commission interacts with EU member states in developing external free trade agreements.</w:t>
      </w:r>
      <w:r w:rsidR="001135D1">
        <w:rPr>
          <w:rFonts w:ascii="Times New Roman" w:hAnsi="Times New Roman" w:cs="Times New Roman"/>
        </w:rPr>
        <w:t xml:space="preserve"> Following this is </w:t>
      </w:r>
      <w:r w:rsidR="006169B6">
        <w:rPr>
          <w:rFonts w:ascii="Times New Roman" w:hAnsi="Times New Roman" w:cs="Times New Roman"/>
        </w:rPr>
        <w:t>a comparative analysis of how each</w:t>
      </w:r>
      <w:r w:rsidR="003D5B4B">
        <w:rPr>
          <w:rFonts w:ascii="Times New Roman" w:hAnsi="Times New Roman" w:cs="Times New Roman"/>
        </w:rPr>
        <w:t xml:space="preserve"> governing entity</w:t>
      </w:r>
      <w:r w:rsidR="006169B6">
        <w:rPr>
          <w:rFonts w:ascii="Times New Roman" w:hAnsi="Times New Roman" w:cs="Times New Roman"/>
        </w:rPr>
        <w:t xml:space="preserve"> </w:t>
      </w:r>
      <w:r w:rsidR="003D5B4B">
        <w:rPr>
          <w:rFonts w:ascii="Times New Roman" w:hAnsi="Times New Roman" w:cs="Times New Roman"/>
        </w:rPr>
        <w:t>accommodates</w:t>
      </w:r>
      <w:r w:rsidR="006169B6">
        <w:rPr>
          <w:rFonts w:ascii="Times New Roman" w:hAnsi="Times New Roman" w:cs="Times New Roman"/>
        </w:rPr>
        <w:t xml:space="preserve"> regional interests, attending to an overarching conc</w:t>
      </w:r>
      <w:r w:rsidR="003D5B4B">
        <w:rPr>
          <w:rFonts w:ascii="Times New Roman" w:hAnsi="Times New Roman" w:cs="Times New Roman"/>
        </w:rPr>
        <w:t>eption of federalism</w:t>
      </w:r>
      <w:r w:rsidR="006169B6">
        <w:rPr>
          <w:rFonts w:ascii="Times New Roman" w:hAnsi="Times New Roman" w:cs="Times New Roman"/>
        </w:rPr>
        <w:t xml:space="preserve"> and central</w:t>
      </w:r>
      <w:r w:rsidR="003D5B4B">
        <w:rPr>
          <w:rFonts w:ascii="Times New Roman" w:hAnsi="Times New Roman" w:cs="Times New Roman"/>
        </w:rPr>
        <w:t>-regional dynamics</w:t>
      </w:r>
      <w:r w:rsidR="006169B6">
        <w:rPr>
          <w:rFonts w:ascii="Times New Roman" w:hAnsi="Times New Roman" w:cs="Times New Roman"/>
        </w:rPr>
        <w:t>. The conclusion</w:t>
      </w:r>
      <w:r w:rsidR="00ED5762">
        <w:rPr>
          <w:rFonts w:ascii="Times New Roman" w:hAnsi="Times New Roman" w:cs="Times New Roman"/>
        </w:rPr>
        <w:t xml:space="preserve"> summarizes the main findings </w:t>
      </w:r>
      <w:r w:rsidR="006169B6">
        <w:rPr>
          <w:rFonts w:ascii="Times New Roman" w:hAnsi="Times New Roman" w:cs="Times New Roman"/>
        </w:rPr>
        <w:t>and offers implications for future research in comparative federalism between Canada and the EU.</w:t>
      </w:r>
    </w:p>
    <w:p w:rsidR="00325F37" w:rsidRDefault="00325F37" w:rsidP="00A1500D">
      <w:pPr>
        <w:spacing w:line="480" w:lineRule="auto"/>
        <w:jc w:val="both"/>
        <w:rPr>
          <w:rFonts w:ascii="Times New Roman" w:hAnsi="Times New Roman" w:cs="Times New Roman"/>
        </w:rPr>
      </w:pPr>
    </w:p>
    <w:p w:rsidR="00325F37" w:rsidRDefault="00A55A69" w:rsidP="00A1500D">
      <w:pPr>
        <w:spacing w:line="480" w:lineRule="auto"/>
        <w:jc w:val="both"/>
        <w:rPr>
          <w:rFonts w:ascii="Times New Roman" w:hAnsi="Times New Roman" w:cs="Times New Roman"/>
        </w:rPr>
      </w:pPr>
      <w:r>
        <w:rPr>
          <w:rFonts w:ascii="Times New Roman" w:hAnsi="Times New Roman" w:cs="Times New Roman"/>
          <w:u w:val="single"/>
        </w:rPr>
        <w:t>The Evolution</w:t>
      </w:r>
      <w:r w:rsidR="00D12EC8">
        <w:rPr>
          <w:rFonts w:ascii="Times New Roman" w:hAnsi="Times New Roman" w:cs="Times New Roman"/>
          <w:u w:val="single"/>
        </w:rPr>
        <w:t xml:space="preserve"> of </w:t>
      </w:r>
      <w:r>
        <w:rPr>
          <w:rFonts w:ascii="Times New Roman" w:hAnsi="Times New Roman" w:cs="Times New Roman"/>
          <w:u w:val="single"/>
        </w:rPr>
        <w:t>the Canada-EU Agreement</w:t>
      </w:r>
    </w:p>
    <w:p w:rsidR="00D12EC8" w:rsidRDefault="00D12EC8" w:rsidP="00A1500D">
      <w:pPr>
        <w:spacing w:line="480" w:lineRule="auto"/>
        <w:jc w:val="both"/>
        <w:rPr>
          <w:rFonts w:ascii="Times New Roman" w:hAnsi="Times New Roman" w:cs="Times New Roman"/>
        </w:rPr>
      </w:pPr>
      <w:r>
        <w:rPr>
          <w:rFonts w:ascii="Times New Roman" w:hAnsi="Times New Roman" w:cs="Times New Roman"/>
        </w:rPr>
        <w:tab/>
        <w:t xml:space="preserve">Prior to the current </w:t>
      </w:r>
      <w:r w:rsidR="003B35B0">
        <w:rPr>
          <w:rFonts w:ascii="Times New Roman" w:hAnsi="Times New Roman" w:cs="Times New Roman"/>
        </w:rPr>
        <w:t xml:space="preserve">agreement ‘in principle’, the history of Canada-EU/EC trade relations dates back to the 1976 Framework Agreement for Commercial and Economic Cooperation. This was essentially an institutional framework for cooperation in trade and regulatory harmonization, and marked the first </w:t>
      </w:r>
      <w:r w:rsidR="00175E60">
        <w:rPr>
          <w:rFonts w:ascii="Times New Roman" w:hAnsi="Times New Roman" w:cs="Times New Roman"/>
        </w:rPr>
        <w:t>large-scale agreement for the EU</w:t>
      </w:r>
      <w:r w:rsidR="003B35B0">
        <w:rPr>
          <w:rFonts w:ascii="Times New Roman" w:hAnsi="Times New Roman" w:cs="Times New Roman"/>
        </w:rPr>
        <w:t xml:space="preserve"> with an industrialized country. In 1998 the two entities established a customs cooperation agreement, a veterinary agreement, and a number of </w:t>
      </w:r>
      <w:proofErr w:type="spellStart"/>
      <w:r w:rsidR="003B35B0">
        <w:rPr>
          <w:rFonts w:ascii="Times New Roman" w:hAnsi="Times New Roman" w:cs="Times New Roman"/>
        </w:rPr>
        <w:t>sectoral</w:t>
      </w:r>
      <w:proofErr w:type="spellEnd"/>
      <w:r w:rsidR="003B35B0">
        <w:rPr>
          <w:rFonts w:ascii="Times New Roman" w:hAnsi="Times New Roman" w:cs="Times New Roman"/>
        </w:rPr>
        <w:t xml:space="preserve"> mutual recognition agreements. All of these developments paralleled separate developments the EU had reached with the U</w:t>
      </w:r>
      <w:r w:rsidR="00B76F89">
        <w:rPr>
          <w:rFonts w:ascii="Times New Roman" w:hAnsi="Times New Roman" w:cs="Times New Roman"/>
        </w:rPr>
        <w:t>.</w:t>
      </w:r>
      <w:r w:rsidR="003B35B0">
        <w:rPr>
          <w:rFonts w:ascii="Times New Roman" w:hAnsi="Times New Roman" w:cs="Times New Roman"/>
        </w:rPr>
        <w:t>S</w:t>
      </w:r>
      <w:r w:rsidR="00B76F89">
        <w:rPr>
          <w:rFonts w:ascii="Times New Roman" w:hAnsi="Times New Roman" w:cs="Times New Roman"/>
        </w:rPr>
        <w:t>.</w:t>
      </w:r>
      <w:r w:rsidR="003B35B0">
        <w:rPr>
          <w:rFonts w:ascii="Times New Roman" w:hAnsi="Times New Roman" w:cs="Times New Roman"/>
        </w:rPr>
        <w:t xml:space="preserve"> concurrently.</w:t>
      </w:r>
      <w:r w:rsidR="003B35B0">
        <w:rPr>
          <w:rStyle w:val="FootnoteReference"/>
          <w:rFonts w:ascii="Times New Roman" w:hAnsi="Times New Roman" w:cs="Times New Roman"/>
        </w:rPr>
        <w:footnoteReference w:id="9"/>
      </w:r>
    </w:p>
    <w:p w:rsidR="000048B5" w:rsidRDefault="000048B5" w:rsidP="00A1500D">
      <w:pPr>
        <w:spacing w:line="480" w:lineRule="auto"/>
        <w:jc w:val="both"/>
        <w:rPr>
          <w:rFonts w:ascii="Times New Roman" w:hAnsi="Times New Roman" w:cs="Times New Roman"/>
        </w:rPr>
      </w:pPr>
      <w:r>
        <w:rPr>
          <w:rFonts w:ascii="Times New Roman" w:hAnsi="Times New Roman" w:cs="Times New Roman"/>
        </w:rPr>
        <w:tab/>
      </w:r>
      <w:r w:rsidR="004675C9">
        <w:rPr>
          <w:rFonts w:ascii="Times New Roman" w:hAnsi="Times New Roman" w:cs="Times New Roman"/>
        </w:rPr>
        <w:t>In 2004</w:t>
      </w:r>
      <w:r>
        <w:rPr>
          <w:rFonts w:ascii="Times New Roman" w:hAnsi="Times New Roman" w:cs="Times New Roman"/>
        </w:rPr>
        <w:t xml:space="preserve">, discussions began on the idea of a larger </w:t>
      </w:r>
      <w:r w:rsidR="003949EE">
        <w:rPr>
          <w:rFonts w:ascii="Times New Roman" w:hAnsi="Times New Roman" w:cs="Times New Roman"/>
        </w:rPr>
        <w:t xml:space="preserve">bilateral </w:t>
      </w:r>
      <w:r>
        <w:rPr>
          <w:rFonts w:ascii="Times New Roman" w:hAnsi="Times New Roman" w:cs="Times New Roman"/>
        </w:rPr>
        <w:t>agreem</w:t>
      </w:r>
      <w:r w:rsidR="003949EE">
        <w:rPr>
          <w:rFonts w:ascii="Times New Roman" w:hAnsi="Times New Roman" w:cs="Times New Roman"/>
        </w:rPr>
        <w:t xml:space="preserve">ent that would bring in a much larger degree of market access in areas still subject to regulatory barriers, such as </w:t>
      </w:r>
      <w:r w:rsidR="004675C9">
        <w:rPr>
          <w:rFonts w:ascii="Times New Roman" w:hAnsi="Times New Roman" w:cs="Times New Roman"/>
        </w:rPr>
        <w:t xml:space="preserve">(but not limited to) </w:t>
      </w:r>
      <w:r w:rsidR="003949EE">
        <w:rPr>
          <w:rFonts w:ascii="Times New Roman" w:hAnsi="Times New Roman" w:cs="Times New Roman"/>
        </w:rPr>
        <w:t xml:space="preserve">financial services, intellectual property rights issues, and public procurement. The EU </w:t>
      </w:r>
      <w:r w:rsidR="003949EE">
        <w:rPr>
          <w:rFonts w:ascii="Times New Roman" w:hAnsi="Times New Roman" w:cs="Times New Roman"/>
        </w:rPr>
        <w:lastRenderedPageBreak/>
        <w:t xml:space="preserve">stalled this effort – called the Trade and Investment Enhancement Agreement (TIEA) </w:t>
      </w:r>
      <w:r w:rsidR="004675C9">
        <w:rPr>
          <w:rFonts w:ascii="Times New Roman" w:hAnsi="Times New Roman" w:cs="Times New Roman"/>
        </w:rPr>
        <w:t>–</w:t>
      </w:r>
      <w:r w:rsidR="003949EE">
        <w:rPr>
          <w:rFonts w:ascii="Times New Roman" w:hAnsi="Times New Roman" w:cs="Times New Roman"/>
        </w:rPr>
        <w:t xml:space="preserve"> </w:t>
      </w:r>
      <w:r w:rsidR="004675C9">
        <w:rPr>
          <w:rFonts w:ascii="Times New Roman" w:hAnsi="Times New Roman" w:cs="Times New Roman"/>
        </w:rPr>
        <w:t>in 2006 after three rounds of negotiations faile</w:t>
      </w:r>
      <w:r w:rsidR="00EB5F52">
        <w:rPr>
          <w:rFonts w:ascii="Times New Roman" w:hAnsi="Times New Roman" w:cs="Times New Roman"/>
        </w:rPr>
        <w:t>d to reach an agreement. The main reasons given for the stalled TIEA were</w:t>
      </w:r>
      <w:r w:rsidR="00C22FF4">
        <w:rPr>
          <w:rFonts w:ascii="Times New Roman" w:hAnsi="Times New Roman" w:cs="Times New Roman"/>
        </w:rPr>
        <w:t xml:space="preserve"> </w:t>
      </w:r>
      <w:r w:rsidR="004675C9">
        <w:rPr>
          <w:rFonts w:ascii="Times New Roman" w:hAnsi="Times New Roman" w:cs="Times New Roman"/>
        </w:rPr>
        <w:t xml:space="preserve">the desire to wait for a </w:t>
      </w:r>
      <w:r w:rsidR="004675C9" w:rsidRPr="004675C9">
        <w:rPr>
          <w:rFonts w:ascii="Times New Roman" w:hAnsi="Times New Roman" w:cs="Times New Roman"/>
        </w:rPr>
        <w:t xml:space="preserve">successful result at the Doha Round of World Trade Organization (WTO) </w:t>
      </w:r>
      <w:r w:rsidR="00EB5F52">
        <w:rPr>
          <w:rFonts w:ascii="Times New Roman" w:hAnsi="Times New Roman" w:cs="Times New Roman"/>
        </w:rPr>
        <w:t xml:space="preserve">in the hopes that WTO </w:t>
      </w:r>
      <w:r w:rsidR="004675C9" w:rsidRPr="004675C9">
        <w:rPr>
          <w:rFonts w:ascii="Times New Roman" w:hAnsi="Times New Roman" w:cs="Times New Roman"/>
        </w:rPr>
        <w:t>negotiations would clarify some of the issues that had arisen over the course of TIEA</w:t>
      </w:r>
      <w:r w:rsidR="004675C9">
        <w:rPr>
          <w:rFonts w:ascii="Times New Roman" w:hAnsi="Times New Roman" w:cs="Times New Roman"/>
        </w:rPr>
        <w:t xml:space="preserve"> discussions,</w:t>
      </w:r>
      <w:r w:rsidR="0033517E">
        <w:rPr>
          <w:rStyle w:val="FootnoteReference"/>
          <w:rFonts w:ascii="Times New Roman" w:hAnsi="Times New Roman" w:cs="Times New Roman"/>
        </w:rPr>
        <w:footnoteReference w:id="10"/>
      </w:r>
      <w:r w:rsidR="004675C9">
        <w:rPr>
          <w:rFonts w:ascii="Times New Roman" w:hAnsi="Times New Roman" w:cs="Times New Roman"/>
        </w:rPr>
        <w:t xml:space="preserve"> and the </w:t>
      </w:r>
      <w:r w:rsidR="00C22FF4">
        <w:rPr>
          <w:rFonts w:ascii="Times New Roman" w:hAnsi="Times New Roman" w:cs="Times New Roman"/>
        </w:rPr>
        <w:t>EU’s desire to have the Canadian provinces included in any agreement as a device of pre-commitment: “As EU liberalizing measures reach down below regional/provincial level and into the local level within the EU, the Commission sought broad reciprocity that the Canadian federal government could not deliver.”</w:t>
      </w:r>
      <w:r w:rsidR="00B30D6A">
        <w:rPr>
          <w:rStyle w:val="FootnoteReference"/>
          <w:rFonts w:ascii="Times New Roman" w:hAnsi="Times New Roman" w:cs="Times New Roman"/>
        </w:rPr>
        <w:footnoteReference w:id="11"/>
      </w:r>
    </w:p>
    <w:p w:rsidR="00763F07" w:rsidRDefault="00763F07" w:rsidP="00A1500D">
      <w:pPr>
        <w:spacing w:line="480" w:lineRule="auto"/>
        <w:jc w:val="both"/>
        <w:rPr>
          <w:rFonts w:ascii="Times New Roman" w:hAnsi="Times New Roman" w:cs="Times New Roman"/>
        </w:rPr>
      </w:pPr>
      <w:r>
        <w:rPr>
          <w:rFonts w:ascii="Times New Roman" w:hAnsi="Times New Roman" w:cs="Times New Roman"/>
        </w:rPr>
        <w:tab/>
        <w:t>In 2007, the Quebec Premier Jean Charest, along with key EU leaders, pushed for re-opening discussions on stronger economic and political ties.</w:t>
      </w:r>
      <w:r>
        <w:rPr>
          <w:rStyle w:val="FootnoteReference"/>
          <w:rFonts w:ascii="Times New Roman" w:hAnsi="Times New Roman" w:cs="Times New Roman"/>
        </w:rPr>
        <w:footnoteReference w:id="12"/>
      </w:r>
      <w:r>
        <w:rPr>
          <w:rFonts w:ascii="Times New Roman" w:hAnsi="Times New Roman" w:cs="Times New Roman"/>
        </w:rPr>
        <w:t xml:space="preserve"> The Government of Canada and the European Commission published a joint report in 2008, “Assessing the costs and benefits of a closer EU-Canada partnership.” The purpose of the report was to examine the existing tariff and non-tariff barriers between the two blocs in order to assess the effects of removing or heavily reducing such barriers. </w:t>
      </w:r>
      <w:r w:rsidR="00197346">
        <w:rPr>
          <w:rFonts w:ascii="Times New Roman" w:hAnsi="Times New Roman" w:cs="Times New Roman"/>
        </w:rPr>
        <w:t xml:space="preserve">The more contentious non-tariff barriers included </w:t>
      </w:r>
      <w:proofErr w:type="spellStart"/>
      <w:r w:rsidR="00197346">
        <w:rPr>
          <w:rFonts w:ascii="Times New Roman" w:hAnsi="Times New Roman" w:cs="Times New Roman"/>
        </w:rPr>
        <w:t>labour</w:t>
      </w:r>
      <w:proofErr w:type="spellEnd"/>
      <w:r w:rsidR="00197346">
        <w:rPr>
          <w:rFonts w:ascii="Times New Roman" w:hAnsi="Times New Roman" w:cs="Times New Roman"/>
        </w:rPr>
        <w:t xml:space="preserve"> mobility, government procurement, intellectual property rights, telecommunications and electronic commerce, along with regulatory cooperation in a number of other areas. </w:t>
      </w:r>
      <w:r>
        <w:rPr>
          <w:rFonts w:ascii="Times New Roman" w:hAnsi="Times New Roman" w:cs="Times New Roman"/>
        </w:rPr>
        <w:t>The study also identified how deeper partnership could enhance bilateral cooperation in areas such as science and technolog</w:t>
      </w:r>
      <w:r w:rsidR="0081571B">
        <w:rPr>
          <w:rFonts w:ascii="Times New Roman" w:hAnsi="Times New Roman" w:cs="Times New Roman"/>
        </w:rPr>
        <w:t>y, energy</w:t>
      </w:r>
      <w:r w:rsidR="00197346">
        <w:rPr>
          <w:rFonts w:ascii="Times New Roman" w:hAnsi="Times New Roman" w:cs="Times New Roman"/>
        </w:rPr>
        <w:t>, and the environment.</w:t>
      </w:r>
      <w:r w:rsidR="00197346">
        <w:rPr>
          <w:rStyle w:val="FootnoteReference"/>
          <w:rFonts w:ascii="Times New Roman" w:hAnsi="Times New Roman" w:cs="Times New Roman"/>
        </w:rPr>
        <w:footnoteReference w:id="13"/>
      </w:r>
      <w:r w:rsidR="00197346">
        <w:rPr>
          <w:rFonts w:ascii="Times New Roman" w:hAnsi="Times New Roman" w:cs="Times New Roman"/>
        </w:rPr>
        <w:t xml:space="preserve"> Some of the key findings of the study predicted</w:t>
      </w:r>
      <w:r w:rsidR="00197346" w:rsidRPr="00197346">
        <w:rPr>
          <w:rFonts w:ascii="Times New Roman" w:hAnsi="Times New Roman" w:cs="Times New Roman"/>
        </w:rPr>
        <w:t xml:space="preserve"> </w:t>
      </w:r>
      <w:r w:rsidR="00261E09">
        <w:rPr>
          <w:rFonts w:ascii="Times New Roman" w:hAnsi="Times New Roman" w:cs="Times New Roman"/>
        </w:rPr>
        <w:t>long-term macro-economic increases</w:t>
      </w:r>
      <w:r w:rsidR="00261E09" w:rsidRPr="00261E09">
        <w:rPr>
          <w:rFonts w:ascii="Times New Roman" w:hAnsi="Times New Roman" w:cs="Times New Roman"/>
        </w:rPr>
        <w:t xml:space="preserve"> </w:t>
      </w:r>
      <w:r w:rsidR="00261E09">
        <w:rPr>
          <w:rFonts w:ascii="Times New Roman" w:hAnsi="Times New Roman" w:cs="Times New Roman"/>
        </w:rPr>
        <w:t xml:space="preserve">in </w:t>
      </w:r>
      <w:r w:rsidR="00197346" w:rsidRPr="00197346">
        <w:rPr>
          <w:rFonts w:ascii="Times New Roman" w:hAnsi="Times New Roman" w:cs="Times New Roman"/>
        </w:rPr>
        <w:t xml:space="preserve">real GDP of 0.02–0.03% </w:t>
      </w:r>
      <w:r w:rsidR="00261E09">
        <w:rPr>
          <w:rFonts w:ascii="Times New Roman" w:hAnsi="Times New Roman" w:cs="Times New Roman"/>
        </w:rPr>
        <w:t>for the EU and</w:t>
      </w:r>
      <w:r w:rsidR="00197346" w:rsidRPr="00197346">
        <w:rPr>
          <w:rFonts w:ascii="Times New Roman" w:hAnsi="Times New Roman" w:cs="Times New Roman"/>
        </w:rPr>
        <w:t xml:space="preserve"> 0.18–0.36%</w:t>
      </w:r>
      <w:r w:rsidR="00261E09">
        <w:rPr>
          <w:rFonts w:ascii="Times New Roman" w:hAnsi="Times New Roman" w:cs="Times New Roman"/>
        </w:rPr>
        <w:t xml:space="preserve"> for Canada</w:t>
      </w:r>
      <w:r w:rsidR="00BA6054">
        <w:rPr>
          <w:rFonts w:ascii="Times New Roman" w:hAnsi="Times New Roman" w:cs="Times New Roman"/>
        </w:rPr>
        <w:t xml:space="preserve">, with potentially higher figures when </w:t>
      </w:r>
      <w:r w:rsidR="00197346" w:rsidRPr="00197346">
        <w:rPr>
          <w:rFonts w:ascii="Times New Roman" w:hAnsi="Times New Roman" w:cs="Times New Roman"/>
        </w:rPr>
        <w:t xml:space="preserve">factoring in investment increases. At the </w:t>
      </w:r>
      <w:proofErr w:type="spellStart"/>
      <w:r w:rsidR="00197346" w:rsidRPr="00197346">
        <w:rPr>
          <w:rFonts w:ascii="Times New Roman" w:hAnsi="Times New Roman" w:cs="Times New Roman"/>
        </w:rPr>
        <w:t>se</w:t>
      </w:r>
      <w:r w:rsidR="00197346">
        <w:rPr>
          <w:rFonts w:ascii="Times New Roman" w:hAnsi="Times New Roman" w:cs="Times New Roman"/>
        </w:rPr>
        <w:t>ctoral</w:t>
      </w:r>
      <w:proofErr w:type="spellEnd"/>
      <w:r w:rsidR="00197346">
        <w:rPr>
          <w:rFonts w:ascii="Times New Roman" w:hAnsi="Times New Roman" w:cs="Times New Roman"/>
        </w:rPr>
        <w:t xml:space="preserve"> </w:t>
      </w:r>
      <w:r w:rsidR="00197346">
        <w:rPr>
          <w:rFonts w:ascii="Times New Roman" w:hAnsi="Times New Roman" w:cs="Times New Roman"/>
        </w:rPr>
        <w:lastRenderedPageBreak/>
        <w:t>level, the study predicted</w:t>
      </w:r>
      <w:r w:rsidR="00197346" w:rsidRPr="00197346">
        <w:rPr>
          <w:rFonts w:ascii="Times New Roman" w:hAnsi="Times New Roman" w:cs="Times New Roman"/>
        </w:rPr>
        <w:t xml:space="preserve"> the greatest gains in output and trade to be stimulated by services liberalization and by the removal of tariffs applied on se</w:t>
      </w:r>
      <w:r w:rsidR="00197346">
        <w:rPr>
          <w:rFonts w:ascii="Times New Roman" w:hAnsi="Times New Roman" w:cs="Times New Roman"/>
        </w:rPr>
        <w:t>nsitive agricultural products</w:t>
      </w:r>
      <w:r w:rsidR="00BA6054">
        <w:rPr>
          <w:rFonts w:ascii="Times New Roman" w:hAnsi="Times New Roman" w:cs="Times New Roman"/>
        </w:rPr>
        <w:t>.</w:t>
      </w:r>
      <w:r w:rsidR="00BA6054">
        <w:rPr>
          <w:rStyle w:val="FootnoteReference"/>
          <w:rFonts w:ascii="Times New Roman" w:hAnsi="Times New Roman" w:cs="Times New Roman"/>
        </w:rPr>
        <w:footnoteReference w:id="14"/>
      </w:r>
    </w:p>
    <w:p w:rsidR="00BA6054" w:rsidRPr="00183258" w:rsidRDefault="00BA6054" w:rsidP="00A1500D">
      <w:pPr>
        <w:spacing w:line="480" w:lineRule="auto"/>
        <w:jc w:val="both"/>
        <w:rPr>
          <w:rFonts w:ascii="Times New Roman" w:hAnsi="Times New Roman" w:cs="Times New Roman"/>
        </w:rPr>
      </w:pPr>
      <w:r>
        <w:rPr>
          <w:rFonts w:ascii="Times New Roman" w:hAnsi="Times New Roman" w:cs="Times New Roman"/>
        </w:rPr>
        <w:tab/>
        <w:t xml:space="preserve">Formal negotiations began in May 2009 and concluded in October 2013. </w:t>
      </w:r>
      <w:r w:rsidR="008F56D7">
        <w:rPr>
          <w:rFonts w:ascii="Times New Roman" w:hAnsi="Times New Roman" w:cs="Times New Roman"/>
        </w:rPr>
        <w:t>The global financial crisis provided a backdrop impetus during this time period: for the EU, gains in trade from reduced barriers would provide revenue; for Canada, the need to diversify economics away from disproportionate dependence on the U.S. market became paramount.</w:t>
      </w:r>
      <w:r w:rsidR="001D0B5B">
        <w:rPr>
          <w:rFonts w:ascii="Times New Roman" w:hAnsi="Times New Roman" w:cs="Times New Roman"/>
        </w:rPr>
        <w:t xml:space="preserve"> Major issues during the course of negotiations included (but were not limited to) beef and pork, cheese and dairy, public procurement procedures, pharmaceutical drugs, and copyright provisions.</w:t>
      </w:r>
      <w:r w:rsidR="00175E60">
        <w:rPr>
          <w:rStyle w:val="FootnoteReference"/>
          <w:rFonts w:ascii="Times New Roman" w:hAnsi="Times New Roman" w:cs="Times New Roman"/>
        </w:rPr>
        <w:footnoteReference w:id="15"/>
      </w:r>
      <w:r w:rsidR="001D0B5B">
        <w:rPr>
          <w:rFonts w:ascii="Times New Roman" w:hAnsi="Times New Roman" w:cs="Times New Roman"/>
        </w:rPr>
        <w:t xml:space="preserve"> </w:t>
      </w:r>
      <w:r w:rsidR="00175E60">
        <w:rPr>
          <w:rFonts w:ascii="Times New Roman" w:hAnsi="Times New Roman" w:cs="Times New Roman"/>
        </w:rPr>
        <w:t xml:space="preserve">Prime Minister Harper and EU President </w:t>
      </w:r>
      <w:proofErr w:type="spellStart"/>
      <w:r w:rsidR="00175E60">
        <w:rPr>
          <w:rFonts w:ascii="Times New Roman" w:hAnsi="Times New Roman" w:cs="Times New Roman"/>
        </w:rPr>
        <w:t>Barroso</w:t>
      </w:r>
      <w:proofErr w:type="spellEnd"/>
      <w:r w:rsidR="00175E60">
        <w:rPr>
          <w:rFonts w:ascii="Times New Roman" w:hAnsi="Times New Roman" w:cs="Times New Roman"/>
        </w:rPr>
        <w:t xml:space="preserve"> stated that the deal would likely be in place by 2015, after the text had been translated into all 24 languages of the EU and had been ratified by EU member states as well as Canada’s provinces and territories.</w:t>
      </w:r>
      <w:r w:rsidR="00175E60">
        <w:rPr>
          <w:rStyle w:val="FootnoteReference"/>
          <w:rFonts w:ascii="Times New Roman" w:hAnsi="Times New Roman" w:cs="Times New Roman"/>
        </w:rPr>
        <w:footnoteReference w:id="16"/>
      </w:r>
      <w:r w:rsidR="00175E60">
        <w:rPr>
          <w:rFonts w:ascii="Times New Roman" w:hAnsi="Times New Roman" w:cs="Times New Roman"/>
        </w:rPr>
        <w:t xml:space="preserve"> News sources and public announcements concerning the deal ‘in principle’ hailed the CETA as a historic agreement for the depth of areas covered under free trade. For Canada in particular, the agreement</w:t>
      </w:r>
      <w:r w:rsidR="00183258">
        <w:rPr>
          <w:rFonts w:ascii="Times New Roman" w:hAnsi="Times New Roman" w:cs="Times New Roman"/>
        </w:rPr>
        <w:t xml:space="preserve"> provided a notable precedent of the involvement of sub-national governments in international negotiations – this not only created a visible role for provincial interests, but also helped clarify the barriers </w:t>
      </w:r>
      <w:r w:rsidR="00183258">
        <w:rPr>
          <w:rFonts w:ascii="Times New Roman" w:hAnsi="Times New Roman" w:cs="Times New Roman"/>
          <w:i/>
        </w:rPr>
        <w:t>between</w:t>
      </w:r>
      <w:r w:rsidR="00183258">
        <w:rPr>
          <w:rFonts w:ascii="Times New Roman" w:hAnsi="Times New Roman" w:cs="Times New Roman"/>
        </w:rPr>
        <w:t xml:space="preserve"> provinces that could impede commerce.</w:t>
      </w:r>
      <w:r w:rsidR="00183258">
        <w:rPr>
          <w:rStyle w:val="FootnoteReference"/>
          <w:rFonts w:ascii="Times New Roman" w:hAnsi="Times New Roman" w:cs="Times New Roman"/>
        </w:rPr>
        <w:footnoteReference w:id="17"/>
      </w:r>
    </w:p>
    <w:p w:rsidR="00B30D6A" w:rsidRDefault="00B30D6A" w:rsidP="00A1500D">
      <w:pPr>
        <w:spacing w:line="480" w:lineRule="auto"/>
        <w:jc w:val="both"/>
        <w:rPr>
          <w:rFonts w:ascii="Times New Roman" w:hAnsi="Times New Roman" w:cs="Times New Roman"/>
        </w:rPr>
      </w:pPr>
    </w:p>
    <w:p w:rsidR="007C6C63" w:rsidRDefault="007C6C63" w:rsidP="00A1500D">
      <w:pPr>
        <w:spacing w:line="480" w:lineRule="auto"/>
        <w:jc w:val="both"/>
        <w:rPr>
          <w:rFonts w:ascii="Times New Roman" w:hAnsi="Times New Roman" w:cs="Times New Roman"/>
        </w:rPr>
      </w:pPr>
      <w:r>
        <w:rPr>
          <w:rFonts w:ascii="Times New Roman" w:hAnsi="Times New Roman" w:cs="Times New Roman"/>
          <w:u w:val="single"/>
        </w:rPr>
        <w:t>Federal theories, in brief</w:t>
      </w:r>
    </w:p>
    <w:p w:rsidR="007C6C63" w:rsidRDefault="007C6C63" w:rsidP="00A1500D">
      <w:pPr>
        <w:spacing w:line="480" w:lineRule="auto"/>
        <w:jc w:val="both"/>
        <w:rPr>
          <w:rFonts w:ascii="Times New Roman" w:hAnsi="Times New Roman" w:cs="Times New Roman"/>
        </w:rPr>
      </w:pPr>
      <w:r>
        <w:rPr>
          <w:rFonts w:ascii="Times New Roman" w:hAnsi="Times New Roman" w:cs="Times New Roman"/>
        </w:rPr>
        <w:tab/>
      </w:r>
      <w:r w:rsidR="00430357">
        <w:rPr>
          <w:rFonts w:ascii="Times New Roman" w:hAnsi="Times New Roman" w:cs="Times New Roman"/>
        </w:rPr>
        <w:t>The study of federalism has a long scholarly history, and stud</w:t>
      </w:r>
      <w:r w:rsidR="00661CBD">
        <w:rPr>
          <w:rFonts w:ascii="Times New Roman" w:hAnsi="Times New Roman" w:cs="Times New Roman"/>
        </w:rPr>
        <w:t xml:space="preserve">ies usually involve the </w:t>
      </w:r>
      <w:r w:rsidR="00430357">
        <w:rPr>
          <w:rFonts w:ascii="Times New Roman" w:hAnsi="Times New Roman" w:cs="Times New Roman"/>
        </w:rPr>
        <w:t>case studies of the U.S., Canada, Switzerland, and Germany. Definitions concerning what constitutes a federal polity are often in debate, but usually involve the central idea of a combination of self-</w:t>
      </w:r>
      <w:r w:rsidR="00430357">
        <w:rPr>
          <w:rFonts w:ascii="Times New Roman" w:hAnsi="Times New Roman" w:cs="Times New Roman"/>
        </w:rPr>
        <w:lastRenderedPageBreak/>
        <w:t>ru</w:t>
      </w:r>
      <w:r w:rsidR="00446C2A">
        <w:rPr>
          <w:rFonts w:ascii="Times New Roman" w:hAnsi="Times New Roman" w:cs="Times New Roman"/>
        </w:rPr>
        <w:t>le and shared rule</w:t>
      </w:r>
      <w:r w:rsidR="00446C2A">
        <w:rPr>
          <w:rStyle w:val="FootnoteReference"/>
          <w:rFonts w:ascii="Times New Roman" w:hAnsi="Times New Roman" w:cs="Times New Roman"/>
        </w:rPr>
        <w:footnoteReference w:id="18"/>
      </w:r>
      <w:r w:rsidR="00F651BE">
        <w:rPr>
          <w:rFonts w:ascii="Times New Roman" w:hAnsi="Times New Roman" w:cs="Times New Roman"/>
        </w:rPr>
        <w:t xml:space="preserve">; </w:t>
      </w:r>
      <w:r w:rsidR="00430357">
        <w:rPr>
          <w:rFonts w:ascii="Times New Roman" w:hAnsi="Times New Roman" w:cs="Times New Roman"/>
        </w:rPr>
        <w:t xml:space="preserve">basically, a form of governance that balances authority between a central entity and </w:t>
      </w:r>
      <w:r w:rsidR="00F651BE">
        <w:rPr>
          <w:rFonts w:ascii="Times New Roman" w:hAnsi="Times New Roman" w:cs="Times New Roman"/>
        </w:rPr>
        <w:t xml:space="preserve">distinct, self-contained entities. How distinct the self-contained entities are – whether described as regions, provinces, states, </w:t>
      </w:r>
      <w:r w:rsidR="00ED0645">
        <w:rPr>
          <w:rFonts w:ascii="Times New Roman" w:hAnsi="Times New Roman" w:cs="Times New Roman"/>
        </w:rPr>
        <w:t xml:space="preserve">or simply </w:t>
      </w:r>
      <w:r w:rsidR="00F651BE">
        <w:rPr>
          <w:rFonts w:ascii="Times New Roman" w:hAnsi="Times New Roman" w:cs="Times New Roman"/>
        </w:rPr>
        <w:t>autonomous units – is the area of de</w:t>
      </w:r>
      <w:r w:rsidR="00ED0645">
        <w:rPr>
          <w:rFonts w:ascii="Times New Roman" w:hAnsi="Times New Roman" w:cs="Times New Roman"/>
        </w:rPr>
        <w:t>bate within federalist theory. Narrower definitions consider regions to be ‘independent’ within a federal system: “the method of dividing powers so that the general and regional governments are each, within a sphere, co-ordinate and independent.</w:t>
      </w:r>
      <w:r w:rsidR="00446C2A">
        <w:rPr>
          <w:rFonts w:ascii="Times New Roman" w:hAnsi="Times New Roman" w:cs="Times New Roman"/>
        </w:rPr>
        <w:t>”</w:t>
      </w:r>
      <w:r w:rsidR="00446C2A">
        <w:rPr>
          <w:rStyle w:val="FootnoteReference"/>
          <w:rFonts w:ascii="Times New Roman" w:hAnsi="Times New Roman" w:cs="Times New Roman"/>
        </w:rPr>
        <w:footnoteReference w:id="19"/>
      </w:r>
      <w:r w:rsidR="00ED0645">
        <w:rPr>
          <w:rFonts w:ascii="Times New Roman" w:hAnsi="Times New Roman" w:cs="Times New Roman"/>
        </w:rPr>
        <w:t xml:space="preserve"> The emphasis on independence</w:t>
      </w:r>
      <w:r w:rsidR="00353AED">
        <w:rPr>
          <w:rFonts w:ascii="Times New Roman" w:hAnsi="Times New Roman" w:cs="Times New Roman"/>
        </w:rPr>
        <w:t xml:space="preserve">, however, connotes a </w:t>
      </w:r>
      <w:r w:rsidR="00ED0645">
        <w:rPr>
          <w:rFonts w:ascii="Times New Roman" w:hAnsi="Times New Roman" w:cs="Times New Roman"/>
        </w:rPr>
        <w:t>lack of accountability to the federal level</w:t>
      </w:r>
      <w:r w:rsidR="00476D42">
        <w:rPr>
          <w:rFonts w:ascii="Times New Roman" w:hAnsi="Times New Roman" w:cs="Times New Roman"/>
        </w:rPr>
        <w:t>, and potentially the idea of ad hoc</w:t>
      </w:r>
      <w:r w:rsidR="00353AED">
        <w:rPr>
          <w:rFonts w:ascii="Times New Roman" w:hAnsi="Times New Roman" w:cs="Times New Roman"/>
        </w:rPr>
        <w:t xml:space="preserve"> cooperation rather than </w:t>
      </w:r>
      <w:r w:rsidR="00476D42">
        <w:rPr>
          <w:rFonts w:ascii="Times New Roman" w:hAnsi="Times New Roman" w:cs="Times New Roman"/>
        </w:rPr>
        <w:t xml:space="preserve">regular and formal </w:t>
      </w:r>
      <w:r w:rsidR="00353AED">
        <w:rPr>
          <w:rFonts w:ascii="Times New Roman" w:hAnsi="Times New Roman" w:cs="Times New Roman"/>
        </w:rPr>
        <w:t>coordination between regions, which might obscure the visibility and authority of the central government.</w:t>
      </w:r>
      <w:r w:rsidR="00F457D6">
        <w:rPr>
          <w:rFonts w:ascii="Times New Roman" w:hAnsi="Times New Roman" w:cs="Times New Roman"/>
        </w:rPr>
        <w:t xml:space="preserve"> Broader definitions </w:t>
      </w:r>
      <w:r w:rsidR="00446C2A">
        <w:rPr>
          <w:rFonts w:ascii="Times New Roman" w:hAnsi="Times New Roman" w:cs="Times New Roman"/>
        </w:rPr>
        <w:t xml:space="preserve">such as William Riker’s </w:t>
      </w:r>
      <w:r w:rsidR="00F457D6">
        <w:rPr>
          <w:rFonts w:ascii="Times New Roman" w:hAnsi="Times New Roman" w:cs="Times New Roman"/>
        </w:rPr>
        <w:t>contextualize the independence of the region as ‘autonomous’ to account for the cooperation, c</w:t>
      </w:r>
      <w:r w:rsidR="00476D42">
        <w:rPr>
          <w:rFonts w:ascii="Times New Roman" w:hAnsi="Times New Roman" w:cs="Times New Roman"/>
        </w:rPr>
        <w:t>oordination and collaboration between</w:t>
      </w:r>
      <w:r w:rsidR="00F457D6">
        <w:rPr>
          <w:rFonts w:ascii="Times New Roman" w:hAnsi="Times New Roman" w:cs="Times New Roman"/>
        </w:rPr>
        <w:t xml:space="preserve"> federal and local levels: “A Constitution is federal if (1) two levels of government rule the same land and people, (2) each level has at least one area of action in which it is autonomous, and (3) there is some guarantee (even though merely a statement in the constitution) of the autonomy of each government in its own sphere.</w:t>
      </w:r>
      <w:r w:rsidR="00446C2A">
        <w:rPr>
          <w:rFonts w:ascii="Times New Roman" w:hAnsi="Times New Roman" w:cs="Times New Roman"/>
        </w:rPr>
        <w:t>”</w:t>
      </w:r>
      <w:r w:rsidR="00446C2A">
        <w:rPr>
          <w:rStyle w:val="FootnoteReference"/>
          <w:rFonts w:ascii="Times New Roman" w:hAnsi="Times New Roman" w:cs="Times New Roman"/>
        </w:rPr>
        <w:footnoteReference w:id="20"/>
      </w:r>
    </w:p>
    <w:p w:rsidR="00661CBD" w:rsidRDefault="00661CBD" w:rsidP="00A1500D">
      <w:pPr>
        <w:spacing w:line="480" w:lineRule="auto"/>
        <w:jc w:val="both"/>
        <w:rPr>
          <w:rFonts w:ascii="Times New Roman" w:hAnsi="Times New Roman" w:cs="Times New Roman"/>
        </w:rPr>
      </w:pPr>
      <w:r>
        <w:rPr>
          <w:rFonts w:ascii="Times New Roman" w:hAnsi="Times New Roman" w:cs="Times New Roman"/>
        </w:rPr>
        <w:tab/>
        <w:t xml:space="preserve">On the surface, the applicability of the term federal to both Canada and the EU seems straightforward. Canada offers a seminal example of a very decentralized federal polity, with a balance of federal political authority that covers the entire country and provincial authority that is autonomous within its own area. The EU offers an international example of integration of some areas of competency to the supranational level, formed by institutions whose </w:t>
      </w:r>
      <w:r w:rsidR="003A7989">
        <w:rPr>
          <w:rFonts w:ascii="Times New Roman" w:hAnsi="Times New Roman" w:cs="Times New Roman"/>
        </w:rPr>
        <w:t xml:space="preserve">sole </w:t>
      </w:r>
      <w:r>
        <w:rPr>
          <w:rFonts w:ascii="Times New Roman" w:hAnsi="Times New Roman" w:cs="Times New Roman"/>
        </w:rPr>
        <w:t xml:space="preserve">purpose is to </w:t>
      </w:r>
      <w:r w:rsidR="003A7989">
        <w:rPr>
          <w:rFonts w:ascii="Times New Roman" w:hAnsi="Times New Roman" w:cs="Times New Roman"/>
        </w:rPr>
        <w:t>govern those policy areas delegated to the supranational level, while</w:t>
      </w:r>
      <w:r>
        <w:rPr>
          <w:rFonts w:ascii="Times New Roman" w:hAnsi="Times New Roman" w:cs="Times New Roman"/>
        </w:rPr>
        <w:t xml:space="preserve"> the domesti</w:t>
      </w:r>
      <w:r w:rsidR="003A7989">
        <w:rPr>
          <w:rFonts w:ascii="Times New Roman" w:hAnsi="Times New Roman" w:cs="Times New Roman"/>
        </w:rPr>
        <w:t>c level maintains</w:t>
      </w:r>
      <w:r>
        <w:rPr>
          <w:rFonts w:ascii="Times New Roman" w:hAnsi="Times New Roman" w:cs="Times New Roman"/>
        </w:rPr>
        <w:t xml:space="preserve"> authority on numerous key areas of decision-making.</w:t>
      </w:r>
      <w:r w:rsidR="003A7989">
        <w:rPr>
          <w:rFonts w:ascii="Times New Roman" w:hAnsi="Times New Roman" w:cs="Times New Roman"/>
        </w:rPr>
        <w:t xml:space="preserve"> The critical distinction, of course, is in the idea of nationhood. Historically, federalism has been associated with state-building and </w:t>
      </w:r>
      <w:r w:rsidR="003A7989">
        <w:rPr>
          <w:rFonts w:ascii="Times New Roman" w:hAnsi="Times New Roman" w:cs="Times New Roman"/>
        </w:rPr>
        <w:lastRenderedPageBreak/>
        <w:t>integration diverse units in</w:t>
      </w:r>
      <w:r w:rsidR="00446C2A">
        <w:rPr>
          <w:rFonts w:ascii="Times New Roman" w:hAnsi="Times New Roman" w:cs="Times New Roman"/>
        </w:rPr>
        <w:t>to nationhood</w:t>
      </w:r>
      <w:r w:rsidR="003A7989">
        <w:rPr>
          <w:rFonts w:ascii="Times New Roman" w:hAnsi="Times New Roman" w:cs="Times New Roman"/>
        </w:rPr>
        <w:t>.</w:t>
      </w:r>
      <w:r w:rsidR="00446C2A">
        <w:rPr>
          <w:rStyle w:val="FootnoteReference"/>
          <w:rFonts w:ascii="Times New Roman" w:hAnsi="Times New Roman" w:cs="Times New Roman"/>
        </w:rPr>
        <w:footnoteReference w:id="21"/>
      </w:r>
      <w:r w:rsidR="003A7989">
        <w:rPr>
          <w:rFonts w:ascii="Times New Roman" w:hAnsi="Times New Roman" w:cs="Times New Roman"/>
        </w:rPr>
        <w:t xml:space="preserve"> Canada is a single country with federalism as the trait, and an overarching ‘federal’ government. The EU is not a nation, and the institutions that comprise the supranational level operate according to intergovernmental treaties.</w:t>
      </w:r>
      <w:r w:rsidR="00446C2A">
        <w:rPr>
          <w:rStyle w:val="FootnoteReference"/>
          <w:rFonts w:ascii="Times New Roman" w:hAnsi="Times New Roman" w:cs="Times New Roman"/>
        </w:rPr>
        <w:footnoteReference w:id="22"/>
      </w:r>
      <w:r w:rsidR="003A7989">
        <w:rPr>
          <w:rFonts w:ascii="Times New Roman" w:hAnsi="Times New Roman" w:cs="Times New Roman"/>
        </w:rPr>
        <w:t xml:space="preserve"> The areas of policy-making proscribed to the European Commission are limited and are at times subject to intergovernmental veto, the treaties do not replace the use of a formal, conventional constitution, and</w:t>
      </w:r>
      <w:r w:rsidR="004537CD">
        <w:rPr>
          <w:rFonts w:ascii="Times New Roman" w:hAnsi="Times New Roman" w:cs="Times New Roman"/>
        </w:rPr>
        <w:t>, at the public level,</w:t>
      </w:r>
      <w:r w:rsidR="003A7989">
        <w:rPr>
          <w:rFonts w:ascii="Times New Roman" w:hAnsi="Times New Roman" w:cs="Times New Roman"/>
        </w:rPr>
        <w:t xml:space="preserve"> the absence of an intuitive idea of European citizenship all heavily limit the depth of European integration. In essence, </w:t>
      </w:r>
      <w:r w:rsidR="004537CD">
        <w:rPr>
          <w:rFonts w:ascii="Times New Roman" w:hAnsi="Times New Roman" w:cs="Times New Roman"/>
        </w:rPr>
        <w:t xml:space="preserve">the invention of </w:t>
      </w:r>
      <w:r w:rsidR="00F2767D">
        <w:rPr>
          <w:rFonts w:ascii="Times New Roman" w:hAnsi="Times New Roman" w:cs="Times New Roman"/>
        </w:rPr>
        <w:t>European institutions has</w:t>
      </w:r>
      <w:r w:rsidR="003A7989">
        <w:rPr>
          <w:rFonts w:ascii="Times New Roman" w:hAnsi="Times New Roman" w:cs="Times New Roman"/>
        </w:rPr>
        <w:t xml:space="preserve"> not created a ‘</w:t>
      </w:r>
      <w:proofErr w:type="spellStart"/>
      <w:r w:rsidR="003A7989">
        <w:rPr>
          <w:rFonts w:ascii="Times New Roman" w:hAnsi="Times New Roman" w:cs="Times New Roman"/>
        </w:rPr>
        <w:t>supranation</w:t>
      </w:r>
      <w:proofErr w:type="spellEnd"/>
      <w:r w:rsidR="003A7989">
        <w:rPr>
          <w:rFonts w:ascii="Times New Roman" w:hAnsi="Times New Roman" w:cs="Times New Roman"/>
        </w:rPr>
        <w:t>’.</w:t>
      </w:r>
    </w:p>
    <w:p w:rsidR="007D552A" w:rsidRPr="007C6C63" w:rsidRDefault="007D552A" w:rsidP="00A1500D">
      <w:pPr>
        <w:spacing w:line="480" w:lineRule="auto"/>
        <w:jc w:val="both"/>
        <w:rPr>
          <w:rFonts w:ascii="Times New Roman" w:hAnsi="Times New Roman" w:cs="Times New Roman"/>
        </w:rPr>
      </w:pPr>
      <w:r>
        <w:rPr>
          <w:rFonts w:ascii="Times New Roman" w:hAnsi="Times New Roman" w:cs="Times New Roman"/>
        </w:rPr>
        <w:tab/>
      </w:r>
      <w:r w:rsidR="00112B7D">
        <w:rPr>
          <w:rFonts w:ascii="Times New Roman" w:hAnsi="Times New Roman" w:cs="Times New Roman"/>
        </w:rPr>
        <w:t xml:space="preserve">Nations and nationalism aside, however, the EU has many characteristics that lead scholars to comfortably group it within comparative federal </w:t>
      </w:r>
      <w:proofErr w:type="spellStart"/>
      <w:r w:rsidR="00112B7D">
        <w:rPr>
          <w:rFonts w:ascii="Times New Roman" w:hAnsi="Times New Roman" w:cs="Times New Roman"/>
        </w:rPr>
        <w:t>polities</w:t>
      </w:r>
      <w:proofErr w:type="spellEnd"/>
      <w:r w:rsidR="00112B7D">
        <w:rPr>
          <w:rFonts w:ascii="Times New Roman" w:hAnsi="Times New Roman" w:cs="Times New Roman"/>
        </w:rPr>
        <w:t>. The major EU institutions comprise an integrated system of governance, a fully institutionalized ‘unity in diversity’, and a genuine political order of structured power. The federal principle is there, if not the conventional federal state.</w:t>
      </w:r>
      <w:r w:rsidR="00112B7D">
        <w:rPr>
          <w:rStyle w:val="FootnoteReference"/>
          <w:rFonts w:ascii="Times New Roman" w:hAnsi="Times New Roman" w:cs="Times New Roman"/>
        </w:rPr>
        <w:footnoteReference w:id="23"/>
      </w:r>
      <w:r w:rsidR="00112B7D">
        <w:rPr>
          <w:rFonts w:ascii="Times New Roman" w:hAnsi="Times New Roman" w:cs="Times New Roman"/>
        </w:rPr>
        <w:t xml:space="preserve"> The absence of nationhood as described by Friedrich (“a </w:t>
      </w:r>
      <w:proofErr w:type="spellStart"/>
      <w:r w:rsidR="00112B7D">
        <w:rPr>
          <w:rFonts w:ascii="Times New Roman" w:hAnsi="Times New Roman" w:cs="Times New Roman"/>
        </w:rPr>
        <w:t>multicentred</w:t>
      </w:r>
      <w:proofErr w:type="spellEnd"/>
      <w:r w:rsidR="00112B7D">
        <w:rPr>
          <w:rFonts w:ascii="Times New Roman" w:hAnsi="Times New Roman" w:cs="Times New Roman"/>
        </w:rPr>
        <w:t xml:space="preserve"> authority, democratically legitimized and pluralistically accepting the basic fact that each citizen belongs to two communities, that of his state and that of the nation at large”),</w:t>
      </w:r>
      <w:r w:rsidR="00112B7D">
        <w:rPr>
          <w:rStyle w:val="FootnoteReference"/>
          <w:rFonts w:ascii="Times New Roman" w:hAnsi="Times New Roman" w:cs="Times New Roman"/>
        </w:rPr>
        <w:footnoteReference w:id="24"/>
      </w:r>
      <w:r w:rsidR="00112B7D">
        <w:rPr>
          <w:rFonts w:ascii="Times New Roman" w:hAnsi="Times New Roman" w:cs="Times New Roman"/>
        </w:rPr>
        <w:t xml:space="preserve"> or aversion to applying the term federal to the EU (as perhaps best exemplified by the membership of the UK), becomes simply politics, rather than institutional fact.</w:t>
      </w:r>
      <w:r w:rsidR="00120657">
        <w:rPr>
          <w:rFonts w:ascii="Times New Roman" w:hAnsi="Times New Roman" w:cs="Times New Roman"/>
        </w:rPr>
        <w:t xml:space="preserve"> When analyzed according to </w:t>
      </w:r>
      <w:proofErr w:type="spellStart"/>
      <w:r w:rsidR="00120657">
        <w:rPr>
          <w:rFonts w:ascii="Times New Roman" w:hAnsi="Times New Roman" w:cs="Times New Roman"/>
        </w:rPr>
        <w:t>behaviour</w:t>
      </w:r>
      <w:proofErr w:type="spellEnd"/>
      <w:r w:rsidR="00120657">
        <w:rPr>
          <w:rFonts w:ascii="Times New Roman" w:hAnsi="Times New Roman" w:cs="Times New Roman"/>
        </w:rPr>
        <w:t xml:space="preserve"> in specific political situations rather than according to abstract typologies, the EU often conforms strongly to federal principles, as the case of CETA negotiations demonstrates. The distinction is significant for evolving paradigms of shared rule in the globalized 21</w:t>
      </w:r>
      <w:r w:rsidR="00120657" w:rsidRPr="00120657">
        <w:rPr>
          <w:rFonts w:ascii="Times New Roman" w:hAnsi="Times New Roman" w:cs="Times New Roman"/>
          <w:vertAlign w:val="superscript"/>
        </w:rPr>
        <w:t>st</w:t>
      </w:r>
      <w:r w:rsidR="00120657">
        <w:rPr>
          <w:rFonts w:ascii="Times New Roman" w:hAnsi="Times New Roman" w:cs="Times New Roman"/>
        </w:rPr>
        <w:t xml:space="preserve"> century.</w:t>
      </w:r>
    </w:p>
    <w:p w:rsidR="007C6C63" w:rsidRDefault="007C6C63" w:rsidP="00A1500D">
      <w:pPr>
        <w:spacing w:line="480" w:lineRule="auto"/>
        <w:jc w:val="both"/>
        <w:rPr>
          <w:rFonts w:ascii="Times New Roman" w:hAnsi="Times New Roman" w:cs="Times New Roman"/>
          <w:u w:val="single"/>
        </w:rPr>
      </w:pPr>
    </w:p>
    <w:p w:rsidR="00B30D6A" w:rsidRDefault="009C4CC3" w:rsidP="00A1500D">
      <w:pPr>
        <w:spacing w:line="480" w:lineRule="auto"/>
        <w:jc w:val="both"/>
        <w:rPr>
          <w:rFonts w:ascii="Times New Roman" w:hAnsi="Times New Roman" w:cs="Times New Roman"/>
        </w:rPr>
      </w:pPr>
      <w:r>
        <w:rPr>
          <w:rFonts w:ascii="Times New Roman" w:hAnsi="Times New Roman" w:cs="Times New Roman"/>
          <w:u w:val="single"/>
        </w:rPr>
        <w:lastRenderedPageBreak/>
        <w:t>Canadian federalism in CETA</w:t>
      </w:r>
    </w:p>
    <w:p w:rsidR="00B30D6A" w:rsidRDefault="000E129F" w:rsidP="00A1500D">
      <w:pPr>
        <w:spacing w:line="480" w:lineRule="auto"/>
        <w:ind w:firstLine="720"/>
        <w:jc w:val="both"/>
        <w:rPr>
          <w:rFonts w:ascii="Times New Roman" w:hAnsi="Times New Roman" w:cs="Times New Roman"/>
        </w:rPr>
      </w:pPr>
      <w:r>
        <w:rPr>
          <w:rFonts w:ascii="Times New Roman" w:hAnsi="Times New Roman" w:cs="Times New Roman"/>
        </w:rPr>
        <w:t>While Canada has a relatively decentralized form of federation, t</w:t>
      </w:r>
      <w:r w:rsidR="007C350E">
        <w:rPr>
          <w:rFonts w:ascii="Times New Roman" w:hAnsi="Times New Roman" w:cs="Times New Roman"/>
        </w:rPr>
        <w:t>he regulation of trade and commerce, and thus i</w:t>
      </w:r>
      <w:r w:rsidR="00763F07">
        <w:rPr>
          <w:rFonts w:ascii="Times New Roman" w:hAnsi="Times New Roman" w:cs="Times New Roman"/>
        </w:rPr>
        <w:t>nternati</w:t>
      </w:r>
      <w:r w:rsidR="007C350E">
        <w:rPr>
          <w:rFonts w:ascii="Times New Roman" w:hAnsi="Times New Roman" w:cs="Times New Roman"/>
        </w:rPr>
        <w:t xml:space="preserve">onal trade agreements, </w:t>
      </w:r>
      <w:r w:rsidR="00763F07">
        <w:rPr>
          <w:rFonts w:ascii="Times New Roman" w:hAnsi="Times New Roman" w:cs="Times New Roman"/>
        </w:rPr>
        <w:t xml:space="preserve">are the </w:t>
      </w:r>
      <w:r w:rsidR="007C350E">
        <w:rPr>
          <w:rFonts w:ascii="Times New Roman" w:hAnsi="Times New Roman" w:cs="Times New Roman"/>
        </w:rPr>
        <w:t>sole jurisdiction of the Canadian federal government</w:t>
      </w:r>
      <w:r w:rsidR="00726471">
        <w:rPr>
          <w:rFonts w:ascii="Times New Roman" w:hAnsi="Times New Roman" w:cs="Times New Roman"/>
        </w:rPr>
        <w:t xml:space="preserve"> as protected by the Canadian Constitution</w:t>
      </w:r>
      <w:r w:rsidR="007C350E">
        <w:rPr>
          <w:rFonts w:ascii="Times New Roman" w:hAnsi="Times New Roman" w:cs="Times New Roman"/>
        </w:rPr>
        <w:t xml:space="preserve">. </w:t>
      </w:r>
      <w:r w:rsidR="0061159E">
        <w:rPr>
          <w:rFonts w:ascii="Times New Roman" w:hAnsi="Times New Roman" w:cs="Times New Roman"/>
        </w:rPr>
        <w:t xml:space="preserve">Although the individual provinces can and do maintain their own general foreign relations independently of the federal government – Quebec and France, for example, or Ontario’s numerous delegations to other countries </w:t>
      </w:r>
      <w:r w:rsidR="00726471">
        <w:rPr>
          <w:rFonts w:ascii="Times New Roman" w:hAnsi="Times New Roman" w:cs="Times New Roman"/>
        </w:rPr>
        <w:t>–</w:t>
      </w:r>
      <w:r w:rsidR="0061159E">
        <w:rPr>
          <w:rFonts w:ascii="Times New Roman" w:hAnsi="Times New Roman" w:cs="Times New Roman"/>
        </w:rPr>
        <w:t xml:space="preserve"> </w:t>
      </w:r>
      <w:r w:rsidR="00726471">
        <w:rPr>
          <w:rFonts w:ascii="Times New Roman" w:hAnsi="Times New Roman" w:cs="Times New Roman"/>
        </w:rPr>
        <w:t>the federal standing Senate Committee on Foreign Affairs and International Trade is the key decision-making and legislative body with the mandate on matters relating to international agreements and international trade.</w:t>
      </w:r>
      <w:r w:rsidR="00726471">
        <w:rPr>
          <w:rStyle w:val="FootnoteReference"/>
          <w:rFonts w:ascii="Times New Roman" w:hAnsi="Times New Roman" w:cs="Times New Roman"/>
        </w:rPr>
        <w:footnoteReference w:id="25"/>
      </w:r>
    </w:p>
    <w:p w:rsidR="00E55962" w:rsidRDefault="00726471" w:rsidP="00A1500D">
      <w:pPr>
        <w:spacing w:line="480" w:lineRule="auto"/>
        <w:ind w:firstLine="720"/>
        <w:jc w:val="both"/>
        <w:rPr>
          <w:rFonts w:ascii="Times New Roman" w:hAnsi="Times New Roman" w:cs="Times New Roman"/>
        </w:rPr>
      </w:pPr>
      <w:r>
        <w:rPr>
          <w:rFonts w:ascii="Times New Roman" w:hAnsi="Times New Roman" w:cs="Times New Roman"/>
        </w:rPr>
        <w:t>The style of Canadian federalism “works in the traditions of both federation and intergovernmental relations” (</w:t>
      </w:r>
      <w:proofErr w:type="spellStart"/>
      <w:r>
        <w:rPr>
          <w:rFonts w:ascii="Times New Roman" w:hAnsi="Times New Roman" w:cs="Times New Roman"/>
        </w:rPr>
        <w:t>Baier</w:t>
      </w:r>
      <w:proofErr w:type="spellEnd"/>
      <w:r>
        <w:rPr>
          <w:rFonts w:ascii="Times New Roman" w:hAnsi="Times New Roman" w:cs="Times New Roman"/>
        </w:rPr>
        <w:t xml:space="preserve"> 2005, 206). The federal government maintains sole authority in trade and commerce a</w:t>
      </w:r>
      <w:r w:rsidR="00D67092">
        <w:rPr>
          <w:rFonts w:ascii="Times New Roman" w:hAnsi="Times New Roman" w:cs="Times New Roman"/>
        </w:rPr>
        <w:t xml:space="preserve">nd numerous other areas, and everything </w:t>
      </w:r>
      <w:r w:rsidR="00D67092" w:rsidRPr="00D67092">
        <w:rPr>
          <w:rFonts w:ascii="Times New Roman" w:hAnsi="Times New Roman" w:cs="Times New Roman"/>
          <w:i/>
        </w:rPr>
        <w:t>not</w:t>
      </w:r>
      <w:r w:rsidR="00D67092">
        <w:rPr>
          <w:rFonts w:ascii="Times New Roman" w:hAnsi="Times New Roman" w:cs="Times New Roman"/>
        </w:rPr>
        <w:t xml:space="preserve"> specifically stated as belonging to the provincial levels of authority in the Constitution comes under the national Parliament.</w:t>
      </w:r>
      <w:r w:rsidR="00D67092">
        <w:rPr>
          <w:rStyle w:val="FootnoteReference"/>
          <w:rFonts w:ascii="Times New Roman" w:hAnsi="Times New Roman" w:cs="Times New Roman"/>
        </w:rPr>
        <w:footnoteReference w:id="26"/>
      </w:r>
      <w:r w:rsidR="00C20DFA">
        <w:rPr>
          <w:rFonts w:ascii="Times New Roman" w:hAnsi="Times New Roman" w:cs="Times New Roman"/>
        </w:rPr>
        <w:t xml:space="preserve"> </w:t>
      </w:r>
      <w:r w:rsidR="00C66606">
        <w:rPr>
          <w:rFonts w:ascii="Times New Roman" w:hAnsi="Times New Roman" w:cs="Times New Roman"/>
        </w:rPr>
        <w:t>For trade and commerce, however, the negotiation of international agreement</w:t>
      </w:r>
      <w:r w:rsidR="00D47BD8">
        <w:rPr>
          <w:rFonts w:ascii="Times New Roman" w:hAnsi="Times New Roman" w:cs="Times New Roman"/>
        </w:rPr>
        <w:t>s that</w:t>
      </w:r>
      <w:r w:rsidR="00C66606">
        <w:rPr>
          <w:rFonts w:ascii="Times New Roman" w:hAnsi="Times New Roman" w:cs="Times New Roman"/>
        </w:rPr>
        <w:t xml:space="preserve"> are increasingly more comprehensive and targeted toward regulations and other non-tariff barriers</w:t>
      </w:r>
      <w:r w:rsidR="00D47BD8">
        <w:rPr>
          <w:rFonts w:ascii="Times New Roman" w:hAnsi="Times New Roman" w:cs="Times New Roman"/>
        </w:rPr>
        <w:t>,</w:t>
      </w:r>
      <w:r w:rsidR="00DD51FB">
        <w:rPr>
          <w:rFonts w:ascii="Times New Roman" w:hAnsi="Times New Roman" w:cs="Times New Roman"/>
        </w:rPr>
        <w:t xml:space="preserve"> make it more likely that commitments – and thus procedure of conducting negotiations – will be made in areas of either shared federal-provincial jurisdiction, or simply provincial jurisdiction.</w:t>
      </w:r>
    </w:p>
    <w:p w:rsidR="00E55962" w:rsidRPr="005B36A2" w:rsidRDefault="001C3A32" w:rsidP="00356C96">
      <w:pPr>
        <w:ind w:left="720" w:right="720"/>
        <w:jc w:val="both"/>
        <w:rPr>
          <w:rFonts w:ascii="Times New Roman" w:hAnsi="Times New Roman" w:cs="Times New Roman"/>
          <w:sz w:val="20"/>
          <w:szCs w:val="20"/>
        </w:rPr>
      </w:pPr>
      <w:r w:rsidRPr="005B36A2">
        <w:rPr>
          <w:rFonts w:ascii="Times New Roman" w:hAnsi="Times New Roman" w:cs="Times New Roman"/>
          <w:sz w:val="20"/>
          <w:szCs w:val="20"/>
        </w:rPr>
        <w:t>“</w:t>
      </w:r>
      <w:r w:rsidR="00E55962" w:rsidRPr="005B36A2">
        <w:rPr>
          <w:rFonts w:ascii="Times New Roman" w:hAnsi="Times New Roman" w:cs="Times New Roman"/>
          <w:sz w:val="20"/>
          <w:szCs w:val="20"/>
        </w:rPr>
        <w:t>Greater participation by the provinces and territories makes the negotiation process more complex because of the level of coordination involved in developing the Canadian position. That said, cooperation should make it possible to avoid a situation in which a province or territory is opposed to the text of an agreement and would jeopardize the implementation of some of the clauses in the agreement.</w:t>
      </w:r>
      <w:r w:rsidRPr="005B36A2">
        <w:rPr>
          <w:rFonts w:ascii="Times New Roman" w:hAnsi="Times New Roman" w:cs="Times New Roman"/>
          <w:sz w:val="20"/>
          <w:szCs w:val="20"/>
        </w:rPr>
        <w:t xml:space="preserve"> </w:t>
      </w:r>
      <w:r w:rsidR="00E55962" w:rsidRPr="005B36A2">
        <w:rPr>
          <w:rFonts w:ascii="Times New Roman" w:hAnsi="Times New Roman" w:cs="Times New Roman"/>
          <w:sz w:val="20"/>
          <w:szCs w:val="20"/>
        </w:rPr>
        <w:t>Because European negotiators want a CETA with Canada to include government procurement at the provincial, territorial and municipal levels and have made it a priority, consultation with the various levels of government in Canada is of even greater importance.</w:t>
      </w:r>
      <w:r w:rsidRPr="005B36A2">
        <w:rPr>
          <w:rFonts w:ascii="Times New Roman" w:hAnsi="Times New Roman" w:cs="Times New Roman"/>
          <w:sz w:val="20"/>
          <w:szCs w:val="20"/>
        </w:rPr>
        <w:t>”</w:t>
      </w:r>
      <w:r w:rsidRPr="005B36A2">
        <w:rPr>
          <w:rStyle w:val="FootnoteReference"/>
          <w:rFonts w:ascii="Times New Roman" w:hAnsi="Times New Roman" w:cs="Times New Roman"/>
          <w:sz w:val="20"/>
          <w:szCs w:val="20"/>
        </w:rPr>
        <w:footnoteReference w:id="27"/>
      </w:r>
      <w:r w:rsidR="00E55962" w:rsidRPr="005B36A2">
        <w:rPr>
          <w:rFonts w:ascii="Times New Roman" w:hAnsi="Times New Roman" w:cs="Times New Roman"/>
          <w:sz w:val="20"/>
          <w:szCs w:val="20"/>
        </w:rPr>
        <w:t xml:space="preserve"> </w:t>
      </w:r>
    </w:p>
    <w:p w:rsidR="001C3A32" w:rsidRDefault="001C3A32" w:rsidP="00A1500D">
      <w:pPr>
        <w:spacing w:line="480" w:lineRule="auto"/>
        <w:jc w:val="both"/>
        <w:rPr>
          <w:rFonts w:ascii="Times New Roman" w:hAnsi="Times New Roman" w:cs="Times New Roman"/>
        </w:rPr>
      </w:pPr>
    </w:p>
    <w:p w:rsidR="007C350E" w:rsidRDefault="001C3A32" w:rsidP="00A1500D">
      <w:pPr>
        <w:spacing w:line="480" w:lineRule="auto"/>
        <w:jc w:val="both"/>
        <w:rPr>
          <w:rFonts w:ascii="Times New Roman" w:hAnsi="Times New Roman" w:cs="Times New Roman"/>
        </w:rPr>
      </w:pPr>
      <w:r>
        <w:rPr>
          <w:rFonts w:ascii="Times New Roman" w:hAnsi="Times New Roman" w:cs="Times New Roman"/>
        </w:rPr>
        <w:t xml:space="preserve">From the outset of negotiations, European officials demanded the participation of the provinces as a device of ‘pre-commitment’. This was both a reaction to previous failed attempts at agreements due to provincial unwillingness, and a necessity due to the areas of provincial jurisdiction proposed under CETA: government procurement, public services, </w:t>
      </w:r>
      <w:proofErr w:type="spellStart"/>
      <w:r>
        <w:rPr>
          <w:rFonts w:ascii="Times New Roman" w:hAnsi="Times New Roman" w:cs="Times New Roman"/>
        </w:rPr>
        <w:t>labour</w:t>
      </w:r>
      <w:proofErr w:type="spellEnd"/>
      <w:r>
        <w:rPr>
          <w:rFonts w:ascii="Times New Roman" w:hAnsi="Times New Roman" w:cs="Times New Roman"/>
        </w:rPr>
        <w:t xml:space="preserve"> mobility, and harmonization of regulations. This would be the first large-scale trade agreement in Canada to formally include sub-national governments</w:t>
      </w:r>
      <w:r w:rsidR="009D5493">
        <w:rPr>
          <w:rFonts w:ascii="Times New Roman" w:hAnsi="Times New Roman" w:cs="Times New Roman"/>
        </w:rPr>
        <w:t>.</w:t>
      </w:r>
      <w:r>
        <w:rPr>
          <w:rStyle w:val="FootnoteReference"/>
          <w:rFonts w:ascii="Times New Roman" w:hAnsi="Times New Roman" w:cs="Times New Roman"/>
        </w:rPr>
        <w:footnoteReference w:id="28"/>
      </w:r>
      <w:r w:rsidR="009D5493">
        <w:rPr>
          <w:rFonts w:ascii="Times New Roman" w:hAnsi="Times New Roman" w:cs="Times New Roman"/>
        </w:rPr>
        <w:t xml:space="preserve"> The significance of this is both in procedure and in internal impact: procedurally, the mode of negotiation with provincial involvement created a precedent for intergovernmental federalism in the areas of trade and commerce; in terms of impact, sub-national inclusion in negotiations resulted in, if not actual greater internal policy coherence, the discussion and identification of a </w:t>
      </w:r>
      <w:r w:rsidR="009D5493">
        <w:rPr>
          <w:rFonts w:ascii="Times New Roman" w:hAnsi="Times New Roman" w:cs="Times New Roman"/>
          <w:i/>
        </w:rPr>
        <w:t>need</w:t>
      </w:r>
      <w:r w:rsidR="009D5493">
        <w:rPr>
          <w:rFonts w:ascii="Times New Roman" w:hAnsi="Times New Roman" w:cs="Times New Roman"/>
        </w:rPr>
        <w:t xml:space="preserve"> for greater internal policy coherence for trade in Canada.</w:t>
      </w:r>
      <w:r w:rsidR="00806E6E">
        <w:rPr>
          <w:rStyle w:val="FootnoteReference"/>
          <w:rFonts w:ascii="Times New Roman" w:hAnsi="Times New Roman" w:cs="Times New Roman"/>
        </w:rPr>
        <w:footnoteReference w:id="29"/>
      </w:r>
      <w:r w:rsidR="00806E6E">
        <w:rPr>
          <w:rFonts w:ascii="Times New Roman" w:hAnsi="Times New Roman" w:cs="Times New Roman"/>
        </w:rPr>
        <w:t xml:space="preserve"> The Canadian market is “fragmented” and “inhibits commitments to trading partners” as a result.</w:t>
      </w:r>
      <w:r w:rsidR="00806E6E">
        <w:rPr>
          <w:rStyle w:val="FootnoteReference"/>
          <w:rFonts w:ascii="Times New Roman" w:hAnsi="Times New Roman" w:cs="Times New Roman"/>
        </w:rPr>
        <w:footnoteReference w:id="30"/>
      </w:r>
      <w:r w:rsidR="005B36A2">
        <w:rPr>
          <w:rFonts w:ascii="Times New Roman" w:hAnsi="Times New Roman" w:cs="Times New Roman"/>
        </w:rPr>
        <w:t xml:space="preserve"> Despite provincial regulations that inadvertently create barriers to trade, the Supreme Court of Canada has not taken a</w:t>
      </w:r>
      <w:r w:rsidR="009B5436">
        <w:rPr>
          <w:rFonts w:ascii="Times New Roman" w:hAnsi="Times New Roman" w:cs="Times New Roman"/>
        </w:rPr>
        <w:t>n activist</w:t>
      </w:r>
      <w:r w:rsidR="005B36A2">
        <w:rPr>
          <w:rFonts w:ascii="Times New Roman" w:hAnsi="Times New Roman" w:cs="Times New Roman"/>
        </w:rPr>
        <w:t xml:space="preserve"> role in attending to such barriers as obstacles to </w:t>
      </w:r>
      <w:r w:rsidR="009B5436">
        <w:rPr>
          <w:rFonts w:ascii="Times New Roman" w:hAnsi="Times New Roman" w:cs="Times New Roman"/>
        </w:rPr>
        <w:t xml:space="preserve">the goal of </w:t>
      </w:r>
      <w:r w:rsidR="005B36A2">
        <w:rPr>
          <w:rFonts w:ascii="Times New Roman" w:hAnsi="Times New Roman" w:cs="Times New Roman"/>
        </w:rPr>
        <w:t xml:space="preserve">a strong </w:t>
      </w:r>
      <w:r w:rsidR="009B5436">
        <w:rPr>
          <w:rFonts w:ascii="Times New Roman" w:hAnsi="Times New Roman" w:cs="Times New Roman"/>
        </w:rPr>
        <w:t xml:space="preserve">Canadian </w:t>
      </w:r>
      <w:r w:rsidR="005B36A2">
        <w:rPr>
          <w:rFonts w:ascii="Times New Roman" w:hAnsi="Times New Roman" w:cs="Times New Roman"/>
        </w:rPr>
        <w:t>economic union. Intergovernmental politicking between provinces and the federal level are the dominant form of resolution (or attempts at) for provincial carriers. This is in direct contrast to the EU, where the European Court of Justice (ECJ) has played a critical role in forming a</w:t>
      </w:r>
      <w:r w:rsidR="009B5436">
        <w:rPr>
          <w:rFonts w:ascii="Times New Roman" w:hAnsi="Times New Roman" w:cs="Times New Roman"/>
        </w:rPr>
        <w:t xml:space="preserve">nd maintaining the strength of </w:t>
      </w:r>
      <w:r w:rsidR="005B36A2">
        <w:rPr>
          <w:rFonts w:ascii="Times New Roman" w:hAnsi="Times New Roman" w:cs="Times New Roman"/>
        </w:rPr>
        <w:t>the Single Market: “As a result, the Canadian market is much less integrated than the EU one, which may seem surprising to European lawyers given that Canada is a fully-fledged federal state.”</w:t>
      </w:r>
      <w:r w:rsidR="005B36A2">
        <w:rPr>
          <w:rStyle w:val="FootnoteReference"/>
          <w:rFonts w:ascii="Times New Roman" w:hAnsi="Times New Roman" w:cs="Times New Roman"/>
        </w:rPr>
        <w:footnoteReference w:id="31"/>
      </w:r>
    </w:p>
    <w:p w:rsidR="007C350E" w:rsidRDefault="009B5436" w:rsidP="00A1500D">
      <w:pPr>
        <w:spacing w:line="480" w:lineRule="auto"/>
        <w:jc w:val="both"/>
        <w:rPr>
          <w:rFonts w:ascii="Times New Roman" w:hAnsi="Times New Roman" w:cs="Times New Roman"/>
        </w:rPr>
      </w:pPr>
      <w:r>
        <w:rPr>
          <w:rFonts w:ascii="Times New Roman" w:hAnsi="Times New Roman" w:cs="Times New Roman"/>
        </w:rPr>
        <w:lastRenderedPageBreak/>
        <w:tab/>
        <w:t xml:space="preserve">The anticipated finalization of CETA in 2015 holds strong potential to significantly reshape the dynamics of Canadian federalism. The size and scope of the agreement, with all the attendant rationales for pursuing the agreement (sizable growth in Canadian exports, diversification of regional economic interdependence, access to EU single market), offer enormous leverage for policy-makers and civil society alike to undertake large-scale procedural changes in order to maximize the benefits and reduce the risks of what CETA has to offer. Heightening the internal coherency and efficiency of the Canadian market is critical in this respect. </w:t>
      </w:r>
      <w:r w:rsidR="00FD3DE2">
        <w:rPr>
          <w:rFonts w:ascii="Times New Roman" w:hAnsi="Times New Roman" w:cs="Times New Roman"/>
        </w:rPr>
        <w:t>In doing so, provinces will voluntarily reduce their autonomy to pursue divergent policies and would thus consequently bolster the power of the federal government. This would be an important departure from the principle of provincial legislative sovereignty that comes as a result of globalized liberalization: “With globalization increasingly pushing to the international level the governance of issues that were once considered solely domestic – and thus in provincial jurisdiction – Canada must be institutionally prepared to take a strong common position and ensure commitment at all levels of government to international agreements. Otherwise, we run the risk of losing our ability to interact economically and politically at the international level.”</w:t>
      </w:r>
      <w:r w:rsidR="00FD3DE2">
        <w:rPr>
          <w:rStyle w:val="FootnoteReference"/>
          <w:rFonts w:ascii="Times New Roman" w:hAnsi="Times New Roman" w:cs="Times New Roman"/>
        </w:rPr>
        <w:footnoteReference w:id="32"/>
      </w:r>
      <w:r w:rsidR="00FD3DE2">
        <w:rPr>
          <w:rFonts w:ascii="Times New Roman" w:hAnsi="Times New Roman" w:cs="Times New Roman"/>
        </w:rPr>
        <w:t xml:space="preserve"> </w:t>
      </w:r>
    </w:p>
    <w:p w:rsidR="007C350E" w:rsidRDefault="007C350E" w:rsidP="00A1500D">
      <w:pPr>
        <w:spacing w:line="480" w:lineRule="auto"/>
        <w:jc w:val="both"/>
        <w:rPr>
          <w:rFonts w:ascii="Times New Roman" w:hAnsi="Times New Roman" w:cs="Times New Roman"/>
        </w:rPr>
      </w:pPr>
    </w:p>
    <w:p w:rsidR="00B30D6A" w:rsidRDefault="00B30D6A" w:rsidP="00A1500D">
      <w:pPr>
        <w:spacing w:line="480" w:lineRule="auto"/>
        <w:jc w:val="both"/>
        <w:rPr>
          <w:rFonts w:ascii="Times New Roman" w:hAnsi="Times New Roman" w:cs="Times New Roman"/>
          <w:u w:val="single"/>
        </w:rPr>
      </w:pPr>
      <w:r>
        <w:rPr>
          <w:rFonts w:ascii="Times New Roman" w:hAnsi="Times New Roman" w:cs="Times New Roman"/>
          <w:u w:val="single"/>
        </w:rPr>
        <w:t>The European Union</w:t>
      </w:r>
      <w:r w:rsidR="009C4CC3">
        <w:rPr>
          <w:rFonts w:ascii="Times New Roman" w:hAnsi="Times New Roman" w:cs="Times New Roman"/>
          <w:u w:val="single"/>
        </w:rPr>
        <w:t xml:space="preserve"> and CETA</w:t>
      </w:r>
    </w:p>
    <w:p w:rsidR="009F5546" w:rsidRDefault="009F5546" w:rsidP="00A1500D">
      <w:pPr>
        <w:spacing w:line="480" w:lineRule="auto"/>
        <w:jc w:val="both"/>
        <w:rPr>
          <w:rFonts w:ascii="Times New Roman" w:hAnsi="Times New Roman" w:cs="Times New Roman"/>
        </w:rPr>
      </w:pPr>
      <w:r>
        <w:rPr>
          <w:rFonts w:ascii="Times New Roman" w:hAnsi="Times New Roman" w:cs="Times New Roman"/>
        </w:rPr>
        <w:tab/>
        <w:t>Trade and economic relationships with external countries are one of the longest standing policies of the European Union.</w:t>
      </w:r>
      <w:r w:rsidR="00396452">
        <w:rPr>
          <w:rFonts w:ascii="Times New Roman" w:hAnsi="Times New Roman" w:cs="Times New Roman"/>
        </w:rPr>
        <w:t xml:space="preserve"> The 1957 Treaty of Rome held</w:t>
      </w:r>
      <w:r>
        <w:rPr>
          <w:rFonts w:ascii="Times New Roman" w:hAnsi="Times New Roman" w:cs="Times New Roman"/>
        </w:rPr>
        <w:t xml:space="preserve"> that an internal customs union required a uniform external tariff and single trade agreements with non-EC members. The six EC members at the time delegated authority for this policy area to the European institutions, effectively enabling the European Commission – responsible for agenda-setting and initiating legislation – to speak with one voice in international economic negotiations, and setting the </w:t>
      </w:r>
      <w:r>
        <w:rPr>
          <w:rFonts w:ascii="Times New Roman" w:hAnsi="Times New Roman" w:cs="Times New Roman"/>
        </w:rPr>
        <w:lastRenderedPageBreak/>
        <w:t>expectation that enlargement to future members would mandate the criterion of pooling sovereignty in the same way.</w:t>
      </w:r>
      <w:r>
        <w:rPr>
          <w:rStyle w:val="FootnoteReference"/>
          <w:rFonts w:ascii="Times New Roman" w:hAnsi="Times New Roman" w:cs="Times New Roman"/>
        </w:rPr>
        <w:footnoteReference w:id="33"/>
      </w:r>
    </w:p>
    <w:p w:rsidR="00FD51C1" w:rsidRDefault="009F5546" w:rsidP="00A1500D">
      <w:pPr>
        <w:spacing w:line="480" w:lineRule="auto"/>
        <w:jc w:val="both"/>
        <w:rPr>
          <w:rFonts w:ascii="Times New Roman" w:hAnsi="Times New Roman" w:cs="Times New Roman"/>
        </w:rPr>
      </w:pPr>
      <w:r>
        <w:rPr>
          <w:rFonts w:ascii="Times New Roman" w:hAnsi="Times New Roman" w:cs="Times New Roman"/>
        </w:rPr>
        <w:tab/>
        <w:t>The single EU market was one of the central goals of European integration and remains, arguably, the EU’s biggest achievement. The assignment of international trade agreements to the supranational level could thus be seen as unsurprising, given the early urgency for a European Economic Community. The logic of European integration suf</w:t>
      </w:r>
      <w:r w:rsidR="001E6ADE">
        <w:rPr>
          <w:rFonts w:ascii="Times New Roman" w:hAnsi="Times New Roman" w:cs="Times New Roman"/>
        </w:rPr>
        <w:t xml:space="preserve">ficed to maintain support for a </w:t>
      </w:r>
      <w:r>
        <w:rPr>
          <w:rFonts w:ascii="Times New Roman" w:hAnsi="Times New Roman" w:cs="Times New Roman"/>
        </w:rPr>
        <w:t>supranational trade policy</w:t>
      </w:r>
      <w:r w:rsidR="00396452">
        <w:rPr>
          <w:rFonts w:ascii="Times New Roman" w:hAnsi="Times New Roman" w:cs="Times New Roman"/>
        </w:rPr>
        <w:t xml:space="preserve"> in the face of overlap between</w:t>
      </w:r>
      <w:r w:rsidR="001E6ADE">
        <w:rPr>
          <w:rFonts w:ascii="Times New Roman" w:hAnsi="Times New Roman" w:cs="Times New Roman"/>
        </w:rPr>
        <w:t xml:space="preserve"> domestic</w:t>
      </w:r>
      <w:r w:rsidR="00396452">
        <w:rPr>
          <w:rFonts w:ascii="Times New Roman" w:hAnsi="Times New Roman" w:cs="Times New Roman"/>
        </w:rPr>
        <w:t xml:space="preserve"> issues in the areas of health and the environment with international trade policies</w:t>
      </w:r>
      <w:r w:rsidR="001E6ADE">
        <w:rPr>
          <w:rFonts w:ascii="Times New Roman" w:hAnsi="Times New Roman" w:cs="Times New Roman"/>
        </w:rPr>
        <w:t>. Apart from the immediate relationship between an internal market and a single external trade policy, the relative success of delegation from national to EU level is noteworthy in the context of comparative federalism, n</w:t>
      </w:r>
      <w:r w:rsidR="00396452">
        <w:rPr>
          <w:rFonts w:ascii="Times New Roman" w:hAnsi="Times New Roman" w:cs="Times New Roman"/>
        </w:rPr>
        <w:t>ot in the least when compared to</w:t>
      </w:r>
      <w:r w:rsidR="001E6ADE">
        <w:rPr>
          <w:rFonts w:ascii="Times New Roman" w:hAnsi="Times New Roman" w:cs="Times New Roman"/>
        </w:rPr>
        <w:t xml:space="preserve"> Canada. The European Commission, the executive institution of EU governance that is responsible for representing the interests of Europe as a whole (as opposed to the interests of individual member states), is responsible for setting the agenda and conducting negotiations. The intergovernmental General Affairs Council of Foreign Ministers decides on the negotiation objectives on the basis of a Commission proposal, and ultimately approves the results through </w:t>
      </w:r>
      <w:r w:rsidR="00FD51C1">
        <w:rPr>
          <w:rFonts w:ascii="Times New Roman" w:hAnsi="Times New Roman" w:cs="Times New Roman"/>
        </w:rPr>
        <w:t>the ordinary legislative procedure</w:t>
      </w:r>
      <w:r w:rsidR="00BB7EFB">
        <w:rPr>
          <w:rFonts w:ascii="Times New Roman" w:hAnsi="Times New Roman" w:cs="Times New Roman"/>
        </w:rPr>
        <w:t>.</w:t>
      </w:r>
      <w:r w:rsidR="00BB7EFB">
        <w:rPr>
          <w:rStyle w:val="FootnoteReference"/>
          <w:rFonts w:ascii="Times New Roman" w:hAnsi="Times New Roman" w:cs="Times New Roman"/>
        </w:rPr>
        <w:footnoteReference w:id="34"/>
      </w:r>
      <w:r w:rsidR="00BB7EFB">
        <w:rPr>
          <w:rFonts w:ascii="Times New Roman" w:hAnsi="Times New Roman" w:cs="Times New Roman"/>
        </w:rPr>
        <w:t xml:space="preserve"> This secures the balance of power between governmental levels; the Commission initiates the trade strategy, but the member states must approve the strategy. The scope of the Commission’s executive power covers not just trade in </w:t>
      </w:r>
      <w:r w:rsidR="00BB7EFB">
        <w:rPr>
          <w:rFonts w:ascii="Times New Roman" w:hAnsi="Times New Roman" w:cs="Times New Roman"/>
        </w:rPr>
        <w:lastRenderedPageBreak/>
        <w:t>goods, but also trade in services, intellectual property, foreign direct investment, transport, and capital movements.</w:t>
      </w:r>
      <w:r w:rsidR="00BB7EFB">
        <w:rPr>
          <w:rStyle w:val="FootnoteReference"/>
          <w:rFonts w:ascii="Times New Roman" w:hAnsi="Times New Roman" w:cs="Times New Roman"/>
        </w:rPr>
        <w:footnoteReference w:id="35"/>
      </w:r>
    </w:p>
    <w:p w:rsidR="004853F1" w:rsidRDefault="00351EDC" w:rsidP="00A1500D">
      <w:pPr>
        <w:spacing w:line="480" w:lineRule="auto"/>
        <w:jc w:val="both"/>
        <w:rPr>
          <w:rFonts w:ascii="Times New Roman" w:hAnsi="Times New Roman" w:cs="Times New Roman"/>
        </w:rPr>
      </w:pPr>
      <w:r>
        <w:rPr>
          <w:rFonts w:ascii="Times New Roman" w:hAnsi="Times New Roman" w:cs="Times New Roman"/>
        </w:rPr>
        <w:tab/>
      </w:r>
      <w:r w:rsidR="004853F1">
        <w:rPr>
          <w:rFonts w:ascii="Times New Roman" w:hAnsi="Times New Roman" w:cs="Times New Roman"/>
        </w:rPr>
        <w:t>The single internal market of the EU reached completion in 1992, with the (Maastricht) Treaty on European Union. This allowed for the removal of barriers toward the free movement of goods, services, people, and capital among all EU member states. The introduction of qualified majority voting within the European Council on single market policies in the 1986 Single European Act helped streamline the process toward achieving the single market</w:t>
      </w:r>
      <w:r w:rsidR="00777E8C">
        <w:rPr>
          <w:rFonts w:ascii="Times New Roman" w:hAnsi="Times New Roman" w:cs="Times New Roman"/>
        </w:rPr>
        <w:t>, as it removed the possibility for a single member state to enact veto power in moving market integration forward.</w:t>
      </w:r>
      <w:r w:rsidR="00777E8C">
        <w:rPr>
          <w:rStyle w:val="FootnoteReference"/>
          <w:rFonts w:ascii="Times New Roman" w:hAnsi="Times New Roman" w:cs="Times New Roman"/>
        </w:rPr>
        <w:footnoteReference w:id="36"/>
      </w:r>
      <w:r w:rsidR="00777E8C">
        <w:rPr>
          <w:rFonts w:ascii="Times New Roman" w:hAnsi="Times New Roman" w:cs="Times New Roman"/>
        </w:rPr>
        <w:t xml:space="preserve"> Prior to the single market, the 1979 ECJ ruling in </w:t>
      </w:r>
      <w:r w:rsidR="00777E8C">
        <w:rPr>
          <w:rFonts w:ascii="Times New Roman" w:hAnsi="Times New Roman" w:cs="Times New Roman"/>
          <w:i/>
        </w:rPr>
        <w:t>Cassis de Dijon</w:t>
      </w:r>
      <w:r w:rsidR="00777E8C">
        <w:rPr>
          <w:rFonts w:ascii="Times New Roman" w:hAnsi="Times New Roman" w:cs="Times New Roman"/>
        </w:rPr>
        <w:t xml:space="preserve"> smoothed the way forward for the free movement of goods within the internal market. The case introduced the principle of ‘mutual recognition’, where if a product was available freely for sale in one member state then it must be allowed to do so in all member states. The principle of supremacy, where EU law ultimately trumps national law, protected the </w:t>
      </w:r>
      <w:r w:rsidR="00076D6B">
        <w:rPr>
          <w:rFonts w:ascii="Times New Roman" w:hAnsi="Times New Roman" w:cs="Times New Roman"/>
        </w:rPr>
        <w:t>notion of mutual recognition and prevented member states from enacting egregious protections to restrict the free movement of goods.</w:t>
      </w:r>
      <w:r w:rsidR="00076D6B">
        <w:rPr>
          <w:rStyle w:val="FootnoteReference"/>
          <w:rFonts w:ascii="Times New Roman" w:hAnsi="Times New Roman" w:cs="Times New Roman"/>
        </w:rPr>
        <w:footnoteReference w:id="37"/>
      </w:r>
    </w:p>
    <w:p w:rsidR="00076D6B" w:rsidRPr="00777E8C" w:rsidRDefault="00076D6B" w:rsidP="00A1500D">
      <w:pPr>
        <w:spacing w:line="480" w:lineRule="auto"/>
        <w:jc w:val="both"/>
        <w:rPr>
          <w:rFonts w:ascii="Times New Roman" w:hAnsi="Times New Roman" w:cs="Times New Roman"/>
        </w:rPr>
      </w:pPr>
      <w:r>
        <w:rPr>
          <w:rFonts w:ascii="Times New Roman" w:hAnsi="Times New Roman" w:cs="Times New Roman"/>
        </w:rPr>
        <w:tab/>
        <w:t xml:space="preserve">The degree to which member states have control over single market and external trade policies relates to both the executive authority of the Commission in these policy areas and the central idea of subsidiarity within the EU project. To the former, the institutional component of “autonomy by design” intentionally insulated the Commission from domestic political pressures in order to achieve internal trade liberalization: “all authors within this literature strand concur that the role of the supranational institutions in EU trade policy goes beyond pure </w:t>
      </w:r>
      <w:r>
        <w:rPr>
          <w:rFonts w:ascii="Times New Roman" w:hAnsi="Times New Roman" w:cs="Times New Roman"/>
        </w:rPr>
        <w:lastRenderedPageBreak/>
        <w:t>intergovernmental decision-making.”</w:t>
      </w:r>
      <w:r>
        <w:rPr>
          <w:rStyle w:val="FootnoteReference"/>
          <w:rFonts w:ascii="Times New Roman" w:hAnsi="Times New Roman" w:cs="Times New Roman"/>
        </w:rPr>
        <w:footnoteReference w:id="38"/>
      </w:r>
      <w:r w:rsidR="000816BE">
        <w:rPr>
          <w:rFonts w:ascii="Times New Roman" w:hAnsi="Times New Roman" w:cs="Times New Roman"/>
        </w:rPr>
        <w:t xml:space="preserve"> To the </w:t>
      </w:r>
      <w:r>
        <w:rPr>
          <w:rFonts w:ascii="Times New Roman" w:hAnsi="Times New Roman" w:cs="Times New Roman"/>
        </w:rPr>
        <w:t xml:space="preserve">latter, an essential concept within the legal framework of the EU treaties is the principle of subsidiarity, which </w:t>
      </w:r>
      <w:r w:rsidR="000816BE">
        <w:rPr>
          <w:rFonts w:ascii="Times New Roman" w:hAnsi="Times New Roman" w:cs="Times New Roman"/>
        </w:rPr>
        <w:t>ensures that decisions should be taken as closely as possible to the citizen and that the Union is justified in its actions in light of the possibilities available at the national, regional, or local levels.</w:t>
      </w:r>
      <w:r w:rsidR="00B869B2">
        <w:rPr>
          <w:rStyle w:val="FootnoteReference"/>
          <w:rFonts w:ascii="Times New Roman" w:hAnsi="Times New Roman" w:cs="Times New Roman"/>
        </w:rPr>
        <w:footnoteReference w:id="39"/>
      </w:r>
      <w:r w:rsidR="000816BE">
        <w:rPr>
          <w:rFonts w:ascii="Times New Roman" w:hAnsi="Times New Roman" w:cs="Times New Roman"/>
        </w:rPr>
        <w:t xml:space="preserve"> The legality of this framework strikes an effective balance between </w:t>
      </w:r>
      <w:r w:rsidR="00B869B2">
        <w:rPr>
          <w:rFonts w:ascii="Times New Roman" w:hAnsi="Times New Roman" w:cs="Times New Roman"/>
        </w:rPr>
        <w:t>competency and feedback</w:t>
      </w:r>
      <w:r w:rsidR="005946A6">
        <w:rPr>
          <w:rFonts w:ascii="Times New Roman" w:hAnsi="Times New Roman" w:cs="Times New Roman"/>
        </w:rPr>
        <w:t xml:space="preserve"> and helps confirm that the interests of member states are driving trade policy as a whole</w:t>
      </w:r>
      <w:r w:rsidR="00B869B2">
        <w:rPr>
          <w:rFonts w:ascii="Times New Roman" w:hAnsi="Times New Roman" w:cs="Times New Roman"/>
        </w:rPr>
        <w:t>: “Delegation is thus accompanied by a long list of formal and informal control mechanisms, as principal-agent analysis suggests and that many analysts have confirmed in the context of EU trade policy.”</w:t>
      </w:r>
      <w:r w:rsidR="00B869B2">
        <w:rPr>
          <w:rStyle w:val="FootnoteReference"/>
          <w:rFonts w:ascii="Times New Roman" w:hAnsi="Times New Roman" w:cs="Times New Roman"/>
        </w:rPr>
        <w:footnoteReference w:id="40"/>
      </w:r>
      <w:r w:rsidR="000816BE">
        <w:rPr>
          <w:rFonts w:ascii="Times New Roman" w:hAnsi="Times New Roman" w:cs="Times New Roman"/>
        </w:rPr>
        <w:t xml:space="preserve"> </w:t>
      </w:r>
    </w:p>
    <w:p w:rsidR="00B30D6A" w:rsidRPr="00F34939" w:rsidRDefault="00351EDC" w:rsidP="00A1500D">
      <w:pPr>
        <w:spacing w:line="480" w:lineRule="auto"/>
        <w:ind w:firstLine="720"/>
        <w:jc w:val="both"/>
        <w:rPr>
          <w:rFonts w:ascii="Times New Roman" w:hAnsi="Times New Roman" w:cs="Times New Roman"/>
        </w:rPr>
      </w:pPr>
      <w:r>
        <w:rPr>
          <w:rFonts w:ascii="Times New Roman" w:hAnsi="Times New Roman" w:cs="Times New Roman"/>
        </w:rPr>
        <w:t xml:space="preserve">The push for a trade agreement with Canada came largely from Canadian </w:t>
      </w:r>
      <w:r w:rsidR="00DA35DD">
        <w:rPr>
          <w:rFonts w:ascii="Times New Roman" w:hAnsi="Times New Roman" w:cs="Times New Roman"/>
        </w:rPr>
        <w:t xml:space="preserve">businesses and </w:t>
      </w:r>
      <w:r>
        <w:rPr>
          <w:rFonts w:ascii="Times New Roman" w:hAnsi="Times New Roman" w:cs="Times New Roman"/>
        </w:rPr>
        <w:t xml:space="preserve">policy makers, but had strong support in </w:t>
      </w:r>
      <w:r w:rsidR="003D448A">
        <w:rPr>
          <w:rFonts w:ascii="Times New Roman" w:hAnsi="Times New Roman" w:cs="Times New Roman"/>
        </w:rPr>
        <w:t>numerous EU members, beginning</w:t>
      </w:r>
      <w:r w:rsidR="00F34939">
        <w:rPr>
          <w:rFonts w:ascii="Times New Roman" w:hAnsi="Times New Roman" w:cs="Times New Roman"/>
        </w:rPr>
        <w:t xml:space="preserve"> with the German</w:t>
      </w:r>
      <w:r w:rsidR="003D448A">
        <w:rPr>
          <w:rFonts w:ascii="Times New Roman" w:hAnsi="Times New Roman" w:cs="Times New Roman"/>
        </w:rPr>
        <w:t xml:space="preserve"> Council Presidency in the latter half of 2006.</w:t>
      </w:r>
      <w:r w:rsidR="008C5F38">
        <w:rPr>
          <w:rStyle w:val="FootnoteReference"/>
          <w:rFonts w:ascii="Times New Roman" w:hAnsi="Times New Roman" w:cs="Times New Roman"/>
        </w:rPr>
        <w:footnoteReference w:id="41"/>
      </w:r>
      <w:r w:rsidR="008C5F38">
        <w:rPr>
          <w:rFonts w:ascii="Times New Roman" w:hAnsi="Times New Roman" w:cs="Times New Roman"/>
        </w:rPr>
        <w:t xml:space="preserve"> The main incentives for the EU in pursuing CETA had to do with access to a major industrialized market, enhancing revenue for businesses and exporters, and, arguably, using Canada as a ‘stepping-stone’ to pursue a similar free trade agreement with the much larger U.S.</w:t>
      </w:r>
      <w:r w:rsidR="00DA35DD">
        <w:rPr>
          <w:rFonts w:ascii="Times New Roman" w:hAnsi="Times New Roman" w:cs="Times New Roman"/>
        </w:rPr>
        <w:t xml:space="preserve"> Any specific areas of interest or concern came less from the actual member states an</w:t>
      </w:r>
      <w:r w:rsidR="0017011A">
        <w:rPr>
          <w:rFonts w:ascii="Times New Roman" w:hAnsi="Times New Roman" w:cs="Times New Roman"/>
        </w:rPr>
        <w:t>d more from businesses or the European</w:t>
      </w:r>
      <w:r w:rsidR="00DA35DD">
        <w:rPr>
          <w:rFonts w:ascii="Times New Roman" w:hAnsi="Times New Roman" w:cs="Times New Roman"/>
        </w:rPr>
        <w:t xml:space="preserve"> Parliament</w:t>
      </w:r>
      <w:r w:rsidR="0017011A">
        <w:rPr>
          <w:rFonts w:ascii="Times New Roman" w:hAnsi="Times New Roman" w:cs="Times New Roman"/>
        </w:rPr>
        <w:t xml:space="preserve"> (EP)</w:t>
      </w:r>
      <w:r w:rsidR="00DA35DD">
        <w:rPr>
          <w:rFonts w:ascii="Times New Roman" w:hAnsi="Times New Roman" w:cs="Times New Roman"/>
        </w:rPr>
        <w:t xml:space="preserve">. </w:t>
      </w:r>
      <w:r w:rsidR="00F34939">
        <w:rPr>
          <w:rFonts w:ascii="Times New Roman" w:hAnsi="Times New Roman" w:cs="Times New Roman"/>
        </w:rPr>
        <w:t>Exporters and the private sector</w:t>
      </w:r>
      <w:r w:rsidR="0017011A">
        <w:rPr>
          <w:rFonts w:ascii="Times New Roman" w:hAnsi="Times New Roman" w:cs="Times New Roman"/>
        </w:rPr>
        <w:t xml:space="preserve"> were </w:t>
      </w:r>
      <w:r w:rsidR="00F34939">
        <w:rPr>
          <w:rFonts w:ascii="Times New Roman" w:hAnsi="Times New Roman" w:cs="Times New Roman"/>
        </w:rPr>
        <w:t xml:space="preserve">generally </w:t>
      </w:r>
      <w:r w:rsidR="0017011A">
        <w:rPr>
          <w:rFonts w:ascii="Times New Roman" w:hAnsi="Times New Roman" w:cs="Times New Roman"/>
        </w:rPr>
        <w:t>consistently enthusiastic,</w:t>
      </w:r>
      <w:r w:rsidR="00F34939">
        <w:rPr>
          <w:rStyle w:val="FootnoteReference"/>
          <w:rFonts w:ascii="Times New Roman" w:hAnsi="Times New Roman" w:cs="Times New Roman"/>
        </w:rPr>
        <w:footnoteReference w:id="42"/>
      </w:r>
      <w:r w:rsidR="0017011A">
        <w:rPr>
          <w:rFonts w:ascii="Times New Roman" w:hAnsi="Times New Roman" w:cs="Times New Roman"/>
        </w:rPr>
        <w:t xml:space="preserve"> and the EP was effective in asserting European demands and concerns.</w:t>
      </w:r>
      <w:r w:rsidR="00F34939">
        <w:rPr>
          <w:rStyle w:val="FootnoteReference"/>
          <w:rFonts w:ascii="Times New Roman" w:hAnsi="Times New Roman" w:cs="Times New Roman"/>
        </w:rPr>
        <w:footnoteReference w:id="43"/>
      </w:r>
      <w:r w:rsidR="00F34939">
        <w:rPr>
          <w:rFonts w:ascii="Times New Roman" w:hAnsi="Times New Roman" w:cs="Times New Roman"/>
        </w:rPr>
        <w:t xml:space="preserve"> While the perceived ease in achieving consensus among member states towards CETA could be attributed to the amount of leverage the EU had in negotiations – the EU being the greater market, and with less existing reliance on trade with Canada – it can also be argued that the institutional design of the single market and external trade </w:t>
      </w:r>
      <w:r w:rsidR="00F34939">
        <w:rPr>
          <w:rFonts w:ascii="Times New Roman" w:hAnsi="Times New Roman" w:cs="Times New Roman"/>
        </w:rPr>
        <w:lastRenderedPageBreak/>
        <w:t>policies contributed to the overall lack of objection, disunity, or suspicion toward the construction of CETA. One important exception to this w</w:t>
      </w:r>
      <w:r w:rsidR="00454635">
        <w:rPr>
          <w:rFonts w:ascii="Times New Roman" w:hAnsi="Times New Roman" w:cs="Times New Roman"/>
        </w:rPr>
        <w:t>as the Czech Republic’s concern over the visa requirement toward Czech citizens traveling to Canada; the visa requirement was removed during the final round of CETA talks in late 2013.</w:t>
      </w:r>
      <w:r w:rsidR="00454635">
        <w:rPr>
          <w:rStyle w:val="FootnoteReference"/>
          <w:rFonts w:ascii="Times New Roman" w:hAnsi="Times New Roman" w:cs="Times New Roman"/>
        </w:rPr>
        <w:footnoteReference w:id="44"/>
      </w:r>
      <w:r w:rsidR="00454635">
        <w:rPr>
          <w:rFonts w:ascii="Times New Roman" w:hAnsi="Times New Roman" w:cs="Times New Roman"/>
        </w:rPr>
        <w:t xml:space="preserve"> Aside from this, the process of CETA negotiations remained remarkably less contentious in the EU than in Canada.</w:t>
      </w:r>
    </w:p>
    <w:p w:rsidR="00732E27" w:rsidRDefault="00732E27" w:rsidP="00A1500D">
      <w:pPr>
        <w:spacing w:line="480" w:lineRule="auto"/>
        <w:jc w:val="both"/>
        <w:rPr>
          <w:rFonts w:ascii="Times New Roman" w:hAnsi="Times New Roman" w:cs="Times New Roman"/>
        </w:rPr>
      </w:pPr>
    </w:p>
    <w:p w:rsidR="00732E27" w:rsidRDefault="00732E27" w:rsidP="00A1500D">
      <w:pPr>
        <w:spacing w:line="480" w:lineRule="auto"/>
        <w:jc w:val="both"/>
        <w:rPr>
          <w:rFonts w:ascii="Times New Roman" w:hAnsi="Times New Roman" w:cs="Times New Roman"/>
        </w:rPr>
      </w:pPr>
      <w:proofErr w:type="gramStart"/>
      <w:r>
        <w:rPr>
          <w:rFonts w:ascii="Times New Roman" w:hAnsi="Times New Roman" w:cs="Times New Roman"/>
          <w:u w:val="single"/>
        </w:rPr>
        <w:t xml:space="preserve">Comparative Federalism or Comparative </w:t>
      </w:r>
      <w:proofErr w:type="spellStart"/>
      <w:r>
        <w:rPr>
          <w:rFonts w:ascii="Times New Roman" w:hAnsi="Times New Roman" w:cs="Times New Roman"/>
          <w:u w:val="single"/>
        </w:rPr>
        <w:t>Intergovernmentalism</w:t>
      </w:r>
      <w:proofErr w:type="spellEnd"/>
      <w:r>
        <w:rPr>
          <w:rFonts w:ascii="Times New Roman" w:hAnsi="Times New Roman" w:cs="Times New Roman"/>
          <w:u w:val="single"/>
        </w:rPr>
        <w:t>?</w:t>
      </w:r>
      <w:proofErr w:type="gramEnd"/>
    </w:p>
    <w:p w:rsidR="003D5B4B" w:rsidRDefault="00DB11C8" w:rsidP="00A1500D">
      <w:pPr>
        <w:spacing w:line="480" w:lineRule="auto"/>
        <w:ind w:firstLine="720"/>
        <w:jc w:val="both"/>
        <w:rPr>
          <w:rFonts w:ascii="Times New Roman" w:hAnsi="Times New Roman" w:cs="Times New Roman"/>
        </w:rPr>
      </w:pPr>
      <w:r>
        <w:rPr>
          <w:rFonts w:ascii="Times New Roman" w:hAnsi="Times New Roman" w:cs="Times New Roman"/>
        </w:rPr>
        <w:t>What do the CETA negotiations to date tell us</w:t>
      </w:r>
      <w:r w:rsidR="003D5B4B" w:rsidRPr="003D5B4B">
        <w:rPr>
          <w:rFonts w:ascii="Times New Roman" w:hAnsi="Times New Roman" w:cs="Times New Roman"/>
        </w:rPr>
        <w:t xml:space="preserve"> about federalism as a trait or as a process? In the limited realm of external </w:t>
      </w:r>
      <w:r w:rsidR="003D5B4B">
        <w:rPr>
          <w:rFonts w:ascii="Times New Roman" w:hAnsi="Times New Roman" w:cs="Times New Roman"/>
        </w:rPr>
        <w:t xml:space="preserve">free </w:t>
      </w:r>
      <w:r w:rsidR="00C5537A">
        <w:rPr>
          <w:rFonts w:ascii="Times New Roman" w:hAnsi="Times New Roman" w:cs="Times New Roman"/>
        </w:rPr>
        <w:t>trade policies</w:t>
      </w:r>
      <w:r w:rsidR="003D5B4B" w:rsidRPr="003D5B4B">
        <w:rPr>
          <w:rFonts w:ascii="Times New Roman" w:hAnsi="Times New Roman" w:cs="Times New Roman"/>
        </w:rPr>
        <w:t>,</w:t>
      </w:r>
      <w:r w:rsidR="003D5B4B">
        <w:rPr>
          <w:rFonts w:ascii="Times New Roman" w:hAnsi="Times New Roman" w:cs="Times New Roman"/>
        </w:rPr>
        <w:t xml:space="preserve"> the EU is a stronger example of</w:t>
      </w:r>
      <w:r w:rsidR="003D5B4B" w:rsidRPr="003D5B4B">
        <w:rPr>
          <w:rFonts w:ascii="Times New Roman" w:hAnsi="Times New Roman" w:cs="Times New Roman"/>
        </w:rPr>
        <w:t xml:space="preserve"> procedural federalism th</w:t>
      </w:r>
      <w:r w:rsidR="003D5B4B">
        <w:rPr>
          <w:rFonts w:ascii="Times New Roman" w:hAnsi="Times New Roman" w:cs="Times New Roman"/>
        </w:rPr>
        <w:t>an Canada, if federalism is partly understood by internal coherency within the framework of ‘unity in diversity’</w:t>
      </w:r>
      <w:r w:rsidR="003D5B4B" w:rsidRPr="003D5B4B">
        <w:rPr>
          <w:rFonts w:ascii="Times New Roman" w:hAnsi="Times New Roman" w:cs="Times New Roman"/>
        </w:rPr>
        <w:t>. The lack of the federal</w:t>
      </w:r>
      <w:r w:rsidR="00C5537A">
        <w:rPr>
          <w:rFonts w:ascii="Times New Roman" w:hAnsi="Times New Roman" w:cs="Times New Roman"/>
        </w:rPr>
        <w:t>-nation</w:t>
      </w:r>
      <w:r w:rsidR="003D5B4B" w:rsidRPr="003D5B4B">
        <w:rPr>
          <w:rFonts w:ascii="Times New Roman" w:hAnsi="Times New Roman" w:cs="Times New Roman"/>
        </w:rPr>
        <w:t xml:space="preserve"> trait in the EU is, in this policy realm, compensated for by the intentionality </w:t>
      </w:r>
      <w:r w:rsidR="003D5B4B">
        <w:rPr>
          <w:rFonts w:ascii="Times New Roman" w:hAnsi="Times New Roman" w:cs="Times New Roman"/>
        </w:rPr>
        <w:t xml:space="preserve">of European integration. The strict parameters of the Ordinary Legislative Method, </w:t>
      </w:r>
      <w:r w:rsidR="003D5B4B" w:rsidRPr="003D5B4B">
        <w:rPr>
          <w:rFonts w:ascii="Times New Roman" w:hAnsi="Times New Roman" w:cs="Times New Roman"/>
        </w:rPr>
        <w:t xml:space="preserve">the principles of subsidiarity and proportionality, the central goal of the single market, and the </w:t>
      </w:r>
      <w:r w:rsidR="003D5B4B">
        <w:rPr>
          <w:rFonts w:ascii="Times New Roman" w:hAnsi="Times New Roman" w:cs="Times New Roman"/>
        </w:rPr>
        <w:t>strong legal activism</w:t>
      </w:r>
      <w:r w:rsidR="003D5B4B" w:rsidRPr="003D5B4B">
        <w:rPr>
          <w:rFonts w:ascii="Times New Roman" w:hAnsi="Times New Roman" w:cs="Times New Roman"/>
        </w:rPr>
        <w:t xml:space="preserve"> of the ECJ all combine to make the single economic union less fragmented in the EU than in Canada, and as a result,</w:t>
      </w:r>
      <w:r w:rsidR="003D5B4B">
        <w:rPr>
          <w:rFonts w:ascii="Times New Roman" w:hAnsi="Times New Roman" w:cs="Times New Roman"/>
        </w:rPr>
        <w:t xml:space="preserve"> the process of negotiating free trade agreements less problematic</w:t>
      </w:r>
      <w:r w:rsidR="003D5B4B" w:rsidRPr="003D5B4B">
        <w:rPr>
          <w:rFonts w:ascii="Times New Roman" w:hAnsi="Times New Roman" w:cs="Times New Roman"/>
        </w:rPr>
        <w:t xml:space="preserve"> than in Canada.</w:t>
      </w:r>
      <w:r w:rsidR="003D5B4B">
        <w:rPr>
          <w:rFonts w:ascii="Times New Roman" w:hAnsi="Times New Roman" w:cs="Times New Roman"/>
        </w:rPr>
        <w:t xml:space="preserve"> </w:t>
      </w:r>
      <w:r w:rsidR="00235457">
        <w:rPr>
          <w:rFonts w:ascii="Times New Roman" w:hAnsi="Times New Roman" w:cs="Times New Roman"/>
        </w:rPr>
        <w:t xml:space="preserve">Provincial barriers between the full free movement of goods, services, </w:t>
      </w:r>
      <w:proofErr w:type="spellStart"/>
      <w:r w:rsidR="00235457">
        <w:rPr>
          <w:rFonts w:ascii="Times New Roman" w:hAnsi="Times New Roman" w:cs="Times New Roman"/>
        </w:rPr>
        <w:t>labour</w:t>
      </w:r>
      <w:proofErr w:type="spellEnd"/>
      <w:r w:rsidR="00235457">
        <w:rPr>
          <w:rFonts w:ascii="Times New Roman" w:hAnsi="Times New Roman" w:cs="Times New Roman"/>
        </w:rPr>
        <w:t xml:space="preserve"> and capital are such that the EU’s single market has more fluidity than the Canadian market, which in turn has helped the supranational level become the logical area of delegation for external trade decisions. While the corresponding Canadian procedure for trade negotiations is similar at the federal level, the internal dynamics between provincial and federal gov</w:t>
      </w:r>
      <w:r w:rsidR="001E5E3E">
        <w:rPr>
          <w:rFonts w:ascii="Times New Roman" w:hAnsi="Times New Roman" w:cs="Times New Roman"/>
        </w:rPr>
        <w:t>ernments is less explicit. This is the result of a more fragmented internal market and less intrusion into provincial protectionism by the court system.</w:t>
      </w:r>
    </w:p>
    <w:p w:rsidR="001E5E3E" w:rsidRDefault="001E5E3E" w:rsidP="00A1500D">
      <w:pPr>
        <w:spacing w:line="480" w:lineRule="auto"/>
        <w:ind w:firstLine="720"/>
        <w:jc w:val="both"/>
        <w:rPr>
          <w:rFonts w:ascii="Times New Roman" w:hAnsi="Times New Roman" w:cs="Times New Roman"/>
        </w:rPr>
      </w:pPr>
      <w:r>
        <w:rPr>
          <w:rFonts w:ascii="Times New Roman" w:hAnsi="Times New Roman" w:cs="Times New Roman"/>
        </w:rPr>
        <w:lastRenderedPageBreak/>
        <w:t>However, the difference between internal regulations of economic unions does not alone define the quality of federalism. Canada remains a definitive federal polity, heavily decentralized and with a strong federal level. Its provinces are not sovereign nation-states, and the federal idea is concretely imbued into Canadian politics, governance, and d</w:t>
      </w:r>
      <w:r w:rsidR="00700126">
        <w:rPr>
          <w:rFonts w:ascii="Times New Roman" w:hAnsi="Times New Roman" w:cs="Times New Roman"/>
        </w:rPr>
        <w:t>iscourse. By contrast, t</w:t>
      </w:r>
      <w:r>
        <w:rPr>
          <w:rFonts w:ascii="Times New Roman" w:hAnsi="Times New Roman" w:cs="Times New Roman"/>
        </w:rPr>
        <w:t xml:space="preserve">he </w:t>
      </w:r>
      <w:r w:rsidR="00700126">
        <w:rPr>
          <w:rFonts w:ascii="Times New Roman" w:hAnsi="Times New Roman" w:cs="Times New Roman"/>
        </w:rPr>
        <w:t xml:space="preserve">executive authority of the European Commission is </w:t>
      </w:r>
      <w:r w:rsidR="00700126">
        <w:rPr>
          <w:rFonts w:ascii="Times New Roman" w:hAnsi="Times New Roman" w:cs="Times New Roman"/>
          <w:i/>
        </w:rPr>
        <w:t>not</w:t>
      </w:r>
      <w:r w:rsidR="00700126">
        <w:rPr>
          <w:rFonts w:ascii="Times New Roman" w:hAnsi="Times New Roman" w:cs="Times New Roman"/>
        </w:rPr>
        <w:t xml:space="preserve"> a federal government, and the regions firmly remain sovereign, independent countries. The </w:t>
      </w:r>
      <w:r w:rsidRPr="00700126">
        <w:rPr>
          <w:rFonts w:ascii="Times New Roman" w:hAnsi="Times New Roman" w:cs="Times New Roman"/>
        </w:rPr>
        <w:t>EU</w:t>
      </w:r>
      <w:r>
        <w:rPr>
          <w:rFonts w:ascii="Times New Roman" w:hAnsi="Times New Roman" w:cs="Times New Roman"/>
        </w:rPr>
        <w:t xml:space="preserve"> </w:t>
      </w:r>
      <w:r w:rsidR="00E848B0">
        <w:rPr>
          <w:rFonts w:ascii="Times New Roman" w:hAnsi="Times New Roman" w:cs="Times New Roman"/>
        </w:rPr>
        <w:t xml:space="preserve">offers numerous examples of federal traits, but </w:t>
      </w:r>
      <w:r w:rsidR="00700126">
        <w:rPr>
          <w:rFonts w:ascii="Times New Roman" w:hAnsi="Times New Roman" w:cs="Times New Roman"/>
        </w:rPr>
        <w:t xml:space="preserve">because it is not a nation it </w:t>
      </w:r>
      <w:r w:rsidR="00E848B0">
        <w:rPr>
          <w:rFonts w:ascii="Times New Roman" w:hAnsi="Times New Roman" w:cs="Times New Roman"/>
        </w:rPr>
        <w:t xml:space="preserve">lacks the normative commitment </w:t>
      </w:r>
      <w:r w:rsidR="00700126">
        <w:rPr>
          <w:rFonts w:ascii="Times New Roman" w:hAnsi="Times New Roman" w:cs="Times New Roman"/>
        </w:rPr>
        <w:t>to social solidarity typically found in federal nations.</w:t>
      </w:r>
      <w:r w:rsidR="00700126">
        <w:rPr>
          <w:rStyle w:val="FootnoteReference"/>
          <w:rFonts w:ascii="Times New Roman" w:hAnsi="Times New Roman" w:cs="Times New Roman"/>
        </w:rPr>
        <w:footnoteReference w:id="45"/>
      </w:r>
      <w:r w:rsidR="00700126">
        <w:rPr>
          <w:rFonts w:ascii="Times New Roman" w:hAnsi="Times New Roman" w:cs="Times New Roman"/>
        </w:rPr>
        <w:t xml:space="preserve"> The distinction presents an interesting paradox when considerin</w:t>
      </w:r>
      <w:r w:rsidR="00C5537A">
        <w:rPr>
          <w:rFonts w:ascii="Times New Roman" w:hAnsi="Times New Roman" w:cs="Times New Roman"/>
        </w:rPr>
        <w:t>g CETA; the</w:t>
      </w:r>
      <w:r w:rsidR="00AF44DE">
        <w:rPr>
          <w:rFonts w:ascii="Times New Roman" w:hAnsi="Times New Roman" w:cs="Times New Roman"/>
        </w:rPr>
        <w:t xml:space="preserve"> cautious integration of sovereign n</w:t>
      </w:r>
      <w:r w:rsidR="00C5537A">
        <w:rPr>
          <w:rFonts w:ascii="Times New Roman" w:hAnsi="Times New Roman" w:cs="Times New Roman"/>
        </w:rPr>
        <w:t xml:space="preserve">ations within the EU has resulted in intentional pooling of authority at the supranational level for reasons secondary to the single market, while the </w:t>
      </w:r>
      <w:r w:rsidR="00384DCD">
        <w:rPr>
          <w:rFonts w:ascii="Times New Roman" w:hAnsi="Times New Roman" w:cs="Times New Roman"/>
        </w:rPr>
        <w:t xml:space="preserve">birth of a Canadian federal dominion under the 1867 British North America Act/Constitution Act established the nation </w:t>
      </w:r>
      <w:r w:rsidR="00384DCD" w:rsidRPr="00384DCD">
        <w:rPr>
          <w:rFonts w:ascii="Times New Roman" w:hAnsi="Times New Roman" w:cs="Times New Roman"/>
          <w:i/>
        </w:rPr>
        <w:t>before</w:t>
      </w:r>
      <w:r w:rsidR="00384DCD">
        <w:rPr>
          <w:rFonts w:ascii="Times New Roman" w:hAnsi="Times New Roman" w:cs="Times New Roman"/>
        </w:rPr>
        <w:t xml:space="preserve"> more recent conceptions of inter-provincial policy autonomy. The more explicit principle of subsidiarity in the EU, combined </w:t>
      </w:r>
      <w:r w:rsidR="00356C96">
        <w:rPr>
          <w:rFonts w:ascii="Times New Roman" w:hAnsi="Times New Roman" w:cs="Times New Roman"/>
        </w:rPr>
        <w:t xml:space="preserve">with qualified majority voting </w:t>
      </w:r>
      <w:r w:rsidR="00384DCD">
        <w:rPr>
          <w:rFonts w:ascii="Times New Roman" w:hAnsi="Times New Roman" w:cs="Times New Roman"/>
        </w:rPr>
        <w:t>in single market policy, has set a structured course for free trade agreements.</w:t>
      </w:r>
    </w:p>
    <w:p w:rsidR="001E5E3E" w:rsidRPr="001E5E3E" w:rsidRDefault="001E5E3E" w:rsidP="00A1500D">
      <w:pPr>
        <w:spacing w:line="480" w:lineRule="auto"/>
        <w:ind w:firstLine="720"/>
        <w:jc w:val="both"/>
        <w:rPr>
          <w:rFonts w:ascii="Times New Roman" w:hAnsi="Times New Roman" w:cs="Times New Roman"/>
        </w:rPr>
      </w:pPr>
      <w:r w:rsidRPr="001E5E3E">
        <w:rPr>
          <w:rFonts w:ascii="Times New Roman" w:hAnsi="Times New Roman" w:cs="Times New Roman"/>
        </w:rPr>
        <w:t xml:space="preserve">The better point might be the idea of </w:t>
      </w:r>
      <w:r w:rsidRPr="001E5E3E">
        <w:rPr>
          <w:rFonts w:ascii="Times New Roman" w:hAnsi="Times New Roman" w:cs="Times New Roman"/>
          <w:i/>
        </w:rPr>
        <w:t xml:space="preserve">comparative </w:t>
      </w:r>
      <w:proofErr w:type="spellStart"/>
      <w:r w:rsidRPr="001E5E3E">
        <w:rPr>
          <w:rFonts w:ascii="Times New Roman" w:hAnsi="Times New Roman" w:cs="Times New Roman"/>
          <w:i/>
        </w:rPr>
        <w:t>intergovernmentalism</w:t>
      </w:r>
      <w:proofErr w:type="spellEnd"/>
      <w:r w:rsidRPr="001E5E3E">
        <w:rPr>
          <w:rFonts w:ascii="Times New Roman" w:hAnsi="Times New Roman" w:cs="Times New Roman"/>
        </w:rPr>
        <w:t>. Instead of the</w:t>
      </w:r>
      <w:r w:rsidR="00384DCD">
        <w:rPr>
          <w:rFonts w:ascii="Times New Roman" w:hAnsi="Times New Roman" w:cs="Times New Roman"/>
        </w:rPr>
        <w:t xml:space="preserve"> debates</w:t>
      </w:r>
      <w:r w:rsidRPr="001E5E3E">
        <w:rPr>
          <w:rFonts w:ascii="Times New Roman" w:hAnsi="Times New Roman" w:cs="Times New Roman"/>
        </w:rPr>
        <w:t xml:space="preserve"> over what reasonably constitutes an entity to be considered in the comparative federal con</w:t>
      </w:r>
      <w:r w:rsidR="00384DCD">
        <w:rPr>
          <w:rFonts w:ascii="Times New Roman" w:hAnsi="Times New Roman" w:cs="Times New Roman"/>
        </w:rPr>
        <w:t>text, a complementary route is</w:t>
      </w:r>
      <w:r w:rsidRPr="001E5E3E">
        <w:rPr>
          <w:rFonts w:ascii="Times New Roman" w:hAnsi="Times New Roman" w:cs="Times New Roman"/>
        </w:rPr>
        <w:t xml:space="preserve"> to compare the two blocs on the basis of their internal institutional </w:t>
      </w:r>
      <w:r w:rsidR="00384DCD">
        <w:rPr>
          <w:rFonts w:ascii="Times New Roman" w:hAnsi="Times New Roman" w:cs="Times New Roman"/>
        </w:rPr>
        <w:t>dynamics. P</w:t>
      </w:r>
      <w:r w:rsidRPr="001E5E3E">
        <w:rPr>
          <w:rFonts w:ascii="Times New Roman" w:hAnsi="Times New Roman" w:cs="Times New Roman"/>
        </w:rPr>
        <w:t>recisely because of its supranational ‘non-state’ character, the EU is in many ways better institutionally equipped to introduce new agreements or arrangements that attend to the multilateral nature</w:t>
      </w:r>
      <w:r w:rsidR="00384DCD">
        <w:rPr>
          <w:rFonts w:ascii="Times New Roman" w:hAnsi="Times New Roman" w:cs="Times New Roman"/>
        </w:rPr>
        <w:t xml:space="preserve"> of economic globalization (i.e., subsidiarity, ordinary legislative procedure, qualified majority voting)</w:t>
      </w:r>
      <w:r w:rsidRPr="001E5E3E">
        <w:rPr>
          <w:rFonts w:ascii="Times New Roman" w:hAnsi="Times New Roman" w:cs="Times New Roman"/>
        </w:rPr>
        <w:t>. Procedure and agenda-setting is the direct result of improving upon the logic of integration in a manner that assuages national interests. Canada, by contr</w:t>
      </w:r>
      <w:r w:rsidR="00384DCD">
        <w:rPr>
          <w:rFonts w:ascii="Times New Roman" w:hAnsi="Times New Roman" w:cs="Times New Roman"/>
        </w:rPr>
        <w:t xml:space="preserve">ast, is </w:t>
      </w:r>
      <w:proofErr w:type="spellStart"/>
      <w:r w:rsidR="00384DCD">
        <w:rPr>
          <w:rFonts w:ascii="Times New Roman" w:hAnsi="Times New Roman" w:cs="Times New Roman"/>
        </w:rPr>
        <w:t>clunkier</w:t>
      </w:r>
      <w:proofErr w:type="spellEnd"/>
      <w:r w:rsidR="00384DCD">
        <w:rPr>
          <w:rFonts w:ascii="Times New Roman" w:hAnsi="Times New Roman" w:cs="Times New Roman"/>
        </w:rPr>
        <w:t xml:space="preserve"> in this regard, but only insomuch as the comparison is with free trade </w:t>
      </w:r>
      <w:r w:rsidR="00384DCD">
        <w:rPr>
          <w:rFonts w:ascii="Times New Roman" w:hAnsi="Times New Roman" w:cs="Times New Roman"/>
        </w:rPr>
        <w:lastRenderedPageBreak/>
        <w:t>negotiations.</w:t>
      </w:r>
      <w:r w:rsidRPr="001E5E3E">
        <w:rPr>
          <w:rFonts w:ascii="Times New Roman" w:hAnsi="Times New Roman" w:cs="Times New Roman"/>
        </w:rPr>
        <w:t xml:space="preserve"> CETA offered the first precedent of sub-national governments being included, a</w:t>
      </w:r>
      <w:r w:rsidR="00384DCD">
        <w:rPr>
          <w:rFonts w:ascii="Times New Roman" w:hAnsi="Times New Roman" w:cs="Times New Roman"/>
        </w:rPr>
        <w:t>nd with it came</w:t>
      </w:r>
      <w:r w:rsidRPr="001E5E3E">
        <w:rPr>
          <w:rFonts w:ascii="Times New Roman" w:hAnsi="Times New Roman" w:cs="Times New Roman"/>
        </w:rPr>
        <w:t xml:space="preserve"> inter-provincial debate over the stipulations of CETA. </w:t>
      </w:r>
      <w:r w:rsidR="00384DCD">
        <w:rPr>
          <w:rFonts w:ascii="Times New Roman" w:hAnsi="Times New Roman" w:cs="Times New Roman"/>
        </w:rPr>
        <w:t xml:space="preserve">The balance between decentralization and the federal government </w:t>
      </w:r>
      <w:r w:rsidR="00E92F05">
        <w:rPr>
          <w:rFonts w:ascii="Times New Roman" w:hAnsi="Times New Roman" w:cs="Times New Roman"/>
        </w:rPr>
        <w:t xml:space="preserve">in Canada </w:t>
      </w:r>
      <w:r w:rsidR="00384DCD">
        <w:rPr>
          <w:rFonts w:ascii="Times New Roman" w:hAnsi="Times New Roman" w:cs="Times New Roman"/>
        </w:rPr>
        <w:t xml:space="preserve">has strong parallels with the ordinary legislative procedure in the EU: </w:t>
      </w:r>
      <w:r w:rsidR="0066181B">
        <w:rPr>
          <w:rFonts w:ascii="Times New Roman" w:hAnsi="Times New Roman" w:cs="Times New Roman"/>
        </w:rPr>
        <w:t xml:space="preserve">“power allocations in Canada and the EU are not so far apart at all once the conceptual framework of federalism with its presumption of watertight divisions of powers is replaced by one emphasizing power sharing through intergovernmental cooperation and agreements.” </w:t>
      </w:r>
      <w:r w:rsidR="0066181B">
        <w:rPr>
          <w:rStyle w:val="FootnoteReference"/>
          <w:rFonts w:ascii="Times New Roman" w:hAnsi="Times New Roman" w:cs="Times New Roman"/>
        </w:rPr>
        <w:footnoteReference w:id="46"/>
      </w:r>
      <w:r w:rsidR="0066181B">
        <w:rPr>
          <w:rFonts w:ascii="Times New Roman" w:hAnsi="Times New Roman" w:cs="Times New Roman"/>
        </w:rPr>
        <w:t xml:space="preserve"> </w:t>
      </w:r>
      <w:r w:rsidR="00E92F05">
        <w:rPr>
          <w:rFonts w:ascii="Times New Roman" w:hAnsi="Times New Roman" w:cs="Times New Roman"/>
        </w:rPr>
        <w:t xml:space="preserve">The idea of </w:t>
      </w:r>
      <w:proofErr w:type="spellStart"/>
      <w:r w:rsidR="00E92F05">
        <w:rPr>
          <w:rFonts w:ascii="Times New Roman" w:hAnsi="Times New Roman" w:cs="Times New Roman"/>
        </w:rPr>
        <w:t>intergovernmentalism</w:t>
      </w:r>
      <w:proofErr w:type="spellEnd"/>
      <w:r w:rsidR="00E92F05">
        <w:rPr>
          <w:rFonts w:ascii="Times New Roman" w:hAnsi="Times New Roman" w:cs="Times New Roman"/>
        </w:rPr>
        <w:t>, with its connotations of cooperation through mutual deliberation, offers a better comparative platform for the EU and Canada than broad or narrow dimensions of federalism.</w:t>
      </w:r>
    </w:p>
    <w:p w:rsidR="00545841" w:rsidRDefault="00545841" w:rsidP="00A1500D">
      <w:pPr>
        <w:spacing w:line="480" w:lineRule="auto"/>
        <w:jc w:val="both"/>
        <w:rPr>
          <w:rFonts w:ascii="Times New Roman" w:hAnsi="Times New Roman" w:cs="Times New Roman"/>
        </w:rPr>
      </w:pPr>
    </w:p>
    <w:p w:rsidR="00545841" w:rsidRDefault="00545841" w:rsidP="00A1500D">
      <w:pPr>
        <w:spacing w:line="480" w:lineRule="auto"/>
        <w:jc w:val="both"/>
        <w:rPr>
          <w:rFonts w:ascii="Times New Roman" w:hAnsi="Times New Roman" w:cs="Times New Roman"/>
        </w:rPr>
      </w:pPr>
      <w:r>
        <w:rPr>
          <w:rFonts w:ascii="Times New Roman" w:hAnsi="Times New Roman" w:cs="Times New Roman"/>
          <w:u w:val="single"/>
        </w:rPr>
        <w:t>Conclusion</w:t>
      </w:r>
    </w:p>
    <w:p w:rsidR="00545841" w:rsidRDefault="00545841" w:rsidP="00A1500D">
      <w:pPr>
        <w:spacing w:line="480" w:lineRule="auto"/>
        <w:jc w:val="both"/>
        <w:rPr>
          <w:rFonts w:ascii="Times New Roman" w:hAnsi="Times New Roman" w:cs="Times New Roman"/>
        </w:rPr>
      </w:pPr>
      <w:r>
        <w:rPr>
          <w:rFonts w:ascii="Times New Roman" w:hAnsi="Times New Roman" w:cs="Times New Roman"/>
        </w:rPr>
        <w:tab/>
        <w:t>The CETA represents a watershed in internation</w:t>
      </w:r>
      <w:r w:rsidR="00E92F05">
        <w:rPr>
          <w:rFonts w:ascii="Times New Roman" w:hAnsi="Times New Roman" w:cs="Times New Roman"/>
        </w:rPr>
        <w:t xml:space="preserve">al trade agreements </w:t>
      </w:r>
      <w:r>
        <w:rPr>
          <w:rFonts w:ascii="Times New Roman" w:hAnsi="Times New Roman" w:cs="Times New Roman"/>
        </w:rPr>
        <w:t xml:space="preserve">for the breadth and width of areas subject to </w:t>
      </w:r>
      <w:r w:rsidR="00E92F05">
        <w:rPr>
          <w:rFonts w:ascii="Times New Roman" w:hAnsi="Times New Roman" w:cs="Times New Roman"/>
        </w:rPr>
        <w:t xml:space="preserve">barrier removal and </w:t>
      </w:r>
      <w:r>
        <w:rPr>
          <w:rFonts w:ascii="Times New Roman" w:hAnsi="Times New Roman" w:cs="Times New Roman"/>
        </w:rPr>
        <w:t xml:space="preserve">deregulation, </w:t>
      </w:r>
      <w:r w:rsidR="00E92F05">
        <w:rPr>
          <w:rFonts w:ascii="Times New Roman" w:hAnsi="Times New Roman" w:cs="Times New Roman"/>
        </w:rPr>
        <w:t xml:space="preserve">for the precedent set in transatlantic cooperation, </w:t>
      </w:r>
      <w:r w:rsidR="00C94870">
        <w:rPr>
          <w:rFonts w:ascii="Times New Roman" w:hAnsi="Times New Roman" w:cs="Times New Roman"/>
        </w:rPr>
        <w:t>and</w:t>
      </w:r>
      <w:r>
        <w:rPr>
          <w:rFonts w:ascii="Times New Roman" w:hAnsi="Times New Roman" w:cs="Times New Roman"/>
        </w:rPr>
        <w:t xml:space="preserve"> also for the dynamics of policy-making between two very different federal-style political entities.</w:t>
      </w:r>
      <w:r w:rsidR="00C94870">
        <w:rPr>
          <w:rFonts w:ascii="Times New Roman" w:hAnsi="Times New Roman" w:cs="Times New Roman"/>
        </w:rPr>
        <w:t xml:space="preserve"> Traditionally, analyses of federal governance have held Canada to be emblematic of a federal state and the EU to be a heavily qualified outlier. </w:t>
      </w:r>
      <w:r w:rsidR="00884813">
        <w:rPr>
          <w:rFonts w:ascii="Times New Roman" w:hAnsi="Times New Roman" w:cs="Times New Roman"/>
        </w:rPr>
        <w:t xml:space="preserve">Narrowing the focus on international trade negotiations shows that the balance between self-rule and shared-rule and the division of powers between </w:t>
      </w:r>
      <w:proofErr w:type="spellStart"/>
      <w:r w:rsidR="00884813">
        <w:rPr>
          <w:rFonts w:ascii="Times New Roman" w:hAnsi="Times New Roman" w:cs="Times New Roman"/>
        </w:rPr>
        <w:t>centre</w:t>
      </w:r>
      <w:proofErr w:type="spellEnd"/>
      <w:r w:rsidR="00884813">
        <w:rPr>
          <w:rFonts w:ascii="Times New Roman" w:hAnsi="Times New Roman" w:cs="Times New Roman"/>
        </w:rPr>
        <w:t xml:space="preserve"> and regions is a less problematic process in the EU due to the deliberate internal coherency of the single market. In Canada, the inclusion of sub-national governments in the free trade negotiation process from the outset worked against past procedure and required restructuring of policy-making. Considering the two entities as two forms of </w:t>
      </w:r>
      <w:proofErr w:type="spellStart"/>
      <w:r w:rsidR="00884813">
        <w:rPr>
          <w:rFonts w:ascii="Times New Roman" w:hAnsi="Times New Roman" w:cs="Times New Roman"/>
        </w:rPr>
        <w:t>intergovernmentalist</w:t>
      </w:r>
      <w:proofErr w:type="spellEnd"/>
      <w:r w:rsidR="00884813">
        <w:rPr>
          <w:rFonts w:ascii="Times New Roman" w:hAnsi="Times New Roman" w:cs="Times New Roman"/>
        </w:rPr>
        <w:t xml:space="preserve"> polities – rather than two diverse examples of federalism </w:t>
      </w:r>
      <w:r w:rsidR="00243E6F">
        <w:rPr>
          <w:rFonts w:ascii="Times New Roman" w:hAnsi="Times New Roman" w:cs="Times New Roman"/>
        </w:rPr>
        <w:t>–</w:t>
      </w:r>
      <w:r w:rsidR="00884813">
        <w:rPr>
          <w:rFonts w:ascii="Times New Roman" w:hAnsi="Times New Roman" w:cs="Times New Roman"/>
        </w:rPr>
        <w:t xml:space="preserve"> </w:t>
      </w:r>
      <w:r w:rsidR="00243E6F">
        <w:rPr>
          <w:rFonts w:ascii="Times New Roman" w:hAnsi="Times New Roman" w:cs="Times New Roman"/>
        </w:rPr>
        <w:t>gives more nuance to comparing the institutional properties of both areas.</w:t>
      </w:r>
    </w:p>
    <w:p w:rsidR="003D5B4B" w:rsidRDefault="00243E6F" w:rsidP="00A1500D">
      <w:pPr>
        <w:spacing w:line="480" w:lineRule="auto"/>
        <w:jc w:val="both"/>
        <w:rPr>
          <w:rFonts w:ascii="Times New Roman" w:hAnsi="Times New Roman" w:cs="Times New Roman"/>
        </w:rPr>
      </w:pPr>
      <w:r>
        <w:rPr>
          <w:rFonts w:ascii="Times New Roman" w:hAnsi="Times New Roman" w:cs="Times New Roman"/>
        </w:rPr>
        <w:lastRenderedPageBreak/>
        <w:tab/>
        <w:t xml:space="preserve">There are two caveats to this argument and one implication. The first caveat is the imbalance of leverage between Canada and the EU; for Canada, CETA offers many more benefits and access to the huge European market, while for the EU the benefits are to a smaller degree. Whether the same degree of smooth delegation and cooperation between EU member states will continue in ongoing TTIP discussions with the U.S. – whose market size and access offers exponentially more possibilities and controversies – remains to be seen. The second caveat is the recognition that civil society and the private sector may have just as much sway over free trade negotiations in either area than provincial governments or member states. The role of business chambers and employer associations on either side of the Atlantic has undoubtedly played a major role in pushing for trade liberalization and/or special considerations for specific sectors – a factor that should be accounted for so as not to over-attribute the dynamics between regional and </w:t>
      </w:r>
      <w:proofErr w:type="spellStart"/>
      <w:r>
        <w:rPr>
          <w:rFonts w:ascii="Times New Roman" w:hAnsi="Times New Roman" w:cs="Times New Roman"/>
        </w:rPr>
        <w:t>centre</w:t>
      </w:r>
      <w:proofErr w:type="spellEnd"/>
      <w:r>
        <w:rPr>
          <w:rFonts w:ascii="Times New Roman" w:hAnsi="Times New Roman" w:cs="Times New Roman"/>
        </w:rPr>
        <w:t xml:space="preserve"> governmental institutions. </w:t>
      </w:r>
    </w:p>
    <w:p w:rsidR="007C2158" w:rsidRDefault="00243E6F" w:rsidP="00A1500D">
      <w:pPr>
        <w:spacing w:line="480" w:lineRule="auto"/>
        <w:jc w:val="both"/>
        <w:rPr>
          <w:rFonts w:ascii="Times New Roman" w:hAnsi="Times New Roman" w:cs="Times New Roman"/>
          <w:u w:val="single"/>
        </w:rPr>
      </w:pPr>
      <w:r>
        <w:rPr>
          <w:rFonts w:ascii="Times New Roman" w:hAnsi="Times New Roman" w:cs="Times New Roman"/>
        </w:rPr>
        <w:tab/>
        <w:t>An interesting implication resulting from the comparison of CETA negotiations in Canada and the EU is the principle of subsidiarity in the EU setting, and the success of EU in exporting this principle to the federal decision-making system in Canada.</w:t>
      </w:r>
      <w:r w:rsidR="00BD544B">
        <w:rPr>
          <w:rFonts w:ascii="Times New Roman" w:hAnsi="Times New Roman" w:cs="Times New Roman"/>
        </w:rPr>
        <w:t xml:space="preserve"> </w:t>
      </w:r>
      <w:r w:rsidR="000520E6">
        <w:rPr>
          <w:rFonts w:ascii="Times New Roman" w:hAnsi="Times New Roman" w:cs="Times New Roman"/>
        </w:rPr>
        <w:t xml:space="preserve">At the outset of CETA discussions, the Commission asserted that Canadian provinces would have to be consulted throughout the process in order for the EU to begin proceedings. The compliance of </w:t>
      </w:r>
      <w:r w:rsidR="00365FE4">
        <w:rPr>
          <w:rFonts w:ascii="Times New Roman" w:hAnsi="Times New Roman" w:cs="Times New Roman"/>
        </w:rPr>
        <w:t xml:space="preserve">the </w:t>
      </w:r>
      <w:r w:rsidR="000520E6">
        <w:rPr>
          <w:rFonts w:ascii="Times New Roman" w:hAnsi="Times New Roman" w:cs="Times New Roman"/>
        </w:rPr>
        <w:t>Canadian government in this new precedent in part highlight</w:t>
      </w:r>
      <w:r w:rsidR="00365FE4">
        <w:rPr>
          <w:rFonts w:ascii="Times New Roman" w:hAnsi="Times New Roman" w:cs="Times New Roman"/>
        </w:rPr>
        <w:t>s</w:t>
      </w:r>
      <w:r w:rsidR="000520E6">
        <w:rPr>
          <w:rFonts w:ascii="Times New Roman" w:hAnsi="Times New Roman" w:cs="Times New Roman"/>
        </w:rPr>
        <w:t xml:space="preserve"> the ability of the </w:t>
      </w:r>
      <w:r w:rsidR="00365FE4">
        <w:rPr>
          <w:rFonts w:ascii="Times New Roman" w:hAnsi="Times New Roman" w:cs="Times New Roman"/>
        </w:rPr>
        <w:t>EU to export European-style federal norms to other places. In this regard, the federal character of the EU might hold more relevance for the present context of economic globalization than for past theories of federalism.</w:t>
      </w:r>
    </w:p>
    <w:p w:rsidR="00365FE4" w:rsidRPr="000520E6" w:rsidRDefault="00365FE4" w:rsidP="00A1500D">
      <w:pPr>
        <w:jc w:val="both"/>
        <w:rPr>
          <w:rFonts w:ascii="Times New Roman" w:hAnsi="Times New Roman" w:cs="Times New Roman"/>
        </w:rPr>
      </w:pPr>
    </w:p>
    <w:p w:rsidR="0090590C" w:rsidRDefault="0090590C" w:rsidP="00A1500D">
      <w:pPr>
        <w:jc w:val="both"/>
        <w:rPr>
          <w:rFonts w:ascii="Times New Roman" w:hAnsi="Times New Roman" w:cs="Times New Roman"/>
          <w:szCs w:val="24"/>
          <w:u w:val="single"/>
        </w:rPr>
      </w:pPr>
      <w:r>
        <w:rPr>
          <w:rFonts w:ascii="Times New Roman" w:hAnsi="Times New Roman" w:cs="Times New Roman"/>
          <w:szCs w:val="24"/>
          <w:u w:val="single"/>
        </w:rPr>
        <w:br w:type="page"/>
      </w:r>
    </w:p>
    <w:p w:rsidR="00325F37" w:rsidRDefault="00325F37" w:rsidP="00A1500D">
      <w:pPr>
        <w:jc w:val="both"/>
        <w:rPr>
          <w:rFonts w:ascii="Times New Roman" w:hAnsi="Times New Roman" w:cs="Times New Roman"/>
          <w:szCs w:val="24"/>
          <w:u w:val="single"/>
        </w:rPr>
      </w:pPr>
      <w:r w:rsidRPr="00365FE4">
        <w:rPr>
          <w:rFonts w:ascii="Times New Roman" w:hAnsi="Times New Roman" w:cs="Times New Roman"/>
          <w:szCs w:val="24"/>
          <w:u w:val="single"/>
        </w:rPr>
        <w:lastRenderedPageBreak/>
        <w:t>References</w:t>
      </w:r>
    </w:p>
    <w:p w:rsidR="00356C96" w:rsidRPr="00365FE4" w:rsidRDefault="00356C96" w:rsidP="00A1500D">
      <w:pPr>
        <w:jc w:val="both"/>
        <w:rPr>
          <w:rFonts w:ascii="Times New Roman" w:hAnsi="Times New Roman" w:cs="Times New Roman"/>
          <w:szCs w:val="24"/>
        </w:rPr>
      </w:pPr>
    </w:p>
    <w:p w:rsidR="001E1648" w:rsidRPr="00121AA7" w:rsidRDefault="001E1648" w:rsidP="00A1500D">
      <w:pPr>
        <w:ind w:left="720" w:hanging="720"/>
        <w:jc w:val="both"/>
        <w:rPr>
          <w:rFonts w:ascii="Times New Roman" w:hAnsi="Times New Roman" w:cs="Times New Roman"/>
          <w:sz w:val="20"/>
          <w:szCs w:val="20"/>
        </w:rPr>
      </w:pPr>
      <w:proofErr w:type="spellStart"/>
      <w:r w:rsidRPr="00121AA7">
        <w:rPr>
          <w:rFonts w:ascii="Times New Roman" w:hAnsi="Times New Roman" w:cs="Times New Roman"/>
          <w:sz w:val="20"/>
          <w:szCs w:val="20"/>
        </w:rPr>
        <w:t>Baier</w:t>
      </w:r>
      <w:proofErr w:type="spellEnd"/>
      <w:r w:rsidRPr="00121AA7">
        <w:rPr>
          <w:rFonts w:ascii="Times New Roman" w:hAnsi="Times New Roman" w:cs="Times New Roman"/>
          <w:sz w:val="20"/>
          <w:szCs w:val="20"/>
        </w:rPr>
        <w:t xml:space="preserve">, Gerald. (2005). “The EU’s Constitutional Treaty: Federalism and Intergovernmental Relations – Lessons from Canada.” </w:t>
      </w:r>
      <w:r w:rsidRPr="00121AA7">
        <w:rPr>
          <w:rFonts w:ascii="Times New Roman" w:hAnsi="Times New Roman" w:cs="Times New Roman"/>
          <w:i/>
          <w:sz w:val="20"/>
          <w:szCs w:val="20"/>
        </w:rPr>
        <w:t>Regional &amp; Federal Studies</w:t>
      </w:r>
      <w:r w:rsidRPr="00121AA7">
        <w:rPr>
          <w:rFonts w:ascii="Times New Roman" w:hAnsi="Times New Roman" w:cs="Times New Roman"/>
          <w:sz w:val="20"/>
          <w:szCs w:val="20"/>
        </w:rPr>
        <w:t>, 15 (2): 205-223.</w:t>
      </w:r>
    </w:p>
    <w:p w:rsidR="00DD0C02" w:rsidRPr="00121AA7" w:rsidRDefault="00DD0C02" w:rsidP="00A1500D">
      <w:pPr>
        <w:jc w:val="both"/>
        <w:rPr>
          <w:rFonts w:ascii="Times New Roman" w:hAnsi="Times New Roman" w:cs="Times New Roman"/>
          <w:sz w:val="20"/>
          <w:szCs w:val="20"/>
        </w:rPr>
      </w:pPr>
    </w:p>
    <w:p w:rsidR="00D47BD8" w:rsidRPr="00D47BD8" w:rsidRDefault="00D47BD8" w:rsidP="00A1500D">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Burgess, Michael. </w:t>
      </w:r>
      <w:proofErr w:type="gramStart"/>
      <w:r>
        <w:rPr>
          <w:rFonts w:ascii="Times New Roman" w:hAnsi="Times New Roman" w:cs="Times New Roman"/>
          <w:sz w:val="20"/>
          <w:szCs w:val="20"/>
        </w:rPr>
        <w:t>(2012). “Federalism.”</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In Antje Wiener and Thomas </w:t>
      </w:r>
      <w:proofErr w:type="spellStart"/>
      <w:r>
        <w:rPr>
          <w:rFonts w:ascii="Times New Roman" w:hAnsi="Times New Roman" w:cs="Times New Roman"/>
          <w:sz w:val="20"/>
          <w:szCs w:val="20"/>
        </w:rPr>
        <w:t>Diez</w:t>
      </w:r>
      <w:proofErr w:type="spellEnd"/>
      <w:r>
        <w:rPr>
          <w:rFonts w:ascii="Times New Roman" w:hAnsi="Times New Roman" w:cs="Times New Roman"/>
          <w:sz w:val="20"/>
          <w:szCs w:val="20"/>
        </w:rPr>
        <w:t xml:space="preserve">, editors, </w:t>
      </w:r>
      <w:r>
        <w:rPr>
          <w:rFonts w:ascii="Times New Roman" w:hAnsi="Times New Roman" w:cs="Times New Roman"/>
          <w:i/>
          <w:sz w:val="20"/>
          <w:szCs w:val="20"/>
        </w:rPr>
        <w:t>European Integration Theory, 2</w:t>
      </w:r>
      <w:r w:rsidRPr="00D47BD8">
        <w:rPr>
          <w:rFonts w:ascii="Times New Roman" w:hAnsi="Times New Roman" w:cs="Times New Roman"/>
          <w:i/>
          <w:sz w:val="20"/>
          <w:szCs w:val="20"/>
          <w:vertAlign w:val="superscript"/>
        </w:rPr>
        <w:t>nd</w:t>
      </w:r>
      <w:r>
        <w:rPr>
          <w:rFonts w:ascii="Times New Roman" w:hAnsi="Times New Roman" w:cs="Times New Roman"/>
          <w:i/>
          <w:sz w:val="20"/>
          <w:szCs w:val="20"/>
        </w:rPr>
        <w:t xml:space="preserve"> edition</w:t>
      </w:r>
      <w:r>
        <w:rPr>
          <w:rFonts w:ascii="Times New Roman" w:hAnsi="Times New Roman" w:cs="Times New Roman"/>
          <w:sz w:val="20"/>
          <w:szCs w:val="20"/>
        </w:rPr>
        <w:t>.</w:t>
      </w:r>
      <w:proofErr w:type="gramEnd"/>
      <w:r>
        <w:rPr>
          <w:rFonts w:ascii="Times New Roman" w:hAnsi="Times New Roman" w:cs="Times New Roman"/>
          <w:sz w:val="20"/>
          <w:szCs w:val="20"/>
        </w:rPr>
        <w:t xml:space="preserve"> Oxford University Press: 25-44.</w:t>
      </w:r>
    </w:p>
    <w:p w:rsidR="00D47BD8" w:rsidRDefault="00D47BD8" w:rsidP="00A1500D">
      <w:pPr>
        <w:ind w:left="720" w:hanging="720"/>
        <w:jc w:val="both"/>
        <w:rPr>
          <w:rFonts w:ascii="Times New Roman" w:hAnsi="Times New Roman" w:cs="Times New Roman"/>
          <w:sz w:val="20"/>
          <w:szCs w:val="20"/>
        </w:rPr>
      </w:pPr>
    </w:p>
    <w:p w:rsidR="001C5A21" w:rsidRPr="001C5A21" w:rsidRDefault="001C5A21" w:rsidP="00A1500D">
      <w:pPr>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Dinan</w:t>
      </w:r>
      <w:proofErr w:type="spellEnd"/>
      <w:r>
        <w:rPr>
          <w:rFonts w:ascii="Times New Roman" w:hAnsi="Times New Roman" w:cs="Times New Roman"/>
          <w:sz w:val="20"/>
          <w:szCs w:val="20"/>
        </w:rPr>
        <w:t xml:space="preserve">, Desmond. (2004). </w:t>
      </w:r>
      <w:r>
        <w:rPr>
          <w:rFonts w:ascii="Times New Roman" w:hAnsi="Times New Roman" w:cs="Times New Roman"/>
          <w:i/>
          <w:sz w:val="20"/>
          <w:szCs w:val="20"/>
        </w:rPr>
        <w:t>Europe Recast: A History of European Union</w:t>
      </w:r>
      <w:r>
        <w:rPr>
          <w:rFonts w:ascii="Times New Roman" w:hAnsi="Times New Roman" w:cs="Times New Roman"/>
          <w:sz w:val="20"/>
          <w:szCs w:val="20"/>
        </w:rPr>
        <w:t xml:space="preserve">. Boulder, CO: Lynne </w:t>
      </w:r>
      <w:proofErr w:type="spellStart"/>
      <w:r>
        <w:rPr>
          <w:rFonts w:ascii="Times New Roman" w:hAnsi="Times New Roman" w:cs="Times New Roman"/>
          <w:sz w:val="20"/>
          <w:szCs w:val="20"/>
        </w:rPr>
        <w:t>Rienner</w:t>
      </w:r>
      <w:proofErr w:type="spellEnd"/>
      <w:r>
        <w:rPr>
          <w:rFonts w:ascii="Times New Roman" w:hAnsi="Times New Roman" w:cs="Times New Roman"/>
          <w:sz w:val="20"/>
          <w:szCs w:val="20"/>
        </w:rPr>
        <w:t>.</w:t>
      </w:r>
    </w:p>
    <w:p w:rsidR="00DD0C02" w:rsidRPr="00121AA7" w:rsidRDefault="00DD0C02" w:rsidP="00A1500D">
      <w:pPr>
        <w:jc w:val="both"/>
        <w:rPr>
          <w:rFonts w:ascii="Times New Roman" w:hAnsi="Times New Roman" w:cs="Times New Roman"/>
          <w:sz w:val="20"/>
          <w:szCs w:val="20"/>
        </w:rPr>
      </w:pPr>
    </w:p>
    <w:p w:rsidR="007472E9" w:rsidRDefault="007472E9" w:rsidP="00A1500D">
      <w:pPr>
        <w:ind w:left="720" w:hanging="720"/>
        <w:jc w:val="both"/>
        <w:rPr>
          <w:rFonts w:ascii="Times New Roman" w:hAnsi="Times New Roman" w:cs="Times New Roman"/>
          <w:sz w:val="20"/>
          <w:szCs w:val="20"/>
        </w:rPr>
      </w:pPr>
      <w:proofErr w:type="spellStart"/>
      <w:r w:rsidRPr="00121AA7">
        <w:rPr>
          <w:rFonts w:ascii="Times New Roman" w:hAnsi="Times New Roman" w:cs="Times New Roman"/>
          <w:sz w:val="20"/>
          <w:szCs w:val="20"/>
        </w:rPr>
        <w:t>Elazar</w:t>
      </w:r>
      <w:proofErr w:type="spellEnd"/>
      <w:r w:rsidRPr="00121AA7">
        <w:rPr>
          <w:rFonts w:ascii="Times New Roman" w:hAnsi="Times New Roman" w:cs="Times New Roman"/>
          <w:sz w:val="20"/>
          <w:szCs w:val="20"/>
        </w:rPr>
        <w:t xml:space="preserve">, Daniel J. (1984). </w:t>
      </w:r>
      <w:proofErr w:type="gramStart"/>
      <w:r w:rsidRPr="00121AA7">
        <w:rPr>
          <w:rFonts w:ascii="Times New Roman" w:hAnsi="Times New Roman" w:cs="Times New Roman"/>
          <w:i/>
          <w:sz w:val="20"/>
          <w:szCs w:val="20"/>
        </w:rPr>
        <w:t>Federalism and Political Integration</w:t>
      </w:r>
      <w:r w:rsidRPr="00121AA7">
        <w:rPr>
          <w:rFonts w:ascii="Times New Roman" w:hAnsi="Times New Roman" w:cs="Times New Roman"/>
          <w:sz w:val="20"/>
          <w:szCs w:val="20"/>
        </w:rPr>
        <w:t>.</w:t>
      </w:r>
      <w:proofErr w:type="gramEnd"/>
      <w:r w:rsidRPr="00121AA7">
        <w:rPr>
          <w:rFonts w:ascii="Times New Roman" w:hAnsi="Times New Roman" w:cs="Times New Roman"/>
          <w:sz w:val="20"/>
          <w:szCs w:val="20"/>
        </w:rPr>
        <w:t xml:space="preserve"> Lanham, MD: University Press of America.</w:t>
      </w:r>
    </w:p>
    <w:p w:rsidR="00BF53C3" w:rsidRDefault="00BF53C3" w:rsidP="00A1500D">
      <w:pPr>
        <w:ind w:left="720" w:hanging="720"/>
        <w:jc w:val="both"/>
        <w:rPr>
          <w:rFonts w:ascii="Times New Roman" w:hAnsi="Times New Roman" w:cs="Times New Roman"/>
          <w:sz w:val="20"/>
          <w:szCs w:val="20"/>
        </w:rPr>
      </w:pPr>
    </w:p>
    <w:p w:rsidR="00BF53C3" w:rsidRPr="00BF53C3" w:rsidRDefault="00BF53C3" w:rsidP="00A1500D">
      <w:pPr>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Elazar</w:t>
      </w:r>
      <w:proofErr w:type="spellEnd"/>
      <w:r>
        <w:rPr>
          <w:rFonts w:ascii="Times New Roman" w:hAnsi="Times New Roman" w:cs="Times New Roman"/>
          <w:sz w:val="20"/>
          <w:szCs w:val="20"/>
        </w:rPr>
        <w:t xml:space="preserve">, Daniel J. (1995). “From </w:t>
      </w:r>
      <w:proofErr w:type="spellStart"/>
      <w:r>
        <w:rPr>
          <w:rFonts w:ascii="Times New Roman" w:hAnsi="Times New Roman" w:cs="Times New Roman"/>
          <w:sz w:val="20"/>
          <w:szCs w:val="20"/>
        </w:rPr>
        <w:t>Statism</w:t>
      </w:r>
      <w:proofErr w:type="spellEnd"/>
      <w:r>
        <w:rPr>
          <w:rFonts w:ascii="Times New Roman" w:hAnsi="Times New Roman" w:cs="Times New Roman"/>
          <w:sz w:val="20"/>
          <w:szCs w:val="20"/>
        </w:rPr>
        <w:t xml:space="preserve"> to Federalism: A Paradigm Shift.” </w:t>
      </w:r>
      <w:proofErr w:type="spellStart"/>
      <w:r>
        <w:rPr>
          <w:rFonts w:ascii="Times New Roman" w:hAnsi="Times New Roman" w:cs="Times New Roman"/>
          <w:i/>
          <w:sz w:val="20"/>
          <w:szCs w:val="20"/>
        </w:rPr>
        <w:t>Publius</w:t>
      </w:r>
      <w:proofErr w:type="spellEnd"/>
      <w:r>
        <w:rPr>
          <w:rFonts w:ascii="Times New Roman" w:hAnsi="Times New Roman" w:cs="Times New Roman"/>
          <w:sz w:val="20"/>
          <w:szCs w:val="20"/>
        </w:rPr>
        <w:t xml:space="preserve"> 25 (2): 5-18.</w:t>
      </w:r>
    </w:p>
    <w:p w:rsidR="007472E9" w:rsidRPr="00121AA7" w:rsidRDefault="007472E9" w:rsidP="00A1500D">
      <w:pPr>
        <w:ind w:left="720" w:hanging="720"/>
        <w:jc w:val="both"/>
        <w:rPr>
          <w:rFonts w:ascii="Times New Roman" w:hAnsi="Times New Roman" w:cs="Times New Roman"/>
          <w:sz w:val="20"/>
          <w:szCs w:val="20"/>
        </w:rPr>
      </w:pPr>
    </w:p>
    <w:p w:rsidR="00AE7154" w:rsidRPr="00121AA7" w:rsidRDefault="00AE7154" w:rsidP="00A1500D">
      <w:pPr>
        <w:ind w:left="720" w:hanging="720"/>
        <w:jc w:val="both"/>
        <w:rPr>
          <w:rFonts w:ascii="Times New Roman" w:hAnsi="Times New Roman" w:cs="Times New Roman"/>
          <w:sz w:val="20"/>
          <w:szCs w:val="20"/>
        </w:rPr>
      </w:pPr>
      <w:r w:rsidRPr="00121AA7">
        <w:rPr>
          <w:rFonts w:ascii="Times New Roman" w:hAnsi="Times New Roman" w:cs="Times New Roman"/>
          <w:sz w:val="20"/>
          <w:szCs w:val="20"/>
        </w:rPr>
        <w:t xml:space="preserve">European Commission: Trade: Policy: Countries and Regions: Canada. (November 2013). </w:t>
      </w:r>
      <w:proofErr w:type="gramStart"/>
      <w:r w:rsidRPr="00121AA7">
        <w:rPr>
          <w:rFonts w:ascii="Times New Roman" w:hAnsi="Times New Roman" w:cs="Times New Roman"/>
          <w:sz w:val="20"/>
          <w:szCs w:val="20"/>
        </w:rPr>
        <w:t xml:space="preserve">“Canada.” </w:t>
      </w:r>
      <w:hyperlink r:id="rId10" w:history="1">
        <w:r w:rsidRPr="00121AA7">
          <w:rPr>
            <w:rStyle w:val="Hyperlink"/>
            <w:rFonts w:ascii="Times New Roman" w:hAnsi="Times New Roman" w:cs="Times New Roman"/>
            <w:sz w:val="20"/>
            <w:szCs w:val="20"/>
          </w:rPr>
          <w:t>http://ec.europa.eu/trade/policy/countries-and-regions/countries/canada/</w:t>
        </w:r>
      </w:hyperlink>
      <w:r w:rsidRPr="00121AA7">
        <w:rPr>
          <w:rFonts w:ascii="Times New Roman" w:hAnsi="Times New Roman" w:cs="Times New Roman"/>
          <w:sz w:val="20"/>
          <w:szCs w:val="20"/>
        </w:rPr>
        <w:t>.</w:t>
      </w:r>
      <w:proofErr w:type="gramEnd"/>
      <w:r w:rsidRPr="00121AA7">
        <w:rPr>
          <w:rFonts w:ascii="Times New Roman" w:hAnsi="Times New Roman" w:cs="Times New Roman"/>
          <w:sz w:val="20"/>
          <w:szCs w:val="20"/>
        </w:rPr>
        <w:t xml:space="preserve"> </w:t>
      </w:r>
    </w:p>
    <w:p w:rsidR="00AE7154" w:rsidRDefault="00AE7154" w:rsidP="00A1500D">
      <w:pPr>
        <w:ind w:left="720" w:hanging="720"/>
        <w:jc w:val="both"/>
        <w:rPr>
          <w:rFonts w:ascii="Times New Roman" w:hAnsi="Times New Roman" w:cs="Times New Roman"/>
          <w:sz w:val="20"/>
          <w:szCs w:val="20"/>
        </w:rPr>
      </w:pPr>
    </w:p>
    <w:p w:rsidR="00BC2FED" w:rsidRDefault="00BC2FED" w:rsidP="00A1500D">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European Commission: Single Market: Single </w:t>
      </w:r>
      <w:proofErr w:type="gramStart"/>
      <w:r>
        <w:rPr>
          <w:rFonts w:ascii="Times New Roman" w:hAnsi="Times New Roman" w:cs="Times New Roman"/>
          <w:sz w:val="20"/>
          <w:szCs w:val="20"/>
        </w:rPr>
        <w:t>Market  Governance</w:t>
      </w:r>
      <w:proofErr w:type="gramEnd"/>
      <w:r>
        <w:rPr>
          <w:rFonts w:ascii="Times New Roman" w:hAnsi="Times New Roman" w:cs="Times New Roman"/>
          <w:sz w:val="20"/>
          <w:szCs w:val="20"/>
        </w:rPr>
        <w:t xml:space="preserve"> (2014). </w:t>
      </w:r>
      <w:hyperlink r:id="rId11" w:history="1">
        <w:r w:rsidRPr="008550C4">
          <w:rPr>
            <w:rStyle w:val="Hyperlink"/>
            <w:rFonts w:ascii="Times New Roman" w:hAnsi="Times New Roman" w:cs="Times New Roman"/>
            <w:sz w:val="20"/>
            <w:szCs w:val="20"/>
          </w:rPr>
          <w:t>http://ec.europa.eu/internal_market/top_layer/monitoring/governance_en.htm</w:t>
        </w:r>
      </w:hyperlink>
      <w:r>
        <w:rPr>
          <w:rFonts w:ascii="Times New Roman" w:hAnsi="Times New Roman" w:cs="Times New Roman"/>
          <w:sz w:val="20"/>
          <w:szCs w:val="20"/>
        </w:rPr>
        <w:t xml:space="preserve">. </w:t>
      </w:r>
    </w:p>
    <w:p w:rsidR="00BC2FED" w:rsidRPr="00121AA7" w:rsidRDefault="00BC2FED" w:rsidP="00A1500D">
      <w:pPr>
        <w:ind w:left="720" w:hanging="720"/>
        <w:jc w:val="both"/>
        <w:rPr>
          <w:rFonts w:ascii="Times New Roman" w:hAnsi="Times New Roman" w:cs="Times New Roman"/>
          <w:sz w:val="20"/>
          <w:szCs w:val="20"/>
        </w:rPr>
      </w:pPr>
    </w:p>
    <w:p w:rsidR="00183258" w:rsidRPr="00183258" w:rsidRDefault="00183258" w:rsidP="00A1500D">
      <w:pPr>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Finbow</w:t>
      </w:r>
      <w:proofErr w:type="spellEnd"/>
      <w:r>
        <w:rPr>
          <w:rFonts w:ascii="Times New Roman" w:hAnsi="Times New Roman" w:cs="Times New Roman"/>
          <w:sz w:val="20"/>
          <w:szCs w:val="20"/>
        </w:rPr>
        <w:t xml:space="preserve">, Robert. (2013). “CETA and Multi-level Governance: Implications for Provincial and Municipal Governments.” </w:t>
      </w:r>
      <w:r>
        <w:rPr>
          <w:rFonts w:ascii="Times New Roman" w:hAnsi="Times New Roman" w:cs="Times New Roman"/>
          <w:i/>
          <w:sz w:val="20"/>
          <w:szCs w:val="20"/>
        </w:rPr>
        <w:t>Canada-Europe Transatlantic Dialogue, CETA Policy Briefs Series</w:t>
      </w:r>
      <w:r>
        <w:rPr>
          <w:rFonts w:ascii="Times New Roman" w:hAnsi="Times New Roman" w:cs="Times New Roman"/>
          <w:sz w:val="20"/>
          <w:szCs w:val="20"/>
        </w:rPr>
        <w:t xml:space="preserve">. </w:t>
      </w:r>
      <w:hyperlink r:id="rId12" w:history="1">
        <w:r w:rsidR="00A53027" w:rsidRPr="00751343">
          <w:rPr>
            <w:rStyle w:val="Hyperlink"/>
            <w:rFonts w:ascii="Times New Roman" w:hAnsi="Times New Roman" w:cs="Times New Roman"/>
            <w:sz w:val="20"/>
            <w:szCs w:val="20"/>
          </w:rPr>
          <w:t>http://labs.carleton.ca/canadaeurope/wp-content/uploads/sites/9/FINBOW_CETD_CETA-and-Multi-Level-governance.pdf</w:t>
        </w:r>
      </w:hyperlink>
      <w:r w:rsidR="00A53027">
        <w:rPr>
          <w:rFonts w:ascii="Times New Roman" w:hAnsi="Times New Roman" w:cs="Times New Roman"/>
          <w:sz w:val="20"/>
          <w:szCs w:val="20"/>
        </w:rPr>
        <w:t xml:space="preserve">. </w:t>
      </w:r>
    </w:p>
    <w:p w:rsidR="00183258" w:rsidRDefault="00183258" w:rsidP="00A1500D">
      <w:pPr>
        <w:ind w:left="720" w:hanging="720"/>
        <w:jc w:val="both"/>
        <w:rPr>
          <w:rFonts w:ascii="Times New Roman" w:hAnsi="Times New Roman" w:cs="Times New Roman"/>
          <w:sz w:val="20"/>
          <w:szCs w:val="20"/>
        </w:rPr>
      </w:pPr>
    </w:p>
    <w:p w:rsidR="00D47BD8" w:rsidRDefault="00D47BD8" w:rsidP="00A1500D">
      <w:pPr>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Forset</w:t>
      </w:r>
      <w:proofErr w:type="spellEnd"/>
      <w:r>
        <w:rPr>
          <w:rFonts w:ascii="Times New Roman" w:hAnsi="Times New Roman" w:cs="Times New Roman"/>
          <w:sz w:val="20"/>
          <w:szCs w:val="20"/>
        </w:rPr>
        <w:t xml:space="preserve">, Eugene A. (2012). “How Canadians Govern Themselves.” </w:t>
      </w:r>
      <w:proofErr w:type="gramStart"/>
      <w:r>
        <w:rPr>
          <w:rFonts w:ascii="Times New Roman" w:hAnsi="Times New Roman" w:cs="Times New Roman"/>
          <w:sz w:val="20"/>
          <w:szCs w:val="20"/>
        </w:rPr>
        <w:t>Parliament of Canada.</w:t>
      </w:r>
      <w:proofErr w:type="gramEnd"/>
      <w:r>
        <w:rPr>
          <w:rFonts w:ascii="Times New Roman" w:hAnsi="Times New Roman" w:cs="Times New Roman"/>
          <w:sz w:val="20"/>
          <w:szCs w:val="20"/>
        </w:rPr>
        <w:t xml:space="preserve"> Retrieved April 2014: </w:t>
      </w:r>
      <w:hyperlink r:id="rId13" w:history="1">
        <w:r w:rsidRPr="008550C4">
          <w:rPr>
            <w:rStyle w:val="Hyperlink"/>
            <w:rFonts w:ascii="Times New Roman" w:hAnsi="Times New Roman" w:cs="Times New Roman"/>
            <w:sz w:val="20"/>
            <w:szCs w:val="20"/>
          </w:rPr>
          <w:t>http://www.parl.gc.ca/about/parliament/senatoreugeneforsey/book/chapter_3-e.html</w:t>
        </w:r>
      </w:hyperlink>
      <w:r>
        <w:rPr>
          <w:rFonts w:ascii="Times New Roman" w:hAnsi="Times New Roman" w:cs="Times New Roman"/>
          <w:sz w:val="20"/>
          <w:szCs w:val="20"/>
        </w:rPr>
        <w:t xml:space="preserve">. </w:t>
      </w:r>
    </w:p>
    <w:p w:rsidR="00D47BD8" w:rsidRDefault="00D47BD8" w:rsidP="00A1500D">
      <w:pPr>
        <w:ind w:left="720" w:hanging="720"/>
        <w:jc w:val="both"/>
        <w:rPr>
          <w:rFonts w:ascii="Times New Roman" w:hAnsi="Times New Roman" w:cs="Times New Roman"/>
          <w:sz w:val="20"/>
          <w:szCs w:val="20"/>
        </w:rPr>
      </w:pPr>
    </w:p>
    <w:p w:rsidR="007472E9" w:rsidRPr="00121AA7" w:rsidRDefault="007472E9" w:rsidP="00A1500D">
      <w:pPr>
        <w:ind w:left="720" w:hanging="720"/>
        <w:jc w:val="both"/>
        <w:rPr>
          <w:rFonts w:ascii="Times New Roman" w:hAnsi="Times New Roman" w:cs="Times New Roman"/>
          <w:sz w:val="20"/>
          <w:szCs w:val="20"/>
        </w:rPr>
      </w:pPr>
      <w:r w:rsidRPr="00121AA7">
        <w:rPr>
          <w:rFonts w:ascii="Times New Roman" w:hAnsi="Times New Roman" w:cs="Times New Roman"/>
          <w:sz w:val="20"/>
          <w:szCs w:val="20"/>
        </w:rPr>
        <w:t xml:space="preserve">Friedrich, Carl J. (1962). </w:t>
      </w:r>
      <w:proofErr w:type="gramStart"/>
      <w:r w:rsidRPr="00121AA7">
        <w:rPr>
          <w:rFonts w:ascii="Times New Roman" w:hAnsi="Times New Roman" w:cs="Times New Roman"/>
          <w:sz w:val="20"/>
          <w:szCs w:val="20"/>
        </w:rPr>
        <w:t>“Federal Constitutional Theory and Emergent Proposals.”</w:t>
      </w:r>
      <w:proofErr w:type="gramEnd"/>
      <w:r w:rsidRPr="00121AA7">
        <w:rPr>
          <w:rFonts w:ascii="Times New Roman" w:hAnsi="Times New Roman" w:cs="Times New Roman"/>
          <w:sz w:val="20"/>
          <w:szCs w:val="20"/>
        </w:rPr>
        <w:t xml:space="preserve"> In A. W. </w:t>
      </w:r>
      <w:proofErr w:type="spellStart"/>
      <w:r w:rsidRPr="00121AA7">
        <w:rPr>
          <w:rFonts w:ascii="Times New Roman" w:hAnsi="Times New Roman" w:cs="Times New Roman"/>
          <w:sz w:val="20"/>
          <w:szCs w:val="20"/>
        </w:rPr>
        <w:t>Macmahon</w:t>
      </w:r>
      <w:proofErr w:type="spellEnd"/>
      <w:r w:rsidRPr="00121AA7">
        <w:rPr>
          <w:rFonts w:ascii="Times New Roman" w:hAnsi="Times New Roman" w:cs="Times New Roman"/>
          <w:sz w:val="20"/>
          <w:szCs w:val="20"/>
        </w:rPr>
        <w:t xml:space="preserve">, editor, </w:t>
      </w:r>
      <w:r w:rsidRPr="00121AA7">
        <w:rPr>
          <w:rFonts w:ascii="Times New Roman" w:hAnsi="Times New Roman" w:cs="Times New Roman"/>
          <w:i/>
          <w:sz w:val="20"/>
          <w:szCs w:val="20"/>
        </w:rPr>
        <w:t>Federalism: Mature and Emergent</w:t>
      </w:r>
      <w:r w:rsidRPr="00121AA7">
        <w:rPr>
          <w:rFonts w:ascii="Times New Roman" w:hAnsi="Times New Roman" w:cs="Times New Roman"/>
          <w:sz w:val="20"/>
          <w:szCs w:val="20"/>
        </w:rPr>
        <w:t>. Russell &amp; Russell, NY: 510-33.</w:t>
      </w:r>
    </w:p>
    <w:p w:rsidR="007472E9" w:rsidRPr="00121AA7" w:rsidRDefault="007472E9" w:rsidP="00A1500D">
      <w:pPr>
        <w:ind w:left="720" w:hanging="720"/>
        <w:jc w:val="both"/>
        <w:rPr>
          <w:rFonts w:ascii="Times New Roman" w:hAnsi="Times New Roman" w:cs="Times New Roman"/>
          <w:sz w:val="20"/>
          <w:szCs w:val="20"/>
        </w:rPr>
      </w:pPr>
    </w:p>
    <w:p w:rsidR="00325F37" w:rsidRPr="00121AA7" w:rsidRDefault="00325F37" w:rsidP="00A1500D">
      <w:pPr>
        <w:ind w:left="720" w:hanging="720"/>
        <w:jc w:val="both"/>
        <w:rPr>
          <w:rFonts w:ascii="Times New Roman" w:hAnsi="Times New Roman" w:cs="Times New Roman"/>
          <w:sz w:val="20"/>
          <w:szCs w:val="20"/>
        </w:rPr>
      </w:pPr>
      <w:r w:rsidRPr="00121AA7">
        <w:rPr>
          <w:rFonts w:ascii="Times New Roman" w:hAnsi="Times New Roman" w:cs="Times New Roman"/>
          <w:sz w:val="20"/>
          <w:szCs w:val="20"/>
        </w:rPr>
        <w:t xml:space="preserve">Government of Canada: Policy Areas: Trade and Investment (October 2013). </w:t>
      </w:r>
      <w:proofErr w:type="gramStart"/>
      <w:r w:rsidRPr="00121AA7">
        <w:rPr>
          <w:rFonts w:ascii="Times New Roman" w:hAnsi="Times New Roman" w:cs="Times New Roman"/>
          <w:sz w:val="20"/>
          <w:szCs w:val="20"/>
        </w:rPr>
        <w:t xml:space="preserve">“Trade Negotiations and Agreements.” </w:t>
      </w:r>
      <w:hyperlink r:id="rId14" w:history="1">
        <w:r w:rsidRPr="00121AA7">
          <w:rPr>
            <w:rStyle w:val="Hyperlink"/>
            <w:rFonts w:ascii="Times New Roman" w:hAnsi="Times New Roman" w:cs="Times New Roman"/>
            <w:sz w:val="20"/>
            <w:szCs w:val="20"/>
          </w:rPr>
          <w:t>http://www.canadainternational.gc.ca/eu-ue/policies-politiques/trade_agreements-accords_commerciaux.aspx</w:t>
        </w:r>
      </w:hyperlink>
      <w:r w:rsidRPr="00121AA7">
        <w:rPr>
          <w:rFonts w:ascii="Times New Roman" w:hAnsi="Times New Roman" w:cs="Times New Roman"/>
          <w:sz w:val="20"/>
          <w:szCs w:val="20"/>
        </w:rPr>
        <w:t>.</w:t>
      </w:r>
      <w:proofErr w:type="gramEnd"/>
      <w:r w:rsidRPr="00121AA7">
        <w:rPr>
          <w:rFonts w:ascii="Times New Roman" w:hAnsi="Times New Roman" w:cs="Times New Roman"/>
          <w:sz w:val="20"/>
          <w:szCs w:val="20"/>
        </w:rPr>
        <w:t xml:space="preserve"> </w:t>
      </w:r>
    </w:p>
    <w:p w:rsidR="00325F37" w:rsidRPr="00121AA7" w:rsidRDefault="00325F37" w:rsidP="00A1500D">
      <w:pPr>
        <w:ind w:left="720" w:hanging="720"/>
        <w:jc w:val="both"/>
        <w:rPr>
          <w:rFonts w:ascii="Times New Roman" w:hAnsi="Times New Roman" w:cs="Times New Roman"/>
          <w:sz w:val="20"/>
          <w:szCs w:val="20"/>
        </w:rPr>
      </w:pPr>
    </w:p>
    <w:p w:rsidR="00AA1A78" w:rsidRPr="00121AA7" w:rsidRDefault="00AA1A78" w:rsidP="00A1500D">
      <w:pPr>
        <w:ind w:left="720" w:hanging="720"/>
        <w:jc w:val="both"/>
        <w:rPr>
          <w:rFonts w:ascii="Times New Roman" w:hAnsi="Times New Roman" w:cs="Times New Roman"/>
          <w:sz w:val="20"/>
          <w:szCs w:val="20"/>
        </w:rPr>
      </w:pPr>
      <w:r w:rsidRPr="00121AA7">
        <w:rPr>
          <w:rFonts w:ascii="Times New Roman" w:hAnsi="Times New Roman" w:cs="Times New Roman"/>
          <w:sz w:val="20"/>
          <w:szCs w:val="20"/>
        </w:rPr>
        <w:t xml:space="preserve">Government of Canada: Policy Areas: Trade and Investment (January 2014). </w:t>
      </w:r>
      <w:proofErr w:type="gramStart"/>
      <w:r w:rsidRPr="00121AA7">
        <w:rPr>
          <w:rFonts w:ascii="Times New Roman" w:hAnsi="Times New Roman" w:cs="Times New Roman"/>
          <w:sz w:val="20"/>
          <w:szCs w:val="20"/>
        </w:rPr>
        <w:t xml:space="preserve">“Trade and Investment.” </w:t>
      </w:r>
      <w:hyperlink r:id="rId15" w:history="1">
        <w:r w:rsidRPr="00121AA7">
          <w:rPr>
            <w:rStyle w:val="Hyperlink"/>
            <w:rFonts w:ascii="Times New Roman" w:hAnsi="Times New Roman" w:cs="Times New Roman"/>
            <w:sz w:val="20"/>
            <w:szCs w:val="20"/>
          </w:rPr>
          <w:t>http://www.canadainternational.gc.ca/eu-ue/policies-politiques/trade_invest-commerce_invest.aspx?lang=eng&amp;menu_id=11</w:t>
        </w:r>
      </w:hyperlink>
      <w:r w:rsidRPr="00121AA7">
        <w:rPr>
          <w:rFonts w:ascii="Times New Roman" w:hAnsi="Times New Roman" w:cs="Times New Roman"/>
          <w:sz w:val="20"/>
          <w:szCs w:val="20"/>
        </w:rPr>
        <w:t>.</w:t>
      </w:r>
      <w:proofErr w:type="gramEnd"/>
      <w:r w:rsidRPr="00121AA7">
        <w:rPr>
          <w:rFonts w:ascii="Times New Roman" w:hAnsi="Times New Roman" w:cs="Times New Roman"/>
          <w:sz w:val="20"/>
          <w:szCs w:val="20"/>
        </w:rPr>
        <w:t xml:space="preserve"> </w:t>
      </w:r>
    </w:p>
    <w:p w:rsidR="00AA1A78" w:rsidRPr="00121AA7" w:rsidRDefault="00AA1A78" w:rsidP="00A1500D">
      <w:pPr>
        <w:ind w:left="720" w:hanging="720"/>
        <w:jc w:val="both"/>
        <w:rPr>
          <w:rFonts w:ascii="Times New Roman" w:hAnsi="Times New Roman" w:cs="Times New Roman"/>
          <w:sz w:val="20"/>
          <w:szCs w:val="20"/>
        </w:rPr>
      </w:pPr>
    </w:p>
    <w:p w:rsidR="0033517E" w:rsidRPr="00121AA7" w:rsidRDefault="0033517E" w:rsidP="00A1500D">
      <w:pPr>
        <w:ind w:left="720" w:hanging="720"/>
        <w:jc w:val="both"/>
        <w:rPr>
          <w:rFonts w:ascii="Times New Roman" w:hAnsi="Times New Roman" w:cs="Times New Roman"/>
          <w:sz w:val="20"/>
          <w:szCs w:val="20"/>
        </w:rPr>
      </w:pPr>
      <w:proofErr w:type="gramStart"/>
      <w:r w:rsidRPr="00121AA7">
        <w:rPr>
          <w:rFonts w:ascii="Times New Roman" w:hAnsi="Times New Roman" w:cs="Times New Roman"/>
          <w:sz w:val="20"/>
          <w:szCs w:val="20"/>
        </w:rPr>
        <w:t>Gauthier, Alexandre, and Michael Holden.</w:t>
      </w:r>
      <w:proofErr w:type="gramEnd"/>
      <w:r w:rsidRPr="00121AA7">
        <w:rPr>
          <w:rFonts w:ascii="Times New Roman" w:hAnsi="Times New Roman" w:cs="Times New Roman"/>
          <w:sz w:val="20"/>
          <w:szCs w:val="20"/>
        </w:rPr>
        <w:t xml:space="preserve"> </w:t>
      </w:r>
      <w:proofErr w:type="gramStart"/>
      <w:r w:rsidRPr="00121AA7">
        <w:rPr>
          <w:rFonts w:ascii="Times New Roman" w:hAnsi="Times New Roman" w:cs="Times New Roman"/>
          <w:sz w:val="20"/>
          <w:szCs w:val="20"/>
        </w:rPr>
        <w:t>(2010). “Canada–European Union Trade Negotiations</w:t>
      </w:r>
      <w:r w:rsidR="001E1648" w:rsidRPr="00121AA7">
        <w:rPr>
          <w:rFonts w:ascii="Times New Roman" w:hAnsi="Times New Roman" w:cs="Times New Roman"/>
          <w:sz w:val="20"/>
          <w:szCs w:val="20"/>
        </w:rPr>
        <w:t xml:space="preserve"> </w:t>
      </w:r>
      <w:r w:rsidRPr="00121AA7">
        <w:rPr>
          <w:rFonts w:ascii="Times New Roman" w:hAnsi="Times New Roman" w:cs="Times New Roman"/>
          <w:sz w:val="20"/>
          <w:szCs w:val="20"/>
        </w:rPr>
        <w:t>1.</w:t>
      </w:r>
      <w:proofErr w:type="gramEnd"/>
      <w:r w:rsidRPr="00121AA7">
        <w:rPr>
          <w:rFonts w:ascii="Times New Roman" w:hAnsi="Times New Roman" w:cs="Times New Roman"/>
          <w:sz w:val="20"/>
          <w:szCs w:val="20"/>
        </w:rPr>
        <w:t xml:space="preserve"> </w:t>
      </w:r>
      <w:proofErr w:type="gramStart"/>
      <w:r w:rsidRPr="00121AA7">
        <w:rPr>
          <w:rFonts w:ascii="Times New Roman" w:hAnsi="Times New Roman" w:cs="Times New Roman"/>
          <w:sz w:val="20"/>
          <w:szCs w:val="20"/>
        </w:rPr>
        <w:t>Overview of Negotiations.”</w:t>
      </w:r>
      <w:proofErr w:type="gramEnd"/>
      <w:r w:rsidRPr="00121AA7">
        <w:rPr>
          <w:rFonts w:ascii="Times New Roman" w:hAnsi="Times New Roman" w:cs="Times New Roman"/>
          <w:sz w:val="20"/>
          <w:szCs w:val="20"/>
        </w:rPr>
        <w:t xml:space="preserve"> </w:t>
      </w:r>
      <w:proofErr w:type="gramStart"/>
      <w:r w:rsidRPr="00121AA7">
        <w:rPr>
          <w:rFonts w:ascii="Times New Roman" w:hAnsi="Times New Roman" w:cs="Times New Roman"/>
          <w:i/>
          <w:sz w:val="20"/>
          <w:szCs w:val="20"/>
        </w:rPr>
        <w:t>Library of Parliament</w:t>
      </w:r>
      <w:r w:rsidRPr="00121AA7">
        <w:rPr>
          <w:rFonts w:ascii="Times New Roman" w:hAnsi="Times New Roman" w:cs="Times New Roman"/>
          <w:sz w:val="20"/>
          <w:szCs w:val="20"/>
        </w:rPr>
        <w:t>, International Affairs, Trade and Finance Division, Parliamentary Information and Research Service.</w:t>
      </w:r>
      <w:proofErr w:type="gramEnd"/>
      <w:r w:rsidRPr="00121AA7">
        <w:rPr>
          <w:rFonts w:ascii="Times New Roman" w:hAnsi="Times New Roman" w:cs="Times New Roman"/>
          <w:sz w:val="20"/>
          <w:szCs w:val="20"/>
        </w:rPr>
        <w:t xml:space="preserve"> </w:t>
      </w:r>
      <w:proofErr w:type="gramStart"/>
      <w:r w:rsidRPr="00121AA7">
        <w:rPr>
          <w:rFonts w:ascii="Times New Roman" w:hAnsi="Times New Roman" w:cs="Times New Roman"/>
          <w:sz w:val="20"/>
          <w:szCs w:val="20"/>
        </w:rPr>
        <w:t>Publication No. 2010-53-E, Ottawa, Canada.</w:t>
      </w:r>
      <w:proofErr w:type="gramEnd"/>
    </w:p>
    <w:p w:rsidR="00DD0C02" w:rsidRPr="00121AA7" w:rsidRDefault="00DD0C02" w:rsidP="00A1500D">
      <w:pPr>
        <w:jc w:val="both"/>
        <w:rPr>
          <w:rFonts w:ascii="Times New Roman" w:hAnsi="Times New Roman" w:cs="Times New Roman"/>
          <w:sz w:val="20"/>
          <w:szCs w:val="20"/>
        </w:rPr>
      </w:pPr>
    </w:p>
    <w:p w:rsidR="007472E9" w:rsidRPr="00121AA7" w:rsidRDefault="007472E9" w:rsidP="00A1500D">
      <w:pPr>
        <w:ind w:left="720" w:hanging="720"/>
        <w:jc w:val="both"/>
        <w:rPr>
          <w:rFonts w:ascii="Times New Roman" w:hAnsi="Times New Roman" w:cs="Times New Roman"/>
          <w:sz w:val="20"/>
          <w:szCs w:val="20"/>
        </w:rPr>
      </w:pPr>
      <w:r w:rsidRPr="00121AA7">
        <w:rPr>
          <w:rFonts w:ascii="Times New Roman" w:hAnsi="Times New Roman" w:cs="Times New Roman"/>
          <w:sz w:val="20"/>
          <w:szCs w:val="20"/>
        </w:rPr>
        <w:t xml:space="preserve">Haas, Ernst B. (1958). </w:t>
      </w:r>
      <w:r w:rsidRPr="00121AA7">
        <w:rPr>
          <w:rFonts w:ascii="Times New Roman" w:hAnsi="Times New Roman" w:cs="Times New Roman"/>
          <w:i/>
          <w:sz w:val="20"/>
          <w:szCs w:val="20"/>
        </w:rPr>
        <w:t>The Uniting of Europe: Political, Social, and Economic Forces 1950-57</w:t>
      </w:r>
      <w:r w:rsidRPr="00121AA7">
        <w:rPr>
          <w:rFonts w:ascii="Times New Roman" w:hAnsi="Times New Roman" w:cs="Times New Roman"/>
          <w:sz w:val="20"/>
          <w:szCs w:val="20"/>
        </w:rPr>
        <w:t>. Stanford, CT: Stanford University Press.</w:t>
      </w:r>
    </w:p>
    <w:p w:rsidR="007472E9" w:rsidRPr="00121AA7" w:rsidRDefault="007472E9" w:rsidP="00A1500D">
      <w:pPr>
        <w:ind w:left="720" w:hanging="720"/>
        <w:jc w:val="both"/>
        <w:rPr>
          <w:rFonts w:ascii="Times New Roman" w:hAnsi="Times New Roman" w:cs="Times New Roman"/>
          <w:sz w:val="20"/>
          <w:szCs w:val="20"/>
        </w:rPr>
      </w:pPr>
    </w:p>
    <w:p w:rsidR="001E1648" w:rsidRPr="00121AA7" w:rsidRDefault="001E1648" w:rsidP="00A1500D">
      <w:pPr>
        <w:ind w:left="720" w:hanging="720"/>
        <w:jc w:val="both"/>
        <w:rPr>
          <w:rFonts w:ascii="Times New Roman" w:hAnsi="Times New Roman" w:cs="Times New Roman"/>
          <w:sz w:val="20"/>
          <w:szCs w:val="20"/>
        </w:rPr>
      </w:pPr>
      <w:proofErr w:type="spellStart"/>
      <w:r w:rsidRPr="00121AA7">
        <w:rPr>
          <w:rFonts w:ascii="Times New Roman" w:hAnsi="Times New Roman" w:cs="Times New Roman"/>
          <w:sz w:val="20"/>
          <w:szCs w:val="20"/>
        </w:rPr>
        <w:t>Hinarejos</w:t>
      </w:r>
      <w:proofErr w:type="spellEnd"/>
      <w:r w:rsidRPr="00121AA7">
        <w:rPr>
          <w:rFonts w:ascii="Times New Roman" w:hAnsi="Times New Roman" w:cs="Times New Roman"/>
          <w:sz w:val="20"/>
          <w:szCs w:val="20"/>
        </w:rPr>
        <w:t xml:space="preserve">, Alicia. (2012). “Free Movement, Federalism, and Institutional Choice: A Canada-EU Comparison.” </w:t>
      </w:r>
      <w:r w:rsidRPr="00121AA7">
        <w:rPr>
          <w:rFonts w:ascii="Times New Roman" w:hAnsi="Times New Roman" w:cs="Times New Roman"/>
          <w:i/>
          <w:sz w:val="20"/>
          <w:szCs w:val="20"/>
        </w:rPr>
        <w:t>Cambridge Law Journal</w:t>
      </w:r>
      <w:r w:rsidRPr="00121AA7">
        <w:rPr>
          <w:rFonts w:ascii="Times New Roman" w:hAnsi="Times New Roman" w:cs="Times New Roman"/>
          <w:sz w:val="20"/>
          <w:szCs w:val="20"/>
        </w:rPr>
        <w:t>, 71 (3): 537-566.</w:t>
      </w:r>
    </w:p>
    <w:p w:rsidR="001E1648" w:rsidRPr="00121AA7" w:rsidRDefault="001E1648" w:rsidP="00A1500D">
      <w:pPr>
        <w:ind w:left="720" w:hanging="720"/>
        <w:jc w:val="both"/>
        <w:rPr>
          <w:rFonts w:ascii="Times New Roman" w:hAnsi="Times New Roman" w:cs="Times New Roman"/>
          <w:sz w:val="20"/>
          <w:szCs w:val="20"/>
        </w:rPr>
      </w:pPr>
    </w:p>
    <w:p w:rsidR="006464BC" w:rsidRPr="00121AA7" w:rsidRDefault="006464BC" w:rsidP="00A1500D">
      <w:pPr>
        <w:ind w:left="720" w:hanging="720"/>
        <w:jc w:val="both"/>
        <w:rPr>
          <w:rFonts w:ascii="Times New Roman" w:hAnsi="Times New Roman" w:cs="Times New Roman"/>
          <w:bCs/>
          <w:sz w:val="20"/>
          <w:szCs w:val="20"/>
        </w:rPr>
      </w:pPr>
      <w:proofErr w:type="gramStart"/>
      <w:r w:rsidRPr="00121AA7">
        <w:rPr>
          <w:rFonts w:ascii="Times New Roman" w:hAnsi="Times New Roman" w:cs="Times New Roman"/>
          <w:sz w:val="20"/>
          <w:szCs w:val="20"/>
        </w:rPr>
        <w:t>House of Commons Committees-CIIT (41-1).</w:t>
      </w:r>
      <w:proofErr w:type="gramEnd"/>
      <w:r w:rsidRPr="00121AA7">
        <w:rPr>
          <w:rFonts w:ascii="Times New Roman" w:hAnsi="Times New Roman" w:cs="Times New Roman"/>
          <w:sz w:val="20"/>
          <w:szCs w:val="20"/>
        </w:rPr>
        <w:t xml:space="preserve"> </w:t>
      </w:r>
      <w:proofErr w:type="gramStart"/>
      <w:r w:rsidRPr="00121AA7">
        <w:rPr>
          <w:rFonts w:ascii="Times New Roman" w:hAnsi="Times New Roman" w:cs="Times New Roman"/>
          <w:sz w:val="20"/>
          <w:szCs w:val="20"/>
        </w:rPr>
        <w:t>(2011). Parliament of Canada.</w:t>
      </w:r>
      <w:proofErr w:type="gramEnd"/>
      <w:r w:rsidRPr="00121AA7">
        <w:rPr>
          <w:rFonts w:ascii="Times New Roman" w:hAnsi="Times New Roman" w:cs="Times New Roman"/>
          <w:sz w:val="20"/>
          <w:szCs w:val="20"/>
        </w:rPr>
        <w:t xml:space="preserve"> </w:t>
      </w:r>
      <w:proofErr w:type="gramStart"/>
      <w:r w:rsidRPr="00121AA7">
        <w:rPr>
          <w:rFonts w:ascii="Times New Roman" w:hAnsi="Times New Roman" w:cs="Times New Roman"/>
          <w:sz w:val="20"/>
          <w:szCs w:val="20"/>
        </w:rPr>
        <w:t>“</w:t>
      </w:r>
      <w:r w:rsidRPr="00121AA7">
        <w:rPr>
          <w:rFonts w:ascii="Times New Roman" w:hAnsi="Times New Roman" w:cs="Times New Roman"/>
          <w:bCs/>
          <w:sz w:val="20"/>
          <w:szCs w:val="20"/>
        </w:rPr>
        <w:t xml:space="preserve">Negotiations toward a Comprehensive Economic and Trade Agreement (CETA) between Canada and the European Union.” </w:t>
      </w:r>
      <w:hyperlink r:id="rId16" w:history="1">
        <w:r w:rsidRPr="00121AA7">
          <w:rPr>
            <w:rStyle w:val="Hyperlink"/>
            <w:rFonts w:ascii="Times New Roman" w:hAnsi="Times New Roman" w:cs="Times New Roman"/>
            <w:bCs/>
            <w:sz w:val="20"/>
            <w:szCs w:val="20"/>
          </w:rPr>
          <w:t>http://www.parl.gc.ca/HousePublications/Publication.aspx?DocId=5431905&amp;Language=E&amp;Mode=1&amp;Parl=41&amp;Ses=1&amp;File=87</w:t>
        </w:r>
      </w:hyperlink>
      <w:r w:rsidRPr="00121AA7">
        <w:rPr>
          <w:rFonts w:ascii="Times New Roman" w:hAnsi="Times New Roman" w:cs="Times New Roman"/>
          <w:bCs/>
          <w:sz w:val="20"/>
          <w:szCs w:val="20"/>
        </w:rPr>
        <w:t>.</w:t>
      </w:r>
      <w:proofErr w:type="gramEnd"/>
      <w:r w:rsidRPr="00121AA7">
        <w:rPr>
          <w:rFonts w:ascii="Times New Roman" w:hAnsi="Times New Roman" w:cs="Times New Roman"/>
          <w:bCs/>
          <w:sz w:val="20"/>
          <w:szCs w:val="20"/>
        </w:rPr>
        <w:t xml:space="preserve"> </w:t>
      </w:r>
    </w:p>
    <w:p w:rsidR="006464BC" w:rsidRPr="00121AA7" w:rsidRDefault="006464BC" w:rsidP="00A1500D">
      <w:pPr>
        <w:jc w:val="both"/>
        <w:rPr>
          <w:rFonts w:ascii="Times New Roman" w:hAnsi="Times New Roman" w:cs="Times New Roman"/>
          <w:sz w:val="20"/>
          <w:szCs w:val="20"/>
        </w:rPr>
      </w:pPr>
    </w:p>
    <w:p w:rsidR="0033517E" w:rsidRPr="00121AA7" w:rsidRDefault="00325F37" w:rsidP="00A1500D">
      <w:pPr>
        <w:ind w:left="720" w:hanging="720"/>
        <w:jc w:val="both"/>
        <w:rPr>
          <w:rFonts w:ascii="Times New Roman" w:hAnsi="Times New Roman" w:cs="Times New Roman"/>
          <w:sz w:val="20"/>
          <w:szCs w:val="20"/>
        </w:rPr>
      </w:pPr>
      <w:proofErr w:type="spellStart"/>
      <w:r w:rsidRPr="00121AA7">
        <w:rPr>
          <w:rFonts w:ascii="Times New Roman" w:hAnsi="Times New Roman" w:cs="Times New Roman"/>
          <w:sz w:val="20"/>
          <w:szCs w:val="20"/>
        </w:rPr>
        <w:lastRenderedPageBreak/>
        <w:t>Hübner</w:t>
      </w:r>
      <w:proofErr w:type="spellEnd"/>
      <w:r w:rsidRPr="00121AA7">
        <w:rPr>
          <w:rFonts w:ascii="Times New Roman" w:hAnsi="Times New Roman" w:cs="Times New Roman"/>
          <w:sz w:val="20"/>
          <w:szCs w:val="20"/>
        </w:rPr>
        <w:t xml:space="preserve">, Kurt. (2011). “Canada and the EU: Shaping Transatlantic Relations in the twenty-first Century.” </w:t>
      </w:r>
      <w:proofErr w:type="gramStart"/>
      <w:r w:rsidRPr="00121AA7">
        <w:rPr>
          <w:rFonts w:ascii="Times New Roman" w:hAnsi="Times New Roman" w:cs="Times New Roman"/>
          <w:sz w:val="20"/>
          <w:szCs w:val="20"/>
        </w:rPr>
        <w:t xml:space="preserve">In Kurt </w:t>
      </w:r>
      <w:proofErr w:type="spellStart"/>
      <w:r w:rsidRPr="00121AA7">
        <w:rPr>
          <w:rFonts w:ascii="Times New Roman" w:hAnsi="Times New Roman" w:cs="Times New Roman"/>
          <w:sz w:val="20"/>
          <w:szCs w:val="20"/>
        </w:rPr>
        <w:t>Hübner</w:t>
      </w:r>
      <w:proofErr w:type="spellEnd"/>
      <w:r w:rsidRPr="00121AA7">
        <w:rPr>
          <w:rFonts w:ascii="Times New Roman" w:hAnsi="Times New Roman" w:cs="Times New Roman"/>
          <w:sz w:val="20"/>
          <w:szCs w:val="20"/>
        </w:rPr>
        <w:t xml:space="preserve">, editor, </w:t>
      </w:r>
      <w:r w:rsidRPr="00121AA7">
        <w:rPr>
          <w:rFonts w:ascii="Times New Roman" w:hAnsi="Times New Roman" w:cs="Times New Roman"/>
          <w:i/>
          <w:sz w:val="20"/>
          <w:szCs w:val="20"/>
        </w:rPr>
        <w:t>Europe, Canada and the Comprehensive Economic and Trade Agreement</w:t>
      </w:r>
      <w:r w:rsidRPr="00121AA7">
        <w:rPr>
          <w:rFonts w:ascii="Times New Roman" w:hAnsi="Times New Roman" w:cs="Times New Roman"/>
          <w:sz w:val="20"/>
          <w:szCs w:val="20"/>
        </w:rPr>
        <w:t>.</w:t>
      </w:r>
      <w:proofErr w:type="gramEnd"/>
      <w:r w:rsidRPr="00121AA7">
        <w:rPr>
          <w:rFonts w:ascii="Times New Roman" w:hAnsi="Times New Roman" w:cs="Times New Roman"/>
          <w:sz w:val="20"/>
          <w:szCs w:val="20"/>
        </w:rPr>
        <w:t xml:space="preserve"> Routledge, NY: 1-18.</w:t>
      </w:r>
    </w:p>
    <w:p w:rsidR="0033517E" w:rsidRPr="00121AA7" w:rsidRDefault="0033517E" w:rsidP="00A1500D">
      <w:pPr>
        <w:ind w:left="720" w:hanging="720"/>
        <w:jc w:val="both"/>
        <w:rPr>
          <w:rFonts w:ascii="Times New Roman" w:hAnsi="Times New Roman" w:cs="Times New Roman"/>
          <w:sz w:val="20"/>
          <w:szCs w:val="20"/>
        </w:rPr>
      </w:pPr>
    </w:p>
    <w:p w:rsidR="00DD0C02" w:rsidRPr="00121AA7" w:rsidRDefault="00DD0C02" w:rsidP="00A1500D">
      <w:pPr>
        <w:ind w:left="720" w:hanging="720"/>
        <w:jc w:val="both"/>
        <w:rPr>
          <w:rFonts w:ascii="Times New Roman" w:hAnsi="Times New Roman" w:cs="Times New Roman"/>
          <w:sz w:val="20"/>
          <w:szCs w:val="20"/>
        </w:rPr>
      </w:pPr>
      <w:proofErr w:type="spellStart"/>
      <w:r w:rsidRPr="00121AA7">
        <w:rPr>
          <w:rFonts w:ascii="Times New Roman" w:hAnsi="Times New Roman" w:cs="Times New Roman"/>
          <w:sz w:val="20"/>
          <w:szCs w:val="20"/>
        </w:rPr>
        <w:t>Hueglin</w:t>
      </w:r>
      <w:proofErr w:type="spellEnd"/>
      <w:r w:rsidRPr="00121AA7">
        <w:rPr>
          <w:rFonts w:ascii="Times New Roman" w:hAnsi="Times New Roman" w:cs="Times New Roman"/>
          <w:sz w:val="20"/>
          <w:szCs w:val="20"/>
        </w:rPr>
        <w:t xml:space="preserve">, Thomas. (2013). “Treaty Federalism as a Model of Policy Making: Comparing Canada and the European Union.” </w:t>
      </w:r>
      <w:r w:rsidRPr="00121AA7">
        <w:rPr>
          <w:rFonts w:ascii="Times New Roman" w:hAnsi="Times New Roman" w:cs="Times New Roman"/>
          <w:i/>
          <w:sz w:val="20"/>
          <w:szCs w:val="20"/>
        </w:rPr>
        <w:t>Canadian Public Administration</w:t>
      </w:r>
      <w:r w:rsidRPr="00121AA7">
        <w:rPr>
          <w:rFonts w:ascii="Times New Roman" w:hAnsi="Times New Roman" w:cs="Times New Roman"/>
          <w:sz w:val="20"/>
          <w:szCs w:val="20"/>
        </w:rPr>
        <w:t>, 56 (2): 185-202.</w:t>
      </w:r>
    </w:p>
    <w:p w:rsidR="00DD0C02" w:rsidRDefault="00DD0C02" w:rsidP="00A1500D">
      <w:pPr>
        <w:ind w:left="720" w:hanging="720"/>
        <w:jc w:val="both"/>
        <w:rPr>
          <w:rFonts w:ascii="Times New Roman" w:hAnsi="Times New Roman" w:cs="Times New Roman"/>
          <w:sz w:val="20"/>
          <w:szCs w:val="20"/>
        </w:rPr>
      </w:pPr>
    </w:p>
    <w:p w:rsidR="00775BB4" w:rsidRDefault="00775BB4" w:rsidP="00A1500D">
      <w:pPr>
        <w:ind w:left="720" w:hanging="720"/>
        <w:jc w:val="both"/>
        <w:rPr>
          <w:rFonts w:ascii="Times New Roman" w:hAnsi="Times New Roman" w:cs="Times New Roman"/>
          <w:sz w:val="20"/>
          <w:szCs w:val="20"/>
        </w:rPr>
      </w:pPr>
      <w:proofErr w:type="gramStart"/>
      <w:r>
        <w:rPr>
          <w:rFonts w:ascii="Times New Roman" w:hAnsi="Times New Roman" w:cs="Times New Roman"/>
          <w:sz w:val="20"/>
          <w:szCs w:val="20"/>
        </w:rPr>
        <w:t>Irish Exporters Association (2013).</w:t>
      </w:r>
      <w:proofErr w:type="gramEnd"/>
      <w:r>
        <w:rPr>
          <w:rFonts w:ascii="Times New Roman" w:hAnsi="Times New Roman" w:cs="Times New Roman"/>
          <w:sz w:val="20"/>
          <w:szCs w:val="20"/>
        </w:rPr>
        <w:t xml:space="preserve"> Retrieved April 2014: </w:t>
      </w:r>
      <w:hyperlink r:id="rId17" w:history="1">
        <w:r w:rsidRPr="008550C4">
          <w:rPr>
            <w:rStyle w:val="Hyperlink"/>
            <w:rFonts w:ascii="Times New Roman" w:hAnsi="Times New Roman" w:cs="Times New Roman"/>
            <w:sz w:val="20"/>
            <w:szCs w:val="20"/>
          </w:rPr>
          <w:t>http://www.irishexporters.ie/section/IrelandhasmosttogainfromtheEUCanadaComprehensiveEconomicandTradeAgreementCETA</w:t>
        </w:r>
      </w:hyperlink>
      <w:r>
        <w:rPr>
          <w:rFonts w:ascii="Times New Roman" w:hAnsi="Times New Roman" w:cs="Times New Roman"/>
          <w:sz w:val="20"/>
          <w:szCs w:val="20"/>
        </w:rPr>
        <w:t xml:space="preserve">. </w:t>
      </w:r>
    </w:p>
    <w:p w:rsidR="00775BB4" w:rsidRPr="00121AA7" w:rsidRDefault="00775BB4" w:rsidP="00A1500D">
      <w:pPr>
        <w:ind w:left="720" w:hanging="720"/>
        <w:jc w:val="both"/>
        <w:rPr>
          <w:rFonts w:ascii="Times New Roman" w:hAnsi="Times New Roman" w:cs="Times New Roman"/>
          <w:sz w:val="20"/>
          <w:szCs w:val="20"/>
        </w:rPr>
      </w:pPr>
    </w:p>
    <w:p w:rsidR="00DD0C02" w:rsidRPr="00121AA7" w:rsidRDefault="00DD0C02" w:rsidP="00A1500D">
      <w:pPr>
        <w:ind w:left="720" w:hanging="720"/>
        <w:jc w:val="both"/>
        <w:rPr>
          <w:rFonts w:ascii="Times New Roman" w:hAnsi="Times New Roman" w:cs="Times New Roman"/>
          <w:sz w:val="20"/>
          <w:szCs w:val="20"/>
        </w:rPr>
      </w:pPr>
      <w:proofErr w:type="gramStart"/>
      <w:r w:rsidRPr="00121AA7">
        <w:rPr>
          <w:rFonts w:ascii="Times New Roman" w:hAnsi="Times New Roman" w:cs="Times New Roman"/>
          <w:sz w:val="20"/>
          <w:szCs w:val="20"/>
        </w:rPr>
        <w:t>Joint Study by the European Commission and the Government of Canada</w:t>
      </w:r>
      <w:r w:rsidR="007472E9" w:rsidRPr="00121AA7">
        <w:rPr>
          <w:rFonts w:ascii="Times New Roman" w:hAnsi="Times New Roman" w:cs="Times New Roman"/>
          <w:sz w:val="20"/>
          <w:szCs w:val="20"/>
        </w:rPr>
        <w:t>.</w:t>
      </w:r>
      <w:proofErr w:type="gramEnd"/>
      <w:r w:rsidR="007472E9" w:rsidRPr="00121AA7">
        <w:rPr>
          <w:rFonts w:ascii="Times New Roman" w:hAnsi="Times New Roman" w:cs="Times New Roman"/>
          <w:sz w:val="20"/>
          <w:szCs w:val="20"/>
        </w:rPr>
        <w:t xml:space="preserve"> </w:t>
      </w:r>
      <w:proofErr w:type="gramStart"/>
      <w:r w:rsidR="007472E9" w:rsidRPr="00121AA7">
        <w:rPr>
          <w:rFonts w:ascii="Times New Roman" w:hAnsi="Times New Roman" w:cs="Times New Roman"/>
          <w:sz w:val="20"/>
          <w:szCs w:val="20"/>
        </w:rPr>
        <w:t>(2008). “Assessing the Costs and Benefits of a Closer EU-Canada Economic Partnership.”</w:t>
      </w:r>
      <w:proofErr w:type="gramEnd"/>
      <w:r w:rsidR="007472E9" w:rsidRPr="00121AA7">
        <w:rPr>
          <w:rFonts w:ascii="Times New Roman" w:hAnsi="Times New Roman" w:cs="Times New Roman"/>
          <w:sz w:val="20"/>
          <w:szCs w:val="20"/>
        </w:rPr>
        <w:t xml:space="preserve"> Ottawa.</w:t>
      </w:r>
    </w:p>
    <w:p w:rsidR="00DD0C02" w:rsidRPr="00121AA7" w:rsidRDefault="00DD0C02" w:rsidP="00A1500D">
      <w:pPr>
        <w:jc w:val="both"/>
        <w:rPr>
          <w:rFonts w:ascii="Times New Roman" w:hAnsi="Times New Roman" w:cs="Times New Roman"/>
          <w:sz w:val="20"/>
          <w:szCs w:val="20"/>
        </w:rPr>
      </w:pPr>
    </w:p>
    <w:p w:rsidR="001E1648" w:rsidRPr="00121AA7" w:rsidRDefault="001E1648" w:rsidP="00A1500D">
      <w:pPr>
        <w:ind w:left="720" w:hanging="720"/>
        <w:jc w:val="both"/>
        <w:rPr>
          <w:rFonts w:ascii="Times New Roman" w:hAnsi="Times New Roman" w:cs="Times New Roman"/>
          <w:sz w:val="20"/>
          <w:szCs w:val="20"/>
        </w:rPr>
      </w:pPr>
      <w:proofErr w:type="spellStart"/>
      <w:r w:rsidRPr="00121AA7">
        <w:rPr>
          <w:rFonts w:ascii="Times New Roman" w:hAnsi="Times New Roman" w:cs="Times New Roman"/>
          <w:sz w:val="20"/>
          <w:szCs w:val="20"/>
        </w:rPr>
        <w:t>Laursen</w:t>
      </w:r>
      <w:proofErr w:type="spellEnd"/>
      <w:r w:rsidRPr="00121AA7">
        <w:rPr>
          <w:rFonts w:ascii="Times New Roman" w:hAnsi="Times New Roman" w:cs="Times New Roman"/>
          <w:sz w:val="20"/>
          <w:szCs w:val="20"/>
        </w:rPr>
        <w:t xml:space="preserve">, Finn. (2011). “Federalism: From Classical Theory to Modern Day Practice in the EU and Other Polities.” In Finn </w:t>
      </w:r>
      <w:proofErr w:type="spellStart"/>
      <w:r w:rsidRPr="00121AA7">
        <w:rPr>
          <w:rFonts w:ascii="Times New Roman" w:hAnsi="Times New Roman" w:cs="Times New Roman"/>
          <w:sz w:val="20"/>
          <w:szCs w:val="20"/>
        </w:rPr>
        <w:t>Laursen</w:t>
      </w:r>
      <w:proofErr w:type="spellEnd"/>
      <w:r w:rsidRPr="00121AA7">
        <w:rPr>
          <w:rFonts w:ascii="Times New Roman" w:hAnsi="Times New Roman" w:cs="Times New Roman"/>
          <w:sz w:val="20"/>
          <w:szCs w:val="20"/>
        </w:rPr>
        <w:t xml:space="preserve">, editor, </w:t>
      </w:r>
      <w:r w:rsidRPr="00121AA7">
        <w:rPr>
          <w:rFonts w:ascii="Times New Roman" w:hAnsi="Times New Roman" w:cs="Times New Roman"/>
          <w:i/>
          <w:sz w:val="20"/>
          <w:szCs w:val="20"/>
        </w:rPr>
        <w:t>The EU and Federalism: Polities and Policies Compared</w:t>
      </w:r>
      <w:r w:rsidRPr="00121AA7">
        <w:rPr>
          <w:rFonts w:ascii="Times New Roman" w:hAnsi="Times New Roman" w:cs="Times New Roman"/>
          <w:sz w:val="20"/>
          <w:szCs w:val="20"/>
        </w:rPr>
        <w:t xml:space="preserve">. </w:t>
      </w:r>
      <w:proofErr w:type="spellStart"/>
      <w:r w:rsidRPr="00121AA7">
        <w:rPr>
          <w:rFonts w:ascii="Times New Roman" w:hAnsi="Times New Roman" w:cs="Times New Roman"/>
          <w:sz w:val="20"/>
          <w:szCs w:val="20"/>
        </w:rPr>
        <w:t>Ashgate</w:t>
      </w:r>
      <w:proofErr w:type="spellEnd"/>
      <w:r w:rsidRPr="00121AA7">
        <w:rPr>
          <w:rFonts w:ascii="Times New Roman" w:hAnsi="Times New Roman" w:cs="Times New Roman"/>
          <w:sz w:val="20"/>
          <w:szCs w:val="20"/>
        </w:rPr>
        <w:t>, VT: 3-26.</w:t>
      </w:r>
    </w:p>
    <w:p w:rsidR="001E1648" w:rsidRPr="00121AA7" w:rsidRDefault="001E1648" w:rsidP="00A1500D">
      <w:pPr>
        <w:ind w:left="720" w:hanging="720"/>
        <w:jc w:val="both"/>
        <w:rPr>
          <w:rFonts w:ascii="Times New Roman" w:hAnsi="Times New Roman" w:cs="Times New Roman"/>
          <w:sz w:val="20"/>
          <w:szCs w:val="20"/>
        </w:rPr>
      </w:pPr>
    </w:p>
    <w:p w:rsidR="00EC6642" w:rsidRPr="00EC6642" w:rsidRDefault="00EC6642" w:rsidP="00A1500D">
      <w:pPr>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Leblond</w:t>
      </w:r>
      <w:proofErr w:type="spellEnd"/>
      <w:r>
        <w:rPr>
          <w:rFonts w:ascii="Times New Roman" w:hAnsi="Times New Roman" w:cs="Times New Roman"/>
          <w:sz w:val="20"/>
          <w:szCs w:val="20"/>
        </w:rPr>
        <w:t xml:space="preserve">, Patrick. (2010). “The Canada-EU Comprehensive Economic Trade Agreement: More to it than meets the eye.” </w:t>
      </w:r>
      <w:proofErr w:type="gramStart"/>
      <w:r>
        <w:rPr>
          <w:rFonts w:ascii="Times New Roman" w:hAnsi="Times New Roman" w:cs="Times New Roman"/>
          <w:i/>
          <w:sz w:val="20"/>
          <w:szCs w:val="20"/>
        </w:rPr>
        <w:t>Policy Options</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Institue</w:t>
      </w:r>
      <w:proofErr w:type="spellEnd"/>
      <w:r>
        <w:rPr>
          <w:rFonts w:ascii="Times New Roman" w:hAnsi="Times New Roman" w:cs="Times New Roman"/>
          <w:sz w:val="20"/>
          <w:szCs w:val="20"/>
        </w:rPr>
        <w:t xml:space="preserve"> for Research on Public Policy, July-August: 74-78.</w:t>
      </w:r>
    </w:p>
    <w:p w:rsidR="00EC6642" w:rsidRDefault="00EC6642" w:rsidP="00A1500D">
      <w:pPr>
        <w:ind w:left="720" w:hanging="720"/>
        <w:jc w:val="both"/>
        <w:rPr>
          <w:rFonts w:ascii="Times New Roman" w:hAnsi="Times New Roman" w:cs="Times New Roman"/>
          <w:sz w:val="20"/>
          <w:szCs w:val="20"/>
        </w:rPr>
      </w:pPr>
    </w:p>
    <w:p w:rsidR="007472E9" w:rsidRPr="00121AA7" w:rsidRDefault="007472E9" w:rsidP="00A1500D">
      <w:pPr>
        <w:ind w:left="720" w:hanging="720"/>
        <w:jc w:val="both"/>
        <w:rPr>
          <w:rFonts w:ascii="Times New Roman" w:hAnsi="Times New Roman" w:cs="Times New Roman"/>
          <w:sz w:val="20"/>
          <w:szCs w:val="20"/>
        </w:rPr>
      </w:pPr>
      <w:proofErr w:type="spellStart"/>
      <w:r w:rsidRPr="00121AA7">
        <w:rPr>
          <w:rFonts w:ascii="Times New Roman" w:hAnsi="Times New Roman" w:cs="Times New Roman"/>
          <w:sz w:val="20"/>
          <w:szCs w:val="20"/>
        </w:rPr>
        <w:t>Moravcsik</w:t>
      </w:r>
      <w:proofErr w:type="spellEnd"/>
      <w:r w:rsidRPr="00121AA7">
        <w:rPr>
          <w:rFonts w:ascii="Times New Roman" w:hAnsi="Times New Roman" w:cs="Times New Roman"/>
          <w:sz w:val="20"/>
          <w:szCs w:val="20"/>
        </w:rPr>
        <w:t xml:space="preserve">, Andrew. </w:t>
      </w:r>
      <w:proofErr w:type="gramStart"/>
      <w:r w:rsidRPr="00121AA7">
        <w:rPr>
          <w:rFonts w:ascii="Times New Roman" w:hAnsi="Times New Roman" w:cs="Times New Roman"/>
          <w:sz w:val="20"/>
          <w:szCs w:val="20"/>
        </w:rPr>
        <w:t>(2007). “The European Constitutional Settlement.”</w:t>
      </w:r>
      <w:proofErr w:type="gramEnd"/>
      <w:r w:rsidRPr="00121AA7">
        <w:rPr>
          <w:rFonts w:ascii="Times New Roman" w:hAnsi="Times New Roman" w:cs="Times New Roman"/>
          <w:sz w:val="20"/>
          <w:szCs w:val="20"/>
        </w:rPr>
        <w:t xml:space="preserve"> </w:t>
      </w:r>
      <w:proofErr w:type="gramStart"/>
      <w:r w:rsidRPr="00121AA7">
        <w:rPr>
          <w:rFonts w:ascii="Times New Roman" w:hAnsi="Times New Roman" w:cs="Times New Roman"/>
          <w:sz w:val="20"/>
          <w:szCs w:val="20"/>
        </w:rPr>
        <w:t xml:space="preserve">In S. </w:t>
      </w:r>
      <w:proofErr w:type="spellStart"/>
      <w:r w:rsidRPr="00121AA7">
        <w:rPr>
          <w:rFonts w:ascii="Times New Roman" w:hAnsi="Times New Roman" w:cs="Times New Roman"/>
          <w:sz w:val="20"/>
          <w:szCs w:val="20"/>
        </w:rPr>
        <w:t>Meunier</w:t>
      </w:r>
      <w:proofErr w:type="spellEnd"/>
      <w:r w:rsidRPr="00121AA7">
        <w:rPr>
          <w:rFonts w:ascii="Times New Roman" w:hAnsi="Times New Roman" w:cs="Times New Roman"/>
          <w:sz w:val="20"/>
          <w:szCs w:val="20"/>
        </w:rPr>
        <w:t xml:space="preserve"> and K.R. McNamara, editors, </w:t>
      </w:r>
      <w:r w:rsidRPr="00121AA7">
        <w:rPr>
          <w:rFonts w:ascii="Times New Roman" w:hAnsi="Times New Roman" w:cs="Times New Roman"/>
          <w:i/>
          <w:sz w:val="20"/>
          <w:szCs w:val="20"/>
        </w:rPr>
        <w:t>The State of the European Union Volume 8.</w:t>
      </w:r>
      <w:proofErr w:type="gramEnd"/>
      <w:r w:rsidRPr="00121AA7">
        <w:rPr>
          <w:rFonts w:ascii="Times New Roman" w:hAnsi="Times New Roman" w:cs="Times New Roman"/>
          <w:i/>
          <w:sz w:val="20"/>
          <w:szCs w:val="20"/>
        </w:rPr>
        <w:t xml:space="preserve"> </w:t>
      </w:r>
      <w:proofErr w:type="gramStart"/>
      <w:r w:rsidRPr="00121AA7">
        <w:rPr>
          <w:rFonts w:ascii="Times New Roman" w:hAnsi="Times New Roman" w:cs="Times New Roman"/>
          <w:i/>
          <w:sz w:val="20"/>
          <w:szCs w:val="20"/>
        </w:rPr>
        <w:t>Making History: European Integration and Institutional Change at Fifty.</w:t>
      </w:r>
      <w:proofErr w:type="gramEnd"/>
      <w:r w:rsidRPr="00121AA7">
        <w:rPr>
          <w:rFonts w:ascii="Times New Roman" w:hAnsi="Times New Roman" w:cs="Times New Roman"/>
          <w:sz w:val="20"/>
          <w:szCs w:val="20"/>
        </w:rPr>
        <w:t xml:space="preserve"> Oxford University Press: 23-50.</w:t>
      </w:r>
    </w:p>
    <w:p w:rsidR="007472E9" w:rsidRDefault="007472E9" w:rsidP="00A1500D">
      <w:pPr>
        <w:ind w:left="720" w:hanging="720"/>
        <w:jc w:val="both"/>
        <w:rPr>
          <w:rFonts w:ascii="Times New Roman" w:hAnsi="Times New Roman" w:cs="Times New Roman"/>
          <w:sz w:val="20"/>
          <w:szCs w:val="20"/>
        </w:rPr>
      </w:pPr>
    </w:p>
    <w:p w:rsidR="00D47BD8" w:rsidRDefault="00D47BD8" w:rsidP="00A1500D">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“Negotiations </w:t>
      </w:r>
      <w:proofErr w:type="gramStart"/>
      <w:r>
        <w:rPr>
          <w:rFonts w:ascii="Times New Roman" w:hAnsi="Times New Roman" w:cs="Times New Roman"/>
          <w:sz w:val="20"/>
          <w:szCs w:val="20"/>
        </w:rPr>
        <w:t>Toward  a</w:t>
      </w:r>
      <w:proofErr w:type="gramEnd"/>
      <w:r>
        <w:rPr>
          <w:rFonts w:ascii="Times New Roman" w:hAnsi="Times New Roman" w:cs="Times New Roman"/>
          <w:sz w:val="20"/>
          <w:szCs w:val="20"/>
        </w:rPr>
        <w:t xml:space="preserve"> Comprehensive Economic and Trade </w:t>
      </w:r>
      <w:proofErr w:type="spellStart"/>
      <w:r>
        <w:rPr>
          <w:rFonts w:ascii="Times New Roman" w:hAnsi="Times New Roman" w:cs="Times New Roman"/>
          <w:sz w:val="20"/>
          <w:szCs w:val="20"/>
        </w:rPr>
        <w:t>Agreeement</w:t>
      </w:r>
      <w:proofErr w:type="spellEnd"/>
      <w:r>
        <w:rPr>
          <w:rFonts w:ascii="Times New Roman" w:hAnsi="Times New Roman" w:cs="Times New Roman"/>
          <w:sz w:val="20"/>
          <w:szCs w:val="20"/>
        </w:rPr>
        <w:t xml:space="preserve"> (CETA) Between Canada and the European Union.” </w:t>
      </w:r>
      <w:proofErr w:type="gramStart"/>
      <w:r>
        <w:rPr>
          <w:rFonts w:ascii="Times New Roman" w:hAnsi="Times New Roman" w:cs="Times New Roman"/>
          <w:sz w:val="20"/>
          <w:szCs w:val="20"/>
        </w:rPr>
        <w:t>Parliament of Canada &gt; Parliamentary Business &gt; Committee Report.</w:t>
      </w:r>
      <w:proofErr w:type="gramEnd"/>
      <w:r>
        <w:rPr>
          <w:rFonts w:ascii="Times New Roman" w:hAnsi="Times New Roman" w:cs="Times New Roman"/>
          <w:sz w:val="20"/>
          <w:szCs w:val="20"/>
        </w:rPr>
        <w:t xml:space="preserve"> Retrieved April 2014: </w:t>
      </w:r>
      <w:hyperlink r:id="rId18" w:history="1">
        <w:r w:rsidRPr="008550C4">
          <w:rPr>
            <w:rStyle w:val="Hyperlink"/>
            <w:rFonts w:ascii="Times New Roman" w:hAnsi="Times New Roman" w:cs="Times New Roman"/>
            <w:sz w:val="20"/>
            <w:szCs w:val="20"/>
          </w:rPr>
          <w:t>http://www.parl.gc.ca/HousePublications/Publication.aspx?DocId=5431905&amp;Language=E&amp;Mode=1&amp;Parl=41&amp;Ses=1&amp;File=87</w:t>
        </w:r>
      </w:hyperlink>
      <w:r>
        <w:rPr>
          <w:rFonts w:ascii="Times New Roman" w:hAnsi="Times New Roman" w:cs="Times New Roman"/>
          <w:sz w:val="20"/>
          <w:szCs w:val="20"/>
        </w:rPr>
        <w:t xml:space="preserve">. </w:t>
      </w:r>
    </w:p>
    <w:p w:rsidR="00D47BD8" w:rsidRPr="00121AA7" w:rsidRDefault="00D47BD8" w:rsidP="00A1500D">
      <w:pPr>
        <w:ind w:left="720" w:hanging="720"/>
        <w:jc w:val="both"/>
        <w:rPr>
          <w:rFonts w:ascii="Times New Roman" w:hAnsi="Times New Roman" w:cs="Times New Roman"/>
          <w:sz w:val="20"/>
          <w:szCs w:val="20"/>
        </w:rPr>
      </w:pPr>
    </w:p>
    <w:p w:rsidR="007472E9" w:rsidRPr="00121AA7" w:rsidRDefault="007472E9" w:rsidP="00A1500D">
      <w:pPr>
        <w:ind w:left="720" w:hanging="720"/>
        <w:jc w:val="both"/>
        <w:rPr>
          <w:rFonts w:ascii="Times New Roman" w:hAnsi="Times New Roman" w:cs="Times New Roman"/>
          <w:sz w:val="20"/>
          <w:szCs w:val="20"/>
        </w:rPr>
      </w:pPr>
      <w:r w:rsidRPr="00121AA7">
        <w:rPr>
          <w:rFonts w:ascii="Times New Roman" w:hAnsi="Times New Roman" w:cs="Times New Roman"/>
          <w:sz w:val="20"/>
          <w:szCs w:val="20"/>
        </w:rPr>
        <w:t xml:space="preserve">Riker, William H. (1964). </w:t>
      </w:r>
      <w:r w:rsidRPr="00121AA7">
        <w:rPr>
          <w:rFonts w:ascii="Times New Roman" w:hAnsi="Times New Roman" w:cs="Times New Roman"/>
          <w:i/>
          <w:sz w:val="20"/>
          <w:szCs w:val="20"/>
        </w:rPr>
        <w:t>Federalism: Origin, Operation, Significance</w:t>
      </w:r>
      <w:r w:rsidRPr="00121AA7">
        <w:rPr>
          <w:rFonts w:ascii="Times New Roman" w:hAnsi="Times New Roman" w:cs="Times New Roman"/>
          <w:sz w:val="20"/>
          <w:szCs w:val="20"/>
        </w:rPr>
        <w:t>. Boston: Little Brown and Company.</w:t>
      </w:r>
    </w:p>
    <w:p w:rsidR="007472E9" w:rsidRPr="00121AA7" w:rsidRDefault="007472E9" w:rsidP="00A1500D">
      <w:pPr>
        <w:ind w:left="720" w:hanging="720"/>
        <w:jc w:val="both"/>
        <w:rPr>
          <w:rFonts w:ascii="Times New Roman" w:hAnsi="Times New Roman" w:cs="Times New Roman"/>
          <w:sz w:val="20"/>
          <w:szCs w:val="20"/>
        </w:rPr>
      </w:pPr>
    </w:p>
    <w:p w:rsidR="00E952B6" w:rsidRDefault="00E952B6" w:rsidP="00A1500D">
      <w:pPr>
        <w:ind w:left="720" w:hanging="720"/>
        <w:jc w:val="both"/>
        <w:rPr>
          <w:rFonts w:ascii="Times New Roman" w:hAnsi="Times New Roman" w:cs="Times New Roman"/>
          <w:sz w:val="20"/>
          <w:szCs w:val="20"/>
        </w:rPr>
      </w:pPr>
      <w:proofErr w:type="gramStart"/>
      <w:r>
        <w:rPr>
          <w:rFonts w:ascii="Times New Roman" w:hAnsi="Times New Roman" w:cs="Times New Roman"/>
          <w:sz w:val="20"/>
          <w:szCs w:val="20"/>
        </w:rPr>
        <w:t>Senate of Canada.</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“Standing Committee on Foreign Affairs and International Trade.”</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Parliament of Canada.</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Retrieved 5 April 2014.</w:t>
      </w:r>
      <w:proofErr w:type="gramEnd"/>
      <w:r>
        <w:rPr>
          <w:rFonts w:ascii="Times New Roman" w:hAnsi="Times New Roman" w:cs="Times New Roman"/>
          <w:sz w:val="20"/>
          <w:szCs w:val="20"/>
        </w:rPr>
        <w:t xml:space="preserve"> </w:t>
      </w:r>
      <w:hyperlink r:id="rId19" w:history="1">
        <w:r w:rsidRPr="008550C4">
          <w:rPr>
            <w:rStyle w:val="Hyperlink"/>
            <w:rFonts w:ascii="Times New Roman" w:hAnsi="Times New Roman" w:cs="Times New Roman"/>
            <w:sz w:val="20"/>
            <w:szCs w:val="20"/>
          </w:rPr>
          <w:t>http://www.parl.gc.ca/sencommitteebusiness/CommitteeAbout.aspx?parl=41&amp;ses=1&amp;Language=E&amp;comm_id=8</w:t>
        </w:r>
      </w:hyperlink>
      <w:r>
        <w:rPr>
          <w:rFonts w:ascii="Times New Roman" w:hAnsi="Times New Roman" w:cs="Times New Roman"/>
          <w:sz w:val="20"/>
          <w:szCs w:val="20"/>
        </w:rPr>
        <w:t xml:space="preserve">. </w:t>
      </w:r>
    </w:p>
    <w:p w:rsidR="00E952B6" w:rsidRDefault="00E952B6" w:rsidP="00A1500D">
      <w:pPr>
        <w:ind w:left="720" w:hanging="720"/>
        <w:jc w:val="both"/>
        <w:rPr>
          <w:rFonts w:ascii="Times New Roman" w:hAnsi="Times New Roman" w:cs="Times New Roman"/>
          <w:sz w:val="20"/>
          <w:szCs w:val="20"/>
        </w:rPr>
      </w:pPr>
    </w:p>
    <w:p w:rsidR="00DD0C02" w:rsidRPr="00121AA7" w:rsidRDefault="00DD0C02" w:rsidP="00A1500D">
      <w:pPr>
        <w:ind w:left="720" w:hanging="720"/>
        <w:jc w:val="both"/>
        <w:rPr>
          <w:rFonts w:ascii="Times New Roman" w:hAnsi="Times New Roman" w:cs="Times New Roman"/>
          <w:sz w:val="20"/>
          <w:szCs w:val="20"/>
        </w:rPr>
      </w:pPr>
      <w:proofErr w:type="spellStart"/>
      <w:r w:rsidRPr="00121AA7">
        <w:rPr>
          <w:rFonts w:ascii="Times New Roman" w:hAnsi="Times New Roman" w:cs="Times New Roman"/>
          <w:sz w:val="20"/>
          <w:szCs w:val="20"/>
        </w:rPr>
        <w:t>Tömmel</w:t>
      </w:r>
      <w:proofErr w:type="spellEnd"/>
      <w:r w:rsidRPr="00121AA7">
        <w:rPr>
          <w:rFonts w:ascii="Times New Roman" w:hAnsi="Times New Roman" w:cs="Times New Roman"/>
          <w:sz w:val="20"/>
          <w:szCs w:val="20"/>
        </w:rPr>
        <w:t xml:space="preserve">, </w:t>
      </w:r>
      <w:proofErr w:type="spellStart"/>
      <w:r w:rsidRPr="00121AA7">
        <w:rPr>
          <w:rFonts w:ascii="Times New Roman" w:hAnsi="Times New Roman" w:cs="Times New Roman"/>
          <w:sz w:val="20"/>
          <w:szCs w:val="20"/>
        </w:rPr>
        <w:t>Ingeborg</w:t>
      </w:r>
      <w:proofErr w:type="spellEnd"/>
      <w:r w:rsidRPr="00121AA7">
        <w:rPr>
          <w:rFonts w:ascii="Times New Roman" w:hAnsi="Times New Roman" w:cs="Times New Roman"/>
          <w:sz w:val="20"/>
          <w:szCs w:val="20"/>
        </w:rPr>
        <w:t xml:space="preserve">. </w:t>
      </w:r>
      <w:proofErr w:type="gramStart"/>
      <w:r w:rsidRPr="00121AA7">
        <w:rPr>
          <w:rFonts w:ascii="Times New Roman" w:hAnsi="Times New Roman" w:cs="Times New Roman"/>
          <w:sz w:val="20"/>
          <w:szCs w:val="20"/>
        </w:rPr>
        <w:t xml:space="preserve">(2011). “The European Union – A Federation </w:t>
      </w:r>
      <w:r w:rsidRPr="00121AA7">
        <w:rPr>
          <w:rFonts w:ascii="Times New Roman" w:hAnsi="Times New Roman" w:cs="Times New Roman"/>
          <w:i/>
          <w:sz w:val="20"/>
          <w:szCs w:val="20"/>
        </w:rPr>
        <w:t>Sui Generis</w:t>
      </w:r>
      <w:r w:rsidRPr="00121AA7">
        <w:rPr>
          <w:rFonts w:ascii="Times New Roman" w:hAnsi="Times New Roman" w:cs="Times New Roman"/>
          <w:sz w:val="20"/>
          <w:szCs w:val="20"/>
        </w:rPr>
        <w:t>?”</w:t>
      </w:r>
      <w:proofErr w:type="gramEnd"/>
      <w:r w:rsidRPr="00121AA7">
        <w:rPr>
          <w:rFonts w:ascii="Times New Roman" w:hAnsi="Times New Roman" w:cs="Times New Roman"/>
          <w:sz w:val="20"/>
          <w:szCs w:val="20"/>
        </w:rPr>
        <w:t xml:space="preserve"> In Finn </w:t>
      </w:r>
      <w:proofErr w:type="spellStart"/>
      <w:r w:rsidRPr="00121AA7">
        <w:rPr>
          <w:rFonts w:ascii="Times New Roman" w:hAnsi="Times New Roman" w:cs="Times New Roman"/>
          <w:sz w:val="20"/>
          <w:szCs w:val="20"/>
        </w:rPr>
        <w:t>Laursen</w:t>
      </w:r>
      <w:proofErr w:type="spellEnd"/>
      <w:r w:rsidRPr="00121AA7">
        <w:rPr>
          <w:rFonts w:ascii="Times New Roman" w:hAnsi="Times New Roman" w:cs="Times New Roman"/>
          <w:sz w:val="20"/>
          <w:szCs w:val="20"/>
        </w:rPr>
        <w:t xml:space="preserve">, editor, </w:t>
      </w:r>
      <w:r w:rsidRPr="00121AA7">
        <w:rPr>
          <w:rFonts w:ascii="Times New Roman" w:hAnsi="Times New Roman" w:cs="Times New Roman"/>
          <w:i/>
          <w:sz w:val="20"/>
          <w:szCs w:val="20"/>
        </w:rPr>
        <w:t>The EU and Federalism: Polities and Policies Compared</w:t>
      </w:r>
      <w:r w:rsidRPr="00121AA7">
        <w:rPr>
          <w:rFonts w:ascii="Times New Roman" w:hAnsi="Times New Roman" w:cs="Times New Roman"/>
          <w:sz w:val="20"/>
          <w:szCs w:val="20"/>
        </w:rPr>
        <w:t xml:space="preserve">. </w:t>
      </w:r>
      <w:proofErr w:type="spellStart"/>
      <w:r w:rsidRPr="00121AA7">
        <w:rPr>
          <w:rFonts w:ascii="Times New Roman" w:hAnsi="Times New Roman" w:cs="Times New Roman"/>
          <w:sz w:val="20"/>
          <w:szCs w:val="20"/>
        </w:rPr>
        <w:t>Ashgate</w:t>
      </w:r>
      <w:proofErr w:type="spellEnd"/>
      <w:r w:rsidRPr="00121AA7">
        <w:rPr>
          <w:rFonts w:ascii="Times New Roman" w:hAnsi="Times New Roman" w:cs="Times New Roman"/>
          <w:sz w:val="20"/>
          <w:szCs w:val="20"/>
        </w:rPr>
        <w:t>, VT: 41-56.</w:t>
      </w:r>
    </w:p>
    <w:p w:rsidR="007472E9" w:rsidRDefault="007472E9" w:rsidP="00A1500D">
      <w:pPr>
        <w:jc w:val="both"/>
        <w:rPr>
          <w:rFonts w:ascii="Times New Roman" w:hAnsi="Times New Roman" w:cs="Times New Roman"/>
          <w:sz w:val="20"/>
          <w:szCs w:val="20"/>
        </w:rPr>
      </w:pPr>
    </w:p>
    <w:p w:rsidR="00FC1D57" w:rsidRPr="00FC1D57" w:rsidRDefault="00FC1D57" w:rsidP="00A1500D">
      <w:pPr>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Waldie</w:t>
      </w:r>
      <w:proofErr w:type="spellEnd"/>
      <w:r>
        <w:rPr>
          <w:rFonts w:ascii="Times New Roman" w:hAnsi="Times New Roman" w:cs="Times New Roman"/>
          <w:sz w:val="20"/>
          <w:szCs w:val="20"/>
        </w:rPr>
        <w:t xml:space="preserve">, Paul. “Canada, EU </w:t>
      </w:r>
      <w:proofErr w:type="gramStart"/>
      <w:r>
        <w:rPr>
          <w:rFonts w:ascii="Times New Roman" w:hAnsi="Times New Roman" w:cs="Times New Roman"/>
          <w:sz w:val="20"/>
          <w:szCs w:val="20"/>
        </w:rPr>
        <w:t>unveil</w:t>
      </w:r>
      <w:proofErr w:type="gramEnd"/>
      <w:r>
        <w:rPr>
          <w:rFonts w:ascii="Times New Roman" w:hAnsi="Times New Roman" w:cs="Times New Roman"/>
          <w:sz w:val="20"/>
          <w:szCs w:val="20"/>
        </w:rPr>
        <w:t xml:space="preserve"> ‘historic’ free-trade agreement.” 18 October 2013. </w:t>
      </w:r>
      <w:proofErr w:type="gramStart"/>
      <w:r>
        <w:rPr>
          <w:rFonts w:ascii="Times New Roman" w:hAnsi="Times New Roman" w:cs="Times New Roman"/>
          <w:i/>
          <w:sz w:val="20"/>
          <w:szCs w:val="20"/>
        </w:rPr>
        <w:t>The Globe and Mail</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hyperlink r:id="rId20" w:history="1">
        <w:r w:rsidRPr="008550C4">
          <w:rPr>
            <w:rStyle w:val="Hyperlink"/>
            <w:rFonts w:ascii="Times New Roman" w:hAnsi="Times New Roman" w:cs="Times New Roman"/>
            <w:sz w:val="20"/>
            <w:szCs w:val="20"/>
          </w:rPr>
          <w:t>http://www.theglobeandmail.com/news/politics/eu-harper/article14924915/</w:t>
        </w:r>
      </w:hyperlink>
      <w:r>
        <w:rPr>
          <w:rFonts w:ascii="Times New Roman" w:hAnsi="Times New Roman" w:cs="Times New Roman"/>
          <w:sz w:val="20"/>
          <w:szCs w:val="20"/>
        </w:rPr>
        <w:t xml:space="preserve">. </w:t>
      </w:r>
    </w:p>
    <w:p w:rsidR="00FC1D57" w:rsidRPr="00121AA7" w:rsidRDefault="00FC1D57" w:rsidP="00A1500D">
      <w:pPr>
        <w:jc w:val="both"/>
        <w:rPr>
          <w:rFonts w:ascii="Times New Roman" w:hAnsi="Times New Roman" w:cs="Times New Roman"/>
          <w:sz w:val="20"/>
          <w:szCs w:val="20"/>
        </w:rPr>
      </w:pPr>
    </w:p>
    <w:p w:rsidR="00A6085D" w:rsidRPr="00A6085D" w:rsidRDefault="00A6085D" w:rsidP="00A1500D">
      <w:pPr>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Wheare</w:t>
      </w:r>
      <w:proofErr w:type="spellEnd"/>
      <w:r>
        <w:rPr>
          <w:rFonts w:ascii="Times New Roman" w:hAnsi="Times New Roman" w:cs="Times New Roman"/>
          <w:sz w:val="20"/>
          <w:szCs w:val="20"/>
        </w:rPr>
        <w:t xml:space="preserve">, Karl C. (1963). </w:t>
      </w:r>
      <w:proofErr w:type="gramStart"/>
      <w:r>
        <w:rPr>
          <w:rFonts w:ascii="Times New Roman" w:hAnsi="Times New Roman" w:cs="Times New Roman"/>
          <w:i/>
          <w:sz w:val="20"/>
          <w:szCs w:val="20"/>
        </w:rPr>
        <w:t>Federal Government</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Oxford University Press.</w:t>
      </w:r>
      <w:proofErr w:type="gramEnd"/>
    </w:p>
    <w:p w:rsidR="00A6085D" w:rsidRDefault="00A6085D" w:rsidP="00A1500D">
      <w:pPr>
        <w:ind w:left="720" w:hanging="720"/>
        <w:jc w:val="both"/>
        <w:rPr>
          <w:rFonts w:ascii="Times New Roman" w:hAnsi="Times New Roman" w:cs="Times New Roman"/>
          <w:sz w:val="20"/>
          <w:szCs w:val="20"/>
        </w:rPr>
      </w:pPr>
    </w:p>
    <w:p w:rsidR="00775BB4" w:rsidRPr="00775BB4" w:rsidRDefault="00775BB4" w:rsidP="00A1500D">
      <w:pPr>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Wingrove</w:t>
      </w:r>
      <w:proofErr w:type="spellEnd"/>
      <w:r>
        <w:rPr>
          <w:rFonts w:ascii="Times New Roman" w:hAnsi="Times New Roman" w:cs="Times New Roman"/>
          <w:sz w:val="20"/>
          <w:szCs w:val="20"/>
        </w:rPr>
        <w:t xml:space="preserve">, Josh. “Canada lifts Czech travel visa, smoothing wrinkle in EU trade deal.” 14 November 2013. </w:t>
      </w:r>
      <w:proofErr w:type="gramStart"/>
      <w:r>
        <w:rPr>
          <w:rFonts w:ascii="Times New Roman" w:hAnsi="Times New Roman" w:cs="Times New Roman"/>
          <w:i/>
          <w:sz w:val="20"/>
          <w:szCs w:val="20"/>
        </w:rPr>
        <w:t>The Globe and Mail</w:t>
      </w:r>
      <w:r>
        <w:rPr>
          <w:rFonts w:ascii="Times New Roman" w:hAnsi="Times New Roman" w:cs="Times New Roman"/>
          <w:sz w:val="20"/>
          <w:szCs w:val="20"/>
        </w:rPr>
        <w:t xml:space="preserve">, </w:t>
      </w:r>
      <w:hyperlink r:id="rId21" w:history="1">
        <w:r w:rsidRPr="008550C4">
          <w:rPr>
            <w:rStyle w:val="Hyperlink"/>
            <w:rFonts w:ascii="Times New Roman" w:hAnsi="Times New Roman" w:cs="Times New Roman"/>
            <w:sz w:val="20"/>
            <w:szCs w:val="20"/>
          </w:rPr>
          <w:t>http://www.theglobeandmail.com/news/politics/canada-lifts-czech-travel-visa-smoothing-wrinkle-in-eu-trade-deal/article15440977/</w:t>
        </w:r>
      </w:hyperlink>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775BB4" w:rsidRDefault="00775BB4" w:rsidP="00A1500D">
      <w:pPr>
        <w:ind w:left="720" w:hanging="720"/>
        <w:jc w:val="both"/>
        <w:rPr>
          <w:rFonts w:ascii="Times New Roman" w:hAnsi="Times New Roman" w:cs="Times New Roman"/>
          <w:sz w:val="20"/>
          <w:szCs w:val="20"/>
        </w:rPr>
      </w:pPr>
    </w:p>
    <w:p w:rsidR="001E1648" w:rsidRPr="00121AA7" w:rsidRDefault="001E1648" w:rsidP="00A1500D">
      <w:pPr>
        <w:ind w:left="720" w:hanging="720"/>
        <w:jc w:val="both"/>
        <w:rPr>
          <w:rFonts w:ascii="Times New Roman" w:hAnsi="Times New Roman" w:cs="Times New Roman"/>
          <w:sz w:val="20"/>
          <w:szCs w:val="20"/>
        </w:rPr>
      </w:pPr>
      <w:proofErr w:type="spellStart"/>
      <w:r w:rsidRPr="00121AA7">
        <w:rPr>
          <w:rFonts w:ascii="Times New Roman" w:hAnsi="Times New Roman" w:cs="Times New Roman"/>
          <w:sz w:val="20"/>
          <w:szCs w:val="20"/>
        </w:rPr>
        <w:t>Wolinetz</w:t>
      </w:r>
      <w:proofErr w:type="spellEnd"/>
      <w:r w:rsidRPr="00121AA7">
        <w:rPr>
          <w:rFonts w:ascii="Times New Roman" w:hAnsi="Times New Roman" w:cs="Times New Roman"/>
          <w:sz w:val="20"/>
          <w:szCs w:val="20"/>
        </w:rPr>
        <w:t>, Steven</w:t>
      </w:r>
      <w:r w:rsidR="00DD0C02" w:rsidRPr="00121AA7">
        <w:rPr>
          <w:rFonts w:ascii="Times New Roman" w:hAnsi="Times New Roman" w:cs="Times New Roman"/>
          <w:sz w:val="20"/>
          <w:szCs w:val="20"/>
        </w:rPr>
        <w:t xml:space="preserve">. (2011). “Comparing the Incomparable: Treating the EU in Comparative Context.” In Finn </w:t>
      </w:r>
      <w:proofErr w:type="spellStart"/>
      <w:r w:rsidR="00DD0C02" w:rsidRPr="00121AA7">
        <w:rPr>
          <w:rFonts w:ascii="Times New Roman" w:hAnsi="Times New Roman" w:cs="Times New Roman"/>
          <w:sz w:val="20"/>
          <w:szCs w:val="20"/>
        </w:rPr>
        <w:t>Laursen</w:t>
      </w:r>
      <w:proofErr w:type="spellEnd"/>
      <w:r w:rsidR="00DD0C02" w:rsidRPr="00121AA7">
        <w:rPr>
          <w:rFonts w:ascii="Times New Roman" w:hAnsi="Times New Roman" w:cs="Times New Roman"/>
          <w:sz w:val="20"/>
          <w:szCs w:val="20"/>
        </w:rPr>
        <w:t xml:space="preserve">, editor, </w:t>
      </w:r>
      <w:r w:rsidR="00DD0C02" w:rsidRPr="00121AA7">
        <w:rPr>
          <w:rFonts w:ascii="Times New Roman" w:hAnsi="Times New Roman" w:cs="Times New Roman"/>
          <w:i/>
          <w:sz w:val="20"/>
          <w:szCs w:val="20"/>
        </w:rPr>
        <w:t>The EU and Federalism: Polities and Policies Compared</w:t>
      </w:r>
      <w:r w:rsidR="00DD0C02" w:rsidRPr="00121AA7">
        <w:rPr>
          <w:rFonts w:ascii="Times New Roman" w:hAnsi="Times New Roman" w:cs="Times New Roman"/>
          <w:sz w:val="20"/>
          <w:szCs w:val="20"/>
        </w:rPr>
        <w:t xml:space="preserve">. </w:t>
      </w:r>
      <w:proofErr w:type="spellStart"/>
      <w:r w:rsidR="00DD0C02" w:rsidRPr="00121AA7">
        <w:rPr>
          <w:rFonts w:ascii="Times New Roman" w:hAnsi="Times New Roman" w:cs="Times New Roman"/>
          <w:sz w:val="20"/>
          <w:szCs w:val="20"/>
        </w:rPr>
        <w:t>Ashgate</w:t>
      </w:r>
      <w:proofErr w:type="spellEnd"/>
      <w:r w:rsidR="00DD0C02" w:rsidRPr="00121AA7">
        <w:rPr>
          <w:rFonts w:ascii="Times New Roman" w:hAnsi="Times New Roman" w:cs="Times New Roman"/>
          <w:sz w:val="20"/>
          <w:szCs w:val="20"/>
        </w:rPr>
        <w:t>, VT: 27-40.</w:t>
      </w:r>
    </w:p>
    <w:p w:rsidR="001E1648" w:rsidRPr="00121AA7" w:rsidRDefault="001E1648" w:rsidP="00A1500D">
      <w:pPr>
        <w:ind w:left="720" w:hanging="720"/>
        <w:jc w:val="both"/>
        <w:rPr>
          <w:rFonts w:ascii="Times New Roman" w:hAnsi="Times New Roman" w:cs="Times New Roman"/>
          <w:sz w:val="20"/>
          <w:szCs w:val="20"/>
        </w:rPr>
      </w:pPr>
    </w:p>
    <w:p w:rsidR="00DD0C02" w:rsidRPr="00121AA7" w:rsidRDefault="00DD0C02" w:rsidP="00A1500D">
      <w:pPr>
        <w:ind w:left="720" w:hanging="720"/>
        <w:jc w:val="both"/>
        <w:rPr>
          <w:rFonts w:ascii="Times New Roman" w:hAnsi="Times New Roman" w:cs="Times New Roman"/>
          <w:sz w:val="20"/>
          <w:szCs w:val="20"/>
        </w:rPr>
      </w:pPr>
      <w:proofErr w:type="spellStart"/>
      <w:r w:rsidRPr="00121AA7">
        <w:rPr>
          <w:rFonts w:ascii="Times New Roman" w:hAnsi="Times New Roman" w:cs="Times New Roman"/>
          <w:sz w:val="20"/>
          <w:szCs w:val="20"/>
        </w:rPr>
        <w:t>Woll</w:t>
      </w:r>
      <w:proofErr w:type="spellEnd"/>
      <w:r w:rsidRPr="00121AA7">
        <w:rPr>
          <w:rFonts w:ascii="Times New Roman" w:hAnsi="Times New Roman" w:cs="Times New Roman"/>
          <w:sz w:val="20"/>
          <w:szCs w:val="20"/>
        </w:rPr>
        <w:t xml:space="preserve">, Cornelia. </w:t>
      </w:r>
      <w:proofErr w:type="gramStart"/>
      <w:r w:rsidRPr="00121AA7">
        <w:rPr>
          <w:rFonts w:ascii="Times New Roman" w:hAnsi="Times New Roman" w:cs="Times New Roman"/>
          <w:sz w:val="20"/>
          <w:szCs w:val="20"/>
        </w:rPr>
        <w:t>(2011). “Who Scripts European Trade Policies?</w:t>
      </w:r>
      <w:proofErr w:type="gramEnd"/>
      <w:r w:rsidRPr="00121AA7">
        <w:rPr>
          <w:rFonts w:ascii="Times New Roman" w:hAnsi="Times New Roman" w:cs="Times New Roman"/>
          <w:sz w:val="20"/>
          <w:szCs w:val="20"/>
        </w:rPr>
        <w:t xml:space="preserve"> </w:t>
      </w:r>
      <w:proofErr w:type="gramStart"/>
      <w:r w:rsidRPr="00121AA7">
        <w:rPr>
          <w:rFonts w:ascii="Times New Roman" w:hAnsi="Times New Roman" w:cs="Times New Roman"/>
          <w:sz w:val="20"/>
          <w:szCs w:val="20"/>
        </w:rPr>
        <w:t>Business-Government Relations in the EU-Canada Partnership Negotiations.”</w:t>
      </w:r>
      <w:proofErr w:type="gramEnd"/>
      <w:r w:rsidRPr="00121AA7">
        <w:rPr>
          <w:rFonts w:ascii="Times New Roman" w:hAnsi="Times New Roman" w:cs="Times New Roman"/>
          <w:sz w:val="20"/>
          <w:szCs w:val="20"/>
        </w:rPr>
        <w:t xml:space="preserve"> </w:t>
      </w:r>
      <w:proofErr w:type="gramStart"/>
      <w:r w:rsidRPr="00121AA7">
        <w:rPr>
          <w:rFonts w:ascii="Times New Roman" w:hAnsi="Times New Roman" w:cs="Times New Roman"/>
          <w:sz w:val="20"/>
          <w:szCs w:val="20"/>
        </w:rPr>
        <w:t xml:space="preserve">In Kurt </w:t>
      </w:r>
      <w:proofErr w:type="spellStart"/>
      <w:r w:rsidRPr="00121AA7">
        <w:rPr>
          <w:rFonts w:ascii="Times New Roman" w:hAnsi="Times New Roman" w:cs="Times New Roman"/>
          <w:sz w:val="20"/>
          <w:szCs w:val="20"/>
        </w:rPr>
        <w:t>Hübner</w:t>
      </w:r>
      <w:proofErr w:type="spellEnd"/>
      <w:r w:rsidRPr="00121AA7">
        <w:rPr>
          <w:rFonts w:ascii="Times New Roman" w:hAnsi="Times New Roman" w:cs="Times New Roman"/>
          <w:sz w:val="20"/>
          <w:szCs w:val="20"/>
        </w:rPr>
        <w:t xml:space="preserve">, editor, </w:t>
      </w:r>
      <w:r w:rsidRPr="00121AA7">
        <w:rPr>
          <w:rFonts w:ascii="Times New Roman" w:hAnsi="Times New Roman" w:cs="Times New Roman"/>
          <w:i/>
          <w:sz w:val="20"/>
          <w:szCs w:val="20"/>
        </w:rPr>
        <w:t>Europe, Canada and the Comprehensive Economic and Trade Agreement</w:t>
      </w:r>
      <w:r w:rsidRPr="00121AA7">
        <w:rPr>
          <w:rFonts w:ascii="Times New Roman" w:hAnsi="Times New Roman" w:cs="Times New Roman"/>
          <w:sz w:val="20"/>
          <w:szCs w:val="20"/>
        </w:rPr>
        <w:t>.</w:t>
      </w:r>
      <w:proofErr w:type="gramEnd"/>
      <w:r w:rsidRPr="00121AA7">
        <w:rPr>
          <w:rFonts w:ascii="Times New Roman" w:hAnsi="Times New Roman" w:cs="Times New Roman"/>
          <w:sz w:val="20"/>
          <w:szCs w:val="20"/>
        </w:rPr>
        <w:t xml:space="preserve"> Routledge, NY: 41-58.</w:t>
      </w:r>
    </w:p>
    <w:p w:rsidR="00DD0C02" w:rsidRPr="00121AA7" w:rsidRDefault="00DD0C02" w:rsidP="00A1500D">
      <w:pPr>
        <w:ind w:left="720" w:hanging="720"/>
        <w:jc w:val="both"/>
        <w:rPr>
          <w:rFonts w:ascii="Times New Roman" w:hAnsi="Times New Roman" w:cs="Times New Roman"/>
          <w:sz w:val="20"/>
          <w:szCs w:val="20"/>
        </w:rPr>
      </w:pPr>
    </w:p>
    <w:p w:rsidR="003B35B0" w:rsidRPr="00121AA7" w:rsidRDefault="003B35B0" w:rsidP="00A1500D">
      <w:pPr>
        <w:ind w:left="720" w:hanging="720"/>
        <w:jc w:val="both"/>
        <w:rPr>
          <w:rFonts w:ascii="Times New Roman" w:hAnsi="Times New Roman" w:cs="Times New Roman"/>
          <w:sz w:val="20"/>
          <w:szCs w:val="20"/>
        </w:rPr>
      </w:pPr>
      <w:proofErr w:type="spellStart"/>
      <w:r w:rsidRPr="00121AA7">
        <w:rPr>
          <w:rFonts w:ascii="Times New Roman" w:hAnsi="Times New Roman" w:cs="Times New Roman"/>
          <w:sz w:val="20"/>
          <w:szCs w:val="20"/>
        </w:rPr>
        <w:lastRenderedPageBreak/>
        <w:t>Woolcock</w:t>
      </w:r>
      <w:proofErr w:type="spellEnd"/>
      <w:r w:rsidRPr="00121AA7">
        <w:rPr>
          <w:rFonts w:ascii="Times New Roman" w:hAnsi="Times New Roman" w:cs="Times New Roman"/>
          <w:sz w:val="20"/>
          <w:szCs w:val="20"/>
        </w:rPr>
        <w:t xml:space="preserve">, Stephen B. (2011). “European Union Trade Policy: The Canada-EU Comprehensive Economic and Trade Agreement (CETA) Towards a New Generation of FTAs?” </w:t>
      </w:r>
      <w:proofErr w:type="gramStart"/>
      <w:r w:rsidRPr="00121AA7">
        <w:rPr>
          <w:rFonts w:ascii="Times New Roman" w:hAnsi="Times New Roman" w:cs="Times New Roman"/>
          <w:sz w:val="20"/>
          <w:szCs w:val="20"/>
        </w:rPr>
        <w:t xml:space="preserve">In Kurt </w:t>
      </w:r>
      <w:proofErr w:type="spellStart"/>
      <w:r w:rsidRPr="00121AA7">
        <w:rPr>
          <w:rFonts w:ascii="Times New Roman" w:hAnsi="Times New Roman" w:cs="Times New Roman"/>
          <w:sz w:val="20"/>
          <w:szCs w:val="20"/>
        </w:rPr>
        <w:t>Hübner</w:t>
      </w:r>
      <w:proofErr w:type="spellEnd"/>
      <w:r w:rsidRPr="00121AA7">
        <w:rPr>
          <w:rFonts w:ascii="Times New Roman" w:hAnsi="Times New Roman" w:cs="Times New Roman"/>
          <w:sz w:val="20"/>
          <w:szCs w:val="20"/>
        </w:rPr>
        <w:t xml:space="preserve">, editor, </w:t>
      </w:r>
      <w:r w:rsidRPr="00121AA7">
        <w:rPr>
          <w:rFonts w:ascii="Times New Roman" w:hAnsi="Times New Roman" w:cs="Times New Roman"/>
          <w:i/>
          <w:sz w:val="20"/>
          <w:szCs w:val="20"/>
        </w:rPr>
        <w:t xml:space="preserve">Europe, Canada </w:t>
      </w:r>
      <w:bookmarkStart w:id="0" w:name="_GoBack"/>
      <w:bookmarkEnd w:id="0"/>
      <w:r w:rsidRPr="00121AA7">
        <w:rPr>
          <w:rFonts w:ascii="Times New Roman" w:hAnsi="Times New Roman" w:cs="Times New Roman"/>
          <w:i/>
          <w:sz w:val="20"/>
          <w:szCs w:val="20"/>
        </w:rPr>
        <w:t>and the Comprehensive Economic and Trade Agreement</w:t>
      </w:r>
      <w:r w:rsidRPr="00121AA7">
        <w:rPr>
          <w:rFonts w:ascii="Times New Roman" w:hAnsi="Times New Roman" w:cs="Times New Roman"/>
          <w:sz w:val="20"/>
          <w:szCs w:val="20"/>
        </w:rPr>
        <w:t>.</w:t>
      </w:r>
      <w:proofErr w:type="gramEnd"/>
      <w:r w:rsidRPr="00121AA7">
        <w:rPr>
          <w:rFonts w:ascii="Times New Roman" w:hAnsi="Times New Roman" w:cs="Times New Roman"/>
          <w:sz w:val="20"/>
          <w:szCs w:val="20"/>
        </w:rPr>
        <w:t xml:space="preserve"> Routledge, NY: </w:t>
      </w:r>
      <w:r w:rsidR="007A00AC" w:rsidRPr="00121AA7">
        <w:rPr>
          <w:rFonts w:ascii="Times New Roman" w:hAnsi="Times New Roman" w:cs="Times New Roman"/>
          <w:sz w:val="20"/>
          <w:szCs w:val="20"/>
        </w:rPr>
        <w:t>21-40.</w:t>
      </w:r>
    </w:p>
    <w:sectPr w:rsidR="003B35B0" w:rsidRPr="00121AA7" w:rsidSect="00937921">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B3" w:rsidRDefault="00826AB3" w:rsidP="008635B5">
      <w:r>
        <w:separator/>
      </w:r>
    </w:p>
  </w:endnote>
  <w:endnote w:type="continuationSeparator" w:id="0">
    <w:p w:rsidR="00826AB3" w:rsidRDefault="00826AB3" w:rsidP="0086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458968"/>
      <w:docPartObj>
        <w:docPartGallery w:val="Page Numbers (Bottom of Page)"/>
        <w:docPartUnique/>
      </w:docPartObj>
    </w:sdtPr>
    <w:sdtEndPr>
      <w:rPr>
        <w:noProof/>
      </w:rPr>
    </w:sdtEndPr>
    <w:sdtContent>
      <w:p w:rsidR="00DD0C02" w:rsidRDefault="001F0D86">
        <w:pPr>
          <w:pStyle w:val="Footer"/>
          <w:jc w:val="center"/>
        </w:pPr>
        <w:r>
          <w:fldChar w:fldCharType="begin"/>
        </w:r>
        <w:r>
          <w:instrText xml:space="preserve"> PAGE   \* MERGEFORMAT </w:instrText>
        </w:r>
        <w:r>
          <w:fldChar w:fldCharType="separate"/>
        </w:r>
        <w:r w:rsidR="00356C96">
          <w:rPr>
            <w:noProof/>
          </w:rPr>
          <w:t>22</w:t>
        </w:r>
        <w:r>
          <w:rPr>
            <w:noProof/>
          </w:rPr>
          <w:fldChar w:fldCharType="end"/>
        </w:r>
      </w:p>
    </w:sdtContent>
  </w:sdt>
  <w:p w:rsidR="00DD0C02" w:rsidRDefault="00DD0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B3" w:rsidRDefault="00826AB3" w:rsidP="008635B5">
      <w:r>
        <w:separator/>
      </w:r>
    </w:p>
  </w:footnote>
  <w:footnote w:type="continuationSeparator" w:id="0">
    <w:p w:rsidR="00826AB3" w:rsidRDefault="00826AB3" w:rsidP="008635B5">
      <w:r>
        <w:continuationSeparator/>
      </w:r>
    </w:p>
  </w:footnote>
  <w:footnote w:id="1">
    <w:p w:rsidR="00F2767D" w:rsidRDefault="00F2767D">
      <w:pPr>
        <w:pStyle w:val="FootnoteText"/>
      </w:pPr>
      <w:r>
        <w:rPr>
          <w:rStyle w:val="FootnoteReference"/>
        </w:rPr>
        <w:footnoteRef/>
      </w:r>
      <w:r w:rsidR="00C24949">
        <w:t xml:space="preserve"> </w:t>
      </w:r>
      <w:proofErr w:type="gramStart"/>
      <w:r w:rsidR="00C24949">
        <w:t>European Commission 2013.</w:t>
      </w:r>
      <w:proofErr w:type="gramEnd"/>
    </w:p>
  </w:footnote>
  <w:footnote w:id="2">
    <w:p w:rsidR="00DD0C02" w:rsidRDefault="00DD0C02">
      <w:pPr>
        <w:pStyle w:val="FootnoteText"/>
      </w:pPr>
      <w:r>
        <w:rPr>
          <w:rStyle w:val="FootnoteReference"/>
        </w:rPr>
        <w:footnoteRef/>
      </w:r>
      <w:r>
        <w:t xml:space="preserve"> </w:t>
      </w:r>
      <w:proofErr w:type="gramStart"/>
      <w:r>
        <w:t>Governmen</w:t>
      </w:r>
      <w:r w:rsidR="00C24949">
        <w:t>t of Canada</w:t>
      </w:r>
      <w:r>
        <w:t xml:space="preserve"> 2013.</w:t>
      </w:r>
      <w:proofErr w:type="gramEnd"/>
      <w:r w:rsidR="00C24949">
        <w:t xml:space="preserve"> As of March 2014, the CETA agreement is finalized “in principle”. This means that finalization and ratification still needs to take place among all EU member states and all Canadian provinces.</w:t>
      </w:r>
    </w:p>
  </w:footnote>
  <w:footnote w:id="3">
    <w:p w:rsidR="00DD0C02" w:rsidRDefault="00DD0C02">
      <w:pPr>
        <w:pStyle w:val="FootnoteText"/>
      </w:pPr>
      <w:r>
        <w:rPr>
          <w:rStyle w:val="FootnoteReference"/>
        </w:rPr>
        <w:footnoteRef/>
      </w:r>
      <w:r w:rsidR="00C24949">
        <w:t xml:space="preserve"> At the time of writing, </w:t>
      </w:r>
      <w:r w:rsidR="0073323C">
        <w:t xml:space="preserve">a Transatlantic Trade and Investment Partnership (TTIP) </w:t>
      </w:r>
      <w:proofErr w:type="gramStart"/>
      <w:r w:rsidR="0073323C">
        <w:t>is</w:t>
      </w:r>
      <w:proofErr w:type="gramEnd"/>
      <w:r w:rsidR="0073323C">
        <w:t xml:space="preserve"> in the early stages of discussion between the EU and the U.S.</w:t>
      </w:r>
    </w:p>
  </w:footnote>
  <w:footnote w:id="4">
    <w:p w:rsidR="00F2767D" w:rsidRDefault="00F2767D">
      <w:pPr>
        <w:pStyle w:val="FootnoteText"/>
      </w:pPr>
      <w:r>
        <w:rPr>
          <w:rStyle w:val="FootnoteReference"/>
        </w:rPr>
        <w:footnoteRef/>
      </w:r>
      <w:r w:rsidR="00A37494">
        <w:t xml:space="preserve"> </w:t>
      </w:r>
      <w:r w:rsidR="00D87492">
        <w:t xml:space="preserve">See, for example, </w:t>
      </w:r>
      <w:proofErr w:type="spellStart"/>
      <w:r w:rsidR="00D87492">
        <w:t>Moravscik</w:t>
      </w:r>
      <w:proofErr w:type="spellEnd"/>
      <w:r w:rsidR="00D87492">
        <w:t xml:space="preserve"> 2007.</w:t>
      </w:r>
    </w:p>
  </w:footnote>
  <w:footnote w:id="5">
    <w:p w:rsidR="00F2767D" w:rsidRDefault="00F2767D">
      <w:pPr>
        <w:pStyle w:val="FootnoteText"/>
      </w:pPr>
      <w:r>
        <w:rPr>
          <w:rStyle w:val="FootnoteReference"/>
        </w:rPr>
        <w:footnoteRef/>
      </w:r>
      <w:r w:rsidR="00BF53C3">
        <w:t xml:space="preserve"> Some examples include Burgess 2012; </w:t>
      </w:r>
      <w:proofErr w:type="spellStart"/>
      <w:r w:rsidR="00BF53C3">
        <w:t>Elazar</w:t>
      </w:r>
      <w:proofErr w:type="spellEnd"/>
      <w:r w:rsidR="00BF53C3">
        <w:t xml:space="preserve"> 1995; </w:t>
      </w:r>
      <w:proofErr w:type="spellStart"/>
      <w:r w:rsidR="00BF53C3">
        <w:t>Hueglin</w:t>
      </w:r>
      <w:proofErr w:type="spellEnd"/>
      <w:r w:rsidR="00BF53C3">
        <w:t xml:space="preserve"> 2013. </w:t>
      </w:r>
    </w:p>
  </w:footnote>
  <w:footnote w:id="6">
    <w:p w:rsidR="00DD0C02" w:rsidRDefault="00DD0C02">
      <w:pPr>
        <w:pStyle w:val="FootnoteText"/>
      </w:pPr>
      <w:r>
        <w:rPr>
          <w:rStyle w:val="FootnoteReference"/>
        </w:rPr>
        <w:footnoteRef/>
      </w:r>
      <w:r w:rsidR="00D87492">
        <w:t xml:space="preserve"> </w:t>
      </w:r>
      <w:proofErr w:type="gramStart"/>
      <w:r w:rsidR="00D87492">
        <w:t>Government of Canada</w:t>
      </w:r>
      <w:r>
        <w:t xml:space="preserve"> 2013.</w:t>
      </w:r>
      <w:proofErr w:type="gramEnd"/>
    </w:p>
  </w:footnote>
  <w:footnote w:id="7">
    <w:p w:rsidR="00DD0C02" w:rsidRDefault="00DD0C02">
      <w:pPr>
        <w:pStyle w:val="FootnoteText"/>
      </w:pPr>
      <w:r>
        <w:rPr>
          <w:rStyle w:val="FootnoteReference"/>
        </w:rPr>
        <w:footnoteRef/>
      </w:r>
      <w:r>
        <w:t xml:space="preserve"> </w:t>
      </w:r>
      <w:proofErr w:type="gramStart"/>
      <w:r>
        <w:t>European Commis</w:t>
      </w:r>
      <w:r w:rsidR="00D87492">
        <w:t>sion</w:t>
      </w:r>
      <w:r>
        <w:t xml:space="preserve"> 2013.</w:t>
      </w:r>
      <w:proofErr w:type="gramEnd"/>
    </w:p>
  </w:footnote>
  <w:footnote w:id="8">
    <w:p w:rsidR="00446C2A" w:rsidRDefault="00446C2A">
      <w:pPr>
        <w:pStyle w:val="FootnoteText"/>
      </w:pPr>
      <w:r>
        <w:rPr>
          <w:rStyle w:val="FootnoteReference"/>
        </w:rPr>
        <w:footnoteRef/>
      </w:r>
      <w:r>
        <w:t xml:space="preserve"> </w:t>
      </w:r>
      <w:proofErr w:type="gramStart"/>
      <w:r>
        <w:t>House of Commons 2011.</w:t>
      </w:r>
      <w:proofErr w:type="gramEnd"/>
    </w:p>
  </w:footnote>
  <w:footnote w:id="9">
    <w:p w:rsidR="00DD0C02" w:rsidRDefault="00DD0C02">
      <w:pPr>
        <w:pStyle w:val="FootnoteText"/>
      </w:pPr>
      <w:r>
        <w:rPr>
          <w:rStyle w:val="FootnoteReference"/>
        </w:rPr>
        <w:footnoteRef/>
      </w:r>
      <w:r>
        <w:t xml:space="preserve"> </w:t>
      </w:r>
      <w:proofErr w:type="spellStart"/>
      <w:proofErr w:type="gramStart"/>
      <w:r>
        <w:t>Woolcock</w:t>
      </w:r>
      <w:proofErr w:type="spellEnd"/>
      <w:r>
        <w:t xml:space="preserve"> 2011, p.27.</w:t>
      </w:r>
      <w:proofErr w:type="gramEnd"/>
    </w:p>
  </w:footnote>
  <w:footnote w:id="10">
    <w:p w:rsidR="00DD0C02" w:rsidRDefault="00DD0C02">
      <w:pPr>
        <w:pStyle w:val="FootnoteText"/>
      </w:pPr>
      <w:r>
        <w:rPr>
          <w:rStyle w:val="FootnoteReference"/>
        </w:rPr>
        <w:footnoteRef/>
      </w:r>
      <w:r>
        <w:t xml:space="preserve"> </w:t>
      </w:r>
      <w:proofErr w:type="gramStart"/>
      <w:r>
        <w:t>Gauthier and Holden 2010, p.4.</w:t>
      </w:r>
      <w:proofErr w:type="gramEnd"/>
    </w:p>
  </w:footnote>
  <w:footnote w:id="11">
    <w:p w:rsidR="00DD0C02" w:rsidRDefault="00DD0C02">
      <w:pPr>
        <w:pStyle w:val="FootnoteText"/>
      </w:pPr>
      <w:r>
        <w:rPr>
          <w:rStyle w:val="FootnoteReference"/>
        </w:rPr>
        <w:footnoteRef/>
      </w:r>
      <w:r>
        <w:t xml:space="preserve"> </w:t>
      </w:r>
      <w:proofErr w:type="spellStart"/>
      <w:proofErr w:type="gramStart"/>
      <w:r>
        <w:t>Wookcock</w:t>
      </w:r>
      <w:proofErr w:type="spellEnd"/>
      <w:r>
        <w:t xml:space="preserve"> 2011, p.27.</w:t>
      </w:r>
      <w:proofErr w:type="gramEnd"/>
    </w:p>
  </w:footnote>
  <w:footnote w:id="12">
    <w:p w:rsidR="00763F07" w:rsidRDefault="00763F07">
      <w:pPr>
        <w:pStyle w:val="FootnoteText"/>
      </w:pPr>
      <w:r>
        <w:rPr>
          <w:rStyle w:val="FootnoteReference"/>
        </w:rPr>
        <w:footnoteRef/>
      </w:r>
      <w:r w:rsidR="00C64E93">
        <w:t xml:space="preserve"> </w:t>
      </w:r>
      <w:proofErr w:type="spellStart"/>
      <w:proofErr w:type="gramStart"/>
      <w:r w:rsidR="00C64E93">
        <w:t>Hü</w:t>
      </w:r>
      <w:r>
        <w:t>bner</w:t>
      </w:r>
      <w:proofErr w:type="spellEnd"/>
      <w:r>
        <w:t xml:space="preserve"> 2011, 3.</w:t>
      </w:r>
      <w:proofErr w:type="gramEnd"/>
    </w:p>
  </w:footnote>
  <w:footnote w:id="13">
    <w:p w:rsidR="00197346" w:rsidRDefault="00197346">
      <w:pPr>
        <w:pStyle w:val="FootnoteText"/>
      </w:pPr>
      <w:r>
        <w:rPr>
          <w:rStyle w:val="FootnoteReference"/>
        </w:rPr>
        <w:footnoteRef/>
      </w:r>
      <w:r>
        <w:t xml:space="preserve"> </w:t>
      </w:r>
      <w:proofErr w:type="gramStart"/>
      <w:r>
        <w:t>Joint Study 2008, ii-iii.</w:t>
      </w:r>
      <w:proofErr w:type="gramEnd"/>
    </w:p>
  </w:footnote>
  <w:footnote w:id="14">
    <w:p w:rsidR="00BA6054" w:rsidRDefault="00BA6054">
      <w:pPr>
        <w:pStyle w:val="FootnoteText"/>
      </w:pPr>
      <w:r>
        <w:rPr>
          <w:rStyle w:val="FootnoteReference"/>
        </w:rPr>
        <w:footnoteRef/>
      </w:r>
      <w:r>
        <w:t xml:space="preserve"> Joint Study 2008, 167-171.</w:t>
      </w:r>
    </w:p>
  </w:footnote>
  <w:footnote w:id="15">
    <w:p w:rsidR="00175E60" w:rsidRDefault="00175E60">
      <w:pPr>
        <w:pStyle w:val="FootnoteText"/>
      </w:pPr>
      <w:r>
        <w:rPr>
          <w:rStyle w:val="FootnoteReference"/>
        </w:rPr>
        <w:footnoteRef/>
      </w:r>
      <w:r>
        <w:t xml:space="preserve"> A detailed overview of the scope of issues and debates over specific </w:t>
      </w:r>
      <w:proofErr w:type="spellStart"/>
      <w:r>
        <w:t>sectoral</w:t>
      </w:r>
      <w:proofErr w:type="spellEnd"/>
      <w:r>
        <w:t xml:space="preserve"> areas is beyond the scope of this paper. For more detail see </w:t>
      </w:r>
      <w:proofErr w:type="spellStart"/>
      <w:r>
        <w:t>Woolcock</w:t>
      </w:r>
      <w:proofErr w:type="spellEnd"/>
      <w:r>
        <w:t xml:space="preserve"> 2011.</w:t>
      </w:r>
    </w:p>
  </w:footnote>
  <w:footnote w:id="16">
    <w:p w:rsidR="00175E60" w:rsidRDefault="00175E60">
      <w:pPr>
        <w:pStyle w:val="FootnoteText"/>
      </w:pPr>
      <w:r>
        <w:rPr>
          <w:rStyle w:val="FootnoteReference"/>
        </w:rPr>
        <w:footnoteRef/>
      </w:r>
      <w:r w:rsidR="00FC1D57">
        <w:t xml:space="preserve"> </w:t>
      </w:r>
      <w:proofErr w:type="spellStart"/>
      <w:proofErr w:type="gramStart"/>
      <w:r w:rsidR="00FC1D57">
        <w:t>Waldie</w:t>
      </w:r>
      <w:proofErr w:type="spellEnd"/>
      <w:r w:rsidR="00FC1D57">
        <w:t xml:space="preserve"> 2013.</w:t>
      </w:r>
      <w:proofErr w:type="gramEnd"/>
    </w:p>
  </w:footnote>
  <w:footnote w:id="17">
    <w:p w:rsidR="00183258" w:rsidRDefault="00183258">
      <w:pPr>
        <w:pStyle w:val="FootnoteText"/>
      </w:pPr>
      <w:r>
        <w:rPr>
          <w:rStyle w:val="FootnoteReference"/>
        </w:rPr>
        <w:footnoteRef/>
      </w:r>
      <w:r>
        <w:t xml:space="preserve"> </w:t>
      </w:r>
      <w:proofErr w:type="spellStart"/>
      <w:proofErr w:type="gramStart"/>
      <w:r>
        <w:t>Finbow</w:t>
      </w:r>
      <w:proofErr w:type="spellEnd"/>
      <w:r>
        <w:t xml:space="preserve"> 2013, 3.</w:t>
      </w:r>
      <w:proofErr w:type="gramEnd"/>
    </w:p>
  </w:footnote>
  <w:footnote w:id="18">
    <w:p w:rsidR="00446C2A" w:rsidRDefault="00446C2A">
      <w:pPr>
        <w:pStyle w:val="FootnoteText"/>
      </w:pPr>
      <w:r>
        <w:rPr>
          <w:rStyle w:val="FootnoteReference"/>
        </w:rPr>
        <w:footnoteRef/>
      </w:r>
      <w:r>
        <w:t xml:space="preserve"> </w:t>
      </w:r>
      <w:proofErr w:type="spellStart"/>
      <w:proofErr w:type="gramStart"/>
      <w:r>
        <w:t>Elazar</w:t>
      </w:r>
      <w:proofErr w:type="spellEnd"/>
      <w:r>
        <w:t xml:space="preserve"> 1984.</w:t>
      </w:r>
      <w:proofErr w:type="gramEnd"/>
    </w:p>
  </w:footnote>
  <w:footnote w:id="19">
    <w:p w:rsidR="00446C2A" w:rsidRDefault="00446C2A">
      <w:pPr>
        <w:pStyle w:val="FootnoteText"/>
      </w:pPr>
      <w:r>
        <w:rPr>
          <w:rStyle w:val="FootnoteReference"/>
        </w:rPr>
        <w:footnoteRef/>
      </w:r>
      <w:r>
        <w:t xml:space="preserve"> </w:t>
      </w:r>
      <w:proofErr w:type="spellStart"/>
      <w:proofErr w:type="gramStart"/>
      <w:r>
        <w:t>Wheare</w:t>
      </w:r>
      <w:proofErr w:type="spellEnd"/>
      <w:r>
        <w:t xml:space="preserve"> 1963, 10.</w:t>
      </w:r>
      <w:proofErr w:type="gramEnd"/>
    </w:p>
  </w:footnote>
  <w:footnote w:id="20">
    <w:p w:rsidR="00446C2A" w:rsidRDefault="00446C2A">
      <w:pPr>
        <w:pStyle w:val="FootnoteText"/>
      </w:pPr>
      <w:r>
        <w:rPr>
          <w:rStyle w:val="FootnoteReference"/>
        </w:rPr>
        <w:footnoteRef/>
      </w:r>
      <w:r>
        <w:t xml:space="preserve"> </w:t>
      </w:r>
      <w:proofErr w:type="gramStart"/>
      <w:r>
        <w:t>Riker 1964, 11.</w:t>
      </w:r>
      <w:proofErr w:type="gramEnd"/>
    </w:p>
  </w:footnote>
  <w:footnote w:id="21">
    <w:p w:rsidR="00446C2A" w:rsidRDefault="00446C2A">
      <w:pPr>
        <w:pStyle w:val="FootnoteText"/>
      </w:pPr>
      <w:r>
        <w:rPr>
          <w:rStyle w:val="FootnoteReference"/>
        </w:rPr>
        <w:footnoteRef/>
      </w:r>
      <w:r>
        <w:t xml:space="preserve"> </w:t>
      </w:r>
      <w:proofErr w:type="gramStart"/>
      <w:r>
        <w:t>Burgess 2012, 26.</w:t>
      </w:r>
      <w:proofErr w:type="gramEnd"/>
    </w:p>
  </w:footnote>
  <w:footnote w:id="22">
    <w:p w:rsidR="00446C2A" w:rsidRDefault="00446C2A">
      <w:pPr>
        <w:pStyle w:val="FootnoteText"/>
      </w:pPr>
      <w:r>
        <w:rPr>
          <w:rStyle w:val="FootnoteReference"/>
        </w:rPr>
        <w:footnoteRef/>
      </w:r>
      <w:r>
        <w:t xml:space="preserve"> </w:t>
      </w:r>
      <w:proofErr w:type="spellStart"/>
      <w:proofErr w:type="gramStart"/>
      <w:r>
        <w:t>Moravcsik</w:t>
      </w:r>
      <w:proofErr w:type="spellEnd"/>
      <w:r>
        <w:t xml:space="preserve"> 2007.</w:t>
      </w:r>
      <w:proofErr w:type="gramEnd"/>
    </w:p>
  </w:footnote>
  <w:footnote w:id="23">
    <w:p w:rsidR="00112B7D" w:rsidRDefault="00112B7D">
      <w:pPr>
        <w:pStyle w:val="FootnoteText"/>
      </w:pPr>
      <w:r>
        <w:rPr>
          <w:rStyle w:val="FootnoteReference"/>
        </w:rPr>
        <w:footnoteRef/>
      </w:r>
      <w:r>
        <w:t xml:space="preserve"> </w:t>
      </w:r>
      <w:proofErr w:type="gramStart"/>
      <w:r w:rsidR="00225317">
        <w:t xml:space="preserve">Haas 1958; </w:t>
      </w:r>
      <w:proofErr w:type="spellStart"/>
      <w:r>
        <w:t>Elazar</w:t>
      </w:r>
      <w:proofErr w:type="spellEnd"/>
      <w:r>
        <w:t xml:space="preserve"> 1984.</w:t>
      </w:r>
      <w:proofErr w:type="gramEnd"/>
    </w:p>
  </w:footnote>
  <w:footnote w:id="24">
    <w:p w:rsidR="00112B7D" w:rsidRDefault="00112B7D">
      <w:pPr>
        <w:pStyle w:val="FootnoteText"/>
      </w:pPr>
      <w:r>
        <w:rPr>
          <w:rStyle w:val="FootnoteReference"/>
        </w:rPr>
        <w:footnoteRef/>
      </w:r>
      <w:r>
        <w:t xml:space="preserve"> </w:t>
      </w:r>
      <w:proofErr w:type="gramStart"/>
      <w:r>
        <w:t>Friedrich 1963, 590.</w:t>
      </w:r>
      <w:proofErr w:type="gramEnd"/>
    </w:p>
  </w:footnote>
  <w:footnote w:id="25">
    <w:p w:rsidR="00726471" w:rsidRDefault="00726471">
      <w:pPr>
        <w:pStyle w:val="FootnoteText"/>
      </w:pPr>
      <w:r>
        <w:rPr>
          <w:rStyle w:val="FootnoteReference"/>
        </w:rPr>
        <w:footnoteRef/>
      </w:r>
      <w:r w:rsidR="00E952B6">
        <w:t xml:space="preserve"> </w:t>
      </w:r>
      <w:proofErr w:type="gramStart"/>
      <w:r w:rsidR="00E952B6">
        <w:t>Senate of Canada</w:t>
      </w:r>
      <w:r>
        <w:t>.</w:t>
      </w:r>
      <w:proofErr w:type="gramEnd"/>
      <w:r>
        <w:t xml:space="preserve"> </w:t>
      </w:r>
    </w:p>
  </w:footnote>
  <w:footnote w:id="26">
    <w:p w:rsidR="00D67092" w:rsidRDefault="00D67092">
      <w:pPr>
        <w:pStyle w:val="FootnoteText"/>
      </w:pPr>
      <w:r>
        <w:rPr>
          <w:rStyle w:val="FootnoteReference"/>
        </w:rPr>
        <w:footnoteRef/>
      </w:r>
      <w:r w:rsidR="00D47BD8">
        <w:t xml:space="preserve"> </w:t>
      </w:r>
      <w:proofErr w:type="spellStart"/>
      <w:proofErr w:type="gramStart"/>
      <w:r w:rsidR="00D47BD8">
        <w:t>Forsey</w:t>
      </w:r>
      <w:proofErr w:type="spellEnd"/>
      <w:r w:rsidR="00D47BD8">
        <w:t xml:space="preserve"> 2012.</w:t>
      </w:r>
      <w:proofErr w:type="gramEnd"/>
    </w:p>
  </w:footnote>
  <w:footnote w:id="27">
    <w:p w:rsidR="001C3A32" w:rsidRDefault="001C3A32">
      <w:pPr>
        <w:pStyle w:val="FootnoteText"/>
      </w:pPr>
      <w:r>
        <w:rPr>
          <w:rStyle w:val="FootnoteReference"/>
        </w:rPr>
        <w:footnoteRef/>
      </w:r>
      <w:r w:rsidR="00D47BD8">
        <w:t xml:space="preserve"> “Negotiations </w:t>
      </w:r>
      <w:proofErr w:type="gramStart"/>
      <w:r w:rsidR="00D47BD8">
        <w:t>Toward</w:t>
      </w:r>
      <w:proofErr w:type="gramEnd"/>
      <w:r w:rsidR="00D47BD8">
        <w:t xml:space="preserve"> CETA…”</w:t>
      </w:r>
    </w:p>
  </w:footnote>
  <w:footnote w:id="28">
    <w:p w:rsidR="001C3A32" w:rsidRDefault="001C3A32">
      <w:pPr>
        <w:pStyle w:val="FootnoteText"/>
      </w:pPr>
      <w:r>
        <w:rPr>
          <w:rStyle w:val="FootnoteReference"/>
        </w:rPr>
        <w:footnoteRef/>
      </w:r>
      <w:r>
        <w:t xml:space="preserve"> </w:t>
      </w:r>
      <w:proofErr w:type="spellStart"/>
      <w:proofErr w:type="gramStart"/>
      <w:r w:rsidR="00045F92">
        <w:t>Finbow</w:t>
      </w:r>
      <w:proofErr w:type="spellEnd"/>
      <w:r w:rsidR="00045F92">
        <w:t xml:space="preserve"> 2013, 2.</w:t>
      </w:r>
      <w:proofErr w:type="gramEnd"/>
    </w:p>
  </w:footnote>
  <w:footnote w:id="29">
    <w:p w:rsidR="00806E6E" w:rsidRDefault="00806E6E">
      <w:pPr>
        <w:pStyle w:val="FootnoteText"/>
      </w:pPr>
      <w:r>
        <w:rPr>
          <w:rStyle w:val="FootnoteReference"/>
        </w:rPr>
        <w:footnoteRef/>
      </w:r>
      <w:r>
        <w:t xml:space="preserve"> </w:t>
      </w:r>
      <w:proofErr w:type="gramStart"/>
      <w:r>
        <w:t>Ibid, 3.</w:t>
      </w:r>
      <w:proofErr w:type="gramEnd"/>
    </w:p>
  </w:footnote>
  <w:footnote w:id="30">
    <w:p w:rsidR="00806E6E" w:rsidRDefault="00806E6E">
      <w:pPr>
        <w:pStyle w:val="FootnoteText"/>
      </w:pPr>
      <w:r>
        <w:rPr>
          <w:rStyle w:val="FootnoteReference"/>
        </w:rPr>
        <w:footnoteRef/>
      </w:r>
      <w:r>
        <w:t xml:space="preserve"> Ibid.</w:t>
      </w:r>
    </w:p>
  </w:footnote>
  <w:footnote w:id="31">
    <w:p w:rsidR="005B36A2" w:rsidRDefault="005B36A2">
      <w:pPr>
        <w:pStyle w:val="FootnoteText"/>
      </w:pPr>
      <w:r>
        <w:rPr>
          <w:rStyle w:val="FootnoteReference"/>
        </w:rPr>
        <w:footnoteRef/>
      </w:r>
      <w:r>
        <w:t xml:space="preserve"> </w:t>
      </w:r>
      <w:proofErr w:type="spellStart"/>
      <w:proofErr w:type="gramStart"/>
      <w:r>
        <w:t>Hinarejos</w:t>
      </w:r>
      <w:proofErr w:type="spellEnd"/>
      <w:r>
        <w:t xml:space="preserve"> 2012, 538.</w:t>
      </w:r>
      <w:proofErr w:type="gramEnd"/>
    </w:p>
  </w:footnote>
  <w:footnote w:id="32">
    <w:p w:rsidR="00FD3DE2" w:rsidRDefault="00FD3DE2">
      <w:pPr>
        <w:pStyle w:val="FootnoteText"/>
      </w:pPr>
      <w:r>
        <w:rPr>
          <w:rStyle w:val="FootnoteReference"/>
        </w:rPr>
        <w:footnoteRef/>
      </w:r>
      <w:r>
        <w:t xml:space="preserve"> </w:t>
      </w:r>
      <w:proofErr w:type="spellStart"/>
      <w:proofErr w:type="gramStart"/>
      <w:r>
        <w:t>Leblond</w:t>
      </w:r>
      <w:proofErr w:type="spellEnd"/>
      <w:r>
        <w:t xml:space="preserve"> 2010, 78.</w:t>
      </w:r>
      <w:proofErr w:type="gramEnd"/>
    </w:p>
  </w:footnote>
  <w:footnote w:id="33">
    <w:p w:rsidR="009F5546" w:rsidRDefault="009F5546">
      <w:pPr>
        <w:pStyle w:val="FootnoteText"/>
      </w:pPr>
      <w:r>
        <w:rPr>
          <w:rStyle w:val="FootnoteReference"/>
        </w:rPr>
        <w:footnoteRef/>
      </w:r>
      <w:r>
        <w:t xml:space="preserve"> </w:t>
      </w:r>
      <w:proofErr w:type="spellStart"/>
      <w:proofErr w:type="gramStart"/>
      <w:r>
        <w:t>Woll</w:t>
      </w:r>
      <w:proofErr w:type="spellEnd"/>
      <w:r>
        <w:t xml:space="preserve"> 2011, 42.</w:t>
      </w:r>
      <w:proofErr w:type="gramEnd"/>
    </w:p>
  </w:footnote>
  <w:footnote w:id="34">
    <w:p w:rsidR="00BB7EFB" w:rsidRDefault="00BB7EFB">
      <w:pPr>
        <w:pStyle w:val="FootnoteText"/>
      </w:pPr>
      <w:r>
        <w:rPr>
          <w:rStyle w:val="FootnoteReference"/>
        </w:rPr>
        <w:footnoteRef/>
      </w:r>
      <w:r w:rsidR="003A295B">
        <w:t xml:space="preserve"> The Ordinary Legislative Procedure of the EU, sometimes referred to as the ‘Community Method’ and previously referred to as ‘</w:t>
      </w:r>
      <w:proofErr w:type="spellStart"/>
      <w:r w:rsidR="003A295B">
        <w:t>codecision</w:t>
      </w:r>
      <w:proofErr w:type="spellEnd"/>
      <w:r w:rsidR="003A295B">
        <w:t>’, is the style of policy-making whereby the Commission submits a proposal to the European Parliament (also a supranational institution) and the European Council (the intergovernmental institution comprised of national leaders). A formal process of consultation, revision, and either adoption or dismissal proceeds between the three institutions (</w:t>
      </w:r>
      <w:proofErr w:type="spellStart"/>
      <w:r w:rsidR="001C5A21">
        <w:t>Dinan</w:t>
      </w:r>
      <w:proofErr w:type="spellEnd"/>
      <w:r w:rsidR="001C5A21">
        <w:t xml:space="preserve"> 2004).</w:t>
      </w:r>
    </w:p>
  </w:footnote>
  <w:footnote w:id="35">
    <w:p w:rsidR="00BB7EFB" w:rsidRDefault="00BB7EFB">
      <w:pPr>
        <w:pStyle w:val="FootnoteText"/>
      </w:pPr>
      <w:r>
        <w:rPr>
          <w:rStyle w:val="FootnoteReference"/>
        </w:rPr>
        <w:footnoteRef/>
      </w:r>
      <w:r>
        <w:t xml:space="preserve"> </w:t>
      </w:r>
      <w:proofErr w:type="spellStart"/>
      <w:proofErr w:type="gramStart"/>
      <w:r>
        <w:t>Woolcock</w:t>
      </w:r>
      <w:proofErr w:type="spellEnd"/>
      <w:r>
        <w:t xml:space="preserve"> 2011, 27; European Commi</w:t>
      </w:r>
      <w:r w:rsidR="00D47BD8">
        <w:t>ssion 2013.</w:t>
      </w:r>
      <w:proofErr w:type="gramEnd"/>
    </w:p>
  </w:footnote>
  <w:footnote w:id="36">
    <w:p w:rsidR="00777E8C" w:rsidRDefault="00777E8C">
      <w:pPr>
        <w:pStyle w:val="FootnoteText"/>
      </w:pPr>
      <w:r>
        <w:rPr>
          <w:rStyle w:val="FootnoteReference"/>
        </w:rPr>
        <w:footnoteRef/>
      </w:r>
      <w:r w:rsidR="001C5A21">
        <w:t xml:space="preserve"> </w:t>
      </w:r>
      <w:proofErr w:type="spellStart"/>
      <w:proofErr w:type="gramStart"/>
      <w:r w:rsidR="001C5A21">
        <w:t>Dinan</w:t>
      </w:r>
      <w:proofErr w:type="spellEnd"/>
      <w:r w:rsidR="001C5A21">
        <w:t xml:space="preserve"> 2004;</w:t>
      </w:r>
      <w:r>
        <w:t xml:space="preserve"> European Com</w:t>
      </w:r>
      <w:r w:rsidR="00D47BD8">
        <w:t>mission</w:t>
      </w:r>
      <w:r w:rsidR="00BC2FED">
        <w:t xml:space="preserve"> 2014.</w:t>
      </w:r>
      <w:proofErr w:type="gramEnd"/>
      <w:r>
        <w:t xml:space="preserve"> </w:t>
      </w:r>
    </w:p>
  </w:footnote>
  <w:footnote w:id="37">
    <w:p w:rsidR="00076D6B" w:rsidRDefault="00076D6B">
      <w:pPr>
        <w:pStyle w:val="FootnoteText"/>
      </w:pPr>
      <w:r>
        <w:rPr>
          <w:rStyle w:val="FootnoteReference"/>
        </w:rPr>
        <w:footnoteRef/>
      </w:r>
      <w:r w:rsidR="001C5A21">
        <w:t xml:space="preserve"> </w:t>
      </w:r>
      <w:proofErr w:type="spellStart"/>
      <w:proofErr w:type="gramStart"/>
      <w:r w:rsidR="001C5A21">
        <w:t>Dinan</w:t>
      </w:r>
      <w:proofErr w:type="spellEnd"/>
      <w:r w:rsidR="001C5A21">
        <w:t xml:space="preserve"> 2004.</w:t>
      </w:r>
      <w:proofErr w:type="gramEnd"/>
    </w:p>
  </w:footnote>
  <w:footnote w:id="38">
    <w:p w:rsidR="00076D6B" w:rsidRDefault="00076D6B">
      <w:pPr>
        <w:pStyle w:val="FootnoteText"/>
      </w:pPr>
      <w:r>
        <w:rPr>
          <w:rStyle w:val="FootnoteReference"/>
        </w:rPr>
        <w:footnoteRef/>
      </w:r>
      <w:r>
        <w:t xml:space="preserve"> </w:t>
      </w:r>
      <w:proofErr w:type="spellStart"/>
      <w:r>
        <w:t>Woll</w:t>
      </w:r>
      <w:proofErr w:type="spellEnd"/>
      <w:r>
        <w:t xml:space="preserve"> 2011, 43-44.</w:t>
      </w:r>
    </w:p>
  </w:footnote>
  <w:footnote w:id="39">
    <w:p w:rsidR="00B869B2" w:rsidRDefault="00B869B2">
      <w:pPr>
        <w:pStyle w:val="FootnoteText"/>
      </w:pPr>
      <w:r>
        <w:rPr>
          <w:rStyle w:val="FootnoteReference"/>
        </w:rPr>
        <w:footnoteRef/>
      </w:r>
      <w:r w:rsidR="00775BB4">
        <w:t xml:space="preserve"> </w:t>
      </w:r>
      <w:proofErr w:type="spellStart"/>
      <w:proofErr w:type="gramStart"/>
      <w:r w:rsidR="00775BB4">
        <w:t>Dinan</w:t>
      </w:r>
      <w:proofErr w:type="spellEnd"/>
      <w:r w:rsidR="00775BB4">
        <w:t xml:space="preserve"> 2004.</w:t>
      </w:r>
      <w:proofErr w:type="gramEnd"/>
    </w:p>
  </w:footnote>
  <w:footnote w:id="40">
    <w:p w:rsidR="00B869B2" w:rsidRDefault="00B869B2">
      <w:pPr>
        <w:pStyle w:val="FootnoteText"/>
      </w:pPr>
      <w:r>
        <w:rPr>
          <w:rStyle w:val="FootnoteReference"/>
        </w:rPr>
        <w:footnoteRef/>
      </w:r>
      <w:r>
        <w:t xml:space="preserve"> </w:t>
      </w:r>
      <w:proofErr w:type="spellStart"/>
      <w:proofErr w:type="gramStart"/>
      <w:r>
        <w:t>Woll</w:t>
      </w:r>
      <w:proofErr w:type="spellEnd"/>
      <w:r>
        <w:t xml:space="preserve"> 2011, 44.</w:t>
      </w:r>
      <w:proofErr w:type="gramEnd"/>
    </w:p>
  </w:footnote>
  <w:footnote w:id="41">
    <w:p w:rsidR="008C5F38" w:rsidRDefault="008C5F38">
      <w:pPr>
        <w:pStyle w:val="FootnoteText"/>
      </w:pPr>
      <w:r>
        <w:rPr>
          <w:rStyle w:val="FootnoteReference"/>
        </w:rPr>
        <w:footnoteRef/>
      </w:r>
      <w:r w:rsidR="00775BB4">
        <w:t xml:space="preserve"> </w:t>
      </w:r>
      <w:proofErr w:type="spellStart"/>
      <w:proofErr w:type="gramStart"/>
      <w:r w:rsidR="00775BB4">
        <w:t>Hü</w:t>
      </w:r>
      <w:r>
        <w:t>bner</w:t>
      </w:r>
      <w:proofErr w:type="spellEnd"/>
      <w:r>
        <w:t xml:space="preserve"> 2011, 1.</w:t>
      </w:r>
      <w:proofErr w:type="gramEnd"/>
    </w:p>
  </w:footnote>
  <w:footnote w:id="42">
    <w:p w:rsidR="00F34939" w:rsidRDefault="00F34939">
      <w:pPr>
        <w:pStyle w:val="FootnoteText"/>
      </w:pPr>
      <w:r>
        <w:rPr>
          <w:rStyle w:val="FootnoteReference"/>
        </w:rPr>
        <w:footnoteRef/>
      </w:r>
      <w:r w:rsidR="00775BB4">
        <w:t xml:space="preserve"> </w:t>
      </w:r>
      <w:proofErr w:type="gramStart"/>
      <w:r w:rsidR="00775BB4">
        <w:t>A notable example being Ireland and Irish exporters.</w:t>
      </w:r>
      <w:proofErr w:type="gramEnd"/>
      <w:r w:rsidR="00775BB4">
        <w:t xml:space="preserve"> See Irish Exporters Association 2013.</w:t>
      </w:r>
    </w:p>
  </w:footnote>
  <w:footnote w:id="43">
    <w:p w:rsidR="00F34939" w:rsidRDefault="00F34939">
      <w:pPr>
        <w:pStyle w:val="FootnoteText"/>
      </w:pPr>
      <w:r>
        <w:rPr>
          <w:rStyle w:val="FootnoteReference"/>
        </w:rPr>
        <w:footnoteRef/>
      </w:r>
      <w:r>
        <w:t xml:space="preserve"> </w:t>
      </w:r>
      <w:proofErr w:type="gramStart"/>
      <w:r w:rsidR="00775BB4">
        <w:t xml:space="preserve">A prominent example </w:t>
      </w:r>
      <w:r>
        <w:t>EP and p</w:t>
      </w:r>
      <w:r w:rsidR="00775BB4">
        <w:t>harmaceutical drugs.</w:t>
      </w:r>
      <w:proofErr w:type="gramEnd"/>
      <w:r w:rsidR="00775BB4">
        <w:t xml:space="preserve"> See </w:t>
      </w:r>
      <w:proofErr w:type="spellStart"/>
      <w:r w:rsidR="00775BB4">
        <w:t>Waldie</w:t>
      </w:r>
      <w:proofErr w:type="spellEnd"/>
      <w:r w:rsidR="00775BB4">
        <w:t xml:space="preserve"> 2013.</w:t>
      </w:r>
    </w:p>
  </w:footnote>
  <w:footnote w:id="44">
    <w:p w:rsidR="00454635" w:rsidRDefault="00454635">
      <w:pPr>
        <w:pStyle w:val="FootnoteText"/>
      </w:pPr>
      <w:r>
        <w:rPr>
          <w:rStyle w:val="FootnoteReference"/>
        </w:rPr>
        <w:footnoteRef/>
      </w:r>
      <w:r w:rsidR="00775BB4">
        <w:t xml:space="preserve"> </w:t>
      </w:r>
      <w:proofErr w:type="spellStart"/>
      <w:proofErr w:type="gramStart"/>
      <w:r w:rsidR="00775BB4">
        <w:t>Wingrove</w:t>
      </w:r>
      <w:proofErr w:type="spellEnd"/>
      <w:r w:rsidR="00775BB4">
        <w:t xml:space="preserve"> 20113.</w:t>
      </w:r>
      <w:proofErr w:type="gramEnd"/>
    </w:p>
  </w:footnote>
  <w:footnote w:id="45">
    <w:p w:rsidR="00700126" w:rsidRDefault="00700126">
      <w:pPr>
        <w:pStyle w:val="FootnoteText"/>
      </w:pPr>
      <w:r>
        <w:rPr>
          <w:rStyle w:val="FootnoteReference"/>
        </w:rPr>
        <w:footnoteRef/>
      </w:r>
      <w:r>
        <w:t xml:space="preserve"> </w:t>
      </w:r>
      <w:proofErr w:type="spellStart"/>
      <w:proofErr w:type="gramStart"/>
      <w:r>
        <w:t>Hueglin</w:t>
      </w:r>
      <w:proofErr w:type="spellEnd"/>
      <w:r>
        <w:t xml:space="preserve"> 2013, 191.</w:t>
      </w:r>
      <w:proofErr w:type="gramEnd"/>
    </w:p>
  </w:footnote>
  <w:footnote w:id="46">
    <w:p w:rsidR="0066181B" w:rsidRDefault="0066181B">
      <w:pPr>
        <w:pStyle w:val="FootnoteText"/>
      </w:pPr>
      <w:r>
        <w:rPr>
          <w:rStyle w:val="FootnoteReference"/>
        </w:rPr>
        <w:footnoteRef/>
      </w:r>
      <w:r>
        <w:t xml:space="preserve"> </w:t>
      </w:r>
      <w:proofErr w:type="gramStart"/>
      <w:r>
        <w:t>Ibid, 193.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02" w:rsidRPr="00173CEE" w:rsidRDefault="00DD0C02">
    <w:pPr>
      <w:pStyle w:val="Header"/>
      <w:rPr>
        <w:i/>
      </w:rPr>
    </w:pPr>
    <w:proofErr w:type="spellStart"/>
    <w:r>
      <w:t>D’Erman</w:t>
    </w:r>
    <w:proofErr w:type="spellEnd"/>
    <w:r>
      <w:t xml:space="preserve"> WPSA 2014</w:t>
    </w:r>
  </w:p>
  <w:p w:rsidR="00DD0C02" w:rsidRDefault="00DD0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21157"/>
    <w:multiLevelType w:val="multilevel"/>
    <w:tmpl w:val="D32A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5C4378"/>
    <w:multiLevelType w:val="hybridMultilevel"/>
    <w:tmpl w:val="C570E012"/>
    <w:lvl w:ilvl="0" w:tplc="464E6BE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35B5"/>
    <w:rsid w:val="000048B5"/>
    <w:rsid w:val="00017B6A"/>
    <w:rsid w:val="00031595"/>
    <w:rsid w:val="00045F92"/>
    <w:rsid w:val="000520E6"/>
    <w:rsid w:val="00076D6B"/>
    <w:rsid w:val="000816BE"/>
    <w:rsid w:val="0008748C"/>
    <w:rsid w:val="00097336"/>
    <w:rsid w:val="000E129F"/>
    <w:rsid w:val="00112B7D"/>
    <w:rsid w:val="001135D1"/>
    <w:rsid w:val="00120657"/>
    <w:rsid w:val="00121AA7"/>
    <w:rsid w:val="00123D34"/>
    <w:rsid w:val="001316B8"/>
    <w:rsid w:val="00155DF2"/>
    <w:rsid w:val="00160773"/>
    <w:rsid w:val="0017011A"/>
    <w:rsid w:val="00173CEE"/>
    <w:rsid w:val="00175E60"/>
    <w:rsid w:val="00183258"/>
    <w:rsid w:val="00197346"/>
    <w:rsid w:val="001A7DE1"/>
    <w:rsid w:val="001C0535"/>
    <w:rsid w:val="001C3A32"/>
    <w:rsid w:val="001C5A21"/>
    <w:rsid w:val="001D0B5B"/>
    <w:rsid w:val="001E1648"/>
    <w:rsid w:val="001E5E3E"/>
    <w:rsid w:val="001E6ADE"/>
    <w:rsid w:val="001F0D86"/>
    <w:rsid w:val="001F28C3"/>
    <w:rsid w:val="00225317"/>
    <w:rsid w:val="00235457"/>
    <w:rsid w:val="00243E2A"/>
    <w:rsid w:val="00243E6F"/>
    <w:rsid w:val="00261E09"/>
    <w:rsid w:val="002776E7"/>
    <w:rsid w:val="00325F37"/>
    <w:rsid w:val="0033517E"/>
    <w:rsid w:val="00351EDC"/>
    <w:rsid w:val="00351F6C"/>
    <w:rsid w:val="00353AED"/>
    <w:rsid w:val="00356C96"/>
    <w:rsid w:val="00365FE4"/>
    <w:rsid w:val="00384DCD"/>
    <w:rsid w:val="003949EE"/>
    <w:rsid w:val="00396452"/>
    <w:rsid w:val="003A295B"/>
    <w:rsid w:val="003A7989"/>
    <w:rsid w:val="003B35B0"/>
    <w:rsid w:val="003D448A"/>
    <w:rsid w:val="003D5B4B"/>
    <w:rsid w:val="004055B3"/>
    <w:rsid w:val="00430357"/>
    <w:rsid w:val="00443310"/>
    <w:rsid w:val="004463BC"/>
    <w:rsid w:val="00446C2A"/>
    <w:rsid w:val="004537CD"/>
    <w:rsid w:val="00454635"/>
    <w:rsid w:val="00464C1C"/>
    <w:rsid w:val="004675C9"/>
    <w:rsid w:val="00476D42"/>
    <w:rsid w:val="004853F1"/>
    <w:rsid w:val="00494005"/>
    <w:rsid w:val="004E1B70"/>
    <w:rsid w:val="005325B3"/>
    <w:rsid w:val="00545841"/>
    <w:rsid w:val="00561D89"/>
    <w:rsid w:val="005946A6"/>
    <w:rsid w:val="005B36A2"/>
    <w:rsid w:val="005F4A3D"/>
    <w:rsid w:val="0061159E"/>
    <w:rsid w:val="006169B6"/>
    <w:rsid w:val="006173A3"/>
    <w:rsid w:val="00621838"/>
    <w:rsid w:val="006464BC"/>
    <w:rsid w:val="0066181B"/>
    <w:rsid w:val="00661CBD"/>
    <w:rsid w:val="00700126"/>
    <w:rsid w:val="00726471"/>
    <w:rsid w:val="00731A22"/>
    <w:rsid w:val="00732E27"/>
    <w:rsid w:val="0073323C"/>
    <w:rsid w:val="007472E9"/>
    <w:rsid w:val="007510DB"/>
    <w:rsid w:val="00763F07"/>
    <w:rsid w:val="0076482C"/>
    <w:rsid w:val="007747D8"/>
    <w:rsid w:val="00775BB4"/>
    <w:rsid w:val="00777E8C"/>
    <w:rsid w:val="00792267"/>
    <w:rsid w:val="007A00AC"/>
    <w:rsid w:val="007C2158"/>
    <w:rsid w:val="007C350E"/>
    <w:rsid w:val="007C6C63"/>
    <w:rsid w:val="007D552A"/>
    <w:rsid w:val="00806E6E"/>
    <w:rsid w:val="0081571B"/>
    <w:rsid w:val="00826AB3"/>
    <w:rsid w:val="00853FE9"/>
    <w:rsid w:val="008635B5"/>
    <w:rsid w:val="00884813"/>
    <w:rsid w:val="00896150"/>
    <w:rsid w:val="00897EAA"/>
    <w:rsid w:val="008A31B9"/>
    <w:rsid w:val="008C5F38"/>
    <w:rsid w:val="008D2894"/>
    <w:rsid w:val="008E7292"/>
    <w:rsid w:val="008F56D7"/>
    <w:rsid w:val="008F599A"/>
    <w:rsid w:val="0090590C"/>
    <w:rsid w:val="00912B68"/>
    <w:rsid w:val="00937921"/>
    <w:rsid w:val="009A3C27"/>
    <w:rsid w:val="009B5436"/>
    <w:rsid w:val="009C4CC3"/>
    <w:rsid w:val="009C7D43"/>
    <w:rsid w:val="009D5493"/>
    <w:rsid w:val="009F5546"/>
    <w:rsid w:val="00A1500D"/>
    <w:rsid w:val="00A37494"/>
    <w:rsid w:val="00A53027"/>
    <w:rsid w:val="00A55A69"/>
    <w:rsid w:val="00A6085D"/>
    <w:rsid w:val="00A72BCC"/>
    <w:rsid w:val="00AA1A78"/>
    <w:rsid w:val="00AB6380"/>
    <w:rsid w:val="00AC1983"/>
    <w:rsid w:val="00AD0E9C"/>
    <w:rsid w:val="00AE5313"/>
    <w:rsid w:val="00AE7154"/>
    <w:rsid w:val="00AF44DE"/>
    <w:rsid w:val="00B130BC"/>
    <w:rsid w:val="00B2156B"/>
    <w:rsid w:val="00B30D6A"/>
    <w:rsid w:val="00B36BD8"/>
    <w:rsid w:val="00B76F89"/>
    <w:rsid w:val="00B80363"/>
    <w:rsid w:val="00B869B2"/>
    <w:rsid w:val="00BA6054"/>
    <w:rsid w:val="00BB6B1A"/>
    <w:rsid w:val="00BB7EFB"/>
    <w:rsid w:val="00BC2FED"/>
    <w:rsid w:val="00BD544B"/>
    <w:rsid w:val="00BF4C11"/>
    <w:rsid w:val="00BF53C3"/>
    <w:rsid w:val="00C0124F"/>
    <w:rsid w:val="00C20DFA"/>
    <w:rsid w:val="00C22FF4"/>
    <w:rsid w:val="00C24949"/>
    <w:rsid w:val="00C5537A"/>
    <w:rsid w:val="00C64E93"/>
    <w:rsid w:val="00C66606"/>
    <w:rsid w:val="00C734F0"/>
    <w:rsid w:val="00C94870"/>
    <w:rsid w:val="00CD63AB"/>
    <w:rsid w:val="00D039A5"/>
    <w:rsid w:val="00D076F3"/>
    <w:rsid w:val="00D12EC8"/>
    <w:rsid w:val="00D16361"/>
    <w:rsid w:val="00D47BD8"/>
    <w:rsid w:val="00D67092"/>
    <w:rsid w:val="00D87492"/>
    <w:rsid w:val="00DA0B7F"/>
    <w:rsid w:val="00DA35DD"/>
    <w:rsid w:val="00DB11C8"/>
    <w:rsid w:val="00DC3F3C"/>
    <w:rsid w:val="00DD0C02"/>
    <w:rsid w:val="00DD51FB"/>
    <w:rsid w:val="00DD586C"/>
    <w:rsid w:val="00E25BFE"/>
    <w:rsid w:val="00E37FB7"/>
    <w:rsid w:val="00E41167"/>
    <w:rsid w:val="00E55962"/>
    <w:rsid w:val="00E72056"/>
    <w:rsid w:val="00E848B0"/>
    <w:rsid w:val="00E87D2E"/>
    <w:rsid w:val="00E92F05"/>
    <w:rsid w:val="00E952B6"/>
    <w:rsid w:val="00EA56C2"/>
    <w:rsid w:val="00EB5F52"/>
    <w:rsid w:val="00EC361D"/>
    <w:rsid w:val="00EC6642"/>
    <w:rsid w:val="00ED0645"/>
    <w:rsid w:val="00ED5762"/>
    <w:rsid w:val="00F209D6"/>
    <w:rsid w:val="00F26D8A"/>
    <w:rsid w:val="00F2767D"/>
    <w:rsid w:val="00F34939"/>
    <w:rsid w:val="00F457D6"/>
    <w:rsid w:val="00F651BE"/>
    <w:rsid w:val="00F9479C"/>
    <w:rsid w:val="00FB4D3D"/>
    <w:rsid w:val="00FC1D57"/>
    <w:rsid w:val="00FD3DE2"/>
    <w:rsid w:val="00FD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21"/>
  </w:style>
  <w:style w:type="paragraph" w:styleId="Heading1">
    <w:name w:val="heading 1"/>
    <w:basedOn w:val="Normal"/>
    <w:next w:val="Normal"/>
    <w:link w:val="Heading1Char"/>
    <w:uiPriority w:val="9"/>
    <w:qFormat/>
    <w:rsid w:val="006464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5B5"/>
    <w:pPr>
      <w:tabs>
        <w:tab w:val="center" w:pos="4680"/>
        <w:tab w:val="right" w:pos="9360"/>
      </w:tabs>
    </w:pPr>
  </w:style>
  <w:style w:type="character" w:customStyle="1" w:styleId="HeaderChar">
    <w:name w:val="Header Char"/>
    <w:basedOn w:val="DefaultParagraphFont"/>
    <w:link w:val="Header"/>
    <w:uiPriority w:val="99"/>
    <w:rsid w:val="008635B5"/>
  </w:style>
  <w:style w:type="paragraph" w:styleId="Footer">
    <w:name w:val="footer"/>
    <w:basedOn w:val="Normal"/>
    <w:link w:val="FooterChar"/>
    <w:uiPriority w:val="99"/>
    <w:unhideWhenUsed/>
    <w:rsid w:val="008635B5"/>
    <w:pPr>
      <w:tabs>
        <w:tab w:val="center" w:pos="4680"/>
        <w:tab w:val="right" w:pos="9360"/>
      </w:tabs>
    </w:pPr>
  </w:style>
  <w:style w:type="character" w:customStyle="1" w:styleId="FooterChar">
    <w:name w:val="Footer Char"/>
    <w:basedOn w:val="DefaultParagraphFont"/>
    <w:link w:val="Footer"/>
    <w:uiPriority w:val="99"/>
    <w:rsid w:val="008635B5"/>
  </w:style>
  <w:style w:type="character" w:styleId="Hyperlink">
    <w:name w:val="Hyperlink"/>
    <w:basedOn w:val="DefaultParagraphFont"/>
    <w:uiPriority w:val="99"/>
    <w:unhideWhenUsed/>
    <w:rsid w:val="00621838"/>
    <w:rPr>
      <w:color w:val="0000FF" w:themeColor="hyperlink"/>
      <w:u w:val="single"/>
    </w:rPr>
  </w:style>
  <w:style w:type="paragraph" w:styleId="BalloonText">
    <w:name w:val="Balloon Text"/>
    <w:basedOn w:val="Normal"/>
    <w:link w:val="BalloonTextChar"/>
    <w:uiPriority w:val="99"/>
    <w:semiHidden/>
    <w:unhideWhenUsed/>
    <w:rsid w:val="00173CEE"/>
    <w:rPr>
      <w:rFonts w:ascii="Tahoma" w:hAnsi="Tahoma" w:cs="Tahoma"/>
      <w:sz w:val="16"/>
      <w:szCs w:val="16"/>
    </w:rPr>
  </w:style>
  <w:style w:type="character" w:customStyle="1" w:styleId="BalloonTextChar">
    <w:name w:val="Balloon Text Char"/>
    <w:basedOn w:val="DefaultParagraphFont"/>
    <w:link w:val="BalloonText"/>
    <w:uiPriority w:val="99"/>
    <w:semiHidden/>
    <w:rsid w:val="00173CEE"/>
    <w:rPr>
      <w:rFonts w:ascii="Tahoma" w:hAnsi="Tahoma" w:cs="Tahoma"/>
      <w:sz w:val="16"/>
      <w:szCs w:val="16"/>
    </w:rPr>
  </w:style>
  <w:style w:type="paragraph" w:styleId="FootnoteText">
    <w:name w:val="footnote text"/>
    <w:basedOn w:val="Normal"/>
    <w:link w:val="FootnoteTextChar"/>
    <w:uiPriority w:val="99"/>
    <w:semiHidden/>
    <w:unhideWhenUsed/>
    <w:rsid w:val="00DC3F3C"/>
    <w:rPr>
      <w:sz w:val="20"/>
      <w:szCs w:val="20"/>
    </w:rPr>
  </w:style>
  <w:style w:type="character" w:customStyle="1" w:styleId="FootnoteTextChar">
    <w:name w:val="Footnote Text Char"/>
    <w:basedOn w:val="DefaultParagraphFont"/>
    <w:link w:val="FootnoteText"/>
    <w:uiPriority w:val="99"/>
    <w:semiHidden/>
    <w:rsid w:val="00DC3F3C"/>
    <w:rPr>
      <w:sz w:val="20"/>
      <w:szCs w:val="20"/>
    </w:rPr>
  </w:style>
  <w:style w:type="character" w:styleId="FootnoteReference">
    <w:name w:val="footnote reference"/>
    <w:basedOn w:val="DefaultParagraphFont"/>
    <w:uiPriority w:val="99"/>
    <w:semiHidden/>
    <w:unhideWhenUsed/>
    <w:rsid w:val="00DC3F3C"/>
    <w:rPr>
      <w:vertAlign w:val="superscript"/>
    </w:rPr>
  </w:style>
  <w:style w:type="paragraph" w:styleId="ListParagraph">
    <w:name w:val="List Paragraph"/>
    <w:basedOn w:val="Normal"/>
    <w:uiPriority w:val="34"/>
    <w:qFormat/>
    <w:rsid w:val="00B30D6A"/>
    <w:pPr>
      <w:ind w:left="720"/>
      <w:contextualSpacing/>
    </w:pPr>
  </w:style>
  <w:style w:type="character" w:customStyle="1" w:styleId="Heading1Char">
    <w:name w:val="Heading 1 Char"/>
    <w:basedOn w:val="DefaultParagraphFont"/>
    <w:link w:val="Heading1"/>
    <w:uiPriority w:val="9"/>
    <w:rsid w:val="006464B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26471"/>
    <w:rPr>
      <w:color w:val="800080" w:themeColor="followedHyperlink"/>
      <w:u w:val="single"/>
    </w:rPr>
  </w:style>
  <w:style w:type="paragraph" w:styleId="NormalWeb">
    <w:name w:val="Normal (Web)"/>
    <w:basedOn w:val="Normal"/>
    <w:uiPriority w:val="99"/>
    <w:semiHidden/>
    <w:unhideWhenUsed/>
    <w:rsid w:val="00FD51C1"/>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64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5B5"/>
    <w:pPr>
      <w:tabs>
        <w:tab w:val="center" w:pos="4680"/>
        <w:tab w:val="right" w:pos="9360"/>
      </w:tabs>
    </w:pPr>
  </w:style>
  <w:style w:type="character" w:customStyle="1" w:styleId="HeaderChar">
    <w:name w:val="Header Char"/>
    <w:basedOn w:val="DefaultParagraphFont"/>
    <w:link w:val="Header"/>
    <w:uiPriority w:val="99"/>
    <w:rsid w:val="008635B5"/>
  </w:style>
  <w:style w:type="paragraph" w:styleId="Footer">
    <w:name w:val="footer"/>
    <w:basedOn w:val="Normal"/>
    <w:link w:val="FooterChar"/>
    <w:uiPriority w:val="99"/>
    <w:unhideWhenUsed/>
    <w:rsid w:val="008635B5"/>
    <w:pPr>
      <w:tabs>
        <w:tab w:val="center" w:pos="4680"/>
        <w:tab w:val="right" w:pos="9360"/>
      </w:tabs>
    </w:pPr>
  </w:style>
  <w:style w:type="character" w:customStyle="1" w:styleId="FooterChar">
    <w:name w:val="Footer Char"/>
    <w:basedOn w:val="DefaultParagraphFont"/>
    <w:link w:val="Footer"/>
    <w:uiPriority w:val="99"/>
    <w:rsid w:val="008635B5"/>
  </w:style>
  <w:style w:type="character" w:styleId="Hyperlink">
    <w:name w:val="Hyperlink"/>
    <w:basedOn w:val="DefaultParagraphFont"/>
    <w:uiPriority w:val="99"/>
    <w:unhideWhenUsed/>
    <w:rsid w:val="00621838"/>
    <w:rPr>
      <w:color w:val="0000FF" w:themeColor="hyperlink"/>
      <w:u w:val="single"/>
    </w:rPr>
  </w:style>
  <w:style w:type="paragraph" w:styleId="BalloonText">
    <w:name w:val="Balloon Text"/>
    <w:basedOn w:val="Normal"/>
    <w:link w:val="BalloonTextChar"/>
    <w:uiPriority w:val="99"/>
    <w:semiHidden/>
    <w:unhideWhenUsed/>
    <w:rsid w:val="00173CEE"/>
    <w:rPr>
      <w:rFonts w:ascii="Tahoma" w:hAnsi="Tahoma" w:cs="Tahoma"/>
      <w:sz w:val="16"/>
      <w:szCs w:val="16"/>
    </w:rPr>
  </w:style>
  <w:style w:type="character" w:customStyle="1" w:styleId="BalloonTextChar">
    <w:name w:val="Balloon Text Char"/>
    <w:basedOn w:val="DefaultParagraphFont"/>
    <w:link w:val="BalloonText"/>
    <w:uiPriority w:val="99"/>
    <w:semiHidden/>
    <w:rsid w:val="00173CEE"/>
    <w:rPr>
      <w:rFonts w:ascii="Tahoma" w:hAnsi="Tahoma" w:cs="Tahoma"/>
      <w:sz w:val="16"/>
      <w:szCs w:val="16"/>
    </w:rPr>
  </w:style>
  <w:style w:type="paragraph" w:styleId="FootnoteText">
    <w:name w:val="footnote text"/>
    <w:basedOn w:val="Normal"/>
    <w:link w:val="FootnoteTextChar"/>
    <w:uiPriority w:val="99"/>
    <w:semiHidden/>
    <w:unhideWhenUsed/>
    <w:rsid w:val="00DC3F3C"/>
    <w:rPr>
      <w:sz w:val="20"/>
      <w:szCs w:val="20"/>
    </w:rPr>
  </w:style>
  <w:style w:type="character" w:customStyle="1" w:styleId="FootnoteTextChar">
    <w:name w:val="Footnote Text Char"/>
    <w:basedOn w:val="DefaultParagraphFont"/>
    <w:link w:val="FootnoteText"/>
    <w:uiPriority w:val="99"/>
    <w:semiHidden/>
    <w:rsid w:val="00DC3F3C"/>
    <w:rPr>
      <w:sz w:val="20"/>
      <w:szCs w:val="20"/>
    </w:rPr>
  </w:style>
  <w:style w:type="character" w:styleId="FootnoteReference">
    <w:name w:val="footnote reference"/>
    <w:basedOn w:val="DefaultParagraphFont"/>
    <w:uiPriority w:val="99"/>
    <w:semiHidden/>
    <w:unhideWhenUsed/>
    <w:rsid w:val="00DC3F3C"/>
    <w:rPr>
      <w:vertAlign w:val="superscript"/>
    </w:rPr>
  </w:style>
  <w:style w:type="paragraph" w:styleId="ListParagraph">
    <w:name w:val="List Paragraph"/>
    <w:basedOn w:val="Normal"/>
    <w:uiPriority w:val="34"/>
    <w:qFormat/>
    <w:rsid w:val="00B30D6A"/>
    <w:pPr>
      <w:ind w:left="720"/>
      <w:contextualSpacing/>
    </w:pPr>
  </w:style>
  <w:style w:type="character" w:customStyle="1" w:styleId="Heading1Char">
    <w:name w:val="Heading 1 Char"/>
    <w:basedOn w:val="DefaultParagraphFont"/>
    <w:link w:val="Heading1"/>
    <w:uiPriority w:val="9"/>
    <w:rsid w:val="006464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5562">
      <w:bodyDiv w:val="1"/>
      <w:marLeft w:val="0"/>
      <w:marRight w:val="0"/>
      <w:marTop w:val="0"/>
      <w:marBottom w:val="0"/>
      <w:divBdr>
        <w:top w:val="none" w:sz="0" w:space="0" w:color="auto"/>
        <w:left w:val="none" w:sz="0" w:space="0" w:color="auto"/>
        <w:bottom w:val="none" w:sz="0" w:space="0" w:color="auto"/>
        <w:right w:val="none" w:sz="0" w:space="0" w:color="auto"/>
      </w:divBdr>
    </w:div>
    <w:div w:id="411852660">
      <w:bodyDiv w:val="1"/>
      <w:marLeft w:val="0"/>
      <w:marRight w:val="0"/>
      <w:marTop w:val="0"/>
      <w:marBottom w:val="0"/>
      <w:divBdr>
        <w:top w:val="none" w:sz="0" w:space="0" w:color="auto"/>
        <w:left w:val="none" w:sz="0" w:space="0" w:color="auto"/>
        <w:bottom w:val="none" w:sz="0" w:space="0" w:color="auto"/>
        <w:right w:val="none" w:sz="0" w:space="0" w:color="auto"/>
      </w:divBdr>
      <w:divsChild>
        <w:div w:id="1245263949">
          <w:marLeft w:val="0"/>
          <w:marRight w:val="0"/>
          <w:marTop w:val="0"/>
          <w:marBottom w:val="0"/>
          <w:divBdr>
            <w:top w:val="none" w:sz="0" w:space="0" w:color="auto"/>
            <w:left w:val="none" w:sz="0" w:space="0" w:color="auto"/>
            <w:bottom w:val="none" w:sz="0" w:space="0" w:color="auto"/>
            <w:right w:val="none" w:sz="0" w:space="0" w:color="auto"/>
          </w:divBdr>
        </w:div>
        <w:div w:id="117918049">
          <w:marLeft w:val="0"/>
          <w:marRight w:val="0"/>
          <w:marTop w:val="0"/>
          <w:marBottom w:val="0"/>
          <w:divBdr>
            <w:top w:val="none" w:sz="0" w:space="0" w:color="auto"/>
            <w:left w:val="none" w:sz="0" w:space="0" w:color="auto"/>
            <w:bottom w:val="none" w:sz="0" w:space="0" w:color="auto"/>
            <w:right w:val="none" w:sz="0" w:space="0" w:color="auto"/>
          </w:divBdr>
        </w:div>
        <w:div w:id="572853530">
          <w:marLeft w:val="0"/>
          <w:marRight w:val="0"/>
          <w:marTop w:val="0"/>
          <w:marBottom w:val="0"/>
          <w:divBdr>
            <w:top w:val="none" w:sz="0" w:space="0" w:color="auto"/>
            <w:left w:val="none" w:sz="0" w:space="0" w:color="auto"/>
            <w:bottom w:val="none" w:sz="0" w:space="0" w:color="auto"/>
            <w:right w:val="none" w:sz="0" w:space="0" w:color="auto"/>
          </w:divBdr>
        </w:div>
      </w:divsChild>
    </w:div>
    <w:div w:id="1248880493">
      <w:bodyDiv w:val="1"/>
      <w:marLeft w:val="0"/>
      <w:marRight w:val="0"/>
      <w:marTop w:val="0"/>
      <w:marBottom w:val="0"/>
      <w:divBdr>
        <w:top w:val="none" w:sz="0" w:space="0" w:color="auto"/>
        <w:left w:val="none" w:sz="0" w:space="0" w:color="auto"/>
        <w:bottom w:val="none" w:sz="0" w:space="0" w:color="auto"/>
        <w:right w:val="none" w:sz="0" w:space="0" w:color="auto"/>
      </w:divBdr>
    </w:div>
    <w:div w:id="1371346779">
      <w:bodyDiv w:val="1"/>
      <w:marLeft w:val="0"/>
      <w:marRight w:val="0"/>
      <w:marTop w:val="0"/>
      <w:marBottom w:val="0"/>
      <w:divBdr>
        <w:top w:val="none" w:sz="0" w:space="0" w:color="auto"/>
        <w:left w:val="none" w:sz="0" w:space="0" w:color="auto"/>
        <w:bottom w:val="none" w:sz="0" w:space="0" w:color="auto"/>
        <w:right w:val="none" w:sz="0" w:space="0" w:color="auto"/>
      </w:divBdr>
    </w:div>
    <w:div w:id="1481078626">
      <w:bodyDiv w:val="1"/>
      <w:marLeft w:val="0"/>
      <w:marRight w:val="0"/>
      <w:marTop w:val="0"/>
      <w:marBottom w:val="0"/>
      <w:divBdr>
        <w:top w:val="none" w:sz="0" w:space="0" w:color="auto"/>
        <w:left w:val="none" w:sz="0" w:space="0" w:color="auto"/>
        <w:bottom w:val="none" w:sz="0" w:space="0" w:color="auto"/>
        <w:right w:val="none" w:sz="0" w:space="0" w:color="auto"/>
      </w:divBdr>
      <w:divsChild>
        <w:div w:id="1060206396">
          <w:marLeft w:val="0"/>
          <w:marRight w:val="0"/>
          <w:marTop w:val="0"/>
          <w:marBottom w:val="0"/>
          <w:divBdr>
            <w:top w:val="none" w:sz="0" w:space="0" w:color="auto"/>
            <w:left w:val="none" w:sz="0" w:space="0" w:color="auto"/>
            <w:bottom w:val="none" w:sz="0" w:space="0" w:color="auto"/>
            <w:right w:val="none" w:sz="0" w:space="0" w:color="auto"/>
          </w:divBdr>
          <w:divsChild>
            <w:div w:id="78792987">
              <w:marLeft w:val="0"/>
              <w:marRight w:val="0"/>
              <w:marTop w:val="0"/>
              <w:marBottom w:val="0"/>
              <w:divBdr>
                <w:top w:val="none" w:sz="0" w:space="0" w:color="auto"/>
                <w:left w:val="none" w:sz="0" w:space="0" w:color="auto"/>
                <w:bottom w:val="none" w:sz="0" w:space="0" w:color="auto"/>
                <w:right w:val="none" w:sz="0" w:space="0" w:color="auto"/>
              </w:divBdr>
            </w:div>
            <w:div w:id="663781258">
              <w:marLeft w:val="0"/>
              <w:marRight w:val="0"/>
              <w:marTop w:val="0"/>
              <w:marBottom w:val="0"/>
              <w:divBdr>
                <w:top w:val="none" w:sz="0" w:space="0" w:color="auto"/>
                <w:left w:val="none" w:sz="0" w:space="0" w:color="auto"/>
                <w:bottom w:val="none" w:sz="0" w:space="0" w:color="auto"/>
                <w:right w:val="none" w:sz="0" w:space="0" w:color="auto"/>
              </w:divBdr>
            </w:div>
            <w:div w:id="11952593">
              <w:marLeft w:val="0"/>
              <w:marRight w:val="0"/>
              <w:marTop w:val="0"/>
              <w:marBottom w:val="0"/>
              <w:divBdr>
                <w:top w:val="none" w:sz="0" w:space="0" w:color="auto"/>
                <w:left w:val="none" w:sz="0" w:space="0" w:color="auto"/>
                <w:bottom w:val="none" w:sz="0" w:space="0" w:color="auto"/>
                <w:right w:val="none" w:sz="0" w:space="0" w:color="auto"/>
              </w:divBdr>
            </w:div>
            <w:div w:id="8513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l.gc.ca/about/parliament/senatoreugeneforsey/book/chapter_3-e.html" TargetMode="External"/><Relationship Id="rId18" Type="http://schemas.openxmlformats.org/officeDocument/2006/relationships/hyperlink" Target="http://www.parl.gc.ca/HousePublications/Publication.aspx?DocId=5431905&amp;Language=E&amp;Mode=1&amp;Parl=41&amp;Ses=1&amp;File=87" TargetMode="External"/><Relationship Id="rId3" Type="http://schemas.openxmlformats.org/officeDocument/2006/relationships/styles" Target="styles.xml"/><Relationship Id="rId21" Type="http://schemas.openxmlformats.org/officeDocument/2006/relationships/hyperlink" Target="http://www.theglobeandmail.com/news/politics/canada-lifts-czech-travel-visa-smoothing-wrinkle-in-eu-trade-deal/article15440977/" TargetMode="External"/><Relationship Id="rId7" Type="http://schemas.openxmlformats.org/officeDocument/2006/relationships/footnotes" Target="footnotes.xml"/><Relationship Id="rId12" Type="http://schemas.openxmlformats.org/officeDocument/2006/relationships/hyperlink" Target="http://labs.carleton.ca/canadaeurope/wp-content/uploads/sites/9/FINBOW_CETD_CETA-and-Multi-Level-governance.pdf" TargetMode="External"/><Relationship Id="rId17" Type="http://schemas.openxmlformats.org/officeDocument/2006/relationships/hyperlink" Target="http://www.irishexporters.ie/section/IrelandhasmosttogainfromtheEUCanadaComprehensiveEconomicandTradeAgreementCE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rl.gc.ca/HousePublications/Publication.aspx?DocId=5431905&amp;Language=E&amp;Mode=1&amp;Parl=41&amp;Ses=1&amp;File=87" TargetMode="External"/><Relationship Id="rId20" Type="http://schemas.openxmlformats.org/officeDocument/2006/relationships/hyperlink" Target="http://www.theglobeandmail.com/news/politics/eu-harper/article149249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internal_market/top_layer/monitoring/governance_en.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anadainternational.gc.ca/eu-ue/policies-politiques/trade_invest-commerce_invest.aspx?lang=eng&amp;menu_id=11" TargetMode="External"/><Relationship Id="rId23" Type="http://schemas.openxmlformats.org/officeDocument/2006/relationships/footer" Target="footer1.xml"/><Relationship Id="rId10" Type="http://schemas.openxmlformats.org/officeDocument/2006/relationships/hyperlink" Target="http://ec.europa.eu/trade/policy/countries-and-regions/countries/canada/" TargetMode="External"/><Relationship Id="rId19" Type="http://schemas.openxmlformats.org/officeDocument/2006/relationships/hyperlink" Target="http://www.parl.gc.ca/sencommitteebusiness/CommitteeAbout.aspx?parl=41&amp;ses=1&amp;Language=E&amp;comm_id=8" TargetMode="External"/><Relationship Id="rId4" Type="http://schemas.microsoft.com/office/2007/relationships/stylesWithEffects" Target="stylesWithEffects.xml"/><Relationship Id="rId9" Type="http://schemas.openxmlformats.org/officeDocument/2006/relationships/hyperlink" Target="mailto:vjderman@uvic.ca" TargetMode="External"/><Relationship Id="rId14" Type="http://schemas.openxmlformats.org/officeDocument/2006/relationships/hyperlink" Target="http://www.canadainternational.gc.ca/eu-ue/policies-politiques/trade_agreements-accords_commerciaux.asp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9A789-3128-45C9-A7E0-E8185D40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22</Pages>
  <Words>6447</Words>
  <Characters>36748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vjderman</dc:creator>
  <cp:lastModifiedBy>vjderman</cp:lastModifiedBy>
  <cp:revision>55</cp:revision>
  <dcterms:created xsi:type="dcterms:W3CDTF">2014-04-11T20:15:00Z</dcterms:created>
  <dcterms:modified xsi:type="dcterms:W3CDTF">2014-04-13T05:11:00Z</dcterms:modified>
</cp:coreProperties>
</file>