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A7C7B" w14:textId="77777777" w:rsidR="00077621" w:rsidRPr="00532928" w:rsidRDefault="00077621" w:rsidP="00077621">
      <w:pPr>
        <w:jc w:val="center"/>
        <w:rPr>
          <w:rFonts w:ascii="Times New Roman" w:hAnsi="Times New Roman" w:cs="Times New Roman"/>
          <w:b/>
          <w:bCs/>
          <w:color w:val="000000"/>
          <w:sz w:val="24"/>
          <w:szCs w:val="24"/>
        </w:rPr>
      </w:pPr>
    </w:p>
    <w:p w14:paraId="54166E4C" w14:textId="77777777" w:rsidR="00077621" w:rsidRPr="00532928" w:rsidRDefault="00077621" w:rsidP="00077621">
      <w:pPr>
        <w:jc w:val="center"/>
        <w:rPr>
          <w:rFonts w:ascii="Times New Roman" w:hAnsi="Times New Roman" w:cs="Times New Roman"/>
          <w:b/>
          <w:bCs/>
          <w:color w:val="000000"/>
          <w:sz w:val="24"/>
          <w:szCs w:val="24"/>
        </w:rPr>
      </w:pPr>
    </w:p>
    <w:p w14:paraId="7B923DDC" w14:textId="77777777" w:rsidR="00077621" w:rsidRPr="00532928" w:rsidRDefault="00077621" w:rsidP="00077621">
      <w:pPr>
        <w:jc w:val="center"/>
        <w:rPr>
          <w:rFonts w:ascii="Times New Roman" w:hAnsi="Times New Roman" w:cs="Times New Roman"/>
          <w:b/>
          <w:bCs/>
          <w:color w:val="000000"/>
          <w:sz w:val="24"/>
          <w:szCs w:val="24"/>
        </w:rPr>
      </w:pPr>
    </w:p>
    <w:p w14:paraId="345C2279" w14:textId="77777777" w:rsidR="00077621" w:rsidRPr="00532928" w:rsidRDefault="00077621" w:rsidP="00077621">
      <w:pPr>
        <w:jc w:val="center"/>
        <w:rPr>
          <w:rFonts w:ascii="Times New Roman" w:hAnsi="Times New Roman" w:cs="Times New Roman"/>
          <w:b/>
          <w:bCs/>
          <w:color w:val="000000"/>
          <w:sz w:val="24"/>
          <w:szCs w:val="24"/>
        </w:rPr>
      </w:pPr>
      <w:r w:rsidRPr="00532928">
        <w:rPr>
          <w:rFonts w:ascii="Times New Roman" w:hAnsi="Times New Roman" w:cs="Times New Roman"/>
          <w:b/>
          <w:bCs/>
          <w:color w:val="000000"/>
          <w:sz w:val="24"/>
          <w:szCs w:val="24"/>
        </w:rPr>
        <w:t>Engaging Introduction to American Politics</w:t>
      </w:r>
    </w:p>
    <w:p w14:paraId="4DA3580B" w14:textId="77777777" w:rsidR="00A264E1" w:rsidRPr="00532928" w:rsidRDefault="00077621" w:rsidP="00077621">
      <w:pPr>
        <w:jc w:val="center"/>
        <w:rPr>
          <w:rFonts w:ascii="Times New Roman" w:hAnsi="Times New Roman" w:cs="Times New Roman"/>
          <w:b/>
          <w:bCs/>
          <w:color w:val="000000"/>
          <w:sz w:val="24"/>
          <w:szCs w:val="24"/>
        </w:rPr>
      </w:pPr>
      <w:r w:rsidRPr="00532928">
        <w:rPr>
          <w:rFonts w:ascii="Times New Roman" w:hAnsi="Times New Roman" w:cs="Times New Roman"/>
          <w:b/>
          <w:bCs/>
          <w:color w:val="000000"/>
          <w:sz w:val="24"/>
          <w:szCs w:val="24"/>
        </w:rPr>
        <w:t>Students with a Town Hall Meeting Course Redesign</w:t>
      </w:r>
    </w:p>
    <w:p w14:paraId="0E7580E8" w14:textId="77777777" w:rsidR="00077621" w:rsidRPr="00532928" w:rsidRDefault="00077621">
      <w:pPr>
        <w:rPr>
          <w:rFonts w:ascii="Times New Roman" w:hAnsi="Times New Roman" w:cs="Times New Roman"/>
          <w:b/>
          <w:bCs/>
          <w:color w:val="000000"/>
          <w:sz w:val="24"/>
          <w:szCs w:val="24"/>
        </w:rPr>
      </w:pPr>
    </w:p>
    <w:p w14:paraId="4CDEEEC4" w14:textId="77777777" w:rsidR="00077621" w:rsidRPr="00532928" w:rsidRDefault="00077621" w:rsidP="00077621">
      <w:pPr>
        <w:jc w:val="center"/>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Scott Spitzer, California State University, Fullerton</w:t>
      </w:r>
    </w:p>
    <w:p w14:paraId="1F7AAEAB" w14:textId="77777777" w:rsidR="00077621" w:rsidRPr="00532928" w:rsidRDefault="0063661E" w:rsidP="00077621">
      <w:pPr>
        <w:jc w:val="center"/>
        <w:rPr>
          <w:rFonts w:ascii="Times New Roman" w:hAnsi="Times New Roman" w:cs="Times New Roman"/>
          <w:bCs/>
          <w:color w:val="000000"/>
          <w:sz w:val="24"/>
          <w:szCs w:val="24"/>
        </w:rPr>
      </w:pPr>
      <w:hyperlink r:id="rId8" w:history="1">
        <w:r w:rsidR="00077621" w:rsidRPr="00532928">
          <w:rPr>
            <w:rStyle w:val="Hyperlink"/>
            <w:rFonts w:ascii="Times New Roman" w:hAnsi="Times New Roman" w:cs="Times New Roman"/>
            <w:bCs/>
            <w:sz w:val="24"/>
            <w:szCs w:val="24"/>
          </w:rPr>
          <w:t>sspitzer@fullerton.edu</w:t>
        </w:r>
      </w:hyperlink>
    </w:p>
    <w:p w14:paraId="408BAB51" w14:textId="77777777" w:rsidR="00077621" w:rsidRPr="00532928" w:rsidRDefault="00077621" w:rsidP="00077621">
      <w:pPr>
        <w:jc w:val="center"/>
        <w:rPr>
          <w:rFonts w:ascii="Times New Roman" w:hAnsi="Times New Roman" w:cs="Times New Roman"/>
          <w:bCs/>
          <w:color w:val="000000"/>
          <w:sz w:val="24"/>
          <w:szCs w:val="24"/>
        </w:rPr>
      </w:pPr>
    </w:p>
    <w:p w14:paraId="49380A0F" w14:textId="77777777" w:rsidR="00077621" w:rsidRPr="00532928" w:rsidRDefault="00077621" w:rsidP="00077621">
      <w:pPr>
        <w:jc w:val="center"/>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Karalee Etheridge, California State University, Fullerton</w:t>
      </w:r>
    </w:p>
    <w:p w14:paraId="05E6ADCE" w14:textId="77777777" w:rsidR="00077621" w:rsidRPr="00532928" w:rsidRDefault="0063661E" w:rsidP="00077621">
      <w:pPr>
        <w:jc w:val="center"/>
        <w:rPr>
          <w:rFonts w:ascii="Times New Roman" w:hAnsi="Times New Roman" w:cs="Times New Roman"/>
          <w:bCs/>
          <w:color w:val="000000"/>
          <w:sz w:val="24"/>
          <w:szCs w:val="24"/>
        </w:rPr>
      </w:pPr>
      <w:hyperlink r:id="rId9" w:history="1">
        <w:r w:rsidR="00077621" w:rsidRPr="00532928">
          <w:rPr>
            <w:rStyle w:val="Hyperlink"/>
            <w:rFonts w:ascii="Times New Roman" w:hAnsi="Times New Roman" w:cs="Times New Roman"/>
            <w:bCs/>
            <w:sz w:val="24"/>
            <w:szCs w:val="24"/>
          </w:rPr>
          <w:t>ketheridge@fullerton.edu</w:t>
        </w:r>
      </w:hyperlink>
    </w:p>
    <w:p w14:paraId="7DA66ED4" w14:textId="77777777" w:rsidR="00077621" w:rsidRPr="00532928" w:rsidRDefault="00077621" w:rsidP="00077621">
      <w:pPr>
        <w:jc w:val="center"/>
        <w:rPr>
          <w:rFonts w:ascii="Times New Roman" w:hAnsi="Times New Roman" w:cs="Times New Roman"/>
          <w:bCs/>
          <w:color w:val="000000"/>
          <w:sz w:val="24"/>
          <w:szCs w:val="24"/>
        </w:rPr>
      </w:pPr>
    </w:p>
    <w:p w14:paraId="74F6C7A7" w14:textId="77777777" w:rsidR="00077621" w:rsidRPr="00532928" w:rsidRDefault="00077621" w:rsidP="00077621">
      <w:pPr>
        <w:jc w:val="center"/>
        <w:rPr>
          <w:rFonts w:ascii="Times New Roman" w:hAnsi="Times New Roman" w:cs="Times New Roman"/>
          <w:bCs/>
          <w:color w:val="000000"/>
          <w:sz w:val="24"/>
          <w:szCs w:val="24"/>
        </w:rPr>
      </w:pPr>
    </w:p>
    <w:p w14:paraId="3A564FA0" w14:textId="77777777" w:rsidR="00077621" w:rsidRPr="00532928" w:rsidRDefault="00077621" w:rsidP="00077621">
      <w:pPr>
        <w:jc w:val="center"/>
        <w:rPr>
          <w:rFonts w:ascii="Times New Roman" w:hAnsi="Times New Roman" w:cs="Times New Roman"/>
          <w:bCs/>
          <w:color w:val="000000"/>
          <w:sz w:val="24"/>
          <w:szCs w:val="24"/>
        </w:rPr>
      </w:pPr>
    </w:p>
    <w:p w14:paraId="1C396DA4" w14:textId="77777777" w:rsidR="00077621" w:rsidRPr="00532928" w:rsidRDefault="00077621" w:rsidP="00077621">
      <w:pPr>
        <w:jc w:val="center"/>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Prepared for the Western Political Science Association Annual Meeting, 2015</w:t>
      </w:r>
    </w:p>
    <w:p w14:paraId="622FEF1D" w14:textId="77777777" w:rsidR="00077621" w:rsidRPr="00532928" w:rsidRDefault="00077621" w:rsidP="00077621">
      <w:pPr>
        <w:jc w:val="center"/>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Las Vegas, Nevada</w:t>
      </w:r>
    </w:p>
    <w:p w14:paraId="63F510C3" w14:textId="77777777" w:rsidR="00077621" w:rsidRPr="00532928" w:rsidRDefault="00077621" w:rsidP="00077621">
      <w:pPr>
        <w:jc w:val="center"/>
        <w:rPr>
          <w:rFonts w:ascii="Times New Roman" w:hAnsi="Times New Roman" w:cs="Times New Roman"/>
          <w:bCs/>
          <w:color w:val="000000"/>
          <w:sz w:val="24"/>
          <w:szCs w:val="24"/>
        </w:rPr>
      </w:pPr>
    </w:p>
    <w:p w14:paraId="4B90F1E4" w14:textId="77777777" w:rsidR="00077621" w:rsidRPr="00532928" w:rsidRDefault="00077621" w:rsidP="00077621">
      <w:pPr>
        <w:jc w:val="center"/>
        <w:rPr>
          <w:rFonts w:ascii="Times New Roman" w:hAnsi="Times New Roman" w:cs="Times New Roman"/>
          <w:bCs/>
          <w:color w:val="000000"/>
          <w:sz w:val="24"/>
          <w:szCs w:val="24"/>
        </w:rPr>
      </w:pPr>
    </w:p>
    <w:p w14:paraId="129C84A2" w14:textId="77777777" w:rsidR="00077621" w:rsidRPr="00532928" w:rsidRDefault="00077621" w:rsidP="00077621">
      <w:pPr>
        <w:jc w:val="center"/>
        <w:rPr>
          <w:rFonts w:ascii="Times New Roman" w:hAnsi="Times New Roman" w:cs="Times New Roman"/>
          <w:bCs/>
          <w:color w:val="000000"/>
          <w:sz w:val="24"/>
          <w:szCs w:val="24"/>
        </w:rPr>
      </w:pPr>
    </w:p>
    <w:p w14:paraId="1998F54C" w14:textId="77777777" w:rsidR="00077621" w:rsidRPr="00532928" w:rsidRDefault="00077621" w:rsidP="00077621">
      <w:pPr>
        <w:jc w:val="center"/>
        <w:rPr>
          <w:rFonts w:ascii="Times New Roman" w:hAnsi="Times New Roman" w:cs="Times New Roman"/>
          <w:bCs/>
          <w:color w:val="000000"/>
          <w:sz w:val="24"/>
          <w:szCs w:val="24"/>
        </w:rPr>
      </w:pPr>
    </w:p>
    <w:p w14:paraId="1C07322A" w14:textId="77777777" w:rsidR="00077621" w:rsidRPr="00532928" w:rsidRDefault="00077621" w:rsidP="00077621">
      <w:pPr>
        <w:jc w:val="center"/>
        <w:rPr>
          <w:rFonts w:ascii="Times New Roman" w:hAnsi="Times New Roman" w:cs="Times New Roman"/>
          <w:bCs/>
          <w:color w:val="000000"/>
          <w:sz w:val="24"/>
          <w:szCs w:val="24"/>
        </w:rPr>
      </w:pPr>
    </w:p>
    <w:p w14:paraId="5B1C28A8" w14:textId="77777777" w:rsidR="00077621" w:rsidRPr="00532928" w:rsidRDefault="00077621" w:rsidP="00077621">
      <w:pPr>
        <w:jc w:val="center"/>
        <w:rPr>
          <w:rFonts w:ascii="Times New Roman" w:hAnsi="Times New Roman" w:cs="Times New Roman"/>
          <w:bCs/>
          <w:color w:val="000000"/>
          <w:sz w:val="24"/>
          <w:szCs w:val="24"/>
        </w:rPr>
      </w:pPr>
    </w:p>
    <w:p w14:paraId="6250A619" w14:textId="77777777" w:rsidR="00D71DA5" w:rsidRPr="00532928" w:rsidRDefault="00D71DA5" w:rsidP="00077621">
      <w:pPr>
        <w:jc w:val="center"/>
        <w:rPr>
          <w:rFonts w:ascii="Times New Roman" w:hAnsi="Times New Roman" w:cs="Times New Roman"/>
          <w:bCs/>
          <w:color w:val="000000"/>
          <w:sz w:val="24"/>
          <w:szCs w:val="24"/>
        </w:rPr>
      </w:pPr>
    </w:p>
    <w:p w14:paraId="4B00EA98" w14:textId="77777777" w:rsidR="00D71DA5" w:rsidRPr="00532928" w:rsidRDefault="00D71DA5" w:rsidP="00077621">
      <w:pPr>
        <w:jc w:val="center"/>
        <w:rPr>
          <w:rFonts w:ascii="Times New Roman" w:hAnsi="Times New Roman" w:cs="Times New Roman"/>
          <w:bCs/>
          <w:color w:val="000000"/>
          <w:sz w:val="24"/>
          <w:szCs w:val="24"/>
        </w:rPr>
      </w:pPr>
    </w:p>
    <w:p w14:paraId="7D349711" w14:textId="77777777" w:rsidR="00D71DA5" w:rsidRPr="00532928" w:rsidRDefault="00D71DA5" w:rsidP="00077621">
      <w:pPr>
        <w:jc w:val="center"/>
        <w:rPr>
          <w:rFonts w:ascii="Times New Roman" w:hAnsi="Times New Roman" w:cs="Times New Roman"/>
          <w:bCs/>
          <w:color w:val="000000"/>
          <w:sz w:val="24"/>
          <w:szCs w:val="24"/>
        </w:rPr>
      </w:pPr>
    </w:p>
    <w:p w14:paraId="758A9A9A" w14:textId="77777777" w:rsidR="00077621" w:rsidRPr="00532928" w:rsidRDefault="00AD7800" w:rsidP="00AD7800">
      <w:pPr>
        <w:rPr>
          <w:rFonts w:ascii="Times New Roman" w:hAnsi="Times New Roman" w:cs="Times New Roman"/>
          <w:b/>
          <w:bCs/>
          <w:color w:val="000000"/>
          <w:sz w:val="24"/>
          <w:szCs w:val="24"/>
        </w:rPr>
      </w:pPr>
      <w:r w:rsidRPr="00532928">
        <w:rPr>
          <w:rFonts w:ascii="Times New Roman" w:hAnsi="Times New Roman" w:cs="Times New Roman"/>
          <w:b/>
          <w:bCs/>
          <w:color w:val="000000"/>
          <w:sz w:val="24"/>
          <w:szCs w:val="24"/>
        </w:rPr>
        <w:lastRenderedPageBreak/>
        <w:t>Introduction</w:t>
      </w:r>
    </w:p>
    <w:p w14:paraId="75FCFBE8" w14:textId="77777777" w:rsidR="00AD55AB" w:rsidRPr="00532928" w:rsidRDefault="00AD7800" w:rsidP="0025665C">
      <w:pPr>
        <w:spacing w:line="480" w:lineRule="auto"/>
        <w:rPr>
          <w:rFonts w:ascii="Times New Roman" w:hAnsi="Times New Roman" w:cs="Times New Roman"/>
          <w:bCs/>
          <w:color w:val="000000"/>
          <w:sz w:val="24"/>
          <w:szCs w:val="24"/>
        </w:rPr>
      </w:pPr>
      <w:r w:rsidRPr="00532928">
        <w:rPr>
          <w:rFonts w:ascii="Times New Roman" w:hAnsi="Times New Roman" w:cs="Times New Roman"/>
          <w:b/>
          <w:bCs/>
          <w:color w:val="000000"/>
          <w:sz w:val="24"/>
          <w:szCs w:val="24"/>
        </w:rPr>
        <w:tab/>
      </w:r>
      <w:r w:rsidRPr="00532928">
        <w:rPr>
          <w:rFonts w:ascii="Times New Roman" w:hAnsi="Times New Roman" w:cs="Times New Roman"/>
          <w:bCs/>
          <w:color w:val="000000"/>
          <w:sz w:val="24"/>
          <w:szCs w:val="24"/>
        </w:rPr>
        <w:t>In 2012, the White House held a national conference on “Civic Learning and Engagement for Democracy’s Future,” organized by the Department of Education, the American Association of Colleges and Universities (AAC&amp;U) and the Global Perspectives Institute, Inc.  The conference focused on two r</w:t>
      </w:r>
      <w:r w:rsidR="00744D40" w:rsidRPr="00532928">
        <w:rPr>
          <w:rFonts w:ascii="Times New Roman" w:hAnsi="Times New Roman" w:cs="Times New Roman"/>
          <w:bCs/>
          <w:color w:val="000000"/>
          <w:sz w:val="24"/>
          <w:szCs w:val="24"/>
        </w:rPr>
        <w:t xml:space="preserve">eports: </w:t>
      </w:r>
      <w:r w:rsidRPr="00532928">
        <w:rPr>
          <w:rFonts w:ascii="Times New Roman" w:hAnsi="Times New Roman" w:cs="Times New Roman"/>
          <w:bCs/>
          <w:i/>
          <w:color w:val="000000"/>
          <w:sz w:val="24"/>
          <w:szCs w:val="24"/>
        </w:rPr>
        <w:t>The Crucible Moment: College Learning and Democracy’s Future</w:t>
      </w:r>
      <w:r w:rsidRPr="00532928">
        <w:rPr>
          <w:rFonts w:ascii="Times New Roman" w:hAnsi="Times New Roman" w:cs="Times New Roman"/>
          <w:bCs/>
          <w:color w:val="000000"/>
          <w:sz w:val="24"/>
          <w:szCs w:val="24"/>
        </w:rPr>
        <w:t>, which lays out a framework for civics education</w:t>
      </w:r>
      <w:r w:rsidR="00744D40" w:rsidRPr="00532928">
        <w:rPr>
          <w:rFonts w:ascii="Times New Roman" w:hAnsi="Times New Roman" w:cs="Times New Roman"/>
          <w:bCs/>
          <w:color w:val="000000"/>
          <w:sz w:val="24"/>
          <w:szCs w:val="24"/>
        </w:rPr>
        <w:t xml:space="preserve"> through the university level, and </w:t>
      </w:r>
      <w:r w:rsidR="00744D40" w:rsidRPr="00532928">
        <w:rPr>
          <w:rFonts w:ascii="Times New Roman" w:hAnsi="Times New Roman" w:cs="Times New Roman"/>
          <w:bCs/>
          <w:i/>
          <w:color w:val="000000"/>
          <w:sz w:val="24"/>
          <w:szCs w:val="24"/>
        </w:rPr>
        <w:t xml:space="preserve">Advancing Civic Learning and Engagement in Democracy, </w:t>
      </w:r>
      <w:r w:rsidR="00744D40" w:rsidRPr="00532928">
        <w:rPr>
          <w:rFonts w:ascii="Times New Roman" w:hAnsi="Times New Roman" w:cs="Times New Roman"/>
          <w:bCs/>
          <w:color w:val="000000"/>
          <w:sz w:val="24"/>
          <w:szCs w:val="24"/>
        </w:rPr>
        <w:t>which identifies a plan for the Department of Education’s involvement in making civic education a national priority</w:t>
      </w:r>
      <w:r w:rsidR="00D6573A" w:rsidRPr="00532928">
        <w:rPr>
          <w:rFonts w:ascii="Times New Roman" w:hAnsi="Times New Roman" w:cs="Times New Roman"/>
          <w:bCs/>
          <w:color w:val="000000"/>
          <w:sz w:val="24"/>
          <w:szCs w:val="24"/>
        </w:rPr>
        <w:t xml:space="preserve"> (</w:t>
      </w:r>
      <w:proofErr w:type="spellStart"/>
      <w:r w:rsidR="00D6573A" w:rsidRPr="00532928">
        <w:rPr>
          <w:rFonts w:ascii="Times New Roman" w:hAnsi="Times New Roman" w:cs="Times New Roman"/>
          <w:bCs/>
          <w:color w:val="000000"/>
          <w:sz w:val="24"/>
          <w:szCs w:val="24"/>
        </w:rPr>
        <w:t>Kanter</w:t>
      </w:r>
      <w:proofErr w:type="spellEnd"/>
      <w:r w:rsidR="00D6573A" w:rsidRPr="00532928">
        <w:rPr>
          <w:rFonts w:ascii="Times New Roman" w:hAnsi="Times New Roman" w:cs="Times New Roman"/>
          <w:bCs/>
          <w:color w:val="000000"/>
          <w:sz w:val="24"/>
          <w:szCs w:val="24"/>
        </w:rPr>
        <w:t xml:space="preserve"> and Schneider 2013)</w:t>
      </w:r>
      <w:r w:rsidR="00744D40" w:rsidRPr="00532928">
        <w:rPr>
          <w:rFonts w:ascii="Times New Roman" w:hAnsi="Times New Roman" w:cs="Times New Roman"/>
          <w:bCs/>
          <w:color w:val="000000"/>
          <w:sz w:val="24"/>
          <w:szCs w:val="24"/>
        </w:rPr>
        <w:t>.</w:t>
      </w:r>
      <w:r w:rsidR="00097B13" w:rsidRPr="00532928">
        <w:rPr>
          <w:rFonts w:ascii="Times New Roman" w:hAnsi="Times New Roman" w:cs="Times New Roman"/>
          <w:bCs/>
          <w:color w:val="000000"/>
          <w:sz w:val="24"/>
          <w:szCs w:val="24"/>
        </w:rPr>
        <w:t xml:space="preserve"> This</w:t>
      </w:r>
      <w:r w:rsidR="00D82ADB" w:rsidRPr="00532928">
        <w:rPr>
          <w:rFonts w:ascii="Times New Roman" w:hAnsi="Times New Roman" w:cs="Times New Roman"/>
          <w:bCs/>
          <w:color w:val="000000"/>
          <w:sz w:val="24"/>
          <w:szCs w:val="24"/>
        </w:rPr>
        <w:t xml:space="preserve"> renewed attention for an old idea – civic education –</w:t>
      </w:r>
      <w:r w:rsidR="00097B13" w:rsidRPr="00532928">
        <w:rPr>
          <w:rFonts w:ascii="Times New Roman" w:hAnsi="Times New Roman" w:cs="Times New Roman"/>
          <w:bCs/>
          <w:color w:val="000000"/>
          <w:sz w:val="24"/>
          <w:szCs w:val="24"/>
        </w:rPr>
        <w:t xml:space="preserve"> is in part an effort to counter the slow </w:t>
      </w:r>
      <w:r w:rsidR="00D82ADB" w:rsidRPr="00532928">
        <w:rPr>
          <w:rFonts w:ascii="Times New Roman" w:hAnsi="Times New Roman" w:cs="Times New Roman"/>
          <w:bCs/>
          <w:color w:val="000000"/>
          <w:sz w:val="24"/>
          <w:szCs w:val="24"/>
        </w:rPr>
        <w:t xml:space="preserve">post-war decline </w:t>
      </w:r>
      <w:r w:rsidR="00FF5C3F" w:rsidRPr="00532928">
        <w:rPr>
          <w:rFonts w:ascii="Times New Roman" w:hAnsi="Times New Roman" w:cs="Times New Roman"/>
          <w:bCs/>
          <w:color w:val="000000"/>
          <w:sz w:val="24"/>
          <w:szCs w:val="24"/>
        </w:rPr>
        <w:t xml:space="preserve">in </w:t>
      </w:r>
      <w:r w:rsidR="00136831" w:rsidRPr="00532928">
        <w:rPr>
          <w:rFonts w:ascii="Times New Roman" w:hAnsi="Times New Roman" w:cs="Times New Roman"/>
          <w:bCs/>
          <w:color w:val="000000"/>
          <w:sz w:val="24"/>
          <w:szCs w:val="24"/>
        </w:rPr>
        <w:t xml:space="preserve">social capital and </w:t>
      </w:r>
      <w:r w:rsidR="00FF5C3F" w:rsidRPr="00532928">
        <w:rPr>
          <w:rFonts w:ascii="Times New Roman" w:hAnsi="Times New Roman" w:cs="Times New Roman"/>
          <w:bCs/>
          <w:color w:val="000000"/>
          <w:sz w:val="24"/>
          <w:szCs w:val="24"/>
        </w:rPr>
        <w:t>civic engagement (Putnam 2000</w:t>
      </w:r>
      <w:r w:rsidR="00D82ADB" w:rsidRPr="00532928">
        <w:rPr>
          <w:rFonts w:ascii="Times New Roman" w:hAnsi="Times New Roman" w:cs="Times New Roman"/>
          <w:bCs/>
          <w:color w:val="000000"/>
          <w:sz w:val="24"/>
          <w:szCs w:val="24"/>
        </w:rPr>
        <w:t xml:space="preserve">; </w:t>
      </w:r>
      <w:proofErr w:type="spellStart"/>
      <w:r w:rsidR="00075AD4" w:rsidRPr="00532928">
        <w:rPr>
          <w:rFonts w:ascii="Times New Roman" w:hAnsi="Times New Roman" w:cs="Times New Roman"/>
          <w:bCs/>
          <w:color w:val="000000"/>
          <w:sz w:val="24"/>
          <w:szCs w:val="24"/>
        </w:rPr>
        <w:t>Skocpol</w:t>
      </w:r>
      <w:proofErr w:type="spellEnd"/>
      <w:r w:rsidR="00075AD4" w:rsidRPr="00532928">
        <w:rPr>
          <w:rFonts w:ascii="Times New Roman" w:hAnsi="Times New Roman" w:cs="Times New Roman"/>
          <w:bCs/>
          <w:color w:val="000000"/>
          <w:sz w:val="24"/>
          <w:szCs w:val="24"/>
        </w:rPr>
        <w:t xml:space="preserve"> 2003</w:t>
      </w:r>
      <w:r w:rsidR="00097B13" w:rsidRPr="00532928">
        <w:rPr>
          <w:rFonts w:ascii="Times New Roman" w:hAnsi="Times New Roman" w:cs="Times New Roman"/>
          <w:bCs/>
          <w:color w:val="000000"/>
          <w:sz w:val="24"/>
          <w:szCs w:val="24"/>
        </w:rPr>
        <w:t xml:space="preserve">). </w:t>
      </w:r>
      <w:r w:rsidR="00D6573A" w:rsidRPr="00532928">
        <w:rPr>
          <w:rFonts w:ascii="Times New Roman" w:hAnsi="Times New Roman" w:cs="Times New Roman"/>
          <w:bCs/>
          <w:color w:val="000000"/>
          <w:sz w:val="24"/>
          <w:szCs w:val="24"/>
        </w:rPr>
        <w:t xml:space="preserve"> It also responds to declining levels of voter participation and civic knowledge more generally (National Task Force on Civic Learning and Democratic Engagement 2012).  In the last decade, a number of organizations have embraced civic education approaches of varying types: Campus Compact</w:t>
      </w:r>
      <w:r w:rsidR="00136831" w:rsidRPr="00532928">
        <w:rPr>
          <w:rFonts w:ascii="Times New Roman" w:hAnsi="Times New Roman" w:cs="Times New Roman"/>
          <w:bCs/>
          <w:color w:val="000000"/>
          <w:sz w:val="24"/>
          <w:szCs w:val="24"/>
        </w:rPr>
        <w:t>, a consortium of more than a thousand universities and colleges; the American Democracy Project (ADP); the AAC&amp;U’s Core Commitments program; and the American Association of State Colleges and Universities’ Civic Indicators Project are just a few of the more prominent ones</w:t>
      </w:r>
      <w:r w:rsidR="00136D1A" w:rsidRPr="00532928">
        <w:rPr>
          <w:rFonts w:ascii="Times New Roman" w:hAnsi="Times New Roman" w:cs="Times New Roman"/>
          <w:bCs/>
          <w:color w:val="000000"/>
          <w:sz w:val="24"/>
          <w:szCs w:val="24"/>
        </w:rPr>
        <w:t xml:space="preserve"> (Flanagan and Levine 2010, pp. 169-70)</w:t>
      </w:r>
      <w:r w:rsidR="00AD55AB" w:rsidRPr="00532928">
        <w:rPr>
          <w:rFonts w:ascii="Times New Roman" w:hAnsi="Times New Roman" w:cs="Times New Roman"/>
          <w:bCs/>
          <w:color w:val="000000"/>
          <w:sz w:val="24"/>
          <w:szCs w:val="24"/>
        </w:rPr>
        <w:t xml:space="preserve">.   </w:t>
      </w:r>
    </w:p>
    <w:p w14:paraId="0EC7E313" w14:textId="62934F6A" w:rsidR="00DB2A05" w:rsidRPr="00532928" w:rsidRDefault="00AD55AB" w:rsidP="00AD55AB">
      <w:pPr>
        <w:spacing w:line="480" w:lineRule="auto"/>
        <w:ind w:firstLine="720"/>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Political science has been at the forefront of the development of higher education programs focused on civic engagement.</w:t>
      </w:r>
      <w:r w:rsidR="001A23AD" w:rsidRPr="00532928">
        <w:rPr>
          <w:rFonts w:ascii="Times New Roman" w:hAnsi="Times New Roman" w:cs="Times New Roman"/>
          <w:bCs/>
          <w:color w:val="000000"/>
          <w:sz w:val="24"/>
          <w:szCs w:val="24"/>
        </w:rPr>
        <w:t xml:space="preserve"> </w:t>
      </w:r>
      <w:r w:rsidR="00F70A53" w:rsidRPr="00532928">
        <w:rPr>
          <w:rFonts w:ascii="Times New Roman" w:hAnsi="Times New Roman" w:cs="Times New Roman"/>
          <w:bCs/>
          <w:color w:val="000000"/>
          <w:sz w:val="24"/>
          <w:szCs w:val="24"/>
        </w:rPr>
        <w:t>In 2013, The American Political Science Association (APSA)</w:t>
      </w:r>
      <w:r w:rsidRPr="00532928">
        <w:rPr>
          <w:rFonts w:ascii="Times New Roman" w:hAnsi="Times New Roman" w:cs="Times New Roman"/>
          <w:bCs/>
          <w:color w:val="000000"/>
          <w:sz w:val="24"/>
          <w:szCs w:val="24"/>
        </w:rPr>
        <w:t xml:space="preserve"> published </w:t>
      </w:r>
      <w:r w:rsidRPr="00532928">
        <w:rPr>
          <w:rFonts w:ascii="Times New Roman" w:hAnsi="Times New Roman" w:cs="Times New Roman"/>
          <w:bCs/>
          <w:i/>
          <w:color w:val="000000"/>
          <w:sz w:val="24"/>
          <w:szCs w:val="24"/>
        </w:rPr>
        <w:t>Teaching Civic Engagement: From Student to Active Citizen</w:t>
      </w:r>
      <w:r w:rsidRPr="00532928">
        <w:rPr>
          <w:rFonts w:ascii="Times New Roman" w:hAnsi="Times New Roman" w:cs="Times New Roman"/>
          <w:bCs/>
          <w:color w:val="000000"/>
          <w:sz w:val="24"/>
          <w:szCs w:val="24"/>
        </w:rPr>
        <w:t>, an edited volume gathering the work of 27 political scientists exploring a broad array of approaches for connecting students to public affairs in meaningful ways</w:t>
      </w:r>
      <w:r w:rsidR="001A23AD" w:rsidRPr="00532928">
        <w:rPr>
          <w:rFonts w:ascii="Times New Roman" w:hAnsi="Times New Roman" w:cs="Times New Roman"/>
          <w:bCs/>
          <w:color w:val="000000"/>
          <w:sz w:val="24"/>
          <w:szCs w:val="24"/>
        </w:rPr>
        <w:t xml:space="preserve"> that leave </w:t>
      </w:r>
      <w:r w:rsidRPr="00532928">
        <w:rPr>
          <w:rFonts w:ascii="Times New Roman" w:hAnsi="Times New Roman" w:cs="Times New Roman"/>
          <w:bCs/>
          <w:color w:val="000000"/>
          <w:sz w:val="24"/>
          <w:szCs w:val="24"/>
        </w:rPr>
        <w:t>lasting impression</w:t>
      </w:r>
      <w:r w:rsidR="001A23AD" w:rsidRPr="00532928">
        <w:rPr>
          <w:rFonts w:ascii="Times New Roman" w:hAnsi="Times New Roman" w:cs="Times New Roman"/>
          <w:bCs/>
          <w:color w:val="000000"/>
          <w:sz w:val="24"/>
          <w:szCs w:val="24"/>
        </w:rPr>
        <w:t>s</w:t>
      </w:r>
      <w:r w:rsidRPr="00532928">
        <w:rPr>
          <w:rFonts w:ascii="Times New Roman" w:hAnsi="Times New Roman" w:cs="Times New Roman"/>
          <w:bCs/>
          <w:color w:val="000000"/>
          <w:sz w:val="24"/>
          <w:szCs w:val="24"/>
        </w:rPr>
        <w:t xml:space="preserve">.  This was only the most recent culmination of a two-decade focus of the APSA on civic engagement, </w:t>
      </w:r>
      <w:r w:rsidRPr="00532928">
        <w:rPr>
          <w:rFonts w:ascii="Times New Roman" w:hAnsi="Times New Roman" w:cs="Times New Roman"/>
          <w:bCs/>
          <w:color w:val="000000"/>
          <w:sz w:val="24"/>
          <w:szCs w:val="24"/>
        </w:rPr>
        <w:lastRenderedPageBreak/>
        <w:t xml:space="preserve">launched by </w:t>
      </w:r>
      <w:r w:rsidR="00511335" w:rsidRPr="00532928">
        <w:rPr>
          <w:rFonts w:ascii="Times New Roman" w:hAnsi="Times New Roman" w:cs="Times New Roman"/>
          <w:bCs/>
          <w:color w:val="000000"/>
          <w:sz w:val="24"/>
          <w:szCs w:val="24"/>
        </w:rPr>
        <w:t xml:space="preserve">the </w:t>
      </w:r>
      <w:r w:rsidRPr="00532928">
        <w:rPr>
          <w:rFonts w:ascii="Times New Roman" w:hAnsi="Times New Roman" w:cs="Times New Roman"/>
          <w:bCs/>
          <w:color w:val="000000"/>
          <w:sz w:val="24"/>
          <w:szCs w:val="24"/>
        </w:rPr>
        <w:t xml:space="preserve">APSA’s President </w:t>
      </w:r>
      <w:proofErr w:type="spellStart"/>
      <w:r w:rsidRPr="00532928">
        <w:rPr>
          <w:rFonts w:ascii="Times New Roman" w:hAnsi="Times New Roman" w:cs="Times New Roman"/>
          <w:bCs/>
          <w:color w:val="000000"/>
          <w:sz w:val="24"/>
          <w:szCs w:val="24"/>
        </w:rPr>
        <w:t>Elinor</w:t>
      </w:r>
      <w:proofErr w:type="spellEnd"/>
      <w:r w:rsidRPr="00532928">
        <w:rPr>
          <w:rFonts w:ascii="Times New Roman" w:hAnsi="Times New Roman" w:cs="Times New Roman"/>
          <w:bCs/>
          <w:color w:val="000000"/>
          <w:sz w:val="24"/>
          <w:szCs w:val="24"/>
        </w:rPr>
        <w:t xml:space="preserve"> </w:t>
      </w:r>
      <w:proofErr w:type="spellStart"/>
      <w:r w:rsidRPr="00532928">
        <w:rPr>
          <w:rFonts w:ascii="Times New Roman" w:hAnsi="Times New Roman" w:cs="Times New Roman"/>
          <w:bCs/>
          <w:color w:val="000000"/>
          <w:sz w:val="24"/>
          <w:szCs w:val="24"/>
        </w:rPr>
        <w:t>Ostrom</w:t>
      </w:r>
      <w:proofErr w:type="spellEnd"/>
      <w:r w:rsidRPr="00532928">
        <w:rPr>
          <w:rFonts w:ascii="Times New Roman" w:hAnsi="Times New Roman" w:cs="Times New Roman"/>
          <w:bCs/>
          <w:color w:val="000000"/>
          <w:sz w:val="24"/>
          <w:szCs w:val="24"/>
        </w:rPr>
        <w:t xml:space="preserve"> in 1996.  In her presidential address that year, </w:t>
      </w:r>
      <w:proofErr w:type="spellStart"/>
      <w:r w:rsidRPr="00532928">
        <w:rPr>
          <w:rFonts w:ascii="Times New Roman" w:hAnsi="Times New Roman" w:cs="Times New Roman"/>
          <w:bCs/>
          <w:color w:val="000000"/>
          <w:sz w:val="24"/>
          <w:szCs w:val="24"/>
        </w:rPr>
        <w:t>Ostrom</w:t>
      </w:r>
      <w:proofErr w:type="spellEnd"/>
      <w:r w:rsidRPr="00532928">
        <w:rPr>
          <w:rFonts w:ascii="Times New Roman" w:hAnsi="Times New Roman" w:cs="Times New Roman"/>
          <w:bCs/>
          <w:color w:val="000000"/>
          <w:sz w:val="24"/>
          <w:szCs w:val="24"/>
        </w:rPr>
        <w:t xml:space="preserve"> </w:t>
      </w:r>
      <w:r w:rsidR="007A4223" w:rsidRPr="00532928">
        <w:rPr>
          <w:rFonts w:ascii="Times New Roman" w:hAnsi="Times New Roman" w:cs="Times New Roman"/>
          <w:bCs/>
          <w:color w:val="000000"/>
          <w:sz w:val="24"/>
          <w:szCs w:val="24"/>
        </w:rPr>
        <w:t>launched a new APSA Task Force on Civic Education for the 21</w:t>
      </w:r>
      <w:r w:rsidR="007A4223" w:rsidRPr="00532928">
        <w:rPr>
          <w:rFonts w:ascii="Times New Roman" w:hAnsi="Times New Roman" w:cs="Times New Roman"/>
          <w:bCs/>
          <w:color w:val="000000"/>
          <w:sz w:val="24"/>
          <w:szCs w:val="24"/>
          <w:vertAlign w:val="superscript"/>
        </w:rPr>
        <w:t>st</w:t>
      </w:r>
      <w:r w:rsidR="007A4223" w:rsidRPr="00532928">
        <w:rPr>
          <w:rFonts w:ascii="Times New Roman" w:hAnsi="Times New Roman" w:cs="Times New Roman"/>
          <w:bCs/>
          <w:color w:val="000000"/>
          <w:sz w:val="24"/>
          <w:szCs w:val="24"/>
        </w:rPr>
        <w:t xml:space="preserve"> Century (</w:t>
      </w:r>
      <w:r w:rsidR="00DB2A05" w:rsidRPr="00532928">
        <w:rPr>
          <w:rFonts w:ascii="Times New Roman" w:hAnsi="Times New Roman" w:cs="Times New Roman"/>
          <w:bCs/>
          <w:color w:val="000000"/>
          <w:sz w:val="24"/>
          <w:szCs w:val="24"/>
        </w:rPr>
        <w:t xml:space="preserve">Task Force 1997).  Since then there has been an explosion of activity in creating new ways to engage students in public affairs, through innovations in service learning and other pedagogies incorporated in political science courses and in broader campus initiatives (McCartney, </w:t>
      </w:r>
      <w:proofErr w:type="spellStart"/>
      <w:r w:rsidR="00DB2A05" w:rsidRPr="00532928">
        <w:rPr>
          <w:rFonts w:ascii="Times New Roman" w:hAnsi="Times New Roman" w:cs="Times New Roman"/>
          <w:bCs/>
          <w:color w:val="000000"/>
          <w:sz w:val="24"/>
          <w:szCs w:val="24"/>
        </w:rPr>
        <w:t>Bennion</w:t>
      </w:r>
      <w:proofErr w:type="spellEnd"/>
      <w:r w:rsidR="00DB2A05" w:rsidRPr="00532928">
        <w:rPr>
          <w:rFonts w:ascii="Times New Roman" w:hAnsi="Times New Roman" w:cs="Times New Roman"/>
          <w:bCs/>
          <w:color w:val="000000"/>
          <w:sz w:val="24"/>
          <w:szCs w:val="24"/>
        </w:rPr>
        <w:t xml:space="preserve"> and Simpson 2013, Preface).  Despite the variety of approaches, </w:t>
      </w:r>
      <w:r w:rsidR="00511335" w:rsidRPr="00532928">
        <w:rPr>
          <w:rFonts w:ascii="Times New Roman" w:hAnsi="Times New Roman" w:cs="Times New Roman"/>
          <w:bCs/>
          <w:color w:val="000000"/>
          <w:sz w:val="24"/>
          <w:szCs w:val="24"/>
        </w:rPr>
        <w:t xml:space="preserve">a unifying theme is </w:t>
      </w:r>
      <w:r w:rsidR="00DB2A05" w:rsidRPr="00532928">
        <w:rPr>
          <w:rFonts w:ascii="Times New Roman" w:hAnsi="Times New Roman" w:cs="Times New Roman"/>
          <w:bCs/>
          <w:color w:val="000000"/>
          <w:sz w:val="24"/>
          <w:szCs w:val="24"/>
        </w:rPr>
        <w:t xml:space="preserve">that political science as a discipline should take a leadership role in shaping new efforts to engage students in public affairs.  </w:t>
      </w:r>
    </w:p>
    <w:p w14:paraId="2462B98B" w14:textId="24C7E8EF" w:rsidR="003F48B2" w:rsidRPr="00532928" w:rsidRDefault="00DB2A05" w:rsidP="004E3038">
      <w:pPr>
        <w:spacing w:line="480" w:lineRule="auto"/>
        <w:ind w:firstLine="720"/>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 xml:space="preserve">We argue that the introductory course in American Politics presents an exciting vehicle for this work.  </w:t>
      </w:r>
      <w:r w:rsidR="00AD55AB" w:rsidRPr="00532928">
        <w:rPr>
          <w:rFonts w:ascii="Times New Roman" w:hAnsi="Times New Roman" w:cs="Times New Roman"/>
          <w:bCs/>
          <w:color w:val="000000"/>
          <w:sz w:val="24"/>
          <w:szCs w:val="24"/>
        </w:rPr>
        <w:t>W</w:t>
      </w:r>
      <w:r w:rsidR="00136831" w:rsidRPr="00532928">
        <w:rPr>
          <w:rFonts w:ascii="Times New Roman" w:hAnsi="Times New Roman" w:cs="Times New Roman"/>
          <w:bCs/>
          <w:color w:val="000000"/>
          <w:sz w:val="24"/>
          <w:szCs w:val="24"/>
        </w:rPr>
        <w:t>hat could be more central to the mission of renewing attention to civic engagement in higher education than the involvement of political science faculty teaching introductory courses in American politics to millions of young people every year?</w:t>
      </w:r>
      <w:r w:rsidR="000C6A16" w:rsidRPr="00532928">
        <w:rPr>
          <w:rStyle w:val="EndnoteReference"/>
          <w:rFonts w:ascii="Times New Roman" w:hAnsi="Times New Roman" w:cs="Times New Roman"/>
          <w:bCs/>
          <w:color w:val="000000"/>
          <w:sz w:val="24"/>
          <w:szCs w:val="24"/>
        </w:rPr>
        <w:endnoteReference w:id="1"/>
      </w:r>
      <w:r w:rsidR="00136831" w:rsidRPr="00532928">
        <w:rPr>
          <w:rFonts w:ascii="Times New Roman" w:hAnsi="Times New Roman" w:cs="Times New Roman"/>
          <w:bCs/>
          <w:color w:val="000000"/>
          <w:sz w:val="24"/>
          <w:szCs w:val="24"/>
        </w:rPr>
        <w:t xml:space="preserve">  </w:t>
      </w:r>
      <w:r w:rsidR="004E3038" w:rsidRPr="00532928">
        <w:rPr>
          <w:rFonts w:ascii="Times New Roman" w:hAnsi="Times New Roman" w:cs="Times New Roman"/>
          <w:bCs/>
          <w:color w:val="000000"/>
          <w:sz w:val="24"/>
          <w:szCs w:val="24"/>
        </w:rPr>
        <w:t>A</w:t>
      </w:r>
      <w:r w:rsidR="00136831" w:rsidRPr="00532928">
        <w:rPr>
          <w:rFonts w:ascii="Times New Roman" w:hAnsi="Times New Roman" w:cs="Times New Roman"/>
          <w:bCs/>
          <w:color w:val="000000"/>
          <w:sz w:val="24"/>
          <w:szCs w:val="24"/>
        </w:rPr>
        <w:t>t California State University, Fullerton</w:t>
      </w:r>
      <w:r w:rsidR="0025665C" w:rsidRPr="00532928">
        <w:rPr>
          <w:rFonts w:ascii="Times New Roman" w:hAnsi="Times New Roman" w:cs="Times New Roman"/>
          <w:bCs/>
          <w:color w:val="000000"/>
          <w:sz w:val="24"/>
          <w:szCs w:val="24"/>
        </w:rPr>
        <w:t xml:space="preserve"> (CSUF)</w:t>
      </w:r>
      <w:r w:rsidR="00136831" w:rsidRPr="00532928">
        <w:rPr>
          <w:rFonts w:ascii="Times New Roman" w:hAnsi="Times New Roman" w:cs="Times New Roman"/>
          <w:bCs/>
          <w:color w:val="000000"/>
          <w:sz w:val="24"/>
          <w:szCs w:val="24"/>
        </w:rPr>
        <w:t xml:space="preserve">, </w:t>
      </w:r>
      <w:r w:rsidR="00136D1A" w:rsidRPr="00532928">
        <w:rPr>
          <w:rFonts w:ascii="Times New Roman" w:hAnsi="Times New Roman" w:cs="Times New Roman"/>
          <w:bCs/>
          <w:color w:val="000000"/>
          <w:sz w:val="24"/>
          <w:szCs w:val="24"/>
        </w:rPr>
        <w:t xml:space="preserve">several </w:t>
      </w:r>
      <w:r w:rsidR="00136831" w:rsidRPr="00532928">
        <w:rPr>
          <w:rFonts w:ascii="Times New Roman" w:hAnsi="Times New Roman" w:cs="Times New Roman"/>
          <w:bCs/>
          <w:color w:val="000000"/>
          <w:sz w:val="24"/>
          <w:szCs w:val="24"/>
        </w:rPr>
        <w:t>politi</w:t>
      </w:r>
      <w:r w:rsidR="00136D1A" w:rsidRPr="00532928">
        <w:rPr>
          <w:rFonts w:ascii="Times New Roman" w:hAnsi="Times New Roman" w:cs="Times New Roman"/>
          <w:bCs/>
          <w:color w:val="000000"/>
          <w:sz w:val="24"/>
          <w:szCs w:val="24"/>
        </w:rPr>
        <w:t>cal science faculty teaching introductory American Government courses have inco</w:t>
      </w:r>
      <w:r w:rsidR="00626FBB" w:rsidRPr="00532928">
        <w:rPr>
          <w:rFonts w:ascii="Times New Roman" w:hAnsi="Times New Roman" w:cs="Times New Roman"/>
          <w:bCs/>
          <w:color w:val="000000"/>
          <w:sz w:val="24"/>
          <w:szCs w:val="24"/>
        </w:rPr>
        <w:t xml:space="preserve">rporated a </w:t>
      </w:r>
      <w:r w:rsidR="00626FBB" w:rsidRPr="00532928">
        <w:rPr>
          <w:rFonts w:ascii="Times New Roman" w:hAnsi="Times New Roman" w:cs="Times New Roman"/>
          <w:bCs/>
          <w:i/>
          <w:color w:val="000000"/>
          <w:sz w:val="24"/>
          <w:szCs w:val="24"/>
        </w:rPr>
        <w:t xml:space="preserve">Town Hall Meeting </w:t>
      </w:r>
      <w:r w:rsidR="00626FBB" w:rsidRPr="00532928">
        <w:rPr>
          <w:rFonts w:ascii="Times New Roman" w:hAnsi="Times New Roman" w:cs="Times New Roman"/>
          <w:bCs/>
          <w:color w:val="000000"/>
          <w:sz w:val="24"/>
          <w:szCs w:val="24"/>
        </w:rPr>
        <w:t>(THM) program as a conscious effort to make civic engagement a priority in their political science instruction.  This paper reviews the progress of this project, analyzing a survey of s</w:t>
      </w:r>
      <w:r w:rsidR="0025665C" w:rsidRPr="00532928">
        <w:rPr>
          <w:rFonts w:ascii="Times New Roman" w:hAnsi="Times New Roman" w:cs="Times New Roman"/>
          <w:bCs/>
          <w:color w:val="000000"/>
          <w:sz w:val="24"/>
          <w:szCs w:val="24"/>
        </w:rPr>
        <w:t xml:space="preserve">tudents enrolled in the program </w:t>
      </w:r>
      <w:r w:rsidR="0082406F" w:rsidRPr="00532928">
        <w:rPr>
          <w:rFonts w:ascii="Times New Roman" w:hAnsi="Times New Roman" w:cs="Times New Roman"/>
          <w:bCs/>
          <w:color w:val="000000"/>
          <w:sz w:val="24"/>
          <w:szCs w:val="24"/>
        </w:rPr>
        <w:t xml:space="preserve">and of other students in Introduction to American Politics courses without the THM program.  It also employs institutional research </w:t>
      </w:r>
      <w:r w:rsidR="0025665C" w:rsidRPr="00532928">
        <w:rPr>
          <w:rFonts w:ascii="Times New Roman" w:hAnsi="Times New Roman" w:cs="Times New Roman"/>
          <w:bCs/>
          <w:color w:val="000000"/>
          <w:sz w:val="24"/>
          <w:szCs w:val="24"/>
        </w:rPr>
        <w:t xml:space="preserve">data on </w:t>
      </w:r>
      <w:r w:rsidR="0082406F" w:rsidRPr="00532928">
        <w:rPr>
          <w:rFonts w:ascii="Times New Roman" w:hAnsi="Times New Roman" w:cs="Times New Roman"/>
          <w:bCs/>
          <w:color w:val="000000"/>
          <w:sz w:val="24"/>
          <w:szCs w:val="24"/>
        </w:rPr>
        <w:t xml:space="preserve">these students’ demographic profile and </w:t>
      </w:r>
      <w:r w:rsidR="0025665C" w:rsidRPr="00532928">
        <w:rPr>
          <w:rFonts w:ascii="Times New Roman" w:hAnsi="Times New Roman" w:cs="Times New Roman"/>
          <w:bCs/>
          <w:color w:val="000000"/>
          <w:sz w:val="24"/>
          <w:szCs w:val="24"/>
        </w:rPr>
        <w:t>academic performance.  The findings show that incorporating a fully-developed civic education component into the Introduction to American P</w:t>
      </w:r>
      <w:r w:rsidR="004E3038" w:rsidRPr="00532928">
        <w:rPr>
          <w:rFonts w:ascii="Times New Roman" w:hAnsi="Times New Roman" w:cs="Times New Roman"/>
          <w:bCs/>
          <w:color w:val="000000"/>
          <w:sz w:val="24"/>
          <w:szCs w:val="24"/>
        </w:rPr>
        <w:t>olitics course had significant</w:t>
      </w:r>
      <w:r w:rsidR="0025665C" w:rsidRPr="00532928">
        <w:rPr>
          <w:rFonts w:ascii="Times New Roman" w:hAnsi="Times New Roman" w:cs="Times New Roman"/>
          <w:bCs/>
          <w:color w:val="000000"/>
          <w:sz w:val="24"/>
          <w:szCs w:val="24"/>
        </w:rPr>
        <w:t xml:space="preserve"> positive effects on </w:t>
      </w:r>
      <w:r w:rsidR="0082406F" w:rsidRPr="00532928">
        <w:rPr>
          <w:rFonts w:ascii="Times New Roman" w:hAnsi="Times New Roman" w:cs="Times New Roman"/>
          <w:bCs/>
          <w:color w:val="000000"/>
          <w:sz w:val="24"/>
          <w:szCs w:val="24"/>
        </w:rPr>
        <w:t xml:space="preserve">academic performance, and less potent but still significant impacts on </w:t>
      </w:r>
      <w:r w:rsidR="0025665C" w:rsidRPr="00532928">
        <w:rPr>
          <w:rFonts w:ascii="Times New Roman" w:hAnsi="Times New Roman" w:cs="Times New Roman"/>
          <w:bCs/>
          <w:color w:val="000000"/>
          <w:sz w:val="24"/>
          <w:szCs w:val="24"/>
        </w:rPr>
        <w:t xml:space="preserve">political motivation, political efficacy, and interest in continued civic engagement. </w:t>
      </w:r>
      <w:r w:rsidR="00626FBB" w:rsidRPr="00532928">
        <w:rPr>
          <w:rFonts w:ascii="Times New Roman" w:hAnsi="Times New Roman" w:cs="Times New Roman"/>
          <w:bCs/>
          <w:color w:val="000000"/>
          <w:sz w:val="24"/>
          <w:szCs w:val="24"/>
        </w:rPr>
        <w:t xml:space="preserve"> </w:t>
      </w:r>
      <w:r w:rsidR="0025665C" w:rsidRPr="00532928">
        <w:rPr>
          <w:rFonts w:ascii="Times New Roman" w:hAnsi="Times New Roman" w:cs="Times New Roman"/>
          <w:bCs/>
          <w:color w:val="000000"/>
          <w:sz w:val="24"/>
          <w:szCs w:val="24"/>
        </w:rPr>
        <w:t xml:space="preserve">Beginning with a brief discussion of higher education civic engagement efforts more generally, the paper then introduces the CSUF Town </w:t>
      </w:r>
      <w:r w:rsidR="0025665C" w:rsidRPr="00532928">
        <w:rPr>
          <w:rFonts w:ascii="Times New Roman" w:hAnsi="Times New Roman" w:cs="Times New Roman"/>
          <w:bCs/>
          <w:color w:val="000000"/>
          <w:sz w:val="24"/>
          <w:szCs w:val="24"/>
        </w:rPr>
        <w:lastRenderedPageBreak/>
        <w:t>Hall meeting program as one way to address some of the concerns</w:t>
      </w:r>
      <w:r w:rsidR="00D40B6F" w:rsidRPr="00532928">
        <w:rPr>
          <w:rFonts w:ascii="Times New Roman" w:hAnsi="Times New Roman" w:cs="Times New Roman"/>
          <w:bCs/>
          <w:color w:val="000000"/>
          <w:sz w:val="24"/>
          <w:szCs w:val="24"/>
        </w:rPr>
        <w:t xml:space="preserve"> raised by education reformers concerned about declining civic engagement.  It reviews the </w:t>
      </w:r>
      <w:r w:rsidR="0082406F" w:rsidRPr="00532928">
        <w:rPr>
          <w:rFonts w:ascii="Times New Roman" w:hAnsi="Times New Roman" w:cs="Times New Roman"/>
          <w:bCs/>
          <w:color w:val="000000"/>
          <w:sz w:val="24"/>
          <w:szCs w:val="24"/>
        </w:rPr>
        <w:t xml:space="preserve">CSUF THM </w:t>
      </w:r>
      <w:r w:rsidR="00D40B6F" w:rsidRPr="00532928">
        <w:rPr>
          <w:rFonts w:ascii="Times New Roman" w:hAnsi="Times New Roman" w:cs="Times New Roman"/>
          <w:bCs/>
          <w:color w:val="000000"/>
          <w:sz w:val="24"/>
          <w:szCs w:val="24"/>
        </w:rPr>
        <w:t>program and discusses its implementation in the academ</w:t>
      </w:r>
      <w:r w:rsidR="0082406F" w:rsidRPr="00532928">
        <w:rPr>
          <w:rFonts w:ascii="Times New Roman" w:hAnsi="Times New Roman" w:cs="Times New Roman"/>
          <w:bCs/>
          <w:color w:val="000000"/>
          <w:sz w:val="24"/>
          <w:szCs w:val="24"/>
        </w:rPr>
        <w:t>ic year 2013-14.  Results from the</w:t>
      </w:r>
      <w:r w:rsidR="00D40B6F" w:rsidRPr="00532928">
        <w:rPr>
          <w:rFonts w:ascii="Times New Roman" w:hAnsi="Times New Roman" w:cs="Times New Roman"/>
          <w:bCs/>
          <w:color w:val="000000"/>
          <w:sz w:val="24"/>
          <w:szCs w:val="24"/>
        </w:rPr>
        <w:t xml:space="preserve"> survey are </w:t>
      </w:r>
      <w:r w:rsidR="0082406F" w:rsidRPr="00532928">
        <w:rPr>
          <w:rFonts w:ascii="Times New Roman" w:hAnsi="Times New Roman" w:cs="Times New Roman"/>
          <w:bCs/>
          <w:color w:val="000000"/>
          <w:sz w:val="24"/>
          <w:szCs w:val="24"/>
        </w:rPr>
        <w:t>then analyzed and comparisons are made</w:t>
      </w:r>
      <w:r w:rsidR="00D40B6F" w:rsidRPr="00532928">
        <w:rPr>
          <w:rFonts w:ascii="Times New Roman" w:hAnsi="Times New Roman" w:cs="Times New Roman"/>
          <w:bCs/>
          <w:color w:val="000000"/>
          <w:sz w:val="24"/>
          <w:szCs w:val="24"/>
        </w:rPr>
        <w:t xml:space="preserve"> with </w:t>
      </w:r>
      <w:r w:rsidR="0082406F" w:rsidRPr="00532928">
        <w:rPr>
          <w:rFonts w:ascii="Times New Roman" w:hAnsi="Times New Roman" w:cs="Times New Roman"/>
          <w:bCs/>
          <w:color w:val="000000"/>
          <w:sz w:val="24"/>
          <w:szCs w:val="24"/>
        </w:rPr>
        <w:t xml:space="preserve">students in </w:t>
      </w:r>
      <w:r w:rsidR="00D40B6F" w:rsidRPr="00532928">
        <w:rPr>
          <w:rFonts w:ascii="Times New Roman" w:hAnsi="Times New Roman" w:cs="Times New Roman"/>
          <w:bCs/>
          <w:color w:val="000000"/>
          <w:sz w:val="24"/>
          <w:szCs w:val="24"/>
        </w:rPr>
        <w:t xml:space="preserve">courses without the THM.  </w:t>
      </w:r>
      <w:r w:rsidR="0025665C" w:rsidRPr="00532928">
        <w:rPr>
          <w:rFonts w:ascii="Times New Roman" w:hAnsi="Times New Roman" w:cs="Times New Roman"/>
          <w:bCs/>
          <w:color w:val="000000"/>
          <w:sz w:val="24"/>
          <w:szCs w:val="24"/>
        </w:rPr>
        <w:t xml:space="preserve"> </w:t>
      </w:r>
      <w:r w:rsidR="00D40B6F" w:rsidRPr="00532928">
        <w:rPr>
          <w:rFonts w:ascii="Times New Roman" w:hAnsi="Times New Roman" w:cs="Times New Roman"/>
          <w:bCs/>
          <w:color w:val="000000"/>
          <w:sz w:val="24"/>
          <w:szCs w:val="24"/>
        </w:rPr>
        <w:t xml:space="preserve">Finally, suggestions for further research and for ways to improve upon the THM program are discussed. </w:t>
      </w:r>
    </w:p>
    <w:p w14:paraId="7335B570" w14:textId="485A7DF5" w:rsidR="00CA28D6" w:rsidRPr="00532928" w:rsidRDefault="00CA28D6" w:rsidP="000221D8">
      <w:pPr>
        <w:spacing w:line="480" w:lineRule="auto"/>
        <w:rPr>
          <w:rFonts w:ascii="Times New Roman" w:hAnsi="Times New Roman" w:cs="Times New Roman"/>
          <w:bCs/>
          <w:color w:val="000000"/>
          <w:sz w:val="24"/>
          <w:szCs w:val="24"/>
        </w:rPr>
      </w:pPr>
    </w:p>
    <w:p w14:paraId="6B3F4BBA" w14:textId="764903F2" w:rsidR="004E7B06" w:rsidRPr="00532928" w:rsidRDefault="004E7B06" w:rsidP="000221D8">
      <w:pPr>
        <w:spacing w:line="480" w:lineRule="auto"/>
        <w:rPr>
          <w:rFonts w:ascii="Times New Roman" w:hAnsi="Times New Roman" w:cs="Times New Roman"/>
          <w:b/>
          <w:bCs/>
          <w:color w:val="000000"/>
          <w:sz w:val="24"/>
          <w:szCs w:val="24"/>
        </w:rPr>
      </w:pPr>
      <w:r w:rsidRPr="00532928">
        <w:rPr>
          <w:rFonts w:ascii="Times New Roman" w:hAnsi="Times New Roman" w:cs="Times New Roman"/>
          <w:b/>
          <w:bCs/>
          <w:color w:val="000000"/>
          <w:sz w:val="24"/>
          <w:szCs w:val="24"/>
        </w:rPr>
        <w:t>Political Engagement and Education</w:t>
      </w:r>
    </w:p>
    <w:p w14:paraId="05CAF6D4" w14:textId="77777777" w:rsidR="00CC696A" w:rsidRPr="00532928" w:rsidRDefault="003C3D2B" w:rsidP="000221D8">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t>Political science as a discipline has long recognized that the ideal of democratic citizenship is not often realized in the United States.  As Anthony Downs identified with parsimony in 1957, a democracy requires an informed electorate capable of identifying their own preferences, noting the differences in the positions of electorally competing candidates and parties, and performing a rational analysis of how to pursue their own interests in light of these analyses (Downs 1957).</w:t>
      </w:r>
      <w:r w:rsidR="00B75334" w:rsidRPr="00532928">
        <w:rPr>
          <w:rFonts w:ascii="Times New Roman" w:hAnsi="Times New Roman" w:cs="Times New Roman"/>
          <w:bCs/>
          <w:color w:val="000000"/>
          <w:sz w:val="24"/>
          <w:szCs w:val="24"/>
        </w:rPr>
        <w:t xml:space="preserve">  With the publication in 1960 of </w:t>
      </w:r>
      <w:r w:rsidR="00B75334" w:rsidRPr="00532928">
        <w:rPr>
          <w:rFonts w:ascii="Times New Roman" w:hAnsi="Times New Roman" w:cs="Times New Roman"/>
          <w:bCs/>
          <w:i/>
          <w:color w:val="000000"/>
          <w:sz w:val="24"/>
          <w:szCs w:val="24"/>
        </w:rPr>
        <w:t>The American Voter</w:t>
      </w:r>
      <w:r w:rsidR="000723EA" w:rsidRPr="00532928">
        <w:rPr>
          <w:rFonts w:ascii="Times New Roman" w:hAnsi="Times New Roman" w:cs="Times New Roman"/>
          <w:bCs/>
          <w:i/>
          <w:color w:val="000000"/>
          <w:sz w:val="24"/>
          <w:szCs w:val="24"/>
        </w:rPr>
        <w:t xml:space="preserve">, </w:t>
      </w:r>
      <w:r w:rsidR="000723EA" w:rsidRPr="00532928">
        <w:rPr>
          <w:rFonts w:ascii="Times New Roman" w:hAnsi="Times New Roman" w:cs="Times New Roman"/>
          <w:bCs/>
          <w:color w:val="000000"/>
          <w:sz w:val="24"/>
          <w:szCs w:val="24"/>
        </w:rPr>
        <w:t xml:space="preserve">the discipline was confronted with a portrait of the electorate that </w:t>
      </w:r>
      <w:r w:rsidR="006B2E8A" w:rsidRPr="00532928">
        <w:rPr>
          <w:rFonts w:ascii="Times New Roman" w:hAnsi="Times New Roman" w:cs="Times New Roman"/>
          <w:bCs/>
          <w:color w:val="000000"/>
          <w:sz w:val="24"/>
          <w:szCs w:val="24"/>
        </w:rPr>
        <w:t xml:space="preserve">was predominantly under-informed, lacking ideological consistency, and who </w:t>
      </w:r>
      <w:r w:rsidR="000723EA" w:rsidRPr="00532928">
        <w:rPr>
          <w:rFonts w:ascii="Times New Roman" w:hAnsi="Times New Roman" w:cs="Times New Roman"/>
          <w:bCs/>
          <w:color w:val="000000"/>
          <w:sz w:val="24"/>
          <w:szCs w:val="24"/>
        </w:rPr>
        <w:t>cast their votes based on a psychological attachment to their political party rather than through the rational evaluations that Downs’ o</w:t>
      </w:r>
      <w:r w:rsidR="006B2E8A" w:rsidRPr="00532928">
        <w:rPr>
          <w:rFonts w:ascii="Times New Roman" w:hAnsi="Times New Roman" w:cs="Times New Roman"/>
          <w:bCs/>
          <w:color w:val="000000"/>
          <w:sz w:val="24"/>
          <w:szCs w:val="24"/>
        </w:rPr>
        <w:t>utlined in his formal model. There ensued</w:t>
      </w:r>
      <w:r w:rsidR="000723EA" w:rsidRPr="00532928">
        <w:rPr>
          <w:rFonts w:ascii="Times New Roman" w:hAnsi="Times New Roman" w:cs="Times New Roman"/>
          <w:bCs/>
          <w:color w:val="000000"/>
          <w:sz w:val="24"/>
          <w:szCs w:val="24"/>
        </w:rPr>
        <w:t xml:space="preserve"> a vigorous debate over the implications of these findings, with some disputing Campbell et al.’s interpretation of their data (Key 1966) and others pointing out that issues became far more important to citizens in other periods, prompting greater levels of issue voting (</w:t>
      </w:r>
      <w:proofErr w:type="spellStart"/>
      <w:r w:rsidR="000723EA" w:rsidRPr="00532928">
        <w:rPr>
          <w:rFonts w:ascii="Times New Roman" w:hAnsi="Times New Roman" w:cs="Times New Roman"/>
          <w:bCs/>
          <w:color w:val="000000"/>
          <w:sz w:val="24"/>
          <w:szCs w:val="24"/>
        </w:rPr>
        <w:t>Nie</w:t>
      </w:r>
      <w:proofErr w:type="spellEnd"/>
      <w:r w:rsidR="000723EA" w:rsidRPr="00532928">
        <w:rPr>
          <w:rFonts w:ascii="Times New Roman" w:hAnsi="Times New Roman" w:cs="Times New Roman"/>
          <w:bCs/>
          <w:color w:val="000000"/>
          <w:sz w:val="24"/>
          <w:szCs w:val="24"/>
        </w:rPr>
        <w:t xml:space="preserve"> et al. 1974).  </w:t>
      </w:r>
      <w:r w:rsidR="00310DFB" w:rsidRPr="00532928">
        <w:rPr>
          <w:rFonts w:ascii="Times New Roman" w:hAnsi="Times New Roman" w:cs="Times New Roman"/>
          <w:bCs/>
          <w:color w:val="000000"/>
          <w:sz w:val="24"/>
          <w:szCs w:val="24"/>
        </w:rPr>
        <w:t>S</w:t>
      </w:r>
      <w:r w:rsidR="006B2E8A" w:rsidRPr="00532928">
        <w:rPr>
          <w:rFonts w:ascii="Times New Roman" w:hAnsi="Times New Roman" w:cs="Times New Roman"/>
          <w:bCs/>
          <w:color w:val="000000"/>
          <w:sz w:val="24"/>
          <w:szCs w:val="24"/>
        </w:rPr>
        <w:t xml:space="preserve">ince then, </w:t>
      </w:r>
      <w:r w:rsidR="00310DFB" w:rsidRPr="00532928">
        <w:rPr>
          <w:rFonts w:ascii="Times New Roman" w:hAnsi="Times New Roman" w:cs="Times New Roman"/>
          <w:bCs/>
          <w:color w:val="000000"/>
          <w:sz w:val="24"/>
          <w:szCs w:val="24"/>
        </w:rPr>
        <w:t>others have taken issue with the high-level requirements for responsible voting implied in this work, and have argued that using “short-cuts”</w:t>
      </w:r>
      <w:r w:rsidR="006B2E8A" w:rsidRPr="00532928">
        <w:rPr>
          <w:rFonts w:ascii="Times New Roman" w:hAnsi="Times New Roman" w:cs="Times New Roman"/>
          <w:bCs/>
          <w:color w:val="000000"/>
          <w:sz w:val="24"/>
          <w:szCs w:val="24"/>
        </w:rPr>
        <w:t xml:space="preserve"> or “cues” as </w:t>
      </w:r>
      <w:r w:rsidR="006B2E8A" w:rsidRPr="00532928">
        <w:rPr>
          <w:rFonts w:ascii="Times New Roman" w:hAnsi="Times New Roman" w:cs="Times New Roman"/>
          <w:bCs/>
          <w:color w:val="000000"/>
          <w:sz w:val="24"/>
          <w:szCs w:val="24"/>
        </w:rPr>
        <w:lastRenderedPageBreak/>
        <w:t>guides for voting in lieu of issues,</w:t>
      </w:r>
      <w:r w:rsidR="00310DFB" w:rsidRPr="00532928">
        <w:rPr>
          <w:rFonts w:ascii="Times New Roman" w:hAnsi="Times New Roman" w:cs="Times New Roman"/>
          <w:bCs/>
          <w:color w:val="000000"/>
          <w:sz w:val="24"/>
          <w:szCs w:val="24"/>
        </w:rPr>
        <w:t xml:space="preserve"> often in the form of partisanship, is a rational response to the costs of obtaining information on politi</w:t>
      </w:r>
      <w:r w:rsidR="00D9193C" w:rsidRPr="00532928">
        <w:rPr>
          <w:rFonts w:ascii="Times New Roman" w:hAnsi="Times New Roman" w:cs="Times New Roman"/>
          <w:bCs/>
          <w:color w:val="000000"/>
          <w:sz w:val="24"/>
          <w:szCs w:val="24"/>
        </w:rPr>
        <w:t>cs and policies (</w:t>
      </w:r>
      <w:proofErr w:type="spellStart"/>
      <w:r w:rsidR="00D9193C" w:rsidRPr="00532928">
        <w:rPr>
          <w:rFonts w:ascii="Times New Roman" w:hAnsi="Times New Roman" w:cs="Times New Roman"/>
          <w:bCs/>
          <w:color w:val="000000"/>
          <w:sz w:val="24"/>
          <w:szCs w:val="24"/>
        </w:rPr>
        <w:t>Popkin</w:t>
      </w:r>
      <w:proofErr w:type="spellEnd"/>
      <w:r w:rsidR="00D9193C" w:rsidRPr="00532928">
        <w:rPr>
          <w:rFonts w:ascii="Times New Roman" w:hAnsi="Times New Roman" w:cs="Times New Roman"/>
          <w:bCs/>
          <w:color w:val="000000"/>
          <w:sz w:val="24"/>
          <w:szCs w:val="24"/>
        </w:rPr>
        <w:t xml:space="preserve"> 1994).</w:t>
      </w:r>
      <w:r w:rsidR="005A55CB" w:rsidRPr="00532928">
        <w:rPr>
          <w:rFonts w:ascii="Times New Roman" w:hAnsi="Times New Roman" w:cs="Times New Roman"/>
          <w:bCs/>
          <w:color w:val="000000"/>
          <w:sz w:val="24"/>
          <w:szCs w:val="24"/>
        </w:rPr>
        <w:t xml:space="preserve">  </w:t>
      </w:r>
    </w:p>
    <w:p w14:paraId="3914576F" w14:textId="6B8A1067" w:rsidR="00511335" w:rsidRPr="00532928" w:rsidRDefault="005A55CB" w:rsidP="00CC696A">
      <w:pPr>
        <w:spacing w:line="480" w:lineRule="auto"/>
        <w:ind w:firstLine="720"/>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 xml:space="preserve">In any case, there is no doubt that </w:t>
      </w:r>
      <w:r w:rsidR="00EB1253" w:rsidRPr="00532928">
        <w:rPr>
          <w:rFonts w:ascii="Times New Roman" w:hAnsi="Times New Roman" w:cs="Times New Roman"/>
          <w:bCs/>
          <w:color w:val="000000"/>
          <w:sz w:val="24"/>
          <w:szCs w:val="24"/>
        </w:rPr>
        <w:t>the public, in the aggregate, has low levels of political knowledge when it com</w:t>
      </w:r>
      <w:r w:rsidR="00797583" w:rsidRPr="00532928">
        <w:rPr>
          <w:rFonts w:ascii="Times New Roman" w:hAnsi="Times New Roman" w:cs="Times New Roman"/>
          <w:bCs/>
          <w:color w:val="000000"/>
          <w:sz w:val="24"/>
          <w:szCs w:val="24"/>
        </w:rPr>
        <w:t>es to people and policies, and is o</w:t>
      </w:r>
      <w:r w:rsidR="00EB1253" w:rsidRPr="00532928">
        <w:rPr>
          <w:rFonts w:ascii="Times New Roman" w:hAnsi="Times New Roman" w:cs="Times New Roman"/>
          <w:bCs/>
          <w:color w:val="000000"/>
          <w:sz w:val="24"/>
          <w:szCs w:val="24"/>
        </w:rPr>
        <w:t xml:space="preserve">nly slightly better informed about </w:t>
      </w:r>
      <w:r w:rsidR="00797583" w:rsidRPr="00532928">
        <w:rPr>
          <w:rFonts w:ascii="Times New Roman" w:hAnsi="Times New Roman" w:cs="Times New Roman"/>
          <w:bCs/>
          <w:color w:val="000000"/>
          <w:sz w:val="24"/>
          <w:szCs w:val="24"/>
        </w:rPr>
        <w:t xml:space="preserve">government </w:t>
      </w:r>
      <w:r w:rsidR="00EB1253" w:rsidRPr="00532928">
        <w:rPr>
          <w:rFonts w:ascii="Times New Roman" w:hAnsi="Times New Roman" w:cs="Times New Roman"/>
          <w:bCs/>
          <w:color w:val="000000"/>
          <w:sz w:val="24"/>
          <w:szCs w:val="24"/>
        </w:rPr>
        <w:t xml:space="preserve">institutions and </w:t>
      </w:r>
      <w:r w:rsidR="00797583" w:rsidRPr="00532928">
        <w:rPr>
          <w:rFonts w:ascii="Times New Roman" w:hAnsi="Times New Roman" w:cs="Times New Roman"/>
          <w:bCs/>
          <w:color w:val="000000"/>
          <w:sz w:val="24"/>
          <w:szCs w:val="24"/>
        </w:rPr>
        <w:t xml:space="preserve">political </w:t>
      </w:r>
      <w:r w:rsidR="00EB1253" w:rsidRPr="00532928">
        <w:rPr>
          <w:rFonts w:ascii="Times New Roman" w:hAnsi="Times New Roman" w:cs="Times New Roman"/>
          <w:bCs/>
          <w:color w:val="000000"/>
          <w:sz w:val="24"/>
          <w:szCs w:val="24"/>
        </w:rPr>
        <w:t>processes (</w:t>
      </w:r>
      <w:proofErr w:type="spellStart"/>
      <w:r w:rsidR="00EB1253" w:rsidRPr="00532928">
        <w:rPr>
          <w:rFonts w:ascii="Times New Roman" w:hAnsi="Times New Roman" w:cs="Times New Roman"/>
          <w:bCs/>
          <w:color w:val="000000"/>
          <w:sz w:val="24"/>
          <w:szCs w:val="24"/>
        </w:rPr>
        <w:t>Delli</w:t>
      </w:r>
      <w:proofErr w:type="spellEnd"/>
      <w:r w:rsidR="00EB1253" w:rsidRPr="00532928">
        <w:rPr>
          <w:rFonts w:ascii="Times New Roman" w:hAnsi="Times New Roman" w:cs="Times New Roman"/>
          <w:bCs/>
          <w:color w:val="000000"/>
          <w:sz w:val="24"/>
          <w:szCs w:val="24"/>
        </w:rPr>
        <w:t xml:space="preserve"> </w:t>
      </w:r>
      <w:proofErr w:type="spellStart"/>
      <w:r w:rsidR="00EB1253" w:rsidRPr="00532928">
        <w:rPr>
          <w:rFonts w:ascii="Times New Roman" w:hAnsi="Times New Roman" w:cs="Times New Roman"/>
          <w:bCs/>
          <w:color w:val="000000"/>
          <w:sz w:val="24"/>
          <w:szCs w:val="24"/>
        </w:rPr>
        <w:t>Carpini</w:t>
      </w:r>
      <w:proofErr w:type="spellEnd"/>
      <w:r w:rsidR="00EB1253" w:rsidRPr="00532928">
        <w:rPr>
          <w:rFonts w:ascii="Times New Roman" w:hAnsi="Times New Roman" w:cs="Times New Roman"/>
          <w:bCs/>
          <w:color w:val="000000"/>
          <w:sz w:val="24"/>
          <w:szCs w:val="24"/>
        </w:rPr>
        <w:t xml:space="preserve"> and </w:t>
      </w:r>
      <w:proofErr w:type="spellStart"/>
      <w:r w:rsidR="00EB1253" w:rsidRPr="00532928">
        <w:rPr>
          <w:rFonts w:ascii="Times New Roman" w:hAnsi="Times New Roman" w:cs="Times New Roman"/>
          <w:bCs/>
          <w:color w:val="000000"/>
          <w:sz w:val="24"/>
          <w:szCs w:val="24"/>
        </w:rPr>
        <w:t>Keeter</w:t>
      </w:r>
      <w:proofErr w:type="spellEnd"/>
      <w:r w:rsidR="00EB1253" w:rsidRPr="00532928">
        <w:rPr>
          <w:rFonts w:ascii="Times New Roman" w:hAnsi="Times New Roman" w:cs="Times New Roman"/>
          <w:bCs/>
          <w:color w:val="000000"/>
          <w:sz w:val="24"/>
          <w:szCs w:val="24"/>
        </w:rPr>
        <w:t xml:space="preserve"> 1996).  Recent studies confirm this troubling feature of American politics.  Nearly 2/3 of Americans failed to name all three branches of government when polled, less than half of the public can name a single Supreme Court justice and more than 25% are unable to identify which nation America fought in the Revolutionary War (</w:t>
      </w:r>
      <w:proofErr w:type="spellStart"/>
      <w:r w:rsidR="00EB1253" w:rsidRPr="00532928">
        <w:rPr>
          <w:rFonts w:ascii="Times New Roman" w:hAnsi="Times New Roman" w:cs="Times New Roman"/>
          <w:bCs/>
          <w:color w:val="000000"/>
          <w:sz w:val="24"/>
          <w:szCs w:val="24"/>
        </w:rPr>
        <w:t>Kanter</w:t>
      </w:r>
      <w:proofErr w:type="spellEnd"/>
      <w:r w:rsidR="00EB1253" w:rsidRPr="00532928">
        <w:rPr>
          <w:rFonts w:ascii="Times New Roman" w:hAnsi="Times New Roman" w:cs="Times New Roman"/>
          <w:bCs/>
          <w:color w:val="000000"/>
          <w:sz w:val="24"/>
          <w:szCs w:val="24"/>
        </w:rPr>
        <w:t xml:space="preserve"> and Schneider 2013, quoting U.S. </w:t>
      </w:r>
      <w:r w:rsidR="00CC696A" w:rsidRPr="00532928">
        <w:rPr>
          <w:rFonts w:ascii="Times New Roman" w:hAnsi="Times New Roman" w:cs="Times New Roman"/>
          <w:bCs/>
          <w:color w:val="000000"/>
          <w:sz w:val="24"/>
          <w:szCs w:val="24"/>
        </w:rPr>
        <w:t xml:space="preserve">Secretary of Education).  Moreover, this low level of civics knowledge is particularly apparent at the school level.  </w:t>
      </w:r>
      <w:proofErr w:type="gramStart"/>
      <w:r w:rsidR="00CC696A" w:rsidRPr="00532928">
        <w:rPr>
          <w:rFonts w:ascii="Times New Roman" w:hAnsi="Times New Roman" w:cs="Times New Roman"/>
          <w:bCs/>
          <w:color w:val="000000"/>
          <w:sz w:val="24"/>
          <w:szCs w:val="24"/>
        </w:rPr>
        <w:t>The 2010 National Assessment of Educational Progress (NAEP) shows that less than 1/3 of fourth, eight, and twelfth-graders are proficient in civics.</w:t>
      </w:r>
      <w:proofErr w:type="gramEnd"/>
      <w:r w:rsidR="00CC696A" w:rsidRPr="00532928">
        <w:rPr>
          <w:rFonts w:ascii="Times New Roman" w:hAnsi="Times New Roman" w:cs="Times New Roman"/>
          <w:bCs/>
          <w:color w:val="000000"/>
          <w:sz w:val="24"/>
          <w:szCs w:val="24"/>
        </w:rPr>
        <w:t xml:space="preserve">  At the college level, the average score on a test of civic knowledge – given to 14,000 college seniors – was </w:t>
      </w:r>
      <w:r w:rsidR="00797583" w:rsidRPr="00532928">
        <w:rPr>
          <w:rFonts w:ascii="Times New Roman" w:hAnsi="Times New Roman" w:cs="Times New Roman"/>
          <w:bCs/>
          <w:color w:val="000000"/>
          <w:sz w:val="24"/>
          <w:szCs w:val="24"/>
        </w:rPr>
        <w:t>an “</w:t>
      </w:r>
      <w:r w:rsidR="00CC696A" w:rsidRPr="00532928">
        <w:rPr>
          <w:rFonts w:ascii="Times New Roman" w:hAnsi="Times New Roman" w:cs="Times New Roman"/>
          <w:bCs/>
          <w:color w:val="000000"/>
          <w:sz w:val="24"/>
          <w:szCs w:val="24"/>
        </w:rPr>
        <w:t>F</w:t>
      </w:r>
      <w:r w:rsidR="00797583" w:rsidRPr="00532928">
        <w:rPr>
          <w:rFonts w:ascii="Times New Roman" w:hAnsi="Times New Roman" w:cs="Times New Roman"/>
          <w:bCs/>
          <w:color w:val="000000"/>
          <w:sz w:val="24"/>
          <w:szCs w:val="24"/>
        </w:rPr>
        <w:t>”</w:t>
      </w:r>
      <w:r w:rsidR="00CC696A" w:rsidRPr="00532928">
        <w:rPr>
          <w:rFonts w:ascii="Times New Roman" w:hAnsi="Times New Roman" w:cs="Times New Roman"/>
          <w:bCs/>
          <w:color w:val="000000"/>
          <w:sz w:val="24"/>
          <w:szCs w:val="24"/>
        </w:rPr>
        <w:t xml:space="preserve">.  </w:t>
      </w:r>
      <w:proofErr w:type="gramStart"/>
      <w:r w:rsidR="00CC696A" w:rsidRPr="00532928">
        <w:rPr>
          <w:rFonts w:ascii="Times New Roman" w:hAnsi="Times New Roman" w:cs="Times New Roman"/>
          <w:bCs/>
          <w:color w:val="000000"/>
          <w:sz w:val="24"/>
          <w:szCs w:val="24"/>
        </w:rPr>
        <w:t>(Ibid, p. 2).</w:t>
      </w:r>
      <w:proofErr w:type="gramEnd"/>
      <w:r w:rsidR="00CC696A" w:rsidRPr="00532928">
        <w:rPr>
          <w:rFonts w:ascii="Times New Roman" w:hAnsi="Times New Roman" w:cs="Times New Roman"/>
          <w:bCs/>
          <w:color w:val="000000"/>
          <w:sz w:val="24"/>
          <w:szCs w:val="24"/>
        </w:rPr>
        <w:t xml:space="preserve">  </w:t>
      </w:r>
    </w:p>
    <w:p w14:paraId="26BF447F" w14:textId="77777777" w:rsidR="00FC248E" w:rsidRDefault="00CC696A" w:rsidP="000221D8">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t>The low levels of political knowledge among the American public</w:t>
      </w:r>
      <w:r w:rsidR="00797583" w:rsidRPr="00532928">
        <w:rPr>
          <w:rFonts w:ascii="Times New Roman" w:hAnsi="Times New Roman" w:cs="Times New Roman"/>
          <w:bCs/>
          <w:color w:val="000000"/>
          <w:sz w:val="24"/>
          <w:szCs w:val="24"/>
        </w:rPr>
        <w:t xml:space="preserve"> generally, and among young people in particular,</w:t>
      </w:r>
      <w:r w:rsidRPr="00532928">
        <w:rPr>
          <w:rFonts w:ascii="Times New Roman" w:hAnsi="Times New Roman" w:cs="Times New Roman"/>
          <w:bCs/>
          <w:color w:val="000000"/>
          <w:sz w:val="24"/>
          <w:szCs w:val="24"/>
        </w:rPr>
        <w:t xml:space="preserve"> are mirrored with declining participation rates.  </w:t>
      </w:r>
      <w:r w:rsidR="00104BDC" w:rsidRPr="00532928">
        <w:rPr>
          <w:rFonts w:ascii="Times New Roman" w:hAnsi="Times New Roman" w:cs="Times New Roman"/>
          <w:bCs/>
          <w:color w:val="000000"/>
          <w:sz w:val="24"/>
          <w:szCs w:val="24"/>
        </w:rPr>
        <w:t>In the 2014 elections, the U.S. had their lowest mid-term el</w:t>
      </w:r>
      <w:r w:rsidR="006A5BCB" w:rsidRPr="00532928">
        <w:rPr>
          <w:rFonts w:ascii="Times New Roman" w:hAnsi="Times New Roman" w:cs="Times New Roman"/>
          <w:bCs/>
          <w:color w:val="000000"/>
          <w:sz w:val="24"/>
          <w:szCs w:val="24"/>
        </w:rPr>
        <w:t xml:space="preserve">ection turnout in seven decades (New York Times 11/12/13), with the total voting eligible population (VEP) turnout </w:t>
      </w:r>
      <w:r w:rsidR="00913BB9" w:rsidRPr="00532928">
        <w:rPr>
          <w:rFonts w:ascii="Times New Roman" w:hAnsi="Times New Roman" w:cs="Times New Roman"/>
          <w:bCs/>
          <w:color w:val="000000"/>
          <w:sz w:val="24"/>
          <w:szCs w:val="24"/>
        </w:rPr>
        <w:t xml:space="preserve">at 36% (U.S. Elections Project </w:t>
      </w:r>
      <w:r w:rsidR="006A5BCB" w:rsidRPr="00532928">
        <w:rPr>
          <w:rFonts w:ascii="Times New Roman" w:hAnsi="Times New Roman" w:cs="Times New Roman"/>
          <w:bCs/>
          <w:color w:val="000000"/>
          <w:sz w:val="24"/>
          <w:szCs w:val="24"/>
        </w:rPr>
        <w:t xml:space="preserve">2014). </w:t>
      </w:r>
      <w:r w:rsidR="00126102" w:rsidRPr="00532928">
        <w:rPr>
          <w:rFonts w:ascii="Times New Roman" w:hAnsi="Times New Roman" w:cs="Times New Roman"/>
          <w:bCs/>
          <w:color w:val="000000"/>
          <w:sz w:val="24"/>
          <w:szCs w:val="24"/>
        </w:rPr>
        <w:t xml:space="preserve"> As figure 1 (below) shows, turnout rates </w:t>
      </w:r>
      <w:r w:rsidR="007B63B5" w:rsidRPr="00532928">
        <w:rPr>
          <w:rFonts w:ascii="Times New Roman" w:hAnsi="Times New Roman" w:cs="Times New Roman"/>
          <w:bCs/>
          <w:color w:val="000000"/>
          <w:sz w:val="24"/>
          <w:szCs w:val="24"/>
        </w:rPr>
        <w:t xml:space="preserve">in presidential elections </w:t>
      </w:r>
      <w:r w:rsidR="00126102" w:rsidRPr="00532928">
        <w:rPr>
          <w:rFonts w:ascii="Times New Roman" w:hAnsi="Times New Roman" w:cs="Times New Roman"/>
          <w:bCs/>
          <w:color w:val="000000"/>
          <w:sz w:val="24"/>
          <w:szCs w:val="24"/>
        </w:rPr>
        <w:t>steadily declined from the early 1960s before gaining some</w:t>
      </w:r>
      <w:r w:rsidR="007B63B5" w:rsidRPr="00532928">
        <w:rPr>
          <w:rFonts w:ascii="Times New Roman" w:hAnsi="Times New Roman" w:cs="Times New Roman"/>
          <w:bCs/>
          <w:color w:val="000000"/>
          <w:sz w:val="24"/>
          <w:szCs w:val="24"/>
        </w:rPr>
        <w:t xml:space="preserve"> in 2004,</w:t>
      </w:r>
      <w:r w:rsidR="00126102" w:rsidRPr="00532928">
        <w:rPr>
          <w:rFonts w:ascii="Times New Roman" w:hAnsi="Times New Roman" w:cs="Times New Roman"/>
          <w:bCs/>
          <w:color w:val="000000"/>
          <w:sz w:val="24"/>
          <w:szCs w:val="24"/>
        </w:rPr>
        <w:t xml:space="preserve"> 2008 and 2012.  However, voting rates have yet to reach 1950s levels in presidential elections, and have been far lower for mid-term elections. </w:t>
      </w:r>
      <w:r w:rsidR="008726C7" w:rsidRPr="00532928">
        <w:rPr>
          <w:rFonts w:ascii="Times New Roman" w:hAnsi="Times New Roman" w:cs="Times New Roman"/>
          <w:bCs/>
          <w:color w:val="000000"/>
          <w:sz w:val="24"/>
          <w:szCs w:val="24"/>
        </w:rPr>
        <w:t xml:space="preserve"> According to statistics collected by the National Task Force on Civic Learning and Democratic Engagement, in 2007 the US ranked 139</w:t>
      </w:r>
      <w:r w:rsidR="008726C7" w:rsidRPr="00532928">
        <w:rPr>
          <w:rFonts w:ascii="Times New Roman" w:hAnsi="Times New Roman" w:cs="Times New Roman"/>
          <w:bCs/>
          <w:color w:val="000000"/>
          <w:sz w:val="24"/>
          <w:szCs w:val="24"/>
          <w:vertAlign w:val="superscript"/>
        </w:rPr>
        <w:t>th</w:t>
      </w:r>
      <w:r w:rsidR="008726C7" w:rsidRPr="00532928">
        <w:rPr>
          <w:rFonts w:ascii="Times New Roman" w:hAnsi="Times New Roman" w:cs="Times New Roman"/>
          <w:bCs/>
          <w:color w:val="000000"/>
          <w:sz w:val="24"/>
          <w:szCs w:val="24"/>
        </w:rPr>
        <w:t xml:space="preserve"> of 172</w:t>
      </w:r>
      <w:r w:rsidR="005C1E78" w:rsidRPr="00532928">
        <w:rPr>
          <w:rFonts w:ascii="Times New Roman" w:hAnsi="Times New Roman" w:cs="Times New Roman"/>
          <w:bCs/>
          <w:color w:val="000000"/>
          <w:sz w:val="24"/>
          <w:szCs w:val="24"/>
        </w:rPr>
        <w:t xml:space="preserve"> democracies in voting participation (</w:t>
      </w:r>
      <w:proofErr w:type="spellStart"/>
      <w:r w:rsidR="005C1E78" w:rsidRPr="00532928">
        <w:rPr>
          <w:rFonts w:ascii="Times New Roman" w:hAnsi="Times New Roman" w:cs="Times New Roman"/>
          <w:bCs/>
          <w:color w:val="000000"/>
          <w:sz w:val="24"/>
          <w:szCs w:val="24"/>
        </w:rPr>
        <w:t>Kanter</w:t>
      </w:r>
      <w:proofErr w:type="spellEnd"/>
      <w:r w:rsidR="005C1E78" w:rsidRPr="00532928">
        <w:rPr>
          <w:rFonts w:ascii="Times New Roman" w:hAnsi="Times New Roman" w:cs="Times New Roman"/>
          <w:bCs/>
          <w:color w:val="000000"/>
          <w:sz w:val="24"/>
          <w:szCs w:val="24"/>
        </w:rPr>
        <w:t xml:space="preserve"> and Schneider 2013, p. 2). </w:t>
      </w:r>
      <w:r w:rsidR="007533CE" w:rsidRPr="00532928">
        <w:rPr>
          <w:rFonts w:ascii="Times New Roman" w:hAnsi="Times New Roman" w:cs="Times New Roman"/>
          <w:bCs/>
          <w:color w:val="000000"/>
          <w:sz w:val="24"/>
          <w:szCs w:val="24"/>
        </w:rPr>
        <w:t xml:space="preserve">  Moreover, young people, ages 18-29, are the </w:t>
      </w:r>
      <w:r w:rsidR="005C1E78" w:rsidRPr="00532928">
        <w:rPr>
          <w:rFonts w:ascii="Times New Roman" w:hAnsi="Times New Roman" w:cs="Times New Roman"/>
          <w:bCs/>
          <w:color w:val="000000"/>
          <w:sz w:val="24"/>
          <w:szCs w:val="24"/>
        </w:rPr>
        <w:t>least likely to vote</w:t>
      </w:r>
      <w:r w:rsidR="007533CE" w:rsidRPr="00532928">
        <w:rPr>
          <w:rFonts w:ascii="Times New Roman" w:hAnsi="Times New Roman" w:cs="Times New Roman"/>
          <w:bCs/>
          <w:color w:val="000000"/>
          <w:sz w:val="24"/>
          <w:szCs w:val="24"/>
        </w:rPr>
        <w:t xml:space="preserve"> of all </w:t>
      </w:r>
    </w:p>
    <w:p w14:paraId="452121E3" w14:textId="77777777" w:rsidR="00FC248E" w:rsidRPr="00532928" w:rsidRDefault="00FC248E" w:rsidP="00FC248E">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lastRenderedPageBreak/>
        <w:t>Figure 1: Presidential Turnout Rates, 1948 - 2012</w:t>
      </w:r>
    </w:p>
    <w:p w14:paraId="231DE665" w14:textId="77777777" w:rsidR="00FC248E" w:rsidRPr="00532928" w:rsidRDefault="00FC248E" w:rsidP="00FC248E">
      <w:pPr>
        <w:spacing w:line="480" w:lineRule="auto"/>
        <w:rPr>
          <w:rFonts w:ascii="Times New Roman" w:hAnsi="Times New Roman" w:cs="Times New Roman"/>
          <w:bCs/>
          <w:color w:val="000000"/>
          <w:sz w:val="24"/>
          <w:szCs w:val="24"/>
        </w:rPr>
      </w:pPr>
      <w:r w:rsidRPr="00532928">
        <w:rPr>
          <w:rFonts w:ascii="Times New Roman" w:hAnsi="Times New Roman" w:cs="Times New Roman"/>
          <w:bCs/>
          <w:noProof/>
          <w:color w:val="000000"/>
          <w:sz w:val="24"/>
          <w:szCs w:val="24"/>
        </w:rPr>
        <w:drawing>
          <wp:inline distT="0" distB="0" distL="0" distR="0" wp14:anchorId="2A7FD222" wp14:editId="04AD3DFE">
            <wp:extent cx="5943600" cy="404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out 1948-2012.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048125"/>
                    </a:xfrm>
                    <a:prstGeom prst="rect">
                      <a:avLst/>
                    </a:prstGeom>
                  </pic:spPr>
                </pic:pic>
              </a:graphicData>
            </a:graphic>
          </wp:inline>
        </w:drawing>
      </w:r>
    </w:p>
    <w:p w14:paraId="4D1C7DDE" w14:textId="77777777" w:rsidR="00FC248E" w:rsidRPr="00532928" w:rsidRDefault="00FC248E" w:rsidP="00FC248E">
      <w:pPr>
        <w:widowControl w:val="0"/>
        <w:autoSpaceDE w:val="0"/>
        <w:autoSpaceDN w:val="0"/>
        <w:adjustRightInd w:val="0"/>
        <w:spacing w:after="0" w:line="240" w:lineRule="auto"/>
        <w:rPr>
          <w:rFonts w:ascii="Times New Roman" w:hAnsi="Times New Roman" w:cs="Times New Roman"/>
          <w:color w:val="353535"/>
          <w:sz w:val="24"/>
          <w:szCs w:val="24"/>
        </w:rPr>
      </w:pPr>
    </w:p>
    <w:p w14:paraId="793C4C11" w14:textId="7C20356C" w:rsidR="005C1E78" w:rsidRPr="00532928" w:rsidRDefault="007533CE" w:rsidP="000221D8">
      <w:pPr>
        <w:spacing w:line="480" w:lineRule="auto"/>
        <w:rPr>
          <w:rFonts w:ascii="Times New Roman" w:hAnsi="Times New Roman" w:cs="Times New Roman"/>
          <w:bCs/>
          <w:color w:val="000000"/>
          <w:sz w:val="24"/>
          <w:szCs w:val="24"/>
        </w:rPr>
      </w:pPr>
      <w:proofErr w:type="gramStart"/>
      <w:r w:rsidRPr="00532928">
        <w:rPr>
          <w:rFonts w:ascii="Times New Roman" w:hAnsi="Times New Roman" w:cs="Times New Roman"/>
          <w:bCs/>
          <w:color w:val="000000"/>
          <w:sz w:val="24"/>
          <w:szCs w:val="24"/>
        </w:rPr>
        <w:t>age</w:t>
      </w:r>
      <w:proofErr w:type="gramEnd"/>
      <w:r w:rsidRPr="00532928">
        <w:rPr>
          <w:rFonts w:ascii="Times New Roman" w:hAnsi="Times New Roman" w:cs="Times New Roman"/>
          <w:bCs/>
          <w:color w:val="000000"/>
          <w:sz w:val="24"/>
          <w:szCs w:val="24"/>
        </w:rPr>
        <w:t xml:space="preserve"> groups. </w:t>
      </w:r>
      <w:r w:rsidR="005C1E78" w:rsidRPr="00532928">
        <w:rPr>
          <w:rFonts w:ascii="Times New Roman" w:hAnsi="Times New Roman" w:cs="Times New Roman"/>
          <w:bCs/>
          <w:color w:val="000000"/>
          <w:sz w:val="24"/>
          <w:szCs w:val="24"/>
        </w:rPr>
        <w:t>Since the ratification of the 26</w:t>
      </w:r>
      <w:r w:rsidR="005C1E78" w:rsidRPr="00532928">
        <w:rPr>
          <w:rFonts w:ascii="Times New Roman" w:hAnsi="Times New Roman" w:cs="Times New Roman"/>
          <w:bCs/>
          <w:color w:val="000000"/>
          <w:sz w:val="24"/>
          <w:szCs w:val="24"/>
          <w:vertAlign w:val="superscript"/>
        </w:rPr>
        <w:t>th</w:t>
      </w:r>
      <w:r w:rsidRPr="00532928">
        <w:rPr>
          <w:rFonts w:ascii="Times New Roman" w:hAnsi="Times New Roman" w:cs="Times New Roman"/>
          <w:bCs/>
          <w:color w:val="000000"/>
          <w:sz w:val="24"/>
          <w:szCs w:val="24"/>
        </w:rPr>
        <w:t xml:space="preserve"> amendment</w:t>
      </w:r>
      <w:r w:rsidR="005C1E78" w:rsidRPr="00532928">
        <w:rPr>
          <w:rFonts w:ascii="Times New Roman" w:hAnsi="Times New Roman" w:cs="Times New Roman"/>
          <w:bCs/>
          <w:color w:val="000000"/>
          <w:sz w:val="24"/>
          <w:szCs w:val="24"/>
        </w:rPr>
        <w:t xml:space="preserve"> giving 18 year-olds the right to vote, the gap between those between 18-25 and older age groups has been between 16 and 27 percent (Flanagan and Levine 2010, pp. 161-2).  </w:t>
      </w:r>
      <w:r w:rsidR="00FC4D8C" w:rsidRPr="00532928">
        <w:rPr>
          <w:rFonts w:ascii="Times New Roman" w:hAnsi="Times New Roman" w:cs="Times New Roman"/>
          <w:bCs/>
          <w:color w:val="000000"/>
          <w:sz w:val="24"/>
          <w:szCs w:val="24"/>
        </w:rPr>
        <w:t>In the 2012 presidential election</w:t>
      </w:r>
      <w:r w:rsidR="00797583" w:rsidRPr="00532928">
        <w:rPr>
          <w:rFonts w:ascii="Times New Roman" w:hAnsi="Times New Roman" w:cs="Times New Roman"/>
          <w:bCs/>
          <w:color w:val="000000"/>
          <w:sz w:val="24"/>
          <w:szCs w:val="24"/>
        </w:rPr>
        <w:t>, with relatively high voter turnout compared to the 1990s,</w:t>
      </w:r>
      <w:r w:rsidR="00FC4D8C" w:rsidRPr="00532928">
        <w:rPr>
          <w:rFonts w:ascii="Times New Roman" w:hAnsi="Times New Roman" w:cs="Times New Roman"/>
          <w:bCs/>
          <w:color w:val="000000"/>
          <w:sz w:val="24"/>
          <w:szCs w:val="24"/>
        </w:rPr>
        <w:t xml:space="preserve"> 45% of young people voted, down from </w:t>
      </w:r>
      <w:r w:rsidR="00797583" w:rsidRPr="00532928">
        <w:rPr>
          <w:rFonts w:ascii="Times New Roman" w:hAnsi="Times New Roman" w:cs="Times New Roman"/>
          <w:bCs/>
          <w:color w:val="000000"/>
          <w:sz w:val="24"/>
          <w:szCs w:val="24"/>
        </w:rPr>
        <w:t>the peak turnout rate of 51% in 2008. I</w:t>
      </w:r>
      <w:r w:rsidR="00FC4D8C" w:rsidRPr="00532928">
        <w:rPr>
          <w:rFonts w:ascii="Times New Roman" w:hAnsi="Times New Roman" w:cs="Times New Roman"/>
          <w:bCs/>
          <w:color w:val="000000"/>
          <w:sz w:val="24"/>
          <w:szCs w:val="24"/>
        </w:rPr>
        <w:t>n 2014</w:t>
      </w:r>
      <w:r w:rsidR="00797583" w:rsidRPr="00532928">
        <w:rPr>
          <w:rFonts w:ascii="Times New Roman" w:hAnsi="Times New Roman" w:cs="Times New Roman"/>
          <w:bCs/>
          <w:color w:val="000000"/>
          <w:sz w:val="24"/>
          <w:szCs w:val="24"/>
        </w:rPr>
        <w:t>, moreover</w:t>
      </w:r>
      <w:r w:rsidR="00FC4D8C" w:rsidRPr="00532928">
        <w:rPr>
          <w:rFonts w:ascii="Times New Roman" w:hAnsi="Times New Roman" w:cs="Times New Roman"/>
          <w:bCs/>
          <w:color w:val="000000"/>
          <w:sz w:val="24"/>
          <w:szCs w:val="24"/>
        </w:rPr>
        <w:t xml:space="preserve"> barely 1/5 of all eligible young peop</w:t>
      </w:r>
      <w:r w:rsidR="00797583" w:rsidRPr="00532928">
        <w:rPr>
          <w:rFonts w:ascii="Times New Roman" w:hAnsi="Times New Roman" w:cs="Times New Roman"/>
          <w:bCs/>
          <w:color w:val="000000"/>
          <w:sz w:val="24"/>
          <w:szCs w:val="24"/>
        </w:rPr>
        <w:t>le voted.  Although young people ages 18-29 were</w:t>
      </w:r>
      <w:r w:rsidR="00FC4D8C" w:rsidRPr="00532928">
        <w:rPr>
          <w:rFonts w:ascii="Times New Roman" w:hAnsi="Times New Roman" w:cs="Times New Roman"/>
          <w:bCs/>
          <w:color w:val="000000"/>
          <w:sz w:val="24"/>
          <w:szCs w:val="24"/>
        </w:rPr>
        <w:t xml:space="preserve"> 21% of the voting eligible population</w:t>
      </w:r>
      <w:r w:rsidR="00797583" w:rsidRPr="00532928">
        <w:rPr>
          <w:rFonts w:ascii="Times New Roman" w:hAnsi="Times New Roman" w:cs="Times New Roman"/>
          <w:bCs/>
          <w:color w:val="000000"/>
          <w:sz w:val="24"/>
          <w:szCs w:val="24"/>
        </w:rPr>
        <w:t xml:space="preserve"> in 2014</w:t>
      </w:r>
      <w:r w:rsidR="00FC4D8C" w:rsidRPr="00532928">
        <w:rPr>
          <w:rFonts w:ascii="Times New Roman" w:hAnsi="Times New Roman" w:cs="Times New Roman"/>
          <w:bCs/>
          <w:color w:val="000000"/>
          <w:sz w:val="24"/>
          <w:szCs w:val="24"/>
        </w:rPr>
        <w:t>, they were only 13% of the entire electorate (</w:t>
      </w:r>
      <w:r w:rsidR="00BA4F4E" w:rsidRPr="00532928">
        <w:rPr>
          <w:rFonts w:ascii="Times New Roman" w:hAnsi="Times New Roman" w:cs="Times New Roman"/>
          <w:bCs/>
          <w:color w:val="000000"/>
          <w:sz w:val="24"/>
          <w:szCs w:val="24"/>
        </w:rPr>
        <w:t xml:space="preserve">CIRCLE </w:t>
      </w:r>
      <w:r w:rsidR="00FC4D8C" w:rsidRPr="00532928">
        <w:rPr>
          <w:rFonts w:ascii="Times New Roman" w:hAnsi="Times New Roman" w:cs="Times New Roman"/>
          <w:bCs/>
          <w:color w:val="000000"/>
          <w:sz w:val="24"/>
          <w:szCs w:val="24"/>
        </w:rPr>
        <w:t xml:space="preserve">2014). </w:t>
      </w:r>
      <w:r w:rsidR="005C1E78" w:rsidRPr="00532928">
        <w:rPr>
          <w:rFonts w:ascii="Times New Roman" w:hAnsi="Times New Roman" w:cs="Times New Roman"/>
          <w:bCs/>
          <w:color w:val="000000"/>
          <w:sz w:val="24"/>
          <w:szCs w:val="24"/>
        </w:rPr>
        <w:t>While these gaps invariably disappear as age-cohorts age, newer generations start out at an increasingly lowe</w:t>
      </w:r>
      <w:r w:rsidR="00797583" w:rsidRPr="00532928">
        <w:rPr>
          <w:rFonts w:ascii="Times New Roman" w:hAnsi="Times New Roman" w:cs="Times New Roman"/>
          <w:bCs/>
          <w:color w:val="000000"/>
          <w:sz w:val="24"/>
          <w:szCs w:val="24"/>
        </w:rPr>
        <w:t xml:space="preserve">r voting rate, and have more </w:t>
      </w:r>
      <w:r w:rsidR="005C1E78" w:rsidRPr="00532928">
        <w:rPr>
          <w:rFonts w:ascii="Times New Roman" w:hAnsi="Times New Roman" w:cs="Times New Roman"/>
          <w:bCs/>
          <w:color w:val="000000"/>
          <w:sz w:val="24"/>
          <w:szCs w:val="24"/>
        </w:rPr>
        <w:t xml:space="preserve">ground to make-up as they assume higher voting rates when they age.  </w:t>
      </w:r>
    </w:p>
    <w:p w14:paraId="078C06BD" w14:textId="77777777" w:rsidR="00797583" w:rsidRPr="00532928" w:rsidRDefault="00E658A6" w:rsidP="00A03C82">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lastRenderedPageBreak/>
        <w:tab/>
      </w:r>
      <w:r w:rsidR="005D55DA" w:rsidRPr="00532928">
        <w:rPr>
          <w:rFonts w:ascii="Times New Roman" w:hAnsi="Times New Roman" w:cs="Times New Roman"/>
          <w:bCs/>
          <w:color w:val="000000"/>
          <w:sz w:val="24"/>
          <w:szCs w:val="24"/>
        </w:rPr>
        <w:t xml:space="preserve">If we are to effectively address both low levels of political knowledge and declining participation rates, particularly among youth, education would be the logical place to begin.  </w:t>
      </w:r>
      <w:r w:rsidR="00797583" w:rsidRPr="00532928">
        <w:rPr>
          <w:rFonts w:ascii="Times New Roman" w:hAnsi="Times New Roman" w:cs="Times New Roman"/>
          <w:bCs/>
          <w:color w:val="000000"/>
          <w:sz w:val="24"/>
          <w:szCs w:val="24"/>
        </w:rPr>
        <w:t xml:space="preserve">Political </w:t>
      </w:r>
      <w:r w:rsidRPr="00532928">
        <w:rPr>
          <w:rFonts w:ascii="Times New Roman" w:hAnsi="Times New Roman" w:cs="Times New Roman"/>
          <w:bCs/>
          <w:color w:val="000000"/>
          <w:sz w:val="24"/>
          <w:szCs w:val="24"/>
        </w:rPr>
        <w:t xml:space="preserve">scientists have long recognized education as the most important variable shaping political participation and political knowledge. </w:t>
      </w:r>
      <w:r w:rsidR="00750F3D" w:rsidRPr="00532928">
        <w:rPr>
          <w:rFonts w:ascii="Times New Roman" w:hAnsi="Times New Roman" w:cs="Times New Roman"/>
          <w:bCs/>
          <w:color w:val="000000"/>
          <w:sz w:val="24"/>
          <w:szCs w:val="24"/>
        </w:rPr>
        <w:t xml:space="preserve"> </w:t>
      </w:r>
      <w:r w:rsidR="005D55DA" w:rsidRPr="00532928">
        <w:rPr>
          <w:rFonts w:ascii="Times New Roman" w:hAnsi="Times New Roman" w:cs="Times New Roman"/>
          <w:bCs/>
          <w:color w:val="000000"/>
          <w:sz w:val="24"/>
          <w:szCs w:val="24"/>
        </w:rPr>
        <w:t>In numerous studies, education levels are tightly correlated with voting turnout, political knowledge, and democratic attitudes and opinions (</w:t>
      </w:r>
      <w:proofErr w:type="spellStart"/>
      <w:r w:rsidR="002B26F7" w:rsidRPr="00532928">
        <w:rPr>
          <w:rFonts w:ascii="Times New Roman" w:hAnsi="Times New Roman" w:cs="Times New Roman"/>
          <w:bCs/>
          <w:color w:val="000000"/>
          <w:sz w:val="24"/>
          <w:szCs w:val="24"/>
        </w:rPr>
        <w:t>Nie</w:t>
      </w:r>
      <w:proofErr w:type="spellEnd"/>
      <w:r w:rsidR="002B26F7" w:rsidRPr="00532928">
        <w:rPr>
          <w:rFonts w:ascii="Times New Roman" w:hAnsi="Times New Roman" w:cs="Times New Roman"/>
          <w:bCs/>
          <w:color w:val="000000"/>
          <w:sz w:val="24"/>
          <w:szCs w:val="24"/>
        </w:rPr>
        <w:t xml:space="preserve"> et al., 1996; </w:t>
      </w:r>
      <w:proofErr w:type="spellStart"/>
      <w:r w:rsidR="005D55DA" w:rsidRPr="00532928">
        <w:rPr>
          <w:rFonts w:ascii="Times New Roman" w:hAnsi="Times New Roman" w:cs="Times New Roman"/>
          <w:bCs/>
          <w:color w:val="000000"/>
          <w:sz w:val="24"/>
          <w:szCs w:val="24"/>
        </w:rPr>
        <w:t>Verba</w:t>
      </w:r>
      <w:proofErr w:type="spellEnd"/>
      <w:r w:rsidR="005D55DA" w:rsidRPr="00532928">
        <w:rPr>
          <w:rFonts w:ascii="Times New Roman" w:hAnsi="Times New Roman" w:cs="Times New Roman"/>
          <w:bCs/>
          <w:color w:val="000000"/>
          <w:sz w:val="24"/>
          <w:szCs w:val="24"/>
        </w:rPr>
        <w:t xml:space="preserve">, </w:t>
      </w:r>
      <w:proofErr w:type="spellStart"/>
      <w:r w:rsidR="005D55DA" w:rsidRPr="00532928">
        <w:rPr>
          <w:rFonts w:ascii="Times New Roman" w:hAnsi="Times New Roman" w:cs="Times New Roman"/>
          <w:bCs/>
          <w:color w:val="000000"/>
          <w:sz w:val="24"/>
          <w:szCs w:val="24"/>
        </w:rPr>
        <w:t>Schlozman</w:t>
      </w:r>
      <w:proofErr w:type="spellEnd"/>
      <w:r w:rsidR="005D55DA" w:rsidRPr="00532928">
        <w:rPr>
          <w:rFonts w:ascii="Times New Roman" w:hAnsi="Times New Roman" w:cs="Times New Roman"/>
          <w:bCs/>
          <w:color w:val="000000"/>
          <w:sz w:val="24"/>
          <w:szCs w:val="24"/>
        </w:rPr>
        <w:t xml:space="preserve"> and Brady 1995; </w:t>
      </w:r>
      <w:proofErr w:type="spellStart"/>
      <w:r w:rsidR="005D55DA" w:rsidRPr="00532928">
        <w:rPr>
          <w:rFonts w:ascii="Times New Roman" w:hAnsi="Times New Roman" w:cs="Times New Roman"/>
          <w:bCs/>
          <w:color w:val="000000"/>
          <w:sz w:val="24"/>
          <w:szCs w:val="24"/>
        </w:rPr>
        <w:t>Rosenstone</w:t>
      </w:r>
      <w:proofErr w:type="spellEnd"/>
      <w:r w:rsidR="005D55DA" w:rsidRPr="00532928">
        <w:rPr>
          <w:rFonts w:ascii="Times New Roman" w:hAnsi="Times New Roman" w:cs="Times New Roman"/>
          <w:bCs/>
          <w:color w:val="000000"/>
          <w:sz w:val="24"/>
          <w:szCs w:val="24"/>
        </w:rPr>
        <w:t xml:space="preserve"> and Hansen 1993; </w:t>
      </w:r>
      <w:proofErr w:type="spellStart"/>
      <w:r w:rsidR="005D55DA" w:rsidRPr="00532928">
        <w:rPr>
          <w:rFonts w:ascii="Times New Roman" w:hAnsi="Times New Roman" w:cs="Times New Roman"/>
          <w:bCs/>
          <w:color w:val="000000"/>
          <w:sz w:val="24"/>
          <w:szCs w:val="24"/>
        </w:rPr>
        <w:t>Wolfinger</w:t>
      </w:r>
      <w:proofErr w:type="spellEnd"/>
      <w:r w:rsidR="005D55DA" w:rsidRPr="00532928">
        <w:rPr>
          <w:rFonts w:ascii="Times New Roman" w:hAnsi="Times New Roman" w:cs="Times New Roman"/>
          <w:bCs/>
          <w:color w:val="000000"/>
          <w:sz w:val="24"/>
          <w:szCs w:val="24"/>
        </w:rPr>
        <w:t xml:space="preserve"> and </w:t>
      </w:r>
      <w:proofErr w:type="spellStart"/>
      <w:r w:rsidR="005D55DA" w:rsidRPr="00532928">
        <w:rPr>
          <w:rFonts w:ascii="Times New Roman" w:hAnsi="Times New Roman" w:cs="Times New Roman"/>
          <w:bCs/>
          <w:color w:val="000000"/>
          <w:sz w:val="24"/>
          <w:szCs w:val="24"/>
        </w:rPr>
        <w:t>Rosenstone</w:t>
      </w:r>
      <w:proofErr w:type="spellEnd"/>
      <w:r w:rsidR="005D55DA" w:rsidRPr="00532928">
        <w:rPr>
          <w:rFonts w:ascii="Times New Roman" w:hAnsi="Times New Roman" w:cs="Times New Roman"/>
          <w:bCs/>
          <w:color w:val="000000"/>
          <w:sz w:val="24"/>
          <w:szCs w:val="24"/>
        </w:rPr>
        <w:t xml:space="preserve"> 1980).  These findings hold even when</w:t>
      </w:r>
      <w:r w:rsidR="002B26F7" w:rsidRPr="00532928">
        <w:rPr>
          <w:rFonts w:ascii="Times New Roman" w:hAnsi="Times New Roman" w:cs="Times New Roman"/>
          <w:bCs/>
          <w:color w:val="000000"/>
          <w:sz w:val="24"/>
          <w:szCs w:val="24"/>
        </w:rPr>
        <w:t xml:space="preserve"> </w:t>
      </w:r>
      <w:r w:rsidR="005D55DA" w:rsidRPr="00532928">
        <w:rPr>
          <w:rFonts w:ascii="Times New Roman" w:hAnsi="Times New Roman" w:cs="Times New Roman"/>
          <w:bCs/>
          <w:color w:val="000000"/>
          <w:sz w:val="24"/>
          <w:szCs w:val="24"/>
        </w:rPr>
        <w:t>c</w:t>
      </w:r>
      <w:r w:rsidR="002B26F7" w:rsidRPr="00532928">
        <w:rPr>
          <w:rFonts w:ascii="Times New Roman" w:hAnsi="Times New Roman" w:cs="Times New Roman"/>
          <w:bCs/>
          <w:color w:val="000000"/>
          <w:sz w:val="24"/>
          <w:szCs w:val="24"/>
        </w:rPr>
        <w:t xml:space="preserve">lass and race are controlled: education is the strongest independent variable affecting political engagement.  As </w:t>
      </w:r>
      <w:proofErr w:type="spellStart"/>
      <w:r w:rsidR="002B26F7" w:rsidRPr="00532928">
        <w:rPr>
          <w:rFonts w:ascii="Times New Roman" w:hAnsi="Times New Roman" w:cs="Times New Roman"/>
          <w:bCs/>
          <w:color w:val="000000"/>
          <w:sz w:val="24"/>
          <w:szCs w:val="24"/>
        </w:rPr>
        <w:t>Hillygus</w:t>
      </w:r>
      <w:proofErr w:type="spellEnd"/>
      <w:r w:rsidR="002B26F7" w:rsidRPr="00532928">
        <w:rPr>
          <w:rFonts w:ascii="Times New Roman" w:hAnsi="Times New Roman" w:cs="Times New Roman"/>
          <w:bCs/>
          <w:color w:val="000000"/>
          <w:sz w:val="24"/>
          <w:szCs w:val="24"/>
        </w:rPr>
        <w:t xml:space="preserve"> (2005) points out, however, the mechanism by which education affects political engagement is unclear: all we know for sure is that education is the central variable explaining differences in participation and political knowledge.  </w:t>
      </w:r>
    </w:p>
    <w:p w14:paraId="6DB3529F" w14:textId="56338049" w:rsidR="00A03C82" w:rsidRPr="00532928" w:rsidRDefault="002B26F7" w:rsidP="00797583">
      <w:pPr>
        <w:spacing w:line="480" w:lineRule="auto"/>
        <w:ind w:firstLine="720"/>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 xml:space="preserve">There are at least </w:t>
      </w:r>
      <w:r w:rsidR="00797583" w:rsidRPr="00532928">
        <w:rPr>
          <w:rFonts w:ascii="Times New Roman" w:hAnsi="Times New Roman" w:cs="Times New Roman"/>
          <w:bCs/>
          <w:color w:val="000000"/>
          <w:sz w:val="24"/>
          <w:szCs w:val="24"/>
        </w:rPr>
        <w:t>three</w:t>
      </w:r>
      <w:r w:rsidRPr="00532928">
        <w:rPr>
          <w:rFonts w:ascii="Times New Roman" w:hAnsi="Times New Roman" w:cs="Times New Roman"/>
          <w:bCs/>
          <w:color w:val="000000"/>
          <w:sz w:val="24"/>
          <w:szCs w:val="24"/>
        </w:rPr>
        <w:t xml:space="preserve"> possible theories for how education works, which </w:t>
      </w:r>
      <w:proofErr w:type="spellStart"/>
      <w:r w:rsidRPr="00532928">
        <w:rPr>
          <w:rFonts w:ascii="Times New Roman" w:hAnsi="Times New Roman" w:cs="Times New Roman"/>
          <w:bCs/>
          <w:color w:val="000000"/>
          <w:sz w:val="24"/>
          <w:szCs w:val="24"/>
        </w:rPr>
        <w:t>Hillygus</w:t>
      </w:r>
      <w:proofErr w:type="spellEnd"/>
      <w:r w:rsidRPr="00532928">
        <w:rPr>
          <w:rFonts w:ascii="Times New Roman" w:hAnsi="Times New Roman" w:cs="Times New Roman"/>
          <w:bCs/>
          <w:color w:val="000000"/>
          <w:sz w:val="24"/>
          <w:szCs w:val="24"/>
        </w:rPr>
        <w:t xml:space="preserve"> identifies as: 1) the civic education hypothesis; 2) the social network hypothesis; and 3) the political meritocracy hypothesis (p. 27). </w:t>
      </w:r>
      <w:r w:rsidR="005D55DA" w:rsidRPr="00532928">
        <w:rPr>
          <w:rFonts w:ascii="Times New Roman" w:hAnsi="Times New Roman" w:cs="Times New Roman"/>
          <w:bCs/>
          <w:color w:val="000000"/>
          <w:sz w:val="24"/>
          <w:szCs w:val="24"/>
        </w:rPr>
        <w:t xml:space="preserve">  </w:t>
      </w:r>
      <w:r w:rsidR="006815CD" w:rsidRPr="00532928">
        <w:rPr>
          <w:rFonts w:ascii="Times New Roman" w:hAnsi="Times New Roman" w:cs="Times New Roman"/>
          <w:bCs/>
          <w:color w:val="000000"/>
          <w:sz w:val="24"/>
          <w:szCs w:val="24"/>
        </w:rPr>
        <w:t>The civic education theory holds that education provides the necessary skills and knowledge for people to become politically engaged.  It does this by making citizens more capable and thereby lowering the entry costs for participation (</w:t>
      </w:r>
      <w:proofErr w:type="spellStart"/>
      <w:r w:rsidR="006815CD" w:rsidRPr="00532928">
        <w:rPr>
          <w:rFonts w:ascii="Times New Roman" w:hAnsi="Times New Roman" w:cs="Times New Roman"/>
          <w:bCs/>
          <w:color w:val="000000"/>
          <w:sz w:val="24"/>
          <w:szCs w:val="24"/>
        </w:rPr>
        <w:t>Niemi</w:t>
      </w:r>
      <w:proofErr w:type="spellEnd"/>
      <w:r w:rsidR="006815CD" w:rsidRPr="00532928">
        <w:rPr>
          <w:rFonts w:ascii="Times New Roman" w:hAnsi="Times New Roman" w:cs="Times New Roman"/>
          <w:bCs/>
          <w:color w:val="000000"/>
          <w:sz w:val="24"/>
          <w:szCs w:val="24"/>
        </w:rPr>
        <w:t xml:space="preserve"> and </w:t>
      </w:r>
      <w:proofErr w:type="spellStart"/>
      <w:r w:rsidR="006815CD" w:rsidRPr="00532928">
        <w:rPr>
          <w:rFonts w:ascii="Times New Roman" w:hAnsi="Times New Roman" w:cs="Times New Roman"/>
          <w:bCs/>
          <w:color w:val="000000"/>
          <w:sz w:val="24"/>
          <w:szCs w:val="24"/>
        </w:rPr>
        <w:t>Junn</w:t>
      </w:r>
      <w:proofErr w:type="spellEnd"/>
      <w:r w:rsidR="006815CD" w:rsidRPr="00532928">
        <w:rPr>
          <w:rFonts w:ascii="Times New Roman" w:hAnsi="Times New Roman" w:cs="Times New Roman"/>
          <w:bCs/>
          <w:color w:val="000000"/>
          <w:sz w:val="24"/>
          <w:szCs w:val="24"/>
        </w:rPr>
        <w:t xml:space="preserve"> 1998).  The social network hypothesis </w:t>
      </w:r>
      <w:r w:rsidR="00FD650E" w:rsidRPr="00532928">
        <w:rPr>
          <w:rFonts w:ascii="Times New Roman" w:hAnsi="Times New Roman" w:cs="Times New Roman"/>
          <w:bCs/>
          <w:color w:val="000000"/>
          <w:sz w:val="24"/>
          <w:szCs w:val="24"/>
        </w:rPr>
        <w:t>holds that education levels determine an individual’s status and position in society, with those closer to the center of power more likely to participate (</w:t>
      </w:r>
      <w:proofErr w:type="spellStart"/>
      <w:r w:rsidR="00FD650E" w:rsidRPr="00532928">
        <w:rPr>
          <w:rFonts w:ascii="Times New Roman" w:hAnsi="Times New Roman" w:cs="Times New Roman"/>
          <w:bCs/>
          <w:color w:val="000000"/>
          <w:sz w:val="24"/>
          <w:szCs w:val="24"/>
        </w:rPr>
        <w:t>Nie</w:t>
      </w:r>
      <w:proofErr w:type="spellEnd"/>
      <w:r w:rsidR="00FD650E" w:rsidRPr="00532928">
        <w:rPr>
          <w:rFonts w:ascii="Times New Roman" w:hAnsi="Times New Roman" w:cs="Times New Roman"/>
          <w:bCs/>
          <w:color w:val="000000"/>
          <w:sz w:val="24"/>
          <w:szCs w:val="24"/>
        </w:rPr>
        <w:t xml:space="preserve"> et al. 1996).  </w:t>
      </w:r>
      <w:r w:rsidR="00C52801" w:rsidRPr="00532928">
        <w:rPr>
          <w:rFonts w:ascii="Times New Roman" w:hAnsi="Times New Roman" w:cs="Times New Roman"/>
          <w:bCs/>
          <w:color w:val="000000"/>
          <w:sz w:val="24"/>
          <w:szCs w:val="24"/>
        </w:rPr>
        <w:t xml:space="preserve">Finally the political meritocracy hypothesis argues that educational levels reflect an underlying differentiation of intellect, with brighter individuals more likely to achieve higher levels of education </w:t>
      </w:r>
      <w:r w:rsidR="00C52801" w:rsidRPr="00532928">
        <w:rPr>
          <w:rFonts w:ascii="Times New Roman" w:hAnsi="Times New Roman" w:cs="Times New Roman"/>
          <w:bCs/>
          <w:i/>
          <w:color w:val="000000"/>
          <w:sz w:val="24"/>
          <w:szCs w:val="24"/>
        </w:rPr>
        <w:t xml:space="preserve">and </w:t>
      </w:r>
      <w:r w:rsidR="00C52801" w:rsidRPr="00532928">
        <w:rPr>
          <w:rFonts w:ascii="Times New Roman" w:hAnsi="Times New Roman" w:cs="Times New Roman"/>
          <w:bCs/>
          <w:color w:val="000000"/>
          <w:sz w:val="24"/>
          <w:szCs w:val="24"/>
        </w:rPr>
        <w:t>to participate at higher rate</w:t>
      </w:r>
      <w:r w:rsidR="00A03C82" w:rsidRPr="00532928">
        <w:rPr>
          <w:rFonts w:ascii="Times New Roman" w:hAnsi="Times New Roman" w:cs="Times New Roman"/>
          <w:bCs/>
          <w:color w:val="000000"/>
          <w:sz w:val="24"/>
          <w:szCs w:val="24"/>
        </w:rPr>
        <w:t>s (</w:t>
      </w:r>
      <w:proofErr w:type="spellStart"/>
      <w:r w:rsidR="00A03C82" w:rsidRPr="00532928">
        <w:rPr>
          <w:rFonts w:ascii="Times New Roman" w:hAnsi="Times New Roman" w:cs="Times New Roman"/>
          <w:bCs/>
          <w:color w:val="000000"/>
          <w:sz w:val="24"/>
          <w:szCs w:val="24"/>
        </w:rPr>
        <w:t>Hernstein</w:t>
      </w:r>
      <w:proofErr w:type="spellEnd"/>
      <w:r w:rsidR="00A03C82" w:rsidRPr="00532928">
        <w:rPr>
          <w:rFonts w:ascii="Times New Roman" w:hAnsi="Times New Roman" w:cs="Times New Roman"/>
          <w:bCs/>
          <w:color w:val="000000"/>
          <w:sz w:val="24"/>
          <w:szCs w:val="24"/>
        </w:rPr>
        <w:t xml:space="preserve"> and Murray 1994).   </w:t>
      </w:r>
      <w:proofErr w:type="spellStart"/>
      <w:r w:rsidR="00A03C82" w:rsidRPr="00532928">
        <w:rPr>
          <w:rFonts w:ascii="Times New Roman" w:hAnsi="Times New Roman" w:cs="Times New Roman"/>
          <w:bCs/>
          <w:color w:val="000000"/>
          <w:sz w:val="24"/>
          <w:szCs w:val="24"/>
        </w:rPr>
        <w:t>Hillygus</w:t>
      </w:r>
      <w:proofErr w:type="spellEnd"/>
      <w:r w:rsidR="00A03C82" w:rsidRPr="00532928">
        <w:rPr>
          <w:rFonts w:ascii="Times New Roman" w:hAnsi="Times New Roman" w:cs="Times New Roman"/>
          <w:bCs/>
          <w:color w:val="000000"/>
          <w:sz w:val="24"/>
          <w:szCs w:val="24"/>
        </w:rPr>
        <w:t xml:space="preserve"> (2005) tests these models empirically and finds little support for the meritocracy or network hypotheses, but strong evidence for the civic education hypothesis: </w:t>
      </w:r>
      <w:r w:rsidR="00A03C82" w:rsidRPr="00532928">
        <w:rPr>
          <w:rFonts w:ascii="Times New Roman" w:hAnsi="Times New Roman" w:cs="Times New Roman"/>
          <w:bCs/>
          <w:color w:val="000000"/>
          <w:sz w:val="24"/>
          <w:szCs w:val="24"/>
        </w:rPr>
        <w:lastRenderedPageBreak/>
        <w:t xml:space="preserve">higher levels of education provide individuals with greater capacity to navigate the complex political and policy environments, and therefore </w:t>
      </w:r>
      <w:r w:rsidR="00797583" w:rsidRPr="00532928">
        <w:rPr>
          <w:rFonts w:ascii="Times New Roman" w:hAnsi="Times New Roman" w:cs="Times New Roman"/>
          <w:bCs/>
          <w:color w:val="000000"/>
          <w:sz w:val="24"/>
          <w:szCs w:val="24"/>
        </w:rPr>
        <w:t xml:space="preserve">education </w:t>
      </w:r>
      <w:r w:rsidR="00A03C82" w:rsidRPr="00532928">
        <w:rPr>
          <w:rFonts w:ascii="Times New Roman" w:hAnsi="Times New Roman" w:cs="Times New Roman"/>
          <w:bCs/>
          <w:color w:val="000000"/>
          <w:sz w:val="24"/>
          <w:szCs w:val="24"/>
        </w:rPr>
        <w:t>engenders greater levels of participation.</w:t>
      </w:r>
    </w:p>
    <w:p w14:paraId="55F75C82" w14:textId="32FE78FA" w:rsidR="00A650C8" w:rsidRPr="00532928" w:rsidRDefault="00A650C8" w:rsidP="00A03C82">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t xml:space="preserve">If education can be a powerful predictor of participation, and the mechanism at work is the expansion of individual capacities to understand their political world, then civic education programs in higher education may hold the key to lifting levels of engagement.  In fact, </w:t>
      </w:r>
      <w:proofErr w:type="spellStart"/>
      <w:r w:rsidR="009A4BF2" w:rsidRPr="00532928">
        <w:rPr>
          <w:rFonts w:ascii="Times New Roman" w:hAnsi="Times New Roman" w:cs="Times New Roman"/>
          <w:bCs/>
          <w:color w:val="000000"/>
          <w:sz w:val="24"/>
          <w:szCs w:val="24"/>
        </w:rPr>
        <w:t>Niemi</w:t>
      </w:r>
      <w:proofErr w:type="spellEnd"/>
      <w:r w:rsidR="009A4BF2" w:rsidRPr="00532928">
        <w:rPr>
          <w:rFonts w:ascii="Times New Roman" w:hAnsi="Times New Roman" w:cs="Times New Roman"/>
          <w:bCs/>
          <w:color w:val="000000"/>
          <w:sz w:val="24"/>
          <w:szCs w:val="24"/>
        </w:rPr>
        <w:t xml:space="preserve"> and </w:t>
      </w:r>
      <w:proofErr w:type="spellStart"/>
      <w:r w:rsidR="009A4BF2" w:rsidRPr="00532928">
        <w:rPr>
          <w:rFonts w:ascii="Times New Roman" w:hAnsi="Times New Roman" w:cs="Times New Roman"/>
          <w:bCs/>
          <w:color w:val="000000"/>
          <w:sz w:val="24"/>
          <w:szCs w:val="24"/>
        </w:rPr>
        <w:t>Junn</w:t>
      </w:r>
      <w:proofErr w:type="spellEnd"/>
      <w:r w:rsidR="009A4BF2" w:rsidRPr="00532928">
        <w:rPr>
          <w:rFonts w:ascii="Times New Roman" w:hAnsi="Times New Roman" w:cs="Times New Roman"/>
          <w:bCs/>
          <w:color w:val="000000"/>
          <w:sz w:val="24"/>
          <w:szCs w:val="24"/>
        </w:rPr>
        <w:t xml:space="preserve"> (1998) find that civic education </w:t>
      </w:r>
      <w:r w:rsidR="009B313D" w:rsidRPr="00532928">
        <w:rPr>
          <w:rFonts w:ascii="Times New Roman" w:hAnsi="Times New Roman" w:cs="Times New Roman"/>
          <w:bCs/>
          <w:color w:val="000000"/>
          <w:sz w:val="24"/>
          <w:szCs w:val="24"/>
        </w:rPr>
        <w:t>can have this effect.  They also find that civic education</w:t>
      </w:r>
      <w:r w:rsidR="009A4BF2" w:rsidRPr="00532928">
        <w:rPr>
          <w:rFonts w:ascii="Times New Roman" w:hAnsi="Times New Roman" w:cs="Times New Roman"/>
          <w:bCs/>
          <w:color w:val="000000"/>
          <w:sz w:val="24"/>
          <w:szCs w:val="24"/>
        </w:rPr>
        <w:t xml:space="preserve"> varies</w:t>
      </w:r>
      <w:r w:rsidR="009B313D" w:rsidRPr="00532928">
        <w:rPr>
          <w:rFonts w:ascii="Times New Roman" w:hAnsi="Times New Roman" w:cs="Times New Roman"/>
          <w:bCs/>
          <w:color w:val="000000"/>
          <w:sz w:val="24"/>
          <w:szCs w:val="24"/>
        </w:rPr>
        <w:t xml:space="preserve"> in its effectiveness</w:t>
      </w:r>
      <w:r w:rsidR="009A4BF2" w:rsidRPr="00532928">
        <w:rPr>
          <w:rFonts w:ascii="Times New Roman" w:hAnsi="Times New Roman" w:cs="Times New Roman"/>
          <w:bCs/>
          <w:color w:val="000000"/>
          <w:sz w:val="24"/>
          <w:szCs w:val="24"/>
        </w:rPr>
        <w:t xml:space="preserve"> according to the amount of instruction that is received, the variety of the topics studied, and the frequency that current events were discussed in class (</w:t>
      </w:r>
      <w:proofErr w:type="spellStart"/>
      <w:r w:rsidR="009A4BF2" w:rsidRPr="00532928">
        <w:rPr>
          <w:rFonts w:ascii="Times New Roman" w:hAnsi="Times New Roman" w:cs="Times New Roman"/>
          <w:bCs/>
          <w:color w:val="000000"/>
          <w:sz w:val="24"/>
          <w:szCs w:val="24"/>
        </w:rPr>
        <w:t>Galston</w:t>
      </w:r>
      <w:proofErr w:type="spellEnd"/>
      <w:r w:rsidR="009A4BF2" w:rsidRPr="00532928">
        <w:rPr>
          <w:rFonts w:ascii="Times New Roman" w:hAnsi="Times New Roman" w:cs="Times New Roman"/>
          <w:bCs/>
          <w:color w:val="000000"/>
          <w:sz w:val="24"/>
          <w:szCs w:val="24"/>
        </w:rPr>
        <w:t xml:space="preserve"> 2001, p. 227). </w:t>
      </w:r>
      <w:r w:rsidR="009B313D" w:rsidRPr="00532928">
        <w:rPr>
          <w:rFonts w:ascii="Times New Roman" w:hAnsi="Times New Roman" w:cs="Times New Roman"/>
          <w:bCs/>
          <w:color w:val="000000"/>
          <w:sz w:val="24"/>
          <w:szCs w:val="24"/>
        </w:rPr>
        <w:t xml:space="preserve"> In addition, t</w:t>
      </w:r>
      <w:r w:rsidR="009A4BF2" w:rsidRPr="00532928">
        <w:rPr>
          <w:rFonts w:ascii="Times New Roman" w:hAnsi="Times New Roman" w:cs="Times New Roman"/>
          <w:bCs/>
          <w:color w:val="000000"/>
          <w:sz w:val="24"/>
          <w:szCs w:val="24"/>
        </w:rPr>
        <w:t>hey find that civic education has a greater impact on 12</w:t>
      </w:r>
      <w:r w:rsidR="009A4BF2" w:rsidRPr="00532928">
        <w:rPr>
          <w:rFonts w:ascii="Times New Roman" w:hAnsi="Times New Roman" w:cs="Times New Roman"/>
          <w:bCs/>
          <w:color w:val="000000"/>
          <w:sz w:val="24"/>
          <w:szCs w:val="24"/>
          <w:vertAlign w:val="superscript"/>
        </w:rPr>
        <w:t>th</w:t>
      </w:r>
      <w:r w:rsidR="009A4BF2" w:rsidRPr="00532928">
        <w:rPr>
          <w:rFonts w:ascii="Times New Roman" w:hAnsi="Times New Roman" w:cs="Times New Roman"/>
          <w:bCs/>
          <w:color w:val="000000"/>
          <w:sz w:val="24"/>
          <w:szCs w:val="24"/>
        </w:rPr>
        <w:t xml:space="preserve"> graders than younger grades, suggesting that higher education efforts to promote civic engagement may be more promising than secondary or elemen</w:t>
      </w:r>
      <w:r w:rsidR="008800F2" w:rsidRPr="00532928">
        <w:rPr>
          <w:rFonts w:ascii="Times New Roman" w:hAnsi="Times New Roman" w:cs="Times New Roman"/>
          <w:bCs/>
          <w:color w:val="000000"/>
          <w:sz w:val="24"/>
          <w:szCs w:val="24"/>
        </w:rPr>
        <w:t xml:space="preserve">tary school programs.  </w:t>
      </w:r>
    </w:p>
    <w:p w14:paraId="7C4724A1" w14:textId="6F6962A8" w:rsidR="00FA147B" w:rsidRPr="00532928" w:rsidRDefault="001A1C53" w:rsidP="00A03C82">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t xml:space="preserve">If one’s objective </w:t>
      </w:r>
      <w:r w:rsidR="00797583" w:rsidRPr="00532928">
        <w:rPr>
          <w:rFonts w:ascii="Times New Roman" w:hAnsi="Times New Roman" w:cs="Times New Roman"/>
          <w:bCs/>
          <w:color w:val="000000"/>
          <w:sz w:val="24"/>
          <w:szCs w:val="24"/>
        </w:rPr>
        <w:t xml:space="preserve">with civic education programs </w:t>
      </w:r>
      <w:r w:rsidRPr="00532928">
        <w:rPr>
          <w:rFonts w:ascii="Times New Roman" w:hAnsi="Times New Roman" w:cs="Times New Roman"/>
          <w:bCs/>
          <w:color w:val="000000"/>
          <w:sz w:val="24"/>
          <w:szCs w:val="24"/>
        </w:rPr>
        <w:t xml:space="preserve">is to foster greater engagement, then </w:t>
      </w:r>
      <w:r w:rsidR="00797583" w:rsidRPr="00532928">
        <w:rPr>
          <w:rFonts w:ascii="Times New Roman" w:hAnsi="Times New Roman" w:cs="Times New Roman"/>
          <w:bCs/>
          <w:color w:val="000000"/>
          <w:sz w:val="24"/>
          <w:szCs w:val="24"/>
        </w:rPr>
        <w:t>students require</w:t>
      </w:r>
      <w:r w:rsidR="00BF21BB" w:rsidRPr="00532928">
        <w:rPr>
          <w:rFonts w:ascii="Times New Roman" w:hAnsi="Times New Roman" w:cs="Times New Roman"/>
          <w:bCs/>
          <w:color w:val="000000"/>
          <w:sz w:val="24"/>
          <w:szCs w:val="24"/>
        </w:rPr>
        <w:t>:</w:t>
      </w:r>
      <w:r w:rsidRPr="00532928">
        <w:rPr>
          <w:rFonts w:ascii="Times New Roman" w:hAnsi="Times New Roman" w:cs="Times New Roman"/>
          <w:bCs/>
          <w:color w:val="000000"/>
          <w:sz w:val="24"/>
          <w:szCs w:val="24"/>
        </w:rPr>
        <w:t xml:space="preserve"> </w:t>
      </w:r>
      <w:r w:rsidR="00BF21BB" w:rsidRPr="00532928">
        <w:rPr>
          <w:rFonts w:ascii="Times New Roman" w:hAnsi="Times New Roman" w:cs="Times New Roman"/>
          <w:bCs/>
          <w:color w:val="000000"/>
          <w:sz w:val="24"/>
          <w:szCs w:val="24"/>
        </w:rPr>
        <w:t xml:space="preserve">1) </w:t>
      </w:r>
      <w:r w:rsidR="00797583" w:rsidRPr="00532928">
        <w:rPr>
          <w:rFonts w:ascii="Times New Roman" w:hAnsi="Times New Roman" w:cs="Times New Roman"/>
          <w:bCs/>
          <w:color w:val="000000"/>
          <w:sz w:val="24"/>
          <w:szCs w:val="24"/>
        </w:rPr>
        <w:t xml:space="preserve">the capacity to </w:t>
      </w:r>
      <w:r w:rsidRPr="00532928">
        <w:rPr>
          <w:rFonts w:ascii="Times New Roman" w:hAnsi="Times New Roman" w:cs="Times New Roman"/>
          <w:bCs/>
          <w:color w:val="000000"/>
          <w:sz w:val="24"/>
          <w:szCs w:val="24"/>
        </w:rPr>
        <w:t xml:space="preserve">understand the issues and processes involved in public affairs; </w:t>
      </w:r>
      <w:r w:rsidR="00BF21BB" w:rsidRPr="00532928">
        <w:rPr>
          <w:rFonts w:ascii="Times New Roman" w:hAnsi="Times New Roman" w:cs="Times New Roman"/>
          <w:bCs/>
          <w:color w:val="000000"/>
          <w:sz w:val="24"/>
          <w:szCs w:val="24"/>
        </w:rPr>
        <w:t xml:space="preserve">2) </w:t>
      </w:r>
      <w:r w:rsidRPr="00532928">
        <w:rPr>
          <w:rFonts w:ascii="Times New Roman" w:hAnsi="Times New Roman" w:cs="Times New Roman"/>
          <w:bCs/>
          <w:color w:val="000000"/>
          <w:sz w:val="24"/>
          <w:szCs w:val="24"/>
        </w:rPr>
        <w:t xml:space="preserve">the necessary skills for civic involvement; and </w:t>
      </w:r>
      <w:r w:rsidR="00BF21BB" w:rsidRPr="00532928">
        <w:rPr>
          <w:rFonts w:ascii="Times New Roman" w:hAnsi="Times New Roman" w:cs="Times New Roman"/>
          <w:bCs/>
          <w:color w:val="000000"/>
          <w:sz w:val="24"/>
          <w:szCs w:val="24"/>
        </w:rPr>
        <w:t xml:space="preserve">3) </w:t>
      </w:r>
      <w:r w:rsidRPr="00532928">
        <w:rPr>
          <w:rFonts w:ascii="Times New Roman" w:hAnsi="Times New Roman" w:cs="Times New Roman"/>
          <w:bCs/>
          <w:color w:val="000000"/>
          <w:sz w:val="24"/>
          <w:szCs w:val="24"/>
        </w:rPr>
        <w:t>the motivation to engage politically.  Educational interventions that provide students with an introduction to government institutions, political processes, and public policies address the first pre-condition – understanding.  Programs that teach students how to engage p</w:t>
      </w:r>
      <w:r w:rsidR="00BF21BB" w:rsidRPr="00532928">
        <w:rPr>
          <w:rFonts w:ascii="Times New Roman" w:hAnsi="Times New Roman" w:cs="Times New Roman"/>
          <w:bCs/>
          <w:color w:val="000000"/>
          <w:sz w:val="24"/>
          <w:szCs w:val="24"/>
        </w:rPr>
        <w:t>olitically are essential to addressing the second</w:t>
      </w:r>
      <w:r w:rsidR="00797583" w:rsidRPr="00532928">
        <w:rPr>
          <w:rFonts w:ascii="Times New Roman" w:hAnsi="Times New Roman" w:cs="Times New Roman"/>
          <w:bCs/>
          <w:color w:val="000000"/>
          <w:sz w:val="24"/>
          <w:szCs w:val="24"/>
        </w:rPr>
        <w:t>.  These programs should teach students a mix of strategies and skills:</w:t>
      </w:r>
      <w:r w:rsidRPr="00532928">
        <w:rPr>
          <w:rFonts w:ascii="Times New Roman" w:hAnsi="Times New Roman" w:cs="Times New Roman"/>
          <w:bCs/>
          <w:color w:val="000000"/>
          <w:sz w:val="24"/>
          <w:szCs w:val="24"/>
        </w:rPr>
        <w:t xml:space="preserve"> how to organize in groups, research issues of concern, develop their own positions, discuss and present their views with/to others, </w:t>
      </w:r>
      <w:r w:rsidR="00797583" w:rsidRPr="00532928">
        <w:rPr>
          <w:rFonts w:ascii="Times New Roman" w:hAnsi="Times New Roman" w:cs="Times New Roman"/>
          <w:bCs/>
          <w:color w:val="000000"/>
          <w:sz w:val="24"/>
          <w:szCs w:val="24"/>
        </w:rPr>
        <w:t>discuss issues with others that hold differing views,</w:t>
      </w:r>
      <w:r w:rsidRPr="00532928">
        <w:rPr>
          <w:rFonts w:ascii="Times New Roman" w:hAnsi="Times New Roman" w:cs="Times New Roman"/>
          <w:bCs/>
          <w:color w:val="000000"/>
          <w:sz w:val="24"/>
          <w:szCs w:val="24"/>
        </w:rPr>
        <w:t xml:space="preserve"> </w:t>
      </w:r>
      <w:r w:rsidR="00BF21BB" w:rsidRPr="00532928">
        <w:rPr>
          <w:rFonts w:ascii="Times New Roman" w:hAnsi="Times New Roman" w:cs="Times New Roman"/>
          <w:bCs/>
          <w:color w:val="000000"/>
          <w:sz w:val="24"/>
          <w:szCs w:val="24"/>
        </w:rPr>
        <w:t xml:space="preserve">and </w:t>
      </w:r>
      <w:r w:rsidRPr="00532928">
        <w:rPr>
          <w:rFonts w:ascii="Times New Roman" w:hAnsi="Times New Roman" w:cs="Times New Roman"/>
          <w:bCs/>
          <w:color w:val="000000"/>
          <w:sz w:val="24"/>
          <w:szCs w:val="24"/>
        </w:rPr>
        <w:t xml:space="preserve">identify political actions </w:t>
      </w:r>
      <w:r w:rsidR="00BF21BB" w:rsidRPr="00532928">
        <w:rPr>
          <w:rFonts w:ascii="Times New Roman" w:hAnsi="Times New Roman" w:cs="Times New Roman"/>
          <w:bCs/>
          <w:color w:val="000000"/>
          <w:sz w:val="24"/>
          <w:szCs w:val="24"/>
        </w:rPr>
        <w:t>and processes where they can advance their views meaningfully, i.e. voting, letter writing</w:t>
      </w:r>
      <w:r w:rsidR="00797583" w:rsidRPr="00532928">
        <w:rPr>
          <w:rFonts w:ascii="Times New Roman" w:hAnsi="Times New Roman" w:cs="Times New Roman"/>
          <w:bCs/>
          <w:color w:val="000000"/>
          <w:sz w:val="24"/>
          <w:szCs w:val="24"/>
        </w:rPr>
        <w:t>, attendance at public meetings,</w:t>
      </w:r>
      <w:r w:rsidR="00BF21BB" w:rsidRPr="00532928">
        <w:rPr>
          <w:rFonts w:ascii="Times New Roman" w:hAnsi="Times New Roman" w:cs="Times New Roman"/>
          <w:bCs/>
          <w:color w:val="000000"/>
          <w:sz w:val="24"/>
          <w:szCs w:val="24"/>
        </w:rPr>
        <w:t xml:space="preserve"> joining advocacy/interest groups; etc.  </w:t>
      </w:r>
      <w:r w:rsidRPr="00532928">
        <w:rPr>
          <w:rFonts w:ascii="Times New Roman" w:hAnsi="Times New Roman" w:cs="Times New Roman"/>
          <w:bCs/>
          <w:color w:val="000000"/>
          <w:sz w:val="24"/>
          <w:szCs w:val="24"/>
        </w:rPr>
        <w:t xml:space="preserve"> </w:t>
      </w:r>
      <w:r w:rsidR="00FA147B" w:rsidRPr="00532928">
        <w:rPr>
          <w:rFonts w:ascii="Times New Roman" w:hAnsi="Times New Roman" w:cs="Times New Roman"/>
          <w:bCs/>
          <w:color w:val="000000"/>
          <w:sz w:val="24"/>
          <w:szCs w:val="24"/>
        </w:rPr>
        <w:t xml:space="preserve">For addressing the third pre-condition </w:t>
      </w:r>
      <w:r w:rsidR="00FA147B" w:rsidRPr="00532928">
        <w:rPr>
          <w:rFonts w:ascii="Times New Roman" w:hAnsi="Times New Roman" w:cs="Times New Roman"/>
          <w:bCs/>
          <w:color w:val="000000"/>
          <w:sz w:val="24"/>
          <w:szCs w:val="24"/>
        </w:rPr>
        <w:lastRenderedPageBreak/>
        <w:t>– motivation for political engagement – programs should c</w:t>
      </w:r>
      <w:r w:rsidR="00BF21BB" w:rsidRPr="00532928">
        <w:rPr>
          <w:rFonts w:ascii="Times New Roman" w:hAnsi="Times New Roman" w:cs="Times New Roman"/>
          <w:bCs/>
          <w:color w:val="000000"/>
          <w:sz w:val="24"/>
          <w:szCs w:val="24"/>
        </w:rPr>
        <w:t>reat</w:t>
      </w:r>
      <w:r w:rsidR="00FA147B" w:rsidRPr="00532928">
        <w:rPr>
          <w:rFonts w:ascii="Times New Roman" w:hAnsi="Times New Roman" w:cs="Times New Roman"/>
          <w:bCs/>
          <w:color w:val="000000"/>
          <w:sz w:val="24"/>
          <w:szCs w:val="24"/>
        </w:rPr>
        <w:t>e</w:t>
      </w:r>
      <w:r w:rsidR="00BF21BB" w:rsidRPr="00532928">
        <w:rPr>
          <w:rFonts w:ascii="Times New Roman" w:hAnsi="Times New Roman" w:cs="Times New Roman"/>
          <w:bCs/>
          <w:color w:val="000000"/>
          <w:sz w:val="24"/>
          <w:szCs w:val="24"/>
        </w:rPr>
        <w:t xml:space="preserve"> active opportunities as part of the curriculum, where students can not only learn political skills, but through their exercise develop motivation and </w:t>
      </w:r>
      <w:r w:rsidR="00FA147B" w:rsidRPr="00532928">
        <w:rPr>
          <w:rFonts w:ascii="Times New Roman" w:hAnsi="Times New Roman" w:cs="Times New Roman"/>
          <w:bCs/>
          <w:color w:val="000000"/>
          <w:sz w:val="24"/>
          <w:szCs w:val="24"/>
        </w:rPr>
        <w:t xml:space="preserve">internal political </w:t>
      </w:r>
      <w:r w:rsidR="00BF21BB" w:rsidRPr="00532928">
        <w:rPr>
          <w:rFonts w:ascii="Times New Roman" w:hAnsi="Times New Roman" w:cs="Times New Roman"/>
          <w:bCs/>
          <w:color w:val="000000"/>
          <w:sz w:val="24"/>
          <w:szCs w:val="24"/>
        </w:rPr>
        <w:t>efficacy</w:t>
      </w:r>
      <w:r w:rsidR="00FA147B" w:rsidRPr="00532928">
        <w:rPr>
          <w:rFonts w:ascii="Times New Roman" w:hAnsi="Times New Roman" w:cs="Times New Roman"/>
          <w:bCs/>
          <w:color w:val="000000"/>
          <w:sz w:val="24"/>
          <w:szCs w:val="24"/>
        </w:rPr>
        <w:t xml:space="preserve"> – political confidence or competence.  </w:t>
      </w:r>
    </w:p>
    <w:p w14:paraId="1DF9CC5B" w14:textId="6096E47B" w:rsidR="00BF21BB" w:rsidRPr="00532928" w:rsidRDefault="00FA147B" w:rsidP="00A03C82">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t xml:space="preserve">Addressing the first two requirements is relatively straightforward.  Students require effective instruction on government, the political process, policy arenas, and </w:t>
      </w:r>
      <w:r w:rsidR="005420E9" w:rsidRPr="00532928">
        <w:rPr>
          <w:rFonts w:ascii="Times New Roman" w:hAnsi="Times New Roman" w:cs="Times New Roman"/>
          <w:bCs/>
          <w:color w:val="000000"/>
          <w:sz w:val="24"/>
          <w:szCs w:val="24"/>
        </w:rPr>
        <w:t xml:space="preserve">active programs where they can acquire </w:t>
      </w:r>
      <w:r w:rsidRPr="00532928">
        <w:rPr>
          <w:rFonts w:ascii="Times New Roman" w:hAnsi="Times New Roman" w:cs="Times New Roman"/>
          <w:bCs/>
          <w:color w:val="000000"/>
          <w:sz w:val="24"/>
          <w:szCs w:val="24"/>
        </w:rPr>
        <w:t>the menu of skills that citizens can draw upon in engaging politically.  For the third requirement – motivation and political efficacy –</w:t>
      </w:r>
      <w:r w:rsidR="00F72236" w:rsidRPr="00532928">
        <w:rPr>
          <w:rFonts w:ascii="Times New Roman" w:hAnsi="Times New Roman" w:cs="Times New Roman"/>
          <w:bCs/>
          <w:color w:val="000000"/>
          <w:sz w:val="24"/>
          <w:szCs w:val="24"/>
        </w:rPr>
        <w:t xml:space="preserve"> the challenges are larger.  One’s political efficacy is acquired as part of the process of political socialization, along with other more rooted aspects of political identity such as partisanship and ideological disposition (</w:t>
      </w:r>
      <w:proofErr w:type="spellStart"/>
      <w:r w:rsidR="00F72236" w:rsidRPr="00532928">
        <w:rPr>
          <w:rFonts w:ascii="Times New Roman" w:hAnsi="Times New Roman" w:cs="Times New Roman"/>
          <w:bCs/>
          <w:color w:val="000000"/>
          <w:sz w:val="24"/>
          <w:szCs w:val="24"/>
        </w:rPr>
        <w:t>Verba</w:t>
      </w:r>
      <w:proofErr w:type="spellEnd"/>
      <w:r w:rsidR="00F72236" w:rsidRPr="00532928">
        <w:rPr>
          <w:rFonts w:ascii="Times New Roman" w:hAnsi="Times New Roman" w:cs="Times New Roman"/>
          <w:bCs/>
          <w:color w:val="000000"/>
          <w:sz w:val="24"/>
          <w:szCs w:val="24"/>
        </w:rPr>
        <w:t xml:space="preserve"> et al 1995).  </w:t>
      </w:r>
      <w:r w:rsidR="005420E9" w:rsidRPr="00532928">
        <w:rPr>
          <w:rFonts w:ascii="Times New Roman" w:hAnsi="Times New Roman" w:cs="Times New Roman"/>
          <w:bCs/>
          <w:color w:val="000000"/>
          <w:sz w:val="24"/>
          <w:szCs w:val="24"/>
        </w:rPr>
        <w:t>Therefore, students enter college with either a well-developed sense of political efficacy or lower levels, and for students with lower-levels this predisposition is difficult to dislodge with a single intervention.  As Beaumont (2005) found, a student’s initial pol</w:t>
      </w:r>
      <w:r w:rsidR="00130BD8" w:rsidRPr="00532928">
        <w:rPr>
          <w:rFonts w:ascii="Times New Roman" w:hAnsi="Times New Roman" w:cs="Times New Roman"/>
          <w:bCs/>
          <w:color w:val="000000"/>
          <w:sz w:val="24"/>
          <w:szCs w:val="24"/>
        </w:rPr>
        <w:t>itical efficacy, prior to the</w:t>
      </w:r>
      <w:r w:rsidR="005420E9" w:rsidRPr="00532928">
        <w:rPr>
          <w:rFonts w:ascii="Times New Roman" w:hAnsi="Times New Roman" w:cs="Times New Roman"/>
          <w:bCs/>
          <w:color w:val="000000"/>
          <w:sz w:val="24"/>
          <w:szCs w:val="24"/>
        </w:rPr>
        <w:t xml:space="preserve"> educational intervention</w:t>
      </w:r>
      <w:r w:rsidR="00130BD8" w:rsidRPr="00532928">
        <w:rPr>
          <w:rFonts w:ascii="Times New Roman" w:hAnsi="Times New Roman" w:cs="Times New Roman"/>
          <w:bCs/>
          <w:color w:val="000000"/>
          <w:sz w:val="24"/>
          <w:szCs w:val="24"/>
        </w:rPr>
        <w:t xml:space="preserve"> she studied</w:t>
      </w:r>
      <w:r w:rsidR="005420E9" w:rsidRPr="00532928">
        <w:rPr>
          <w:rFonts w:ascii="Times New Roman" w:hAnsi="Times New Roman" w:cs="Times New Roman"/>
          <w:bCs/>
          <w:color w:val="000000"/>
          <w:sz w:val="24"/>
          <w:szCs w:val="24"/>
        </w:rPr>
        <w:t>, was the strongest predictor of a student’s political efficacy after</w:t>
      </w:r>
      <w:r w:rsidR="00130BD8" w:rsidRPr="00532928">
        <w:rPr>
          <w:rFonts w:ascii="Times New Roman" w:hAnsi="Times New Roman" w:cs="Times New Roman"/>
          <w:bCs/>
          <w:color w:val="000000"/>
          <w:sz w:val="24"/>
          <w:szCs w:val="24"/>
        </w:rPr>
        <w:t xml:space="preserve"> they experienced</w:t>
      </w:r>
      <w:r w:rsidR="005420E9" w:rsidRPr="00532928">
        <w:rPr>
          <w:rFonts w:ascii="Times New Roman" w:hAnsi="Times New Roman" w:cs="Times New Roman"/>
          <w:bCs/>
          <w:color w:val="000000"/>
          <w:sz w:val="24"/>
          <w:szCs w:val="24"/>
        </w:rPr>
        <w:t xml:space="preserve"> the studied educational intervention.  </w:t>
      </w:r>
    </w:p>
    <w:p w14:paraId="6773CEB1" w14:textId="570A7F16" w:rsidR="008800F2" w:rsidRPr="00532928" w:rsidRDefault="00BF21BB" w:rsidP="00BF21BB">
      <w:pPr>
        <w:spacing w:line="480" w:lineRule="auto"/>
        <w:ind w:firstLine="360"/>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w:t>
      </w:r>
      <w:r w:rsidR="008800F2" w:rsidRPr="00532928">
        <w:rPr>
          <w:rFonts w:ascii="Times New Roman" w:hAnsi="Times New Roman" w:cs="Times New Roman"/>
          <w:bCs/>
          <w:color w:val="000000"/>
          <w:sz w:val="24"/>
          <w:szCs w:val="24"/>
        </w:rPr>
        <w:t xml:space="preserve">ccording to research on civics education in higher education, </w:t>
      </w:r>
      <w:r w:rsidRPr="00532928">
        <w:rPr>
          <w:rFonts w:ascii="Times New Roman" w:hAnsi="Times New Roman" w:cs="Times New Roman"/>
          <w:bCs/>
          <w:color w:val="000000"/>
          <w:sz w:val="24"/>
          <w:szCs w:val="24"/>
        </w:rPr>
        <w:t>there are identifiable practices that address each of these pre-conditions for expanded political engagement.  Beaumont (2015)</w:t>
      </w:r>
      <w:r w:rsidR="00FA147B" w:rsidRPr="00532928">
        <w:rPr>
          <w:rFonts w:ascii="Times New Roman" w:hAnsi="Times New Roman" w:cs="Times New Roman"/>
          <w:bCs/>
          <w:color w:val="000000"/>
          <w:sz w:val="24"/>
          <w:szCs w:val="24"/>
        </w:rPr>
        <w:t xml:space="preserve">, in a study of 21 political courses and programs with nearly 1,000 undergraduate participants in the 2000-2001 academic year, utilized a pretest and posttest survey to test for four types of educational interventions on the development of students’ political efficacy: </w:t>
      </w:r>
    </w:p>
    <w:p w14:paraId="441CC502" w14:textId="55981550" w:rsidR="008800F2" w:rsidRPr="00532928" w:rsidRDefault="00BF21BB" w:rsidP="008800F2">
      <w:pPr>
        <w:pStyle w:val="ListParagraph"/>
        <w:numPr>
          <w:ilvl w:val="0"/>
          <w:numId w:val="1"/>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placing</w:t>
      </w:r>
      <w:r w:rsidR="008800F2" w:rsidRPr="00532928">
        <w:rPr>
          <w:rFonts w:ascii="Times New Roman" w:hAnsi="Times New Roman" w:cs="Times New Roman"/>
          <w:bCs/>
          <w:color w:val="000000"/>
          <w:sz w:val="24"/>
          <w:szCs w:val="24"/>
        </w:rPr>
        <w:t xml:space="preserve"> students in a context of a politically active group or community;</w:t>
      </w:r>
    </w:p>
    <w:p w14:paraId="18132AA4" w14:textId="4A3606D7" w:rsidR="008800F2" w:rsidRPr="00532928" w:rsidRDefault="00BF21BB" w:rsidP="008800F2">
      <w:pPr>
        <w:pStyle w:val="ListParagraph"/>
        <w:numPr>
          <w:ilvl w:val="0"/>
          <w:numId w:val="1"/>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providing</w:t>
      </w:r>
      <w:r w:rsidR="008800F2" w:rsidRPr="00532928">
        <w:rPr>
          <w:rFonts w:ascii="Times New Roman" w:hAnsi="Times New Roman" w:cs="Times New Roman"/>
          <w:bCs/>
          <w:color w:val="000000"/>
          <w:sz w:val="24"/>
          <w:szCs w:val="24"/>
        </w:rPr>
        <w:t xml:space="preserve"> opportunities for students to acquire and practice political skills;</w:t>
      </w:r>
    </w:p>
    <w:p w14:paraId="3938D885" w14:textId="15B13B14" w:rsidR="008800F2" w:rsidRPr="00532928" w:rsidRDefault="008800F2" w:rsidP="008800F2">
      <w:pPr>
        <w:pStyle w:val="ListParagraph"/>
        <w:numPr>
          <w:ilvl w:val="0"/>
          <w:numId w:val="1"/>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offer</w:t>
      </w:r>
      <w:r w:rsidR="00BF21BB" w:rsidRPr="00532928">
        <w:rPr>
          <w:rFonts w:ascii="Times New Roman" w:hAnsi="Times New Roman" w:cs="Times New Roman"/>
          <w:bCs/>
          <w:color w:val="000000"/>
          <w:sz w:val="24"/>
          <w:szCs w:val="24"/>
        </w:rPr>
        <w:t>ing</w:t>
      </w:r>
      <w:r w:rsidRPr="00532928">
        <w:rPr>
          <w:rFonts w:ascii="Times New Roman" w:hAnsi="Times New Roman" w:cs="Times New Roman"/>
          <w:bCs/>
          <w:color w:val="000000"/>
          <w:sz w:val="24"/>
          <w:szCs w:val="24"/>
        </w:rPr>
        <w:t xml:space="preserve"> opportunities for engaging in political discourse; and</w:t>
      </w:r>
    </w:p>
    <w:p w14:paraId="47468335" w14:textId="29E288FD" w:rsidR="008800F2" w:rsidRPr="00532928" w:rsidRDefault="00BF21BB" w:rsidP="008800F2">
      <w:pPr>
        <w:pStyle w:val="ListParagraph"/>
        <w:numPr>
          <w:ilvl w:val="0"/>
          <w:numId w:val="1"/>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lastRenderedPageBreak/>
        <w:t>placing</w:t>
      </w:r>
      <w:r w:rsidR="008800F2" w:rsidRPr="00532928">
        <w:rPr>
          <w:rFonts w:ascii="Times New Roman" w:hAnsi="Times New Roman" w:cs="Times New Roman"/>
          <w:bCs/>
          <w:color w:val="000000"/>
          <w:sz w:val="24"/>
          <w:szCs w:val="24"/>
        </w:rPr>
        <w:t xml:space="preserve"> students in a diverse learning community, where they will engage with students from different racial/ethnic, religious and class backgrounds</w:t>
      </w:r>
    </w:p>
    <w:p w14:paraId="48BA4190" w14:textId="6D9DA83B" w:rsidR="00FA147B" w:rsidRPr="00532928" w:rsidRDefault="008800F2" w:rsidP="00130BD8">
      <w:pPr>
        <w:pStyle w:val="ListParagraph"/>
        <w:spacing w:line="480" w:lineRule="auto"/>
        <w:rPr>
          <w:rFonts w:ascii="Times New Roman" w:hAnsi="Times New Roman" w:cs="Times New Roman"/>
          <w:bCs/>
          <w:color w:val="000000"/>
          <w:sz w:val="24"/>
          <w:szCs w:val="24"/>
        </w:rPr>
      </w:pPr>
      <w:proofErr w:type="gramStart"/>
      <w:r w:rsidRPr="00532928">
        <w:rPr>
          <w:rFonts w:ascii="Times New Roman" w:hAnsi="Times New Roman" w:cs="Times New Roman"/>
          <w:bCs/>
          <w:color w:val="000000"/>
          <w:sz w:val="24"/>
          <w:szCs w:val="24"/>
        </w:rPr>
        <w:t>(Beaumont 2015, 218-19).</w:t>
      </w:r>
      <w:proofErr w:type="gramEnd"/>
    </w:p>
    <w:p w14:paraId="544BCDA7" w14:textId="7F8182F6" w:rsidR="00130BD8" w:rsidRPr="00532928" w:rsidRDefault="00130BD8" w:rsidP="00130BD8">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Her research found that programs that teach political skills have the strongest impact in raising internal political efficacy among students.  Programs that offer opportunities for engaging in political discourse, which situate students in a diverse learning community, and which connect students directly to community groups and/or government are also effective in elevating political efficacy.</w:t>
      </w:r>
    </w:p>
    <w:p w14:paraId="00E05564" w14:textId="584029B3" w:rsidR="00070F4B" w:rsidRPr="00FC248E" w:rsidRDefault="00BF21BB" w:rsidP="00FC248E">
      <w:pPr>
        <w:spacing w:line="480" w:lineRule="auto"/>
        <w:ind w:firstLine="720"/>
        <w:rPr>
          <w:rFonts w:ascii="Times New Roman" w:hAnsi="Times New Roman" w:cs="Times New Roman"/>
          <w:noProof/>
          <w:sz w:val="24"/>
          <w:szCs w:val="24"/>
        </w:rPr>
      </w:pPr>
      <w:r w:rsidRPr="00532928">
        <w:rPr>
          <w:rFonts w:ascii="Times New Roman" w:hAnsi="Times New Roman" w:cs="Times New Roman"/>
          <w:bCs/>
          <w:color w:val="000000"/>
          <w:sz w:val="24"/>
          <w:szCs w:val="24"/>
        </w:rPr>
        <w:t>These practices</w:t>
      </w:r>
      <w:r w:rsidR="009169F4" w:rsidRPr="00532928">
        <w:rPr>
          <w:rFonts w:ascii="Times New Roman" w:hAnsi="Times New Roman" w:cs="Times New Roman"/>
          <w:bCs/>
          <w:color w:val="000000"/>
          <w:sz w:val="24"/>
          <w:szCs w:val="24"/>
        </w:rPr>
        <w:t xml:space="preserve"> are </w:t>
      </w:r>
      <w:r w:rsidRPr="00532928">
        <w:rPr>
          <w:rFonts w:ascii="Times New Roman" w:hAnsi="Times New Roman" w:cs="Times New Roman"/>
          <w:bCs/>
          <w:color w:val="000000"/>
          <w:sz w:val="24"/>
          <w:szCs w:val="24"/>
        </w:rPr>
        <w:t xml:space="preserve">further underlined </w:t>
      </w:r>
      <w:r w:rsidR="009169F4" w:rsidRPr="00532928">
        <w:rPr>
          <w:rFonts w:ascii="Times New Roman" w:hAnsi="Times New Roman" w:cs="Times New Roman"/>
          <w:bCs/>
          <w:color w:val="000000"/>
          <w:sz w:val="24"/>
          <w:szCs w:val="24"/>
        </w:rPr>
        <w:t>by the</w:t>
      </w:r>
      <w:r w:rsidR="00EC4911" w:rsidRPr="00532928">
        <w:rPr>
          <w:rFonts w:ascii="Times New Roman" w:hAnsi="Times New Roman" w:cs="Times New Roman"/>
          <w:bCs/>
          <w:color w:val="000000"/>
          <w:sz w:val="24"/>
          <w:szCs w:val="24"/>
        </w:rPr>
        <w:t xml:space="preserve"> report of the National Task Force on Civic </w:t>
      </w:r>
      <w:r w:rsidR="00597EAD" w:rsidRPr="00532928">
        <w:rPr>
          <w:rFonts w:ascii="Times New Roman" w:hAnsi="Times New Roman" w:cs="Times New Roman"/>
          <w:bCs/>
          <w:color w:val="000000"/>
          <w:sz w:val="24"/>
          <w:szCs w:val="24"/>
        </w:rPr>
        <w:t xml:space="preserve">Learning and Student Engagement (2012), which put forward a framework for higher education civic learning </w:t>
      </w:r>
      <w:r w:rsidR="0030754C" w:rsidRPr="00532928">
        <w:rPr>
          <w:rFonts w:ascii="Times New Roman" w:hAnsi="Times New Roman" w:cs="Times New Roman"/>
          <w:bCs/>
          <w:color w:val="000000"/>
          <w:sz w:val="24"/>
          <w:szCs w:val="24"/>
        </w:rPr>
        <w:t xml:space="preserve">based on intensive meetings with over 150 education leaders.  Their resulting framework for civic education </w:t>
      </w:r>
      <w:r w:rsidR="00597EAD" w:rsidRPr="00532928">
        <w:rPr>
          <w:rFonts w:ascii="Times New Roman" w:hAnsi="Times New Roman" w:cs="Times New Roman"/>
          <w:bCs/>
          <w:color w:val="000000"/>
          <w:sz w:val="24"/>
          <w:szCs w:val="24"/>
        </w:rPr>
        <w:t>emphasiz</w:t>
      </w:r>
      <w:r w:rsidR="0030754C" w:rsidRPr="00532928">
        <w:rPr>
          <w:rFonts w:ascii="Times New Roman" w:hAnsi="Times New Roman" w:cs="Times New Roman"/>
          <w:bCs/>
          <w:color w:val="000000"/>
          <w:sz w:val="24"/>
          <w:szCs w:val="24"/>
        </w:rPr>
        <w:t>es three categories for these programs to focus upon</w:t>
      </w:r>
      <w:r w:rsidR="00597EAD" w:rsidRPr="00532928">
        <w:rPr>
          <w:rFonts w:ascii="Times New Roman" w:hAnsi="Times New Roman" w:cs="Times New Roman"/>
          <w:bCs/>
          <w:color w:val="000000"/>
          <w:sz w:val="24"/>
          <w:szCs w:val="24"/>
        </w:rPr>
        <w:t>:</w:t>
      </w:r>
      <w:r w:rsidR="00FC248E">
        <w:rPr>
          <w:rFonts w:ascii="Times New Roman" w:hAnsi="Times New Roman" w:cs="Times New Roman"/>
          <w:bCs/>
          <w:color w:val="000000"/>
          <w:sz w:val="24"/>
          <w:szCs w:val="24"/>
        </w:rPr>
        <w:t xml:space="preserve"> </w:t>
      </w:r>
      <w:r w:rsidR="00597EAD" w:rsidRPr="00532928">
        <w:rPr>
          <w:rFonts w:ascii="Times New Roman" w:hAnsi="Times New Roman" w:cs="Times New Roman"/>
          <w:bCs/>
          <w:color w:val="000000"/>
          <w:sz w:val="24"/>
          <w:szCs w:val="24"/>
        </w:rPr>
        <w:t>knowledge, skills</w:t>
      </w:r>
      <w:r w:rsidR="001C1C35" w:rsidRPr="00532928">
        <w:rPr>
          <w:rFonts w:ascii="Times New Roman" w:hAnsi="Times New Roman" w:cs="Times New Roman"/>
          <w:bCs/>
          <w:color w:val="000000"/>
          <w:sz w:val="24"/>
          <w:szCs w:val="24"/>
        </w:rPr>
        <w:t>, values</w:t>
      </w:r>
      <w:r w:rsidR="00597EAD" w:rsidRPr="00532928">
        <w:rPr>
          <w:rFonts w:ascii="Times New Roman" w:hAnsi="Times New Roman" w:cs="Times New Roman"/>
          <w:bCs/>
          <w:color w:val="000000"/>
          <w:sz w:val="24"/>
          <w:szCs w:val="24"/>
        </w:rPr>
        <w:t xml:space="preserve"> and collective acti</w:t>
      </w:r>
      <w:r w:rsidR="001C1C35" w:rsidRPr="00532928">
        <w:rPr>
          <w:rFonts w:ascii="Times New Roman" w:hAnsi="Times New Roman" w:cs="Times New Roman"/>
          <w:bCs/>
          <w:color w:val="000000"/>
          <w:sz w:val="24"/>
          <w:szCs w:val="24"/>
        </w:rPr>
        <w:t xml:space="preserve">on </w:t>
      </w:r>
      <w:r w:rsidR="00FC248E" w:rsidRPr="00532928">
        <w:rPr>
          <w:rFonts w:ascii="Times New Roman" w:hAnsi="Times New Roman" w:cs="Times New Roman"/>
          <w:bCs/>
          <w:color w:val="000000"/>
          <w:sz w:val="24"/>
          <w:szCs w:val="24"/>
        </w:rPr>
        <w:t xml:space="preserve"> </w:t>
      </w:r>
    </w:p>
    <w:p w14:paraId="3DCA9E14" w14:textId="14525A7E" w:rsidR="00070F4B" w:rsidRDefault="00070F4B" w:rsidP="009169F4">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t>Again, what the National Task Force framework emphasizes are three increasingly sophisticated level</w:t>
      </w:r>
      <w:r w:rsidR="00532928">
        <w:rPr>
          <w:rFonts w:ascii="Times New Roman" w:hAnsi="Times New Roman" w:cs="Times New Roman"/>
          <w:bCs/>
          <w:color w:val="000000"/>
          <w:sz w:val="24"/>
          <w:szCs w:val="24"/>
        </w:rPr>
        <w:t>s</w:t>
      </w:r>
      <w:r w:rsidRPr="00532928">
        <w:rPr>
          <w:rFonts w:ascii="Times New Roman" w:hAnsi="Times New Roman" w:cs="Times New Roman"/>
          <w:bCs/>
          <w:color w:val="000000"/>
          <w:sz w:val="24"/>
          <w:szCs w:val="24"/>
        </w:rPr>
        <w:t xml:space="preserve"> of civic educational goals: </w:t>
      </w:r>
      <w:r w:rsidR="00532928">
        <w:rPr>
          <w:rFonts w:ascii="Times New Roman" w:hAnsi="Times New Roman" w:cs="Times New Roman"/>
          <w:bCs/>
          <w:color w:val="000000"/>
          <w:sz w:val="24"/>
          <w:szCs w:val="24"/>
        </w:rPr>
        <w:t xml:space="preserve">level 1 - </w:t>
      </w:r>
      <w:r w:rsidRPr="00532928">
        <w:rPr>
          <w:rFonts w:ascii="Times New Roman" w:hAnsi="Times New Roman" w:cs="Times New Roman"/>
          <w:bCs/>
          <w:color w:val="000000"/>
          <w:sz w:val="24"/>
          <w:szCs w:val="24"/>
        </w:rPr>
        <w:t xml:space="preserve">teaching basic knowledge of government and the political system; </w:t>
      </w:r>
      <w:r w:rsidR="00532928">
        <w:rPr>
          <w:rFonts w:ascii="Times New Roman" w:hAnsi="Times New Roman" w:cs="Times New Roman"/>
          <w:bCs/>
          <w:color w:val="000000"/>
          <w:sz w:val="24"/>
          <w:szCs w:val="24"/>
        </w:rPr>
        <w:t xml:space="preserve">level 2 - </w:t>
      </w:r>
      <w:r w:rsidRPr="00532928">
        <w:rPr>
          <w:rFonts w:ascii="Times New Roman" w:hAnsi="Times New Roman" w:cs="Times New Roman"/>
          <w:bCs/>
          <w:color w:val="000000"/>
          <w:sz w:val="24"/>
          <w:szCs w:val="24"/>
        </w:rPr>
        <w:t xml:space="preserve">advancing students’ political skills; and </w:t>
      </w:r>
      <w:r w:rsidR="00532928">
        <w:rPr>
          <w:rFonts w:ascii="Times New Roman" w:hAnsi="Times New Roman" w:cs="Times New Roman"/>
          <w:bCs/>
          <w:color w:val="000000"/>
          <w:sz w:val="24"/>
          <w:szCs w:val="24"/>
        </w:rPr>
        <w:t xml:space="preserve">level 3 - </w:t>
      </w:r>
      <w:r w:rsidRPr="00532928">
        <w:rPr>
          <w:rFonts w:ascii="Times New Roman" w:hAnsi="Times New Roman" w:cs="Times New Roman"/>
          <w:bCs/>
          <w:color w:val="000000"/>
          <w:sz w:val="24"/>
          <w:szCs w:val="24"/>
        </w:rPr>
        <w:t xml:space="preserve">creating opportunities for engagement.  When we combine Beaumont’s (2015) research </w:t>
      </w:r>
      <w:r w:rsidR="00891FD4" w:rsidRPr="00532928">
        <w:rPr>
          <w:rFonts w:ascii="Times New Roman" w:hAnsi="Times New Roman" w:cs="Times New Roman"/>
          <w:bCs/>
          <w:color w:val="000000"/>
          <w:sz w:val="24"/>
          <w:szCs w:val="24"/>
        </w:rPr>
        <w:t xml:space="preserve">findings with this framework, it suggests that an effective civic education intervention would address more than simply giving students a basic understanding of government and politics, but would provide opportunities for them to actively engage in political discussion and action, preferably in connection with community groups and/or government.  </w:t>
      </w:r>
    </w:p>
    <w:p w14:paraId="437984CE" w14:textId="27E8B957" w:rsidR="00FC248E" w:rsidRPr="00532928" w:rsidRDefault="00FC248E" w:rsidP="009169F4">
      <w:pPr>
        <w:spacing w:line="480" w:lineRule="auto"/>
        <w:rPr>
          <w:rFonts w:ascii="Times New Roman" w:hAnsi="Times New Roman" w:cs="Times New Roman"/>
          <w:bCs/>
          <w:color w:val="000000"/>
          <w:sz w:val="24"/>
          <w:szCs w:val="24"/>
        </w:rPr>
      </w:pPr>
      <w:r w:rsidRPr="00532928">
        <w:rPr>
          <w:rFonts w:ascii="Times New Roman" w:hAnsi="Times New Roman" w:cs="Times New Roman"/>
          <w:noProof/>
          <w:sz w:val="24"/>
          <w:szCs w:val="24"/>
        </w:rPr>
        <w:lastRenderedPageBreak/>
        <w:drawing>
          <wp:inline distT="0" distB="0" distL="0" distR="0" wp14:anchorId="261B04AA" wp14:editId="44ADE83A">
            <wp:extent cx="5943600" cy="444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442460"/>
                    </a:xfrm>
                    <a:prstGeom prst="rect">
                      <a:avLst/>
                    </a:prstGeom>
                  </pic:spPr>
                </pic:pic>
              </a:graphicData>
            </a:graphic>
          </wp:inline>
        </w:drawing>
      </w:r>
    </w:p>
    <w:p w14:paraId="1ACD8E72" w14:textId="77777777" w:rsidR="00FC248E" w:rsidRPr="00532928" w:rsidRDefault="00FC248E" w:rsidP="00FC248E">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Source: National Task Force on Civic Learning and Democratic Engagement (2012), p. 4.</w:t>
      </w:r>
    </w:p>
    <w:p w14:paraId="308C8B6C" w14:textId="77777777" w:rsidR="00FC248E" w:rsidRDefault="00FC248E" w:rsidP="009169F4">
      <w:pPr>
        <w:spacing w:line="480" w:lineRule="auto"/>
        <w:rPr>
          <w:rFonts w:ascii="Times New Roman" w:hAnsi="Times New Roman" w:cs="Times New Roman"/>
          <w:b/>
          <w:bCs/>
          <w:color w:val="000000"/>
          <w:sz w:val="24"/>
          <w:szCs w:val="24"/>
        </w:rPr>
      </w:pPr>
    </w:p>
    <w:p w14:paraId="38DA2518" w14:textId="23CDCE6E" w:rsidR="001C1C35" w:rsidRPr="00532928" w:rsidRDefault="001C1C35" w:rsidP="009169F4">
      <w:pPr>
        <w:spacing w:line="480" w:lineRule="auto"/>
        <w:rPr>
          <w:rFonts w:ascii="Times New Roman" w:hAnsi="Times New Roman" w:cs="Times New Roman"/>
          <w:b/>
          <w:bCs/>
          <w:color w:val="000000"/>
          <w:sz w:val="24"/>
          <w:szCs w:val="24"/>
        </w:rPr>
      </w:pPr>
      <w:r w:rsidRPr="00532928">
        <w:rPr>
          <w:rFonts w:ascii="Times New Roman" w:hAnsi="Times New Roman" w:cs="Times New Roman"/>
          <w:b/>
          <w:bCs/>
          <w:color w:val="000000"/>
          <w:sz w:val="24"/>
          <w:szCs w:val="24"/>
        </w:rPr>
        <w:t>The Town Hall Meeting (THM) at California State University, Fullerton</w:t>
      </w:r>
    </w:p>
    <w:p w14:paraId="53FBE47B" w14:textId="1C19F4C0" w:rsidR="001C1C35" w:rsidRPr="00532928" w:rsidRDefault="001C1C35" w:rsidP="009169F4">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r>
      <w:proofErr w:type="gramStart"/>
      <w:r w:rsidRPr="00532928">
        <w:rPr>
          <w:rFonts w:ascii="Times New Roman" w:hAnsi="Times New Roman" w:cs="Times New Roman"/>
          <w:bCs/>
          <w:color w:val="000000"/>
          <w:sz w:val="24"/>
          <w:szCs w:val="24"/>
        </w:rPr>
        <w:t xml:space="preserve">The Town Hall Meeting </w:t>
      </w:r>
      <w:r w:rsidR="00891FD4" w:rsidRPr="00532928">
        <w:rPr>
          <w:rFonts w:ascii="Times New Roman" w:hAnsi="Times New Roman" w:cs="Times New Roman"/>
          <w:bCs/>
          <w:color w:val="000000"/>
          <w:sz w:val="24"/>
          <w:szCs w:val="24"/>
        </w:rPr>
        <w:t xml:space="preserve">(THM) </w:t>
      </w:r>
      <w:r w:rsidRPr="00532928">
        <w:rPr>
          <w:rFonts w:ascii="Times New Roman" w:hAnsi="Times New Roman" w:cs="Times New Roman"/>
          <w:bCs/>
          <w:color w:val="000000"/>
          <w:sz w:val="24"/>
          <w:szCs w:val="24"/>
        </w:rPr>
        <w:t>program that we implemented at California State University Fullerton, beginning in the fall of 2012, independently offered students many – but not all – of these elements.</w:t>
      </w:r>
      <w:proofErr w:type="gramEnd"/>
      <w:r w:rsidRPr="00532928">
        <w:rPr>
          <w:rFonts w:ascii="Times New Roman" w:hAnsi="Times New Roman" w:cs="Times New Roman"/>
          <w:bCs/>
          <w:color w:val="000000"/>
          <w:sz w:val="24"/>
          <w:szCs w:val="24"/>
        </w:rPr>
        <w:t xml:space="preserve">  As the description of the program’s genesis and development make clear below, the design of the project borrowed heavily from a model at California State University Chico.  As it w</w:t>
      </w:r>
      <w:r w:rsidR="00891FD4" w:rsidRPr="00532928">
        <w:rPr>
          <w:rFonts w:ascii="Times New Roman" w:hAnsi="Times New Roman" w:cs="Times New Roman"/>
          <w:bCs/>
          <w:color w:val="000000"/>
          <w:sz w:val="24"/>
          <w:szCs w:val="24"/>
        </w:rPr>
        <w:t xml:space="preserve">as developed, CSU Fullerton modified Chico’s approach in several ways.  After offering pilot versions of the THM in two </w:t>
      </w:r>
      <w:proofErr w:type="gramStart"/>
      <w:r w:rsidR="00891FD4" w:rsidRPr="00532928">
        <w:rPr>
          <w:rFonts w:ascii="Times New Roman" w:hAnsi="Times New Roman" w:cs="Times New Roman"/>
          <w:bCs/>
          <w:color w:val="000000"/>
          <w:sz w:val="24"/>
          <w:szCs w:val="24"/>
        </w:rPr>
        <w:t>Introduction</w:t>
      </w:r>
      <w:proofErr w:type="gramEnd"/>
      <w:r w:rsidR="00891FD4" w:rsidRPr="00532928">
        <w:rPr>
          <w:rFonts w:ascii="Times New Roman" w:hAnsi="Times New Roman" w:cs="Times New Roman"/>
          <w:bCs/>
          <w:color w:val="000000"/>
          <w:sz w:val="24"/>
          <w:szCs w:val="24"/>
        </w:rPr>
        <w:t xml:space="preserve"> to American Politics courses </w:t>
      </w:r>
      <w:r w:rsidR="00891FD4" w:rsidRPr="00532928">
        <w:rPr>
          <w:rFonts w:ascii="Times New Roman" w:hAnsi="Times New Roman" w:cs="Times New Roman"/>
          <w:bCs/>
          <w:color w:val="000000"/>
          <w:sz w:val="24"/>
          <w:szCs w:val="24"/>
        </w:rPr>
        <w:lastRenderedPageBreak/>
        <w:t xml:space="preserve">– POSC 100 - in 2011-12, the program was awarded funding from the California State University Chancellor’s Office for their promising course redesign initiative in 2013-14.  In the spring of 2014, the program was taken to “scale”, with several POSC 100 course sections involved, offering THM programs that were individually tailored by the instructors, and culminating in a large student-led THM event involving all three THM POSC 100 sections.  </w:t>
      </w:r>
    </w:p>
    <w:p w14:paraId="2ACF2B17" w14:textId="469FDE60" w:rsidR="00891FD4" w:rsidRPr="00532928" w:rsidRDefault="00891FD4" w:rsidP="009169F4">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t xml:space="preserve">In </w:t>
      </w:r>
      <w:r w:rsidR="00BF5FEA" w:rsidRPr="00532928">
        <w:rPr>
          <w:rFonts w:ascii="Times New Roman" w:hAnsi="Times New Roman" w:cs="Times New Roman"/>
          <w:bCs/>
          <w:color w:val="000000"/>
          <w:sz w:val="24"/>
          <w:szCs w:val="24"/>
        </w:rPr>
        <w:t xml:space="preserve">the summer of </w:t>
      </w:r>
      <w:r w:rsidRPr="00532928">
        <w:rPr>
          <w:rFonts w:ascii="Times New Roman" w:hAnsi="Times New Roman" w:cs="Times New Roman"/>
          <w:bCs/>
          <w:color w:val="000000"/>
          <w:sz w:val="24"/>
          <w:szCs w:val="24"/>
        </w:rPr>
        <w:t xml:space="preserve">2011, </w:t>
      </w:r>
      <w:r w:rsidR="0006615C" w:rsidRPr="00532928">
        <w:rPr>
          <w:rFonts w:ascii="Times New Roman" w:hAnsi="Times New Roman" w:cs="Times New Roman"/>
          <w:bCs/>
          <w:color w:val="000000"/>
          <w:sz w:val="24"/>
          <w:szCs w:val="24"/>
        </w:rPr>
        <w:t xml:space="preserve">California State University Chico’s Town Hall Meeting program was presented at the </w:t>
      </w:r>
      <w:r w:rsidRPr="00532928">
        <w:rPr>
          <w:rFonts w:ascii="Times New Roman" w:hAnsi="Times New Roman" w:cs="Times New Roman"/>
          <w:bCs/>
          <w:color w:val="000000"/>
          <w:sz w:val="24"/>
          <w:szCs w:val="24"/>
        </w:rPr>
        <w:t>American Democracy Project</w:t>
      </w:r>
      <w:r w:rsidR="0006615C" w:rsidRPr="00532928">
        <w:rPr>
          <w:rFonts w:ascii="Times New Roman" w:hAnsi="Times New Roman" w:cs="Times New Roman"/>
          <w:bCs/>
          <w:color w:val="000000"/>
          <w:sz w:val="24"/>
          <w:szCs w:val="24"/>
        </w:rPr>
        <w:t xml:space="preserve"> (ADP) annual conference.  That presentation illustrated long-term positive academic effects for the program: students </w:t>
      </w:r>
      <w:r w:rsidR="0090111D" w:rsidRPr="00532928">
        <w:rPr>
          <w:rFonts w:ascii="Times New Roman" w:hAnsi="Times New Roman" w:cs="Times New Roman"/>
          <w:bCs/>
          <w:color w:val="000000"/>
          <w:sz w:val="24"/>
          <w:szCs w:val="24"/>
        </w:rPr>
        <w:t xml:space="preserve">who had gone through their introduction to American Politics courses with the THM program were more likely to remain in school and graduate than those who did not have the exposure.  </w:t>
      </w:r>
      <w:r w:rsidR="00BF5FEA" w:rsidRPr="00532928">
        <w:rPr>
          <w:rFonts w:ascii="Times New Roman" w:hAnsi="Times New Roman" w:cs="Times New Roman"/>
          <w:bCs/>
          <w:color w:val="000000"/>
          <w:sz w:val="24"/>
          <w:szCs w:val="24"/>
        </w:rPr>
        <w:t xml:space="preserve">In 2010-11, their THM participants had a cumulative 91% retention rate and a 93% graduation rate (CSU Chico </w:t>
      </w:r>
      <w:proofErr w:type="spellStart"/>
      <w:r w:rsidR="00BF5FEA" w:rsidRPr="00532928">
        <w:rPr>
          <w:rFonts w:ascii="Times New Roman" w:hAnsi="Times New Roman" w:cs="Times New Roman"/>
          <w:bCs/>
          <w:color w:val="000000"/>
          <w:sz w:val="24"/>
          <w:szCs w:val="24"/>
        </w:rPr>
        <w:t>n.d.</w:t>
      </w:r>
      <w:proofErr w:type="spellEnd"/>
      <w:r w:rsidR="00BF5FEA" w:rsidRPr="00532928">
        <w:rPr>
          <w:rFonts w:ascii="Times New Roman" w:hAnsi="Times New Roman" w:cs="Times New Roman"/>
          <w:bCs/>
          <w:color w:val="000000"/>
          <w:sz w:val="24"/>
          <w:szCs w:val="24"/>
        </w:rPr>
        <w:t xml:space="preserve">).  </w:t>
      </w:r>
      <w:r w:rsidR="0090111D" w:rsidRPr="00532928">
        <w:rPr>
          <w:rFonts w:ascii="Times New Roman" w:hAnsi="Times New Roman" w:cs="Times New Roman"/>
          <w:bCs/>
          <w:color w:val="000000"/>
          <w:sz w:val="24"/>
          <w:szCs w:val="24"/>
        </w:rPr>
        <w:t xml:space="preserve">Based on this positive record, in the </w:t>
      </w:r>
      <w:r w:rsidR="00BF5FEA" w:rsidRPr="00532928">
        <w:rPr>
          <w:rFonts w:ascii="Times New Roman" w:hAnsi="Times New Roman" w:cs="Times New Roman"/>
          <w:bCs/>
          <w:color w:val="000000"/>
          <w:sz w:val="24"/>
          <w:szCs w:val="24"/>
        </w:rPr>
        <w:t>spring and fall of</w:t>
      </w:r>
      <w:r w:rsidR="0090111D" w:rsidRPr="00532928">
        <w:rPr>
          <w:rFonts w:ascii="Times New Roman" w:hAnsi="Times New Roman" w:cs="Times New Roman"/>
          <w:bCs/>
          <w:color w:val="000000"/>
          <w:sz w:val="24"/>
          <w:szCs w:val="24"/>
        </w:rPr>
        <w:t xml:space="preserve"> 2012, one Professor CSU Fullerton adapted the THM program and offered it in his </w:t>
      </w:r>
      <w:r w:rsidR="00BF5FEA" w:rsidRPr="00532928">
        <w:rPr>
          <w:rFonts w:ascii="Times New Roman" w:hAnsi="Times New Roman" w:cs="Times New Roman"/>
          <w:bCs/>
          <w:color w:val="000000"/>
          <w:sz w:val="24"/>
          <w:szCs w:val="24"/>
        </w:rPr>
        <w:t xml:space="preserve">POSC 100 </w:t>
      </w:r>
      <w:r w:rsidR="0090111D" w:rsidRPr="00532928">
        <w:rPr>
          <w:rFonts w:ascii="Times New Roman" w:hAnsi="Times New Roman" w:cs="Times New Roman"/>
          <w:bCs/>
          <w:color w:val="000000"/>
          <w:sz w:val="24"/>
          <w:szCs w:val="24"/>
        </w:rPr>
        <w:t>class</w:t>
      </w:r>
      <w:r w:rsidR="00BF5FEA" w:rsidRPr="00532928">
        <w:rPr>
          <w:rFonts w:ascii="Times New Roman" w:hAnsi="Times New Roman" w:cs="Times New Roman"/>
          <w:bCs/>
          <w:color w:val="000000"/>
          <w:sz w:val="24"/>
          <w:szCs w:val="24"/>
        </w:rPr>
        <w:t>es, each with approximately 200 students enrolled</w:t>
      </w:r>
      <w:r w:rsidR="0090111D" w:rsidRPr="00532928">
        <w:rPr>
          <w:rFonts w:ascii="Times New Roman" w:hAnsi="Times New Roman" w:cs="Times New Roman"/>
          <w:bCs/>
          <w:color w:val="000000"/>
          <w:sz w:val="24"/>
          <w:szCs w:val="24"/>
        </w:rPr>
        <w:t>.  Two important modifications were made to the Ch</w:t>
      </w:r>
      <w:r w:rsidR="00BF5FEA" w:rsidRPr="00532928">
        <w:rPr>
          <w:rFonts w:ascii="Times New Roman" w:hAnsi="Times New Roman" w:cs="Times New Roman"/>
          <w:bCs/>
          <w:color w:val="000000"/>
          <w:sz w:val="24"/>
          <w:szCs w:val="24"/>
        </w:rPr>
        <w:t>ico program.  First, while Chico’s</w:t>
      </w:r>
      <w:r w:rsidR="0090111D" w:rsidRPr="00532928">
        <w:rPr>
          <w:rFonts w:ascii="Times New Roman" w:hAnsi="Times New Roman" w:cs="Times New Roman"/>
          <w:bCs/>
          <w:color w:val="000000"/>
          <w:sz w:val="24"/>
          <w:szCs w:val="24"/>
        </w:rPr>
        <w:t xml:space="preserve"> program had students work individually during the semester, but in groups at the culminating campus THM event, at CSU Fullerton students were assembled into small learning communities of 7 students within their POSC 100 section, and those groups led the culminating THM event breakout sessions.  Secondly, at Chico they held two separate breakout sessions, first to discuss the issues and second to collaboratively arrive at policy solutions and to connect students to organizations where they could continue to work on these issues.  At CSU Fullerton, we held a single breakout session for each issue area, and teams were tasked with not only identifying political and policymaking challenges for addressing their issue, but with</w:t>
      </w:r>
      <w:r w:rsidR="00BF5FEA" w:rsidRPr="00532928">
        <w:rPr>
          <w:rFonts w:ascii="Times New Roman" w:hAnsi="Times New Roman" w:cs="Times New Roman"/>
          <w:bCs/>
          <w:color w:val="000000"/>
          <w:sz w:val="24"/>
          <w:szCs w:val="24"/>
        </w:rPr>
        <w:t xml:space="preserve"> advancing potential solutions prior to their culminating event.</w:t>
      </w:r>
    </w:p>
    <w:p w14:paraId="62F62150" w14:textId="77777777" w:rsidR="00BF5FEA" w:rsidRPr="00532928" w:rsidRDefault="00BF5FEA" w:rsidP="009169F4">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lastRenderedPageBreak/>
        <w:tab/>
        <w:t xml:space="preserve">In the spring of 2013, a second faculty member was added to the THM program.  The culminating THM event – a large meeting consisting of multiple breakout sessions and a keynote speaker panel – involved both POSC 100 sections, for a total of approximately 400 students.  In the fall of 2013, the CSU Chancellor’s Office provided financial support for the THM program as a “Promising Course Redesign with Technology”.  The Chancellor’s PCRT initiative was aimed at reducing repeatable </w:t>
      </w:r>
      <w:proofErr w:type="gramStart"/>
      <w:r w:rsidRPr="00532928">
        <w:rPr>
          <w:rFonts w:ascii="Times New Roman" w:hAnsi="Times New Roman" w:cs="Times New Roman"/>
          <w:bCs/>
          <w:color w:val="000000"/>
          <w:sz w:val="24"/>
          <w:szCs w:val="24"/>
        </w:rPr>
        <w:t>grades  -</w:t>
      </w:r>
      <w:proofErr w:type="gramEnd"/>
      <w:r w:rsidRPr="00532928">
        <w:rPr>
          <w:rFonts w:ascii="Times New Roman" w:hAnsi="Times New Roman" w:cs="Times New Roman"/>
          <w:bCs/>
          <w:color w:val="000000"/>
          <w:sz w:val="24"/>
          <w:szCs w:val="24"/>
        </w:rPr>
        <w:t xml:space="preserve"> grades of C- or lower – in required General Education (GE) courses that had increasingly become obstacles to graduation as a result of these widespread academic challenges.  Because so many students had to repeat these courses, their path to graduation was lengthened.  Moreover, other students wishing to take these required courses had difficulty getting enrolled because so many students were seeking to take them, either for the first time or as a repeat because of a low or failing grade.  POSC 100 was one of these designated “bottleneck” courses by the CSU Chancellor’s Office, and the THM was offered as a way to reduce the number of repeatable grades without reducing the academic rigor of the course.  </w:t>
      </w:r>
    </w:p>
    <w:p w14:paraId="27743505" w14:textId="77777777" w:rsidR="004631CA" w:rsidRPr="00532928" w:rsidRDefault="00BF5FEA" w:rsidP="009169F4">
      <w:p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ab/>
        <w:t xml:space="preserve">In the spring of 2014, three POSC 100 instructors offered course sections with a fully designed THM program.  They coordinated their efforts so that the culminating THM event involved over 600 students, working together in breakout sessions and joining all together for a final mass meeting and keynote panel.  </w:t>
      </w:r>
      <w:r w:rsidR="004631CA" w:rsidRPr="00532928">
        <w:rPr>
          <w:rFonts w:ascii="Times New Roman" w:hAnsi="Times New Roman" w:cs="Times New Roman"/>
          <w:bCs/>
          <w:color w:val="000000"/>
          <w:sz w:val="24"/>
          <w:szCs w:val="24"/>
        </w:rPr>
        <w:t xml:space="preserve">The core components of the program include: </w:t>
      </w:r>
    </w:p>
    <w:p w14:paraId="4495CAC2" w14:textId="2AD0C677" w:rsidR="004631CA" w:rsidRPr="00532928" w:rsidRDefault="0029574F" w:rsidP="004631CA">
      <w:pPr>
        <w:pStyle w:val="ListParagraph"/>
        <w:numPr>
          <w:ilvl w:val="0"/>
          <w:numId w:val="3"/>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S</w:t>
      </w:r>
      <w:r w:rsidR="004631CA" w:rsidRPr="00532928">
        <w:rPr>
          <w:rFonts w:ascii="Times New Roman" w:hAnsi="Times New Roman" w:cs="Times New Roman"/>
          <w:bCs/>
          <w:color w:val="000000"/>
          <w:sz w:val="24"/>
          <w:szCs w:val="24"/>
        </w:rPr>
        <w:t xml:space="preserve">mall-group collaborative learning communities; </w:t>
      </w:r>
    </w:p>
    <w:p w14:paraId="5994D107" w14:textId="4BB2D21F" w:rsidR="004631CA" w:rsidRPr="00532928" w:rsidRDefault="0029574F" w:rsidP="004631CA">
      <w:pPr>
        <w:pStyle w:val="ListParagraph"/>
        <w:numPr>
          <w:ilvl w:val="0"/>
          <w:numId w:val="3"/>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R</w:t>
      </w:r>
      <w:r w:rsidR="004631CA" w:rsidRPr="00532928">
        <w:rPr>
          <w:rFonts w:ascii="Times New Roman" w:hAnsi="Times New Roman" w:cs="Times New Roman"/>
          <w:bCs/>
          <w:color w:val="000000"/>
          <w:sz w:val="24"/>
          <w:szCs w:val="24"/>
        </w:rPr>
        <w:t xml:space="preserve">esearch, writing and group discussions of policy issues throughout the semester; </w:t>
      </w:r>
    </w:p>
    <w:p w14:paraId="1D22B7ED" w14:textId="4475406B" w:rsidR="004631CA" w:rsidRPr="00532928" w:rsidRDefault="0029574F" w:rsidP="004631CA">
      <w:pPr>
        <w:pStyle w:val="ListParagraph"/>
        <w:numPr>
          <w:ilvl w:val="0"/>
          <w:numId w:val="3"/>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I</w:t>
      </w:r>
      <w:r w:rsidR="004631CA" w:rsidRPr="00532928">
        <w:rPr>
          <w:rFonts w:ascii="Times New Roman" w:hAnsi="Times New Roman" w:cs="Times New Roman"/>
          <w:bCs/>
          <w:color w:val="000000"/>
          <w:sz w:val="24"/>
          <w:szCs w:val="24"/>
        </w:rPr>
        <w:t>nvolvement of faculty from multiple disciplines as moderators of student-led breakout sessions</w:t>
      </w:r>
    </w:p>
    <w:p w14:paraId="57F6CED2" w14:textId="2BA581D3" w:rsidR="004631CA" w:rsidRPr="00532928" w:rsidRDefault="0029574F" w:rsidP="004631CA">
      <w:pPr>
        <w:pStyle w:val="ListParagraph"/>
        <w:numPr>
          <w:ilvl w:val="0"/>
          <w:numId w:val="3"/>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lastRenderedPageBreak/>
        <w:t>Involvement</w:t>
      </w:r>
      <w:r w:rsidR="004631CA" w:rsidRPr="00532928">
        <w:rPr>
          <w:rFonts w:ascii="Times New Roman" w:hAnsi="Times New Roman" w:cs="Times New Roman"/>
          <w:bCs/>
          <w:color w:val="000000"/>
          <w:sz w:val="24"/>
          <w:szCs w:val="24"/>
        </w:rPr>
        <w:t xml:space="preserve"> of local elected and appointed government officials as discussants in student-led breakout sessions.</w:t>
      </w:r>
    </w:p>
    <w:p w14:paraId="25BB6262" w14:textId="7AE168E2" w:rsidR="004631CA" w:rsidRPr="00532928" w:rsidRDefault="0029574F" w:rsidP="004631CA">
      <w:pPr>
        <w:pStyle w:val="ListParagraph"/>
        <w:numPr>
          <w:ilvl w:val="0"/>
          <w:numId w:val="3"/>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P</w:t>
      </w:r>
      <w:r w:rsidR="004631CA" w:rsidRPr="00532928">
        <w:rPr>
          <w:rFonts w:ascii="Times New Roman" w:hAnsi="Times New Roman" w:cs="Times New Roman"/>
          <w:bCs/>
          <w:color w:val="000000"/>
          <w:sz w:val="24"/>
          <w:szCs w:val="24"/>
        </w:rPr>
        <w:t xml:space="preserve">resentation of policy analysis and proposed solutions to other students, faculty and local government officials; </w:t>
      </w:r>
    </w:p>
    <w:p w14:paraId="21A97A42" w14:textId="227EBA75" w:rsidR="00532928" w:rsidRPr="00A67808" w:rsidRDefault="0029574F" w:rsidP="00A67808">
      <w:pPr>
        <w:pStyle w:val="ListParagraph"/>
        <w:numPr>
          <w:ilvl w:val="0"/>
          <w:numId w:val="3"/>
        </w:numPr>
        <w:spacing w:line="480" w:lineRule="auto"/>
        <w:rPr>
          <w:rFonts w:ascii="Times New Roman" w:hAnsi="Times New Roman" w:cs="Times New Roman"/>
          <w:bCs/>
          <w:color w:val="000000"/>
          <w:sz w:val="24"/>
          <w:szCs w:val="24"/>
        </w:rPr>
      </w:pPr>
      <w:r w:rsidRPr="00532928">
        <w:rPr>
          <w:rFonts w:ascii="Times New Roman" w:hAnsi="Times New Roman" w:cs="Times New Roman"/>
          <w:bCs/>
          <w:color w:val="000000"/>
          <w:sz w:val="24"/>
          <w:szCs w:val="24"/>
        </w:rPr>
        <w:t>P</w:t>
      </w:r>
      <w:r w:rsidR="004631CA" w:rsidRPr="00532928">
        <w:rPr>
          <w:rFonts w:ascii="Times New Roman" w:hAnsi="Times New Roman" w:cs="Times New Roman"/>
          <w:bCs/>
          <w:color w:val="000000"/>
          <w:sz w:val="24"/>
          <w:szCs w:val="24"/>
        </w:rPr>
        <w:t>articipation in large-scale public event led by students, with involved faculty and local government officials.</w:t>
      </w:r>
    </w:p>
    <w:p w14:paraId="7C2D029E" w14:textId="78AF04AD" w:rsidR="00907DF3" w:rsidRDefault="004631CA" w:rsidP="00907DF3">
      <w:pPr>
        <w:spacing w:line="480" w:lineRule="auto"/>
        <w:ind w:firstLine="720"/>
        <w:rPr>
          <w:rFonts w:ascii="Times New Roman" w:hAnsi="Times New Roman" w:cs="Times New Roman"/>
          <w:sz w:val="24"/>
          <w:szCs w:val="24"/>
        </w:rPr>
      </w:pPr>
      <w:r w:rsidRPr="00532928">
        <w:rPr>
          <w:rFonts w:ascii="Times New Roman" w:hAnsi="Times New Roman" w:cs="Times New Roman"/>
          <w:sz w:val="24"/>
          <w:szCs w:val="24"/>
        </w:rPr>
        <w:t xml:space="preserve">At the beginning of the semester students </w:t>
      </w:r>
      <w:r w:rsidR="00A67808">
        <w:rPr>
          <w:rFonts w:ascii="Times New Roman" w:hAnsi="Times New Roman" w:cs="Times New Roman"/>
          <w:sz w:val="24"/>
          <w:szCs w:val="24"/>
        </w:rPr>
        <w:t>were</w:t>
      </w:r>
      <w:r w:rsidRPr="00532928">
        <w:rPr>
          <w:rFonts w:ascii="Times New Roman" w:hAnsi="Times New Roman" w:cs="Times New Roman"/>
          <w:sz w:val="24"/>
          <w:szCs w:val="24"/>
        </w:rPr>
        <w:t xml:space="preserve"> broken into </w:t>
      </w:r>
      <w:r w:rsidR="00A67808">
        <w:rPr>
          <w:rFonts w:ascii="Times New Roman" w:hAnsi="Times New Roman" w:cs="Times New Roman"/>
          <w:sz w:val="24"/>
          <w:szCs w:val="24"/>
        </w:rPr>
        <w:t>learning communities of approximately 7 students,</w:t>
      </w:r>
      <w:r w:rsidRPr="00532928">
        <w:rPr>
          <w:rFonts w:ascii="Times New Roman" w:hAnsi="Times New Roman" w:cs="Times New Roman"/>
          <w:sz w:val="24"/>
          <w:szCs w:val="24"/>
        </w:rPr>
        <w:t xml:space="preserve"> and assigned </w:t>
      </w:r>
      <w:r w:rsidR="00A67808">
        <w:rPr>
          <w:rFonts w:ascii="Times New Roman" w:hAnsi="Times New Roman" w:cs="Times New Roman"/>
          <w:sz w:val="24"/>
          <w:szCs w:val="24"/>
        </w:rPr>
        <w:t>general research topic areas</w:t>
      </w:r>
      <w:r w:rsidRPr="00532928">
        <w:rPr>
          <w:rFonts w:ascii="Times New Roman" w:hAnsi="Times New Roman" w:cs="Times New Roman"/>
          <w:sz w:val="24"/>
          <w:szCs w:val="24"/>
        </w:rPr>
        <w:t xml:space="preserve">. </w:t>
      </w:r>
      <w:r w:rsidR="00A67808">
        <w:rPr>
          <w:rFonts w:ascii="Times New Roman" w:hAnsi="Times New Roman" w:cs="Times New Roman"/>
          <w:sz w:val="24"/>
          <w:szCs w:val="24"/>
        </w:rPr>
        <w:t xml:space="preserve"> Research topics are salient</w:t>
      </w:r>
      <w:r w:rsidRPr="00532928">
        <w:rPr>
          <w:rFonts w:ascii="Times New Roman" w:hAnsi="Times New Roman" w:cs="Times New Roman"/>
          <w:sz w:val="24"/>
          <w:szCs w:val="24"/>
        </w:rPr>
        <w:t xml:space="preserve"> p</w:t>
      </w:r>
      <w:r w:rsidR="00A67808">
        <w:rPr>
          <w:rFonts w:ascii="Times New Roman" w:hAnsi="Times New Roman" w:cs="Times New Roman"/>
          <w:sz w:val="24"/>
          <w:szCs w:val="24"/>
        </w:rPr>
        <w:t xml:space="preserve">ublic policy issues, and have </w:t>
      </w:r>
      <w:r w:rsidRPr="00532928">
        <w:rPr>
          <w:rFonts w:ascii="Times New Roman" w:hAnsi="Times New Roman" w:cs="Times New Roman"/>
          <w:sz w:val="24"/>
          <w:szCs w:val="24"/>
        </w:rPr>
        <w:t>includ</w:t>
      </w:r>
      <w:r w:rsidR="00A67808">
        <w:rPr>
          <w:rFonts w:ascii="Times New Roman" w:hAnsi="Times New Roman" w:cs="Times New Roman"/>
          <w:sz w:val="24"/>
          <w:szCs w:val="24"/>
        </w:rPr>
        <w:t>ed</w:t>
      </w:r>
      <w:r w:rsidRPr="00532928">
        <w:rPr>
          <w:rFonts w:ascii="Times New Roman" w:hAnsi="Times New Roman" w:cs="Times New Roman"/>
          <w:sz w:val="24"/>
          <w:szCs w:val="24"/>
        </w:rPr>
        <w:t xml:space="preserve"> immigration reform, economic inequality</w:t>
      </w:r>
      <w:r w:rsidR="00A67808">
        <w:rPr>
          <w:rFonts w:ascii="Times New Roman" w:hAnsi="Times New Roman" w:cs="Times New Roman"/>
          <w:sz w:val="24"/>
          <w:szCs w:val="24"/>
        </w:rPr>
        <w:t>, education, gun-control, fiscal problems, the environment,</w:t>
      </w:r>
      <w:r w:rsidRPr="00532928">
        <w:rPr>
          <w:rFonts w:ascii="Times New Roman" w:hAnsi="Times New Roman" w:cs="Times New Roman"/>
          <w:sz w:val="24"/>
          <w:szCs w:val="24"/>
        </w:rPr>
        <w:t xml:space="preserve"> and </w:t>
      </w:r>
      <w:r w:rsidR="00A67808">
        <w:rPr>
          <w:rFonts w:ascii="Times New Roman" w:hAnsi="Times New Roman" w:cs="Times New Roman"/>
          <w:sz w:val="24"/>
          <w:szCs w:val="24"/>
        </w:rPr>
        <w:t xml:space="preserve">various </w:t>
      </w:r>
      <w:r w:rsidRPr="00532928">
        <w:rPr>
          <w:rFonts w:ascii="Times New Roman" w:hAnsi="Times New Roman" w:cs="Times New Roman"/>
          <w:sz w:val="24"/>
          <w:szCs w:val="24"/>
        </w:rPr>
        <w:t>international conflict</w:t>
      </w:r>
      <w:r w:rsidR="00A67808">
        <w:rPr>
          <w:rFonts w:ascii="Times New Roman" w:hAnsi="Times New Roman" w:cs="Times New Roman"/>
          <w:sz w:val="24"/>
          <w:szCs w:val="24"/>
        </w:rPr>
        <w:t>s</w:t>
      </w:r>
      <w:r w:rsidRPr="00532928">
        <w:rPr>
          <w:rFonts w:ascii="Times New Roman" w:hAnsi="Times New Roman" w:cs="Times New Roman"/>
          <w:sz w:val="24"/>
          <w:szCs w:val="24"/>
        </w:rPr>
        <w:t xml:space="preserve">. </w:t>
      </w:r>
      <w:r w:rsidR="00A67808">
        <w:rPr>
          <w:rFonts w:ascii="Times New Roman" w:hAnsi="Times New Roman" w:cs="Times New Roman"/>
          <w:sz w:val="24"/>
          <w:szCs w:val="24"/>
        </w:rPr>
        <w:t xml:space="preserve">Student learning communities then focus in on a narrower aspect of their selected issue area and research that issue throughout the semester. </w:t>
      </w:r>
      <w:r w:rsidRPr="00532928">
        <w:rPr>
          <w:rFonts w:ascii="Times New Roman" w:hAnsi="Times New Roman" w:cs="Times New Roman"/>
          <w:sz w:val="24"/>
          <w:szCs w:val="24"/>
        </w:rPr>
        <w:t>Different faculty have adapted the project to fit their area of expertise and some have included local political issues such as District vs. At Large elections and pension reform. Throughout the semester the groups study their given topics as they move through the course curriculum, while the instructor</w:t>
      </w:r>
      <w:r w:rsidR="00A67808">
        <w:rPr>
          <w:rFonts w:ascii="Times New Roman" w:hAnsi="Times New Roman" w:cs="Times New Roman"/>
          <w:sz w:val="24"/>
          <w:szCs w:val="24"/>
        </w:rPr>
        <w:t xml:space="preserve"> uses in-</w:t>
      </w:r>
      <w:r w:rsidRPr="00532928">
        <w:rPr>
          <w:rFonts w:ascii="Times New Roman" w:hAnsi="Times New Roman" w:cs="Times New Roman"/>
          <w:sz w:val="24"/>
          <w:szCs w:val="24"/>
        </w:rPr>
        <w:t>class opportunities to drive home the correlation between the</w:t>
      </w:r>
      <w:r w:rsidR="00A67808">
        <w:rPr>
          <w:rFonts w:ascii="Times New Roman" w:hAnsi="Times New Roman" w:cs="Times New Roman"/>
          <w:sz w:val="24"/>
          <w:szCs w:val="24"/>
        </w:rPr>
        <w:t>ir</w:t>
      </w:r>
      <w:r w:rsidRPr="00532928">
        <w:rPr>
          <w:rFonts w:ascii="Times New Roman" w:hAnsi="Times New Roman" w:cs="Times New Roman"/>
          <w:sz w:val="24"/>
          <w:szCs w:val="24"/>
        </w:rPr>
        <w:t xml:space="preserve"> </w:t>
      </w:r>
      <w:r w:rsidR="00A67808">
        <w:rPr>
          <w:rFonts w:ascii="Times New Roman" w:hAnsi="Times New Roman" w:cs="Times New Roman"/>
          <w:sz w:val="24"/>
          <w:szCs w:val="24"/>
        </w:rPr>
        <w:t xml:space="preserve">study of government and politics, </w:t>
      </w:r>
      <w:r w:rsidRPr="00532928">
        <w:rPr>
          <w:rFonts w:ascii="Times New Roman" w:hAnsi="Times New Roman" w:cs="Times New Roman"/>
          <w:sz w:val="24"/>
          <w:szCs w:val="24"/>
        </w:rPr>
        <w:t>and the</w:t>
      </w:r>
      <w:r w:rsidR="00A67808">
        <w:rPr>
          <w:rFonts w:ascii="Times New Roman" w:hAnsi="Times New Roman" w:cs="Times New Roman"/>
          <w:sz w:val="24"/>
          <w:szCs w:val="24"/>
        </w:rPr>
        <w:t>ir selected THM issues.</w:t>
      </w:r>
      <w:r w:rsidRPr="00532928">
        <w:rPr>
          <w:rFonts w:ascii="Times New Roman" w:hAnsi="Times New Roman" w:cs="Times New Roman"/>
          <w:sz w:val="24"/>
          <w:szCs w:val="24"/>
        </w:rPr>
        <w:t xml:space="preserve"> At the conclusion of the semester,</w:t>
      </w:r>
      <w:r w:rsidR="00A67808">
        <w:rPr>
          <w:rFonts w:ascii="Times New Roman" w:hAnsi="Times New Roman" w:cs="Times New Roman"/>
          <w:sz w:val="24"/>
          <w:szCs w:val="24"/>
        </w:rPr>
        <w:t xml:space="preserve"> </w:t>
      </w:r>
      <w:r w:rsidRPr="00532928">
        <w:rPr>
          <w:rFonts w:ascii="Times New Roman" w:hAnsi="Times New Roman" w:cs="Times New Roman"/>
          <w:sz w:val="24"/>
          <w:szCs w:val="24"/>
        </w:rPr>
        <w:t>students present their research in a variety of ways – some instructors require papers while others opt for in class presentations coupled with a creative work product. In all instances</w:t>
      </w:r>
      <w:r w:rsidR="004F1DD6">
        <w:rPr>
          <w:rFonts w:ascii="Times New Roman" w:hAnsi="Times New Roman" w:cs="Times New Roman"/>
          <w:sz w:val="24"/>
          <w:szCs w:val="24"/>
        </w:rPr>
        <w:t>,</w:t>
      </w:r>
      <w:r w:rsidRPr="00532928">
        <w:rPr>
          <w:rFonts w:ascii="Times New Roman" w:hAnsi="Times New Roman" w:cs="Times New Roman"/>
          <w:sz w:val="24"/>
          <w:szCs w:val="24"/>
        </w:rPr>
        <w:t xml:space="preserve"> students are required</w:t>
      </w:r>
      <w:r w:rsidR="004F1DD6">
        <w:rPr>
          <w:rFonts w:ascii="Times New Roman" w:hAnsi="Times New Roman" w:cs="Times New Roman"/>
          <w:sz w:val="24"/>
          <w:szCs w:val="24"/>
        </w:rPr>
        <w:t xml:space="preserve"> to participate in the culminating, university-wide</w:t>
      </w:r>
      <w:r w:rsidRPr="00532928">
        <w:rPr>
          <w:rFonts w:ascii="Times New Roman" w:hAnsi="Times New Roman" w:cs="Times New Roman"/>
          <w:sz w:val="24"/>
          <w:szCs w:val="24"/>
        </w:rPr>
        <w:t xml:space="preserve"> Town Hall Meeting, where they are divided up and present their research to other students, fa</w:t>
      </w:r>
      <w:r w:rsidR="004F1DD6">
        <w:rPr>
          <w:rFonts w:ascii="Times New Roman" w:hAnsi="Times New Roman" w:cs="Times New Roman"/>
          <w:sz w:val="24"/>
          <w:szCs w:val="24"/>
        </w:rPr>
        <w:t>c</w:t>
      </w:r>
      <w:r w:rsidRPr="00532928">
        <w:rPr>
          <w:rFonts w:ascii="Times New Roman" w:hAnsi="Times New Roman" w:cs="Times New Roman"/>
          <w:sz w:val="24"/>
          <w:szCs w:val="24"/>
        </w:rPr>
        <w:t xml:space="preserve">ulty and community stakeholders invited to attend. </w:t>
      </w:r>
      <w:r w:rsidR="00907DF3">
        <w:rPr>
          <w:rFonts w:ascii="Times New Roman" w:hAnsi="Times New Roman" w:cs="Times New Roman"/>
          <w:sz w:val="24"/>
          <w:szCs w:val="24"/>
        </w:rPr>
        <w:t xml:space="preserve">  </w:t>
      </w:r>
    </w:p>
    <w:p w14:paraId="60D7F8F3" w14:textId="5ADE6795" w:rsidR="00E0779F" w:rsidRDefault="00907DF3" w:rsidP="00907DF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THM project, then, offers students a civic educational intervention that focuses on all three proven dimensions of effective civic education: knowledge, skills and collective action.  </w:t>
      </w:r>
      <w:r>
        <w:rPr>
          <w:rFonts w:ascii="Times New Roman" w:hAnsi="Times New Roman" w:cs="Times New Roman"/>
          <w:sz w:val="24"/>
          <w:szCs w:val="24"/>
        </w:rPr>
        <w:lastRenderedPageBreak/>
        <w:t>The POSC 100 curriculum is modified to illustrate the connections between traditional American government course instruction and students’ efforts to explore prominent public affairs issues</w:t>
      </w:r>
      <w:r w:rsidR="00E0779F">
        <w:rPr>
          <w:rFonts w:ascii="Times New Roman" w:hAnsi="Times New Roman" w:cs="Times New Roman"/>
          <w:sz w:val="24"/>
          <w:szCs w:val="24"/>
        </w:rPr>
        <w:t xml:space="preserve">.  In the process, students are required to work collaboratively in teams; develop basic research skills for learning about their selected issue; discuss the political and policy dimensions of their issue with students who are often from different racial/ethnic backgrounds; present their team’s work to their peers, faculty and local government leaders; and to produce and participate in a large-scale community event for the university.  </w:t>
      </w:r>
    </w:p>
    <w:p w14:paraId="21389380" w14:textId="77777777" w:rsidR="00FC248E" w:rsidRDefault="00FC248E" w:rsidP="00907DF3">
      <w:pPr>
        <w:spacing w:line="480" w:lineRule="auto"/>
        <w:rPr>
          <w:rFonts w:ascii="Times New Roman" w:hAnsi="Times New Roman" w:cs="Times New Roman"/>
          <w:sz w:val="24"/>
          <w:szCs w:val="24"/>
        </w:rPr>
      </w:pPr>
    </w:p>
    <w:p w14:paraId="4BB012E4" w14:textId="62D71868" w:rsidR="00896BA1" w:rsidRDefault="00896BA1" w:rsidP="00907DF3">
      <w:pPr>
        <w:spacing w:line="480" w:lineRule="auto"/>
        <w:rPr>
          <w:rFonts w:ascii="Times New Roman" w:hAnsi="Times New Roman" w:cs="Times New Roman"/>
          <w:b/>
          <w:sz w:val="24"/>
          <w:szCs w:val="24"/>
        </w:rPr>
      </w:pPr>
      <w:r>
        <w:rPr>
          <w:rFonts w:ascii="Times New Roman" w:hAnsi="Times New Roman" w:cs="Times New Roman"/>
          <w:b/>
          <w:sz w:val="24"/>
          <w:szCs w:val="24"/>
        </w:rPr>
        <w:t>Analysis of the THM program’s Impact</w:t>
      </w:r>
    </w:p>
    <w:p w14:paraId="38B99435" w14:textId="77777777" w:rsidR="00FC248E" w:rsidRDefault="000748A4" w:rsidP="00FC248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an effort to evaluate the program’s impact, a survey was administered to CSU Fullerton students in the spring of 2014.  Students enrolled in the THM POSC 100 sections and students enrolled in two other POSC 100 sections without the THM were asked to voluntarily answer a 65 question survey at the end of the semester, following the THM culminating event.  The demographics of the </w:t>
      </w:r>
      <w:r w:rsidR="00524D71">
        <w:rPr>
          <w:rFonts w:ascii="Times New Roman" w:hAnsi="Times New Roman" w:cs="Times New Roman"/>
          <w:sz w:val="24"/>
          <w:szCs w:val="24"/>
        </w:rPr>
        <w:t xml:space="preserve">class sections that were given </w:t>
      </w:r>
      <w:r>
        <w:rPr>
          <w:rFonts w:ascii="Times New Roman" w:hAnsi="Times New Roman" w:cs="Times New Roman"/>
          <w:sz w:val="24"/>
          <w:szCs w:val="24"/>
        </w:rPr>
        <w:t>the survey</w:t>
      </w:r>
      <w:r w:rsidR="00FC248E">
        <w:rPr>
          <w:rFonts w:ascii="Times New Roman" w:hAnsi="Times New Roman" w:cs="Times New Roman"/>
          <w:sz w:val="24"/>
          <w:szCs w:val="24"/>
        </w:rPr>
        <w:t xml:space="preserve"> are presented in table 1 below.</w:t>
      </w:r>
    </w:p>
    <w:p w14:paraId="7A7E9E6D" w14:textId="7F74607E" w:rsidR="00FC248E" w:rsidRDefault="00FC248E" w:rsidP="00FC24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the 961 total </w:t>
      </w:r>
      <w:proofErr w:type="gramStart"/>
      <w:r>
        <w:rPr>
          <w:rFonts w:ascii="Times New Roman" w:hAnsi="Times New Roman" w:cs="Times New Roman"/>
          <w:sz w:val="24"/>
          <w:szCs w:val="24"/>
        </w:rPr>
        <w:t>number</w:t>
      </w:r>
      <w:proofErr w:type="gramEnd"/>
      <w:r>
        <w:rPr>
          <w:rFonts w:ascii="Times New Roman" w:hAnsi="Times New Roman" w:cs="Times New Roman"/>
          <w:sz w:val="24"/>
          <w:szCs w:val="24"/>
        </w:rPr>
        <w:t xml:space="preserve"> of students in both sections, 571 completed the survey for a 59% response rate.  Three-hundred and forty-two (342) respondents had participated in the THM program and 229 were in the POSC 100 sections without the THM.  Institutional research data on the demographics of the students enrolled in these POSC 100 sections show that there was little difference between the THM and non-THM sections, </w:t>
      </w:r>
      <w:proofErr w:type="gramStart"/>
      <w:r>
        <w:rPr>
          <w:rFonts w:ascii="Times New Roman" w:hAnsi="Times New Roman" w:cs="Times New Roman"/>
          <w:sz w:val="24"/>
          <w:szCs w:val="24"/>
        </w:rPr>
        <w:t>Both</w:t>
      </w:r>
      <w:proofErr w:type="gramEnd"/>
      <w:r>
        <w:rPr>
          <w:rFonts w:ascii="Times New Roman" w:hAnsi="Times New Roman" w:cs="Times New Roman"/>
          <w:sz w:val="24"/>
          <w:szCs w:val="24"/>
        </w:rPr>
        <w:t xml:space="preserve"> were ethnically diverse, with 40% of the non-THM section and 49% of the THM sections from Latino backgrounds (data on other racial/ethnic identities were unavailable). Both had about 1/3 who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the first person in their family that had attended any kind of higher education institution.  And both groups </w:t>
      </w:r>
      <w:r>
        <w:rPr>
          <w:rFonts w:ascii="Times New Roman" w:hAnsi="Times New Roman" w:cs="Times New Roman"/>
          <w:sz w:val="24"/>
          <w:szCs w:val="24"/>
        </w:rPr>
        <w:lastRenderedPageBreak/>
        <w:t>consisted of predominantly first and second-year students (freshmen and sophomores): 79% of the THM students and 72% of the non-THM students.  It is worth noting that CSU Fullerton has a much larger Latino student population in their THM program than Chico: 49% of the THM courses at Fullerton were Latino, while 13.5% of the THM participants at Chico were “Hispanic” (</w:t>
      </w:r>
      <w:proofErr w:type="spellStart"/>
      <w:r>
        <w:rPr>
          <w:rFonts w:ascii="Times New Roman" w:hAnsi="Times New Roman" w:cs="Times New Roman"/>
          <w:sz w:val="24"/>
          <w:szCs w:val="24"/>
        </w:rPr>
        <w:t>Ertle</w:t>
      </w:r>
      <w:proofErr w:type="spellEnd"/>
      <w:r>
        <w:rPr>
          <w:rFonts w:ascii="Times New Roman" w:hAnsi="Times New Roman" w:cs="Times New Roman"/>
          <w:sz w:val="24"/>
          <w:szCs w:val="24"/>
        </w:rPr>
        <w:t xml:space="preserve"> and Weber 2010, p. 10).  </w:t>
      </w:r>
    </w:p>
    <w:tbl>
      <w:tblPr>
        <w:tblW w:w="9080" w:type="dxa"/>
        <w:tblInd w:w="93" w:type="dxa"/>
        <w:tblLook w:val="04A0" w:firstRow="1" w:lastRow="0" w:firstColumn="1" w:lastColumn="0" w:noHBand="0" w:noVBand="1"/>
      </w:tblPr>
      <w:tblGrid>
        <w:gridCol w:w="3806"/>
        <w:gridCol w:w="2295"/>
        <w:gridCol w:w="222"/>
        <w:gridCol w:w="2883"/>
        <w:gridCol w:w="222"/>
      </w:tblGrid>
      <w:tr w:rsidR="00524D71" w:rsidRPr="002141AC" w14:paraId="56F87407" w14:textId="77777777" w:rsidTr="002D6FE0">
        <w:trPr>
          <w:trHeight w:val="300"/>
        </w:trPr>
        <w:tc>
          <w:tcPr>
            <w:tcW w:w="9080" w:type="dxa"/>
            <w:gridSpan w:val="5"/>
            <w:shd w:val="clear" w:color="auto" w:fill="auto"/>
            <w:noWrap/>
            <w:vAlign w:val="bottom"/>
            <w:hideMark/>
          </w:tcPr>
          <w:p w14:paraId="54D6FEC3" w14:textId="77777777" w:rsidR="00524D71" w:rsidRPr="002141AC" w:rsidRDefault="00524D71" w:rsidP="002D6FE0">
            <w:pPr>
              <w:spacing w:after="0" w:line="240" w:lineRule="auto"/>
              <w:jc w:val="center"/>
              <w:rPr>
                <w:rFonts w:ascii="Calibri" w:eastAsia="Times New Roman" w:hAnsi="Calibri" w:cs="Times New Roman"/>
                <w:b/>
                <w:bCs/>
                <w:color w:val="000000"/>
              </w:rPr>
            </w:pPr>
            <w:r w:rsidRPr="002141AC">
              <w:rPr>
                <w:rFonts w:ascii="Calibri" w:eastAsia="Times New Roman" w:hAnsi="Calibri" w:cs="Times New Roman"/>
                <w:b/>
                <w:bCs/>
                <w:color w:val="000000"/>
              </w:rPr>
              <w:t>Table 1: Student Demographics</w:t>
            </w:r>
          </w:p>
        </w:tc>
      </w:tr>
      <w:tr w:rsidR="00524D71" w:rsidRPr="002141AC" w14:paraId="42819D95" w14:textId="77777777" w:rsidTr="002D6FE0">
        <w:trPr>
          <w:trHeight w:val="315"/>
        </w:trPr>
        <w:tc>
          <w:tcPr>
            <w:tcW w:w="9080" w:type="dxa"/>
            <w:gridSpan w:val="5"/>
            <w:shd w:val="clear" w:color="auto" w:fill="auto"/>
            <w:noWrap/>
            <w:vAlign w:val="bottom"/>
            <w:hideMark/>
          </w:tcPr>
          <w:p w14:paraId="14880DAF" w14:textId="77777777" w:rsidR="00524D71" w:rsidRPr="002141AC" w:rsidRDefault="00524D71" w:rsidP="002D6FE0">
            <w:pPr>
              <w:spacing w:after="0" w:line="240" w:lineRule="auto"/>
              <w:jc w:val="center"/>
              <w:rPr>
                <w:rFonts w:ascii="Calibri" w:eastAsia="Times New Roman" w:hAnsi="Calibri" w:cs="Times New Roman"/>
                <w:b/>
                <w:bCs/>
                <w:color w:val="000000"/>
              </w:rPr>
            </w:pPr>
            <w:r w:rsidRPr="002141AC">
              <w:rPr>
                <w:rFonts w:ascii="Calibri" w:eastAsia="Times New Roman" w:hAnsi="Calibri" w:cs="Times New Roman"/>
                <w:b/>
                <w:bCs/>
                <w:color w:val="000000"/>
              </w:rPr>
              <w:t>Town Hall and Non-Town Hall Meeting POSC 100 Sections</w:t>
            </w:r>
          </w:p>
        </w:tc>
      </w:tr>
      <w:tr w:rsidR="00524D71" w:rsidRPr="002141AC" w14:paraId="36172734" w14:textId="77777777" w:rsidTr="002D6FE0">
        <w:trPr>
          <w:trHeight w:val="330"/>
        </w:trPr>
        <w:tc>
          <w:tcPr>
            <w:tcW w:w="3806" w:type="dxa"/>
            <w:shd w:val="clear" w:color="auto" w:fill="auto"/>
            <w:noWrap/>
            <w:vAlign w:val="bottom"/>
            <w:hideMark/>
          </w:tcPr>
          <w:p w14:paraId="01874103" w14:textId="77777777" w:rsidR="00524D71" w:rsidRPr="002141AC" w:rsidRDefault="00524D71" w:rsidP="002D6FE0">
            <w:pPr>
              <w:spacing w:after="0" w:line="240" w:lineRule="auto"/>
              <w:rPr>
                <w:rFonts w:ascii="Calibri" w:eastAsia="Times New Roman" w:hAnsi="Calibri" w:cs="Times New Roman"/>
                <w:color w:val="000000"/>
              </w:rPr>
            </w:pPr>
          </w:p>
        </w:tc>
        <w:tc>
          <w:tcPr>
            <w:tcW w:w="2295" w:type="dxa"/>
            <w:shd w:val="clear" w:color="auto" w:fill="auto"/>
            <w:noWrap/>
            <w:vAlign w:val="bottom"/>
            <w:hideMark/>
          </w:tcPr>
          <w:p w14:paraId="3CD5C870"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Town Hall Meeting</w:t>
            </w:r>
          </w:p>
        </w:tc>
        <w:tc>
          <w:tcPr>
            <w:tcW w:w="48" w:type="dxa"/>
            <w:shd w:val="clear" w:color="auto" w:fill="auto"/>
            <w:noWrap/>
            <w:vAlign w:val="bottom"/>
            <w:hideMark/>
          </w:tcPr>
          <w:p w14:paraId="70773AF1"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291D1515"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Non-Town Hall Meeting</w:t>
            </w:r>
          </w:p>
        </w:tc>
        <w:tc>
          <w:tcPr>
            <w:tcW w:w="48" w:type="dxa"/>
            <w:shd w:val="clear" w:color="auto" w:fill="auto"/>
            <w:noWrap/>
            <w:vAlign w:val="bottom"/>
            <w:hideMark/>
          </w:tcPr>
          <w:p w14:paraId="5BBE7EE6" w14:textId="77777777" w:rsidR="00524D71" w:rsidRPr="002141AC" w:rsidRDefault="00524D71" w:rsidP="002D6FE0">
            <w:pPr>
              <w:spacing w:after="0" w:line="240" w:lineRule="auto"/>
              <w:rPr>
                <w:rFonts w:ascii="Calibri" w:eastAsia="Times New Roman" w:hAnsi="Calibri" w:cs="Times New Roman"/>
                <w:color w:val="000000"/>
              </w:rPr>
            </w:pPr>
          </w:p>
        </w:tc>
      </w:tr>
      <w:tr w:rsidR="00524D71" w:rsidRPr="002141AC" w14:paraId="4CA9C1B3" w14:textId="77777777" w:rsidTr="002D6FE0">
        <w:trPr>
          <w:trHeight w:val="315"/>
        </w:trPr>
        <w:tc>
          <w:tcPr>
            <w:tcW w:w="3806" w:type="dxa"/>
            <w:shd w:val="clear" w:color="auto" w:fill="auto"/>
            <w:noWrap/>
            <w:vAlign w:val="bottom"/>
            <w:hideMark/>
          </w:tcPr>
          <w:p w14:paraId="3147D414" w14:textId="77777777" w:rsidR="00524D71" w:rsidRPr="002141AC" w:rsidRDefault="00524D71" w:rsidP="002D6FE0">
            <w:pPr>
              <w:spacing w:after="0" w:line="240" w:lineRule="auto"/>
              <w:rPr>
                <w:rFonts w:ascii="Calibri" w:eastAsia="Times New Roman" w:hAnsi="Calibri" w:cs="Times New Roman"/>
                <w:color w:val="000000"/>
              </w:rPr>
            </w:pPr>
          </w:p>
        </w:tc>
        <w:tc>
          <w:tcPr>
            <w:tcW w:w="2295" w:type="dxa"/>
            <w:shd w:val="clear" w:color="auto" w:fill="auto"/>
            <w:noWrap/>
            <w:vAlign w:val="bottom"/>
            <w:hideMark/>
          </w:tcPr>
          <w:p w14:paraId="2B9FC31B" w14:textId="77777777" w:rsidR="00524D71" w:rsidRPr="002141AC" w:rsidRDefault="00524D71" w:rsidP="002D6FE0">
            <w:pPr>
              <w:spacing w:after="0" w:line="240" w:lineRule="auto"/>
              <w:rPr>
                <w:rFonts w:ascii="Calibri" w:eastAsia="Times New Roman" w:hAnsi="Calibri" w:cs="Times New Roman"/>
                <w:color w:val="000000"/>
              </w:rPr>
            </w:pPr>
          </w:p>
        </w:tc>
        <w:tc>
          <w:tcPr>
            <w:tcW w:w="48" w:type="dxa"/>
            <w:shd w:val="clear" w:color="auto" w:fill="auto"/>
            <w:noWrap/>
            <w:vAlign w:val="bottom"/>
            <w:hideMark/>
          </w:tcPr>
          <w:p w14:paraId="2B0CB35C"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21498E04" w14:textId="77777777" w:rsidR="00524D71" w:rsidRPr="002141AC" w:rsidRDefault="00524D71" w:rsidP="002D6FE0">
            <w:pPr>
              <w:spacing w:after="0" w:line="240" w:lineRule="auto"/>
              <w:rPr>
                <w:rFonts w:ascii="Calibri" w:eastAsia="Times New Roman" w:hAnsi="Calibri" w:cs="Times New Roman"/>
                <w:color w:val="000000"/>
              </w:rPr>
            </w:pPr>
          </w:p>
        </w:tc>
        <w:tc>
          <w:tcPr>
            <w:tcW w:w="48" w:type="dxa"/>
            <w:shd w:val="clear" w:color="auto" w:fill="auto"/>
            <w:noWrap/>
            <w:vAlign w:val="bottom"/>
            <w:hideMark/>
          </w:tcPr>
          <w:p w14:paraId="1DD9EEC5" w14:textId="77777777" w:rsidR="00524D71" w:rsidRPr="002141AC" w:rsidRDefault="00524D71" w:rsidP="002D6FE0">
            <w:pPr>
              <w:spacing w:after="0" w:line="240" w:lineRule="auto"/>
              <w:rPr>
                <w:rFonts w:ascii="Calibri" w:eastAsia="Times New Roman" w:hAnsi="Calibri" w:cs="Times New Roman"/>
                <w:color w:val="000000"/>
              </w:rPr>
            </w:pPr>
          </w:p>
        </w:tc>
      </w:tr>
      <w:tr w:rsidR="00524D71" w:rsidRPr="002141AC" w14:paraId="7283F6C7" w14:textId="77777777" w:rsidTr="002D6FE0">
        <w:trPr>
          <w:trHeight w:val="315"/>
        </w:trPr>
        <w:tc>
          <w:tcPr>
            <w:tcW w:w="3806" w:type="dxa"/>
            <w:shd w:val="clear" w:color="auto" w:fill="auto"/>
            <w:noWrap/>
            <w:vAlign w:val="bottom"/>
            <w:hideMark/>
          </w:tcPr>
          <w:p w14:paraId="2778CA78"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Total number of students</w:t>
            </w:r>
          </w:p>
        </w:tc>
        <w:tc>
          <w:tcPr>
            <w:tcW w:w="2295" w:type="dxa"/>
            <w:shd w:val="clear" w:color="auto" w:fill="auto"/>
            <w:noWrap/>
            <w:vAlign w:val="bottom"/>
            <w:hideMark/>
          </w:tcPr>
          <w:p w14:paraId="5FFC1A49"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554</w:t>
            </w:r>
          </w:p>
        </w:tc>
        <w:tc>
          <w:tcPr>
            <w:tcW w:w="48" w:type="dxa"/>
            <w:shd w:val="clear" w:color="auto" w:fill="auto"/>
            <w:noWrap/>
            <w:vAlign w:val="bottom"/>
            <w:hideMark/>
          </w:tcPr>
          <w:p w14:paraId="6589414D"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5D9B1E8F"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407</w:t>
            </w:r>
          </w:p>
        </w:tc>
        <w:tc>
          <w:tcPr>
            <w:tcW w:w="48" w:type="dxa"/>
            <w:shd w:val="clear" w:color="auto" w:fill="auto"/>
            <w:noWrap/>
            <w:vAlign w:val="bottom"/>
            <w:hideMark/>
          </w:tcPr>
          <w:p w14:paraId="22F029E5"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5C39DC37" w14:textId="77777777" w:rsidTr="002D6FE0">
        <w:trPr>
          <w:trHeight w:val="300"/>
        </w:trPr>
        <w:tc>
          <w:tcPr>
            <w:tcW w:w="3806" w:type="dxa"/>
            <w:shd w:val="clear" w:color="auto" w:fill="auto"/>
            <w:noWrap/>
            <w:vAlign w:val="bottom"/>
            <w:hideMark/>
          </w:tcPr>
          <w:p w14:paraId="4B9F2029" w14:textId="77777777" w:rsidR="00524D71" w:rsidRPr="002141AC" w:rsidRDefault="00524D71" w:rsidP="002D6FE0">
            <w:pPr>
              <w:spacing w:after="0" w:line="240" w:lineRule="auto"/>
              <w:rPr>
                <w:rFonts w:ascii="Calibri" w:eastAsia="Times New Roman" w:hAnsi="Calibri" w:cs="Times New Roman"/>
                <w:color w:val="000000"/>
              </w:rPr>
            </w:pPr>
          </w:p>
        </w:tc>
        <w:tc>
          <w:tcPr>
            <w:tcW w:w="2295" w:type="dxa"/>
            <w:shd w:val="clear" w:color="auto" w:fill="auto"/>
            <w:noWrap/>
            <w:vAlign w:val="bottom"/>
            <w:hideMark/>
          </w:tcPr>
          <w:p w14:paraId="32A1A614"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7E6D174B"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3A2383C5"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7F82E937"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7AF19978" w14:textId="77777777" w:rsidTr="002D6FE0">
        <w:trPr>
          <w:trHeight w:val="300"/>
        </w:trPr>
        <w:tc>
          <w:tcPr>
            <w:tcW w:w="3806" w:type="dxa"/>
            <w:shd w:val="clear" w:color="auto" w:fill="auto"/>
            <w:noWrap/>
            <w:vAlign w:val="bottom"/>
            <w:hideMark/>
          </w:tcPr>
          <w:p w14:paraId="32C1FFC6"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First in family to go to college</w:t>
            </w:r>
          </w:p>
        </w:tc>
        <w:tc>
          <w:tcPr>
            <w:tcW w:w="2295" w:type="dxa"/>
            <w:shd w:val="clear" w:color="auto" w:fill="auto"/>
            <w:noWrap/>
            <w:vAlign w:val="bottom"/>
            <w:hideMark/>
          </w:tcPr>
          <w:p w14:paraId="577E27F2"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32%</w:t>
            </w:r>
          </w:p>
        </w:tc>
        <w:tc>
          <w:tcPr>
            <w:tcW w:w="48" w:type="dxa"/>
            <w:shd w:val="clear" w:color="auto" w:fill="auto"/>
            <w:noWrap/>
            <w:vAlign w:val="bottom"/>
            <w:hideMark/>
          </w:tcPr>
          <w:p w14:paraId="1DCF40AA"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32F073C1"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31%</w:t>
            </w:r>
          </w:p>
        </w:tc>
        <w:tc>
          <w:tcPr>
            <w:tcW w:w="48" w:type="dxa"/>
            <w:shd w:val="clear" w:color="auto" w:fill="auto"/>
            <w:noWrap/>
            <w:vAlign w:val="bottom"/>
            <w:hideMark/>
          </w:tcPr>
          <w:p w14:paraId="4D957D38"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5F7906F0" w14:textId="77777777" w:rsidTr="002D6FE0">
        <w:trPr>
          <w:trHeight w:val="300"/>
        </w:trPr>
        <w:tc>
          <w:tcPr>
            <w:tcW w:w="3806" w:type="dxa"/>
            <w:shd w:val="clear" w:color="auto" w:fill="auto"/>
            <w:noWrap/>
            <w:vAlign w:val="bottom"/>
            <w:hideMark/>
          </w:tcPr>
          <w:p w14:paraId="21997F6A"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Parent completed some college</w:t>
            </w:r>
          </w:p>
        </w:tc>
        <w:tc>
          <w:tcPr>
            <w:tcW w:w="2295" w:type="dxa"/>
            <w:shd w:val="clear" w:color="auto" w:fill="auto"/>
            <w:noWrap/>
            <w:vAlign w:val="bottom"/>
            <w:hideMark/>
          </w:tcPr>
          <w:p w14:paraId="18B9D1DD"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30%</w:t>
            </w:r>
          </w:p>
        </w:tc>
        <w:tc>
          <w:tcPr>
            <w:tcW w:w="48" w:type="dxa"/>
            <w:shd w:val="clear" w:color="auto" w:fill="auto"/>
            <w:noWrap/>
            <w:vAlign w:val="bottom"/>
            <w:hideMark/>
          </w:tcPr>
          <w:p w14:paraId="2BB4C249"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508E2A6F"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29%</w:t>
            </w:r>
          </w:p>
        </w:tc>
        <w:tc>
          <w:tcPr>
            <w:tcW w:w="48" w:type="dxa"/>
            <w:shd w:val="clear" w:color="auto" w:fill="auto"/>
            <w:noWrap/>
            <w:vAlign w:val="bottom"/>
            <w:hideMark/>
          </w:tcPr>
          <w:p w14:paraId="78FEBBD6"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64050F24" w14:textId="77777777" w:rsidTr="002D6FE0">
        <w:trPr>
          <w:trHeight w:val="300"/>
        </w:trPr>
        <w:tc>
          <w:tcPr>
            <w:tcW w:w="3806" w:type="dxa"/>
            <w:shd w:val="clear" w:color="auto" w:fill="auto"/>
            <w:noWrap/>
            <w:vAlign w:val="bottom"/>
            <w:hideMark/>
          </w:tcPr>
          <w:p w14:paraId="410C0B51"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Parent graduated from college</w:t>
            </w:r>
          </w:p>
        </w:tc>
        <w:tc>
          <w:tcPr>
            <w:tcW w:w="2295" w:type="dxa"/>
            <w:shd w:val="clear" w:color="auto" w:fill="auto"/>
            <w:noWrap/>
            <w:vAlign w:val="bottom"/>
            <w:hideMark/>
          </w:tcPr>
          <w:p w14:paraId="061AEC02"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33%</w:t>
            </w:r>
          </w:p>
        </w:tc>
        <w:tc>
          <w:tcPr>
            <w:tcW w:w="48" w:type="dxa"/>
            <w:shd w:val="clear" w:color="auto" w:fill="auto"/>
            <w:noWrap/>
            <w:vAlign w:val="bottom"/>
            <w:hideMark/>
          </w:tcPr>
          <w:p w14:paraId="51DCCA70"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1E4F0FFE"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35%</w:t>
            </w:r>
          </w:p>
        </w:tc>
        <w:tc>
          <w:tcPr>
            <w:tcW w:w="48" w:type="dxa"/>
            <w:shd w:val="clear" w:color="auto" w:fill="auto"/>
            <w:noWrap/>
            <w:vAlign w:val="bottom"/>
            <w:hideMark/>
          </w:tcPr>
          <w:p w14:paraId="5A254CED"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2502DC65" w14:textId="77777777" w:rsidTr="002D6FE0">
        <w:trPr>
          <w:trHeight w:val="300"/>
        </w:trPr>
        <w:tc>
          <w:tcPr>
            <w:tcW w:w="3806" w:type="dxa"/>
            <w:shd w:val="clear" w:color="auto" w:fill="auto"/>
            <w:noWrap/>
            <w:vAlign w:val="bottom"/>
            <w:hideMark/>
          </w:tcPr>
          <w:p w14:paraId="3122B943" w14:textId="77777777" w:rsidR="00524D71" w:rsidRPr="002141AC" w:rsidRDefault="00524D71" w:rsidP="002D6FE0">
            <w:pPr>
              <w:spacing w:after="0" w:line="240" w:lineRule="auto"/>
              <w:rPr>
                <w:rFonts w:ascii="Calibri" w:eastAsia="Times New Roman" w:hAnsi="Calibri" w:cs="Times New Roman"/>
                <w:color w:val="000000"/>
              </w:rPr>
            </w:pPr>
          </w:p>
        </w:tc>
        <w:tc>
          <w:tcPr>
            <w:tcW w:w="2295" w:type="dxa"/>
            <w:shd w:val="clear" w:color="auto" w:fill="auto"/>
            <w:noWrap/>
            <w:vAlign w:val="bottom"/>
            <w:hideMark/>
          </w:tcPr>
          <w:p w14:paraId="1C2A095F"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13B646AC"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52C2010F"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77AF8EB6"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5412564C" w14:textId="77777777" w:rsidTr="002D6FE0">
        <w:trPr>
          <w:trHeight w:val="300"/>
        </w:trPr>
        <w:tc>
          <w:tcPr>
            <w:tcW w:w="3806" w:type="dxa"/>
            <w:shd w:val="clear" w:color="auto" w:fill="auto"/>
            <w:noWrap/>
            <w:vAlign w:val="bottom"/>
            <w:hideMark/>
          </w:tcPr>
          <w:p w14:paraId="79CDE754"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First year at CSUF</w:t>
            </w:r>
          </w:p>
        </w:tc>
        <w:tc>
          <w:tcPr>
            <w:tcW w:w="2295" w:type="dxa"/>
            <w:shd w:val="clear" w:color="auto" w:fill="auto"/>
            <w:noWrap/>
            <w:vAlign w:val="bottom"/>
            <w:hideMark/>
          </w:tcPr>
          <w:p w14:paraId="6B307D25"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32%</w:t>
            </w:r>
          </w:p>
        </w:tc>
        <w:tc>
          <w:tcPr>
            <w:tcW w:w="48" w:type="dxa"/>
            <w:shd w:val="clear" w:color="auto" w:fill="auto"/>
            <w:noWrap/>
            <w:vAlign w:val="bottom"/>
            <w:hideMark/>
          </w:tcPr>
          <w:p w14:paraId="3E3DE968"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68300316"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26%</w:t>
            </w:r>
          </w:p>
        </w:tc>
        <w:tc>
          <w:tcPr>
            <w:tcW w:w="48" w:type="dxa"/>
            <w:shd w:val="clear" w:color="auto" w:fill="auto"/>
            <w:noWrap/>
            <w:vAlign w:val="bottom"/>
            <w:hideMark/>
          </w:tcPr>
          <w:p w14:paraId="14F347B3"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2D0AD7BB" w14:textId="77777777" w:rsidTr="002D6FE0">
        <w:trPr>
          <w:trHeight w:val="300"/>
        </w:trPr>
        <w:tc>
          <w:tcPr>
            <w:tcW w:w="3806" w:type="dxa"/>
            <w:shd w:val="clear" w:color="auto" w:fill="auto"/>
            <w:noWrap/>
            <w:vAlign w:val="bottom"/>
            <w:hideMark/>
          </w:tcPr>
          <w:p w14:paraId="5E858B42"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Second year at CSUF</w:t>
            </w:r>
          </w:p>
        </w:tc>
        <w:tc>
          <w:tcPr>
            <w:tcW w:w="2295" w:type="dxa"/>
            <w:shd w:val="clear" w:color="auto" w:fill="auto"/>
            <w:noWrap/>
            <w:vAlign w:val="bottom"/>
            <w:hideMark/>
          </w:tcPr>
          <w:p w14:paraId="443C4129"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47%</w:t>
            </w:r>
          </w:p>
        </w:tc>
        <w:tc>
          <w:tcPr>
            <w:tcW w:w="48" w:type="dxa"/>
            <w:shd w:val="clear" w:color="auto" w:fill="auto"/>
            <w:noWrap/>
            <w:vAlign w:val="bottom"/>
            <w:hideMark/>
          </w:tcPr>
          <w:p w14:paraId="569CA818"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52E997A1"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46%</w:t>
            </w:r>
          </w:p>
        </w:tc>
        <w:tc>
          <w:tcPr>
            <w:tcW w:w="48" w:type="dxa"/>
            <w:shd w:val="clear" w:color="auto" w:fill="auto"/>
            <w:noWrap/>
            <w:vAlign w:val="bottom"/>
            <w:hideMark/>
          </w:tcPr>
          <w:p w14:paraId="666ADF71"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6BCFA9C9" w14:textId="77777777" w:rsidTr="002D6FE0">
        <w:trPr>
          <w:trHeight w:val="300"/>
        </w:trPr>
        <w:tc>
          <w:tcPr>
            <w:tcW w:w="3806" w:type="dxa"/>
            <w:shd w:val="clear" w:color="auto" w:fill="auto"/>
            <w:noWrap/>
            <w:vAlign w:val="bottom"/>
            <w:hideMark/>
          </w:tcPr>
          <w:p w14:paraId="1402E712"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Third year at CSUF</w:t>
            </w:r>
          </w:p>
        </w:tc>
        <w:tc>
          <w:tcPr>
            <w:tcW w:w="2295" w:type="dxa"/>
            <w:shd w:val="clear" w:color="auto" w:fill="auto"/>
            <w:noWrap/>
            <w:vAlign w:val="bottom"/>
            <w:hideMark/>
          </w:tcPr>
          <w:p w14:paraId="4E67519D"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15%</w:t>
            </w:r>
          </w:p>
        </w:tc>
        <w:tc>
          <w:tcPr>
            <w:tcW w:w="48" w:type="dxa"/>
            <w:shd w:val="clear" w:color="auto" w:fill="auto"/>
            <w:noWrap/>
            <w:vAlign w:val="bottom"/>
            <w:hideMark/>
          </w:tcPr>
          <w:p w14:paraId="6CB2D717"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23F26C24"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18%</w:t>
            </w:r>
          </w:p>
        </w:tc>
        <w:tc>
          <w:tcPr>
            <w:tcW w:w="48" w:type="dxa"/>
            <w:shd w:val="clear" w:color="auto" w:fill="auto"/>
            <w:noWrap/>
            <w:vAlign w:val="bottom"/>
            <w:hideMark/>
          </w:tcPr>
          <w:p w14:paraId="262B7261"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18959DD2" w14:textId="77777777" w:rsidTr="002D6FE0">
        <w:trPr>
          <w:trHeight w:val="300"/>
        </w:trPr>
        <w:tc>
          <w:tcPr>
            <w:tcW w:w="3806" w:type="dxa"/>
            <w:shd w:val="clear" w:color="auto" w:fill="auto"/>
            <w:noWrap/>
            <w:vAlign w:val="bottom"/>
            <w:hideMark/>
          </w:tcPr>
          <w:p w14:paraId="18B166DA"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Fourth or more years at CSUF</w:t>
            </w:r>
          </w:p>
        </w:tc>
        <w:tc>
          <w:tcPr>
            <w:tcW w:w="2295" w:type="dxa"/>
            <w:shd w:val="clear" w:color="auto" w:fill="auto"/>
            <w:noWrap/>
            <w:vAlign w:val="bottom"/>
            <w:hideMark/>
          </w:tcPr>
          <w:p w14:paraId="68C38326"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6%</w:t>
            </w:r>
          </w:p>
        </w:tc>
        <w:tc>
          <w:tcPr>
            <w:tcW w:w="48" w:type="dxa"/>
            <w:shd w:val="clear" w:color="auto" w:fill="auto"/>
            <w:noWrap/>
            <w:vAlign w:val="bottom"/>
            <w:hideMark/>
          </w:tcPr>
          <w:p w14:paraId="2F8B2D5C"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0957F320"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11%</w:t>
            </w:r>
          </w:p>
        </w:tc>
        <w:tc>
          <w:tcPr>
            <w:tcW w:w="48" w:type="dxa"/>
            <w:shd w:val="clear" w:color="auto" w:fill="auto"/>
            <w:noWrap/>
            <w:vAlign w:val="bottom"/>
            <w:hideMark/>
          </w:tcPr>
          <w:p w14:paraId="0E16B7CB"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3F3E6F3A" w14:textId="77777777" w:rsidTr="002D6FE0">
        <w:trPr>
          <w:trHeight w:val="300"/>
        </w:trPr>
        <w:tc>
          <w:tcPr>
            <w:tcW w:w="3806" w:type="dxa"/>
            <w:shd w:val="clear" w:color="auto" w:fill="auto"/>
            <w:noWrap/>
            <w:vAlign w:val="bottom"/>
            <w:hideMark/>
          </w:tcPr>
          <w:p w14:paraId="3ED4482C" w14:textId="77777777" w:rsidR="00524D71" w:rsidRPr="002141AC" w:rsidRDefault="00524D71" w:rsidP="002D6FE0">
            <w:pPr>
              <w:spacing w:after="0" w:line="240" w:lineRule="auto"/>
              <w:rPr>
                <w:rFonts w:ascii="Calibri" w:eastAsia="Times New Roman" w:hAnsi="Calibri" w:cs="Times New Roman"/>
                <w:color w:val="000000"/>
              </w:rPr>
            </w:pPr>
          </w:p>
        </w:tc>
        <w:tc>
          <w:tcPr>
            <w:tcW w:w="2295" w:type="dxa"/>
            <w:shd w:val="clear" w:color="auto" w:fill="auto"/>
            <w:noWrap/>
            <w:vAlign w:val="bottom"/>
            <w:hideMark/>
          </w:tcPr>
          <w:p w14:paraId="70E19360"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18DFD073"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5D4C87F1"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5C082348"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4D36C4DA" w14:textId="77777777" w:rsidTr="002D6FE0">
        <w:trPr>
          <w:trHeight w:val="300"/>
        </w:trPr>
        <w:tc>
          <w:tcPr>
            <w:tcW w:w="3806" w:type="dxa"/>
            <w:shd w:val="clear" w:color="auto" w:fill="auto"/>
            <w:noWrap/>
            <w:vAlign w:val="bottom"/>
            <w:hideMark/>
          </w:tcPr>
          <w:p w14:paraId="593DD764"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 Latino</w:t>
            </w:r>
          </w:p>
        </w:tc>
        <w:tc>
          <w:tcPr>
            <w:tcW w:w="2295" w:type="dxa"/>
            <w:shd w:val="clear" w:color="auto" w:fill="auto"/>
            <w:noWrap/>
            <w:vAlign w:val="bottom"/>
            <w:hideMark/>
          </w:tcPr>
          <w:p w14:paraId="347CF092"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49%</w:t>
            </w:r>
          </w:p>
        </w:tc>
        <w:tc>
          <w:tcPr>
            <w:tcW w:w="48" w:type="dxa"/>
            <w:shd w:val="clear" w:color="auto" w:fill="auto"/>
            <w:noWrap/>
            <w:vAlign w:val="bottom"/>
            <w:hideMark/>
          </w:tcPr>
          <w:p w14:paraId="3825D154"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1DDC5783"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40%</w:t>
            </w:r>
          </w:p>
        </w:tc>
        <w:tc>
          <w:tcPr>
            <w:tcW w:w="48" w:type="dxa"/>
            <w:shd w:val="clear" w:color="auto" w:fill="auto"/>
            <w:noWrap/>
            <w:vAlign w:val="bottom"/>
            <w:hideMark/>
          </w:tcPr>
          <w:p w14:paraId="291607D2"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31BB3E6D" w14:textId="77777777" w:rsidTr="002D6FE0">
        <w:trPr>
          <w:trHeight w:val="300"/>
        </w:trPr>
        <w:tc>
          <w:tcPr>
            <w:tcW w:w="3806" w:type="dxa"/>
            <w:shd w:val="clear" w:color="auto" w:fill="auto"/>
            <w:noWrap/>
            <w:vAlign w:val="bottom"/>
            <w:hideMark/>
          </w:tcPr>
          <w:p w14:paraId="492AB690" w14:textId="77777777" w:rsidR="00524D71" w:rsidRPr="002141AC" w:rsidRDefault="00524D71" w:rsidP="002D6FE0">
            <w:pPr>
              <w:spacing w:after="0" w:line="240" w:lineRule="auto"/>
              <w:rPr>
                <w:rFonts w:ascii="Calibri" w:eastAsia="Times New Roman" w:hAnsi="Calibri" w:cs="Times New Roman"/>
                <w:color w:val="000000"/>
              </w:rPr>
            </w:pPr>
          </w:p>
        </w:tc>
        <w:tc>
          <w:tcPr>
            <w:tcW w:w="2295" w:type="dxa"/>
            <w:shd w:val="clear" w:color="auto" w:fill="auto"/>
            <w:noWrap/>
            <w:vAlign w:val="bottom"/>
            <w:hideMark/>
          </w:tcPr>
          <w:p w14:paraId="06AA8437"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569ED38C"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26268A16"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2F8C3ADF"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5BD14162" w14:textId="77777777" w:rsidTr="002D6FE0">
        <w:trPr>
          <w:trHeight w:val="300"/>
        </w:trPr>
        <w:tc>
          <w:tcPr>
            <w:tcW w:w="3806" w:type="dxa"/>
            <w:shd w:val="clear" w:color="auto" w:fill="auto"/>
            <w:noWrap/>
            <w:vAlign w:val="bottom"/>
            <w:hideMark/>
          </w:tcPr>
          <w:p w14:paraId="7756A506"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GPA prior to Spring 2014</w:t>
            </w:r>
          </w:p>
        </w:tc>
        <w:tc>
          <w:tcPr>
            <w:tcW w:w="2295" w:type="dxa"/>
            <w:shd w:val="clear" w:color="auto" w:fill="auto"/>
            <w:noWrap/>
            <w:vAlign w:val="bottom"/>
            <w:hideMark/>
          </w:tcPr>
          <w:p w14:paraId="5205D7AE"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2.8</w:t>
            </w:r>
          </w:p>
        </w:tc>
        <w:tc>
          <w:tcPr>
            <w:tcW w:w="48" w:type="dxa"/>
            <w:shd w:val="clear" w:color="auto" w:fill="auto"/>
            <w:noWrap/>
            <w:vAlign w:val="bottom"/>
            <w:hideMark/>
          </w:tcPr>
          <w:p w14:paraId="45301BD5"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61A88A40"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2.9</w:t>
            </w:r>
          </w:p>
        </w:tc>
        <w:tc>
          <w:tcPr>
            <w:tcW w:w="48" w:type="dxa"/>
            <w:shd w:val="clear" w:color="auto" w:fill="auto"/>
            <w:noWrap/>
            <w:vAlign w:val="bottom"/>
            <w:hideMark/>
          </w:tcPr>
          <w:p w14:paraId="19CCAB38"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3D53D888" w14:textId="77777777" w:rsidTr="002D6FE0">
        <w:trPr>
          <w:trHeight w:val="300"/>
        </w:trPr>
        <w:tc>
          <w:tcPr>
            <w:tcW w:w="3806" w:type="dxa"/>
            <w:shd w:val="clear" w:color="auto" w:fill="auto"/>
            <w:noWrap/>
            <w:vAlign w:val="bottom"/>
            <w:hideMark/>
          </w:tcPr>
          <w:p w14:paraId="05C635BB"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Course GPA</w:t>
            </w:r>
          </w:p>
        </w:tc>
        <w:tc>
          <w:tcPr>
            <w:tcW w:w="2295" w:type="dxa"/>
            <w:shd w:val="clear" w:color="auto" w:fill="auto"/>
            <w:noWrap/>
            <w:vAlign w:val="bottom"/>
            <w:hideMark/>
          </w:tcPr>
          <w:p w14:paraId="2007F458"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2.7</w:t>
            </w:r>
          </w:p>
        </w:tc>
        <w:tc>
          <w:tcPr>
            <w:tcW w:w="48" w:type="dxa"/>
            <w:shd w:val="clear" w:color="auto" w:fill="auto"/>
            <w:noWrap/>
            <w:vAlign w:val="bottom"/>
            <w:hideMark/>
          </w:tcPr>
          <w:p w14:paraId="6C358A4A"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5D072D2C" w14:textId="77777777" w:rsidR="00524D71" w:rsidRPr="002141AC" w:rsidRDefault="00524D71"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2.7</w:t>
            </w:r>
          </w:p>
        </w:tc>
        <w:tc>
          <w:tcPr>
            <w:tcW w:w="48" w:type="dxa"/>
            <w:shd w:val="clear" w:color="auto" w:fill="auto"/>
            <w:noWrap/>
            <w:vAlign w:val="bottom"/>
            <w:hideMark/>
          </w:tcPr>
          <w:p w14:paraId="775CC739"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68B38167" w14:textId="77777777" w:rsidTr="002D6FE0">
        <w:trPr>
          <w:trHeight w:val="300"/>
        </w:trPr>
        <w:tc>
          <w:tcPr>
            <w:tcW w:w="3806" w:type="dxa"/>
            <w:shd w:val="clear" w:color="auto" w:fill="auto"/>
            <w:noWrap/>
            <w:vAlign w:val="bottom"/>
            <w:hideMark/>
          </w:tcPr>
          <w:p w14:paraId="54A6B8CA" w14:textId="77777777" w:rsidR="00524D71" w:rsidRPr="002141AC" w:rsidRDefault="00524D71" w:rsidP="002D6FE0">
            <w:pPr>
              <w:spacing w:after="0" w:line="240" w:lineRule="auto"/>
              <w:rPr>
                <w:rFonts w:ascii="Calibri" w:eastAsia="Times New Roman" w:hAnsi="Calibri" w:cs="Times New Roman"/>
                <w:color w:val="000000"/>
              </w:rPr>
            </w:pPr>
          </w:p>
        </w:tc>
        <w:tc>
          <w:tcPr>
            <w:tcW w:w="2295" w:type="dxa"/>
            <w:shd w:val="clear" w:color="auto" w:fill="auto"/>
            <w:noWrap/>
            <w:vAlign w:val="bottom"/>
            <w:hideMark/>
          </w:tcPr>
          <w:p w14:paraId="1B0BFFFE" w14:textId="77777777" w:rsidR="00524D71" w:rsidRPr="002141AC" w:rsidRDefault="00524D71" w:rsidP="002D6FE0">
            <w:pPr>
              <w:spacing w:after="0" w:line="240" w:lineRule="auto"/>
              <w:rPr>
                <w:rFonts w:ascii="Calibri" w:eastAsia="Times New Roman" w:hAnsi="Calibri" w:cs="Times New Roman"/>
                <w:color w:val="000000"/>
              </w:rPr>
            </w:pPr>
          </w:p>
        </w:tc>
        <w:tc>
          <w:tcPr>
            <w:tcW w:w="48" w:type="dxa"/>
            <w:shd w:val="clear" w:color="auto" w:fill="auto"/>
            <w:noWrap/>
            <w:vAlign w:val="bottom"/>
            <w:hideMark/>
          </w:tcPr>
          <w:p w14:paraId="36686840" w14:textId="77777777" w:rsidR="00524D71" w:rsidRPr="002141AC" w:rsidRDefault="00524D71" w:rsidP="002D6FE0">
            <w:pPr>
              <w:spacing w:after="0" w:line="240" w:lineRule="auto"/>
              <w:rPr>
                <w:rFonts w:ascii="Calibri" w:eastAsia="Times New Roman" w:hAnsi="Calibri" w:cs="Times New Roman"/>
                <w:color w:val="000000"/>
              </w:rPr>
            </w:pPr>
          </w:p>
        </w:tc>
        <w:tc>
          <w:tcPr>
            <w:tcW w:w="2883" w:type="dxa"/>
            <w:shd w:val="clear" w:color="auto" w:fill="auto"/>
            <w:noWrap/>
            <w:vAlign w:val="bottom"/>
            <w:hideMark/>
          </w:tcPr>
          <w:p w14:paraId="5E7422D5" w14:textId="77777777" w:rsidR="00524D71" w:rsidRPr="002141AC" w:rsidRDefault="00524D71" w:rsidP="002D6FE0">
            <w:pPr>
              <w:spacing w:after="0" w:line="240" w:lineRule="auto"/>
              <w:jc w:val="center"/>
              <w:rPr>
                <w:rFonts w:ascii="Calibri" w:eastAsia="Times New Roman" w:hAnsi="Calibri" w:cs="Times New Roman"/>
                <w:color w:val="000000"/>
              </w:rPr>
            </w:pPr>
          </w:p>
        </w:tc>
        <w:tc>
          <w:tcPr>
            <w:tcW w:w="48" w:type="dxa"/>
            <w:shd w:val="clear" w:color="auto" w:fill="auto"/>
            <w:noWrap/>
            <w:vAlign w:val="bottom"/>
            <w:hideMark/>
          </w:tcPr>
          <w:p w14:paraId="28693F70" w14:textId="77777777" w:rsidR="00524D71" w:rsidRPr="002141AC" w:rsidRDefault="00524D71" w:rsidP="002D6FE0">
            <w:pPr>
              <w:spacing w:after="0" w:line="240" w:lineRule="auto"/>
              <w:jc w:val="center"/>
              <w:rPr>
                <w:rFonts w:ascii="Calibri" w:eastAsia="Times New Roman" w:hAnsi="Calibri" w:cs="Times New Roman"/>
                <w:color w:val="000000"/>
              </w:rPr>
            </w:pPr>
          </w:p>
        </w:tc>
      </w:tr>
      <w:tr w:rsidR="00524D71" w:rsidRPr="002141AC" w14:paraId="25F54EE3" w14:textId="77777777" w:rsidTr="002D6FE0">
        <w:trPr>
          <w:trHeight w:val="300"/>
        </w:trPr>
        <w:tc>
          <w:tcPr>
            <w:tcW w:w="9080" w:type="dxa"/>
            <w:gridSpan w:val="5"/>
            <w:shd w:val="clear" w:color="auto" w:fill="auto"/>
            <w:noWrap/>
            <w:vAlign w:val="bottom"/>
            <w:hideMark/>
          </w:tcPr>
          <w:p w14:paraId="497844D4"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 xml:space="preserve">Source: Author's calculations using data generated by </w:t>
            </w:r>
            <w:proofErr w:type="spellStart"/>
            <w:r w:rsidRPr="002141AC">
              <w:rPr>
                <w:rFonts w:ascii="Calibri" w:eastAsia="Times New Roman" w:hAnsi="Calibri" w:cs="Times New Roman"/>
                <w:color w:val="000000"/>
              </w:rPr>
              <w:t>Karimi</w:t>
            </w:r>
            <w:proofErr w:type="spellEnd"/>
            <w:r w:rsidRPr="002141AC">
              <w:rPr>
                <w:rFonts w:ascii="Calibri" w:eastAsia="Times New Roman" w:hAnsi="Calibri" w:cs="Times New Roman"/>
                <w:color w:val="000000"/>
              </w:rPr>
              <w:t xml:space="preserve"> </w:t>
            </w:r>
            <w:proofErr w:type="spellStart"/>
            <w:r w:rsidRPr="002141AC">
              <w:rPr>
                <w:rFonts w:ascii="Calibri" w:eastAsia="Times New Roman" w:hAnsi="Calibri" w:cs="Times New Roman"/>
                <w:color w:val="000000"/>
              </w:rPr>
              <w:t>Afshin</w:t>
            </w:r>
            <w:proofErr w:type="spellEnd"/>
            <w:r w:rsidRPr="002141AC">
              <w:rPr>
                <w:rFonts w:ascii="Calibri" w:eastAsia="Times New Roman" w:hAnsi="Calibri" w:cs="Times New Roman"/>
                <w:color w:val="000000"/>
              </w:rPr>
              <w:t>, Senior Research Associate</w:t>
            </w:r>
          </w:p>
        </w:tc>
      </w:tr>
      <w:tr w:rsidR="00524D71" w:rsidRPr="002141AC" w14:paraId="1C675722" w14:textId="77777777" w:rsidTr="002D6FE0">
        <w:trPr>
          <w:trHeight w:val="300"/>
        </w:trPr>
        <w:tc>
          <w:tcPr>
            <w:tcW w:w="9032" w:type="dxa"/>
            <w:gridSpan w:val="4"/>
            <w:shd w:val="clear" w:color="auto" w:fill="auto"/>
            <w:noWrap/>
            <w:vAlign w:val="bottom"/>
            <w:hideMark/>
          </w:tcPr>
          <w:p w14:paraId="4EE01416" w14:textId="77777777" w:rsidR="00524D71" w:rsidRPr="002141AC" w:rsidRDefault="00524D71"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Institutional Research and Analytic Studies, California State University, Fullerton</w:t>
            </w:r>
          </w:p>
        </w:tc>
        <w:tc>
          <w:tcPr>
            <w:tcW w:w="48" w:type="dxa"/>
            <w:shd w:val="clear" w:color="auto" w:fill="auto"/>
            <w:noWrap/>
            <w:vAlign w:val="bottom"/>
            <w:hideMark/>
          </w:tcPr>
          <w:p w14:paraId="056F5D9F" w14:textId="77777777" w:rsidR="00524D71" w:rsidRPr="002141AC" w:rsidRDefault="00524D71" w:rsidP="002D6FE0">
            <w:pPr>
              <w:spacing w:after="0" w:line="240" w:lineRule="auto"/>
              <w:rPr>
                <w:rFonts w:ascii="Calibri" w:eastAsia="Times New Roman" w:hAnsi="Calibri" w:cs="Times New Roman"/>
                <w:color w:val="000000"/>
              </w:rPr>
            </w:pPr>
          </w:p>
        </w:tc>
      </w:tr>
    </w:tbl>
    <w:p w14:paraId="21E2C173" w14:textId="4BEE4247" w:rsidR="00524D71" w:rsidRDefault="00524D71" w:rsidP="00907DF3">
      <w:pPr>
        <w:spacing w:line="480" w:lineRule="auto"/>
        <w:rPr>
          <w:rFonts w:ascii="Times New Roman" w:hAnsi="Times New Roman" w:cs="Times New Roman"/>
          <w:sz w:val="24"/>
          <w:szCs w:val="24"/>
        </w:rPr>
      </w:pPr>
    </w:p>
    <w:p w14:paraId="2EE036D8" w14:textId="701106D9" w:rsidR="004D08B6" w:rsidRDefault="004D08B6" w:rsidP="00907DF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THM program’s most significant impact was on academic achievement and engagement.  Although the Grade Point Average (GPA) of the THM students was nearly the same for the POSC 100 course as was their overall GPA going into the course (see Table 1 above), Table 2 below shows that for the instructors offering the THM, the percentage </w:t>
      </w:r>
      <w:proofErr w:type="gramStart"/>
      <w:r>
        <w:rPr>
          <w:rFonts w:ascii="Times New Roman" w:hAnsi="Times New Roman" w:cs="Times New Roman"/>
          <w:sz w:val="24"/>
          <w:szCs w:val="24"/>
        </w:rPr>
        <w:t xml:space="preserve">of  </w:t>
      </w:r>
      <w:r>
        <w:rPr>
          <w:rFonts w:ascii="Times New Roman" w:hAnsi="Times New Roman" w:cs="Times New Roman"/>
          <w:sz w:val="24"/>
          <w:szCs w:val="24"/>
        </w:rPr>
        <w:lastRenderedPageBreak/>
        <w:t>students</w:t>
      </w:r>
      <w:proofErr w:type="gramEnd"/>
      <w:r>
        <w:rPr>
          <w:rFonts w:ascii="Times New Roman" w:hAnsi="Times New Roman" w:cs="Times New Roman"/>
          <w:sz w:val="24"/>
          <w:szCs w:val="24"/>
        </w:rPr>
        <w:t xml:space="preserve"> receiving a repeatable grade declined significantly with the implementation of the THM program.  </w:t>
      </w:r>
    </w:p>
    <w:tbl>
      <w:tblPr>
        <w:tblW w:w="9600" w:type="dxa"/>
        <w:tblInd w:w="93" w:type="dxa"/>
        <w:tblLook w:val="04A0" w:firstRow="1" w:lastRow="0" w:firstColumn="1" w:lastColumn="0" w:noHBand="0" w:noVBand="1"/>
      </w:tblPr>
      <w:tblGrid>
        <w:gridCol w:w="2460"/>
        <w:gridCol w:w="1740"/>
        <w:gridCol w:w="1340"/>
        <w:gridCol w:w="2140"/>
        <w:gridCol w:w="1920"/>
      </w:tblGrid>
      <w:tr w:rsidR="004D08B6" w:rsidRPr="002141AC" w14:paraId="46D71E16" w14:textId="77777777" w:rsidTr="002D6FE0">
        <w:trPr>
          <w:gridAfter w:val="1"/>
          <w:wAfter w:w="1920" w:type="dxa"/>
          <w:trHeight w:val="315"/>
        </w:trPr>
        <w:tc>
          <w:tcPr>
            <w:tcW w:w="7680" w:type="dxa"/>
            <w:gridSpan w:val="4"/>
            <w:shd w:val="clear" w:color="auto" w:fill="auto"/>
            <w:noWrap/>
            <w:vAlign w:val="bottom"/>
            <w:hideMark/>
          </w:tcPr>
          <w:p w14:paraId="32BE3A80" w14:textId="77777777" w:rsidR="004D08B6" w:rsidRPr="002141AC" w:rsidRDefault="004D08B6" w:rsidP="002D6FE0">
            <w:pPr>
              <w:spacing w:after="0" w:line="240" w:lineRule="auto"/>
              <w:jc w:val="center"/>
              <w:rPr>
                <w:rFonts w:ascii="Calibri" w:eastAsia="Times New Roman" w:hAnsi="Calibri" w:cs="Times New Roman"/>
                <w:b/>
                <w:bCs/>
                <w:color w:val="000000"/>
              </w:rPr>
            </w:pPr>
            <w:r w:rsidRPr="002141AC">
              <w:rPr>
                <w:rFonts w:ascii="Calibri" w:eastAsia="Times New Roman" w:hAnsi="Calibri" w:cs="Times New Roman"/>
                <w:b/>
                <w:bCs/>
                <w:color w:val="000000"/>
              </w:rPr>
              <w:t>Table 2: Reduction in Repeatable Grades after THM</w:t>
            </w:r>
          </w:p>
        </w:tc>
      </w:tr>
      <w:tr w:rsidR="004D08B6" w:rsidRPr="002141AC" w14:paraId="26D424B8" w14:textId="77777777" w:rsidTr="002D6FE0">
        <w:trPr>
          <w:gridAfter w:val="1"/>
          <w:wAfter w:w="1920" w:type="dxa"/>
          <w:trHeight w:val="330"/>
        </w:trPr>
        <w:tc>
          <w:tcPr>
            <w:tcW w:w="7680" w:type="dxa"/>
            <w:gridSpan w:val="4"/>
            <w:shd w:val="clear" w:color="auto" w:fill="auto"/>
            <w:noWrap/>
            <w:vAlign w:val="bottom"/>
            <w:hideMark/>
          </w:tcPr>
          <w:p w14:paraId="45AA06D0" w14:textId="77777777" w:rsidR="004D08B6" w:rsidRPr="002141AC" w:rsidRDefault="004D08B6" w:rsidP="002D6FE0">
            <w:pPr>
              <w:spacing w:after="0" w:line="240" w:lineRule="auto"/>
              <w:jc w:val="center"/>
              <w:rPr>
                <w:rFonts w:ascii="Calibri" w:eastAsia="Times New Roman" w:hAnsi="Calibri" w:cs="Times New Roman"/>
                <w:b/>
                <w:bCs/>
                <w:color w:val="000000"/>
              </w:rPr>
            </w:pPr>
            <w:r w:rsidRPr="002141AC">
              <w:rPr>
                <w:rFonts w:ascii="Calibri" w:eastAsia="Times New Roman" w:hAnsi="Calibri" w:cs="Times New Roman"/>
                <w:b/>
                <w:bCs/>
                <w:color w:val="000000"/>
              </w:rPr>
              <w:t>(by individual instructor)</w:t>
            </w:r>
          </w:p>
        </w:tc>
      </w:tr>
      <w:tr w:rsidR="004D08B6" w:rsidRPr="002141AC" w14:paraId="4E45F5B2" w14:textId="77777777" w:rsidTr="002D6FE0">
        <w:trPr>
          <w:gridAfter w:val="1"/>
          <w:wAfter w:w="1920" w:type="dxa"/>
          <w:trHeight w:val="315"/>
        </w:trPr>
        <w:tc>
          <w:tcPr>
            <w:tcW w:w="2460" w:type="dxa"/>
            <w:shd w:val="clear" w:color="auto" w:fill="auto"/>
            <w:noWrap/>
            <w:vAlign w:val="bottom"/>
            <w:hideMark/>
          </w:tcPr>
          <w:p w14:paraId="33916170" w14:textId="77777777" w:rsidR="004D08B6" w:rsidRPr="002141AC" w:rsidRDefault="004D08B6" w:rsidP="002D6FE0">
            <w:pPr>
              <w:spacing w:after="0" w:line="240" w:lineRule="auto"/>
              <w:rPr>
                <w:rFonts w:ascii="Calibri" w:eastAsia="Times New Roman" w:hAnsi="Calibri" w:cs="Times New Roman"/>
                <w:color w:val="000000"/>
              </w:rPr>
            </w:pPr>
          </w:p>
        </w:tc>
        <w:tc>
          <w:tcPr>
            <w:tcW w:w="1740" w:type="dxa"/>
            <w:shd w:val="clear" w:color="auto" w:fill="auto"/>
            <w:noWrap/>
            <w:vAlign w:val="bottom"/>
            <w:hideMark/>
          </w:tcPr>
          <w:p w14:paraId="6B53E12C" w14:textId="77777777" w:rsidR="004D08B6" w:rsidRPr="002141AC" w:rsidRDefault="004D08B6" w:rsidP="002D6FE0">
            <w:pPr>
              <w:spacing w:after="0" w:line="240" w:lineRule="auto"/>
              <w:rPr>
                <w:rFonts w:ascii="Calibri" w:eastAsia="Times New Roman" w:hAnsi="Calibri" w:cs="Times New Roman"/>
                <w:b/>
                <w:bCs/>
                <w:i/>
                <w:iCs/>
                <w:color w:val="000000"/>
              </w:rPr>
            </w:pPr>
            <w:r w:rsidRPr="002141AC">
              <w:rPr>
                <w:rFonts w:ascii="Calibri" w:eastAsia="Times New Roman" w:hAnsi="Calibri" w:cs="Times New Roman"/>
                <w:b/>
                <w:bCs/>
                <w:i/>
                <w:iCs/>
                <w:color w:val="000000"/>
              </w:rPr>
              <w:t>before THM</w:t>
            </w:r>
          </w:p>
        </w:tc>
        <w:tc>
          <w:tcPr>
            <w:tcW w:w="1340" w:type="dxa"/>
            <w:shd w:val="clear" w:color="auto" w:fill="auto"/>
            <w:noWrap/>
            <w:vAlign w:val="bottom"/>
            <w:hideMark/>
          </w:tcPr>
          <w:p w14:paraId="0BF24CE0" w14:textId="77777777" w:rsidR="004D08B6" w:rsidRPr="002141AC" w:rsidRDefault="004D08B6" w:rsidP="002D6FE0">
            <w:pPr>
              <w:spacing w:after="0" w:line="240" w:lineRule="auto"/>
              <w:rPr>
                <w:rFonts w:ascii="Calibri" w:eastAsia="Times New Roman" w:hAnsi="Calibri" w:cs="Times New Roman"/>
                <w:b/>
                <w:bCs/>
                <w:i/>
                <w:iCs/>
                <w:color w:val="000000"/>
              </w:rPr>
            </w:pPr>
            <w:r w:rsidRPr="002141AC">
              <w:rPr>
                <w:rFonts w:ascii="Calibri" w:eastAsia="Times New Roman" w:hAnsi="Calibri" w:cs="Times New Roman"/>
                <w:b/>
                <w:bCs/>
                <w:i/>
                <w:iCs/>
                <w:color w:val="000000"/>
              </w:rPr>
              <w:t>THM 2014</w:t>
            </w:r>
          </w:p>
        </w:tc>
        <w:tc>
          <w:tcPr>
            <w:tcW w:w="2140" w:type="dxa"/>
            <w:shd w:val="clear" w:color="auto" w:fill="auto"/>
            <w:noWrap/>
            <w:vAlign w:val="bottom"/>
            <w:hideMark/>
          </w:tcPr>
          <w:p w14:paraId="697BD276" w14:textId="77777777" w:rsidR="004D08B6" w:rsidRPr="002141AC" w:rsidRDefault="004D08B6" w:rsidP="002D6FE0">
            <w:pPr>
              <w:spacing w:after="0" w:line="240" w:lineRule="auto"/>
              <w:jc w:val="center"/>
              <w:rPr>
                <w:rFonts w:ascii="Calibri" w:eastAsia="Times New Roman" w:hAnsi="Calibri" w:cs="Times New Roman"/>
                <w:b/>
                <w:bCs/>
                <w:i/>
                <w:iCs/>
                <w:color w:val="000000"/>
              </w:rPr>
            </w:pPr>
            <w:r w:rsidRPr="002141AC">
              <w:rPr>
                <w:rFonts w:ascii="Calibri" w:eastAsia="Times New Roman" w:hAnsi="Calibri" w:cs="Times New Roman"/>
                <w:b/>
                <w:bCs/>
                <w:i/>
                <w:iCs/>
                <w:color w:val="000000"/>
              </w:rPr>
              <w:t>Difference:</w:t>
            </w:r>
          </w:p>
        </w:tc>
      </w:tr>
      <w:tr w:rsidR="004D08B6" w:rsidRPr="002141AC" w14:paraId="594EFFE1" w14:textId="77777777" w:rsidTr="002D6FE0">
        <w:trPr>
          <w:gridAfter w:val="1"/>
          <w:wAfter w:w="1920" w:type="dxa"/>
          <w:trHeight w:val="315"/>
        </w:trPr>
        <w:tc>
          <w:tcPr>
            <w:tcW w:w="2460" w:type="dxa"/>
            <w:shd w:val="clear" w:color="auto" w:fill="auto"/>
            <w:noWrap/>
            <w:vAlign w:val="bottom"/>
            <w:hideMark/>
          </w:tcPr>
          <w:p w14:paraId="6CEF9F07" w14:textId="77777777" w:rsidR="004D08B6" w:rsidRPr="002141AC" w:rsidRDefault="004D08B6" w:rsidP="002D6FE0">
            <w:pPr>
              <w:spacing w:after="0" w:line="240" w:lineRule="auto"/>
              <w:rPr>
                <w:rFonts w:ascii="Calibri" w:eastAsia="Times New Roman" w:hAnsi="Calibri" w:cs="Times New Roman"/>
                <w:b/>
                <w:bCs/>
                <w:color w:val="000000"/>
              </w:rPr>
            </w:pPr>
            <w:r w:rsidRPr="002141AC">
              <w:rPr>
                <w:rFonts w:ascii="Calibri" w:eastAsia="Times New Roman" w:hAnsi="Calibri" w:cs="Times New Roman"/>
                <w:b/>
                <w:bCs/>
                <w:color w:val="000000"/>
              </w:rPr>
              <w:t xml:space="preserve">Most rigorous THM </w:t>
            </w:r>
          </w:p>
        </w:tc>
        <w:tc>
          <w:tcPr>
            <w:tcW w:w="1740" w:type="dxa"/>
            <w:shd w:val="clear" w:color="auto" w:fill="auto"/>
            <w:noWrap/>
            <w:vAlign w:val="bottom"/>
            <w:hideMark/>
          </w:tcPr>
          <w:p w14:paraId="3FB4C8ED"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36% (Fall 2011)</w:t>
            </w:r>
          </w:p>
        </w:tc>
        <w:tc>
          <w:tcPr>
            <w:tcW w:w="1340" w:type="dxa"/>
            <w:shd w:val="clear" w:color="auto" w:fill="auto"/>
            <w:noWrap/>
            <w:vAlign w:val="bottom"/>
            <w:hideMark/>
          </w:tcPr>
          <w:p w14:paraId="158D0FD5"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15%</w:t>
            </w:r>
          </w:p>
        </w:tc>
        <w:tc>
          <w:tcPr>
            <w:tcW w:w="2140" w:type="dxa"/>
            <w:shd w:val="clear" w:color="auto" w:fill="auto"/>
            <w:noWrap/>
            <w:vAlign w:val="bottom"/>
            <w:hideMark/>
          </w:tcPr>
          <w:p w14:paraId="5FA508C9"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 xml:space="preserve">21 </w:t>
            </w:r>
            <w:proofErr w:type="spellStart"/>
            <w:r w:rsidRPr="002141AC">
              <w:rPr>
                <w:rFonts w:ascii="Calibri" w:eastAsia="Times New Roman" w:hAnsi="Calibri" w:cs="Times New Roman"/>
                <w:color w:val="000000"/>
              </w:rPr>
              <w:t>pct</w:t>
            </w:r>
            <w:proofErr w:type="spellEnd"/>
            <w:r w:rsidRPr="002141AC">
              <w:rPr>
                <w:rFonts w:ascii="Calibri" w:eastAsia="Times New Roman" w:hAnsi="Calibri" w:cs="Times New Roman"/>
                <w:color w:val="000000"/>
              </w:rPr>
              <w:t xml:space="preserve"> points</w:t>
            </w:r>
          </w:p>
        </w:tc>
      </w:tr>
      <w:tr w:rsidR="004D08B6" w:rsidRPr="002141AC" w14:paraId="3F6BE3F1" w14:textId="77777777" w:rsidTr="002D6FE0">
        <w:trPr>
          <w:gridAfter w:val="1"/>
          <w:wAfter w:w="1920" w:type="dxa"/>
          <w:trHeight w:val="300"/>
        </w:trPr>
        <w:tc>
          <w:tcPr>
            <w:tcW w:w="2460" w:type="dxa"/>
            <w:shd w:val="clear" w:color="auto" w:fill="auto"/>
            <w:noWrap/>
            <w:vAlign w:val="bottom"/>
            <w:hideMark/>
          </w:tcPr>
          <w:p w14:paraId="46BB340D" w14:textId="77777777" w:rsidR="004D08B6" w:rsidRPr="002141AC" w:rsidRDefault="004D08B6" w:rsidP="002D6FE0">
            <w:pPr>
              <w:spacing w:after="0" w:line="240" w:lineRule="auto"/>
              <w:rPr>
                <w:rFonts w:ascii="Calibri" w:eastAsia="Times New Roman" w:hAnsi="Calibri" w:cs="Times New Roman"/>
                <w:b/>
                <w:bCs/>
                <w:color w:val="000000"/>
              </w:rPr>
            </w:pPr>
            <w:r w:rsidRPr="002141AC">
              <w:rPr>
                <w:rFonts w:ascii="Calibri" w:eastAsia="Times New Roman" w:hAnsi="Calibri" w:cs="Times New Roman"/>
                <w:b/>
                <w:bCs/>
                <w:color w:val="000000"/>
              </w:rPr>
              <w:t>Mid-level rigor for THM</w:t>
            </w:r>
          </w:p>
        </w:tc>
        <w:tc>
          <w:tcPr>
            <w:tcW w:w="1740" w:type="dxa"/>
            <w:shd w:val="clear" w:color="auto" w:fill="auto"/>
            <w:noWrap/>
            <w:vAlign w:val="bottom"/>
            <w:hideMark/>
          </w:tcPr>
          <w:p w14:paraId="16C8C458"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8% (Fall 2012)</w:t>
            </w:r>
          </w:p>
        </w:tc>
        <w:tc>
          <w:tcPr>
            <w:tcW w:w="1340" w:type="dxa"/>
            <w:shd w:val="clear" w:color="auto" w:fill="auto"/>
            <w:noWrap/>
            <w:vAlign w:val="bottom"/>
            <w:hideMark/>
          </w:tcPr>
          <w:p w14:paraId="2F2133D8"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6%</w:t>
            </w:r>
          </w:p>
        </w:tc>
        <w:tc>
          <w:tcPr>
            <w:tcW w:w="2140" w:type="dxa"/>
            <w:shd w:val="clear" w:color="auto" w:fill="auto"/>
            <w:noWrap/>
            <w:vAlign w:val="bottom"/>
            <w:hideMark/>
          </w:tcPr>
          <w:p w14:paraId="27CEB113"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 xml:space="preserve">2 </w:t>
            </w:r>
            <w:proofErr w:type="spellStart"/>
            <w:r w:rsidRPr="002141AC">
              <w:rPr>
                <w:rFonts w:ascii="Calibri" w:eastAsia="Times New Roman" w:hAnsi="Calibri" w:cs="Times New Roman"/>
                <w:color w:val="000000"/>
              </w:rPr>
              <w:t>pct</w:t>
            </w:r>
            <w:proofErr w:type="spellEnd"/>
            <w:r w:rsidRPr="002141AC">
              <w:rPr>
                <w:rFonts w:ascii="Calibri" w:eastAsia="Times New Roman" w:hAnsi="Calibri" w:cs="Times New Roman"/>
                <w:color w:val="000000"/>
              </w:rPr>
              <w:t xml:space="preserve"> points</w:t>
            </w:r>
          </w:p>
        </w:tc>
      </w:tr>
      <w:tr w:rsidR="004D08B6" w:rsidRPr="002141AC" w14:paraId="0918499E" w14:textId="77777777" w:rsidTr="002D6FE0">
        <w:trPr>
          <w:gridAfter w:val="1"/>
          <w:wAfter w:w="1920" w:type="dxa"/>
          <w:trHeight w:val="300"/>
        </w:trPr>
        <w:tc>
          <w:tcPr>
            <w:tcW w:w="2460" w:type="dxa"/>
            <w:shd w:val="clear" w:color="auto" w:fill="auto"/>
            <w:noWrap/>
            <w:vAlign w:val="bottom"/>
            <w:hideMark/>
          </w:tcPr>
          <w:p w14:paraId="29147DAD" w14:textId="77777777" w:rsidR="004D08B6" w:rsidRPr="002141AC" w:rsidRDefault="004D08B6" w:rsidP="002D6FE0">
            <w:pPr>
              <w:spacing w:after="0" w:line="240" w:lineRule="auto"/>
              <w:rPr>
                <w:rFonts w:ascii="Calibri" w:eastAsia="Times New Roman" w:hAnsi="Calibri" w:cs="Times New Roman"/>
                <w:b/>
                <w:bCs/>
                <w:color w:val="000000"/>
              </w:rPr>
            </w:pPr>
            <w:r w:rsidRPr="002141AC">
              <w:rPr>
                <w:rFonts w:ascii="Calibri" w:eastAsia="Times New Roman" w:hAnsi="Calibri" w:cs="Times New Roman"/>
                <w:b/>
                <w:bCs/>
                <w:color w:val="000000"/>
              </w:rPr>
              <w:t>Least rigorous THM</w:t>
            </w:r>
          </w:p>
        </w:tc>
        <w:tc>
          <w:tcPr>
            <w:tcW w:w="1740" w:type="dxa"/>
            <w:shd w:val="clear" w:color="auto" w:fill="auto"/>
            <w:noWrap/>
            <w:vAlign w:val="bottom"/>
            <w:hideMark/>
          </w:tcPr>
          <w:p w14:paraId="1226299F"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14% (Fall 2013)</w:t>
            </w:r>
          </w:p>
        </w:tc>
        <w:tc>
          <w:tcPr>
            <w:tcW w:w="1340" w:type="dxa"/>
            <w:shd w:val="clear" w:color="auto" w:fill="auto"/>
            <w:noWrap/>
            <w:vAlign w:val="bottom"/>
            <w:hideMark/>
          </w:tcPr>
          <w:p w14:paraId="5D176F15"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11%</w:t>
            </w:r>
          </w:p>
        </w:tc>
        <w:tc>
          <w:tcPr>
            <w:tcW w:w="2140" w:type="dxa"/>
            <w:shd w:val="clear" w:color="auto" w:fill="auto"/>
            <w:noWrap/>
            <w:vAlign w:val="bottom"/>
            <w:hideMark/>
          </w:tcPr>
          <w:p w14:paraId="670D6CEA" w14:textId="77777777" w:rsidR="004D08B6" w:rsidRPr="002141AC" w:rsidRDefault="004D08B6" w:rsidP="002D6FE0">
            <w:pPr>
              <w:spacing w:after="0" w:line="240" w:lineRule="auto"/>
              <w:jc w:val="center"/>
              <w:rPr>
                <w:rFonts w:ascii="Calibri" w:eastAsia="Times New Roman" w:hAnsi="Calibri" w:cs="Times New Roman"/>
                <w:color w:val="000000"/>
              </w:rPr>
            </w:pPr>
            <w:r w:rsidRPr="002141AC">
              <w:rPr>
                <w:rFonts w:ascii="Calibri" w:eastAsia="Times New Roman" w:hAnsi="Calibri" w:cs="Times New Roman"/>
                <w:color w:val="000000"/>
              </w:rPr>
              <w:t xml:space="preserve">3 </w:t>
            </w:r>
            <w:proofErr w:type="spellStart"/>
            <w:r w:rsidRPr="002141AC">
              <w:rPr>
                <w:rFonts w:ascii="Calibri" w:eastAsia="Times New Roman" w:hAnsi="Calibri" w:cs="Times New Roman"/>
                <w:color w:val="000000"/>
              </w:rPr>
              <w:t>pct</w:t>
            </w:r>
            <w:proofErr w:type="spellEnd"/>
            <w:r w:rsidRPr="002141AC">
              <w:rPr>
                <w:rFonts w:ascii="Calibri" w:eastAsia="Times New Roman" w:hAnsi="Calibri" w:cs="Times New Roman"/>
                <w:color w:val="000000"/>
              </w:rPr>
              <w:t xml:space="preserve"> points</w:t>
            </w:r>
          </w:p>
        </w:tc>
      </w:tr>
      <w:tr w:rsidR="004D08B6" w:rsidRPr="002141AC" w14:paraId="3F168C7D" w14:textId="77777777" w:rsidTr="002D6FE0">
        <w:trPr>
          <w:gridAfter w:val="1"/>
          <w:wAfter w:w="1920" w:type="dxa"/>
          <w:trHeight w:val="300"/>
        </w:trPr>
        <w:tc>
          <w:tcPr>
            <w:tcW w:w="2460" w:type="dxa"/>
            <w:shd w:val="clear" w:color="auto" w:fill="auto"/>
            <w:noWrap/>
            <w:vAlign w:val="bottom"/>
            <w:hideMark/>
          </w:tcPr>
          <w:p w14:paraId="03CCE880" w14:textId="77777777" w:rsidR="004D08B6" w:rsidRPr="002141AC" w:rsidRDefault="004D08B6" w:rsidP="002D6FE0">
            <w:pPr>
              <w:spacing w:after="0" w:line="240" w:lineRule="auto"/>
              <w:rPr>
                <w:rFonts w:ascii="Calibri" w:eastAsia="Times New Roman" w:hAnsi="Calibri" w:cs="Times New Roman"/>
                <w:color w:val="000000"/>
              </w:rPr>
            </w:pPr>
          </w:p>
        </w:tc>
        <w:tc>
          <w:tcPr>
            <w:tcW w:w="1740" w:type="dxa"/>
            <w:shd w:val="clear" w:color="auto" w:fill="auto"/>
            <w:noWrap/>
            <w:vAlign w:val="bottom"/>
            <w:hideMark/>
          </w:tcPr>
          <w:p w14:paraId="67002F85" w14:textId="77777777" w:rsidR="004D08B6" w:rsidRPr="002141AC" w:rsidRDefault="004D08B6" w:rsidP="002D6FE0">
            <w:pPr>
              <w:spacing w:after="0" w:line="240" w:lineRule="auto"/>
              <w:rPr>
                <w:rFonts w:ascii="Calibri" w:eastAsia="Times New Roman" w:hAnsi="Calibri" w:cs="Times New Roman"/>
                <w:color w:val="000000"/>
              </w:rPr>
            </w:pPr>
          </w:p>
        </w:tc>
        <w:tc>
          <w:tcPr>
            <w:tcW w:w="1340" w:type="dxa"/>
            <w:shd w:val="clear" w:color="auto" w:fill="auto"/>
            <w:noWrap/>
            <w:vAlign w:val="bottom"/>
            <w:hideMark/>
          </w:tcPr>
          <w:p w14:paraId="0D2BE3ED" w14:textId="77777777" w:rsidR="004D08B6" w:rsidRPr="002141AC" w:rsidRDefault="004D08B6" w:rsidP="002D6FE0">
            <w:pPr>
              <w:spacing w:after="0" w:line="240" w:lineRule="auto"/>
              <w:rPr>
                <w:rFonts w:ascii="Calibri" w:eastAsia="Times New Roman" w:hAnsi="Calibri" w:cs="Times New Roman"/>
                <w:color w:val="000000"/>
              </w:rPr>
            </w:pPr>
          </w:p>
        </w:tc>
        <w:tc>
          <w:tcPr>
            <w:tcW w:w="2140" w:type="dxa"/>
            <w:shd w:val="clear" w:color="auto" w:fill="auto"/>
            <w:noWrap/>
            <w:vAlign w:val="bottom"/>
            <w:hideMark/>
          </w:tcPr>
          <w:p w14:paraId="67D3B012" w14:textId="77777777" w:rsidR="004D08B6" w:rsidRPr="002141AC" w:rsidRDefault="004D08B6" w:rsidP="002D6FE0">
            <w:pPr>
              <w:spacing w:after="0" w:line="240" w:lineRule="auto"/>
              <w:rPr>
                <w:rFonts w:ascii="Calibri" w:eastAsia="Times New Roman" w:hAnsi="Calibri" w:cs="Times New Roman"/>
                <w:color w:val="000000"/>
              </w:rPr>
            </w:pPr>
          </w:p>
        </w:tc>
      </w:tr>
      <w:tr w:rsidR="004D08B6" w:rsidRPr="002141AC" w14:paraId="46D1C087" w14:textId="77777777" w:rsidTr="002D6FE0">
        <w:trPr>
          <w:trHeight w:val="300"/>
        </w:trPr>
        <w:tc>
          <w:tcPr>
            <w:tcW w:w="9600" w:type="dxa"/>
            <w:gridSpan w:val="5"/>
            <w:shd w:val="clear" w:color="auto" w:fill="auto"/>
            <w:noWrap/>
            <w:vAlign w:val="bottom"/>
            <w:hideMark/>
          </w:tcPr>
          <w:p w14:paraId="5F186B1A" w14:textId="77777777" w:rsidR="004D08B6" w:rsidRPr="002141AC" w:rsidRDefault="004D08B6"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 xml:space="preserve">Source: Author's calculations using data generated by </w:t>
            </w:r>
            <w:proofErr w:type="spellStart"/>
            <w:r w:rsidRPr="002141AC">
              <w:rPr>
                <w:rFonts w:ascii="Calibri" w:eastAsia="Times New Roman" w:hAnsi="Calibri" w:cs="Times New Roman"/>
                <w:color w:val="000000"/>
              </w:rPr>
              <w:t>Karimi</w:t>
            </w:r>
            <w:proofErr w:type="spellEnd"/>
            <w:r w:rsidRPr="002141AC">
              <w:rPr>
                <w:rFonts w:ascii="Calibri" w:eastAsia="Times New Roman" w:hAnsi="Calibri" w:cs="Times New Roman"/>
                <w:color w:val="000000"/>
              </w:rPr>
              <w:t xml:space="preserve"> </w:t>
            </w:r>
            <w:proofErr w:type="spellStart"/>
            <w:r w:rsidRPr="002141AC">
              <w:rPr>
                <w:rFonts w:ascii="Calibri" w:eastAsia="Times New Roman" w:hAnsi="Calibri" w:cs="Times New Roman"/>
                <w:color w:val="000000"/>
              </w:rPr>
              <w:t>Afshin</w:t>
            </w:r>
            <w:proofErr w:type="spellEnd"/>
            <w:r w:rsidRPr="002141AC">
              <w:rPr>
                <w:rFonts w:ascii="Calibri" w:eastAsia="Times New Roman" w:hAnsi="Calibri" w:cs="Times New Roman"/>
                <w:color w:val="000000"/>
              </w:rPr>
              <w:t>, Senior Research Associate</w:t>
            </w:r>
          </w:p>
        </w:tc>
      </w:tr>
      <w:tr w:rsidR="004D08B6" w:rsidRPr="002141AC" w14:paraId="136FC13A" w14:textId="77777777" w:rsidTr="002D6FE0">
        <w:trPr>
          <w:gridAfter w:val="1"/>
          <w:wAfter w:w="1920" w:type="dxa"/>
          <w:trHeight w:val="300"/>
        </w:trPr>
        <w:tc>
          <w:tcPr>
            <w:tcW w:w="7680" w:type="dxa"/>
            <w:gridSpan w:val="4"/>
            <w:shd w:val="clear" w:color="auto" w:fill="auto"/>
            <w:noWrap/>
            <w:vAlign w:val="bottom"/>
            <w:hideMark/>
          </w:tcPr>
          <w:p w14:paraId="77D3CD16" w14:textId="77777777" w:rsidR="004D08B6" w:rsidRPr="002141AC" w:rsidRDefault="004D08B6" w:rsidP="002D6FE0">
            <w:pPr>
              <w:spacing w:after="0" w:line="240" w:lineRule="auto"/>
              <w:rPr>
                <w:rFonts w:ascii="Calibri" w:eastAsia="Times New Roman" w:hAnsi="Calibri" w:cs="Times New Roman"/>
                <w:color w:val="000000"/>
              </w:rPr>
            </w:pPr>
            <w:r w:rsidRPr="002141AC">
              <w:rPr>
                <w:rFonts w:ascii="Calibri" w:eastAsia="Times New Roman" w:hAnsi="Calibri" w:cs="Times New Roman"/>
                <w:color w:val="000000"/>
              </w:rPr>
              <w:t>Institutional Research and Analytic Studies, California State University, Fullerton</w:t>
            </w:r>
          </w:p>
        </w:tc>
      </w:tr>
    </w:tbl>
    <w:p w14:paraId="3165FC28" w14:textId="77777777" w:rsidR="00A64FE8" w:rsidRDefault="00A64FE8" w:rsidP="00A64FE8">
      <w:pPr>
        <w:spacing w:after="0" w:line="240" w:lineRule="auto"/>
        <w:rPr>
          <w:rFonts w:ascii="Times New Roman" w:hAnsi="Times New Roman" w:cs="Times New Roman"/>
          <w:sz w:val="24"/>
          <w:szCs w:val="24"/>
        </w:rPr>
      </w:pPr>
    </w:p>
    <w:p w14:paraId="0E71784F" w14:textId="77777777" w:rsidR="00FC248E" w:rsidRDefault="00FC248E" w:rsidP="00A64FE8">
      <w:pPr>
        <w:spacing w:after="0" w:line="480" w:lineRule="auto"/>
        <w:rPr>
          <w:rFonts w:ascii="Times New Roman" w:hAnsi="Times New Roman" w:cs="Times New Roman"/>
          <w:sz w:val="24"/>
          <w:szCs w:val="24"/>
        </w:rPr>
      </w:pPr>
    </w:p>
    <w:p w14:paraId="415487B1" w14:textId="69CE56C1" w:rsidR="004D08B6" w:rsidRDefault="004D08B6" w:rsidP="00A64FE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Table 2 indicates, the three instructors offering the THM program offered a continuum of rigor in their THM program.  </w:t>
      </w:r>
      <w:r w:rsidR="00A64FE8">
        <w:rPr>
          <w:rFonts w:ascii="Times New Roman" w:hAnsi="Times New Roman" w:cs="Times New Roman"/>
          <w:sz w:val="24"/>
          <w:szCs w:val="24"/>
        </w:rPr>
        <w:t xml:space="preserve">The most rigorous THM program </w:t>
      </w:r>
      <w:r>
        <w:rPr>
          <w:rFonts w:ascii="Times New Roman" w:hAnsi="Times New Roman" w:cs="Times New Roman"/>
          <w:sz w:val="24"/>
          <w:szCs w:val="24"/>
        </w:rPr>
        <w:t xml:space="preserve">required students to produce a team research paper </w:t>
      </w:r>
      <w:r w:rsidR="00A64FE8">
        <w:rPr>
          <w:rFonts w:ascii="Times New Roman" w:hAnsi="Times New Roman" w:cs="Times New Roman"/>
          <w:sz w:val="24"/>
          <w:szCs w:val="24"/>
        </w:rPr>
        <w:t xml:space="preserve">of 15-20 pages in length, </w:t>
      </w:r>
      <w:r>
        <w:rPr>
          <w:rFonts w:ascii="Times New Roman" w:hAnsi="Times New Roman" w:cs="Times New Roman"/>
          <w:sz w:val="24"/>
          <w:szCs w:val="24"/>
        </w:rPr>
        <w:t xml:space="preserve">and creative presentation for the </w:t>
      </w:r>
      <w:r w:rsidR="00A64FE8">
        <w:rPr>
          <w:rFonts w:ascii="Times New Roman" w:hAnsi="Times New Roman" w:cs="Times New Roman"/>
          <w:sz w:val="24"/>
          <w:szCs w:val="24"/>
        </w:rPr>
        <w:t>campus THM event.  The mid-level THM program required students to produce a creative presentation for the campus THM event, and to make classroom presentations prior to the actual event itself.  The least rigorous program did not have student learning communities, but instead asked students to each produce a short 4 page paper on their chosen policy issue.  The level of THM rigor made a difference.  For the most-rigorous THM instructor, the percentage of students receiving repeatable grades declined by 21 percentage points, from 36% in the Fall of 2011 to 15% in the Spring of 2014.  The mid-level THM instructor had only been teaching for a short time when she introduced the THM, and so her repeatable grades declined modestly, but she had the lowest percentage of repeatable grades of the three instructors at 6% in the spring of 2014. The least rigorous THM instructor saw his repeatable grades decline by 3 percentage points, from 14% in the fall of 2013 to 11% in the spring of 2014.</w:t>
      </w:r>
    </w:p>
    <w:p w14:paraId="2BE32AD7" w14:textId="16F46AD1" w:rsidR="00A64FE8" w:rsidRDefault="00A64FE8" w:rsidP="00907D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Examining the survey results, the largest statistical differences between the THM and non-THM respondents came in the area of academic engagement (see Table 3 below).</w:t>
      </w:r>
    </w:p>
    <w:tbl>
      <w:tblPr>
        <w:tblW w:w="8986" w:type="dxa"/>
        <w:tblInd w:w="93" w:type="dxa"/>
        <w:tblLook w:val="04A0" w:firstRow="1" w:lastRow="0" w:firstColumn="1" w:lastColumn="0" w:noHBand="0" w:noVBand="1"/>
      </w:tblPr>
      <w:tblGrid>
        <w:gridCol w:w="3124"/>
        <w:gridCol w:w="222"/>
        <w:gridCol w:w="1640"/>
        <w:gridCol w:w="236"/>
        <w:gridCol w:w="1420"/>
        <w:gridCol w:w="222"/>
        <w:gridCol w:w="2122"/>
      </w:tblGrid>
      <w:tr w:rsidR="00A64FE8" w:rsidRPr="007714F2" w14:paraId="03EE18E1" w14:textId="77777777" w:rsidTr="002D6FE0">
        <w:trPr>
          <w:trHeight w:val="315"/>
        </w:trPr>
        <w:tc>
          <w:tcPr>
            <w:tcW w:w="8986" w:type="dxa"/>
            <w:gridSpan w:val="7"/>
            <w:tcBorders>
              <w:top w:val="nil"/>
              <w:left w:val="nil"/>
              <w:bottom w:val="double" w:sz="6" w:space="0" w:color="auto"/>
              <w:right w:val="nil"/>
            </w:tcBorders>
            <w:shd w:val="clear" w:color="auto" w:fill="auto"/>
            <w:noWrap/>
            <w:vAlign w:val="bottom"/>
            <w:hideMark/>
          </w:tcPr>
          <w:p w14:paraId="26577346" w14:textId="77777777" w:rsidR="00A64FE8" w:rsidRPr="007714F2" w:rsidRDefault="00A64FE8" w:rsidP="002D6FE0">
            <w:pPr>
              <w:spacing w:after="0" w:line="240" w:lineRule="auto"/>
              <w:jc w:val="center"/>
              <w:rPr>
                <w:rFonts w:ascii="Calibri" w:eastAsia="Times New Roman" w:hAnsi="Calibri" w:cs="Times New Roman"/>
                <w:b/>
                <w:bCs/>
                <w:color w:val="000000"/>
              </w:rPr>
            </w:pPr>
            <w:r w:rsidRPr="007714F2">
              <w:rPr>
                <w:rFonts w:ascii="Calibri" w:eastAsia="Times New Roman" w:hAnsi="Calibri" w:cs="Times New Roman"/>
                <w:b/>
                <w:bCs/>
                <w:color w:val="000000"/>
              </w:rPr>
              <w:t>Table 3: Academic Engagement - THM and Non-THM compared</w:t>
            </w:r>
          </w:p>
        </w:tc>
      </w:tr>
      <w:tr w:rsidR="00A64FE8" w:rsidRPr="007714F2" w14:paraId="57326460" w14:textId="77777777" w:rsidTr="002D6FE0">
        <w:trPr>
          <w:trHeight w:val="315"/>
        </w:trPr>
        <w:tc>
          <w:tcPr>
            <w:tcW w:w="3124" w:type="dxa"/>
            <w:tcBorders>
              <w:top w:val="nil"/>
              <w:left w:val="nil"/>
              <w:bottom w:val="nil"/>
              <w:right w:val="nil"/>
            </w:tcBorders>
            <w:shd w:val="clear" w:color="auto" w:fill="auto"/>
            <w:noWrap/>
            <w:vAlign w:val="bottom"/>
            <w:hideMark/>
          </w:tcPr>
          <w:p w14:paraId="603D180C"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2D079ED"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32E22C5A"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29CC3577"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single" w:sz="4" w:space="0" w:color="auto"/>
              <w:right w:val="nil"/>
            </w:tcBorders>
            <w:shd w:val="clear" w:color="auto" w:fill="auto"/>
            <w:noWrap/>
            <w:vAlign w:val="bottom"/>
            <w:hideMark/>
          </w:tcPr>
          <w:p w14:paraId="1A2BD59F"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Town Hall</w:t>
            </w:r>
          </w:p>
        </w:tc>
        <w:tc>
          <w:tcPr>
            <w:tcW w:w="222" w:type="dxa"/>
            <w:tcBorders>
              <w:top w:val="nil"/>
              <w:left w:val="nil"/>
              <w:bottom w:val="nil"/>
              <w:right w:val="nil"/>
            </w:tcBorders>
            <w:shd w:val="clear" w:color="auto" w:fill="auto"/>
            <w:noWrap/>
            <w:vAlign w:val="bottom"/>
            <w:hideMark/>
          </w:tcPr>
          <w:p w14:paraId="1EAF01DE"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single" w:sz="4" w:space="0" w:color="auto"/>
              <w:right w:val="nil"/>
            </w:tcBorders>
            <w:shd w:val="clear" w:color="auto" w:fill="auto"/>
            <w:noWrap/>
            <w:vAlign w:val="bottom"/>
            <w:hideMark/>
          </w:tcPr>
          <w:p w14:paraId="3AE7519A"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Non-Town Hall</w:t>
            </w:r>
          </w:p>
        </w:tc>
      </w:tr>
      <w:tr w:rsidR="00A64FE8" w:rsidRPr="007714F2" w14:paraId="56A371E2" w14:textId="77777777" w:rsidTr="002D6FE0">
        <w:trPr>
          <w:trHeight w:val="300"/>
        </w:trPr>
        <w:tc>
          <w:tcPr>
            <w:tcW w:w="3124" w:type="dxa"/>
            <w:tcBorders>
              <w:top w:val="nil"/>
              <w:left w:val="nil"/>
              <w:bottom w:val="nil"/>
              <w:right w:val="nil"/>
            </w:tcBorders>
            <w:shd w:val="clear" w:color="auto" w:fill="auto"/>
            <w:noWrap/>
            <w:vAlign w:val="bottom"/>
            <w:hideMark/>
          </w:tcPr>
          <w:p w14:paraId="43419223" w14:textId="77777777" w:rsidR="00A64FE8" w:rsidRPr="007714F2" w:rsidRDefault="00A64FE8" w:rsidP="002D6FE0">
            <w:pPr>
              <w:spacing w:after="0" w:line="240" w:lineRule="auto"/>
              <w:rPr>
                <w:rFonts w:ascii="Calibri" w:eastAsia="Times New Roman" w:hAnsi="Calibri" w:cs="Times New Roman"/>
                <w:b/>
                <w:bCs/>
                <w:color w:val="000000"/>
              </w:rPr>
            </w:pPr>
            <w:r w:rsidRPr="007714F2">
              <w:rPr>
                <w:rFonts w:ascii="Calibri" w:eastAsia="Times New Roman" w:hAnsi="Calibri" w:cs="Times New Roman"/>
                <w:b/>
                <w:bCs/>
                <w:color w:val="000000"/>
              </w:rPr>
              <w:t>Selected items:</w:t>
            </w:r>
          </w:p>
        </w:tc>
        <w:tc>
          <w:tcPr>
            <w:tcW w:w="222" w:type="dxa"/>
            <w:tcBorders>
              <w:top w:val="nil"/>
              <w:left w:val="nil"/>
              <w:bottom w:val="nil"/>
              <w:right w:val="nil"/>
            </w:tcBorders>
            <w:shd w:val="clear" w:color="auto" w:fill="auto"/>
            <w:noWrap/>
            <w:vAlign w:val="bottom"/>
            <w:hideMark/>
          </w:tcPr>
          <w:p w14:paraId="45902BB2"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46E9237B"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7902FB06"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265111D" w14:textId="77777777" w:rsidR="00A64FE8" w:rsidRPr="007714F2" w:rsidRDefault="00A64FE8" w:rsidP="002D6FE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Percentage</w:t>
            </w:r>
          </w:p>
        </w:tc>
        <w:tc>
          <w:tcPr>
            <w:tcW w:w="222" w:type="dxa"/>
            <w:tcBorders>
              <w:top w:val="nil"/>
              <w:left w:val="nil"/>
              <w:bottom w:val="nil"/>
              <w:right w:val="nil"/>
            </w:tcBorders>
            <w:shd w:val="clear" w:color="auto" w:fill="auto"/>
            <w:noWrap/>
            <w:vAlign w:val="bottom"/>
            <w:hideMark/>
          </w:tcPr>
          <w:p w14:paraId="7A4E49A4"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286C1D0E" w14:textId="77777777" w:rsidR="00A64FE8" w:rsidRPr="007714F2" w:rsidRDefault="00A64FE8" w:rsidP="002D6FE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Percentage</w:t>
            </w:r>
          </w:p>
        </w:tc>
      </w:tr>
      <w:tr w:rsidR="00A64FE8" w:rsidRPr="007714F2" w14:paraId="09E2F728" w14:textId="77777777" w:rsidTr="002D6FE0">
        <w:trPr>
          <w:trHeight w:val="300"/>
        </w:trPr>
        <w:tc>
          <w:tcPr>
            <w:tcW w:w="3346" w:type="dxa"/>
            <w:gridSpan w:val="2"/>
            <w:tcBorders>
              <w:top w:val="nil"/>
              <w:left w:val="nil"/>
              <w:bottom w:val="nil"/>
              <w:right w:val="nil"/>
            </w:tcBorders>
            <w:shd w:val="clear" w:color="auto" w:fill="auto"/>
            <w:noWrap/>
            <w:vAlign w:val="bottom"/>
            <w:hideMark/>
          </w:tcPr>
          <w:p w14:paraId="5754D619"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 xml:space="preserve">     Came to class prepared*</w:t>
            </w:r>
          </w:p>
        </w:tc>
        <w:tc>
          <w:tcPr>
            <w:tcW w:w="1640" w:type="dxa"/>
            <w:tcBorders>
              <w:top w:val="nil"/>
              <w:left w:val="nil"/>
              <w:bottom w:val="nil"/>
              <w:right w:val="nil"/>
            </w:tcBorders>
            <w:shd w:val="clear" w:color="auto" w:fill="auto"/>
            <w:noWrap/>
            <w:vAlign w:val="bottom"/>
            <w:hideMark/>
          </w:tcPr>
          <w:p w14:paraId="6CA6659B"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Often</w:t>
            </w:r>
          </w:p>
        </w:tc>
        <w:tc>
          <w:tcPr>
            <w:tcW w:w="236" w:type="dxa"/>
            <w:tcBorders>
              <w:top w:val="nil"/>
              <w:left w:val="nil"/>
              <w:bottom w:val="nil"/>
              <w:right w:val="nil"/>
            </w:tcBorders>
            <w:shd w:val="clear" w:color="auto" w:fill="auto"/>
            <w:noWrap/>
            <w:vAlign w:val="bottom"/>
            <w:hideMark/>
          </w:tcPr>
          <w:p w14:paraId="4694D40F"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6981ABD"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30.1</w:t>
            </w:r>
          </w:p>
        </w:tc>
        <w:tc>
          <w:tcPr>
            <w:tcW w:w="222" w:type="dxa"/>
            <w:tcBorders>
              <w:top w:val="nil"/>
              <w:left w:val="nil"/>
              <w:bottom w:val="nil"/>
              <w:right w:val="nil"/>
            </w:tcBorders>
            <w:shd w:val="clear" w:color="auto" w:fill="auto"/>
            <w:noWrap/>
            <w:vAlign w:val="bottom"/>
            <w:hideMark/>
          </w:tcPr>
          <w:p w14:paraId="2446B5F4"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47BF1DB1"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31.6</w:t>
            </w:r>
          </w:p>
        </w:tc>
      </w:tr>
      <w:tr w:rsidR="00A64FE8" w:rsidRPr="007714F2" w14:paraId="3E1C0A26" w14:textId="77777777" w:rsidTr="002D6FE0">
        <w:trPr>
          <w:trHeight w:val="300"/>
        </w:trPr>
        <w:tc>
          <w:tcPr>
            <w:tcW w:w="3124" w:type="dxa"/>
            <w:tcBorders>
              <w:top w:val="nil"/>
              <w:left w:val="nil"/>
              <w:bottom w:val="nil"/>
              <w:right w:val="nil"/>
            </w:tcBorders>
            <w:shd w:val="clear" w:color="auto" w:fill="auto"/>
            <w:noWrap/>
            <w:vAlign w:val="bottom"/>
            <w:hideMark/>
          </w:tcPr>
          <w:p w14:paraId="63306390"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26887B1"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0F2A7F39"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Very Often</w:t>
            </w:r>
          </w:p>
        </w:tc>
        <w:tc>
          <w:tcPr>
            <w:tcW w:w="236" w:type="dxa"/>
            <w:tcBorders>
              <w:top w:val="nil"/>
              <w:left w:val="nil"/>
              <w:bottom w:val="nil"/>
              <w:right w:val="nil"/>
            </w:tcBorders>
            <w:shd w:val="clear" w:color="auto" w:fill="auto"/>
            <w:noWrap/>
            <w:vAlign w:val="bottom"/>
            <w:hideMark/>
          </w:tcPr>
          <w:p w14:paraId="6C5F7317"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4CF1AD7"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54.7</w:t>
            </w:r>
          </w:p>
        </w:tc>
        <w:tc>
          <w:tcPr>
            <w:tcW w:w="222" w:type="dxa"/>
            <w:tcBorders>
              <w:top w:val="nil"/>
              <w:left w:val="nil"/>
              <w:bottom w:val="nil"/>
              <w:right w:val="nil"/>
            </w:tcBorders>
            <w:shd w:val="clear" w:color="auto" w:fill="auto"/>
            <w:noWrap/>
            <w:vAlign w:val="bottom"/>
            <w:hideMark/>
          </w:tcPr>
          <w:p w14:paraId="384569B8"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59F599D9"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42.1</w:t>
            </w:r>
          </w:p>
        </w:tc>
      </w:tr>
      <w:tr w:rsidR="00A64FE8" w:rsidRPr="007714F2" w14:paraId="2AE16EF2" w14:textId="77777777" w:rsidTr="002D6FE0">
        <w:trPr>
          <w:trHeight w:val="300"/>
        </w:trPr>
        <w:tc>
          <w:tcPr>
            <w:tcW w:w="3124" w:type="dxa"/>
            <w:tcBorders>
              <w:top w:val="nil"/>
              <w:left w:val="nil"/>
              <w:bottom w:val="nil"/>
              <w:right w:val="nil"/>
            </w:tcBorders>
            <w:shd w:val="clear" w:color="auto" w:fill="auto"/>
            <w:noWrap/>
            <w:vAlign w:val="bottom"/>
            <w:hideMark/>
          </w:tcPr>
          <w:p w14:paraId="54BE385C"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084F21F"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27495ACB"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442CD4D2"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6ED432D"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736C261"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6ACBE372"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5B777003" w14:textId="77777777" w:rsidTr="002D6FE0">
        <w:trPr>
          <w:trHeight w:val="300"/>
        </w:trPr>
        <w:tc>
          <w:tcPr>
            <w:tcW w:w="3124" w:type="dxa"/>
            <w:tcBorders>
              <w:top w:val="nil"/>
              <w:left w:val="nil"/>
              <w:bottom w:val="nil"/>
              <w:right w:val="nil"/>
            </w:tcBorders>
            <w:shd w:val="clear" w:color="auto" w:fill="auto"/>
            <w:noWrap/>
            <w:vAlign w:val="bottom"/>
            <w:hideMark/>
          </w:tcPr>
          <w:p w14:paraId="256A0E5C"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0B5AE18"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04E4C449"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574AD7D8"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D476391"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6C3934E"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77F70B3F"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29101BA6" w14:textId="77777777" w:rsidTr="002D6FE0">
        <w:trPr>
          <w:trHeight w:val="300"/>
        </w:trPr>
        <w:tc>
          <w:tcPr>
            <w:tcW w:w="3346" w:type="dxa"/>
            <w:gridSpan w:val="2"/>
            <w:tcBorders>
              <w:top w:val="nil"/>
              <w:left w:val="nil"/>
              <w:bottom w:val="nil"/>
              <w:right w:val="nil"/>
            </w:tcBorders>
            <w:shd w:val="clear" w:color="auto" w:fill="auto"/>
            <w:noWrap/>
            <w:vAlign w:val="bottom"/>
            <w:hideMark/>
          </w:tcPr>
          <w:p w14:paraId="10111429"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 xml:space="preserve">     Felt bored in class***</w:t>
            </w:r>
          </w:p>
        </w:tc>
        <w:tc>
          <w:tcPr>
            <w:tcW w:w="1640" w:type="dxa"/>
            <w:tcBorders>
              <w:top w:val="nil"/>
              <w:left w:val="nil"/>
              <w:bottom w:val="nil"/>
              <w:right w:val="nil"/>
            </w:tcBorders>
            <w:shd w:val="clear" w:color="auto" w:fill="auto"/>
            <w:noWrap/>
            <w:vAlign w:val="bottom"/>
            <w:hideMark/>
          </w:tcPr>
          <w:p w14:paraId="7A3F200A"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Often</w:t>
            </w:r>
          </w:p>
        </w:tc>
        <w:tc>
          <w:tcPr>
            <w:tcW w:w="236" w:type="dxa"/>
            <w:tcBorders>
              <w:top w:val="nil"/>
              <w:left w:val="nil"/>
              <w:bottom w:val="nil"/>
              <w:right w:val="nil"/>
            </w:tcBorders>
            <w:shd w:val="clear" w:color="auto" w:fill="auto"/>
            <w:noWrap/>
            <w:vAlign w:val="bottom"/>
            <w:hideMark/>
          </w:tcPr>
          <w:p w14:paraId="62BD13D8"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AAF3B2F"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19.1</w:t>
            </w:r>
          </w:p>
        </w:tc>
        <w:tc>
          <w:tcPr>
            <w:tcW w:w="222" w:type="dxa"/>
            <w:tcBorders>
              <w:top w:val="nil"/>
              <w:left w:val="nil"/>
              <w:bottom w:val="nil"/>
              <w:right w:val="nil"/>
            </w:tcBorders>
            <w:shd w:val="clear" w:color="auto" w:fill="auto"/>
            <w:noWrap/>
            <w:vAlign w:val="bottom"/>
            <w:hideMark/>
          </w:tcPr>
          <w:p w14:paraId="7F7E3B42"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28B4543B"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21.6</w:t>
            </w:r>
          </w:p>
        </w:tc>
      </w:tr>
      <w:tr w:rsidR="00A64FE8" w:rsidRPr="007714F2" w14:paraId="616A5697" w14:textId="77777777" w:rsidTr="002D6FE0">
        <w:trPr>
          <w:trHeight w:val="300"/>
        </w:trPr>
        <w:tc>
          <w:tcPr>
            <w:tcW w:w="3124" w:type="dxa"/>
            <w:tcBorders>
              <w:top w:val="nil"/>
              <w:left w:val="nil"/>
              <w:bottom w:val="nil"/>
              <w:right w:val="nil"/>
            </w:tcBorders>
            <w:shd w:val="clear" w:color="auto" w:fill="auto"/>
            <w:noWrap/>
            <w:vAlign w:val="bottom"/>
            <w:hideMark/>
          </w:tcPr>
          <w:p w14:paraId="6A017C54"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60B983A"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15DBD0A0"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Very Often</w:t>
            </w:r>
          </w:p>
        </w:tc>
        <w:tc>
          <w:tcPr>
            <w:tcW w:w="236" w:type="dxa"/>
            <w:tcBorders>
              <w:top w:val="nil"/>
              <w:left w:val="nil"/>
              <w:bottom w:val="nil"/>
              <w:right w:val="nil"/>
            </w:tcBorders>
            <w:shd w:val="clear" w:color="auto" w:fill="auto"/>
            <w:noWrap/>
            <w:vAlign w:val="bottom"/>
            <w:hideMark/>
          </w:tcPr>
          <w:p w14:paraId="2CDF3EA7"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B734CCF"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14.4</w:t>
            </w:r>
          </w:p>
        </w:tc>
        <w:tc>
          <w:tcPr>
            <w:tcW w:w="222" w:type="dxa"/>
            <w:tcBorders>
              <w:top w:val="nil"/>
              <w:left w:val="nil"/>
              <w:bottom w:val="nil"/>
              <w:right w:val="nil"/>
            </w:tcBorders>
            <w:shd w:val="clear" w:color="auto" w:fill="auto"/>
            <w:noWrap/>
            <w:vAlign w:val="bottom"/>
            <w:hideMark/>
          </w:tcPr>
          <w:p w14:paraId="61566741"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4AC42272"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27.3</w:t>
            </w:r>
          </w:p>
        </w:tc>
      </w:tr>
      <w:tr w:rsidR="00A64FE8" w:rsidRPr="007714F2" w14:paraId="2A2EC699" w14:textId="77777777" w:rsidTr="002D6FE0">
        <w:trPr>
          <w:trHeight w:val="300"/>
        </w:trPr>
        <w:tc>
          <w:tcPr>
            <w:tcW w:w="3124" w:type="dxa"/>
            <w:tcBorders>
              <w:top w:val="nil"/>
              <w:left w:val="nil"/>
              <w:bottom w:val="nil"/>
              <w:right w:val="nil"/>
            </w:tcBorders>
            <w:shd w:val="clear" w:color="auto" w:fill="auto"/>
            <w:noWrap/>
            <w:vAlign w:val="bottom"/>
            <w:hideMark/>
          </w:tcPr>
          <w:p w14:paraId="4788BD44"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3D1AE72"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7E1E35F5"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68090371"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3CD6079A"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9EE7AF4"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4CEFE4F1"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2B9F9B41" w14:textId="77777777" w:rsidTr="002D6FE0">
        <w:trPr>
          <w:trHeight w:val="300"/>
        </w:trPr>
        <w:tc>
          <w:tcPr>
            <w:tcW w:w="3124" w:type="dxa"/>
            <w:tcBorders>
              <w:top w:val="nil"/>
              <w:left w:val="nil"/>
              <w:bottom w:val="nil"/>
              <w:right w:val="nil"/>
            </w:tcBorders>
            <w:shd w:val="clear" w:color="auto" w:fill="auto"/>
            <w:noWrap/>
            <w:vAlign w:val="bottom"/>
            <w:hideMark/>
          </w:tcPr>
          <w:p w14:paraId="5F859546"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2BC9964"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38554794"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3AA7BFB9"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072F692"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56A1B20"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329F7D88"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38DF08CD" w14:textId="77777777" w:rsidTr="002D6FE0">
        <w:trPr>
          <w:trHeight w:val="300"/>
        </w:trPr>
        <w:tc>
          <w:tcPr>
            <w:tcW w:w="3346" w:type="dxa"/>
            <w:gridSpan w:val="2"/>
            <w:tcBorders>
              <w:top w:val="nil"/>
              <w:left w:val="nil"/>
              <w:bottom w:val="nil"/>
              <w:right w:val="nil"/>
            </w:tcBorders>
            <w:shd w:val="clear" w:color="auto" w:fill="auto"/>
            <w:noWrap/>
            <w:vAlign w:val="bottom"/>
            <w:hideMark/>
          </w:tcPr>
          <w:p w14:paraId="2513E614"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 xml:space="preserve">     Felt the time you spent in</w:t>
            </w:r>
          </w:p>
        </w:tc>
        <w:tc>
          <w:tcPr>
            <w:tcW w:w="1640" w:type="dxa"/>
            <w:tcBorders>
              <w:top w:val="nil"/>
              <w:left w:val="nil"/>
              <w:bottom w:val="nil"/>
              <w:right w:val="nil"/>
            </w:tcBorders>
            <w:shd w:val="clear" w:color="auto" w:fill="auto"/>
            <w:noWrap/>
            <w:vAlign w:val="bottom"/>
            <w:hideMark/>
          </w:tcPr>
          <w:p w14:paraId="076E6276"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Sometimes</w:t>
            </w:r>
          </w:p>
        </w:tc>
        <w:tc>
          <w:tcPr>
            <w:tcW w:w="236" w:type="dxa"/>
            <w:tcBorders>
              <w:top w:val="nil"/>
              <w:left w:val="nil"/>
              <w:bottom w:val="nil"/>
              <w:right w:val="nil"/>
            </w:tcBorders>
            <w:shd w:val="clear" w:color="auto" w:fill="auto"/>
            <w:noWrap/>
            <w:vAlign w:val="bottom"/>
            <w:hideMark/>
          </w:tcPr>
          <w:p w14:paraId="30C41080"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CB9CAD9"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35.3</w:t>
            </w:r>
          </w:p>
        </w:tc>
        <w:tc>
          <w:tcPr>
            <w:tcW w:w="222" w:type="dxa"/>
            <w:tcBorders>
              <w:top w:val="nil"/>
              <w:left w:val="nil"/>
              <w:bottom w:val="nil"/>
              <w:right w:val="nil"/>
            </w:tcBorders>
            <w:shd w:val="clear" w:color="auto" w:fill="auto"/>
            <w:noWrap/>
            <w:vAlign w:val="bottom"/>
            <w:hideMark/>
          </w:tcPr>
          <w:p w14:paraId="2EA7EA8F"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7ADE2FDC"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34.6</w:t>
            </w:r>
          </w:p>
        </w:tc>
      </w:tr>
      <w:tr w:rsidR="00A64FE8" w:rsidRPr="007714F2" w14:paraId="71C7E648" w14:textId="77777777" w:rsidTr="002D6FE0">
        <w:trPr>
          <w:trHeight w:val="300"/>
        </w:trPr>
        <w:tc>
          <w:tcPr>
            <w:tcW w:w="3346" w:type="dxa"/>
            <w:gridSpan w:val="2"/>
            <w:tcBorders>
              <w:top w:val="nil"/>
              <w:left w:val="nil"/>
              <w:bottom w:val="nil"/>
              <w:right w:val="nil"/>
            </w:tcBorders>
            <w:shd w:val="clear" w:color="auto" w:fill="auto"/>
            <w:noWrap/>
            <w:vAlign w:val="bottom"/>
            <w:hideMark/>
          </w:tcPr>
          <w:p w14:paraId="5F61804E"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 xml:space="preserve">     class was worthwhile***</w:t>
            </w:r>
          </w:p>
        </w:tc>
        <w:tc>
          <w:tcPr>
            <w:tcW w:w="1640" w:type="dxa"/>
            <w:tcBorders>
              <w:top w:val="nil"/>
              <w:left w:val="nil"/>
              <w:bottom w:val="nil"/>
              <w:right w:val="nil"/>
            </w:tcBorders>
            <w:shd w:val="clear" w:color="auto" w:fill="auto"/>
            <w:noWrap/>
            <w:vAlign w:val="bottom"/>
            <w:hideMark/>
          </w:tcPr>
          <w:p w14:paraId="3A841664"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Often</w:t>
            </w:r>
          </w:p>
        </w:tc>
        <w:tc>
          <w:tcPr>
            <w:tcW w:w="236" w:type="dxa"/>
            <w:tcBorders>
              <w:top w:val="nil"/>
              <w:left w:val="nil"/>
              <w:bottom w:val="nil"/>
              <w:right w:val="nil"/>
            </w:tcBorders>
            <w:shd w:val="clear" w:color="auto" w:fill="auto"/>
            <w:noWrap/>
            <w:vAlign w:val="bottom"/>
            <w:hideMark/>
          </w:tcPr>
          <w:p w14:paraId="785BBCF0"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26C2F62"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36.5</w:t>
            </w:r>
          </w:p>
        </w:tc>
        <w:tc>
          <w:tcPr>
            <w:tcW w:w="222" w:type="dxa"/>
            <w:tcBorders>
              <w:top w:val="nil"/>
              <w:left w:val="nil"/>
              <w:bottom w:val="nil"/>
              <w:right w:val="nil"/>
            </w:tcBorders>
            <w:shd w:val="clear" w:color="auto" w:fill="auto"/>
            <w:noWrap/>
            <w:vAlign w:val="bottom"/>
            <w:hideMark/>
          </w:tcPr>
          <w:p w14:paraId="3B62A788"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52C1D9A8"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24.6</w:t>
            </w:r>
          </w:p>
        </w:tc>
      </w:tr>
      <w:tr w:rsidR="00A64FE8" w:rsidRPr="007714F2" w14:paraId="454CB9B9" w14:textId="77777777" w:rsidTr="002D6FE0">
        <w:trPr>
          <w:trHeight w:val="300"/>
        </w:trPr>
        <w:tc>
          <w:tcPr>
            <w:tcW w:w="3124" w:type="dxa"/>
            <w:tcBorders>
              <w:top w:val="nil"/>
              <w:left w:val="nil"/>
              <w:bottom w:val="nil"/>
              <w:right w:val="nil"/>
            </w:tcBorders>
            <w:shd w:val="clear" w:color="auto" w:fill="auto"/>
            <w:noWrap/>
            <w:vAlign w:val="bottom"/>
            <w:hideMark/>
          </w:tcPr>
          <w:p w14:paraId="1CDA59B6"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FB050D6"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2A1A2B03"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Very Often</w:t>
            </w:r>
          </w:p>
        </w:tc>
        <w:tc>
          <w:tcPr>
            <w:tcW w:w="236" w:type="dxa"/>
            <w:tcBorders>
              <w:top w:val="nil"/>
              <w:left w:val="nil"/>
              <w:bottom w:val="nil"/>
              <w:right w:val="nil"/>
            </w:tcBorders>
            <w:shd w:val="clear" w:color="auto" w:fill="auto"/>
            <w:noWrap/>
            <w:vAlign w:val="bottom"/>
            <w:hideMark/>
          </w:tcPr>
          <w:p w14:paraId="48F0E2F0"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C3EEAA7"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17.1</w:t>
            </w:r>
          </w:p>
        </w:tc>
        <w:tc>
          <w:tcPr>
            <w:tcW w:w="222" w:type="dxa"/>
            <w:tcBorders>
              <w:top w:val="nil"/>
              <w:left w:val="nil"/>
              <w:bottom w:val="nil"/>
              <w:right w:val="nil"/>
            </w:tcBorders>
            <w:shd w:val="clear" w:color="auto" w:fill="auto"/>
            <w:noWrap/>
            <w:vAlign w:val="bottom"/>
            <w:hideMark/>
          </w:tcPr>
          <w:p w14:paraId="74BCDDDC"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0C982EEC"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15.8</w:t>
            </w:r>
          </w:p>
        </w:tc>
      </w:tr>
      <w:tr w:rsidR="00A64FE8" w:rsidRPr="007714F2" w14:paraId="779745F5" w14:textId="77777777" w:rsidTr="002D6FE0">
        <w:trPr>
          <w:trHeight w:val="300"/>
        </w:trPr>
        <w:tc>
          <w:tcPr>
            <w:tcW w:w="3124" w:type="dxa"/>
            <w:tcBorders>
              <w:top w:val="nil"/>
              <w:left w:val="nil"/>
              <w:bottom w:val="nil"/>
              <w:right w:val="nil"/>
            </w:tcBorders>
            <w:shd w:val="clear" w:color="auto" w:fill="auto"/>
            <w:noWrap/>
            <w:vAlign w:val="bottom"/>
            <w:hideMark/>
          </w:tcPr>
          <w:p w14:paraId="2B7DCB92"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3F75FF5"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1428EB29"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00D23D5E"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C88FED7"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EA540B8"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34B0A42E"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17AC67E5" w14:textId="77777777" w:rsidTr="002D6FE0">
        <w:trPr>
          <w:trHeight w:val="300"/>
        </w:trPr>
        <w:tc>
          <w:tcPr>
            <w:tcW w:w="3124" w:type="dxa"/>
            <w:tcBorders>
              <w:top w:val="nil"/>
              <w:left w:val="nil"/>
              <w:bottom w:val="nil"/>
              <w:right w:val="nil"/>
            </w:tcBorders>
            <w:shd w:val="clear" w:color="auto" w:fill="auto"/>
            <w:noWrap/>
            <w:vAlign w:val="bottom"/>
            <w:hideMark/>
          </w:tcPr>
          <w:p w14:paraId="0163D2A0"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D93F8F2"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60C25E4A"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1BA8245C"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C87B158"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CAB413B"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70F23A1D"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7A4656FC" w14:textId="77777777" w:rsidTr="002D6FE0">
        <w:trPr>
          <w:trHeight w:val="300"/>
        </w:trPr>
        <w:tc>
          <w:tcPr>
            <w:tcW w:w="3346" w:type="dxa"/>
            <w:gridSpan w:val="2"/>
            <w:tcBorders>
              <w:top w:val="nil"/>
              <w:left w:val="nil"/>
              <w:bottom w:val="nil"/>
              <w:right w:val="nil"/>
            </w:tcBorders>
            <w:shd w:val="clear" w:color="auto" w:fill="auto"/>
            <w:noWrap/>
            <w:vAlign w:val="bottom"/>
            <w:hideMark/>
          </w:tcPr>
          <w:p w14:paraId="4C1A6B52"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 xml:space="preserve">     Made adjustments outside </w:t>
            </w:r>
          </w:p>
        </w:tc>
        <w:tc>
          <w:tcPr>
            <w:tcW w:w="1640" w:type="dxa"/>
            <w:tcBorders>
              <w:top w:val="nil"/>
              <w:left w:val="nil"/>
              <w:bottom w:val="nil"/>
              <w:right w:val="nil"/>
            </w:tcBorders>
            <w:shd w:val="clear" w:color="auto" w:fill="auto"/>
            <w:noWrap/>
            <w:vAlign w:val="bottom"/>
            <w:hideMark/>
          </w:tcPr>
          <w:p w14:paraId="2C940C4C"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Often</w:t>
            </w:r>
          </w:p>
        </w:tc>
        <w:tc>
          <w:tcPr>
            <w:tcW w:w="236" w:type="dxa"/>
            <w:tcBorders>
              <w:top w:val="nil"/>
              <w:left w:val="nil"/>
              <w:bottom w:val="nil"/>
              <w:right w:val="nil"/>
            </w:tcBorders>
            <w:shd w:val="clear" w:color="auto" w:fill="auto"/>
            <w:noWrap/>
            <w:vAlign w:val="bottom"/>
            <w:hideMark/>
          </w:tcPr>
          <w:p w14:paraId="46A87B7A"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895D62E"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31.1</w:t>
            </w:r>
          </w:p>
        </w:tc>
        <w:tc>
          <w:tcPr>
            <w:tcW w:w="222" w:type="dxa"/>
            <w:tcBorders>
              <w:top w:val="nil"/>
              <w:left w:val="nil"/>
              <w:bottom w:val="nil"/>
              <w:right w:val="nil"/>
            </w:tcBorders>
            <w:shd w:val="clear" w:color="auto" w:fill="auto"/>
            <w:noWrap/>
            <w:vAlign w:val="bottom"/>
            <w:hideMark/>
          </w:tcPr>
          <w:p w14:paraId="37467AE7"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25E5C1BE"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27</w:t>
            </w:r>
          </w:p>
        </w:tc>
      </w:tr>
      <w:tr w:rsidR="00A64FE8" w:rsidRPr="007714F2" w14:paraId="20092270" w14:textId="77777777" w:rsidTr="002D6FE0">
        <w:trPr>
          <w:trHeight w:val="300"/>
        </w:trPr>
        <w:tc>
          <w:tcPr>
            <w:tcW w:w="3346" w:type="dxa"/>
            <w:gridSpan w:val="2"/>
            <w:tcBorders>
              <w:top w:val="nil"/>
              <w:left w:val="nil"/>
              <w:bottom w:val="nil"/>
              <w:right w:val="nil"/>
            </w:tcBorders>
            <w:shd w:val="clear" w:color="auto" w:fill="auto"/>
            <w:noWrap/>
            <w:vAlign w:val="bottom"/>
            <w:hideMark/>
          </w:tcPr>
          <w:p w14:paraId="7783EDE4"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 xml:space="preserve">     of class to improve or increase </w:t>
            </w:r>
          </w:p>
        </w:tc>
        <w:tc>
          <w:tcPr>
            <w:tcW w:w="1640" w:type="dxa"/>
            <w:tcBorders>
              <w:top w:val="nil"/>
              <w:left w:val="nil"/>
              <w:bottom w:val="nil"/>
              <w:right w:val="nil"/>
            </w:tcBorders>
            <w:shd w:val="clear" w:color="auto" w:fill="auto"/>
            <w:noWrap/>
            <w:vAlign w:val="bottom"/>
            <w:hideMark/>
          </w:tcPr>
          <w:p w14:paraId="1B4A36B2"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Very Often</w:t>
            </w:r>
          </w:p>
        </w:tc>
        <w:tc>
          <w:tcPr>
            <w:tcW w:w="236" w:type="dxa"/>
            <w:tcBorders>
              <w:top w:val="nil"/>
              <w:left w:val="nil"/>
              <w:bottom w:val="nil"/>
              <w:right w:val="nil"/>
            </w:tcBorders>
            <w:shd w:val="clear" w:color="auto" w:fill="auto"/>
            <w:noWrap/>
            <w:vAlign w:val="bottom"/>
            <w:hideMark/>
          </w:tcPr>
          <w:p w14:paraId="09210FAD"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4631E7D"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22.3</w:t>
            </w:r>
          </w:p>
        </w:tc>
        <w:tc>
          <w:tcPr>
            <w:tcW w:w="222" w:type="dxa"/>
            <w:tcBorders>
              <w:top w:val="nil"/>
              <w:left w:val="nil"/>
              <w:bottom w:val="nil"/>
              <w:right w:val="nil"/>
            </w:tcBorders>
            <w:shd w:val="clear" w:color="auto" w:fill="auto"/>
            <w:noWrap/>
            <w:vAlign w:val="bottom"/>
            <w:hideMark/>
          </w:tcPr>
          <w:p w14:paraId="7995758D"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75CBA1BF"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15</w:t>
            </w:r>
          </w:p>
        </w:tc>
      </w:tr>
      <w:tr w:rsidR="00A64FE8" w:rsidRPr="007714F2" w14:paraId="367B14B1" w14:textId="77777777" w:rsidTr="002D6FE0">
        <w:trPr>
          <w:trHeight w:val="300"/>
        </w:trPr>
        <w:tc>
          <w:tcPr>
            <w:tcW w:w="3124" w:type="dxa"/>
            <w:tcBorders>
              <w:top w:val="nil"/>
              <w:left w:val="nil"/>
              <w:bottom w:val="nil"/>
              <w:right w:val="nil"/>
            </w:tcBorders>
            <w:shd w:val="clear" w:color="auto" w:fill="auto"/>
            <w:noWrap/>
            <w:vAlign w:val="bottom"/>
            <w:hideMark/>
          </w:tcPr>
          <w:p w14:paraId="197AD484"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 xml:space="preserve">     the time you could </w:t>
            </w:r>
          </w:p>
        </w:tc>
        <w:tc>
          <w:tcPr>
            <w:tcW w:w="222" w:type="dxa"/>
            <w:tcBorders>
              <w:top w:val="nil"/>
              <w:left w:val="nil"/>
              <w:bottom w:val="nil"/>
              <w:right w:val="nil"/>
            </w:tcBorders>
            <w:shd w:val="clear" w:color="auto" w:fill="auto"/>
            <w:noWrap/>
            <w:vAlign w:val="bottom"/>
            <w:hideMark/>
          </w:tcPr>
          <w:p w14:paraId="18379DC7"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28AC9C42"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00F355F7"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2358ADF"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B1D51F3"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1EDD9A74"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74C40FE6" w14:textId="77777777" w:rsidTr="002D6FE0">
        <w:trPr>
          <w:trHeight w:val="300"/>
        </w:trPr>
        <w:tc>
          <w:tcPr>
            <w:tcW w:w="3346" w:type="dxa"/>
            <w:gridSpan w:val="2"/>
            <w:tcBorders>
              <w:top w:val="nil"/>
              <w:left w:val="nil"/>
              <w:bottom w:val="nil"/>
              <w:right w:val="nil"/>
            </w:tcBorders>
            <w:shd w:val="clear" w:color="auto" w:fill="auto"/>
            <w:noWrap/>
            <w:vAlign w:val="bottom"/>
            <w:hideMark/>
          </w:tcPr>
          <w:p w14:paraId="2AD5A381"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 xml:space="preserve">     devote to your studies**</w:t>
            </w:r>
          </w:p>
        </w:tc>
        <w:tc>
          <w:tcPr>
            <w:tcW w:w="1640" w:type="dxa"/>
            <w:tcBorders>
              <w:top w:val="nil"/>
              <w:left w:val="nil"/>
              <w:bottom w:val="nil"/>
              <w:right w:val="nil"/>
            </w:tcBorders>
            <w:shd w:val="clear" w:color="auto" w:fill="auto"/>
            <w:noWrap/>
            <w:vAlign w:val="bottom"/>
            <w:hideMark/>
          </w:tcPr>
          <w:p w14:paraId="60EE5BE3"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3347ED01"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95C1B86"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D98CD8F"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3A128D50"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4B12ACB4" w14:textId="77777777" w:rsidTr="002D6FE0">
        <w:trPr>
          <w:trHeight w:val="300"/>
        </w:trPr>
        <w:tc>
          <w:tcPr>
            <w:tcW w:w="3124" w:type="dxa"/>
            <w:tcBorders>
              <w:top w:val="nil"/>
              <w:left w:val="nil"/>
              <w:bottom w:val="nil"/>
              <w:right w:val="nil"/>
            </w:tcBorders>
            <w:shd w:val="clear" w:color="auto" w:fill="auto"/>
            <w:noWrap/>
            <w:vAlign w:val="bottom"/>
            <w:hideMark/>
          </w:tcPr>
          <w:p w14:paraId="20A2E298"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3DB943F"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39D3031D"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6F2B3B49"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88E51DC" w14:textId="77777777" w:rsidR="00A64FE8" w:rsidRPr="007714F2" w:rsidRDefault="00A64FE8" w:rsidP="002D6FE0">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6E745CE"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616DC45A" w14:textId="77777777" w:rsidR="00A64FE8" w:rsidRPr="007714F2" w:rsidRDefault="00A64FE8" w:rsidP="002D6FE0">
            <w:pPr>
              <w:spacing w:after="0" w:line="240" w:lineRule="auto"/>
              <w:jc w:val="center"/>
              <w:rPr>
                <w:rFonts w:ascii="Calibri" w:eastAsia="Times New Roman" w:hAnsi="Calibri" w:cs="Times New Roman"/>
                <w:color w:val="000000"/>
              </w:rPr>
            </w:pPr>
          </w:p>
        </w:tc>
      </w:tr>
      <w:tr w:rsidR="00A64FE8" w:rsidRPr="007714F2" w14:paraId="7355260E" w14:textId="77777777" w:rsidTr="002D6FE0">
        <w:trPr>
          <w:trHeight w:val="300"/>
        </w:trPr>
        <w:tc>
          <w:tcPr>
            <w:tcW w:w="4986" w:type="dxa"/>
            <w:gridSpan w:val="3"/>
            <w:tcBorders>
              <w:top w:val="nil"/>
              <w:left w:val="nil"/>
              <w:bottom w:val="nil"/>
              <w:right w:val="nil"/>
            </w:tcBorders>
            <w:shd w:val="clear" w:color="auto" w:fill="auto"/>
            <w:noWrap/>
            <w:vAlign w:val="bottom"/>
            <w:hideMark/>
          </w:tcPr>
          <w:p w14:paraId="26784078" w14:textId="77777777" w:rsidR="00A64FE8" w:rsidRPr="007714F2" w:rsidRDefault="00A64FE8" w:rsidP="002D6FE0">
            <w:pPr>
              <w:spacing w:after="0" w:line="240" w:lineRule="auto"/>
              <w:rPr>
                <w:rFonts w:ascii="Calibri" w:eastAsia="Times New Roman" w:hAnsi="Calibri" w:cs="Times New Roman"/>
                <w:b/>
                <w:bCs/>
                <w:i/>
                <w:iCs/>
                <w:color w:val="000000"/>
              </w:rPr>
            </w:pPr>
            <w:r w:rsidRPr="007714F2">
              <w:rPr>
                <w:rFonts w:ascii="Calibri" w:eastAsia="Times New Roman" w:hAnsi="Calibri" w:cs="Times New Roman"/>
                <w:b/>
                <w:bCs/>
                <w:i/>
                <w:iCs/>
                <w:color w:val="000000"/>
              </w:rPr>
              <w:t xml:space="preserve">     Academ</w:t>
            </w:r>
            <w:r>
              <w:rPr>
                <w:rFonts w:ascii="Calibri" w:eastAsia="Times New Roman" w:hAnsi="Calibri" w:cs="Times New Roman"/>
                <w:b/>
                <w:bCs/>
                <w:i/>
                <w:iCs/>
                <w:color w:val="000000"/>
              </w:rPr>
              <w:t>ic engagement - 10 item scale -</w:t>
            </w:r>
            <w:r w:rsidRPr="007714F2">
              <w:rPr>
                <w:rFonts w:ascii="Calibri" w:eastAsia="Times New Roman" w:hAnsi="Calibri" w:cs="Times New Roman"/>
                <w:b/>
                <w:bCs/>
                <w:i/>
                <w:iCs/>
                <w:color w:val="000000"/>
              </w:rPr>
              <w:t>Mean***:</w:t>
            </w:r>
          </w:p>
        </w:tc>
        <w:tc>
          <w:tcPr>
            <w:tcW w:w="236" w:type="dxa"/>
            <w:tcBorders>
              <w:top w:val="nil"/>
              <w:left w:val="nil"/>
              <w:bottom w:val="nil"/>
              <w:right w:val="nil"/>
            </w:tcBorders>
            <w:shd w:val="clear" w:color="auto" w:fill="auto"/>
            <w:noWrap/>
            <w:vAlign w:val="bottom"/>
            <w:hideMark/>
          </w:tcPr>
          <w:p w14:paraId="6E4E1595"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49ED4BD"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3.35</w:t>
            </w:r>
          </w:p>
        </w:tc>
        <w:tc>
          <w:tcPr>
            <w:tcW w:w="222" w:type="dxa"/>
            <w:tcBorders>
              <w:top w:val="nil"/>
              <w:left w:val="nil"/>
              <w:bottom w:val="nil"/>
              <w:right w:val="nil"/>
            </w:tcBorders>
            <w:shd w:val="clear" w:color="auto" w:fill="auto"/>
            <w:noWrap/>
            <w:vAlign w:val="bottom"/>
            <w:hideMark/>
          </w:tcPr>
          <w:p w14:paraId="1C5427CF"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6387FF2C" w14:textId="77777777" w:rsidR="00A64FE8" w:rsidRPr="007714F2" w:rsidRDefault="00A64FE8" w:rsidP="002D6FE0">
            <w:pPr>
              <w:spacing w:after="0" w:line="240" w:lineRule="auto"/>
              <w:jc w:val="center"/>
              <w:rPr>
                <w:rFonts w:ascii="Calibri" w:eastAsia="Times New Roman" w:hAnsi="Calibri" w:cs="Times New Roman"/>
                <w:color w:val="000000"/>
              </w:rPr>
            </w:pPr>
            <w:r w:rsidRPr="007714F2">
              <w:rPr>
                <w:rFonts w:ascii="Calibri" w:eastAsia="Times New Roman" w:hAnsi="Calibri" w:cs="Times New Roman"/>
                <w:color w:val="000000"/>
              </w:rPr>
              <w:t>3.14</w:t>
            </w:r>
          </w:p>
        </w:tc>
      </w:tr>
      <w:tr w:rsidR="00A64FE8" w:rsidRPr="007714F2" w14:paraId="1A512461" w14:textId="77777777" w:rsidTr="002D6FE0">
        <w:trPr>
          <w:trHeight w:val="300"/>
        </w:trPr>
        <w:tc>
          <w:tcPr>
            <w:tcW w:w="3124" w:type="dxa"/>
            <w:tcBorders>
              <w:top w:val="nil"/>
              <w:left w:val="nil"/>
              <w:bottom w:val="nil"/>
              <w:right w:val="nil"/>
            </w:tcBorders>
            <w:shd w:val="clear" w:color="auto" w:fill="auto"/>
            <w:noWrap/>
            <w:vAlign w:val="bottom"/>
            <w:hideMark/>
          </w:tcPr>
          <w:p w14:paraId="24A1D695"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FB1D064"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13948A5C"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448CB2D4" w14:textId="77777777" w:rsidR="00A64FE8" w:rsidRPr="007714F2" w:rsidRDefault="00A64FE8" w:rsidP="002D6FE0">
            <w:pPr>
              <w:spacing w:after="0" w:line="240" w:lineRule="auto"/>
              <w:rPr>
                <w:rFonts w:ascii="Calibri" w:eastAsia="Times New Roman" w:hAnsi="Calibri" w:cs="Times New Roman"/>
                <w:color w:val="000000"/>
              </w:rPr>
            </w:pPr>
          </w:p>
        </w:tc>
        <w:tc>
          <w:tcPr>
            <w:tcW w:w="3764" w:type="dxa"/>
            <w:gridSpan w:val="3"/>
            <w:tcBorders>
              <w:top w:val="nil"/>
              <w:left w:val="nil"/>
              <w:bottom w:val="nil"/>
              <w:right w:val="nil"/>
            </w:tcBorders>
            <w:shd w:val="clear" w:color="auto" w:fill="auto"/>
            <w:noWrap/>
            <w:vAlign w:val="bottom"/>
            <w:hideMark/>
          </w:tcPr>
          <w:p w14:paraId="64B54CD3" w14:textId="77777777" w:rsidR="00A64FE8" w:rsidRPr="007714F2" w:rsidRDefault="00A64FE8" w:rsidP="002D6FE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7714F2">
              <w:rPr>
                <w:rFonts w:ascii="Calibri" w:eastAsia="Times New Roman" w:hAnsi="Calibri" w:cs="Times New Roman"/>
                <w:color w:val="000000"/>
              </w:rPr>
              <w:t>mean difference = .20846</w:t>
            </w:r>
            <w:r>
              <w:rPr>
                <w:rFonts w:ascii="Calibri" w:eastAsia="Times New Roman" w:hAnsi="Calibri" w:cs="Times New Roman"/>
                <w:color w:val="000000"/>
              </w:rPr>
              <w:t>)</w:t>
            </w:r>
          </w:p>
        </w:tc>
      </w:tr>
      <w:tr w:rsidR="00A64FE8" w:rsidRPr="007714F2" w14:paraId="730F44CE" w14:textId="77777777" w:rsidTr="002D6FE0">
        <w:trPr>
          <w:trHeight w:val="300"/>
        </w:trPr>
        <w:tc>
          <w:tcPr>
            <w:tcW w:w="3124" w:type="dxa"/>
            <w:tcBorders>
              <w:top w:val="nil"/>
              <w:left w:val="nil"/>
              <w:bottom w:val="nil"/>
              <w:right w:val="nil"/>
            </w:tcBorders>
            <w:shd w:val="clear" w:color="auto" w:fill="auto"/>
            <w:noWrap/>
            <w:vAlign w:val="bottom"/>
            <w:hideMark/>
          </w:tcPr>
          <w:p w14:paraId="35ED5C07" w14:textId="77777777" w:rsidR="00A64FE8" w:rsidRPr="007714F2" w:rsidRDefault="00A64FE8" w:rsidP="002D6FE0">
            <w:pPr>
              <w:spacing w:after="0" w:line="240" w:lineRule="auto"/>
              <w:rPr>
                <w:rFonts w:ascii="Calibri" w:eastAsia="Times New Roman" w:hAnsi="Calibri" w:cs="Times New Roman"/>
                <w:color w:val="000000"/>
              </w:rPr>
            </w:pPr>
            <w:r w:rsidRPr="007714F2">
              <w:rPr>
                <w:rFonts w:ascii="Calibri" w:eastAsia="Times New Roman" w:hAnsi="Calibri" w:cs="Times New Roman"/>
                <w:color w:val="000000"/>
              </w:rPr>
              <w:t>*p = .006</w:t>
            </w:r>
            <w:r>
              <w:rPr>
                <w:rFonts w:ascii="Calibri" w:eastAsia="Times New Roman" w:hAnsi="Calibri" w:cs="Times New Roman"/>
                <w:color w:val="000000"/>
              </w:rPr>
              <w:t>; **.001; ***.000</w:t>
            </w:r>
          </w:p>
        </w:tc>
        <w:tc>
          <w:tcPr>
            <w:tcW w:w="222" w:type="dxa"/>
            <w:tcBorders>
              <w:top w:val="nil"/>
              <w:left w:val="nil"/>
              <w:bottom w:val="nil"/>
              <w:right w:val="nil"/>
            </w:tcBorders>
            <w:shd w:val="clear" w:color="auto" w:fill="auto"/>
            <w:noWrap/>
            <w:vAlign w:val="bottom"/>
            <w:hideMark/>
          </w:tcPr>
          <w:p w14:paraId="6DF05A9F" w14:textId="77777777" w:rsidR="00A64FE8" w:rsidRPr="007714F2" w:rsidRDefault="00A64FE8" w:rsidP="002D6FE0">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38D17D0C" w14:textId="77777777" w:rsidR="00A64FE8" w:rsidRPr="007714F2" w:rsidRDefault="00A64FE8" w:rsidP="002D6FE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14:paraId="57B715CA" w14:textId="77777777" w:rsidR="00A64FE8" w:rsidRPr="007714F2" w:rsidRDefault="00A64FE8" w:rsidP="002D6FE0">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5CBDDD2" w14:textId="77777777" w:rsidR="00A64FE8" w:rsidRPr="007714F2" w:rsidRDefault="00A64FE8" w:rsidP="002D6FE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909894C" w14:textId="77777777" w:rsidR="00A64FE8" w:rsidRPr="007714F2" w:rsidRDefault="00A64FE8" w:rsidP="002D6FE0">
            <w:pPr>
              <w:spacing w:after="0" w:line="240" w:lineRule="auto"/>
              <w:rPr>
                <w:rFonts w:ascii="Calibri" w:eastAsia="Times New Roman" w:hAnsi="Calibri" w:cs="Times New Roman"/>
                <w:color w:val="000000"/>
              </w:rPr>
            </w:pPr>
          </w:p>
        </w:tc>
        <w:tc>
          <w:tcPr>
            <w:tcW w:w="2122" w:type="dxa"/>
            <w:tcBorders>
              <w:top w:val="nil"/>
              <w:left w:val="nil"/>
              <w:bottom w:val="nil"/>
              <w:right w:val="nil"/>
            </w:tcBorders>
            <w:shd w:val="clear" w:color="auto" w:fill="auto"/>
            <w:noWrap/>
            <w:vAlign w:val="bottom"/>
            <w:hideMark/>
          </w:tcPr>
          <w:p w14:paraId="1DE4F171" w14:textId="77777777" w:rsidR="00A64FE8" w:rsidRPr="007714F2" w:rsidRDefault="00A64FE8" w:rsidP="002D6FE0">
            <w:pPr>
              <w:spacing w:after="0" w:line="240" w:lineRule="auto"/>
              <w:rPr>
                <w:rFonts w:ascii="Calibri" w:eastAsia="Times New Roman" w:hAnsi="Calibri" w:cs="Times New Roman"/>
                <w:color w:val="000000"/>
              </w:rPr>
            </w:pPr>
          </w:p>
        </w:tc>
      </w:tr>
    </w:tbl>
    <w:p w14:paraId="00B25EC9" w14:textId="77777777" w:rsidR="00A64FE8" w:rsidRDefault="00A64FE8" w:rsidP="00A64FE8">
      <w:pPr>
        <w:spacing w:after="0" w:line="240" w:lineRule="auto"/>
      </w:pPr>
      <w:r>
        <w:t>Question: Please indicate how often this semester you___________________</w:t>
      </w:r>
    </w:p>
    <w:p w14:paraId="51AE01D1" w14:textId="55EAF280" w:rsidR="00A64FE8" w:rsidRDefault="00A64FE8" w:rsidP="00A64FE8">
      <w:pPr>
        <w:spacing w:after="0" w:line="240" w:lineRule="auto"/>
      </w:pPr>
      <w:r>
        <w:t>Very often; often; sometimes; rarely; never</w:t>
      </w:r>
    </w:p>
    <w:p w14:paraId="48664867" w14:textId="77777777" w:rsidR="00A64FE8" w:rsidRPr="000748A4" w:rsidRDefault="00A64FE8" w:rsidP="00907DF3">
      <w:pPr>
        <w:spacing w:line="480" w:lineRule="auto"/>
        <w:rPr>
          <w:rFonts w:ascii="Times New Roman" w:hAnsi="Times New Roman" w:cs="Times New Roman"/>
          <w:sz w:val="24"/>
          <w:szCs w:val="24"/>
        </w:rPr>
      </w:pPr>
    </w:p>
    <w:p w14:paraId="34627113" w14:textId="5DDC1321" w:rsidR="001F261B" w:rsidRDefault="00A64FE8" w:rsidP="00FC248E">
      <w:pPr>
        <w:pStyle w:val="FootnoteText"/>
        <w:spacing w:line="480" w:lineRule="auto"/>
        <w:rPr>
          <w:rStyle w:val="Hyperlink"/>
          <w:rFonts w:ascii="Times New Roman" w:hAnsi="Times New Roman" w:cs="Times New Roman"/>
          <w:color w:val="000000" w:themeColor="text1"/>
          <w:u w:val="none"/>
        </w:rPr>
      </w:pPr>
      <w:r>
        <w:rPr>
          <w:rFonts w:ascii="Times New Roman" w:hAnsi="Times New Roman" w:cs="Times New Roman"/>
          <w:bCs/>
          <w:color w:val="000000"/>
        </w:rPr>
        <w:tab/>
      </w:r>
      <w:r w:rsidRPr="001F261B">
        <w:rPr>
          <w:rFonts w:ascii="Times New Roman" w:hAnsi="Times New Roman" w:cs="Times New Roman"/>
          <w:bCs/>
          <w:color w:val="000000"/>
        </w:rPr>
        <w:t xml:space="preserve">A series of 10 questions were posed in the survey, drawing from The </w:t>
      </w:r>
      <w:r w:rsidRPr="001F261B">
        <w:rPr>
          <w:rFonts w:ascii="Times New Roman" w:hAnsi="Times New Roman" w:cs="Times New Roman"/>
          <w:lang w:bidi="en-US"/>
        </w:rPr>
        <w:t>American Association of Colleges and Universities’ Bringing Theory to Practice Pro</w:t>
      </w:r>
      <w:r w:rsidR="001F261B" w:rsidRPr="001F261B">
        <w:rPr>
          <w:rFonts w:ascii="Times New Roman" w:hAnsi="Times New Roman" w:cs="Times New Roman"/>
          <w:lang w:bidi="en-US"/>
        </w:rPr>
        <w:t>gram “Toolkit Assessment Survey.</w:t>
      </w:r>
      <w:r w:rsidRPr="001F261B">
        <w:rPr>
          <w:rFonts w:ascii="Times New Roman" w:hAnsi="Times New Roman" w:cs="Times New Roman"/>
          <w:lang w:bidi="en-US"/>
        </w:rPr>
        <w:t xml:space="preserve">” </w:t>
      </w:r>
      <w:r w:rsidR="001F261B" w:rsidRPr="001F261B">
        <w:rPr>
          <w:rFonts w:ascii="Times New Roman" w:hAnsi="Times New Roman" w:cs="Times New Roman"/>
          <w:lang w:bidi="en-US"/>
        </w:rPr>
        <w:t>(</w:t>
      </w:r>
      <w:hyperlink r:id="rId12" w:history="1">
        <w:r w:rsidRPr="001F261B">
          <w:rPr>
            <w:rStyle w:val="Hyperlink"/>
            <w:rFonts w:ascii="Times New Roman" w:hAnsi="Times New Roman" w:cs="Times New Roman"/>
          </w:rPr>
          <w:t>http://www.aacu.org/bringing_theory/documents/FacultyToolkit.docx</w:t>
        </w:r>
      </w:hyperlink>
      <w:r w:rsidRPr="001F261B">
        <w:rPr>
          <w:rStyle w:val="Hyperlink"/>
          <w:rFonts w:ascii="Times New Roman" w:hAnsi="Times New Roman" w:cs="Times New Roman"/>
        </w:rPr>
        <w:t>.</w:t>
      </w:r>
      <w:r w:rsidR="001F261B">
        <w:rPr>
          <w:rStyle w:val="Hyperlink"/>
          <w:rFonts w:ascii="Times New Roman" w:hAnsi="Times New Roman" w:cs="Times New Roman"/>
          <w:color w:val="000000" w:themeColor="text1"/>
          <w:u w:val="none"/>
        </w:rPr>
        <w:t xml:space="preserve">)  These were assembled into a scale of academic engagement (Cronbach’s .767) and the mean difference between the THM and non-THM respondents was .21 and statistically significant (p=.000).  Individual items in the scale illustrate some of the more important differences. 84.7% </w:t>
      </w:r>
      <w:r w:rsidR="001F261B">
        <w:rPr>
          <w:rStyle w:val="Hyperlink"/>
          <w:rFonts w:ascii="Times New Roman" w:hAnsi="Times New Roman" w:cs="Times New Roman"/>
          <w:color w:val="000000" w:themeColor="text1"/>
          <w:u w:val="none"/>
        </w:rPr>
        <w:lastRenderedPageBreak/>
        <w:t>of THM respondents said that they came to class prepared often or very often, compared with 73.7% of non-THM respondents. 33.5% of THM respondents said that they often or very often felt bored in class, compared to 48.9% of non-THM respondents.  And 53.6% of THM respondents felt that their time in class was worthwhile, compared to 40.4% of non-THM students.  These survey differences may explain why the percentage of repeatable grades declined so much for the most-rigorous THM instructor, and together these two data points suggest that the THM program worked to engage students more actively with the study of American government.</w:t>
      </w:r>
    </w:p>
    <w:p w14:paraId="0B50A616" w14:textId="17AE5A80" w:rsidR="00FC248E" w:rsidRPr="001F261B" w:rsidRDefault="001F261B" w:rsidP="00FC248E">
      <w:pPr>
        <w:pStyle w:val="FootnoteText"/>
        <w:spacing w:after="100" w:afterAutospacing="1" w:line="480" w:lineRule="auto"/>
        <w:rPr>
          <w:rFonts w:ascii="Times New Roman" w:hAnsi="Times New Roman" w:cs="Times New Roman"/>
          <w:color w:val="000000" w:themeColor="text1"/>
        </w:rPr>
      </w:pPr>
      <w:r>
        <w:rPr>
          <w:rStyle w:val="Hyperlink"/>
          <w:rFonts w:ascii="Times New Roman" w:hAnsi="Times New Roman" w:cs="Times New Roman"/>
          <w:color w:val="000000" w:themeColor="text1"/>
          <w:u w:val="none"/>
        </w:rPr>
        <w:tab/>
        <w:t xml:space="preserve">For improving political motivation and internal self-efficacy, however the </w:t>
      </w:r>
      <w:r w:rsidR="00AD579C">
        <w:rPr>
          <w:rStyle w:val="Hyperlink"/>
          <w:rFonts w:ascii="Times New Roman" w:hAnsi="Times New Roman" w:cs="Times New Roman"/>
          <w:color w:val="000000" w:themeColor="text1"/>
          <w:u w:val="none"/>
        </w:rPr>
        <w:t xml:space="preserve">survey results are less conclusive about the impact of the THM.  Table 4 shows that the most rigorous THM led to large difference in motivation for participation in future discussions about politics: 58.9% of students in the most rigorous THM strongly or somewhat agreed that they were so motivated, compared to 32.1% of one non-THM section and 42.1% of the other non-THM section respondents.  The other THM sections, however, had majorities of their students answering </w:t>
      </w:r>
      <w:proofErr w:type="gramStart"/>
      <w:r w:rsidR="00AD579C">
        <w:rPr>
          <w:rStyle w:val="Hyperlink"/>
          <w:rFonts w:ascii="Times New Roman" w:hAnsi="Times New Roman" w:cs="Times New Roman"/>
          <w:color w:val="000000" w:themeColor="text1"/>
          <w:u w:val="none"/>
        </w:rPr>
        <w:t>that</w:t>
      </w:r>
      <w:proofErr w:type="gramEnd"/>
      <w:r w:rsidR="00AD579C">
        <w:rPr>
          <w:rStyle w:val="Hyperlink"/>
          <w:rFonts w:ascii="Times New Roman" w:hAnsi="Times New Roman" w:cs="Times New Roman"/>
          <w:color w:val="000000" w:themeColor="text1"/>
          <w:u w:val="none"/>
        </w:rPr>
        <w:t xml:space="preserve"> they strongly disagreed, disagreed, or neither disagreed or agreed that they were so motivated: 65.4% for the mid-level rigor THM and 63.2% for the least rigorous THM.</w:t>
      </w:r>
      <w:r w:rsidR="00FC248E" w:rsidRPr="00FC248E">
        <w:rPr>
          <w:rFonts w:ascii="Times New Roman" w:hAnsi="Times New Roman" w:cs="Times New Roman"/>
          <w:color w:val="000000" w:themeColor="text1"/>
        </w:rPr>
        <w:t xml:space="preserve"> </w:t>
      </w:r>
    </w:p>
    <w:p w14:paraId="526A94D2" w14:textId="3A846718" w:rsidR="001F261B" w:rsidRPr="00FC248E" w:rsidRDefault="00FC248E" w:rsidP="00FC248E">
      <w:pPr>
        <w:spacing w:after="100" w:afterAutospacing="1" w:line="480" w:lineRule="auto"/>
        <w:rPr>
          <w:rStyle w:val="Hyperlink"/>
          <w:rFonts w:ascii="Times New Roman" w:hAnsi="Times New Roman" w:cs="Times New Roman"/>
          <w:bCs/>
          <w:color w:val="000000"/>
          <w:sz w:val="24"/>
          <w:szCs w:val="24"/>
          <w:u w:val="none"/>
        </w:rPr>
      </w:pPr>
      <w:r>
        <w:rPr>
          <w:rFonts w:ascii="Times New Roman" w:hAnsi="Times New Roman" w:cs="Times New Roman"/>
          <w:bCs/>
          <w:color w:val="000000"/>
          <w:sz w:val="24"/>
          <w:szCs w:val="24"/>
        </w:rPr>
        <w:tab/>
        <w:t xml:space="preserve">In terms of its impact on self-efficacy, the survey had a single measure of this difficult to assess psychological/cognitive disposition: “How much impact do you have on your community?” The THM students were far more likely to feel that they have a “big impact” than the non-THM students: 33.4% compared to 20.2%. Although this was a statistically significant difference, still 2/3 of THM students still felt that they did not have a big impact on their community (66.6%).   Given that political efficacy is rooted in political socialization, and therefore difficult to address with a single educational intervention, these differences suggest that </w:t>
      </w:r>
      <w:r>
        <w:rPr>
          <w:rFonts w:ascii="Times New Roman" w:hAnsi="Times New Roman" w:cs="Times New Roman"/>
          <w:bCs/>
          <w:color w:val="000000"/>
          <w:sz w:val="24"/>
          <w:szCs w:val="24"/>
        </w:rPr>
        <w:lastRenderedPageBreak/>
        <w:t>the THM effect on motivation and self-efficacy are significant beginnings towards greater engagement among participating CSU Fullerton students.</w:t>
      </w:r>
    </w:p>
    <w:tbl>
      <w:tblPr>
        <w:tblW w:w="7731" w:type="dxa"/>
        <w:tblLook w:val="04A0" w:firstRow="1" w:lastRow="0" w:firstColumn="1" w:lastColumn="0" w:noHBand="0" w:noVBand="1"/>
      </w:tblPr>
      <w:tblGrid>
        <w:gridCol w:w="222"/>
        <w:gridCol w:w="3120"/>
        <w:gridCol w:w="222"/>
        <w:gridCol w:w="2262"/>
        <w:gridCol w:w="222"/>
        <w:gridCol w:w="2191"/>
      </w:tblGrid>
      <w:tr w:rsidR="00AD579C" w:rsidRPr="004A2DF8" w14:paraId="6C2C4B79" w14:textId="77777777" w:rsidTr="002D6FE0">
        <w:trPr>
          <w:trHeight w:val="300"/>
        </w:trPr>
        <w:tc>
          <w:tcPr>
            <w:tcW w:w="7731" w:type="dxa"/>
            <w:gridSpan w:val="6"/>
            <w:tcBorders>
              <w:top w:val="nil"/>
              <w:left w:val="nil"/>
              <w:bottom w:val="nil"/>
              <w:right w:val="nil"/>
            </w:tcBorders>
            <w:shd w:val="clear" w:color="auto" w:fill="auto"/>
            <w:noWrap/>
            <w:vAlign w:val="bottom"/>
            <w:hideMark/>
          </w:tcPr>
          <w:p w14:paraId="2DE7E763" w14:textId="77777777" w:rsidR="00FC248E" w:rsidRDefault="00FC248E" w:rsidP="00FC248E">
            <w:pPr>
              <w:spacing w:after="0" w:line="240" w:lineRule="auto"/>
              <w:rPr>
                <w:rFonts w:ascii="Calibri" w:eastAsia="Times New Roman" w:hAnsi="Calibri" w:cs="Times New Roman"/>
                <w:b/>
                <w:bCs/>
                <w:color w:val="000000"/>
              </w:rPr>
            </w:pPr>
          </w:p>
          <w:p w14:paraId="34A48586" w14:textId="77777777" w:rsidR="00FC248E" w:rsidRDefault="00FC248E" w:rsidP="002D6FE0">
            <w:pPr>
              <w:spacing w:after="0" w:line="240" w:lineRule="auto"/>
              <w:jc w:val="center"/>
              <w:rPr>
                <w:rFonts w:ascii="Calibri" w:eastAsia="Times New Roman" w:hAnsi="Calibri" w:cs="Times New Roman"/>
                <w:b/>
                <w:bCs/>
                <w:color w:val="000000"/>
              </w:rPr>
            </w:pPr>
          </w:p>
          <w:p w14:paraId="2A7F2E9F" w14:textId="77777777" w:rsidR="00AD579C" w:rsidRPr="004A2DF8" w:rsidRDefault="00AD579C" w:rsidP="002D6FE0">
            <w:pPr>
              <w:spacing w:after="0" w:line="240" w:lineRule="auto"/>
              <w:jc w:val="center"/>
              <w:rPr>
                <w:rFonts w:ascii="Calibri" w:eastAsia="Times New Roman" w:hAnsi="Calibri" w:cs="Times New Roman"/>
                <w:b/>
                <w:bCs/>
                <w:color w:val="000000"/>
              </w:rPr>
            </w:pPr>
            <w:r w:rsidRPr="004A2DF8">
              <w:rPr>
                <w:rFonts w:ascii="Calibri" w:eastAsia="Times New Roman" w:hAnsi="Calibri" w:cs="Times New Roman"/>
                <w:b/>
                <w:bCs/>
                <w:color w:val="000000"/>
              </w:rPr>
              <w:t>Table 4: Political Motivation &amp; Self-Efficacy</w:t>
            </w:r>
          </w:p>
        </w:tc>
      </w:tr>
      <w:tr w:rsidR="00AD579C" w:rsidRPr="004A2DF8" w14:paraId="003A352C" w14:textId="77777777" w:rsidTr="002D6FE0">
        <w:trPr>
          <w:trHeight w:val="300"/>
        </w:trPr>
        <w:tc>
          <w:tcPr>
            <w:tcW w:w="53" w:type="dxa"/>
            <w:tcBorders>
              <w:top w:val="nil"/>
              <w:left w:val="nil"/>
              <w:bottom w:val="nil"/>
              <w:right w:val="nil"/>
            </w:tcBorders>
            <w:shd w:val="clear" w:color="auto" w:fill="auto"/>
            <w:noWrap/>
            <w:vAlign w:val="bottom"/>
            <w:hideMark/>
          </w:tcPr>
          <w:p w14:paraId="7A584642"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278C41FF" w14:textId="77777777" w:rsidR="00AD579C" w:rsidRPr="004A2DF8" w:rsidRDefault="00AD579C"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4ACC9C64"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2698907B"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Strongly di</w:t>
            </w:r>
            <w:r>
              <w:rPr>
                <w:rFonts w:ascii="Calibri" w:eastAsia="Times New Roman" w:hAnsi="Calibri" w:cs="Times New Roman"/>
                <w:color w:val="000000"/>
              </w:rPr>
              <w:t>s</w:t>
            </w:r>
            <w:r w:rsidRPr="004A2DF8">
              <w:rPr>
                <w:rFonts w:ascii="Calibri" w:eastAsia="Times New Roman" w:hAnsi="Calibri" w:cs="Times New Roman"/>
                <w:color w:val="000000"/>
              </w:rPr>
              <w:t>agree/</w:t>
            </w:r>
          </w:p>
        </w:tc>
        <w:tc>
          <w:tcPr>
            <w:tcW w:w="52" w:type="dxa"/>
            <w:tcBorders>
              <w:top w:val="nil"/>
              <w:left w:val="nil"/>
              <w:bottom w:val="nil"/>
              <w:right w:val="nil"/>
            </w:tcBorders>
            <w:shd w:val="clear" w:color="auto" w:fill="auto"/>
            <w:noWrap/>
            <w:vAlign w:val="bottom"/>
            <w:hideMark/>
          </w:tcPr>
          <w:p w14:paraId="45EB8497"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774A80C0"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63518975" w14:textId="77777777" w:rsidTr="002D6FE0">
        <w:trPr>
          <w:trHeight w:val="300"/>
        </w:trPr>
        <w:tc>
          <w:tcPr>
            <w:tcW w:w="53" w:type="dxa"/>
            <w:tcBorders>
              <w:top w:val="nil"/>
              <w:left w:val="nil"/>
              <w:bottom w:val="nil"/>
              <w:right w:val="nil"/>
            </w:tcBorders>
            <w:shd w:val="clear" w:color="auto" w:fill="auto"/>
            <w:noWrap/>
            <w:vAlign w:val="bottom"/>
            <w:hideMark/>
          </w:tcPr>
          <w:p w14:paraId="5416905B"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00ACD5D2" w14:textId="77777777" w:rsidR="00AD579C" w:rsidRPr="004A2DF8" w:rsidRDefault="00AD579C"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0193843A" w14:textId="77777777" w:rsidR="00AD579C" w:rsidRPr="004A2DF8" w:rsidRDefault="00AD579C" w:rsidP="002D6FE0">
            <w:pPr>
              <w:spacing w:after="0" w:line="240" w:lineRule="auto"/>
              <w:rPr>
                <w:rFonts w:ascii="Calibri" w:eastAsia="Times New Roman" w:hAnsi="Calibri" w:cs="Times New Roman"/>
                <w:color w:val="000000"/>
              </w:rPr>
            </w:pPr>
          </w:p>
        </w:tc>
        <w:tc>
          <w:tcPr>
            <w:tcW w:w="2314" w:type="dxa"/>
            <w:gridSpan w:val="2"/>
            <w:tcBorders>
              <w:top w:val="nil"/>
              <w:left w:val="nil"/>
              <w:bottom w:val="nil"/>
              <w:right w:val="nil"/>
            </w:tcBorders>
            <w:shd w:val="clear" w:color="auto" w:fill="auto"/>
            <w:noWrap/>
            <w:vAlign w:val="bottom"/>
            <w:hideMark/>
          </w:tcPr>
          <w:p w14:paraId="13445B9F"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somewhat disagree/</w:t>
            </w:r>
          </w:p>
        </w:tc>
        <w:tc>
          <w:tcPr>
            <w:tcW w:w="2191" w:type="dxa"/>
            <w:tcBorders>
              <w:top w:val="nil"/>
              <w:left w:val="nil"/>
              <w:bottom w:val="nil"/>
              <w:right w:val="nil"/>
            </w:tcBorders>
            <w:shd w:val="clear" w:color="auto" w:fill="auto"/>
            <w:noWrap/>
            <w:vAlign w:val="bottom"/>
            <w:hideMark/>
          </w:tcPr>
          <w:p w14:paraId="407BAABA"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Strongly Agree/</w:t>
            </w:r>
          </w:p>
        </w:tc>
      </w:tr>
      <w:tr w:rsidR="00AD579C" w:rsidRPr="004A2DF8" w14:paraId="1000A512" w14:textId="77777777" w:rsidTr="002D6FE0">
        <w:trPr>
          <w:trHeight w:val="315"/>
        </w:trPr>
        <w:tc>
          <w:tcPr>
            <w:tcW w:w="53" w:type="dxa"/>
            <w:tcBorders>
              <w:top w:val="nil"/>
              <w:left w:val="nil"/>
              <w:bottom w:val="nil"/>
              <w:right w:val="nil"/>
            </w:tcBorders>
            <w:shd w:val="clear" w:color="auto" w:fill="auto"/>
            <w:noWrap/>
            <w:vAlign w:val="bottom"/>
            <w:hideMark/>
          </w:tcPr>
          <w:p w14:paraId="4A13349B"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5DD5F5C0" w14:textId="77777777" w:rsidR="00AD579C" w:rsidRPr="004A2DF8" w:rsidRDefault="00AD579C"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74419F9D"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double" w:sz="6" w:space="0" w:color="auto"/>
              <w:right w:val="nil"/>
            </w:tcBorders>
            <w:shd w:val="clear" w:color="auto" w:fill="auto"/>
            <w:noWrap/>
            <w:vAlign w:val="bottom"/>
            <w:hideMark/>
          </w:tcPr>
          <w:p w14:paraId="14953436"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neither</w:t>
            </w:r>
          </w:p>
        </w:tc>
        <w:tc>
          <w:tcPr>
            <w:tcW w:w="52" w:type="dxa"/>
            <w:tcBorders>
              <w:top w:val="nil"/>
              <w:left w:val="nil"/>
              <w:bottom w:val="nil"/>
              <w:right w:val="nil"/>
            </w:tcBorders>
            <w:shd w:val="clear" w:color="auto" w:fill="auto"/>
            <w:noWrap/>
            <w:vAlign w:val="bottom"/>
            <w:hideMark/>
          </w:tcPr>
          <w:p w14:paraId="3B00BDEE"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double" w:sz="6" w:space="0" w:color="auto"/>
              <w:right w:val="nil"/>
            </w:tcBorders>
            <w:shd w:val="clear" w:color="auto" w:fill="auto"/>
            <w:noWrap/>
            <w:vAlign w:val="bottom"/>
            <w:hideMark/>
          </w:tcPr>
          <w:p w14:paraId="268323C9"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somewhat agree</w:t>
            </w:r>
          </w:p>
        </w:tc>
      </w:tr>
      <w:tr w:rsidR="00AD579C" w:rsidRPr="004A2DF8" w14:paraId="3C66DE7D" w14:textId="77777777" w:rsidTr="002D6FE0">
        <w:trPr>
          <w:trHeight w:val="315"/>
        </w:trPr>
        <w:tc>
          <w:tcPr>
            <w:tcW w:w="3173" w:type="dxa"/>
            <w:gridSpan w:val="2"/>
            <w:tcBorders>
              <w:top w:val="nil"/>
              <w:left w:val="nil"/>
              <w:bottom w:val="nil"/>
              <w:right w:val="nil"/>
            </w:tcBorders>
            <w:shd w:val="clear" w:color="auto" w:fill="auto"/>
            <w:noWrap/>
            <w:vAlign w:val="bottom"/>
            <w:hideMark/>
          </w:tcPr>
          <w:p w14:paraId="03C96F38"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Motivated to participate</w:t>
            </w:r>
          </w:p>
        </w:tc>
        <w:tc>
          <w:tcPr>
            <w:tcW w:w="53" w:type="dxa"/>
            <w:tcBorders>
              <w:top w:val="nil"/>
              <w:left w:val="nil"/>
              <w:bottom w:val="nil"/>
              <w:right w:val="nil"/>
            </w:tcBorders>
            <w:shd w:val="clear" w:color="auto" w:fill="auto"/>
            <w:noWrap/>
            <w:vAlign w:val="bottom"/>
            <w:hideMark/>
          </w:tcPr>
          <w:p w14:paraId="61BC7C5A"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16FB6DB4"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46AC402C"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5926B126"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03FA1477" w14:textId="77777777" w:rsidTr="002D6FE0">
        <w:trPr>
          <w:trHeight w:val="300"/>
        </w:trPr>
        <w:tc>
          <w:tcPr>
            <w:tcW w:w="3226" w:type="dxa"/>
            <w:gridSpan w:val="3"/>
            <w:tcBorders>
              <w:top w:val="nil"/>
              <w:left w:val="nil"/>
              <w:bottom w:val="nil"/>
              <w:right w:val="nil"/>
            </w:tcBorders>
            <w:shd w:val="clear" w:color="auto" w:fill="auto"/>
            <w:noWrap/>
            <w:vAlign w:val="bottom"/>
            <w:hideMark/>
          </w:tcPr>
          <w:p w14:paraId="51723986"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in future discussions about politics*</w:t>
            </w:r>
          </w:p>
        </w:tc>
        <w:tc>
          <w:tcPr>
            <w:tcW w:w="2262" w:type="dxa"/>
            <w:tcBorders>
              <w:top w:val="nil"/>
              <w:left w:val="nil"/>
              <w:bottom w:val="nil"/>
              <w:right w:val="nil"/>
            </w:tcBorders>
            <w:shd w:val="clear" w:color="auto" w:fill="auto"/>
            <w:noWrap/>
            <w:vAlign w:val="bottom"/>
            <w:hideMark/>
          </w:tcPr>
          <w:p w14:paraId="2615BAE6"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2AAFCEA4"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35972F30"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7647154D" w14:textId="77777777" w:rsidTr="002D6FE0">
        <w:trPr>
          <w:trHeight w:val="300"/>
        </w:trPr>
        <w:tc>
          <w:tcPr>
            <w:tcW w:w="53" w:type="dxa"/>
            <w:tcBorders>
              <w:top w:val="nil"/>
              <w:left w:val="nil"/>
              <w:bottom w:val="nil"/>
              <w:right w:val="nil"/>
            </w:tcBorders>
            <w:shd w:val="clear" w:color="auto" w:fill="auto"/>
            <w:noWrap/>
            <w:vAlign w:val="bottom"/>
            <w:hideMark/>
          </w:tcPr>
          <w:p w14:paraId="2BEFCC68"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29818DF2" w14:textId="77777777" w:rsidR="00AD579C" w:rsidRPr="004A2DF8" w:rsidRDefault="00AD579C"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6A2F406C"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31C76253"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4913E3FE"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1B1E58F3"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049D77B4" w14:textId="77777777" w:rsidTr="002D6FE0">
        <w:trPr>
          <w:trHeight w:val="300"/>
        </w:trPr>
        <w:tc>
          <w:tcPr>
            <w:tcW w:w="53" w:type="dxa"/>
            <w:tcBorders>
              <w:top w:val="nil"/>
              <w:left w:val="nil"/>
              <w:bottom w:val="nil"/>
              <w:right w:val="nil"/>
            </w:tcBorders>
            <w:shd w:val="clear" w:color="auto" w:fill="auto"/>
            <w:noWrap/>
            <w:vAlign w:val="bottom"/>
            <w:hideMark/>
          </w:tcPr>
          <w:p w14:paraId="20091F90"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190CA311"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 xml:space="preserve">Most rigorous THM </w:t>
            </w:r>
          </w:p>
        </w:tc>
        <w:tc>
          <w:tcPr>
            <w:tcW w:w="53" w:type="dxa"/>
            <w:tcBorders>
              <w:top w:val="nil"/>
              <w:left w:val="nil"/>
              <w:bottom w:val="nil"/>
              <w:right w:val="nil"/>
            </w:tcBorders>
            <w:shd w:val="clear" w:color="auto" w:fill="auto"/>
            <w:noWrap/>
            <w:vAlign w:val="bottom"/>
            <w:hideMark/>
          </w:tcPr>
          <w:p w14:paraId="14D88F28"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52F8AC0D"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41.1%</w:t>
            </w:r>
          </w:p>
        </w:tc>
        <w:tc>
          <w:tcPr>
            <w:tcW w:w="52" w:type="dxa"/>
            <w:tcBorders>
              <w:top w:val="nil"/>
              <w:left w:val="nil"/>
              <w:bottom w:val="nil"/>
              <w:right w:val="nil"/>
            </w:tcBorders>
            <w:shd w:val="clear" w:color="auto" w:fill="auto"/>
            <w:noWrap/>
            <w:vAlign w:val="bottom"/>
            <w:hideMark/>
          </w:tcPr>
          <w:p w14:paraId="28ED433E"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3139772B"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58.9%</w:t>
            </w:r>
          </w:p>
        </w:tc>
      </w:tr>
      <w:tr w:rsidR="00AD579C" w:rsidRPr="004A2DF8" w14:paraId="354A8D3C" w14:textId="77777777" w:rsidTr="002D6FE0">
        <w:trPr>
          <w:trHeight w:val="300"/>
        </w:trPr>
        <w:tc>
          <w:tcPr>
            <w:tcW w:w="53" w:type="dxa"/>
            <w:tcBorders>
              <w:top w:val="nil"/>
              <w:left w:val="nil"/>
              <w:bottom w:val="nil"/>
              <w:right w:val="nil"/>
            </w:tcBorders>
            <w:shd w:val="clear" w:color="auto" w:fill="auto"/>
            <w:noWrap/>
            <w:vAlign w:val="bottom"/>
            <w:hideMark/>
          </w:tcPr>
          <w:p w14:paraId="2805E805"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05A2C111"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Mid-level rigor for THM</w:t>
            </w:r>
          </w:p>
        </w:tc>
        <w:tc>
          <w:tcPr>
            <w:tcW w:w="53" w:type="dxa"/>
            <w:tcBorders>
              <w:top w:val="nil"/>
              <w:left w:val="nil"/>
              <w:bottom w:val="nil"/>
              <w:right w:val="nil"/>
            </w:tcBorders>
            <w:shd w:val="clear" w:color="auto" w:fill="auto"/>
            <w:noWrap/>
            <w:vAlign w:val="bottom"/>
            <w:hideMark/>
          </w:tcPr>
          <w:p w14:paraId="4FD553F6"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4602D357"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65.4%</w:t>
            </w:r>
          </w:p>
        </w:tc>
        <w:tc>
          <w:tcPr>
            <w:tcW w:w="52" w:type="dxa"/>
            <w:tcBorders>
              <w:top w:val="nil"/>
              <w:left w:val="nil"/>
              <w:bottom w:val="nil"/>
              <w:right w:val="nil"/>
            </w:tcBorders>
            <w:shd w:val="clear" w:color="auto" w:fill="auto"/>
            <w:noWrap/>
            <w:vAlign w:val="bottom"/>
            <w:hideMark/>
          </w:tcPr>
          <w:p w14:paraId="75729BAD"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48CB2B57"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34.6%</w:t>
            </w:r>
          </w:p>
        </w:tc>
      </w:tr>
      <w:tr w:rsidR="00AD579C" w:rsidRPr="004A2DF8" w14:paraId="6B1F53AF" w14:textId="77777777" w:rsidTr="002D6FE0">
        <w:trPr>
          <w:trHeight w:val="300"/>
        </w:trPr>
        <w:tc>
          <w:tcPr>
            <w:tcW w:w="53" w:type="dxa"/>
            <w:tcBorders>
              <w:top w:val="nil"/>
              <w:left w:val="nil"/>
              <w:bottom w:val="nil"/>
              <w:right w:val="nil"/>
            </w:tcBorders>
            <w:shd w:val="clear" w:color="auto" w:fill="auto"/>
            <w:noWrap/>
            <w:vAlign w:val="bottom"/>
            <w:hideMark/>
          </w:tcPr>
          <w:p w14:paraId="08190E77"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444CB2A3"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Least rigorous THM</w:t>
            </w:r>
          </w:p>
        </w:tc>
        <w:tc>
          <w:tcPr>
            <w:tcW w:w="53" w:type="dxa"/>
            <w:tcBorders>
              <w:top w:val="nil"/>
              <w:left w:val="nil"/>
              <w:bottom w:val="nil"/>
              <w:right w:val="nil"/>
            </w:tcBorders>
            <w:shd w:val="clear" w:color="auto" w:fill="auto"/>
            <w:noWrap/>
            <w:vAlign w:val="bottom"/>
            <w:hideMark/>
          </w:tcPr>
          <w:p w14:paraId="4D6DF506"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0E5DD0E8"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63.2%</w:t>
            </w:r>
          </w:p>
        </w:tc>
        <w:tc>
          <w:tcPr>
            <w:tcW w:w="52" w:type="dxa"/>
            <w:tcBorders>
              <w:top w:val="nil"/>
              <w:left w:val="nil"/>
              <w:bottom w:val="nil"/>
              <w:right w:val="nil"/>
            </w:tcBorders>
            <w:shd w:val="clear" w:color="auto" w:fill="auto"/>
            <w:noWrap/>
            <w:vAlign w:val="bottom"/>
            <w:hideMark/>
          </w:tcPr>
          <w:p w14:paraId="40241312"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42FC7B9F"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36.8%</w:t>
            </w:r>
          </w:p>
        </w:tc>
      </w:tr>
      <w:tr w:rsidR="00AD579C" w:rsidRPr="004A2DF8" w14:paraId="1A7996FD" w14:textId="77777777" w:rsidTr="002D6FE0">
        <w:trPr>
          <w:trHeight w:val="300"/>
        </w:trPr>
        <w:tc>
          <w:tcPr>
            <w:tcW w:w="53" w:type="dxa"/>
            <w:tcBorders>
              <w:top w:val="nil"/>
              <w:left w:val="nil"/>
              <w:bottom w:val="nil"/>
              <w:right w:val="nil"/>
            </w:tcBorders>
            <w:shd w:val="clear" w:color="auto" w:fill="auto"/>
            <w:noWrap/>
            <w:vAlign w:val="bottom"/>
            <w:hideMark/>
          </w:tcPr>
          <w:p w14:paraId="2BDA4102"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6EFCBADF"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no-</w:t>
            </w:r>
            <w:proofErr w:type="spellStart"/>
            <w:r w:rsidRPr="004A2DF8">
              <w:rPr>
                <w:rFonts w:ascii="Calibri" w:eastAsia="Times New Roman" w:hAnsi="Calibri" w:cs="Times New Roman"/>
                <w:color w:val="000000"/>
              </w:rPr>
              <w:t>thm</w:t>
            </w:r>
            <w:proofErr w:type="spellEnd"/>
            <w:r w:rsidRPr="004A2DF8">
              <w:rPr>
                <w:rFonts w:ascii="Calibri" w:eastAsia="Times New Roman" w:hAnsi="Calibri" w:cs="Times New Roman"/>
                <w:color w:val="000000"/>
              </w:rPr>
              <w:t xml:space="preserve"> section 1</w:t>
            </w:r>
          </w:p>
        </w:tc>
        <w:tc>
          <w:tcPr>
            <w:tcW w:w="53" w:type="dxa"/>
            <w:tcBorders>
              <w:top w:val="nil"/>
              <w:left w:val="nil"/>
              <w:bottom w:val="nil"/>
              <w:right w:val="nil"/>
            </w:tcBorders>
            <w:shd w:val="clear" w:color="auto" w:fill="auto"/>
            <w:noWrap/>
            <w:vAlign w:val="bottom"/>
            <w:hideMark/>
          </w:tcPr>
          <w:p w14:paraId="7099F259"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5CF32B67"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67.9%</w:t>
            </w:r>
          </w:p>
        </w:tc>
        <w:tc>
          <w:tcPr>
            <w:tcW w:w="52" w:type="dxa"/>
            <w:tcBorders>
              <w:top w:val="nil"/>
              <w:left w:val="nil"/>
              <w:bottom w:val="nil"/>
              <w:right w:val="nil"/>
            </w:tcBorders>
            <w:shd w:val="clear" w:color="auto" w:fill="auto"/>
            <w:noWrap/>
            <w:vAlign w:val="bottom"/>
            <w:hideMark/>
          </w:tcPr>
          <w:p w14:paraId="77D4FDFC"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41209825"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32.1%</w:t>
            </w:r>
          </w:p>
        </w:tc>
      </w:tr>
      <w:tr w:rsidR="00AD579C" w:rsidRPr="004A2DF8" w14:paraId="184E8EC6" w14:textId="77777777" w:rsidTr="002D6FE0">
        <w:trPr>
          <w:trHeight w:val="300"/>
        </w:trPr>
        <w:tc>
          <w:tcPr>
            <w:tcW w:w="53" w:type="dxa"/>
            <w:tcBorders>
              <w:top w:val="nil"/>
              <w:left w:val="nil"/>
              <w:bottom w:val="nil"/>
              <w:right w:val="nil"/>
            </w:tcBorders>
            <w:shd w:val="clear" w:color="auto" w:fill="auto"/>
            <w:noWrap/>
            <w:vAlign w:val="bottom"/>
            <w:hideMark/>
          </w:tcPr>
          <w:p w14:paraId="45A22FB1"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7A0C7396"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no-</w:t>
            </w:r>
            <w:proofErr w:type="spellStart"/>
            <w:r w:rsidRPr="004A2DF8">
              <w:rPr>
                <w:rFonts w:ascii="Calibri" w:eastAsia="Times New Roman" w:hAnsi="Calibri" w:cs="Times New Roman"/>
                <w:color w:val="000000"/>
              </w:rPr>
              <w:t>thm</w:t>
            </w:r>
            <w:proofErr w:type="spellEnd"/>
            <w:r w:rsidRPr="004A2DF8">
              <w:rPr>
                <w:rFonts w:ascii="Calibri" w:eastAsia="Times New Roman" w:hAnsi="Calibri" w:cs="Times New Roman"/>
                <w:color w:val="000000"/>
              </w:rPr>
              <w:t xml:space="preserve"> section 2</w:t>
            </w:r>
          </w:p>
        </w:tc>
        <w:tc>
          <w:tcPr>
            <w:tcW w:w="53" w:type="dxa"/>
            <w:tcBorders>
              <w:top w:val="nil"/>
              <w:left w:val="nil"/>
              <w:bottom w:val="nil"/>
              <w:right w:val="nil"/>
            </w:tcBorders>
            <w:shd w:val="clear" w:color="auto" w:fill="auto"/>
            <w:noWrap/>
            <w:vAlign w:val="bottom"/>
            <w:hideMark/>
          </w:tcPr>
          <w:p w14:paraId="4ABB3CF9"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0C1F037D"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57.9%</w:t>
            </w:r>
          </w:p>
        </w:tc>
        <w:tc>
          <w:tcPr>
            <w:tcW w:w="52" w:type="dxa"/>
            <w:tcBorders>
              <w:top w:val="nil"/>
              <w:left w:val="nil"/>
              <w:bottom w:val="nil"/>
              <w:right w:val="nil"/>
            </w:tcBorders>
            <w:shd w:val="clear" w:color="auto" w:fill="auto"/>
            <w:noWrap/>
            <w:vAlign w:val="bottom"/>
            <w:hideMark/>
          </w:tcPr>
          <w:p w14:paraId="1CD57C86"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4516D74D"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42.1%</w:t>
            </w:r>
          </w:p>
        </w:tc>
      </w:tr>
      <w:tr w:rsidR="00AD579C" w:rsidRPr="004A2DF8" w14:paraId="3D8DA517" w14:textId="77777777" w:rsidTr="002D6FE0">
        <w:trPr>
          <w:trHeight w:val="300"/>
        </w:trPr>
        <w:tc>
          <w:tcPr>
            <w:tcW w:w="53" w:type="dxa"/>
            <w:tcBorders>
              <w:top w:val="nil"/>
              <w:left w:val="nil"/>
              <w:bottom w:val="nil"/>
              <w:right w:val="nil"/>
            </w:tcBorders>
            <w:shd w:val="clear" w:color="auto" w:fill="auto"/>
            <w:noWrap/>
            <w:vAlign w:val="bottom"/>
            <w:hideMark/>
          </w:tcPr>
          <w:p w14:paraId="18C807B1"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4CDBC8E6" w14:textId="77777777" w:rsidR="00AD579C" w:rsidRPr="004A2DF8" w:rsidRDefault="00AD579C"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26B6F0DB"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5342B81B"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419DC6A4"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5CDA4B75"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0F092F27" w14:textId="77777777" w:rsidTr="002D6FE0">
        <w:trPr>
          <w:trHeight w:val="315"/>
        </w:trPr>
        <w:tc>
          <w:tcPr>
            <w:tcW w:w="53" w:type="dxa"/>
            <w:tcBorders>
              <w:top w:val="nil"/>
              <w:left w:val="nil"/>
              <w:bottom w:val="nil"/>
              <w:right w:val="nil"/>
            </w:tcBorders>
            <w:shd w:val="clear" w:color="auto" w:fill="auto"/>
            <w:noWrap/>
            <w:vAlign w:val="bottom"/>
            <w:hideMark/>
          </w:tcPr>
          <w:p w14:paraId="7E03382C"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5C8EE180" w14:textId="77777777" w:rsidR="00AD579C" w:rsidRPr="004A2DF8" w:rsidRDefault="00AD579C"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706DCC88"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double" w:sz="6" w:space="0" w:color="auto"/>
              <w:right w:val="nil"/>
            </w:tcBorders>
            <w:shd w:val="clear" w:color="auto" w:fill="auto"/>
            <w:noWrap/>
            <w:vAlign w:val="bottom"/>
            <w:hideMark/>
          </w:tcPr>
          <w:p w14:paraId="3F4C5FDD"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Not a big impact</w:t>
            </w:r>
          </w:p>
        </w:tc>
        <w:tc>
          <w:tcPr>
            <w:tcW w:w="52" w:type="dxa"/>
            <w:tcBorders>
              <w:top w:val="nil"/>
              <w:left w:val="nil"/>
              <w:bottom w:val="nil"/>
              <w:right w:val="nil"/>
            </w:tcBorders>
            <w:shd w:val="clear" w:color="auto" w:fill="auto"/>
            <w:noWrap/>
            <w:vAlign w:val="bottom"/>
            <w:hideMark/>
          </w:tcPr>
          <w:p w14:paraId="70066EAF"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double" w:sz="6" w:space="0" w:color="auto"/>
              <w:right w:val="nil"/>
            </w:tcBorders>
            <w:shd w:val="clear" w:color="auto" w:fill="auto"/>
            <w:noWrap/>
            <w:vAlign w:val="bottom"/>
            <w:hideMark/>
          </w:tcPr>
          <w:p w14:paraId="41D121C4"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A big impact</w:t>
            </w:r>
          </w:p>
        </w:tc>
      </w:tr>
      <w:tr w:rsidR="00AD579C" w:rsidRPr="004A2DF8" w14:paraId="3F308150" w14:textId="77777777" w:rsidTr="002D6FE0">
        <w:trPr>
          <w:trHeight w:val="315"/>
        </w:trPr>
        <w:tc>
          <w:tcPr>
            <w:tcW w:w="3173" w:type="dxa"/>
            <w:gridSpan w:val="2"/>
            <w:tcBorders>
              <w:top w:val="nil"/>
              <w:left w:val="nil"/>
              <w:bottom w:val="nil"/>
              <w:right w:val="nil"/>
            </w:tcBorders>
            <w:shd w:val="clear" w:color="auto" w:fill="auto"/>
            <w:noWrap/>
            <w:vAlign w:val="bottom"/>
            <w:hideMark/>
          </w:tcPr>
          <w:p w14:paraId="6E62A190"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How much impact do you</w:t>
            </w:r>
          </w:p>
        </w:tc>
        <w:tc>
          <w:tcPr>
            <w:tcW w:w="53" w:type="dxa"/>
            <w:tcBorders>
              <w:top w:val="nil"/>
              <w:left w:val="nil"/>
              <w:bottom w:val="nil"/>
              <w:right w:val="nil"/>
            </w:tcBorders>
            <w:shd w:val="clear" w:color="auto" w:fill="auto"/>
            <w:noWrap/>
            <w:vAlign w:val="bottom"/>
            <w:hideMark/>
          </w:tcPr>
          <w:p w14:paraId="58DD0C91"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33380F3D"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08AD549B"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7C936FAF"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71EEA01F" w14:textId="77777777" w:rsidTr="002D6FE0">
        <w:trPr>
          <w:trHeight w:val="300"/>
        </w:trPr>
        <w:tc>
          <w:tcPr>
            <w:tcW w:w="3173" w:type="dxa"/>
            <w:gridSpan w:val="2"/>
            <w:tcBorders>
              <w:top w:val="nil"/>
              <w:left w:val="nil"/>
              <w:bottom w:val="nil"/>
              <w:right w:val="nil"/>
            </w:tcBorders>
            <w:shd w:val="clear" w:color="auto" w:fill="auto"/>
            <w:noWrap/>
            <w:vAlign w:val="bottom"/>
            <w:hideMark/>
          </w:tcPr>
          <w:p w14:paraId="42DDB3C0" w14:textId="77777777" w:rsidR="00AD579C" w:rsidRPr="004A2DF8" w:rsidRDefault="00AD579C" w:rsidP="002D6FE0">
            <w:pPr>
              <w:spacing w:after="0" w:line="240" w:lineRule="auto"/>
              <w:rPr>
                <w:rFonts w:ascii="Calibri" w:eastAsia="Times New Roman" w:hAnsi="Calibri" w:cs="Times New Roman"/>
                <w:color w:val="000000"/>
              </w:rPr>
            </w:pPr>
            <w:proofErr w:type="gramStart"/>
            <w:r w:rsidRPr="004A2DF8">
              <w:rPr>
                <w:rFonts w:ascii="Calibri" w:eastAsia="Times New Roman" w:hAnsi="Calibri" w:cs="Times New Roman"/>
                <w:color w:val="000000"/>
              </w:rPr>
              <w:t>have</w:t>
            </w:r>
            <w:proofErr w:type="gramEnd"/>
            <w:r w:rsidRPr="004A2DF8">
              <w:rPr>
                <w:rFonts w:ascii="Calibri" w:eastAsia="Times New Roman" w:hAnsi="Calibri" w:cs="Times New Roman"/>
                <w:color w:val="000000"/>
              </w:rPr>
              <w:t xml:space="preserve"> on your community?*</w:t>
            </w:r>
          </w:p>
        </w:tc>
        <w:tc>
          <w:tcPr>
            <w:tcW w:w="53" w:type="dxa"/>
            <w:tcBorders>
              <w:top w:val="nil"/>
              <w:left w:val="nil"/>
              <w:bottom w:val="nil"/>
              <w:right w:val="nil"/>
            </w:tcBorders>
            <w:shd w:val="clear" w:color="auto" w:fill="auto"/>
            <w:noWrap/>
            <w:vAlign w:val="bottom"/>
            <w:hideMark/>
          </w:tcPr>
          <w:p w14:paraId="4E45B6D9"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63848476"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6DDA96B4"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75D4708C"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65D88A01" w14:textId="77777777" w:rsidTr="002D6FE0">
        <w:trPr>
          <w:trHeight w:val="300"/>
        </w:trPr>
        <w:tc>
          <w:tcPr>
            <w:tcW w:w="53" w:type="dxa"/>
            <w:tcBorders>
              <w:top w:val="nil"/>
              <w:left w:val="nil"/>
              <w:bottom w:val="nil"/>
              <w:right w:val="nil"/>
            </w:tcBorders>
            <w:shd w:val="clear" w:color="auto" w:fill="auto"/>
            <w:noWrap/>
            <w:vAlign w:val="bottom"/>
            <w:hideMark/>
          </w:tcPr>
          <w:p w14:paraId="6A81A970"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0B4E2859" w14:textId="77777777" w:rsidR="00AD579C" w:rsidRPr="004A2DF8" w:rsidRDefault="00AD579C"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506E9F12"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3ED94CFB"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316B120D"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73A04088"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7C4ACC6C" w14:textId="77777777" w:rsidTr="002D6FE0">
        <w:trPr>
          <w:trHeight w:val="300"/>
        </w:trPr>
        <w:tc>
          <w:tcPr>
            <w:tcW w:w="53" w:type="dxa"/>
            <w:tcBorders>
              <w:top w:val="nil"/>
              <w:left w:val="nil"/>
              <w:bottom w:val="nil"/>
              <w:right w:val="nil"/>
            </w:tcBorders>
            <w:shd w:val="clear" w:color="auto" w:fill="auto"/>
            <w:noWrap/>
            <w:vAlign w:val="bottom"/>
            <w:hideMark/>
          </w:tcPr>
          <w:p w14:paraId="3F333815"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2AFB50CD"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Town Hall</w:t>
            </w:r>
          </w:p>
        </w:tc>
        <w:tc>
          <w:tcPr>
            <w:tcW w:w="53" w:type="dxa"/>
            <w:tcBorders>
              <w:top w:val="nil"/>
              <w:left w:val="nil"/>
              <w:bottom w:val="nil"/>
              <w:right w:val="nil"/>
            </w:tcBorders>
            <w:shd w:val="clear" w:color="auto" w:fill="auto"/>
            <w:noWrap/>
            <w:vAlign w:val="bottom"/>
            <w:hideMark/>
          </w:tcPr>
          <w:p w14:paraId="065793C8"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68CD01D2"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66.6%</w:t>
            </w:r>
          </w:p>
        </w:tc>
        <w:tc>
          <w:tcPr>
            <w:tcW w:w="52" w:type="dxa"/>
            <w:tcBorders>
              <w:top w:val="nil"/>
              <w:left w:val="nil"/>
              <w:bottom w:val="nil"/>
              <w:right w:val="nil"/>
            </w:tcBorders>
            <w:shd w:val="clear" w:color="auto" w:fill="auto"/>
            <w:noWrap/>
            <w:vAlign w:val="bottom"/>
            <w:hideMark/>
          </w:tcPr>
          <w:p w14:paraId="1BCBCEE6"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74CD1FD3"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33.4%</w:t>
            </w:r>
          </w:p>
        </w:tc>
      </w:tr>
      <w:tr w:rsidR="00AD579C" w:rsidRPr="004A2DF8" w14:paraId="7E88662F" w14:textId="77777777" w:rsidTr="002D6FE0">
        <w:trPr>
          <w:trHeight w:val="300"/>
        </w:trPr>
        <w:tc>
          <w:tcPr>
            <w:tcW w:w="53" w:type="dxa"/>
            <w:tcBorders>
              <w:top w:val="nil"/>
              <w:left w:val="nil"/>
              <w:bottom w:val="nil"/>
              <w:right w:val="nil"/>
            </w:tcBorders>
            <w:shd w:val="clear" w:color="auto" w:fill="auto"/>
            <w:noWrap/>
            <w:vAlign w:val="bottom"/>
            <w:hideMark/>
          </w:tcPr>
          <w:p w14:paraId="5C91454B"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4C1C240A" w14:textId="77777777" w:rsidR="00AD579C" w:rsidRPr="004A2DF8"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Non-Town Hall</w:t>
            </w:r>
          </w:p>
        </w:tc>
        <w:tc>
          <w:tcPr>
            <w:tcW w:w="53" w:type="dxa"/>
            <w:tcBorders>
              <w:top w:val="nil"/>
              <w:left w:val="nil"/>
              <w:bottom w:val="nil"/>
              <w:right w:val="nil"/>
            </w:tcBorders>
            <w:shd w:val="clear" w:color="auto" w:fill="auto"/>
            <w:noWrap/>
            <w:vAlign w:val="bottom"/>
            <w:hideMark/>
          </w:tcPr>
          <w:p w14:paraId="6E9F6CA5"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7517EE0C"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79.8%</w:t>
            </w:r>
          </w:p>
        </w:tc>
        <w:tc>
          <w:tcPr>
            <w:tcW w:w="52" w:type="dxa"/>
            <w:tcBorders>
              <w:top w:val="nil"/>
              <w:left w:val="nil"/>
              <w:bottom w:val="nil"/>
              <w:right w:val="nil"/>
            </w:tcBorders>
            <w:shd w:val="clear" w:color="auto" w:fill="auto"/>
            <w:noWrap/>
            <w:vAlign w:val="bottom"/>
            <w:hideMark/>
          </w:tcPr>
          <w:p w14:paraId="32144928"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4F4754AE" w14:textId="77777777" w:rsidR="00AD579C" w:rsidRPr="004A2DF8" w:rsidRDefault="00AD579C" w:rsidP="002D6FE0">
            <w:pPr>
              <w:spacing w:after="0" w:line="240" w:lineRule="auto"/>
              <w:jc w:val="center"/>
              <w:rPr>
                <w:rFonts w:ascii="Calibri" w:eastAsia="Times New Roman" w:hAnsi="Calibri" w:cs="Times New Roman"/>
                <w:color w:val="000000"/>
              </w:rPr>
            </w:pPr>
            <w:r w:rsidRPr="004A2DF8">
              <w:rPr>
                <w:rFonts w:ascii="Calibri" w:eastAsia="Times New Roman" w:hAnsi="Calibri" w:cs="Times New Roman"/>
                <w:color w:val="000000"/>
              </w:rPr>
              <w:t>20.2%</w:t>
            </w:r>
          </w:p>
        </w:tc>
      </w:tr>
      <w:tr w:rsidR="00AD579C" w:rsidRPr="004A2DF8" w14:paraId="3609C788" w14:textId="77777777" w:rsidTr="002D6FE0">
        <w:trPr>
          <w:trHeight w:val="300"/>
        </w:trPr>
        <w:tc>
          <w:tcPr>
            <w:tcW w:w="53" w:type="dxa"/>
            <w:tcBorders>
              <w:top w:val="nil"/>
              <w:left w:val="nil"/>
              <w:bottom w:val="nil"/>
              <w:right w:val="nil"/>
            </w:tcBorders>
            <w:shd w:val="clear" w:color="auto" w:fill="auto"/>
            <w:noWrap/>
            <w:vAlign w:val="bottom"/>
            <w:hideMark/>
          </w:tcPr>
          <w:p w14:paraId="51C50425" w14:textId="77777777" w:rsidR="00AD579C" w:rsidRPr="004A2DF8" w:rsidRDefault="00AD579C" w:rsidP="002D6FE0">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14:paraId="0E3CEF03" w14:textId="77777777" w:rsidR="00AD579C" w:rsidRPr="004A2DF8" w:rsidRDefault="00AD579C"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52AA0B53"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608142B2"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59E894CF"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4AA1A37D" w14:textId="77777777" w:rsidR="00AD579C" w:rsidRPr="004A2DF8" w:rsidRDefault="00AD579C" w:rsidP="002D6FE0">
            <w:pPr>
              <w:spacing w:after="0" w:line="240" w:lineRule="auto"/>
              <w:rPr>
                <w:rFonts w:ascii="Calibri" w:eastAsia="Times New Roman" w:hAnsi="Calibri" w:cs="Times New Roman"/>
                <w:color w:val="000000"/>
              </w:rPr>
            </w:pPr>
          </w:p>
        </w:tc>
      </w:tr>
      <w:tr w:rsidR="00AD579C" w:rsidRPr="004A2DF8" w14:paraId="2A271AA8" w14:textId="77777777" w:rsidTr="002D6FE0">
        <w:trPr>
          <w:trHeight w:val="300"/>
        </w:trPr>
        <w:tc>
          <w:tcPr>
            <w:tcW w:w="3173" w:type="dxa"/>
            <w:gridSpan w:val="2"/>
            <w:tcBorders>
              <w:top w:val="nil"/>
              <w:left w:val="nil"/>
              <w:bottom w:val="nil"/>
              <w:right w:val="nil"/>
            </w:tcBorders>
            <w:shd w:val="clear" w:color="auto" w:fill="auto"/>
            <w:noWrap/>
            <w:vAlign w:val="bottom"/>
            <w:hideMark/>
          </w:tcPr>
          <w:p w14:paraId="20E2E269" w14:textId="77777777" w:rsidR="00AD579C" w:rsidRDefault="00AD579C" w:rsidP="002D6FE0">
            <w:pPr>
              <w:spacing w:after="0" w:line="240" w:lineRule="auto"/>
              <w:rPr>
                <w:rFonts w:ascii="Calibri" w:eastAsia="Times New Roman" w:hAnsi="Calibri" w:cs="Times New Roman"/>
                <w:color w:val="000000"/>
              </w:rPr>
            </w:pPr>
            <w:r w:rsidRPr="004A2DF8">
              <w:rPr>
                <w:rFonts w:ascii="Calibri" w:eastAsia="Times New Roman" w:hAnsi="Calibri" w:cs="Times New Roman"/>
                <w:color w:val="000000"/>
              </w:rPr>
              <w:t>*p=.001</w:t>
            </w:r>
          </w:p>
          <w:p w14:paraId="30386D12" w14:textId="77777777" w:rsidR="00471F32" w:rsidRPr="004A2DF8" w:rsidRDefault="00471F32" w:rsidP="002D6FE0">
            <w:pPr>
              <w:spacing w:after="0" w:line="240" w:lineRule="auto"/>
              <w:rPr>
                <w:rFonts w:ascii="Calibri" w:eastAsia="Times New Roman" w:hAnsi="Calibri" w:cs="Times New Roman"/>
                <w:color w:val="000000"/>
              </w:rPr>
            </w:pPr>
          </w:p>
        </w:tc>
        <w:tc>
          <w:tcPr>
            <w:tcW w:w="53" w:type="dxa"/>
            <w:tcBorders>
              <w:top w:val="nil"/>
              <w:left w:val="nil"/>
              <w:bottom w:val="nil"/>
              <w:right w:val="nil"/>
            </w:tcBorders>
            <w:shd w:val="clear" w:color="auto" w:fill="auto"/>
            <w:noWrap/>
            <w:vAlign w:val="bottom"/>
            <w:hideMark/>
          </w:tcPr>
          <w:p w14:paraId="7FBD1C02" w14:textId="77777777" w:rsidR="00AD579C" w:rsidRPr="004A2DF8" w:rsidRDefault="00AD579C" w:rsidP="002D6FE0">
            <w:pPr>
              <w:spacing w:after="0" w:line="240" w:lineRule="auto"/>
              <w:rPr>
                <w:rFonts w:ascii="Calibri" w:eastAsia="Times New Roman" w:hAnsi="Calibri" w:cs="Times New Roman"/>
                <w:color w:val="000000"/>
              </w:rPr>
            </w:pPr>
          </w:p>
        </w:tc>
        <w:tc>
          <w:tcPr>
            <w:tcW w:w="2262" w:type="dxa"/>
            <w:tcBorders>
              <w:top w:val="nil"/>
              <w:left w:val="nil"/>
              <w:bottom w:val="nil"/>
              <w:right w:val="nil"/>
            </w:tcBorders>
            <w:shd w:val="clear" w:color="auto" w:fill="auto"/>
            <w:noWrap/>
            <w:vAlign w:val="bottom"/>
            <w:hideMark/>
          </w:tcPr>
          <w:p w14:paraId="14E87C14" w14:textId="77777777" w:rsidR="00AD579C" w:rsidRPr="004A2DF8" w:rsidRDefault="00AD579C" w:rsidP="002D6FE0">
            <w:pPr>
              <w:spacing w:after="0" w:line="240" w:lineRule="auto"/>
              <w:rPr>
                <w:rFonts w:ascii="Calibri" w:eastAsia="Times New Roman" w:hAnsi="Calibri" w:cs="Times New Roman"/>
                <w:color w:val="000000"/>
              </w:rPr>
            </w:pPr>
          </w:p>
        </w:tc>
        <w:tc>
          <w:tcPr>
            <w:tcW w:w="52" w:type="dxa"/>
            <w:tcBorders>
              <w:top w:val="nil"/>
              <w:left w:val="nil"/>
              <w:bottom w:val="nil"/>
              <w:right w:val="nil"/>
            </w:tcBorders>
            <w:shd w:val="clear" w:color="auto" w:fill="auto"/>
            <w:noWrap/>
            <w:vAlign w:val="bottom"/>
            <w:hideMark/>
          </w:tcPr>
          <w:p w14:paraId="35ECCEC7" w14:textId="77777777" w:rsidR="00AD579C" w:rsidRPr="004A2DF8" w:rsidRDefault="00AD579C" w:rsidP="002D6FE0">
            <w:pPr>
              <w:spacing w:after="0" w:line="240" w:lineRule="auto"/>
              <w:rPr>
                <w:rFonts w:ascii="Calibri" w:eastAsia="Times New Roman" w:hAnsi="Calibri" w:cs="Times New Roman"/>
                <w:color w:val="000000"/>
              </w:rPr>
            </w:pPr>
          </w:p>
        </w:tc>
        <w:tc>
          <w:tcPr>
            <w:tcW w:w="2191" w:type="dxa"/>
            <w:tcBorders>
              <w:top w:val="nil"/>
              <w:left w:val="nil"/>
              <w:bottom w:val="nil"/>
              <w:right w:val="nil"/>
            </w:tcBorders>
            <w:shd w:val="clear" w:color="auto" w:fill="auto"/>
            <w:noWrap/>
            <w:vAlign w:val="bottom"/>
            <w:hideMark/>
          </w:tcPr>
          <w:p w14:paraId="58C57505" w14:textId="77777777" w:rsidR="00AD579C" w:rsidRPr="004A2DF8" w:rsidRDefault="00AD579C" w:rsidP="002D6FE0">
            <w:pPr>
              <w:spacing w:after="0" w:line="240" w:lineRule="auto"/>
              <w:rPr>
                <w:rFonts w:ascii="Calibri" w:eastAsia="Times New Roman" w:hAnsi="Calibri" w:cs="Times New Roman"/>
                <w:color w:val="000000"/>
              </w:rPr>
            </w:pPr>
          </w:p>
        </w:tc>
      </w:tr>
    </w:tbl>
    <w:p w14:paraId="136D73FC" w14:textId="3B14A6C5" w:rsidR="00FC248E" w:rsidRDefault="002D6FE0" w:rsidP="001F261B">
      <w:pPr>
        <w:spacing w:after="100" w:afterAutospacing="1"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Finally, the survey asked students to reflect on the importance of public affairs to them and upon the likelihood that they would engage in political action in the future.  </w:t>
      </w:r>
      <w:r w:rsidR="00FC248E">
        <w:rPr>
          <w:rFonts w:ascii="Times New Roman" w:hAnsi="Times New Roman" w:cs="Times New Roman"/>
          <w:bCs/>
          <w:color w:val="000000"/>
          <w:sz w:val="24"/>
          <w:szCs w:val="24"/>
        </w:rPr>
        <w:t>Here again the differences between the THM and non-THM students were significant, but less pronounced than with academic engagement.  The most-rigorous THM had 72.1</w:t>
      </w:r>
      <w:proofErr w:type="gramStart"/>
      <w:r w:rsidR="00FC248E">
        <w:rPr>
          <w:rFonts w:ascii="Times New Roman" w:hAnsi="Times New Roman" w:cs="Times New Roman"/>
          <w:bCs/>
          <w:color w:val="000000"/>
          <w:sz w:val="24"/>
          <w:szCs w:val="24"/>
        </w:rPr>
        <w:t>%  responding</w:t>
      </w:r>
      <w:proofErr w:type="gramEnd"/>
      <w:r w:rsidR="00FC248E">
        <w:rPr>
          <w:rFonts w:ascii="Times New Roman" w:hAnsi="Times New Roman" w:cs="Times New Roman"/>
          <w:bCs/>
          <w:color w:val="000000"/>
          <w:sz w:val="24"/>
          <w:szCs w:val="24"/>
        </w:rPr>
        <w:t xml:space="preserve"> that it was essential or very important </w:t>
      </w:r>
      <w:proofErr w:type="spellStart"/>
      <w:r w:rsidR="00FC248E">
        <w:rPr>
          <w:rFonts w:ascii="Times New Roman" w:hAnsi="Times New Roman" w:cs="Times New Roman"/>
          <w:bCs/>
          <w:color w:val="000000"/>
          <w:sz w:val="24"/>
          <w:szCs w:val="24"/>
        </w:rPr>
        <w:t>tokeep</w:t>
      </w:r>
      <w:proofErr w:type="spellEnd"/>
      <w:r w:rsidR="00FC248E">
        <w:rPr>
          <w:rFonts w:ascii="Times New Roman" w:hAnsi="Times New Roman" w:cs="Times New Roman"/>
          <w:bCs/>
          <w:color w:val="000000"/>
          <w:sz w:val="24"/>
          <w:szCs w:val="24"/>
        </w:rPr>
        <w:t xml:space="preserve"> up to date with political affairs, compared to 61.5% or 55.9% of the two non-THM sections.  Likewise about half of the most rigorous THM students (49.5%) thought it was extremely likely or likely that they would sign an email or written petition, and </w:t>
      </w:r>
      <w:r w:rsidR="00FC248E">
        <w:rPr>
          <w:rFonts w:ascii="Times New Roman" w:hAnsi="Times New Roman" w:cs="Times New Roman"/>
          <w:bCs/>
          <w:color w:val="000000"/>
          <w:sz w:val="24"/>
          <w:szCs w:val="24"/>
        </w:rPr>
        <w:lastRenderedPageBreak/>
        <w:t>66% said the same for voting in an election.  This compares to 25% or 31% of the non-THM students for signing a petition and 58% or 63% for voting.</w:t>
      </w:r>
    </w:p>
    <w:tbl>
      <w:tblPr>
        <w:tblW w:w="9483" w:type="dxa"/>
        <w:tblInd w:w="93" w:type="dxa"/>
        <w:tblLook w:val="04A0" w:firstRow="1" w:lastRow="0" w:firstColumn="1" w:lastColumn="0" w:noHBand="0" w:noVBand="1"/>
      </w:tblPr>
      <w:tblGrid>
        <w:gridCol w:w="1961"/>
        <w:gridCol w:w="222"/>
        <w:gridCol w:w="222"/>
        <w:gridCol w:w="2739"/>
        <w:gridCol w:w="222"/>
        <w:gridCol w:w="222"/>
        <w:gridCol w:w="3895"/>
      </w:tblGrid>
      <w:tr w:rsidR="001F3FF5" w:rsidRPr="00B739C6" w14:paraId="02994494" w14:textId="77777777" w:rsidTr="00C94616">
        <w:trPr>
          <w:trHeight w:val="315"/>
        </w:trPr>
        <w:tc>
          <w:tcPr>
            <w:tcW w:w="9483" w:type="dxa"/>
            <w:gridSpan w:val="7"/>
            <w:tcBorders>
              <w:top w:val="nil"/>
              <w:left w:val="nil"/>
              <w:bottom w:val="single" w:sz="8" w:space="0" w:color="auto"/>
              <w:right w:val="nil"/>
            </w:tcBorders>
            <w:shd w:val="clear" w:color="auto" w:fill="auto"/>
            <w:noWrap/>
            <w:vAlign w:val="bottom"/>
            <w:hideMark/>
          </w:tcPr>
          <w:p w14:paraId="6367078B" w14:textId="77777777" w:rsidR="001F3FF5" w:rsidRPr="00B739C6" w:rsidRDefault="001F3FF5" w:rsidP="00C94616">
            <w:pPr>
              <w:spacing w:after="0" w:line="240" w:lineRule="auto"/>
              <w:jc w:val="center"/>
              <w:rPr>
                <w:rFonts w:ascii="Calibri" w:eastAsia="Times New Roman" w:hAnsi="Calibri" w:cs="Times New Roman"/>
                <w:b/>
                <w:bCs/>
                <w:color w:val="000000"/>
              </w:rPr>
            </w:pPr>
            <w:r w:rsidRPr="00B739C6">
              <w:rPr>
                <w:rFonts w:ascii="Calibri" w:eastAsia="Times New Roman" w:hAnsi="Calibri" w:cs="Times New Roman"/>
                <w:b/>
                <w:bCs/>
                <w:color w:val="000000"/>
              </w:rPr>
              <w:t>Table 5: Political Engagement, by type of THM and non THM</w:t>
            </w:r>
          </w:p>
        </w:tc>
      </w:tr>
      <w:tr w:rsidR="001F3FF5" w:rsidRPr="00B739C6" w14:paraId="4ABF4576" w14:textId="77777777" w:rsidTr="00C94616">
        <w:trPr>
          <w:trHeight w:val="300"/>
        </w:trPr>
        <w:tc>
          <w:tcPr>
            <w:tcW w:w="1961" w:type="dxa"/>
            <w:tcBorders>
              <w:top w:val="nil"/>
              <w:left w:val="nil"/>
              <w:bottom w:val="nil"/>
              <w:right w:val="nil"/>
            </w:tcBorders>
            <w:shd w:val="clear" w:color="auto" w:fill="auto"/>
            <w:noWrap/>
            <w:vAlign w:val="bottom"/>
            <w:hideMark/>
          </w:tcPr>
          <w:p w14:paraId="4CE89684"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1E31B01"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08F9FB2"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30EE618E"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4216206"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FBA4710"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38450435" w14:textId="77777777" w:rsidR="001F3FF5" w:rsidRPr="00B739C6" w:rsidRDefault="001F3FF5" w:rsidP="00C94616">
            <w:pPr>
              <w:spacing w:after="0" w:line="240" w:lineRule="auto"/>
              <w:rPr>
                <w:rFonts w:ascii="Calibri" w:eastAsia="Times New Roman" w:hAnsi="Calibri" w:cs="Times New Roman"/>
                <w:color w:val="000000"/>
              </w:rPr>
            </w:pPr>
          </w:p>
        </w:tc>
      </w:tr>
      <w:tr w:rsidR="001F3FF5" w:rsidRPr="00B739C6" w14:paraId="2A04693A" w14:textId="77777777" w:rsidTr="00C94616">
        <w:trPr>
          <w:trHeight w:val="300"/>
        </w:trPr>
        <w:tc>
          <w:tcPr>
            <w:tcW w:w="1961" w:type="dxa"/>
            <w:tcBorders>
              <w:top w:val="nil"/>
              <w:left w:val="nil"/>
              <w:bottom w:val="nil"/>
              <w:right w:val="nil"/>
            </w:tcBorders>
            <w:shd w:val="clear" w:color="auto" w:fill="auto"/>
            <w:noWrap/>
            <w:vAlign w:val="bottom"/>
            <w:hideMark/>
          </w:tcPr>
          <w:p w14:paraId="26D8A266"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FDAF76C"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E52D84D"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7B40FBA7"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 xml:space="preserve">Importance to you of: </w:t>
            </w:r>
          </w:p>
        </w:tc>
        <w:tc>
          <w:tcPr>
            <w:tcW w:w="222" w:type="dxa"/>
            <w:tcBorders>
              <w:top w:val="nil"/>
              <w:left w:val="nil"/>
              <w:bottom w:val="nil"/>
              <w:right w:val="nil"/>
            </w:tcBorders>
            <w:shd w:val="clear" w:color="auto" w:fill="auto"/>
            <w:noWrap/>
            <w:vAlign w:val="bottom"/>
            <w:hideMark/>
          </w:tcPr>
          <w:p w14:paraId="07033546"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11F7ECC"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50500CB5" w14:textId="77777777" w:rsidR="001F3FF5" w:rsidRPr="00B739C6" w:rsidRDefault="001F3FF5" w:rsidP="00C94616">
            <w:pPr>
              <w:spacing w:after="0" w:line="240" w:lineRule="auto"/>
              <w:rPr>
                <w:rFonts w:ascii="Calibri" w:eastAsia="Times New Roman" w:hAnsi="Calibri" w:cs="Times New Roman"/>
                <w:color w:val="000000"/>
              </w:rPr>
            </w:pPr>
          </w:p>
        </w:tc>
      </w:tr>
      <w:tr w:rsidR="001F3FF5" w:rsidRPr="00B739C6" w14:paraId="50334C36" w14:textId="77777777" w:rsidTr="00C94616">
        <w:trPr>
          <w:trHeight w:val="315"/>
        </w:trPr>
        <w:tc>
          <w:tcPr>
            <w:tcW w:w="1961" w:type="dxa"/>
            <w:tcBorders>
              <w:top w:val="nil"/>
              <w:left w:val="nil"/>
              <w:bottom w:val="nil"/>
              <w:right w:val="nil"/>
            </w:tcBorders>
            <w:shd w:val="clear" w:color="auto" w:fill="auto"/>
            <w:noWrap/>
            <w:vAlign w:val="bottom"/>
            <w:hideMark/>
          </w:tcPr>
          <w:p w14:paraId="06459803"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6E55892"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783BCB2" w14:textId="77777777" w:rsidR="001F3FF5" w:rsidRPr="00B739C6" w:rsidRDefault="001F3FF5" w:rsidP="00C94616">
            <w:pPr>
              <w:spacing w:after="0" w:line="240" w:lineRule="auto"/>
              <w:rPr>
                <w:rFonts w:ascii="Calibri" w:eastAsia="Times New Roman" w:hAnsi="Calibri" w:cs="Times New Roman"/>
                <w:color w:val="000000"/>
              </w:rPr>
            </w:pPr>
          </w:p>
        </w:tc>
        <w:tc>
          <w:tcPr>
            <w:tcW w:w="7078" w:type="dxa"/>
            <w:gridSpan w:val="4"/>
            <w:tcBorders>
              <w:top w:val="nil"/>
              <w:left w:val="nil"/>
              <w:bottom w:val="single" w:sz="8" w:space="0" w:color="auto"/>
              <w:right w:val="nil"/>
            </w:tcBorders>
            <w:shd w:val="clear" w:color="auto" w:fill="auto"/>
            <w:noWrap/>
            <w:vAlign w:val="bottom"/>
            <w:hideMark/>
          </w:tcPr>
          <w:p w14:paraId="33EAC278" w14:textId="77777777" w:rsidR="001F3FF5" w:rsidRPr="00B739C6" w:rsidRDefault="001F3FF5" w:rsidP="00C94616">
            <w:pPr>
              <w:spacing w:after="0" w:line="240" w:lineRule="auto"/>
              <w:rPr>
                <w:rFonts w:ascii="Calibri" w:eastAsia="Times New Roman" w:hAnsi="Calibri" w:cs="Times New Roman"/>
                <w:i/>
                <w:iCs/>
                <w:color w:val="000000"/>
              </w:rPr>
            </w:pPr>
            <w:r w:rsidRPr="00B739C6">
              <w:rPr>
                <w:rFonts w:ascii="Calibri" w:eastAsia="Times New Roman" w:hAnsi="Calibri" w:cs="Times New Roman"/>
                <w:i/>
                <w:iCs/>
                <w:color w:val="000000"/>
              </w:rPr>
              <w:t>keeping up to date with political affairs***</w:t>
            </w:r>
          </w:p>
        </w:tc>
      </w:tr>
      <w:tr w:rsidR="001F3FF5" w:rsidRPr="00B739C6" w14:paraId="2051C7EE" w14:textId="77777777" w:rsidTr="00C94616">
        <w:trPr>
          <w:trHeight w:val="300"/>
        </w:trPr>
        <w:tc>
          <w:tcPr>
            <w:tcW w:w="1961" w:type="dxa"/>
            <w:tcBorders>
              <w:top w:val="nil"/>
              <w:left w:val="nil"/>
              <w:bottom w:val="nil"/>
              <w:right w:val="nil"/>
            </w:tcBorders>
            <w:shd w:val="clear" w:color="auto" w:fill="auto"/>
            <w:noWrap/>
            <w:vAlign w:val="bottom"/>
            <w:hideMark/>
          </w:tcPr>
          <w:p w14:paraId="5AFF8C8E"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8C014BB"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BE8080D"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2F89A474"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essential/</w:t>
            </w:r>
          </w:p>
        </w:tc>
        <w:tc>
          <w:tcPr>
            <w:tcW w:w="222" w:type="dxa"/>
            <w:tcBorders>
              <w:top w:val="nil"/>
              <w:left w:val="nil"/>
              <w:bottom w:val="nil"/>
              <w:right w:val="nil"/>
            </w:tcBorders>
            <w:shd w:val="clear" w:color="auto" w:fill="auto"/>
            <w:noWrap/>
            <w:vAlign w:val="bottom"/>
            <w:hideMark/>
          </w:tcPr>
          <w:p w14:paraId="4E76C5CA"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D8EB372"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2686E6D2"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Somewhat/</w:t>
            </w:r>
          </w:p>
        </w:tc>
      </w:tr>
      <w:tr w:rsidR="001F3FF5" w:rsidRPr="00B739C6" w14:paraId="03E7A07C" w14:textId="77777777" w:rsidTr="00C94616">
        <w:trPr>
          <w:trHeight w:val="315"/>
        </w:trPr>
        <w:tc>
          <w:tcPr>
            <w:tcW w:w="1961" w:type="dxa"/>
            <w:tcBorders>
              <w:top w:val="nil"/>
              <w:left w:val="nil"/>
              <w:bottom w:val="nil"/>
              <w:right w:val="nil"/>
            </w:tcBorders>
            <w:shd w:val="clear" w:color="auto" w:fill="auto"/>
            <w:noWrap/>
            <w:vAlign w:val="bottom"/>
            <w:hideMark/>
          </w:tcPr>
          <w:p w14:paraId="7C6FAD6E"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35D4919"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CCA32C1"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double" w:sz="6" w:space="0" w:color="auto"/>
              <w:right w:val="nil"/>
            </w:tcBorders>
            <w:shd w:val="clear" w:color="auto" w:fill="auto"/>
            <w:noWrap/>
            <w:vAlign w:val="bottom"/>
            <w:hideMark/>
          </w:tcPr>
          <w:p w14:paraId="4409D474"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very important</w:t>
            </w:r>
          </w:p>
        </w:tc>
        <w:tc>
          <w:tcPr>
            <w:tcW w:w="222" w:type="dxa"/>
            <w:tcBorders>
              <w:top w:val="nil"/>
              <w:left w:val="nil"/>
              <w:bottom w:val="nil"/>
              <w:right w:val="nil"/>
            </w:tcBorders>
            <w:shd w:val="clear" w:color="auto" w:fill="auto"/>
            <w:noWrap/>
            <w:vAlign w:val="bottom"/>
            <w:hideMark/>
          </w:tcPr>
          <w:p w14:paraId="482844C6"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BE34994"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double" w:sz="6" w:space="0" w:color="auto"/>
              <w:right w:val="nil"/>
            </w:tcBorders>
            <w:shd w:val="clear" w:color="auto" w:fill="auto"/>
            <w:noWrap/>
            <w:vAlign w:val="bottom"/>
            <w:hideMark/>
          </w:tcPr>
          <w:p w14:paraId="698A90F3"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not important</w:t>
            </w:r>
          </w:p>
        </w:tc>
      </w:tr>
      <w:tr w:rsidR="001F3FF5" w:rsidRPr="00B739C6" w14:paraId="60BF0A2D" w14:textId="77777777" w:rsidTr="00C94616">
        <w:trPr>
          <w:trHeight w:val="315"/>
        </w:trPr>
        <w:tc>
          <w:tcPr>
            <w:tcW w:w="2183" w:type="dxa"/>
            <w:gridSpan w:val="2"/>
            <w:tcBorders>
              <w:top w:val="nil"/>
              <w:left w:val="nil"/>
              <w:bottom w:val="nil"/>
              <w:right w:val="nil"/>
            </w:tcBorders>
            <w:shd w:val="clear" w:color="auto" w:fill="auto"/>
            <w:noWrap/>
            <w:vAlign w:val="bottom"/>
            <w:hideMark/>
          </w:tcPr>
          <w:p w14:paraId="68045F3B"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 xml:space="preserve">Most rigorous THM </w:t>
            </w:r>
          </w:p>
        </w:tc>
        <w:tc>
          <w:tcPr>
            <w:tcW w:w="222" w:type="dxa"/>
            <w:tcBorders>
              <w:top w:val="nil"/>
              <w:left w:val="nil"/>
              <w:bottom w:val="nil"/>
              <w:right w:val="nil"/>
            </w:tcBorders>
            <w:shd w:val="clear" w:color="auto" w:fill="auto"/>
            <w:noWrap/>
            <w:vAlign w:val="bottom"/>
            <w:hideMark/>
          </w:tcPr>
          <w:p w14:paraId="0AC63E64"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725441A4"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72.1%</w:t>
            </w:r>
          </w:p>
        </w:tc>
        <w:tc>
          <w:tcPr>
            <w:tcW w:w="222" w:type="dxa"/>
            <w:tcBorders>
              <w:top w:val="nil"/>
              <w:left w:val="nil"/>
              <w:bottom w:val="nil"/>
              <w:right w:val="nil"/>
            </w:tcBorders>
            <w:shd w:val="clear" w:color="auto" w:fill="auto"/>
            <w:noWrap/>
            <w:vAlign w:val="bottom"/>
            <w:hideMark/>
          </w:tcPr>
          <w:p w14:paraId="25671D14"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FD33C56"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65BEB8A9"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27.9%</w:t>
            </w:r>
          </w:p>
        </w:tc>
      </w:tr>
      <w:tr w:rsidR="001F3FF5" w:rsidRPr="00B739C6" w14:paraId="1643B52C" w14:textId="77777777" w:rsidTr="00C94616">
        <w:trPr>
          <w:trHeight w:val="300"/>
        </w:trPr>
        <w:tc>
          <w:tcPr>
            <w:tcW w:w="2405" w:type="dxa"/>
            <w:gridSpan w:val="3"/>
            <w:tcBorders>
              <w:top w:val="nil"/>
              <w:left w:val="nil"/>
              <w:bottom w:val="nil"/>
              <w:right w:val="nil"/>
            </w:tcBorders>
            <w:shd w:val="clear" w:color="auto" w:fill="auto"/>
            <w:noWrap/>
            <w:vAlign w:val="bottom"/>
            <w:hideMark/>
          </w:tcPr>
          <w:p w14:paraId="1BF657F0"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Mid-level rigor for THM</w:t>
            </w:r>
          </w:p>
        </w:tc>
        <w:tc>
          <w:tcPr>
            <w:tcW w:w="2739" w:type="dxa"/>
            <w:tcBorders>
              <w:top w:val="nil"/>
              <w:left w:val="nil"/>
              <w:bottom w:val="nil"/>
              <w:right w:val="nil"/>
            </w:tcBorders>
            <w:shd w:val="clear" w:color="auto" w:fill="auto"/>
            <w:noWrap/>
            <w:vAlign w:val="bottom"/>
            <w:hideMark/>
          </w:tcPr>
          <w:p w14:paraId="549841C4"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54.3%</w:t>
            </w:r>
          </w:p>
        </w:tc>
        <w:tc>
          <w:tcPr>
            <w:tcW w:w="222" w:type="dxa"/>
            <w:tcBorders>
              <w:top w:val="nil"/>
              <w:left w:val="nil"/>
              <w:bottom w:val="nil"/>
              <w:right w:val="nil"/>
            </w:tcBorders>
            <w:shd w:val="clear" w:color="auto" w:fill="auto"/>
            <w:noWrap/>
            <w:vAlign w:val="bottom"/>
            <w:hideMark/>
          </w:tcPr>
          <w:p w14:paraId="701FE327"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25A3F0A"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2B311D74"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45.7%</w:t>
            </w:r>
          </w:p>
        </w:tc>
      </w:tr>
      <w:tr w:rsidR="001F3FF5" w:rsidRPr="00B739C6" w14:paraId="69DD4438"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3E8A1E25"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Least rigorous THM</w:t>
            </w:r>
          </w:p>
        </w:tc>
        <w:tc>
          <w:tcPr>
            <w:tcW w:w="222" w:type="dxa"/>
            <w:tcBorders>
              <w:top w:val="nil"/>
              <w:left w:val="nil"/>
              <w:bottom w:val="nil"/>
              <w:right w:val="nil"/>
            </w:tcBorders>
            <w:shd w:val="clear" w:color="auto" w:fill="auto"/>
            <w:noWrap/>
            <w:vAlign w:val="bottom"/>
            <w:hideMark/>
          </w:tcPr>
          <w:p w14:paraId="53B33E04"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1E5F11B9"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63.4%</w:t>
            </w:r>
          </w:p>
        </w:tc>
        <w:tc>
          <w:tcPr>
            <w:tcW w:w="222" w:type="dxa"/>
            <w:tcBorders>
              <w:top w:val="nil"/>
              <w:left w:val="nil"/>
              <w:bottom w:val="nil"/>
              <w:right w:val="nil"/>
            </w:tcBorders>
            <w:shd w:val="clear" w:color="auto" w:fill="auto"/>
            <w:noWrap/>
            <w:vAlign w:val="bottom"/>
            <w:hideMark/>
          </w:tcPr>
          <w:p w14:paraId="403799C2"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012801E"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50C9D42B"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36.6%</w:t>
            </w:r>
          </w:p>
        </w:tc>
      </w:tr>
      <w:tr w:rsidR="001F3FF5" w:rsidRPr="00B739C6" w14:paraId="7A6DC9B1"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688F06F0"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w:t>
            </w:r>
            <w:proofErr w:type="spellStart"/>
            <w:r w:rsidRPr="00B739C6">
              <w:rPr>
                <w:rFonts w:ascii="Calibri" w:eastAsia="Times New Roman" w:hAnsi="Calibri" w:cs="Times New Roman"/>
                <w:color w:val="000000"/>
              </w:rPr>
              <w:t>thm</w:t>
            </w:r>
            <w:proofErr w:type="spellEnd"/>
            <w:r w:rsidRPr="00B739C6">
              <w:rPr>
                <w:rFonts w:ascii="Calibri" w:eastAsia="Times New Roman" w:hAnsi="Calibri" w:cs="Times New Roman"/>
                <w:color w:val="000000"/>
              </w:rPr>
              <w:t xml:space="preserve"> section 1</w:t>
            </w:r>
          </w:p>
        </w:tc>
        <w:tc>
          <w:tcPr>
            <w:tcW w:w="222" w:type="dxa"/>
            <w:tcBorders>
              <w:top w:val="nil"/>
              <w:left w:val="nil"/>
              <w:bottom w:val="nil"/>
              <w:right w:val="nil"/>
            </w:tcBorders>
            <w:shd w:val="clear" w:color="auto" w:fill="auto"/>
            <w:noWrap/>
            <w:vAlign w:val="bottom"/>
            <w:hideMark/>
          </w:tcPr>
          <w:p w14:paraId="520A02EC"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651EFA7D"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61.5%</w:t>
            </w:r>
          </w:p>
        </w:tc>
        <w:tc>
          <w:tcPr>
            <w:tcW w:w="222" w:type="dxa"/>
            <w:tcBorders>
              <w:top w:val="nil"/>
              <w:left w:val="nil"/>
              <w:bottom w:val="nil"/>
              <w:right w:val="nil"/>
            </w:tcBorders>
            <w:shd w:val="clear" w:color="auto" w:fill="auto"/>
            <w:noWrap/>
            <w:vAlign w:val="bottom"/>
            <w:hideMark/>
          </w:tcPr>
          <w:p w14:paraId="707C76AF"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1E1F947"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0525139B"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38.5%</w:t>
            </w:r>
          </w:p>
        </w:tc>
      </w:tr>
      <w:tr w:rsidR="001F3FF5" w:rsidRPr="00B739C6" w14:paraId="68531A2A"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60DF87D4"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w:t>
            </w:r>
            <w:proofErr w:type="spellStart"/>
            <w:r w:rsidRPr="00B739C6">
              <w:rPr>
                <w:rFonts w:ascii="Calibri" w:eastAsia="Times New Roman" w:hAnsi="Calibri" w:cs="Times New Roman"/>
                <w:color w:val="000000"/>
              </w:rPr>
              <w:t>thm</w:t>
            </w:r>
            <w:proofErr w:type="spellEnd"/>
            <w:r w:rsidRPr="00B739C6">
              <w:rPr>
                <w:rFonts w:ascii="Calibri" w:eastAsia="Times New Roman" w:hAnsi="Calibri" w:cs="Times New Roman"/>
                <w:color w:val="000000"/>
              </w:rPr>
              <w:t xml:space="preserve"> section 2</w:t>
            </w:r>
          </w:p>
        </w:tc>
        <w:tc>
          <w:tcPr>
            <w:tcW w:w="222" w:type="dxa"/>
            <w:tcBorders>
              <w:top w:val="nil"/>
              <w:left w:val="nil"/>
              <w:bottom w:val="nil"/>
              <w:right w:val="nil"/>
            </w:tcBorders>
            <w:shd w:val="clear" w:color="auto" w:fill="auto"/>
            <w:noWrap/>
            <w:vAlign w:val="bottom"/>
            <w:hideMark/>
          </w:tcPr>
          <w:p w14:paraId="7A6ACBDE"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6E1C0D84"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55.9%</w:t>
            </w:r>
          </w:p>
        </w:tc>
        <w:tc>
          <w:tcPr>
            <w:tcW w:w="222" w:type="dxa"/>
            <w:tcBorders>
              <w:top w:val="nil"/>
              <w:left w:val="nil"/>
              <w:bottom w:val="nil"/>
              <w:right w:val="nil"/>
            </w:tcBorders>
            <w:shd w:val="clear" w:color="auto" w:fill="auto"/>
            <w:noWrap/>
            <w:vAlign w:val="bottom"/>
            <w:hideMark/>
          </w:tcPr>
          <w:p w14:paraId="453F632F"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BCCE103"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6DE0E8E2"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44.1%</w:t>
            </w:r>
          </w:p>
        </w:tc>
      </w:tr>
      <w:tr w:rsidR="001F3FF5" w:rsidRPr="00B739C6" w14:paraId="5CACC485" w14:textId="77777777" w:rsidTr="00C94616">
        <w:trPr>
          <w:trHeight w:val="300"/>
        </w:trPr>
        <w:tc>
          <w:tcPr>
            <w:tcW w:w="1961" w:type="dxa"/>
            <w:tcBorders>
              <w:top w:val="nil"/>
              <w:left w:val="nil"/>
              <w:bottom w:val="nil"/>
              <w:right w:val="nil"/>
            </w:tcBorders>
            <w:shd w:val="clear" w:color="auto" w:fill="auto"/>
            <w:noWrap/>
            <w:vAlign w:val="bottom"/>
            <w:hideMark/>
          </w:tcPr>
          <w:p w14:paraId="571FA508"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40B13B2"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7FF942A"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52E3FCE1"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F69139D"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D2239A3"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350A069F" w14:textId="77777777" w:rsidR="001F3FF5" w:rsidRPr="00B739C6" w:rsidRDefault="001F3FF5" w:rsidP="00C94616">
            <w:pPr>
              <w:spacing w:after="0" w:line="240" w:lineRule="auto"/>
              <w:rPr>
                <w:rFonts w:ascii="Calibri" w:eastAsia="Times New Roman" w:hAnsi="Calibri" w:cs="Times New Roman"/>
                <w:color w:val="000000"/>
              </w:rPr>
            </w:pPr>
          </w:p>
        </w:tc>
      </w:tr>
      <w:tr w:rsidR="001F3FF5" w:rsidRPr="00B739C6" w14:paraId="07369974" w14:textId="77777777" w:rsidTr="00C94616">
        <w:trPr>
          <w:trHeight w:val="300"/>
        </w:trPr>
        <w:tc>
          <w:tcPr>
            <w:tcW w:w="1961" w:type="dxa"/>
            <w:tcBorders>
              <w:top w:val="nil"/>
              <w:left w:val="nil"/>
              <w:bottom w:val="nil"/>
              <w:right w:val="nil"/>
            </w:tcBorders>
            <w:shd w:val="clear" w:color="auto" w:fill="auto"/>
            <w:noWrap/>
            <w:vAlign w:val="bottom"/>
            <w:hideMark/>
          </w:tcPr>
          <w:p w14:paraId="6AFC1C72"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4DC4476"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13B573A"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0C8E4FA6"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A924548"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878BAEA"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7AA78217" w14:textId="77777777" w:rsidR="001F3FF5" w:rsidRPr="00B739C6" w:rsidRDefault="001F3FF5" w:rsidP="00C94616">
            <w:pPr>
              <w:spacing w:after="0" w:line="240" w:lineRule="auto"/>
              <w:rPr>
                <w:rFonts w:ascii="Calibri" w:eastAsia="Times New Roman" w:hAnsi="Calibri" w:cs="Times New Roman"/>
                <w:color w:val="000000"/>
              </w:rPr>
            </w:pPr>
          </w:p>
        </w:tc>
      </w:tr>
      <w:tr w:rsidR="001F3FF5" w:rsidRPr="00B739C6" w14:paraId="2C081440" w14:textId="77777777" w:rsidTr="00C94616">
        <w:trPr>
          <w:trHeight w:val="300"/>
        </w:trPr>
        <w:tc>
          <w:tcPr>
            <w:tcW w:w="1961" w:type="dxa"/>
            <w:tcBorders>
              <w:top w:val="nil"/>
              <w:left w:val="nil"/>
              <w:bottom w:val="nil"/>
              <w:right w:val="nil"/>
            </w:tcBorders>
            <w:shd w:val="clear" w:color="auto" w:fill="auto"/>
            <w:noWrap/>
            <w:vAlign w:val="bottom"/>
            <w:hideMark/>
          </w:tcPr>
          <w:p w14:paraId="54A9BC99"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EB52209"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5E76EB0" w14:textId="77777777" w:rsidR="001F3FF5" w:rsidRPr="00B739C6" w:rsidRDefault="001F3FF5" w:rsidP="00C94616">
            <w:pPr>
              <w:spacing w:after="0" w:line="240" w:lineRule="auto"/>
              <w:rPr>
                <w:rFonts w:ascii="Calibri" w:eastAsia="Times New Roman" w:hAnsi="Calibri" w:cs="Times New Roman"/>
                <w:color w:val="000000"/>
              </w:rPr>
            </w:pPr>
          </w:p>
        </w:tc>
        <w:tc>
          <w:tcPr>
            <w:tcW w:w="7078" w:type="dxa"/>
            <w:gridSpan w:val="4"/>
            <w:tcBorders>
              <w:top w:val="nil"/>
              <w:left w:val="nil"/>
              <w:bottom w:val="nil"/>
              <w:right w:val="nil"/>
            </w:tcBorders>
            <w:shd w:val="clear" w:color="auto" w:fill="auto"/>
            <w:noWrap/>
            <w:vAlign w:val="bottom"/>
            <w:hideMark/>
          </w:tcPr>
          <w:p w14:paraId="2A8E315A"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likelihood in future that you will:</w:t>
            </w:r>
          </w:p>
        </w:tc>
      </w:tr>
      <w:tr w:rsidR="001F3FF5" w:rsidRPr="00B739C6" w14:paraId="599E25EC" w14:textId="77777777" w:rsidTr="00C94616">
        <w:trPr>
          <w:trHeight w:val="315"/>
        </w:trPr>
        <w:tc>
          <w:tcPr>
            <w:tcW w:w="1961" w:type="dxa"/>
            <w:tcBorders>
              <w:top w:val="nil"/>
              <w:left w:val="nil"/>
              <w:bottom w:val="nil"/>
              <w:right w:val="nil"/>
            </w:tcBorders>
            <w:shd w:val="clear" w:color="auto" w:fill="auto"/>
            <w:noWrap/>
            <w:vAlign w:val="bottom"/>
            <w:hideMark/>
          </w:tcPr>
          <w:p w14:paraId="4CFDAAD3"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A8F36BF"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3340BEA" w14:textId="77777777" w:rsidR="001F3FF5" w:rsidRPr="00B739C6" w:rsidRDefault="001F3FF5" w:rsidP="00C94616">
            <w:pPr>
              <w:spacing w:after="0" w:line="240" w:lineRule="auto"/>
              <w:rPr>
                <w:rFonts w:ascii="Calibri" w:eastAsia="Times New Roman" w:hAnsi="Calibri" w:cs="Times New Roman"/>
                <w:color w:val="000000"/>
              </w:rPr>
            </w:pPr>
          </w:p>
        </w:tc>
        <w:tc>
          <w:tcPr>
            <w:tcW w:w="7078" w:type="dxa"/>
            <w:gridSpan w:val="4"/>
            <w:tcBorders>
              <w:top w:val="nil"/>
              <w:left w:val="nil"/>
              <w:bottom w:val="single" w:sz="8" w:space="0" w:color="auto"/>
              <w:right w:val="nil"/>
            </w:tcBorders>
            <w:shd w:val="clear" w:color="auto" w:fill="auto"/>
            <w:noWrap/>
            <w:vAlign w:val="bottom"/>
            <w:hideMark/>
          </w:tcPr>
          <w:p w14:paraId="1EB9D146" w14:textId="77777777" w:rsidR="001F3FF5" w:rsidRPr="00B739C6" w:rsidRDefault="001F3FF5" w:rsidP="00C94616">
            <w:pPr>
              <w:spacing w:after="0" w:line="240" w:lineRule="auto"/>
              <w:rPr>
                <w:rFonts w:ascii="Calibri" w:eastAsia="Times New Roman" w:hAnsi="Calibri" w:cs="Times New Roman"/>
                <w:i/>
                <w:iCs/>
                <w:color w:val="000000"/>
              </w:rPr>
            </w:pPr>
            <w:r w:rsidRPr="00B739C6">
              <w:rPr>
                <w:rFonts w:ascii="Calibri" w:eastAsia="Times New Roman" w:hAnsi="Calibri" w:cs="Times New Roman"/>
                <w:i/>
                <w:iCs/>
                <w:color w:val="000000"/>
              </w:rPr>
              <w:t>sign an email or written petition*</w:t>
            </w:r>
          </w:p>
        </w:tc>
      </w:tr>
      <w:tr w:rsidR="001F3FF5" w:rsidRPr="00B739C6" w14:paraId="60335FB2" w14:textId="77777777" w:rsidTr="00C94616">
        <w:trPr>
          <w:trHeight w:val="315"/>
        </w:trPr>
        <w:tc>
          <w:tcPr>
            <w:tcW w:w="1961" w:type="dxa"/>
            <w:tcBorders>
              <w:top w:val="nil"/>
              <w:left w:val="nil"/>
              <w:bottom w:val="nil"/>
              <w:right w:val="nil"/>
            </w:tcBorders>
            <w:shd w:val="clear" w:color="auto" w:fill="auto"/>
            <w:noWrap/>
            <w:vAlign w:val="bottom"/>
            <w:hideMark/>
          </w:tcPr>
          <w:p w14:paraId="2321B11E"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E949254"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4BE96D5"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double" w:sz="6" w:space="0" w:color="auto"/>
              <w:right w:val="nil"/>
            </w:tcBorders>
            <w:shd w:val="clear" w:color="auto" w:fill="auto"/>
            <w:noWrap/>
            <w:vAlign w:val="bottom"/>
            <w:hideMark/>
          </w:tcPr>
          <w:p w14:paraId="1EAD1597"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Extremely likely/likely</w:t>
            </w:r>
          </w:p>
        </w:tc>
        <w:tc>
          <w:tcPr>
            <w:tcW w:w="222" w:type="dxa"/>
            <w:tcBorders>
              <w:top w:val="nil"/>
              <w:left w:val="nil"/>
              <w:bottom w:val="nil"/>
              <w:right w:val="nil"/>
            </w:tcBorders>
            <w:shd w:val="clear" w:color="auto" w:fill="auto"/>
            <w:noWrap/>
            <w:vAlign w:val="bottom"/>
            <w:hideMark/>
          </w:tcPr>
          <w:p w14:paraId="7121FBC6"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FC4C46E"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double" w:sz="6" w:space="0" w:color="auto"/>
              <w:right w:val="nil"/>
            </w:tcBorders>
            <w:shd w:val="clear" w:color="auto" w:fill="auto"/>
            <w:noWrap/>
            <w:vAlign w:val="bottom"/>
            <w:hideMark/>
          </w:tcPr>
          <w:p w14:paraId="7AB08035"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Not at all likely/unlikely/maybe</w:t>
            </w:r>
          </w:p>
        </w:tc>
      </w:tr>
      <w:tr w:rsidR="001F3FF5" w:rsidRPr="00B739C6" w14:paraId="1828803B" w14:textId="77777777" w:rsidTr="00C94616">
        <w:trPr>
          <w:trHeight w:val="330"/>
        </w:trPr>
        <w:tc>
          <w:tcPr>
            <w:tcW w:w="2183" w:type="dxa"/>
            <w:gridSpan w:val="2"/>
            <w:tcBorders>
              <w:top w:val="nil"/>
              <w:left w:val="nil"/>
              <w:bottom w:val="nil"/>
              <w:right w:val="nil"/>
            </w:tcBorders>
            <w:shd w:val="clear" w:color="auto" w:fill="auto"/>
            <w:noWrap/>
            <w:vAlign w:val="bottom"/>
            <w:hideMark/>
          </w:tcPr>
          <w:p w14:paraId="2DEB25D4"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 xml:space="preserve">Most rigorous THM </w:t>
            </w:r>
          </w:p>
        </w:tc>
        <w:tc>
          <w:tcPr>
            <w:tcW w:w="222" w:type="dxa"/>
            <w:tcBorders>
              <w:top w:val="nil"/>
              <w:left w:val="nil"/>
              <w:bottom w:val="nil"/>
              <w:right w:val="nil"/>
            </w:tcBorders>
            <w:shd w:val="clear" w:color="auto" w:fill="auto"/>
            <w:noWrap/>
            <w:vAlign w:val="bottom"/>
            <w:hideMark/>
          </w:tcPr>
          <w:p w14:paraId="3116FAA7"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599A9AD4"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49.5%</w:t>
            </w:r>
          </w:p>
        </w:tc>
        <w:tc>
          <w:tcPr>
            <w:tcW w:w="222" w:type="dxa"/>
            <w:tcBorders>
              <w:top w:val="nil"/>
              <w:left w:val="nil"/>
              <w:bottom w:val="nil"/>
              <w:right w:val="nil"/>
            </w:tcBorders>
            <w:shd w:val="clear" w:color="auto" w:fill="auto"/>
            <w:noWrap/>
            <w:vAlign w:val="bottom"/>
            <w:hideMark/>
          </w:tcPr>
          <w:p w14:paraId="1B329FC5"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027F980"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189B4811"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50.5%</w:t>
            </w:r>
          </w:p>
        </w:tc>
      </w:tr>
      <w:tr w:rsidR="001F3FF5" w:rsidRPr="00B739C6" w14:paraId="17C49B73" w14:textId="77777777" w:rsidTr="00C94616">
        <w:trPr>
          <w:trHeight w:val="315"/>
        </w:trPr>
        <w:tc>
          <w:tcPr>
            <w:tcW w:w="2405" w:type="dxa"/>
            <w:gridSpan w:val="3"/>
            <w:tcBorders>
              <w:top w:val="nil"/>
              <w:left w:val="nil"/>
              <w:bottom w:val="nil"/>
              <w:right w:val="nil"/>
            </w:tcBorders>
            <w:shd w:val="clear" w:color="auto" w:fill="auto"/>
            <w:noWrap/>
            <w:vAlign w:val="bottom"/>
            <w:hideMark/>
          </w:tcPr>
          <w:p w14:paraId="64CC2749"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Mid-level rigor for THM</w:t>
            </w:r>
          </w:p>
        </w:tc>
        <w:tc>
          <w:tcPr>
            <w:tcW w:w="2739" w:type="dxa"/>
            <w:tcBorders>
              <w:top w:val="nil"/>
              <w:left w:val="nil"/>
              <w:bottom w:val="nil"/>
              <w:right w:val="nil"/>
            </w:tcBorders>
            <w:shd w:val="clear" w:color="auto" w:fill="auto"/>
            <w:noWrap/>
            <w:vAlign w:val="bottom"/>
            <w:hideMark/>
          </w:tcPr>
          <w:p w14:paraId="070C1557"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22.6%</w:t>
            </w:r>
          </w:p>
        </w:tc>
        <w:tc>
          <w:tcPr>
            <w:tcW w:w="222" w:type="dxa"/>
            <w:tcBorders>
              <w:top w:val="nil"/>
              <w:left w:val="nil"/>
              <w:bottom w:val="nil"/>
              <w:right w:val="nil"/>
            </w:tcBorders>
            <w:shd w:val="clear" w:color="auto" w:fill="auto"/>
            <w:noWrap/>
            <w:vAlign w:val="bottom"/>
            <w:hideMark/>
          </w:tcPr>
          <w:p w14:paraId="759B4CEB"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1E2DAEA"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56F53379"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77.4%</w:t>
            </w:r>
          </w:p>
        </w:tc>
      </w:tr>
      <w:tr w:rsidR="001F3FF5" w:rsidRPr="00B739C6" w14:paraId="7A93F7C9"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6C8C533B"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Least rigorous THM</w:t>
            </w:r>
          </w:p>
        </w:tc>
        <w:tc>
          <w:tcPr>
            <w:tcW w:w="222" w:type="dxa"/>
            <w:tcBorders>
              <w:top w:val="nil"/>
              <w:left w:val="nil"/>
              <w:bottom w:val="nil"/>
              <w:right w:val="nil"/>
            </w:tcBorders>
            <w:shd w:val="clear" w:color="auto" w:fill="auto"/>
            <w:noWrap/>
            <w:vAlign w:val="bottom"/>
            <w:hideMark/>
          </w:tcPr>
          <w:p w14:paraId="5E61F113"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6E6A3C4B"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35.8%</w:t>
            </w:r>
          </w:p>
        </w:tc>
        <w:tc>
          <w:tcPr>
            <w:tcW w:w="222" w:type="dxa"/>
            <w:tcBorders>
              <w:top w:val="nil"/>
              <w:left w:val="nil"/>
              <w:bottom w:val="nil"/>
              <w:right w:val="nil"/>
            </w:tcBorders>
            <w:shd w:val="clear" w:color="auto" w:fill="auto"/>
            <w:noWrap/>
            <w:vAlign w:val="bottom"/>
            <w:hideMark/>
          </w:tcPr>
          <w:p w14:paraId="7C97F3A4"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C6AD815"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59F0810F"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64.2%</w:t>
            </w:r>
          </w:p>
        </w:tc>
      </w:tr>
      <w:tr w:rsidR="001F3FF5" w:rsidRPr="00B739C6" w14:paraId="6D4DB9F0"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1995C3F9"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w:t>
            </w:r>
            <w:proofErr w:type="spellStart"/>
            <w:r w:rsidRPr="00B739C6">
              <w:rPr>
                <w:rFonts w:ascii="Calibri" w:eastAsia="Times New Roman" w:hAnsi="Calibri" w:cs="Times New Roman"/>
                <w:color w:val="000000"/>
              </w:rPr>
              <w:t>thm</w:t>
            </w:r>
            <w:proofErr w:type="spellEnd"/>
            <w:r w:rsidRPr="00B739C6">
              <w:rPr>
                <w:rFonts w:ascii="Calibri" w:eastAsia="Times New Roman" w:hAnsi="Calibri" w:cs="Times New Roman"/>
                <w:color w:val="000000"/>
              </w:rPr>
              <w:t xml:space="preserve"> section 1</w:t>
            </w:r>
          </w:p>
        </w:tc>
        <w:tc>
          <w:tcPr>
            <w:tcW w:w="222" w:type="dxa"/>
            <w:tcBorders>
              <w:top w:val="nil"/>
              <w:left w:val="nil"/>
              <w:bottom w:val="nil"/>
              <w:right w:val="nil"/>
            </w:tcBorders>
            <w:shd w:val="clear" w:color="auto" w:fill="auto"/>
            <w:noWrap/>
            <w:vAlign w:val="bottom"/>
            <w:hideMark/>
          </w:tcPr>
          <w:p w14:paraId="218BD4CA"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0C6F1F1B"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24.7%</w:t>
            </w:r>
          </w:p>
        </w:tc>
        <w:tc>
          <w:tcPr>
            <w:tcW w:w="222" w:type="dxa"/>
            <w:tcBorders>
              <w:top w:val="nil"/>
              <w:left w:val="nil"/>
              <w:bottom w:val="nil"/>
              <w:right w:val="nil"/>
            </w:tcBorders>
            <w:shd w:val="clear" w:color="auto" w:fill="auto"/>
            <w:noWrap/>
            <w:vAlign w:val="bottom"/>
            <w:hideMark/>
          </w:tcPr>
          <w:p w14:paraId="1E08FA7F"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97E89A4"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6673388F"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75.3%</w:t>
            </w:r>
          </w:p>
        </w:tc>
      </w:tr>
      <w:tr w:rsidR="001F3FF5" w:rsidRPr="00B739C6" w14:paraId="2162A00C"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59E30CEB"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w:t>
            </w:r>
            <w:proofErr w:type="spellStart"/>
            <w:r w:rsidRPr="00B739C6">
              <w:rPr>
                <w:rFonts w:ascii="Calibri" w:eastAsia="Times New Roman" w:hAnsi="Calibri" w:cs="Times New Roman"/>
                <w:color w:val="000000"/>
              </w:rPr>
              <w:t>thm</w:t>
            </w:r>
            <w:proofErr w:type="spellEnd"/>
            <w:r w:rsidRPr="00B739C6">
              <w:rPr>
                <w:rFonts w:ascii="Calibri" w:eastAsia="Times New Roman" w:hAnsi="Calibri" w:cs="Times New Roman"/>
                <w:color w:val="000000"/>
              </w:rPr>
              <w:t xml:space="preserve"> section 2</w:t>
            </w:r>
          </w:p>
        </w:tc>
        <w:tc>
          <w:tcPr>
            <w:tcW w:w="222" w:type="dxa"/>
            <w:tcBorders>
              <w:top w:val="nil"/>
              <w:left w:val="nil"/>
              <w:bottom w:val="nil"/>
              <w:right w:val="nil"/>
            </w:tcBorders>
            <w:shd w:val="clear" w:color="auto" w:fill="auto"/>
            <w:noWrap/>
            <w:vAlign w:val="bottom"/>
            <w:hideMark/>
          </w:tcPr>
          <w:p w14:paraId="76738064"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4811612E"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30.9%</w:t>
            </w:r>
          </w:p>
        </w:tc>
        <w:tc>
          <w:tcPr>
            <w:tcW w:w="222" w:type="dxa"/>
            <w:tcBorders>
              <w:top w:val="nil"/>
              <w:left w:val="nil"/>
              <w:bottom w:val="nil"/>
              <w:right w:val="nil"/>
            </w:tcBorders>
            <w:shd w:val="clear" w:color="auto" w:fill="auto"/>
            <w:noWrap/>
            <w:vAlign w:val="bottom"/>
            <w:hideMark/>
          </w:tcPr>
          <w:p w14:paraId="5DCA0E48"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B92C191"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3818903F"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69.1%</w:t>
            </w:r>
          </w:p>
        </w:tc>
      </w:tr>
      <w:tr w:rsidR="001F3FF5" w:rsidRPr="00B739C6" w14:paraId="6C4AD635" w14:textId="77777777" w:rsidTr="00C94616">
        <w:trPr>
          <w:trHeight w:val="300"/>
        </w:trPr>
        <w:tc>
          <w:tcPr>
            <w:tcW w:w="1961" w:type="dxa"/>
            <w:tcBorders>
              <w:top w:val="nil"/>
              <w:left w:val="nil"/>
              <w:bottom w:val="nil"/>
              <w:right w:val="nil"/>
            </w:tcBorders>
            <w:shd w:val="clear" w:color="auto" w:fill="auto"/>
            <w:noWrap/>
            <w:vAlign w:val="bottom"/>
            <w:hideMark/>
          </w:tcPr>
          <w:p w14:paraId="5FA2BA0F"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0C8B927"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F73CFA1"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08F131C1"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80E650F"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B47CB86"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1C57B86C" w14:textId="77777777" w:rsidR="001F3FF5" w:rsidRPr="00B739C6" w:rsidRDefault="001F3FF5" w:rsidP="00C94616">
            <w:pPr>
              <w:spacing w:after="0" w:line="240" w:lineRule="auto"/>
              <w:rPr>
                <w:rFonts w:ascii="Calibri" w:eastAsia="Times New Roman" w:hAnsi="Calibri" w:cs="Times New Roman"/>
                <w:color w:val="000000"/>
              </w:rPr>
            </w:pPr>
          </w:p>
        </w:tc>
      </w:tr>
      <w:tr w:rsidR="001F3FF5" w:rsidRPr="00B739C6" w14:paraId="7568411E" w14:textId="77777777" w:rsidTr="00C94616">
        <w:trPr>
          <w:trHeight w:val="315"/>
        </w:trPr>
        <w:tc>
          <w:tcPr>
            <w:tcW w:w="1961" w:type="dxa"/>
            <w:tcBorders>
              <w:top w:val="nil"/>
              <w:left w:val="nil"/>
              <w:bottom w:val="nil"/>
              <w:right w:val="nil"/>
            </w:tcBorders>
            <w:shd w:val="clear" w:color="auto" w:fill="auto"/>
            <w:noWrap/>
            <w:vAlign w:val="bottom"/>
            <w:hideMark/>
          </w:tcPr>
          <w:p w14:paraId="0E089A54"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B1551B8"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BECEB70"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4B112198" w14:textId="77777777" w:rsidR="001F3FF5" w:rsidRPr="00B739C6" w:rsidRDefault="001F3FF5" w:rsidP="00C94616">
            <w:pPr>
              <w:spacing w:after="0" w:line="240" w:lineRule="auto"/>
              <w:rPr>
                <w:rFonts w:ascii="Calibri" w:eastAsia="Times New Roman" w:hAnsi="Calibri" w:cs="Times New Roman"/>
                <w:i/>
                <w:iCs/>
                <w:color w:val="000000"/>
              </w:rPr>
            </w:pPr>
            <w:r w:rsidRPr="00B739C6">
              <w:rPr>
                <w:rFonts w:ascii="Calibri" w:eastAsia="Times New Roman" w:hAnsi="Calibri" w:cs="Times New Roman"/>
                <w:i/>
                <w:iCs/>
                <w:color w:val="000000"/>
              </w:rPr>
              <w:t xml:space="preserve">Vote in an </w:t>
            </w:r>
            <w:proofErr w:type="spellStart"/>
            <w:r w:rsidRPr="00B739C6">
              <w:rPr>
                <w:rFonts w:ascii="Calibri" w:eastAsia="Times New Roman" w:hAnsi="Calibri" w:cs="Times New Roman"/>
                <w:i/>
                <w:iCs/>
                <w:color w:val="000000"/>
              </w:rPr>
              <w:t>electiion</w:t>
            </w:r>
            <w:proofErr w:type="spellEnd"/>
            <w:r w:rsidRPr="00B739C6">
              <w:rPr>
                <w:rFonts w:ascii="Calibri" w:eastAsia="Times New Roman" w:hAnsi="Calibri" w:cs="Times New Roman"/>
                <w:i/>
                <w:iCs/>
                <w:color w:val="000000"/>
              </w:rPr>
              <w:t>**</w:t>
            </w:r>
          </w:p>
        </w:tc>
        <w:tc>
          <w:tcPr>
            <w:tcW w:w="222" w:type="dxa"/>
            <w:tcBorders>
              <w:top w:val="nil"/>
              <w:left w:val="nil"/>
              <w:bottom w:val="nil"/>
              <w:right w:val="nil"/>
            </w:tcBorders>
            <w:shd w:val="clear" w:color="auto" w:fill="auto"/>
            <w:noWrap/>
            <w:vAlign w:val="bottom"/>
            <w:hideMark/>
          </w:tcPr>
          <w:p w14:paraId="6B42B270"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8C453F1"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1ED53BEA" w14:textId="77777777" w:rsidR="001F3FF5" w:rsidRPr="00B739C6" w:rsidRDefault="001F3FF5" w:rsidP="00C94616">
            <w:pPr>
              <w:spacing w:after="0" w:line="240" w:lineRule="auto"/>
              <w:rPr>
                <w:rFonts w:ascii="Calibri" w:eastAsia="Times New Roman" w:hAnsi="Calibri" w:cs="Times New Roman"/>
                <w:color w:val="000000"/>
              </w:rPr>
            </w:pPr>
          </w:p>
        </w:tc>
      </w:tr>
      <w:tr w:rsidR="001F3FF5" w:rsidRPr="00B739C6" w14:paraId="6C2B249C" w14:textId="77777777" w:rsidTr="00C94616">
        <w:trPr>
          <w:trHeight w:val="315"/>
        </w:trPr>
        <w:tc>
          <w:tcPr>
            <w:tcW w:w="1961" w:type="dxa"/>
            <w:tcBorders>
              <w:top w:val="nil"/>
              <w:left w:val="nil"/>
              <w:bottom w:val="nil"/>
              <w:right w:val="nil"/>
            </w:tcBorders>
            <w:shd w:val="clear" w:color="auto" w:fill="auto"/>
            <w:noWrap/>
            <w:vAlign w:val="bottom"/>
            <w:hideMark/>
          </w:tcPr>
          <w:p w14:paraId="3B97162F"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E3ACD56"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0E421ED"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single" w:sz="8" w:space="0" w:color="auto"/>
              <w:left w:val="nil"/>
              <w:bottom w:val="double" w:sz="6" w:space="0" w:color="auto"/>
              <w:right w:val="nil"/>
            </w:tcBorders>
            <w:shd w:val="clear" w:color="auto" w:fill="auto"/>
            <w:noWrap/>
            <w:vAlign w:val="bottom"/>
            <w:hideMark/>
          </w:tcPr>
          <w:p w14:paraId="6AF65816"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Extremely likely/likely</w:t>
            </w:r>
          </w:p>
        </w:tc>
        <w:tc>
          <w:tcPr>
            <w:tcW w:w="222" w:type="dxa"/>
            <w:tcBorders>
              <w:top w:val="nil"/>
              <w:left w:val="nil"/>
              <w:bottom w:val="nil"/>
              <w:right w:val="nil"/>
            </w:tcBorders>
            <w:shd w:val="clear" w:color="auto" w:fill="auto"/>
            <w:noWrap/>
            <w:vAlign w:val="bottom"/>
            <w:hideMark/>
          </w:tcPr>
          <w:p w14:paraId="079E3FC7"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D016B77"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single" w:sz="8" w:space="0" w:color="auto"/>
              <w:left w:val="nil"/>
              <w:bottom w:val="double" w:sz="6" w:space="0" w:color="auto"/>
              <w:right w:val="nil"/>
            </w:tcBorders>
            <w:shd w:val="clear" w:color="auto" w:fill="auto"/>
            <w:noWrap/>
            <w:vAlign w:val="bottom"/>
            <w:hideMark/>
          </w:tcPr>
          <w:p w14:paraId="1A849A96"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Not at all likely/unlikely/maybe</w:t>
            </w:r>
          </w:p>
        </w:tc>
      </w:tr>
      <w:tr w:rsidR="001F3FF5" w:rsidRPr="00B739C6" w14:paraId="52387F41" w14:textId="77777777" w:rsidTr="00C94616">
        <w:trPr>
          <w:trHeight w:val="315"/>
        </w:trPr>
        <w:tc>
          <w:tcPr>
            <w:tcW w:w="2183" w:type="dxa"/>
            <w:gridSpan w:val="2"/>
            <w:tcBorders>
              <w:top w:val="nil"/>
              <w:left w:val="nil"/>
              <w:bottom w:val="nil"/>
              <w:right w:val="nil"/>
            </w:tcBorders>
            <w:shd w:val="clear" w:color="auto" w:fill="auto"/>
            <w:noWrap/>
            <w:vAlign w:val="bottom"/>
            <w:hideMark/>
          </w:tcPr>
          <w:p w14:paraId="4E2876BF"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 xml:space="preserve">Most rigorous THM </w:t>
            </w:r>
          </w:p>
        </w:tc>
        <w:tc>
          <w:tcPr>
            <w:tcW w:w="222" w:type="dxa"/>
            <w:tcBorders>
              <w:top w:val="nil"/>
              <w:left w:val="nil"/>
              <w:bottom w:val="nil"/>
              <w:right w:val="nil"/>
            </w:tcBorders>
            <w:shd w:val="clear" w:color="auto" w:fill="auto"/>
            <w:noWrap/>
            <w:vAlign w:val="bottom"/>
            <w:hideMark/>
          </w:tcPr>
          <w:p w14:paraId="016063D1"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69E20803"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65.7%</w:t>
            </w:r>
          </w:p>
        </w:tc>
        <w:tc>
          <w:tcPr>
            <w:tcW w:w="222" w:type="dxa"/>
            <w:tcBorders>
              <w:top w:val="nil"/>
              <w:left w:val="nil"/>
              <w:bottom w:val="nil"/>
              <w:right w:val="nil"/>
            </w:tcBorders>
            <w:shd w:val="clear" w:color="auto" w:fill="auto"/>
            <w:noWrap/>
            <w:vAlign w:val="bottom"/>
            <w:hideMark/>
          </w:tcPr>
          <w:p w14:paraId="1F5A590C"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816ED42"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5298FD41"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34.3%</w:t>
            </w:r>
          </w:p>
        </w:tc>
      </w:tr>
      <w:tr w:rsidR="001F3FF5" w:rsidRPr="00B739C6" w14:paraId="16ADD11B" w14:textId="77777777" w:rsidTr="00C94616">
        <w:trPr>
          <w:trHeight w:val="300"/>
        </w:trPr>
        <w:tc>
          <w:tcPr>
            <w:tcW w:w="2405" w:type="dxa"/>
            <w:gridSpan w:val="3"/>
            <w:tcBorders>
              <w:top w:val="nil"/>
              <w:left w:val="nil"/>
              <w:bottom w:val="nil"/>
              <w:right w:val="nil"/>
            </w:tcBorders>
            <w:shd w:val="clear" w:color="auto" w:fill="auto"/>
            <w:noWrap/>
            <w:vAlign w:val="bottom"/>
            <w:hideMark/>
          </w:tcPr>
          <w:p w14:paraId="5C76B5E1"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Mid-level rigor for THM</w:t>
            </w:r>
          </w:p>
        </w:tc>
        <w:tc>
          <w:tcPr>
            <w:tcW w:w="2739" w:type="dxa"/>
            <w:tcBorders>
              <w:top w:val="nil"/>
              <w:left w:val="nil"/>
              <w:bottom w:val="nil"/>
              <w:right w:val="nil"/>
            </w:tcBorders>
            <w:shd w:val="clear" w:color="auto" w:fill="auto"/>
            <w:noWrap/>
            <w:vAlign w:val="bottom"/>
            <w:hideMark/>
          </w:tcPr>
          <w:p w14:paraId="512C6DB3"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60.4%</w:t>
            </w:r>
          </w:p>
        </w:tc>
        <w:tc>
          <w:tcPr>
            <w:tcW w:w="222" w:type="dxa"/>
            <w:tcBorders>
              <w:top w:val="nil"/>
              <w:left w:val="nil"/>
              <w:bottom w:val="nil"/>
              <w:right w:val="nil"/>
            </w:tcBorders>
            <w:shd w:val="clear" w:color="auto" w:fill="auto"/>
            <w:noWrap/>
            <w:vAlign w:val="bottom"/>
            <w:hideMark/>
          </w:tcPr>
          <w:p w14:paraId="30795A9F"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A96637F"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3673E1E5"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39.6%</w:t>
            </w:r>
          </w:p>
        </w:tc>
      </w:tr>
      <w:tr w:rsidR="001F3FF5" w:rsidRPr="00B739C6" w14:paraId="7411FB97"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253BB427"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Least rigorous THM</w:t>
            </w:r>
          </w:p>
        </w:tc>
        <w:tc>
          <w:tcPr>
            <w:tcW w:w="222" w:type="dxa"/>
            <w:tcBorders>
              <w:top w:val="nil"/>
              <w:left w:val="nil"/>
              <w:bottom w:val="nil"/>
              <w:right w:val="nil"/>
            </w:tcBorders>
            <w:shd w:val="clear" w:color="auto" w:fill="auto"/>
            <w:noWrap/>
            <w:vAlign w:val="bottom"/>
            <w:hideMark/>
          </w:tcPr>
          <w:p w14:paraId="7E7B109C"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523925B6"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77.9%</w:t>
            </w:r>
          </w:p>
        </w:tc>
        <w:tc>
          <w:tcPr>
            <w:tcW w:w="222" w:type="dxa"/>
            <w:tcBorders>
              <w:top w:val="nil"/>
              <w:left w:val="nil"/>
              <w:bottom w:val="nil"/>
              <w:right w:val="nil"/>
            </w:tcBorders>
            <w:shd w:val="clear" w:color="auto" w:fill="auto"/>
            <w:noWrap/>
            <w:vAlign w:val="bottom"/>
            <w:hideMark/>
          </w:tcPr>
          <w:p w14:paraId="75688650"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5F5AB0A"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7CAF81C2"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22.1%</w:t>
            </w:r>
          </w:p>
        </w:tc>
      </w:tr>
      <w:tr w:rsidR="001F3FF5" w:rsidRPr="00B739C6" w14:paraId="0E6F5A02"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70EDC351"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w:t>
            </w:r>
            <w:proofErr w:type="spellStart"/>
            <w:r w:rsidRPr="00B739C6">
              <w:rPr>
                <w:rFonts w:ascii="Calibri" w:eastAsia="Times New Roman" w:hAnsi="Calibri" w:cs="Times New Roman"/>
                <w:color w:val="000000"/>
              </w:rPr>
              <w:t>thm</w:t>
            </w:r>
            <w:proofErr w:type="spellEnd"/>
            <w:r w:rsidRPr="00B739C6">
              <w:rPr>
                <w:rFonts w:ascii="Calibri" w:eastAsia="Times New Roman" w:hAnsi="Calibri" w:cs="Times New Roman"/>
                <w:color w:val="000000"/>
              </w:rPr>
              <w:t xml:space="preserve"> section 1</w:t>
            </w:r>
          </w:p>
        </w:tc>
        <w:tc>
          <w:tcPr>
            <w:tcW w:w="222" w:type="dxa"/>
            <w:tcBorders>
              <w:top w:val="nil"/>
              <w:left w:val="nil"/>
              <w:bottom w:val="nil"/>
              <w:right w:val="nil"/>
            </w:tcBorders>
            <w:shd w:val="clear" w:color="auto" w:fill="auto"/>
            <w:noWrap/>
            <w:vAlign w:val="bottom"/>
            <w:hideMark/>
          </w:tcPr>
          <w:p w14:paraId="6C6AF72E"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5E998A2F"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57.9%</w:t>
            </w:r>
          </w:p>
        </w:tc>
        <w:tc>
          <w:tcPr>
            <w:tcW w:w="222" w:type="dxa"/>
            <w:tcBorders>
              <w:top w:val="nil"/>
              <w:left w:val="nil"/>
              <w:bottom w:val="nil"/>
              <w:right w:val="nil"/>
            </w:tcBorders>
            <w:shd w:val="clear" w:color="auto" w:fill="auto"/>
            <w:noWrap/>
            <w:vAlign w:val="bottom"/>
            <w:hideMark/>
          </w:tcPr>
          <w:p w14:paraId="43570B42"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D57C92D"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2BCDBA43"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42.1%</w:t>
            </w:r>
          </w:p>
        </w:tc>
      </w:tr>
      <w:tr w:rsidR="001F3FF5" w:rsidRPr="00B739C6" w14:paraId="24871618" w14:textId="77777777" w:rsidTr="00C94616">
        <w:trPr>
          <w:trHeight w:val="300"/>
        </w:trPr>
        <w:tc>
          <w:tcPr>
            <w:tcW w:w="2183" w:type="dxa"/>
            <w:gridSpan w:val="2"/>
            <w:tcBorders>
              <w:top w:val="nil"/>
              <w:left w:val="nil"/>
              <w:bottom w:val="nil"/>
              <w:right w:val="nil"/>
            </w:tcBorders>
            <w:shd w:val="clear" w:color="auto" w:fill="auto"/>
            <w:noWrap/>
            <w:vAlign w:val="bottom"/>
            <w:hideMark/>
          </w:tcPr>
          <w:p w14:paraId="60DCC502"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no-</w:t>
            </w:r>
            <w:proofErr w:type="spellStart"/>
            <w:r w:rsidRPr="00B739C6">
              <w:rPr>
                <w:rFonts w:ascii="Calibri" w:eastAsia="Times New Roman" w:hAnsi="Calibri" w:cs="Times New Roman"/>
                <w:color w:val="000000"/>
              </w:rPr>
              <w:t>thm</w:t>
            </w:r>
            <w:proofErr w:type="spellEnd"/>
            <w:r w:rsidRPr="00B739C6">
              <w:rPr>
                <w:rFonts w:ascii="Calibri" w:eastAsia="Times New Roman" w:hAnsi="Calibri" w:cs="Times New Roman"/>
                <w:color w:val="000000"/>
              </w:rPr>
              <w:t xml:space="preserve"> section 2</w:t>
            </w:r>
          </w:p>
        </w:tc>
        <w:tc>
          <w:tcPr>
            <w:tcW w:w="222" w:type="dxa"/>
            <w:tcBorders>
              <w:top w:val="nil"/>
              <w:left w:val="nil"/>
              <w:bottom w:val="nil"/>
              <w:right w:val="nil"/>
            </w:tcBorders>
            <w:shd w:val="clear" w:color="auto" w:fill="auto"/>
            <w:noWrap/>
            <w:vAlign w:val="bottom"/>
            <w:hideMark/>
          </w:tcPr>
          <w:p w14:paraId="107EC61B"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6A82AE42"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62.6%</w:t>
            </w:r>
          </w:p>
        </w:tc>
        <w:tc>
          <w:tcPr>
            <w:tcW w:w="222" w:type="dxa"/>
            <w:tcBorders>
              <w:top w:val="nil"/>
              <w:left w:val="nil"/>
              <w:bottom w:val="nil"/>
              <w:right w:val="nil"/>
            </w:tcBorders>
            <w:shd w:val="clear" w:color="auto" w:fill="auto"/>
            <w:noWrap/>
            <w:vAlign w:val="bottom"/>
            <w:hideMark/>
          </w:tcPr>
          <w:p w14:paraId="3263F983"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067E0C5" w14:textId="77777777" w:rsidR="001F3FF5" w:rsidRPr="00B739C6" w:rsidRDefault="001F3FF5" w:rsidP="00C94616">
            <w:pPr>
              <w:spacing w:after="0" w:line="240" w:lineRule="auto"/>
              <w:jc w:val="center"/>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6C26B8A9" w14:textId="77777777" w:rsidR="001F3FF5" w:rsidRPr="00B739C6" w:rsidRDefault="001F3FF5" w:rsidP="00C94616">
            <w:pPr>
              <w:spacing w:after="0" w:line="240" w:lineRule="auto"/>
              <w:jc w:val="center"/>
              <w:rPr>
                <w:rFonts w:ascii="Calibri" w:eastAsia="Times New Roman" w:hAnsi="Calibri" w:cs="Times New Roman"/>
                <w:color w:val="000000"/>
              </w:rPr>
            </w:pPr>
            <w:r w:rsidRPr="00B739C6">
              <w:rPr>
                <w:rFonts w:ascii="Calibri" w:eastAsia="Times New Roman" w:hAnsi="Calibri" w:cs="Times New Roman"/>
                <w:color w:val="000000"/>
              </w:rPr>
              <w:t>37.4%</w:t>
            </w:r>
          </w:p>
        </w:tc>
      </w:tr>
      <w:tr w:rsidR="001F3FF5" w:rsidRPr="00B739C6" w14:paraId="41281190" w14:textId="77777777" w:rsidTr="00C94616">
        <w:trPr>
          <w:trHeight w:val="300"/>
        </w:trPr>
        <w:tc>
          <w:tcPr>
            <w:tcW w:w="1961" w:type="dxa"/>
            <w:tcBorders>
              <w:top w:val="nil"/>
              <w:left w:val="nil"/>
              <w:bottom w:val="nil"/>
              <w:right w:val="nil"/>
            </w:tcBorders>
            <w:shd w:val="clear" w:color="auto" w:fill="auto"/>
            <w:noWrap/>
            <w:vAlign w:val="bottom"/>
            <w:hideMark/>
          </w:tcPr>
          <w:p w14:paraId="6D67635E"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25C0662"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F6DB366"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7E8802B4"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2DCAB80"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26AC2DEF"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366AFAE6" w14:textId="77777777" w:rsidR="001F3FF5" w:rsidRPr="00B739C6" w:rsidRDefault="001F3FF5" w:rsidP="00C94616">
            <w:pPr>
              <w:spacing w:after="0" w:line="240" w:lineRule="auto"/>
              <w:rPr>
                <w:rFonts w:ascii="Calibri" w:eastAsia="Times New Roman" w:hAnsi="Calibri" w:cs="Times New Roman"/>
                <w:color w:val="000000"/>
              </w:rPr>
            </w:pPr>
          </w:p>
        </w:tc>
      </w:tr>
      <w:tr w:rsidR="001F3FF5" w:rsidRPr="00B739C6" w14:paraId="28E59B10" w14:textId="77777777" w:rsidTr="00C94616">
        <w:trPr>
          <w:trHeight w:val="300"/>
        </w:trPr>
        <w:tc>
          <w:tcPr>
            <w:tcW w:w="1961" w:type="dxa"/>
            <w:tcBorders>
              <w:top w:val="nil"/>
              <w:left w:val="nil"/>
              <w:bottom w:val="nil"/>
              <w:right w:val="nil"/>
            </w:tcBorders>
            <w:shd w:val="clear" w:color="auto" w:fill="auto"/>
            <w:noWrap/>
            <w:vAlign w:val="bottom"/>
            <w:hideMark/>
          </w:tcPr>
          <w:p w14:paraId="39368A25"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*p=.000</w:t>
            </w:r>
          </w:p>
        </w:tc>
        <w:tc>
          <w:tcPr>
            <w:tcW w:w="222" w:type="dxa"/>
            <w:tcBorders>
              <w:top w:val="nil"/>
              <w:left w:val="nil"/>
              <w:bottom w:val="nil"/>
              <w:right w:val="nil"/>
            </w:tcBorders>
            <w:shd w:val="clear" w:color="auto" w:fill="auto"/>
            <w:noWrap/>
            <w:vAlign w:val="bottom"/>
            <w:hideMark/>
          </w:tcPr>
          <w:p w14:paraId="7C5E7632"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4EE94450"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65EE9D55"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E16B1C7"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7AEE85A"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2C147BFE" w14:textId="77777777" w:rsidR="001F3FF5" w:rsidRPr="00B739C6" w:rsidRDefault="001F3FF5" w:rsidP="00C94616">
            <w:pPr>
              <w:spacing w:after="0" w:line="240" w:lineRule="auto"/>
              <w:rPr>
                <w:rFonts w:ascii="Calibri" w:eastAsia="Times New Roman" w:hAnsi="Calibri" w:cs="Times New Roman"/>
                <w:color w:val="000000"/>
              </w:rPr>
            </w:pPr>
          </w:p>
        </w:tc>
      </w:tr>
      <w:tr w:rsidR="001F3FF5" w:rsidRPr="00B739C6" w14:paraId="1724DE69" w14:textId="77777777" w:rsidTr="00C94616">
        <w:trPr>
          <w:trHeight w:val="300"/>
        </w:trPr>
        <w:tc>
          <w:tcPr>
            <w:tcW w:w="1961" w:type="dxa"/>
            <w:tcBorders>
              <w:top w:val="nil"/>
              <w:left w:val="nil"/>
              <w:bottom w:val="nil"/>
              <w:right w:val="nil"/>
            </w:tcBorders>
            <w:shd w:val="clear" w:color="auto" w:fill="auto"/>
            <w:noWrap/>
            <w:vAlign w:val="bottom"/>
            <w:hideMark/>
          </w:tcPr>
          <w:p w14:paraId="0B7A7BD9" w14:textId="77777777" w:rsidR="001F3FF5" w:rsidRPr="00B739C6" w:rsidRDefault="001F3FF5" w:rsidP="00C94616">
            <w:pPr>
              <w:spacing w:after="0" w:line="240" w:lineRule="auto"/>
              <w:rPr>
                <w:rFonts w:ascii="Calibri" w:eastAsia="Times New Roman" w:hAnsi="Calibri" w:cs="Times New Roman"/>
                <w:color w:val="000000"/>
              </w:rPr>
            </w:pPr>
            <w:r w:rsidRPr="00B739C6">
              <w:rPr>
                <w:rFonts w:ascii="Calibri" w:eastAsia="Times New Roman" w:hAnsi="Calibri" w:cs="Times New Roman"/>
                <w:color w:val="000000"/>
              </w:rPr>
              <w:t>**p=.018</w:t>
            </w:r>
          </w:p>
        </w:tc>
        <w:tc>
          <w:tcPr>
            <w:tcW w:w="222" w:type="dxa"/>
            <w:tcBorders>
              <w:top w:val="nil"/>
              <w:left w:val="nil"/>
              <w:bottom w:val="nil"/>
              <w:right w:val="nil"/>
            </w:tcBorders>
            <w:shd w:val="clear" w:color="auto" w:fill="auto"/>
            <w:noWrap/>
            <w:vAlign w:val="bottom"/>
            <w:hideMark/>
          </w:tcPr>
          <w:p w14:paraId="74EDEECC"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6EF0670" w14:textId="77777777" w:rsidR="001F3FF5" w:rsidRPr="00B739C6" w:rsidRDefault="001F3FF5" w:rsidP="00C94616">
            <w:pPr>
              <w:spacing w:after="0" w:line="240" w:lineRule="auto"/>
              <w:rPr>
                <w:rFonts w:ascii="Calibri" w:eastAsia="Times New Roman" w:hAnsi="Calibri" w:cs="Times New Roman"/>
                <w:color w:val="000000"/>
              </w:rPr>
            </w:pPr>
          </w:p>
        </w:tc>
        <w:tc>
          <w:tcPr>
            <w:tcW w:w="2739" w:type="dxa"/>
            <w:tcBorders>
              <w:top w:val="nil"/>
              <w:left w:val="nil"/>
              <w:bottom w:val="nil"/>
              <w:right w:val="nil"/>
            </w:tcBorders>
            <w:shd w:val="clear" w:color="auto" w:fill="auto"/>
            <w:noWrap/>
            <w:vAlign w:val="bottom"/>
            <w:hideMark/>
          </w:tcPr>
          <w:p w14:paraId="7AD6D9F7"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1F74CC6C" w14:textId="77777777" w:rsidR="001F3FF5" w:rsidRPr="00B739C6" w:rsidRDefault="001F3FF5" w:rsidP="00C94616">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5ED31018" w14:textId="77777777" w:rsidR="001F3FF5" w:rsidRPr="00B739C6" w:rsidRDefault="001F3FF5" w:rsidP="00C94616">
            <w:pPr>
              <w:spacing w:after="0" w:line="240" w:lineRule="auto"/>
              <w:rPr>
                <w:rFonts w:ascii="Calibri" w:eastAsia="Times New Roman" w:hAnsi="Calibri" w:cs="Times New Roman"/>
                <w:color w:val="000000"/>
              </w:rPr>
            </w:pPr>
          </w:p>
        </w:tc>
        <w:tc>
          <w:tcPr>
            <w:tcW w:w="3895" w:type="dxa"/>
            <w:tcBorders>
              <w:top w:val="nil"/>
              <w:left w:val="nil"/>
              <w:bottom w:val="nil"/>
              <w:right w:val="nil"/>
            </w:tcBorders>
            <w:shd w:val="clear" w:color="auto" w:fill="auto"/>
            <w:noWrap/>
            <w:vAlign w:val="bottom"/>
            <w:hideMark/>
          </w:tcPr>
          <w:p w14:paraId="621D3FC9" w14:textId="77777777" w:rsidR="001F3FF5" w:rsidRPr="00B739C6" w:rsidRDefault="001F3FF5" w:rsidP="00C94616">
            <w:pPr>
              <w:spacing w:after="0" w:line="240" w:lineRule="auto"/>
              <w:rPr>
                <w:rFonts w:ascii="Calibri" w:eastAsia="Times New Roman" w:hAnsi="Calibri" w:cs="Times New Roman"/>
                <w:color w:val="000000"/>
              </w:rPr>
            </w:pPr>
          </w:p>
        </w:tc>
      </w:tr>
    </w:tbl>
    <w:p w14:paraId="7C751431" w14:textId="77777777" w:rsidR="001F3FF5" w:rsidRDefault="001F3FF5" w:rsidP="001F3FF5">
      <w:r>
        <w:rPr>
          <w:rFonts w:ascii="Calibri" w:eastAsia="Times New Roman" w:hAnsi="Calibri" w:cs="Times New Roman"/>
          <w:color w:val="000000"/>
        </w:rPr>
        <w:t xml:space="preserve">***p=.0.56 not </w:t>
      </w:r>
      <w:r w:rsidRPr="00B739C6">
        <w:rPr>
          <w:rFonts w:ascii="Calibri" w:eastAsia="Times New Roman" w:hAnsi="Calibri" w:cs="Times New Roman"/>
          <w:color w:val="000000"/>
        </w:rPr>
        <w:t>significant</w:t>
      </w:r>
    </w:p>
    <w:p w14:paraId="0C200DDF" w14:textId="77777777" w:rsidR="001F3FF5" w:rsidRDefault="001F3FF5" w:rsidP="001F261B">
      <w:pPr>
        <w:spacing w:after="100" w:afterAutospacing="1" w:line="480" w:lineRule="auto"/>
        <w:rPr>
          <w:rFonts w:ascii="Times New Roman" w:hAnsi="Times New Roman" w:cs="Times New Roman"/>
          <w:b/>
          <w:bCs/>
          <w:color w:val="000000"/>
          <w:sz w:val="24"/>
          <w:szCs w:val="24"/>
        </w:rPr>
      </w:pPr>
    </w:p>
    <w:p w14:paraId="33BC4C69" w14:textId="06CC4312" w:rsidR="00863360" w:rsidRDefault="00863360" w:rsidP="001F261B">
      <w:pPr>
        <w:spacing w:after="100" w:afterAutospacing="1"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Conclusions</w:t>
      </w:r>
    </w:p>
    <w:p w14:paraId="59CC1EF3" w14:textId="6B5B9633" w:rsidR="00863360" w:rsidRDefault="00863360" w:rsidP="001F261B">
      <w:pPr>
        <w:spacing w:after="100" w:afterAutospacing="1" w:line="48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Cs/>
          <w:color w:val="000000"/>
          <w:sz w:val="24"/>
          <w:szCs w:val="24"/>
        </w:rPr>
        <w:t xml:space="preserve">The THM program at CSU Fullerton has had a meaningful impact on students’ academic engagement, political motivation and efficacy, and interest in ongoing political activity.  While the survey data is less conclusive about efficacy and interest in ongoing political activity, it suggests that the experience of the THM program has had a noticeable effect even in this difficult to impact area.  In terms of academic engagement, the data are clearer: fewer students in the THM courses are failing, and more are actively engaged in their studies.  As state university systems such as the CSU continue to examine cost-saving measures, such as moving General Education courses online rather than traditional classrooms, this experience suggests that the real </w:t>
      </w:r>
      <w:r w:rsidR="00D337A7">
        <w:rPr>
          <w:rFonts w:ascii="Times New Roman" w:hAnsi="Times New Roman" w:cs="Times New Roman"/>
          <w:bCs/>
          <w:color w:val="000000"/>
          <w:sz w:val="24"/>
          <w:szCs w:val="24"/>
        </w:rPr>
        <w:t xml:space="preserve">“bang-for-the-buck” lies in leveraging the classroom experience for a broad and diverse population of students to create opportunities to increase both academic success and political engagement.  </w:t>
      </w:r>
    </w:p>
    <w:p w14:paraId="339E0D14" w14:textId="01C6FE0D" w:rsidR="00D337A7" w:rsidRPr="00863360" w:rsidRDefault="00D337A7" w:rsidP="001F261B">
      <w:pPr>
        <w:spacing w:after="100" w:afterAutospacing="1"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At the same time, while the THM program certainly emphasizes the transference of political knowledge and the experience of responsible, repeated political discourse across differences in a diverse community, there are areas of proven civic education effectiveness that are still weak in the program.  First, this is a one-time program.  Students who participate experience the challenges and excitement of working in a group on politically controversial policies.  At the conclusion of the experience they will have essentially taken part in leading a campus-wide Town Hall meeting on these issues, and have interfaced with other faculty and political officials in the process.  These experiences are valuable and can meaningfully contribute to increased political efficacy and motivation, and towards a desire to continue their political engagement in the future, including voting.  However, these impacts are arguably tenuous.  </w:t>
      </w:r>
      <w:r>
        <w:rPr>
          <w:rFonts w:ascii="Times New Roman" w:hAnsi="Times New Roman" w:cs="Times New Roman"/>
          <w:bCs/>
          <w:color w:val="000000"/>
          <w:sz w:val="24"/>
          <w:szCs w:val="24"/>
        </w:rPr>
        <w:lastRenderedPageBreak/>
        <w:t>Although CSU Chico researchers identified a long-term impact of their THM program on academic retention and graduation (</w:t>
      </w:r>
      <w:proofErr w:type="spellStart"/>
      <w:r>
        <w:rPr>
          <w:rFonts w:ascii="Times New Roman" w:hAnsi="Times New Roman" w:cs="Times New Roman"/>
          <w:bCs/>
          <w:color w:val="000000"/>
          <w:sz w:val="24"/>
          <w:szCs w:val="24"/>
        </w:rPr>
        <w:t>Ertle</w:t>
      </w:r>
      <w:proofErr w:type="spellEnd"/>
      <w:r>
        <w:rPr>
          <w:rFonts w:ascii="Times New Roman" w:hAnsi="Times New Roman" w:cs="Times New Roman"/>
          <w:bCs/>
          <w:color w:val="000000"/>
          <w:sz w:val="24"/>
          <w:szCs w:val="24"/>
        </w:rPr>
        <w:t xml:space="preserve"> and Weber 2010), they too did not find the same impact for political engagement.  The research on civic education suggests that direct engagement of students in real-life community projects as part of this Town Hall experience may be the surest way to increase these impacts for the longer term.  As well, buy-in from the broader university community will be necessary to reinforce these efforts.  Students who have multiple applied civic engagement experiences throughout their college years will be far more likely to leave the university as politically knowledg</w:t>
      </w:r>
      <w:r w:rsidR="00A95558">
        <w:rPr>
          <w:rFonts w:ascii="Times New Roman" w:hAnsi="Times New Roman" w:cs="Times New Roman"/>
          <w:bCs/>
          <w:color w:val="000000"/>
          <w:sz w:val="24"/>
          <w:szCs w:val="24"/>
        </w:rPr>
        <w:t>eable, feeling politically self-</w:t>
      </w:r>
      <w:r>
        <w:rPr>
          <w:rFonts w:ascii="Times New Roman" w:hAnsi="Times New Roman" w:cs="Times New Roman"/>
          <w:bCs/>
          <w:color w:val="000000"/>
          <w:sz w:val="24"/>
          <w:szCs w:val="24"/>
        </w:rPr>
        <w:t>confident, and committed to remaining activ</w:t>
      </w:r>
      <w:r w:rsidR="00A95558">
        <w:rPr>
          <w:rFonts w:ascii="Times New Roman" w:hAnsi="Times New Roman" w:cs="Times New Roman"/>
          <w:bCs/>
          <w:color w:val="000000"/>
          <w:sz w:val="24"/>
          <w:szCs w:val="24"/>
        </w:rPr>
        <w:t xml:space="preserve">ely engaged in civic affairs.  </w:t>
      </w:r>
    </w:p>
    <w:p w14:paraId="220B3FE6"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249F0F9B"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052677DE"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2FD128DC"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06195605"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1505A5FB"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14BD4F73"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3D9DAA45"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6499FB72" w14:textId="77777777" w:rsidR="001F3FF5" w:rsidRDefault="001F3FF5" w:rsidP="001F261B">
      <w:pPr>
        <w:spacing w:after="100" w:afterAutospacing="1" w:line="480" w:lineRule="auto"/>
        <w:rPr>
          <w:rFonts w:ascii="Times New Roman" w:hAnsi="Times New Roman" w:cs="Times New Roman"/>
          <w:bCs/>
          <w:color w:val="000000"/>
          <w:sz w:val="24"/>
          <w:szCs w:val="24"/>
        </w:rPr>
      </w:pPr>
      <w:bookmarkStart w:id="0" w:name="_GoBack"/>
      <w:bookmarkEnd w:id="0"/>
    </w:p>
    <w:p w14:paraId="02503137"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597CB490"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2027F140"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375EF52C"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50F0796B"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346ECEF2" w14:textId="77777777" w:rsidR="001F3FF5" w:rsidRDefault="001F3FF5" w:rsidP="001F261B">
      <w:pPr>
        <w:spacing w:after="100" w:afterAutospacing="1" w:line="480" w:lineRule="auto"/>
        <w:rPr>
          <w:rFonts w:ascii="Times New Roman" w:hAnsi="Times New Roman" w:cs="Times New Roman"/>
          <w:bCs/>
          <w:color w:val="000000"/>
          <w:sz w:val="24"/>
          <w:szCs w:val="24"/>
        </w:rPr>
      </w:pPr>
    </w:p>
    <w:p w14:paraId="0468C361" w14:textId="77777777" w:rsidR="00FC248E" w:rsidRDefault="00FC248E" w:rsidP="000221D8">
      <w:pPr>
        <w:spacing w:line="480" w:lineRule="auto"/>
        <w:rPr>
          <w:rFonts w:ascii="Times New Roman" w:hAnsi="Times New Roman" w:cs="Times New Roman"/>
          <w:bCs/>
          <w:color w:val="000000"/>
          <w:sz w:val="24"/>
          <w:szCs w:val="24"/>
        </w:rPr>
      </w:pPr>
    </w:p>
    <w:p w14:paraId="421C1D9B" w14:textId="77777777" w:rsidR="00FC248E" w:rsidRDefault="00FC248E" w:rsidP="000221D8">
      <w:pPr>
        <w:spacing w:line="480" w:lineRule="auto"/>
        <w:rPr>
          <w:rFonts w:ascii="Times New Roman" w:hAnsi="Times New Roman" w:cs="Times New Roman"/>
          <w:bCs/>
          <w:color w:val="000000"/>
          <w:sz w:val="24"/>
          <w:szCs w:val="24"/>
        </w:rPr>
      </w:pPr>
    </w:p>
    <w:p w14:paraId="4BA89415" w14:textId="77777777" w:rsidR="00FC248E" w:rsidRDefault="00FC248E" w:rsidP="000221D8">
      <w:pPr>
        <w:spacing w:line="480" w:lineRule="auto"/>
        <w:rPr>
          <w:rFonts w:ascii="Times New Roman" w:hAnsi="Times New Roman" w:cs="Times New Roman"/>
          <w:bCs/>
          <w:color w:val="000000"/>
          <w:sz w:val="24"/>
          <w:szCs w:val="24"/>
        </w:rPr>
      </w:pPr>
    </w:p>
    <w:p w14:paraId="1D45BC21" w14:textId="77777777" w:rsidR="00FC248E" w:rsidRDefault="00FC248E" w:rsidP="000221D8">
      <w:pPr>
        <w:spacing w:line="480" w:lineRule="auto"/>
        <w:rPr>
          <w:rFonts w:ascii="Times New Roman" w:hAnsi="Times New Roman" w:cs="Times New Roman"/>
          <w:bCs/>
          <w:color w:val="000000"/>
          <w:sz w:val="24"/>
          <w:szCs w:val="24"/>
        </w:rPr>
      </w:pPr>
    </w:p>
    <w:p w14:paraId="174EF0F1" w14:textId="77777777" w:rsidR="00FC248E" w:rsidRDefault="00FC248E" w:rsidP="000221D8">
      <w:pPr>
        <w:spacing w:line="480" w:lineRule="auto"/>
        <w:rPr>
          <w:rFonts w:ascii="Times New Roman" w:hAnsi="Times New Roman" w:cs="Times New Roman"/>
          <w:bCs/>
          <w:color w:val="000000"/>
          <w:sz w:val="24"/>
          <w:szCs w:val="24"/>
        </w:rPr>
      </w:pPr>
    </w:p>
    <w:p w14:paraId="4A7E14CF" w14:textId="77777777" w:rsidR="00FC248E" w:rsidRDefault="00FC248E" w:rsidP="000221D8">
      <w:pPr>
        <w:spacing w:line="480" w:lineRule="auto"/>
        <w:rPr>
          <w:rFonts w:ascii="Times New Roman" w:hAnsi="Times New Roman" w:cs="Times New Roman"/>
          <w:bCs/>
          <w:color w:val="000000"/>
          <w:sz w:val="24"/>
          <w:szCs w:val="24"/>
        </w:rPr>
      </w:pPr>
    </w:p>
    <w:p w14:paraId="11925D5C" w14:textId="4B17CA91" w:rsidR="000221D8" w:rsidRPr="00532928" w:rsidRDefault="007B63B5" w:rsidP="007B63B5">
      <w:pPr>
        <w:widowControl w:val="0"/>
        <w:autoSpaceDE w:val="0"/>
        <w:autoSpaceDN w:val="0"/>
        <w:adjustRightInd w:val="0"/>
        <w:spacing w:after="0" w:line="240" w:lineRule="auto"/>
        <w:rPr>
          <w:rFonts w:ascii="Times New Roman" w:hAnsi="Times New Roman" w:cs="Times New Roman"/>
          <w:b/>
          <w:bCs/>
          <w:color w:val="000000"/>
          <w:sz w:val="24"/>
          <w:szCs w:val="24"/>
        </w:rPr>
      </w:pPr>
      <w:r w:rsidRPr="00532928">
        <w:rPr>
          <w:rFonts w:ascii="Times New Roman" w:hAnsi="Times New Roman" w:cs="Times New Roman"/>
          <w:color w:val="353535"/>
          <w:sz w:val="24"/>
          <w:szCs w:val="24"/>
        </w:rPr>
        <w:t> </w:t>
      </w:r>
    </w:p>
    <w:p w14:paraId="565729CA" w14:textId="77777777" w:rsidR="00077621" w:rsidRPr="00532928" w:rsidRDefault="00077621" w:rsidP="00077621">
      <w:pPr>
        <w:jc w:val="center"/>
        <w:rPr>
          <w:rFonts w:ascii="Times New Roman" w:hAnsi="Times New Roman" w:cs="Times New Roman"/>
          <w:sz w:val="24"/>
          <w:szCs w:val="24"/>
        </w:rPr>
      </w:pPr>
    </w:p>
    <w:sectPr w:rsidR="00077621" w:rsidRPr="00532928" w:rsidSect="009102B7">
      <w:headerReference w:type="default" r:id="rId13"/>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9E431" w14:textId="77777777" w:rsidR="0063661E" w:rsidRDefault="0063661E" w:rsidP="00744D40">
      <w:pPr>
        <w:spacing w:after="0" w:line="240" w:lineRule="auto"/>
      </w:pPr>
      <w:r>
        <w:separator/>
      </w:r>
    </w:p>
  </w:endnote>
  <w:endnote w:type="continuationSeparator" w:id="0">
    <w:p w14:paraId="7A65EA8D" w14:textId="77777777" w:rsidR="0063661E" w:rsidRDefault="0063661E" w:rsidP="00744D40">
      <w:pPr>
        <w:spacing w:after="0" w:line="240" w:lineRule="auto"/>
      </w:pPr>
      <w:r>
        <w:continuationSeparator/>
      </w:r>
    </w:p>
  </w:endnote>
  <w:endnote w:id="1">
    <w:p w14:paraId="58170AF4" w14:textId="0386022C" w:rsidR="002D6FE0" w:rsidRDefault="002D6FE0">
      <w:pPr>
        <w:pStyle w:val="EndnoteText"/>
      </w:pPr>
      <w:r>
        <w:rPr>
          <w:rStyle w:val="EndnoteReference"/>
        </w:rPr>
        <w:endnoteRef/>
      </w:r>
      <w:r>
        <w:t xml:space="preserve"> </w:t>
      </w:r>
      <w:r w:rsidRPr="00CA28D6">
        <w:rPr>
          <w:sz w:val="20"/>
          <w:szCs w:val="20"/>
        </w:rPr>
        <w:t xml:space="preserve">According to the National Center on Education Statistics (NCES), in 2012, approximately 20.6 million people enrolled in degree-granting post-secondary institutions, of which 12.7 million were attending full-time. </w:t>
      </w:r>
      <w:r w:rsidRPr="00CA28D6">
        <w:rPr>
          <w:i/>
          <w:sz w:val="20"/>
          <w:szCs w:val="20"/>
        </w:rPr>
        <w:t xml:space="preserve">Digest of Education Statistics, </w:t>
      </w:r>
      <w:r w:rsidRPr="00CA28D6">
        <w:rPr>
          <w:sz w:val="20"/>
          <w:szCs w:val="20"/>
        </w:rPr>
        <w:t xml:space="preserve">2013, Table 303.10, at </w:t>
      </w:r>
      <w:hyperlink r:id="rId1" w:history="1">
        <w:r w:rsidRPr="00CA28D6">
          <w:rPr>
            <w:rStyle w:val="Hyperlink"/>
            <w:sz w:val="20"/>
            <w:szCs w:val="20"/>
          </w:rPr>
          <w:t>https://nces.ed.gov/programs/digest/d13/tables/dt13_303.10.asp?current=yes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6A98E" w14:textId="77777777" w:rsidR="0063661E" w:rsidRDefault="0063661E" w:rsidP="00744D40">
      <w:pPr>
        <w:spacing w:after="0" w:line="240" w:lineRule="auto"/>
      </w:pPr>
      <w:r>
        <w:separator/>
      </w:r>
    </w:p>
  </w:footnote>
  <w:footnote w:type="continuationSeparator" w:id="0">
    <w:p w14:paraId="1D77D65D" w14:textId="77777777" w:rsidR="0063661E" w:rsidRDefault="0063661E" w:rsidP="00744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987221"/>
      <w:docPartObj>
        <w:docPartGallery w:val="Page Numbers (Top of Page)"/>
        <w:docPartUnique/>
      </w:docPartObj>
    </w:sdtPr>
    <w:sdtEndPr>
      <w:rPr>
        <w:noProof/>
      </w:rPr>
    </w:sdtEndPr>
    <w:sdtContent>
      <w:p w14:paraId="31C76F99" w14:textId="6A0A1496" w:rsidR="009102B7" w:rsidRDefault="009102B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FF1BDDB" w14:textId="77777777" w:rsidR="009102B7" w:rsidRDefault="00910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B1D"/>
    <w:multiLevelType w:val="hybridMultilevel"/>
    <w:tmpl w:val="323A5736"/>
    <w:lvl w:ilvl="0" w:tplc="9DF66A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E18FC"/>
    <w:multiLevelType w:val="hybridMultilevel"/>
    <w:tmpl w:val="5D7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EB5352"/>
    <w:multiLevelType w:val="hybridMultilevel"/>
    <w:tmpl w:val="49743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21"/>
    <w:rsid w:val="000221D8"/>
    <w:rsid w:val="0006615C"/>
    <w:rsid w:val="00070F4B"/>
    <w:rsid w:val="000723EA"/>
    <w:rsid w:val="000748A4"/>
    <w:rsid w:val="00075AD4"/>
    <w:rsid w:val="00077621"/>
    <w:rsid w:val="00097B13"/>
    <w:rsid w:val="000C6A16"/>
    <w:rsid w:val="000E124F"/>
    <w:rsid w:val="00100593"/>
    <w:rsid w:val="00104BDC"/>
    <w:rsid w:val="00126102"/>
    <w:rsid w:val="00130BD8"/>
    <w:rsid w:val="00136831"/>
    <w:rsid w:val="00136D1A"/>
    <w:rsid w:val="001A1C53"/>
    <w:rsid w:val="001A23AD"/>
    <w:rsid w:val="001C02EC"/>
    <w:rsid w:val="001C1C35"/>
    <w:rsid w:val="001F261B"/>
    <w:rsid w:val="001F3FF5"/>
    <w:rsid w:val="002548FA"/>
    <w:rsid w:val="0025665C"/>
    <w:rsid w:val="0029574F"/>
    <w:rsid w:val="002B26F7"/>
    <w:rsid w:val="002D6FE0"/>
    <w:rsid w:val="0030754C"/>
    <w:rsid w:val="00310DFB"/>
    <w:rsid w:val="003C3D2B"/>
    <w:rsid w:val="003F48B2"/>
    <w:rsid w:val="004631CA"/>
    <w:rsid w:val="00471F32"/>
    <w:rsid w:val="004D08B6"/>
    <w:rsid w:val="004E3038"/>
    <w:rsid w:val="004E7B06"/>
    <w:rsid w:val="004F1DD6"/>
    <w:rsid w:val="00511335"/>
    <w:rsid w:val="00524D71"/>
    <w:rsid w:val="00532928"/>
    <w:rsid w:val="005420E9"/>
    <w:rsid w:val="00597EAD"/>
    <w:rsid w:val="005A55CB"/>
    <w:rsid w:val="005C1E78"/>
    <w:rsid w:val="005D55DA"/>
    <w:rsid w:val="005F4F33"/>
    <w:rsid w:val="00626FBB"/>
    <w:rsid w:val="0063661E"/>
    <w:rsid w:val="00650E6F"/>
    <w:rsid w:val="006815CD"/>
    <w:rsid w:val="006A5BCB"/>
    <w:rsid w:val="006B2E8A"/>
    <w:rsid w:val="00737162"/>
    <w:rsid w:val="00744D40"/>
    <w:rsid w:val="00750F3D"/>
    <w:rsid w:val="007533CE"/>
    <w:rsid w:val="00797583"/>
    <w:rsid w:val="007A4223"/>
    <w:rsid w:val="007B63B5"/>
    <w:rsid w:val="0082406F"/>
    <w:rsid w:val="00863360"/>
    <w:rsid w:val="008726C7"/>
    <w:rsid w:val="008800F2"/>
    <w:rsid w:val="00891FD4"/>
    <w:rsid w:val="00896BA1"/>
    <w:rsid w:val="0090111D"/>
    <w:rsid w:val="00907DF3"/>
    <w:rsid w:val="009102B7"/>
    <w:rsid w:val="00913BB9"/>
    <w:rsid w:val="009169F4"/>
    <w:rsid w:val="009A4BF2"/>
    <w:rsid w:val="009B313D"/>
    <w:rsid w:val="00A03C82"/>
    <w:rsid w:val="00A1609D"/>
    <w:rsid w:val="00A264E1"/>
    <w:rsid w:val="00A328F2"/>
    <w:rsid w:val="00A64FE8"/>
    <w:rsid w:val="00A650C8"/>
    <w:rsid w:val="00A67808"/>
    <w:rsid w:val="00A95558"/>
    <w:rsid w:val="00AD301E"/>
    <w:rsid w:val="00AD55AB"/>
    <w:rsid w:val="00AD579C"/>
    <w:rsid w:val="00AD7800"/>
    <w:rsid w:val="00B2518A"/>
    <w:rsid w:val="00B75334"/>
    <w:rsid w:val="00BA4F4E"/>
    <w:rsid w:val="00BF16F3"/>
    <w:rsid w:val="00BF21BB"/>
    <w:rsid w:val="00BF421C"/>
    <w:rsid w:val="00BF5FEA"/>
    <w:rsid w:val="00C52801"/>
    <w:rsid w:val="00C7062C"/>
    <w:rsid w:val="00CA28D6"/>
    <w:rsid w:val="00CC696A"/>
    <w:rsid w:val="00D337A7"/>
    <w:rsid w:val="00D40B6F"/>
    <w:rsid w:val="00D6573A"/>
    <w:rsid w:val="00D71DA5"/>
    <w:rsid w:val="00D82ADB"/>
    <w:rsid w:val="00D9193C"/>
    <w:rsid w:val="00DB2A05"/>
    <w:rsid w:val="00E0779F"/>
    <w:rsid w:val="00E658A6"/>
    <w:rsid w:val="00E92504"/>
    <w:rsid w:val="00EB1253"/>
    <w:rsid w:val="00EC4911"/>
    <w:rsid w:val="00F70A53"/>
    <w:rsid w:val="00F72236"/>
    <w:rsid w:val="00FA147B"/>
    <w:rsid w:val="00FC248E"/>
    <w:rsid w:val="00FC4D8C"/>
    <w:rsid w:val="00FD650E"/>
    <w:rsid w:val="00FF5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1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621"/>
    <w:rPr>
      <w:color w:val="0000FF" w:themeColor="hyperlink"/>
      <w:u w:val="single"/>
    </w:rPr>
  </w:style>
  <w:style w:type="paragraph" w:styleId="FootnoteText">
    <w:name w:val="footnote text"/>
    <w:basedOn w:val="Normal"/>
    <w:link w:val="FootnoteTextChar"/>
    <w:unhideWhenUsed/>
    <w:rsid w:val="00744D40"/>
    <w:pPr>
      <w:spacing w:after="0" w:line="240" w:lineRule="auto"/>
    </w:pPr>
    <w:rPr>
      <w:sz w:val="24"/>
      <w:szCs w:val="24"/>
    </w:rPr>
  </w:style>
  <w:style w:type="character" w:customStyle="1" w:styleId="FootnoteTextChar">
    <w:name w:val="Footnote Text Char"/>
    <w:basedOn w:val="DefaultParagraphFont"/>
    <w:link w:val="FootnoteText"/>
    <w:rsid w:val="00744D40"/>
    <w:rPr>
      <w:sz w:val="24"/>
      <w:szCs w:val="24"/>
    </w:rPr>
  </w:style>
  <w:style w:type="character" w:styleId="FootnoteReference">
    <w:name w:val="footnote reference"/>
    <w:basedOn w:val="DefaultParagraphFont"/>
    <w:uiPriority w:val="99"/>
    <w:unhideWhenUsed/>
    <w:rsid w:val="00744D40"/>
    <w:rPr>
      <w:vertAlign w:val="superscript"/>
    </w:rPr>
  </w:style>
  <w:style w:type="paragraph" w:styleId="EndnoteText">
    <w:name w:val="endnote text"/>
    <w:basedOn w:val="Normal"/>
    <w:link w:val="EndnoteTextChar"/>
    <w:uiPriority w:val="99"/>
    <w:unhideWhenUsed/>
    <w:rsid w:val="000C6A16"/>
    <w:pPr>
      <w:spacing w:after="0" w:line="240" w:lineRule="auto"/>
    </w:pPr>
    <w:rPr>
      <w:sz w:val="24"/>
      <w:szCs w:val="24"/>
    </w:rPr>
  </w:style>
  <w:style w:type="character" w:customStyle="1" w:styleId="EndnoteTextChar">
    <w:name w:val="Endnote Text Char"/>
    <w:basedOn w:val="DefaultParagraphFont"/>
    <w:link w:val="EndnoteText"/>
    <w:uiPriority w:val="99"/>
    <w:rsid w:val="000C6A16"/>
    <w:rPr>
      <w:sz w:val="24"/>
      <w:szCs w:val="24"/>
    </w:rPr>
  </w:style>
  <w:style w:type="character" w:styleId="EndnoteReference">
    <w:name w:val="endnote reference"/>
    <w:basedOn w:val="DefaultParagraphFont"/>
    <w:uiPriority w:val="99"/>
    <w:unhideWhenUsed/>
    <w:rsid w:val="000C6A16"/>
    <w:rPr>
      <w:vertAlign w:val="superscript"/>
    </w:rPr>
  </w:style>
  <w:style w:type="paragraph" w:styleId="BalloonText">
    <w:name w:val="Balloon Text"/>
    <w:basedOn w:val="Normal"/>
    <w:link w:val="BalloonTextChar"/>
    <w:uiPriority w:val="99"/>
    <w:semiHidden/>
    <w:unhideWhenUsed/>
    <w:rsid w:val="001261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102"/>
    <w:rPr>
      <w:rFonts w:ascii="Lucida Grande" w:hAnsi="Lucida Grande" w:cs="Lucida Grande"/>
      <w:sz w:val="18"/>
      <w:szCs w:val="18"/>
    </w:rPr>
  </w:style>
  <w:style w:type="paragraph" w:styleId="ListParagraph">
    <w:name w:val="List Paragraph"/>
    <w:basedOn w:val="Normal"/>
    <w:uiPriority w:val="34"/>
    <w:qFormat/>
    <w:rsid w:val="008800F2"/>
    <w:pPr>
      <w:ind w:left="720"/>
      <w:contextualSpacing/>
    </w:pPr>
  </w:style>
  <w:style w:type="paragraph" w:styleId="Header">
    <w:name w:val="header"/>
    <w:basedOn w:val="Normal"/>
    <w:link w:val="HeaderChar"/>
    <w:uiPriority w:val="99"/>
    <w:unhideWhenUsed/>
    <w:rsid w:val="00910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2B7"/>
  </w:style>
  <w:style w:type="paragraph" w:styleId="Footer">
    <w:name w:val="footer"/>
    <w:basedOn w:val="Normal"/>
    <w:link w:val="FooterChar"/>
    <w:uiPriority w:val="99"/>
    <w:unhideWhenUsed/>
    <w:rsid w:val="00910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621"/>
    <w:rPr>
      <w:color w:val="0000FF" w:themeColor="hyperlink"/>
      <w:u w:val="single"/>
    </w:rPr>
  </w:style>
  <w:style w:type="paragraph" w:styleId="FootnoteText">
    <w:name w:val="footnote text"/>
    <w:basedOn w:val="Normal"/>
    <w:link w:val="FootnoteTextChar"/>
    <w:unhideWhenUsed/>
    <w:rsid w:val="00744D40"/>
    <w:pPr>
      <w:spacing w:after="0" w:line="240" w:lineRule="auto"/>
    </w:pPr>
    <w:rPr>
      <w:sz w:val="24"/>
      <w:szCs w:val="24"/>
    </w:rPr>
  </w:style>
  <w:style w:type="character" w:customStyle="1" w:styleId="FootnoteTextChar">
    <w:name w:val="Footnote Text Char"/>
    <w:basedOn w:val="DefaultParagraphFont"/>
    <w:link w:val="FootnoteText"/>
    <w:rsid w:val="00744D40"/>
    <w:rPr>
      <w:sz w:val="24"/>
      <w:szCs w:val="24"/>
    </w:rPr>
  </w:style>
  <w:style w:type="character" w:styleId="FootnoteReference">
    <w:name w:val="footnote reference"/>
    <w:basedOn w:val="DefaultParagraphFont"/>
    <w:uiPriority w:val="99"/>
    <w:unhideWhenUsed/>
    <w:rsid w:val="00744D40"/>
    <w:rPr>
      <w:vertAlign w:val="superscript"/>
    </w:rPr>
  </w:style>
  <w:style w:type="paragraph" w:styleId="EndnoteText">
    <w:name w:val="endnote text"/>
    <w:basedOn w:val="Normal"/>
    <w:link w:val="EndnoteTextChar"/>
    <w:uiPriority w:val="99"/>
    <w:unhideWhenUsed/>
    <w:rsid w:val="000C6A16"/>
    <w:pPr>
      <w:spacing w:after="0" w:line="240" w:lineRule="auto"/>
    </w:pPr>
    <w:rPr>
      <w:sz w:val="24"/>
      <w:szCs w:val="24"/>
    </w:rPr>
  </w:style>
  <w:style w:type="character" w:customStyle="1" w:styleId="EndnoteTextChar">
    <w:name w:val="Endnote Text Char"/>
    <w:basedOn w:val="DefaultParagraphFont"/>
    <w:link w:val="EndnoteText"/>
    <w:uiPriority w:val="99"/>
    <w:rsid w:val="000C6A16"/>
    <w:rPr>
      <w:sz w:val="24"/>
      <w:szCs w:val="24"/>
    </w:rPr>
  </w:style>
  <w:style w:type="character" w:styleId="EndnoteReference">
    <w:name w:val="endnote reference"/>
    <w:basedOn w:val="DefaultParagraphFont"/>
    <w:uiPriority w:val="99"/>
    <w:unhideWhenUsed/>
    <w:rsid w:val="000C6A16"/>
    <w:rPr>
      <w:vertAlign w:val="superscript"/>
    </w:rPr>
  </w:style>
  <w:style w:type="paragraph" w:styleId="BalloonText">
    <w:name w:val="Balloon Text"/>
    <w:basedOn w:val="Normal"/>
    <w:link w:val="BalloonTextChar"/>
    <w:uiPriority w:val="99"/>
    <w:semiHidden/>
    <w:unhideWhenUsed/>
    <w:rsid w:val="001261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102"/>
    <w:rPr>
      <w:rFonts w:ascii="Lucida Grande" w:hAnsi="Lucida Grande" w:cs="Lucida Grande"/>
      <w:sz w:val="18"/>
      <w:szCs w:val="18"/>
    </w:rPr>
  </w:style>
  <w:style w:type="paragraph" w:styleId="ListParagraph">
    <w:name w:val="List Paragraph"/>
    <w:basedOn w:val="Normal"/>
    <w:uiPriority w:val="34"/>
    <w:qFormat/>
    <w:rsid w:val="008800F2"/>
    <w:pPr>
      <w:ind w:left="720"/>
      <w:contextualSpacing/>
    </w:pPr>
  </w:style>
  <w:style w:type="paragraph" w:styleId="Header">
    <w:name w:val="header"/>
    <w:basedOn w:val="Normal"/>
    <w:link w:val="HeaderChar"/>
    <w:uiPriority w:val="99"/>
    <w:unhideWhenUsed/>
    <w:rsid w:val="00910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2B7"/>
  </w:style>
  <w:style w:type="paragraph" w:styleId="Footer">
    <w:name w:val="footer"/>
    <w:basedOn w:val="Normal"/>
    <w:link w:val="FooterChar"/>
    <w:uiPriority w:val="99"/>
    <w:unhideWhenUsed/>
    <w:rsid w:val="00910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itzer@fullerton.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acu.org/bringing_theory/documents/FacultyToolki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ketheridge@fullerton.ed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nces.ed.gov/programs/digest/d13/tables/dt13_303.10.asp?current=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24</Pages>
  <Words>5643</Words>
  <Characters>32170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37738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2015-04-02T19:11:00Z</dcterms:created>
  <dcterms:modified xsi:type="dcterms:W3CDTF">2015-04-02T20:41:00Z</dcterms:modified>
</cp:coreProperties>
</file>